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2.xml" ContentType="application/vnd.openxmlformats-officedocument.wordprocessingml.footer+xml"/>
  <Override PartName="/word/header1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7287" w14:textId="77777777" w:rsidR="009209B3" w:rsidRPr="009819CE" w:rsidRDefault="009209B3" w:rsidP="00DA29AB">
      <w:pPr>
        <w:pStyle w:val="Title"/>
        <w:spacing w:before="0" w:after="0"/>
        <w:rPr>
          <w:rFonts w:cstheme="minorBidi"/>
          <w:i/>
          <w:iCs/>
          <w:lang w:val="en-GB"/>
        </w:rPr>
      </w:pPr>
      <w:bookmarkStart w:id="0" w:name="_Toc488448869"/>
      <w:bookmarkStart w:id="1" w:name="_Toc489273888"/>
      <w:r w:rsidRPr="009819CE">
        <w:rPr>
          <w:rFonts w:cstheme="minorBidi"/>
          <w:lang w:val="en-GB"/>
        </w:rPr>
        <w:t xml:space="preserve">PREVALENCE AND INSIGHTS ON THE PARASITIC DINOFLAGELLATE </w:t>
      </w:r>
      <w:r w:rsidRPr="009819CE">
        <w:rPr>
          <w:rFonts w:cstheme="minorBidi"/>
          <w:i/>
          <w:iCs/>
          <w:lang w:val="en-GB"/>
        </w:rPr>
        <w:t>HEMATODINIUM</w:t>
      </w:r>
      <w:r w:rsidRPr="009819CE">
        <w:rPr>
          <w:rFonts w:cstheme="minorBidi"/>
          <w:lang w:val="en-GB"/>
        </w:rPr>
        <w:t xml:space="preserve"> SP. INFECTION IN THE NORWAY LOBSTER, </w:t>
      </w:r>
      <w:r w:rsidRPr="009819CE">
        <w:rPr>
          <w:rFonts w:cstheme="minorBidi"/>
          <w:i/>
          <w:iCs/>
          <w:lang w:val="en-GB"/>
        </w:rPr>
        <w:t>NEPHROPS NORVEGICUS</w:t>
      </w:r>
    </w:p>
    <w:p w14:paraId="5EF25625" w14:textId="23E0FA70" w:rsidR="007E5D12" w:rsidRPr="009819CE" w:rsidRDefault="007E5D12" w:rsidP="00DA29AB">
      <w:pPr>
        <w:spacing w:before="0" w:after="0"/>
        <w:jc w:val="center"/>
        <w:rPr>
          <w:rFonts w:cstheme="minorBidi"/>
          <w:color w:val="000000" w:themeColor="text1"/>
        </w:rPr>
      </w:pPr>
    </w:p>
    <w:p w14:paraId="08F467F1" w14:textId="77777777" w:rsidR="007239F5" w:rsidRPr="009819CE" w:rsidRDefault="007239F5" w:rsidP="00DA29AB">
      <w:pPr>
        <w:spacing w:before="0" w:after="0"/>
        <w:jc w:val="center"/>
        <w:rPr>
          <w:rFonts w:cstheme="minorBidi"/>
          <w:color w:val="000000" w:themeColor="text1"/>
          <w:sz w:val="28"/>
          <w:szCs w:val="28"/>
        </w:rPr>
      </w:pPr>
    </w:p>
    <w:p w14:paraId="783A2D28" w14:textId="77777777" w:rsidR="007E5D12" w:rsidRPr="009819CE" w:rsidRDefault="007E5D12" w:rsidP="00DA29AB">
      <w:pPr>
        <w:spacing w:before="0" w:after="0"/>
        <w:jc w:val="center"/>
        <w:rPr>
          <w:rFonts w:cstheme="minorBidi"/>
          <w:color w:val="000000" w:themeColor="text1"/>
          <w:sz w:val="28"/>
          <w:szCs w:val="28"/>
        </w:rPr>
      </w:pPr>
      <w:r w:rsidRPr="009819CE">
        <w:rPr>
          <w:rFonts w:cstheme="minorBidi"/>
          <w:color w:val="000000" w:themeColor="text1"/>
          <w:sz w:val="28"/>
          <w:szCs w:val="28"/>
        </w:rPr>
        <w:t>THESIS SUBMITTED TO THE UNIVERSITY OF STIRLING FOR THE DEGREE OF DOCTOR OF PHILOSOPHY</w:t>
      </w:r>
    </w:p>
    <w:p w14:paraId="6AE3599B" w14:textId="775770D1" w:rsidR="007E5D12" w:rsidRPr="009819CE" w:rsidRDefault="007E5D12" w:rsidP="00DA29AB">
      <w:pPr>
        <w:spacing w:before="0" w:after="0"/>
        <w:jc w:val="center"/>
        <w:rPr>
          <w:rFonts w:cstheme="minorBidi"/>
          <w:color w:val="000000" w:themeColor="text1"/>
          <w:sz w:val="28"/>
          <w:szCs w:val="28"/>
        </w:rPr>
      </w:pPr>
      <w:r w:rsidRPr="009819CE">
        <w:rPr>
          <w:rFonts w:cstheme="minorBidi"/>
          <w:color w:val="000000" w:themeColor="text1"/>
          <w:sz w:val="28"/>
          <w:szCs w:val="28"/>
        </w:rPr>
        <w:t>IN</w:t>
      </w:r>
    </w:p>
    <w:p w14:paraId="2EF175BD" w14:textId="77777777" w:rsidR="007E5D12" w:rsidRPr="009819CE" w:rsidRDefault="007E5D12" w:rsidP="00DA29AB">
      <w:pPr>
        <w:spacing w:before="0" w:after="0"/>
        <w:jc w:val="center"/>
        <w:rPr>
          <w:rFonts w:cstheme="minorBidi"/>
          <w:b/>
          <w:bCs/>
          <w:color w:val="000000" w:themeColor="text1"/>
          <w:sz w:val="28"/>
          <w:szCs w:val="28"/>
        </w:rPr>
      </w:pPr>
      <w:r w:rsidRPr="009819CE">
        <w:rPr>
          <w:rFonts w:cstheme="minorBidi"/>
          <w:b/>
          <w:bCs/>
          <w:color w:val="000000" w:themeColor="text1"/>
          <w:sz w:val="28"/>
          <w:szCs w:val="28"/>
        </w:rPr>
        <w:t>AQUACULTURE</w:t>
      </w:r>
    </w:p>
    <w:p w14:paraId="393BE65A" w14:textId="77777777" w:rsidR="002601FF" w:rsidRPr="009819CE" w:rsidRDefault="002601FF" w:rsidP="00DA29AB">
      <w:pPr>
        <w:spacing w:before="0" w:after="0"/>
        <w:jc w:val="center"/>
        <w:rPr>
          <w:rFonts w:cstheme="minorBidi"/>
          <w:color w:val="000000" w:themeColor="text1"/>
        </w:rPr>
      </w:pPr>
    </w:p>
    <w:p w14:paraId="65B7054C" w14:textId="5EABD817" w:rsidR="007E5D12" w:rsidRPr="009819CE" w:rsidRDefault="007E5D12" w:rsidP="00DA29AB">
      <w:pPr>
        <w:spacing w:before="0" w:after="0"/>
        <w:jc w:val="center"/>
        <w:rPr>
          <w:rFonts w:cstheme="minorBidi"/>
          <w:color w:val="000000" w:themeColor="text1"/>
          <w:sz w:val="28"/>
          <w:szCs w:val="28"/>
        </w:rPr>
      </w:pPr>
      <w:r w:rsidRPr="009819CE">
        <w:rPr>
          <w:rFonts w:cstheme="minorBidi"/>
          <w:color w:val="000000" w:themeColor="text1"/>
          <w:sz w:val="28"/>
          <w:szCs w:val="28"/>
        </w:rPr>
        <w:t>BY</w:t>
      </w:r>
    </w:p>
    <w:p w14:paraId="424363BE" w14:textId="0511A33B" w:rsidR="00106F7A" w:rsidRPr="009819CE" w:rsidRDefault="00106F7A" w:rsidP="00DA29AB">
      <w:pPr>
        <w:spacing w:before="0" w:after="0"/>
        <w:jc w:val="center"/>
        <w:rPr>
          <w:rFonts w:cstheme="minorBidi"/>
          <w:b/>
          <w:bCs/>
          <w:color w:val="000000" w:themeColor="text1"/>
          <w:sz w:val="32"/>
          <w:szCs w:val="32"/>
        </w:rPr>
      </w:pPr>
      <w:r w:rsidRPr="009819CE">
        <w:rPr>
          <w:rFonts w:cstheme="minorBidi"/>
          <w:b/>
          <w:bCs/>
          <w:color w:val="000000" w:themeColor="text1"/>
          <w:sz w:val="32"/>
          <w:szCs w:val="32"/>
        </w:rPr>
        <w:t>IRENE MART</w:t>
      </w:r>
      <w:r w:rsidR="000D422E" w:rsidRPr="00CE490E">
        <w:rPr>
          <w:rFonts w:cstheme="minorBidi"/>
          <w:b/>
          <w:bCs/>
          <w:color w:val="000000" w:themeColor="text1"/>
          <w:sz w:val="32"/>
          <w:szCs w:val="32"/>
        </w:rPr>
        <w:t>I</w:t>
      </w:r>
      <w:r w:rsidRPr="009819CE">
        <w:rPr>
          <w:rFonts w:cstheme="minorBidi"/>
          <w:b/>
          <w:bCs/>
          <w:color w:val="000000" w:themeColor="text1"/>
          <w:sz w:val="32"/>
          <w:szCs w:val="32"/>
        </w:rPr>
        <w:t>N</w:t>
      </w:r>
      <w:r w:rsidR="00F361AB" w:rsidRPr="009819CE">
        <w:rPr>
          <w:rFonts w:cstheme="minorBidi"/>
          <w:b/>
          <w:bCs/>
          <w:color w:val="000000" w:themeColor="text1"/>
          <w:sz w:val="32"/>
          <w:szCs w:val="32"/>
        </w:rPr>
        <w:t xml:space="preserve"> MOLT</w:t>
      </w:r>
      <w:r w:rsidR="000D422E" w:rsidRPr="00FA7D47">
        <w:rPr>
          <w:rFonts w:cstheme="minorBidi"/>
          <w:b/>
          <w:bCs/>
          <w:color w:val="000000" w:themeColor="text1"/>
          <w:sz w:val="32"/>
          <w:szCs w:val="32"/>
        </w:rPr>
        <w:t>O</w:t>
      </w:r>
    </w:p>
    <w:p w14:paraId="58175D73" w14:textId="6681F697" w:rsidR="009209B3" w:rsidRPr="009819CE" w:rsidRDefault="009209B3" w:rsidP="00DA29AB">
      <w:pPr>
        <w:spacing w:before="0" w:after="0"/>
        <w:jc w:val="center"/>
        <w:rPr>
          <w:rFonts w:cstheme="minorBidi"/>
          <w:color w:val="000000" w:themeColor="text1"/>
          <w:sz w:val="28"/>
          <w:szCs w:val="28"/>
        </w:rPr>
      </w:pPr>
      <w:r w:rsidRPr="009819CE">
        <w:rPr>
          <w:rFonts w:cstheme="minorBidi"/>
          <w:color w:val="000000" w:themeColor="text1"/>
          <w:sz w:val="28"/>
          <w:szCs w:val="28"/>
        </w:rPr>
        <w:t>BSc in Biology</w:t>
      </w:r>
    </w:p>
    <w:p w14:paraId="1368E8F6" w14:textId="77777777" w:rsidR="009209B3" w:rsidRPr="009819CE" w:rsidRDefault="009209B3" w:rsidP="00DA29AB">
      <w:pPr>
        <w:spacing w:before="0" w:after="0"/>
        <w:jc w:val="center"/>
        <w:rPr>
          <w:rFonts w:cstheme="minorBidi"/>
          <w:color w:val="000000" w:themeColor="text1"/>
          <w:sz w:val="28"/>
          <w:szCs w:val="28"/>
        </w:rPr>
      </w:pPr>
      <w:r w:rsidRPr="009819CE">
        <w:rPr>
          <w:rFonts w:cstheme="minorBidi"/>
          <w:color w:val="000000" w:themeColor="text1"/>
          <w:sz w:val="28"/>
          <w:szCs w:val="28"/>
        </w:rPr>
        <w:t>MSc in Aquaculture</w:t>
      </w:r>
    </w:p>
    <w:p w14:paraId="00AD5EB7" w14:textId="6492B3CC" w:rsidR="007E5D12" w:rsidRPr="009819CE" w:rsidRDefault="009209B3" w:rsidP="00DA29AB">
      <w:pPr>
        <w:spacing w:before="0" w:after="0"/>
        <w:jc w:val="center"/>
        <w:rPr>
          <w:rFonts w:cstheme="minorBidi"/>
          <w:color w:val="000000" w:themeColor="text1"/>
          <w:sz w:val="28"/>
          <w:szCs w:val="28"/>
        </w:rPr>
      </w:pPr>
      <w:r w:rsidRPr="009819CE">
        <w:rPr>
          <w:rFonts w:cstheme="minorBidi"/>
          <w:color w:val="000000" w:themeColor="text1"/>
          <w:sz w:val="28"/>
          <w:szCs w:val="28"/>
        </w:rPr>
        <w:t>MSc in Marine Biology</w:t>
      </w:r>
    </w:p>
    <w:p w14:paraId="4D758ED6" w14:textId="4F6B62E1" w:rsidR="00F701D1" w:rsidRPr="009819CE" w:rsidRDefault="00F701D1" w:rsidP="00DA29AB">
      <w:pPr>
        <w:spacing w:before="0" w:after="0"/>
        <w:jc w:val="center"/>
        <w:rPr>
          <w:rFonts w:cstheme="minorBidi"/>
          <w:color w:val="000000" w:themeColor="text1"/>
          <w:sz w:val="28"/>
          <w:szCs w:val="28"/>
        </w:rPr>
      </w:pPr>
      <w:r w:rsidRPr="009819CE">
        <w:rPr>
          <w:rFonts w:cstheme="minorBidi"/>
          <w:color w:val="000000" w:themeColor="text1"/>
          <w:sz w:val="28"/>
          <w:szCs w:val="28"/>
        </w:rPr>
        <w:t xml:space="preserve">PGDE Biology </w:t>
      </w:r>
      <w:r w:rsidR="00AF4A17" w:rsidRPr="009819CE">
        <w:rPr>
          <w:rFonts w:cstheme="minorBidi"/>
          <w:color w:val="000000" w:themeColor="text1"/>
          <w:sz w:val="28"/>
          <w:szCs w:val="28"/>
        </w:rPr>
        <w:t xml:space="preserve">&amp; </w:t>
      </w:r>
      <w:r w:rsidRPr="009819CE">
        <w:rPr>
          <w:rFonts w:cstheme="minorBidi"/>
          <w:color w:val="000000" w:themeColor="text1"/>
          <w:sz w:val="28"/>
          <w:szCs w:val="28"/>
        </w:rPr>
        <w:t>Science</w:t>
      </w:r>
    </w:p>
    <w:p w14:paraId="161739E5" w14:textId="77777777" w:rsidR="007E5D12" w:rsidRPr="009819CE" w:rsidRDefault="007E5D12" w:rsidP="00DA29AB">
      <w:pPr>
        <w:spacing w:before="0" w:after="0"/>
        <w:jc w:val="center"/>
        <w:rPr>
          <w:rFonts w:cstheme="minorBidi"/>
          <w:color w:val="000000" w:themeColor="text1"/>
        </w:rPr>
      </w:pPr>
    </w:p>
    <w:p w14:paraId="7D42CE57" w14:textId="6AA56680" w:rsidR="007E5D12" w:rsidRPr="009819CE" w:rsidRDefault="00A06759" w:rsidP="00DA29AB">
      <w:pPr>
        <w:spacing w:before="0" w:after="0"/>
        <w:jc w:val="center"/>
        <w:rPr>
          <w:rFonts w:cstheme="minorBidi"/>
          <w:b/>
          <w:bCs/>
          <w:color w:val="000000" w:themeColor="text1"/>
          <w:sz w:val="28"/>
          <w:szCs w:val="28"/>
        </w:rPr>
      </w:pPr>
      <w:r w:rsidRPr="009819CE">
        <w:rPr>
          <w:rFonts w:cstheme="minorBidi"/>
          <w:b/>
          <w:bCs/>
          <w:color w:val="000000" w:themeColor="text1"/>
          <w:sz w:val="28"/>
          <w:szCs w:val="28"/>
        </w:rPr>
        <w:t>HEALTH RESEARCH GROUP</w:t>
      </w:r>
    </w:p>
    <w:p w14:paraId="06F2CCE4" w14:textId="70862055" w:rsidR="007E5D12" w:rsidRPr="009819CE" w:rsidRDefault="007E5D12" w:rsidP="00DA29AB">
      <w:pPr>
        <w:spacing w:before="0" w:after="0"/>
        <w:ind w:right="-52"/>
        <w:jc w:val="center"/>
        <w:rPr>
          <w:rFonts w:cstheme="minorBidi"/>
          <w:b/>
          <w:bCs/>
          <w:color w:val="000000" w:themeColor="text1"/>
          <w:sz w:val="28"/>
          <w:szCs w:val="28"/>
        </w:rPr>
      </w:pPr>
      <w:r w:rsidRPr="009819CE">
        <w:rPr>
          <w:rFonts w:cstheme="minorBidi"/>
          <w:b/>
          <w:bCs/>
          <w:color w:val="000000" w:themeColor="text1"/>
          <w:sz w:val="28"/>
          <w:szCs w:val="28"/>
        </w:rPr>
        <w:t xml:space="preserve">INSTITUTE OF </w:t>
      </w:r>
      <w:r w:rsidR="00510ACB" w:rsidRPr="009819CE">
        <w:rPr>
          <w:rFonts w:cstheme="minorBidi"/>
          <w:b/>
          <w:bCs/>
          <w:color w:val="000000" w:themeColor="text1"/>
          <w:sz w:val="28"/>
          <w:szCs w:val="28"/>
        </w:rPr>
        <w:t>AQUACULTURE,</w:t>
      </w:r>
      <w:r w:rsidR="0005014C" w:rsidRPr="009819CE">
        <w:rPr>
          <w:rFonts w:cstheme="minorBidi"/>
          <w:b/>
          <w:bCs/>
          <w:color w:val="000000" w:themeColor="text1"/>
          <w:sz w:val="28"/>
          <w:szCs w:val="28"/>
        </w:rPr>
        <w:t xml:space="preserve"> </w:t>
      </w:r>
      <w:r w:rsidRPr="009819CE">
        <w:rPr>
          <w:rFonts w:cstheme="minorBidi"/>
          <w:b/>
          <w:bCs/>
          <w:color w:val="000000" w:themeColor="text1"/>
          <w:sz w:val="28"/>
          <w:szCs w:val="28"/>
        </w:rPr>
        <w:t>FACULTY OF NATURAL</w:t>
      </w:r>
      <w:r w:rsidR="0005014C" w:rsidRPr="009819CE">
        <w:rPr>
          <w:rFonts w:cstheme="minorBidi"/>
          <w:b/>
          <w:bCs/>
          <w:color w:val="000000" w:themeColor="text1"/>
          <w:sz w:val="28"/>
          <w:szCs w:val="28"/>
        </w:rPr>
        <w:t xml:space="preserve"> </w:t>
      </w:r>
      <w:r w:rsidRPr="009819CE">
        <w:rPr>
          <w:rFonts w:cstheme="minorBidi"/>
          <w:b/>
          <w:bCs/>
          <w:color w:val="000000" w:themeColor="text1"/>
          <w:sz w:val="28"/>
          <w:szCs w:val="28"/>
        </w:rPr>
        <w:t>SCIENCES</w:t>
      </w:r>
    </w:p>
    <w:p w14:paraId="2BAB0AA4" w14:textId="77777777" w:rsidR="007E5D12" w:rsidRPr="009819CE" w:rsidRDefault="007E5D12" w:rsidP="00DA29AB">
      <w:pPr>
        <w:spacing w:before="0" w:after="0"/>
        <w:jc w:val="center"/>
        <w:rPr>
          <w:rFonts w:cstheme="minorBidi"/>
          <w:b/>
          <w:bCs/>
          <w:color w:val="000000" w:themeColor="text1"/>
          <w:sz w:val="28"/>
          <w:szCs w:val="28"/>
        </w:rPr>
      </w:pPr>
      <w:r w:rsidRPr="009819CE">
        <w:rPr>
          <w:rFonts w:cstheme="minorBidi"/>
          <w:b/>
          <w:bCs/>
          <w:color w:val="000000" w:themeColor="text1"/>
          <w:sz w:val="28"/>
          <w:szCs w:val="28"/>
        </w:rPr>
        <w:t>UNIVERSITY OF STIRLING</w:t>
      </w:r>
    </w:p>
    <w:p w14:paraId="5BC3F7D0" w14:textId="77777777" w:rsidR="007E5D12" w:rsidRPr="009819CE" w:rsidRDefault="007E5D12" w:rsidP="00DA29AB">
      <w:pPr>
        <w:spacing w:before="0" w:after="0"/>
        <w:jc w:val="center"/>
        <w:rPr>
          <w:rFonts w:cstheme="minorBidi"/>
          <w:b/>
          <w:bCs/>
          <w:color w:val="000000" w:themeColor="text1"/>
          <w:sz w:val="28"/>
          <w:szCs w:val="28"/>
        </w:rPr>
      </w:pPr>
      <w:r w:rsidRPr="009819CE">
        <w:rPr>
          <w:rFonts w:cstheme="minorBidi"/>
          <w:b/>
          <w:bCs/>
          <w:color w:val="000000" w:themeColor="text1"/>
          <w:sz w:val="28"/>
          <w:szCs w:val="28"/>
        </w:rPr>
        <w:t>UNITED KINGDOM</w:t>
      </w:r>
    </w:p>
    <w:p w14:paraId="0806D649" w14:textId="77777777" w:rsidR="007E5D12" w:rsidRPr="009819CE" w:rsidRDefault="007E5D12" w:rsidP="00DA29AB">
      <w:pPr>
        <w:spacing w:before="0" w:after="0"/>
        <w:rPr>
          <w:rFonts w:cstheme="minorBidi"/>
          <w:color w:val="000000" w:themeColor="text1"/>
        </w:rPr>
      </w:pPr>
    </w:p>
    <w:p w14:paraId="443D42AA" w14:textId="284E7E63" w:rsidR="009209B3" w:rsidRDefault="00E916B5" w:rsidP="00DA29AB">
      <w:pPr>
        <w:spacing w:before="0" w:after="0"/>
        <w:jc w:val="center"/>
        <w:rPr>
          <w:rFonts w:cstheme="minorBidi"/>
          <w:color w:val="000000" w:themeColor="text1"/>
        </w:rPr>
      </w:pPr>
      <w:r>
        <w:rPr>
          <w:rFonts w:cstheme="minorBidi"/>
          <w:color w:val="000000" w:themeColor="text1"/>
        </w:rPr>
        <w:t xml:space="preserve">JULY </w:t>
      </w:r>
      <w:r w:rsidR="009209B3" w:rsidRPr="009819CE">
        <w:rPr>
          <w:rFonts w:cstheme="minorBidi"/>
          <w:color w:val="000000" w:themeColor="text1"/>
        </w:rPr>
        <w:t>202</w:t>
      </w:r>
      <w:r w:rsidR="00052B85">
        <w:rPr>
          <w:rFonts w:cstheme="minorBidi"/>
          <w:color w:val="000000" w:themeColor="text1"/>
        </w:rPr>
        <w:t>4</w:t>
      </w:r>
    </w:p>
    <w:p w14:paraId="79DBD483" w14:textId="4590583A" w:rsidR="005324EE" w:rsidRDefault="005324EE" w:rsidP="00DA29AB">
      <w:pPr>
        <w:spacing w:before="0" w:after="0"/>
        <w:jc w:val="center"/>
        <w:rPr>
          <w:rFonts w:cstheme="minorBidi"/>
          <w:color w:val="000000" w:themeColor="text1"/>
        </w:rPr>
      </w:pPr>
      <w:r w:rsidRPr="00FF34FE">
        <w:rPr>
          <w:rFonts w:cstheme="minorBidi"/>
          <w:noProof/>
          <w:color w:val="000000" w:themeColor="text1"/>
        </w:rPr>
        <w:drawing>
          <wp:anchor distT="0" distB="0" distL="114300" distR="114300" simplePos="0" relativeHeight="251753472" behindDoc="1" locked="0" layoutInCell="1" allowOverlap="1" wp14:anchorId="3907E270" wp14:editId="597B8CFC">
            <wp:simplePos x="0" y="0"/>
            <wp:positionH relativeFrom="column">
              <wp:posOffset>1196975</wp:posOffset>
            </wp:positionH>
            <wp:positionV relativeFrom="paragraph">
              <wp:posOffset>32690</wp:posOffset>
            </wp:positionV>
            <wp:extent cx="3625850" cy="901700"/>
            <wp:effectExtent l="0" t="0" r="6350" b="0"/>
            <wp:wrapTight wrapText="bothSides">
              <wp:wrapPolygon edited="0">
                <wp:start x="0" y="0"/>
                <wp:lineTo x="0" y="21296"/>
                <wp:lineTo x="21562" y="21296"/>
                <wp:lineTo x="21562" y="0"/>
                <wp:lineTo x="0" y="0"/>
              </wp:wrapPolygon>
            </wp:wrapTight>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25850" cy="901700"/>
                    </a:xfrm>
                    <a:prstGeom prst="rect">
                      <a:avLst/>
                    </a:prstGeom>
                  </pic:spPr>
                </pic:pic>
              </a:graphicData>
            </a:graphic>
            <wp14:sizeRelH relativeFrom="page">
              <wp14:pctWidth>0</wp14:pctWidth>
            </wp14:sizeRelH>
            <wp14:sizeRelV relativeFrom="page">
              <wp14:pctHeight>0</wp14:pctHeight>
            </wp14:sizeRelV>
          </wp:anchor>
        </w:drawing>
      </w:r>
    </w:p>
    <w:p w14:paraId="704BCE0C" w14:textId="5A21DFE0" w:rsidR="005324EE" w:rsidRDefault="005324EE" w:rsidP="00DA29AB">
      <w:pPr>
        <w:spacing w:before="0" w:after="0"/>
        <w:jc w:val="center"/>
        <w:rPr>
          <w:rFonts w:cstheme="minorBidi"/>
          <w:color w:val="000000" w:themeColor="text1"/>
        </w:rPr>
      </w:pPr>
    </w:p>
    <w:p w14:paraId="2845E89B" w14:textId="5E65CF0A" w:rsidR="005324EE" w:rsidRDefault="005324EE" w:rsidP="00DA29AB">
      <w:pPr>
        <w:spacing w:before="0" w:after="0"/>
        <w:jc w:val="center"/>
        <w:rPr>
          <w:rFonts w:cstheme="minorBidi"/>
          <w:color w:val="000000" w:themeColor="text1"/>
        </w:rPr>
      </w:pPr>
    </w:p>
    <w:p w14:paraId="7618CD6A" w14:textId="77777777" w:rsidR="005324EE" w:rsidRDefault="005324EE" w:rsidP="00DA29AB">
      <w:pPr>
        <w:spacing w:before="0" w:after="0"/>
        <w:jc w:val="center"/>
        <w:rPr>
          <w:rFonts w:cstheme="minorBidi"/>
          <w:color w:val="000000" w:themeColor="text1"/>
        </w:rPr>
      </w:pPr>
    </w:p>
    <w:p w14:paraId="6E0EC116" w14:textId="77777777" w:rsidR="005324EE" w:rsidRDefault="005324EE" w:rsidP="00DA29AB">
      <w:pPr>
        <w:spacing w:before="0" w:after="0"/>
        <w:rPr>
          <w:rFonts w:cstheme="minorBidi"/>
          <w:color w:val="000000" w:themeColor="text1"/>
        </w:rPr>
        <w:sectPr w:rsidR="005324EE" w:rsidSect="005324EE">
          <w:footerReference w:type="default" r:id="rId12"/>
          <w:type w:val="continuous"/>
          <w:pgSz w:w="11900" w:h="16840" w:code="9"/>
          <w:pgMar w:top="1440" w:right="1440" w:bottom="1440" w:left="1440" w:header="720" w:footer="720" w:gutter="0"/>
          <w:cols w:space="720"/>
          <w:titlePg/>
          <w:docGrid w:linePitch="360"/>
        </w:sectPr>
      </w:pPr>
    </w:p>
    <w:p w14:paraId="1F5910E9" w14:textId="7EF0F102" w:rsidR="00E43CCC" w:rsidRPr="009819CE" w:rsidRDefault="00BA7497" w:rsidP="00E22ACF">
      <w:pPr>
        <w:pStyle w:val="Heading1"/>
        <w:numPr>
          <w:ilvl w:val="0"/>
          <w:numId w:val="6"/>
        </w:numPr>
      </w:pPr>
      <w:bookmarkStart w:id="2" w:name="_Toc204106575"/>
      <w:r w:rsidRPr="009819CE">
        <w:lastRenderedPageBreak/>
        <w:t xml:space="preserve">Supervisors’ </w:t>
      </w:r>
      <w:r w:rsidR="005324EE">
        <w:t>d</w:t>
      </w:r>
      <w:r w:rsidR="00AB275B" w:rsidRPr="009819CE">
        <w:t>eclaration</w:t>
      </w:r>
      <w:bookmarkEnd w:id="2"/>
    </w:p>
    <w:p w14:paraId="286577C6" w14:textId="77777777" w:rsidR="00BA7497" w:rsidRPr="009819CE" w:rsidRDefault="00BA7497" w:rsidP="00DA29AB">
      <w:pPr>
        <w:spacing w:before="0" w:after="0"/>
        <w:rPr>
          <w:rFonts w:cstheme="minorBidi"/>
          <w:color w:val="000000" w:themeColor="text1"/>
        </w:rPr>
      </w:pPr>
    </w:p>
    <w:p w14:paraId="276C6370" w14:textId="6CBB13DC" w:rsidR="00BA7497" w:rsidRPr="009819CE" w:rsidRDefault="00BA7497" w:rsidP="00DA29AB">
      <w:pPr>
        <w:spacing w:before="0" w:after="0"/>
        <w:rPr>
          <w:rFonts w:cstheme="minorBidi"/>
          <w:color w:val="000000" w:themeColor="text1"/>
        </w:rPr>
      </w:pPr>
      <w:r w:rsidRPr="009819CE">
        <w:rPr>
          <w:rFonts w:cstheme="minorBidi"/>
          <w:color w:val="000000" w:themeColor="text1"/>
        </w:rPr>
        <w:t>This is to certify that this thesis for the degree of Doctor of Philosophy entitled “</w:t>
      </w:r>
      <w:r w:rsidR="00A70819" w:rsidRPr="009819CE">
        <w:rPr>
          <w:rFonts w:cstheme="minorBidi"/>
          <w:bCs/>
          <w:color w:val="000000" w:themeColor="text1"/>
        </w:rPr>
        <w:t xml:space="preserve">Prevalence and insights on the parasitic dinoflagellate </w:t>
      </w:r>
      <w:r w:rsidR="009D03F4" w:rsidRPr="009819CE">
        <w:rPr>
          <w:rFonts w:cstheme="minorBidi"/>
          <w:bCs/>
          <w:i/>
          <w:iCs/>
          <w:color w:val="000000" w:themeColor="text1"/>
        </w:rPr>
        <w:t>Hematodinium</w:t>
      </w:r>
      <w:r w:rsidR="00A70819" w:rsidRPr="009819CE">
        <w:rPr>
          <w:rFonts w:cstheme="minorBidi"/>
          <w:bCs/>
          <w:color w:val="000000" w:themeColor="text1"/>
        </w:rPr>
        <w:t xml:space="preserve"> sp. </w:t>
      </w:r>
      <w:r w:rsidR="00747629" w:rsidRPr="009819CE">
        <w:rPr>
          <w:rFonts w:cstheme="minorBidi"/>
          <w:bCs/>
          <w:color w:val="000000" w:themeColor="text1"/>
        </w:rPr>
        <w:t xml:space="preserve">infection </w:t>
      </w:r>
      <w:r w:rsidR="00A70819" w:rsidRPr="009819CE">
        <w:rPr>
          <w:rFonts w:cstheme="minorBidi"/>
          <w:bCs/>
          <w:color w:val="000000" w:themeColor="text1"/>
        </w:rPr>
        <w:t xml:space="preserve">in the Norway lobster, </w:t>
      </w:r>
      <w:r w:rsidR="00C31E47" w:rsidRPr="009819CE">
        <w:rPr>
          <w:rFonts w:cstheme="minorBidi"/>
          <w:bCs/>
          <w:i/>
          <w:iCs/>
          <w:color w:val="000000" w:themeColor="text1"/>
        </w:rPr>
        <w:t>Nephrops</w:t>
      </w:r>
      <w:r w:rsidR="00A70819" w:rsidRPr="009819CE">
        <w:rPr>
          <w:rFonts w:cstheme="minorBidi"/>
          <w:bCs/>
          <w:i/>
          <w:iCs/>
          <w:color w:val="000000" w:themeColor="text1"/>
        </w:rPr>
        <w:t xml:space="preserve"> norvegicus</w:t>
      </w:r>
      <w:r w:rsidRPr="009819CE">
        <w:rPr>
          <w:rFonts w:cstheme="minorBidi"/>
          <w:color w:val="000000" w:themeColor="text1"/>
        </w:rPr>
        <w:t>”</w:t>
      </w:r>
      <w:r w:rsidR="0030622D" w:rsidRPr="009819CE">
        <w:rPr>
          <w:rFonts w:cstheme="minorBidi"/>
          <w:color w:val="000000" w:themeColor="text1"/>
        </w:rPr>
        <w:t xml:space="preserve"> submitted to the University of Stirling</w:t>
      </w:r>
      <w:r w:rsidR="009B63E3" w:rsidRPr="009819CE">
        <w:rPr>
          <w:rFonts w:cstheme="minorBidi"/>
          <w:color w:val="000000" w:themeColor="text1"/>
        </w:rPr>
        <w:t xml:space="preserve"> (UK)</w:t>
      </w:r>
      <w:r w:rsidR="001D7286" w:rsidRPr="009819CE">
        <w:rPr>
          <w:rFonts w:cstheme="minorBidi"/>
          <w:color w:val="000000" w:themeColor="text1"/>
        </w:rPr>
        <w:t xml:space="preserve">, </w:t>
      </w:r>
      <w:r w:rsidRPr="009819CE">
        <w:rPr>
          <w:rFonts w:cstheme="minorBidi"/>
          <w:color w:val="000000" w:themeColor="text1"/>
        </w:rPr>
        <w:t xml:space="preserve">is an original work carried out by </w:t>
      </w:r>
      <w:r w:rsidR="00A70819" w:rsidRPr="009819CE">
        <w:rPr>
          <w:rFonts w:cstheme="minorBidi"/>
          <w:color w:val="000000" w:themeColor="text1"/>
        </w:rPr>
        <w:t>Irene Martín</w:t>
      </w:r>
      <w:r w:rsidRPr="009819CE">
        <w:rPr>
          <w:rFonts w:cstheme="minorBidi"/>
          <w:color w:val="000000" w:themeColor="text1"/>
        </w:rPr>
        <w:t xml:space="preserve"> </w:t>
      </w:r>
      <w:r w:rsidR="009A24FF" w:rsidRPr="009819CE">
        <w:rPr>
          <w:rFonts w:cstheme="minorBidi"/>
          <w:color w:val="000000" w:themeColor="text1"/>
        </w:rPr>
        <w:t xml:space="preserve">Moltó </w:t>
      </w:r>
      <w:r w:rsidRPr="009819CE">
        <w:rPr>
          <w:rFonts w:cstheme="minorBidi"/>
          <w:color w:val="000000" w:themeColor="text1"/>
        </w:rPr>
        <w:t>under our supervision</w:t>
      </w:r>
      <w:r w:rsidR="008D731C" w:rsidRPr="009819CE">
        <w:rPr>
          <w:rFonts w:cstheme="minorBidi"/>
          <w:color w:val="000000" w:themeColor="text1"/>
        </w:rPr>
        <w:t xml:space="preserve">. </w:t>
      </w:r>
    </w:p>
    <w:p w14:paraId="7683AD29" w14:textId="349706DD" w:rsidR="00803EEB" w:rsidRPr="009819CE" w:rsidRDefault="00803EEB" w:rsidP="00DA29AB">
      <w:pPr>
        <w:spacing w:before="0" w:after="0"/>
        <w:rPr>
          <w:rFonts w:cstheme="minorBidi"/>
          <w:color w:val="000000" w:themeColor="text1"/>
        </w:rPr>
      </w:pPr>
    </w:p>
    <w:p w14:paraId="20EF27A0" w14:textId="11CFE8B7" w:rsidR="00803EEB" w:rsidRPr="009819CE" w:rsidRDefault="00803EEB" w:rsidP="00DA29AB">
      <w:pPr>
        <w:spacing w:before="0" w:after="0"/>
        <w:rPr>
          <w:rFonts w:cstheme="minorBidi"/>
          <w:color w:val="000000" w:themeColor="text1"/>
        </w:rPr>
      </w:pPr>
    </w:p>
    <w:p w14:paraId="701F61CF" w14:textId="77777777" w:rsidR="00803EEB" w:rsidRPr="009819CE" w:rsidRDefault="00803EEB" w:rsidP="00DA29AB">
      <w:pPr>
        <w:spacing w:before="0" w:after="0"/>
        <w:rPr>
          <w:rFonts w:cstheme="minorBidi"/>
          <w:color w:val="000000" w:themeColor="text1"/>
        </w:rPr>
      </w:pPr>
    </w:p>
    <w:p w14:paraId="1E513C2A"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w:t>
      </w:r>
    </w:p>
    <w:p w14:paraId="2D7DD021"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 xml:space="preserve">Dr Amaya Albalat </w:t>
      </w:r>
    </w:p>
    <w:p w14:paraId="5E574E9C"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Institute of Aquaculture, Faculty of Natural Sciences, University of Stirling</w:t>
      </w:r>
    </w:p>
    <w:p w14:paraId="566F9FDF"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 xml:space="preserve">Stirling, Scotland, UK      </w:t>
      </w:r>
    </w:p>
    <w:p w14:paraId="135508C1" w14:textId="58F47A00" w:rsidR="004B0B0D" w:rsidRPr="009819CE" w:rsidRDefault="00E916B5" w:rsidP="00DA29AB">
      <w:pPr>
        <w:spacing w:before="0" w:after="0"/>
        <w:rPr>
          <w:rFonts w:cstheme="minorBidi"/>
          <w:color w:val="000000" w:themeColor="text1"/>
        </w:rPr>
      </w:pPr>
      <w:r>
        <w:rPr>
          <w:rFonts w:cstheme="minorBidi"/>
          <w:color w:val="000000" w:themeColor="text1"/>
        </w:rPr>
        <w:t>July</w:t>
      </w:r>
      <w:r w:rsidR="00DD0815" w:rsidRPr="009819CE">
        <w:rPr>
          <w:rFonts w:cstheme="minorBidi"/>
          <w:color w:val="000000" w:themeColor="text1"/>
        </w:rPr>
        <w:t xml:space="preserve"> 202</w:t>
      </w:r>
      <w:r w:rsidR="00052B85">
        <w:rPr>
          <w:rFonts w:cstheme="minorBidi"/>
          <w:color w:val="000000" w:themeColor="text1"/>
        </w:rPr>
        <w:t>4</w:t>
      </w:r>
    </w:p>
    <w:p w14:paraId="403D8651" w14:textId="77777777" w:rsidR="004B0B0D" w:rsidRPr="009819CE" w:rsidRDefault="004B0B0D" w:rsidP="00DA29AB">
      <w:pPr>
        <w:spacing w:before="0" w:after="0"/>
        <w:rPr>
          <w:rFonts w:cstheme="minorBidi"/>
          <w:color w:val="000000" w:themeColor="text1"/>
        </w:rPr>
      </w:pPr>
    </w:p>
    <w:p w14:paraId="13569FBB" w14:textId="77777777" w:rsidR="004B0B0D" w:rsidRPr="009819CE" w:rsidRDefault="004B0B0D" w:rsidP="00DA29AB">
      <w:pPr>
        <w:spacing w:before="0" w:after="0"/>
        <w:rPr>
          <w:rFonts w:cstheme="minorBidi"/>
          <w:color w:val="000000" w:themeColor="text1"/>
        </w:rPr>
      </w:pPr>
    </w:p>
    <w:p w14:paraId="7D3A754A" w14:textId="77777777" w:rsidR="004B0B0D" w:rsidRPr="009819CE" w:rsidRDefault="004B0B0D" w:rsidP="00DA29AB">
      <w:pPr>
        <w:spacing w:before="0" w:after="0"/>
        <w:rPr>
          <w:rFonts w:cstheme="minorBidi"/>
          <w:color w:val="000000" w:themeColor="text1"/>
        </w:rPr>
      </w:pPr>
    </w:p>
    <w:p w14:paraId="46B2861A" w14:textId="77777777" w:rsidR="004B0B0D" w:rsidRPr="009819CE" w:rsidRDefault="004B0B0D" w:rsidP="00DA29AB">
      <w:pPr>
        <w:spacing w:before="0" w:after="0"/>
        <w:rPr>
          <w:rFonts w:cstheme="minorBidi"/>
          <w:color w:val="000000" w:themeColor="text1"/>
        </w:rPr>
      </w:pPr>
    </w:p>
    <w:p w14:paraId="49CF74C7" w14:textId="77777777" w:rsidR="004B0B0D" w:rsidRPr="009819CE" w:rsidRDefault="004B0B0D" w:rsidP="00DA29AB">
      <w:pPr>
        <w:spacing w:before="0" w:after="0"/>
        <w:rPr>
          <w:rFonts w:cstheme="minorBidi"/>
          <w:color w:val="000000" w:themeColor="text1"/>
        </w:rPr>
      </w:pPr>
    </w:p>
    <w:p w14:paraId="36BFCE42"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w:t>
      </w:r>
    </w:p>
    <w:p w14:paraId="77589D41"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 xml:space="preserve">Professor Simon MacKenzie </w:t>
      </w:r>
    </w:p>
    <w:p w14:paraId="1D95BA4E"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Head of Institute of Aquaculture</w:t>
      </w:r>
    </w:p>
    <w:p w14:paraId="14190733"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Institute of Aquaculture, Faculty of Natural Sciences, University of Stirling</w:t>
      </w:r>
    </w:p>
    <w:p w14:paraId="1F35E03C" w14:textId="77777777" w:rsidR="004B0B0D" w:rsidRPr="009819CE" w:rsidRDefault="004B0B0D" w:rsidP="00DA29AB">
      <w:pPr>
        <w:spacing w:before="0" w:after="0"/>
        <w:rPr>
          <w:rFonts w:cstheme="minorBidi"/>
          <w:color w:val="000000" w:themeColor="text1"/>
        </w:rPr>
      </w:pPr>
      <w:r w:rsidRPr="009819CE">
        <w:rPr>
          <w:rFonts w:cstheme="minorBidi"/>
          <w:color w:val="000000" w:themeColor="text1"/>
        </w:rPr>
        <w:t xml:space="preserve">Stirling, Scotland, UK      </w:t>
      </w:r>
    </w:p>
    <w:p w14:paraId="70E813D1" w14:textId="2F678CC7" w:rsidR="004B0B0D" w:rsidRDefault="00E916B5" w:rsidP="00DA29AB">
      <w:pPr>
        <w:spacing w:before="0" w:after="0"/>
        <w:rPr>
          <w:rFonts w:cstheme="minorBidi"/>
          <w:color w:val="000000" w:themeColor="text1"/>
        </w:rPr>
      </w:pPr>
      <w:r>
        <w:rPr>
          <w:rFonts w:cstheme="minorBidi"/>
          <w:color w:val="000000" w:themeColor="text1"/>
        </w:rPr>
        <w:t>July</w:t>
      </w:r>
      <w:r w:rsidR="00DD0815" w:rsidRPr="009819CE">
        <w:rPr>
          <w:rFonts w:cstheme="minorBidi"/>
          <w:color w:val="000000" w:themeColor="text1"/>
        </w:rPr>
        <w:t xml:space="preserve"> 202</w:t>
      </w:r>
      <w:r w:rsidR="00052B85">
        <w:rPr>
          <w:rFonts w:cstheme="minorBidi"/>
          <w:color w:val="000000" w:themeColor="text1"/>
        </w:rPr>
        <w:t>4</w:t>
      </w:r>
    </w:p>
    <w:p w14:paraId="2650B0A9" w14:textId="77777777" w:rsidR="00B66841" w:rsidRDefault="00B66841" w:rsidP="00DA29AB">
      <w:pPr>
        <w:spacing w:before="0" w:after="0"/>
        <w:rPr>
          <w:rFonts w:cstheme="minorBidi"/>
          <w:color w:val="000000" w:themeColor="text1"/>
        </w:rPr>
      </w:pPr>
    </w:p>
    <w:p w14:paraId="1AD8549E" w14:textId="77777777" w:rsidR="00B66841" w:rsidRDefault="00B66841" w:rsidP="00DA29AB">
      <w:pPr>
        <w:spacing w:before="0" w:after="0"/>
        <w:rPr>
          <w:rFonts w:cstheme="minorBidi"/>
          <w:color w:val="000000" w:themeColor="text1"/>
        </w:rPr>
      </w:pPr>
    </w:p>
    <w:p w14:paraId="44647257" w14:textId="77777777" w:rsidR="00B66841" w:rsidRDefault="00B66841" w:rsidP="00DA29AB">
      <w:pPr>
        <w:spacing w:before="0" w:after="0"/>
        <w:rPr>
          <w:rFonts w:cstheme="minorBidi"/>
          <w:color w:val="000000" w:themeColor="text1"/>
        </w:rPr>
        <w:sectPr w:rsidR="00B66841" w:rsidSect="005324EE">
          <w:headerReference w:type="default" r:id="rId13"/>
          <w:pgSz w:w="11900" w:h="16840" w:code="9"/>
          <w:pgMar w:top="1440" w:right="1440" w:bottom="1440" w:left="1440" w:header="720" w:footer="720" w:gutter="0"/>
          <w:cols w:space="720"/>
          <w:docGrid w:linePitch="360"/>
        </w:sectPr>
      </w:pPr>
    </w:p>
    <w:p w14:paraId="224D52A4" w14:textId="4787ED06" w:rsidR="007E3123" w:rsidRPr="009819CE" w:rsidRDefault="007E3123" w:rsidP="00E22ACF">
      <w:pPr>
        <w:pStyle w:val="Heading1"/>
        <w:numPr>
          <w:ilvl w:val="0"/>
          <w:numId w:val="6"/>
        </w:numPr>
      </w:pPr>
      <w:bookmarkStart w:id="3" w:name="_Toc204106576"/>
      <w:r w:rsidRPr="009819CE">
        <w:t>Declaration</w:t>
      </w:r>
      <w:bookmarkEnd w:id="3"/>
    </w:p>
    <w:p w14:paraId="449CD2E0" w14:textId="77777777" w:rsidR="001B59A4" w:rsidRPr="009819CE" w:rsidRDefault="001B59A4" w:rsidP="00DA29AB">
      <w:pPr>
        <w:spacing w:before="0" w:after="0"/>
        <w:rPr>
          <w:rFonts w:cstheme="minorBidi"/>
          <w:color w:val="000000" w:themeColor="text1"/>
        </w:rPr>
      </w:pPr>
    </w:p>
    <w:p w14:paraId="0FB0FE78" w14:textId="7CEA6740" w:rsidR="003B0911" w:rsidRPr="009819CE" w:rsidRDefault="001B59A4" w:rsidP="00DA29AB">
      <w:pPr>
        <w:spacing w:before="0" w:after="0"/>
        <w:rPr>
          <w:rFonts w:cstheme="minorBidi"/>
          <w:color w:val="000000" w:themeColor="text1"/>
        </w:rPr>
      </w:pPr>
      <w:r w:rsidRPr="009819CE">
        <w:rPr>
          <w:rFonts w:cstheme="minorBidi"/>
          <w:color w:val="000000" w:themeColor="text1"/>
        </w:rPr>
        <w:t>I, the undersigned, hereby declare that this thesis has been composed entirely by me and has not been submitted for any other degree. The work presented in this thesis, except where specifically acknowledged, is the result of my own investigations which have been done by me independently.</w:t>
      </w:r>
    </w:p>
    <w:p w14:paraId="0305A135" w14:textId="0A06149F" w:rsidR="003B0911" w:rsidRPr="009819CE" w:rsidRDefault="003B0911" w:rsidP="00DA29AB">
      <w:pPr>
        <w:spacing w:before="0" w:after="0"/>
        <w:rPr>
          <w:rFonts w:cstheme="minorBidi"/>
          <w:color w:val="000000" w:themeColor="text1"/>
        </w:rPr>
      </w:pPr>
    </w:p>
    <w:p w14:paraId="2651CB3E" w14:textId="1F5CA665" w:rsidR="003B0911" w:rsidRPr="009819CE" w:rsidRDefault="005324EE" w:rsidP="00DA29AB">
      <w:pPr>
        <w:spacing w:before="0" w:after="0"/>
        <w:rPr>
          <w:rFonts w:cstheme="minorBidi"/>
          <w:color w:val="000000" w:themeColor="text1"/>
        </w:rPr>
      </w:pPr>
      <w:r w:rsidRPr="00FF34FE">
        <w:rPr>
          <w:rFonts w:cstheme="minorBidi"/>
          <w:noProof/>
          <w:color w:val="000000" w:themeColor="text1"/>
        </w:rPr>
        <w:drawing>
          <wp:anchor distT="0" distB="0" distL="114300" distR="114300" simplePos="0" relativeHeight="251689984" behindDoc="1" locked="0" layoutInCell="1" allowOverlap="1" wp14:anchorId="33A1EA93" wp14:editId="414C3093">
            <wp:simplePos x="0" y="0"/>
            <wp:positionH relativeFrom="column">
              <wp:posOffset>722188</wp:posOffset>
            </wp:positionH>
            <wp:positionV relativeFrom="page">
              <wp:posOffset>2905037</wp:posOffset>
            </wp:positionV>
            <wp:extent cx="1354455" cy="773430"/>
            <wp:effectExtent l="0" t="0" r="0" b="7620"/>
            <wp:wrapNone/>
            <wp:docPr id="242422651" name="Picture 3" descr="A drawing of a sn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22651" name="Picture 3" descr="A drawing of a snai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4455" cy="773430"/>
                    </a:xfrm>
                    <a:prstGeom prst="rect">
                      <a:avLst/>
                    </a:prstGeom>
                  </pic:spPr>
                </pic:pic>
              </a:graphicData>
            </a:graphic>
          </wp:anchor>
        </w:drawing>
      </w:r>
    </w:p>
    <w:p w14:paraId="260E4518" w14:textId="7BA5B6A4" w:rsidR="003B0911" w:rsidRPr="009819CE" w:rsidRDefault="003B0911" w:rsidP="00DA29AB">
      <w:pPr>
        <w:spacing w:before="0" w:after="0"/>
        <w:rPr>
          <w:rFonts w:cstheme="minorBidi"/>
          <w:color w:val="000000" w:themeColor="text1"/>
        </w:rPr>
      </w:pPr>
    </w:p>
    <w:p w14:paraId="41E437F6" w14:textId="233D3E8C" w:rsidR="003B0911" w:rsidRPr="009819CE" w:rsidRDefault="003B0911" w:rsidP="00DA29AB">
      <w:pPr>
        <w:spacing w:before="0" w:after="0"/>
        <w:rPr>
          <w:rFonts w:cstheme="minorBidi"/>
          <w:color w:val="000000" w:themeColor="text1"/>
        </w:rPr>
      </w:pPr>
    </w:p>
    <w:p w14:paraId="1C0C0001" w14:textId="3897D869" w:rsidR="003B0911" w:rsidRPr="009819CE" w:rsidRDefault="00803EEB" w:rsidP="00DA29AB">
      <w:pPr>
        <w:spacing w:before="0" w:after="0"/>
        <w:rPr>
          <w:rFonts w:cstheme="minorBidi"/>
          <w:color w:val="000000" w:themeColor="text1"/>
        </w:rPr>
      </w:pPr>
      <w:r w:rsidRPr="009819CE">
        <w:rPr>
          <w:rFonts w:cstheme="minorBidi"/>
          <w:color w:val="000000" w:themeColor="text1"/>
        </w:rPr>
        <w:t>……………………………………………………</w:t>
      </w:r>
    </w:p>
    <w:p w14:paraId="5FD5EE97" w14:textId="77777777" w:rsidR="00BC2412" w:rsidRPr="009819CE" w:rsidRDefault="00BC2412" w:rsidP="00BC2412">
      <w:pPr>
        <w:spacing w:before="0" w:after="0"/>
        <w:rPr>
          <w:rFonts w:cstheme="minorBidi"/>
          <w:color w:val="000000" w:themeColor="text1"/>
        </w:rPr>
      </w:pPr>
      <w:r w:rsidRPr="009819CE">
        <w:rPr>
          <w:rFonts w:cstheme="minorBidi"/>
          <w:color w:val="000000" w:themeColor="text1"/>
        </w:rPr>
        <w:t>Irene Martín Moltó</w:t>
      </w:r>
    </w:p>
    <w:p w14:paraId="73D6EA17" w14:textId="19426C04" w:rsidR="004B0B0D" w:rsidRPr="009819CE" w:rsidRDefault="004B0B0D" w:rsidP="00DA29AB">
      <w:pPr>
        <w:spacing w:before="0" w:after="0"/>
        <w:rPr>
          <w:rFonts w:cstheme="minorBidi"/>
          <w:color w:val="000000" w:themeColor="text1"/>
        </w:rPr>
      </w:pPr>
      <w:r w:rsidRPr="009819CE">
        <w:rPr>
          <w:rFonts w:cstheme="minorBidi"/>
          <w:color w:val="000000" w:themeColor="text1"/>
        </w:rPr>
        <w:t>Stirling, UK</w:t>
      </w:r>
    </w:p>
    <w:p w14:paraId="16DF59D0" w14:textId="25BBCF6B" w:rsidR="004B0B0D" w:rsidRPr="009819CE" w:rsidRDefault="00391966" w:rsidP="00DA29AB">
      <w:pPr>
        <w:spacing w:before="0" w:after="0"/>
        <w:rPr>
          <w:rFonts w:cstheme="minorBidi"/>
          <w:color w:val="000000" w:themeColor="text1"/>
        </w:rPr>
      </w:pPr>
      <w:r>
        <w:rPr>
          <w:rFonts w:cstheme="minorBidi"/>
          <w:color w:val="000000" w:themeColor="text1"/>
        </w:rPr>
        <w:t xml:space="preserve">July </w:t>
      </w:r>
      <w:r w:rsidR="00DD0815" w:rsidRPr="009819CE">
        <w:rPr>
          <w:rFonts w:cstheme="minorBidi"/>
          <w:color w:val="000000" w:themeColor="text1"/>
        </w:rPr>
        <w:t>202</w:t>
      </w:r>
      <w:r w:rsidR="00052B85">
        <w:rPr>
          <w:rFonts w:cstheme="minorBidi"/>
          <w:color w:val="000000" w:themeColor="text1"/>
        </w:rPr>
        <w:t>4</w:t>
      </w:r>
    </w:p>
    <w:p w14:paraId="2B287B4A" w14:textId="4B0E9408" w:rsidR="003B0911" w:rsidRPr="009819CE" w:rsidRDefault="003B0911" w:rsidP="00DA29AB">
      <w:pPr>
        <w:spacing w:before="0" w:after="0"/>
        <w:rPr>
          <w:rFonts w:cstheme="minorBidi"/>
          <w:color w:val="000000" w:themeColor="text1"/>
        </w:rPr>
      </w:pPr>
    </w:p>
    <w:p w14:paraId="0951E20F" w14:textId="255A0330" w:rsidR="003B0911" w:rsidRPr="009819CE" w:rsidRDefault="003B0911" w:rsidP="00DA29AB">
      <w:pPr>
        <w:spacing w:before="0" w:after="0"/>
        <w:rPr>
          <w:rFonts w:cstheme="minorBidi"/>
          <w:color w:val="000000" w:themeColor="text1"/>
        </w:rPr>
      </w:pPr>
    </w:p>
    <w:p w14:paraId="09390296" w14:textId="6B24E62B" w:rsidR="003B0911" w:rsidRPr="009819CE" w:rsidRDefault="003B0911" w:rsidP="00DA29AB">
      <w:pPr>
        <w:spacing w:before="0" w:after="0"/>
        <w:rPr>
          <w:rFonts w:cstheme="minorBidi"/>
          <w:color w:val="000000" w:themeColor="text1"/>
        </w:rPr>
      </w:pPr>
    </w:p>
    <w:p w14:paraId="019EE9E0" w14:textId="487ED95E" w:rsidR="003B0911" w:rsidRPr="009819CE" w:rsidRDefault="003B0911" w:rsidP="00DA29AB">
      <w:pPr>
        <w:spacing w:before="0" w:after="0"/>
        <w:rPr>
          <w:rFonts w:cstheme="minorBidi"/>
          <w:color w:val="000000" w:themeColor="text1"/>
        </w:rPr>
      </w:pPr>
    </w:p>
    <w:p w14:paraId="4565BE52" w14:textId="6B43268E" w:rsidR="003B0911" w:rsidRPr="009819CE" w:rsidRDefault="003B0911" w:rsidP="00DA29AB">
      <w:pPr>
        <w:spacing w:before="0" w:after="0"/>
        <w:rPr>
          <w:rFonts w:cstheme="minorBidi"/>
          <w:color w:val="000000" w:themeColor="text1"/>
        </w:rPr>
      </w:pPr>
    </w:p>
    <w:p w14:paraId="625ECECA" w14:textId="77777777" w:rsidR="00B66841" w:rsidRDefault="00B66841" w:rsidP="00DA29AB">
      <w:pPr>
        <w:spacing w:before="0" w:after="0"/>
        <w:rPr>
          <w:rFonts w:cstheme="minorBidi"/>
          <w:color w:val="000000" w:themeColor="text1"/>
        </w:rPr>
        <w:sectPr w:rsidR="00B66841" w:rsidSect="00B66841">
          <w:headerReference w:type="default" r:id="rId15"/>
          <w:pgSz w:w="11900" w:h="16840" w:code="9"/>
          <w:pgMar w:top="1440" w:right="1440" w:bottom="1440" w:left="1440" w:header="720" w:footer="720" w:gutter="0"/>
          <w:cols w:space="720"/>
          <w:docGrid w:linePitch="360"/>
        </w:sectPr>
      </w:pPr>
    </w:p>
    <w:p w14:paraId="56083584" w14:textId="75029688" w:rsidR="005B58AF" w:rsidRPr="009819CE" w:rsidRDefault="00803EEB" w:rsidP="00E22ACF">
      <w:pPr>
        <w:pStyle w:val="Heading1"/>
        <w:numPr>
          <w:ilvl w:val="0"/>
          <w:numId w:val="6"/>
        </w:numPr>
      </w:pPr>
      <w:bookmarkStart w:id="4" w:name="_Toc204106577"/>
      <w:r w:rsidRPr="009819CE">
        <w:t>A</w:t>
      </w:r>
      <w:r w:rsidR="005B58AF" w:rsidRPr="009819CE">
        <w:t>uthors contribution</w:t>
      </w:r>
      <w:r w:rsidR="008C4377">
        <w:t>s</w:t>
      </w:r>
      <w:bookmarkEnd w:id="4"/>
    </w:p>
    <w:p w14:paraId="4CC8A3AC" w14:textId="77777777" w:rsidR="00432AD7" w:rsidRPr="00FA7D47" w:rsidRDefault="00432AD7" w:rsidP="001F4A34">
      <w:r w:rsidRPr="00FA7D47">
        <w:t>University of Stirling</w:t>
      </w:r>
    </w:p>
    <w:p w14:paraId="483BC929" w14:textId="7C764DF2" w:rsidR="00432AD7" w:rsidRPr="00FA7D47" w:rsidRDefault="00432AD7" w:rsidP="001F4A34">
      <w:pPr>
        <w:pStyle w:val="ListParagraph"/>
        <w:numPr>
          <w:ilvl w:val="0"/>
          <w:numId w:val="42"/>
        </w:numPr>
      </w:pPr>
      <w:r w:rsidRPr="001F4A34">
        <w:rPr>
          <w:b/>
          <w:bCs/>
        </w:rPr>
        <w:t>Irene Martin Molt</w:t>
      </w:r>
      <w:r w:rsidR="00984A91" w:rsidRPr="001F4A34">
        <w:rPr>
          <w:b/>
          <w:bCs/>
        </w:rPr>
        <w:t>o</w:t>
      </w:r>
      <w:r w:rsidRPr="00FA7D47">
        <w:t xml:space="preserve"> – Thesis author; lead author of Publications 1 and 2.</w:t>
      </w:r>
    </w:p>
    <w:p w14:paraId="0FD90F89" w14:textId="77777777" w:rsidR="00984A91" w:rsidRPr="00FA7D47" w:rsidRDefault="00432AD7" w:rsidP="001F4A34">
      <w:pPr>
        <w:pStyle w:val="ListParagraph"/>
        <w:numPr>
          <w:ilvl w:val="0"/>
          <w:numId w:val="42"/>
        </w:numPr>
      </w:pPr>
      <w:r w:rsidRPr="001F4A34">
        <w:rPr>
          <w:b/>
          <w:bCs/>
        </w:rPr>
        <w:t>Professor Amaya Albalat</w:t>
      </w:r>
      <w:r w:rsidRPr="00FA7D47">
        <w:t xml:space="preserve"> – Main thesis supervisor; participated in all sample collections; secured project funding; provided extensive thesis feedback and corrections; contributed to the writing of Publications 1 and 2.</w:t>
      </w:r>
    </w:p>
    <w:p w14:paraId="03B5CC13" w14:textId="2141C822" w:rsidR="00984A91" w:rsidRPr="00FA7D47" w:rsidRDefault="00432AD7" w:rsidP="001F4A34">
      <w:pPr>
        <w:pStyle w:val="ListParagraph"/>
        <w:numPr>
          <w:ilvl w:val="0"/>
          <w:numId w:val="42"/>
        </w:numPr>
      </w:pPr>
      <w:r w:rsidRPr="001F4A34">
        <w:rPr>
          <w:b/>
          <w:bCs/>
        </w:rPr>
        <w:t>Professor Simon MacKenzie</w:t>
      </w:r>
      <w:r w:rsidRPr="00FA7D47">
        <w:t xml:space="preserve"> – </w:t>
      </w:r>
      <w:r w:rsidR="00984A91" w:rsidRPr="00FA7D47">
        <w:t>Secured project funding</w:t>
      </w:r>
      <w:r w:rsidRPr="00FA7D47">
        <w:t xml:space="preserve"> and</w:t>
      </w:r>
      <w:r w:rsidR="0021403A" w:rsidRPr="00FA7D47">
        <w:t xml:space="preserve"> contributed to the writing of</w:t>
      </w:r>
      <w:r w:rsidRPr="00FA7D47">
        <w:t xml:space="preserve"> Publications 1 and 2.</w:t>
      </w:r>
    </w:p>
    <w:p w14:paraId="02151220" w14:textId="77777777" w:rsidR="00984A91" w:rsidRPr="00FA7D47" w:rsidRDefault="00432AD7" w:rsidP="001F4A34">
      <w:pPr>
        <w:pStyle w:val="ListParagraph"/>
        <w:numPr>
          <w:ilvl w:val="0"/>
          <w:numId w:val="42"/>
        </w:numPr>
      </w:pPr>
      <w:r w:rsidRPr="001F4A34">
        <w:rPr>
          <w:b/>
          <w:bCs/>
        </w:rPr>
        <w:t>Dr. Ben Clokie</w:t>
      </w:r>
      <w:r w:rsidRPr="00FA7D47">
        <w:t xml:space="preserve"> – Provided training in statistical analysis and bioinformatics for the microbiome chapter (Chapter 3); offered feedback on microbiome data interpretation; contributed to the writing of Publication 2.</w:t>
      </w:r>
    </w:p>
    <w:p w14:paraId="75A49241" w14:textId="77777777" w:rsidR="00984A91" w:rsidRPr="00FA7D47" w:rsidRDefault="00432AD7" w:rsidP="001F4A34">
      <w:pPr>
        <w:pStyle w:val="ListParagraph"/>
        <w:numPr>
          <w:ilvl w:val="0"/>
          <w:numId w:val="42"/>
        </w:numPr>
      </w:pPr>
      <w:r w:rsidRPr="001F4A34">
        <w:rPr>
          <w:b/>
          <w:bCs/>
        </w:rPr>
        <w:t>Dr. Ahmed Elsheshtawy</w:t>
      </w:r>
      <w:r w:rsidRPr="00FA7D47">
        <w:t xml:space="preserve"> – Supported statistical and bioinformatics training for Chapter 3; provided feedback on microbiome analysis; contributed to Publication 2.</w:t>
      </w:r>
    </w:p>
    <w:p w14:paraId="05A6E34F" w14:textId="77777777" w:rsidR="00984A91" w:rsidRPr="00FA7D47" w:rsidRDefault="00432AD7" w:rsidP="001F4A34">
      <w:pPr>
        <w:pStyle w:val="ListParagraph"/>
        <w:numPr>
          <w:ilvl w:val="0"/>
          <w:numId w:val="42"/>
        </w:numPr>
      </w:pPr>
      <w:r w:rsidRPr="001F4A34">
        <w:rPr>
          <w:b/>
          <w:bCs/>
        </w:rPr>
        <w:t>Dr. Bruce McAdam</w:t>
      </w:r>
      <w:r w:rsidRPr="00FA7D47">
        <w:t xml:space="preserve"> – Provided training in R coding and statistical analysis for Chapter 2.</w:t>
      </w:r>
    </w:p>
    <w:p w14:paraId="1390D008" w14:textId="77777777" w:rsidR="00984A91" w:rsidRPr="00FA7D47" w:rsidRDefault="00432AD7" w:rsidP="001F4A34">
      <w:pPr>
        <w:pStyle w:val="ListParagraph"/>
        <w:numPr>
          <w:ilvl w:val="0"/>
          <w:numId w:val="42"/>
        </w:numPr>
      </w:pPr>
      <w:r w:rsidRPr="001F4A34">
        <w:rPr>
          <w:b/>
          <w:bCs/>
        </w:rPr>
        <w:t>Jacquie Ireland</w:t>
      </w:r>
      <w:r w:rsidRPr="00FA7D47">
        <w:t xml:space="preserve"> – Supported DNA extractions and laboratory safety training.</w:t>
      </w:r>
    </w:p>
    <w:p w14:paraId="3745DCEA" w14:textId="77777777" w:rsidR="00984A91" w:rsidRPr="00FA7D47" w:rsidRDefault="00432AD7" w:rsidP="001F4A34">
      <w:pPr>
        <w:pStyle w:val="ListParagraph"/>
        <w:numPr>
          <w:ilvl w:val="0"/>
          <w:numId w:val="42"/>
        </w:numPr>
      </w:pPr>
      <w:r w:rsidRPr="001F4A34">
        <w:rPr>
          <w:b/>
          <w:bCs/>
        </w:rPr>
        <w:t>Dr. John Taggart</w:t>
      </w:r>
      <w:r w:rsidRPr="00FA7D47">
        <w:t xml:space="preserve"> – Provided training and feedback on DNA extraction protocols.</w:t>
      </w:r>
    </w:p>
    <w:p w14:paraId="03BFA95B" w14:textId="77777777" w:rsidR="00984A91" w:rsidRPr="00FA7D47" w:rsidRDefault="00432AD7" w:rsidP="001F4A34">
      <w:pPr>
        <w:pStyle w:val="ListParagraph"/>
        <w:numPr>
          <w:ilvl w:val="0"/>
          <w:numId w:val="42"/>
        </w:numPr>
      </w:pPr>
      <w:r w:rsidRPr="001F4A34">
        <w:rPr>
          <w:b/>
          <w:bCs/>
        </w:rPr>
        <w:t>Debbie Faichney</w:t>
      </w:r>
      <w:r w:rsidRPr="00FA7D47">
        <w:t xml:space="preserve"> – Delivered histology laboratory training.</w:t>
      </w:r>
    </w:p>
    <w:p w14:paraId="407E804A" w14:textId="77777777" w:rsidR="00984A91" w:rsidRPr="00FA7D47" w:rsidRDefault="00432AD7" w:rsidP="001F4A34">
      <w:pPr>
        <w:pStyle w:val="ListParagraph"/>
        <w:numPr>
          <w:ilvl w:val="0"/>
          <w:numId w:val="42"/>
        </w:numPr>
      </w:pPr>
      <w:r w:rsidRPr="001F4A34">
        <w:rPr>
          <w:b/>
          <w:bCs/>
        </w:rPr>
        <w:t>Fiona Muir</w:t>
      </w:r>
      <w:r w:rsidRPr="00FA7D47">
        <w:t xml:space="preserve"> – Provided virology laboratory training.</w:t>
      </w:r>
    </w:p>
    <w:p w14:paraId="07049E6D" w14:textId="1C73DB7C" w:rsidR="00432AD7" w:rsidRPr="00FA7D47" w:rsidRDefault="00432AD7">
      <w:pPr>
        <w:pStyle w:val="ListParagraph"/>
        <w:numPr>
          <w:ilvl w:val="0"/>
          <w:numId w:val="42"/>
        </w:numPr>
      </w:pPr>
      <w:r w:rsidRPr="001F4A34">
        <w:rPr>
          <w:b/>
          <w:bCs/>
        </w:rPr>
        <w:t xml:space="preserve">Dr. Matthew Sprague </w:t>
      </w:r>
      <w:r w:rsidRPr="00FA7D47">
        <w:t>– Conducted lipid analysis training and supported data interpretation</w:t>
      </w:r>
      <w:r w:rsidR="00474C0E" w:rsidRPr="00FA7D47">
        <w:t xml:space="preserve"> for Chapter 4.</w:t>
      </w:r>
    </w:p>
    <w:p w14:paraId="78C32FDB" w14:textId="6934B2F5" w:rsidR="00474C0E" w:rsidRPr="00FA7D47" w:rsidRDefault="00474C0E" w:rsidP="00474C0E">
      <w:pPr>
        <w:pStyle w:val="ListParagraph"/>
        <w:numPr>
          <w:ilvl w:val="0"/>
          <w:numId w:val="42"/>
        </w:numPr>
      </w:pPr>
      <w:r w:rsidRPr="00FA7D47">
        <w:rPr>
          <w:b/>
          <w:bCs/>
        </w:rPr>
        <w:t xml:space="preserve">Dr. Monica Betancour </w:t>
      </w:r>
      <w:r w:rsidRPr="00FA7D47">
        <w:t>–supported data interpretation for Chapter 4.</w:t>
      </w:r>
    </w:p>
    <w:p w14:paraId="7A4162C9" w14:textId="77777777" w:rsidR="00474C0E" w:rsidRPr="00FA7D47" w:rsidRDefault="00474C0E" w:rsidP="001F4A34">
      <w:pPr>
        <w:pStyle w:val="ListParagraph"/>
      </w:pPr>
    </w:p>
    <w:p w14:paraId="573E72E5" w14:textId="77777777" w:rsidR="00432AD7" w:rsidRPr="00FA7D47" w:rsidRDefault="00432AD7" w:rsidP="001F4A34">
      <w:r w:rsidRPr="00FA7D47">
        <w:t>CEFAS</w:t>
      </w:r>
    </w:p>
    <w:p w14:paraId="11CA96FB" w14:textId="13BE669C" w:rsidR="00432AD7" w:rsidRPr="00FA7D47" w:rsidRDefault="00432AD7" w:rsidP="001F4A34">
      <w:pPr>
        <w:pStyle w:val="ListParagraph"/>
        <w:numPr>
          <w:ilvl w:val="0"/>
          <w:numId w:val="43"/>
        </w:numPr>
      </w:pPr>
      <w:r w:rsidRPr="001F4A34">
        <w:rPr>
          <w:b/>
          <w:bCs/>
        </w:rPr>
        <w:t>Professor Grant Stentiford</w:t>
      </w:r>
      <w:r w:rsidRPr="00FA7D47">
        <w:t xml:space="preserve"> – </w:t>
      </w:r>
      <w:r w:rsidR="00984A91" w:rsidRPr="00FA7D47">
        <w:t>Secured project funding</w:t>
      </w:r>
      <w:r w:rsidRPr="00FA7D47">
        <w:t xml:space="preserve">; </w:t>
      </w:r>
      <w:r w:rsidR="008400A9" w:rsidRPr="00FA7D47">
        <w:t>participated in Chapter 3 sampling</w:t>
      </w:r>
      <w:r w:rsidRPr="00FA7D47">
        <w:t xml:space="preserve">; </w:t>
      </w:r>
      <w:r w:rsidR="008400A9" w:rsidRPr="00FA7D47">
        <w:t>provided</w:t>
      </w:r>
      <w:r w:rsidRPr="00FA7D47">
        <w:t xml:space="preserve"> feedback on Chapter 2; contributed to the writing of Publications 1 and 2.</w:t>
      </w:r>
    </w:p>
    <w:p w14:paraId="240EE238" w14:textId="06915CB5" w:rsidR="00432AD7" w:rsidRPr="00FA7D47" w:rsidRDefault="00432AD7" w:rsidP="001F4A34">
      <w:pPr>
        <w:pStyle w:val="ListParagraph"/>
        <w:numPr>
          <w:ilvl w:val="0"/>
          <w:numId w:val="43"/>
        </w:numPr>
      </w:pPr>
      <w:r w:rsidRPr="001F4A34">
        <w:rPr>
          <w:b/>
          <w:bCs/>
        </w:rPr>
        <w:t>Dr. David Bass</w:t>
      </w:r>
      <w:r w:rsidRPr="00FA7D47">
        <w:t xml:space="preserve"> – </w:t>
      </w:r>
      <w:r w:rsidR="0021403A" w:rsidRPr="00FA7D47">
        <w:t>Secured project funding</w:t>
      </w:r>
      <w:r w:rsidRPr="00FA7D47">
        <w:t xml:space="preserve">; participated in Chapter 3 sampling; </w:t>
      </w:r>
      <w:r w:rsidR="008400A9" w:rsidRPr="00FA7D47">
        <w:t>provided feedback on Chapter 2</w:t>
      </w:r>
      <w:r w:rsidRPr="00FA7D47">
        <w:t>; supported microbiome and primer design training for Chapter 3; contributed to</w:t>
      </w:r>
      <w:r w:rsidR="00F97FAE" w:rsidRPr="00FA7D47">
        <w:t xml:space="preserve"> the writing of </w:t>
      </w:r>
      <w:r w:rsidRPr="00FA7D47">
        <w:t>Publications 1 and 2.</w:t>
      </w:r>
    </w:p>
    <w:p w14:paraId="6A09394F" w14:textId="77777777" w:rsidR="00432AD7" w:rsidRPr="00FA7D47" w:rsidRDefault="00432AD7" w:rsidP="001F4A34">
      <w:pPr>
        <w:pStyle w:val="ListParagraph"/>
        <w:numPr>
          <w:ilvl w:val="0"/>
          <w:numId w:val="43"/>
        </w:numPr>
      </w:pPr>
      <w:r w:rsidRPr="001F4A34">
        <w:rPr>
          <w:b/>
          <w:bCs/>
        </w:rPr>
        <w:t>Mickael Teixeira Alves</w:t>
      </w:r>
      <w:r w:rsidRPr="00FA7D47">
        <w:t xml:space="preserve"> – Provided training in statistical modelling for Chapter 2.</w:t>
      </w:r>
    </w:p>
    <w:p w14:paraId="7EE88A06" w14:textId="0B44EC0D" w:rsidR="00432AD7" w:rsidRPr="00FA7D47" w:rsidRDefault="00432AD7" w:rsidP="001F4A34">
      <w:pPr>
        <w:pStyle w:val="ListParagraph"/>
        <w:numPr>
          <w:ilvl w:val="0"/>
          <w:numId w:val="43"/>
        </w:numPr>
      </w:pPr>
      <w:r w:rsidRPr="001F4A34">
        <w:rPr>
          <w:b/>
          <w:bCs/>
        </w:rPr>
        <w:t>Chantelle Hooper</w:t>
      </w:r>
      <w:r w:rsidRPr="00FA7D47">
        <w:t xml:space="preserve"> – </w:t>
      </w:r>
      <w:r w:rsidR="00ED0630" w:rsidRPr="00FA7D47">
        <w:t xml:space="preserve">Supported </w:t>
      </w:r>
      <w:r w:rsidRPr="00FA7D47">
        <w:t>microbiome laboratory training.</w:t>
      </w:r>
    </w:p>
    <w:p w14:paraId="3A0411D3" w14:textId="77777777" w:rsidR="00432AD7" w:rsidRPr="00FA7D47" w:rsidRDefault="00432AD7" w:rsidP="001F4A34">
      <w:pPr>
        <w:pStyle w:val="ListParagraph"/>
        <w:numPr>
          <w:ilvl w:val="0"/>
          <w:numId w:val="43"/>
        </w:numPr>
      </w:pPr>
      <w:r w:rsidRPr="001F4A34">
        <w:rPr>
          <w:b/>
          <w:bCs/>
        </w:rPr>
        <w:t>Dr. Georgia Ward</w:t>
      </w:r>
      <w:r w:rsidRPr="00FA7D47">
        <w:t xml:space="preserve"> – Supported microbiome laboratory training.</w:t>
      </w:r>
    </w:p>
    <w:p w14:paraId="4EF879EA" w14:textId="77777777" w:rsidR="00432AD7" w:rsidRPr="00FA7D47" w:rsidRDefault="00432AD7" w:rsidP="001F4A34">
      <w:pPr>
        <w:pStyle w:val="ListParagraph"/>
        <w:numPr>
          <w:ilvl w:val="0"/>
          <w:numId w:val="43"/>
        </w:numPr>
      </w:pPr>
      <w:r w:rsidRPr="001F4A34">
        <w:rPr>
          <w:b/>
          <w:bCs/>
        </w:rPr>
        <w:t>Dr. Kelly Bateman</w:t>
      </w:r>
      <w:r w:rsidRPr="00FA7D47">
        <w:t xml:space="preserve"> – Assisted with histology interpretation; participated in sampling for Chapter 3; contributed to Publication 2.</w:t>
      </w:r>
    </w:p>
    <w:p w14:paraId="2D69D8F4" w14:textId="0AE662EF" w:rsidR="00432AD7" w:rsidRPr="00FA7D47" w:rsidRDefault="00432AD7" w:rsidP="001F4A34">
      <w:pPr>
        <w:pStyle w:val="ListParagraph"/>
        <w:numPr>
          <w:ilvl w:val="0"/>
          <w:numId w:val="43"/>
        </w:numPr>
      </w:pPr>
      <w:r w:rsidRPr="001F4A34">
        <w:rPr>
          <w:b/>
          <w:bCs/>
        </w:rPr>
        <w:t>Richard Hazelgrove</w:t>
      </w:r>
      <w:r w:rsidRPr="00FA7D47">
        <w:t xml:space="preserve"> – Processed histology samples.</w:t>
      </w:r>
    </w:p>
    <w:p w14:paraId="50B4E567" w14:textId="706E50BC" w:rsidR="00432AD7" w:rsidRPr="00FA7D47" w:rsidRDefault="00432AD7" w:rsidP="001F4A34">
      <w:pPr>
        <w:pStyle w:val="ListParagraph"/>
        <w:numPr>
          <w:ilvl w:val="0"/>
          <w:numId w:val="43"/>
        </w:numPr>
      </w:pPr>
      <w:r w:rsidRPr="001F4A34">
        <w:rPr>
          <w:b/>
          <w:bCs/>
        </w:rPr>
        <w:t>Stuart Ross</w:t>
      </w:r>
      <w:r w:rsidRPr="00FA7D47">
        <w:t xml:space="preserve"> – Provided training and processed samples for Transmission Electron Microscopy</w:t>
      </w:r>
      <w:r w:rsidR="008400A9" w:rsidRPr="00FA7D47">
        <w:t>.</w:t>
      </w:r>
    </w:p>
    <w:p w14:paraId="46D17550" w14:textId="77777777" w:rsidR="00432AD7" w:rsidRPr="001F4A34" w:rsidRDefault="00432AD7" w:rsidP="001F4A34">
      <w:pPr>
        <w:rPr>
          <w:b/>
          <w:bCs/>
        </w:rPr>
      </w:pPr>
      <w:r w:rsidRPr="001F4A34">
        <w:rPr>
          <w:b/>
          <w:bCs/>
        </w:rPr>
        <w:t>University of Glasgow</w:t>
      </w:r>
    </w:p>
    <w:p w14:paraId="6C8E502E" w14:textId="079AE61B" w:rsidR="00432AD7" w:rsidRPr="00FA7D47" w:rsidRDefault="00432AD7" w:rsidP="001F4A34">
      <w:pPr>
        <w:pStyle w:val="ListParagraph"/>
        <w:numPr>
          <w:ilvl w:val="0"/>
          <w:numId w:val="44"/>
        </w:numPr>
      </w:pPr>
      <w:r w:rsidRPr="001F4A34">
        <w:rPr>
          <w:b/>
          <w:bCs/>
        </w:rPr>
        <w:t>Professor Douglas Neil</w:t>
      </w:r>
      <w:r w:rsidRPr="00FA7D47">
        <w:t xml:space="preserve"> – Provided feedback on Chapter 2 and contributed </w:t>
      </w:r>
      <w:r w:rsidR="00F97FAE" w:rsidRPr="00FA7D47">
        <w:t>to the writing of</w:t>
      </w:r>
      <w:r w:rsidRPr="00FA7D47">
        <w:t xml:space="preserve"> Publication 1.</w:t>
      </w:r>
    </w:p>
    <w:p w14:paraId="2AA6F7E9" w14:textId="77777777" w:rsidR="00432AD7" w:rsidRPr="001F4A34" w:rsidRDefault="00432AD7" w:rsidP="001F4A34">
      <w:pPr>
        <w:rPr>
          <w:b/>
          <w:bCs/>
        </w:rPr>
      </w:pPr>
      <w:r w:rsidRPr="001F4A34">
        <w:rPr>
          <w:b/>
          <w:bCs/>
        </w:rPr>
        <w:t>University of Galway</w:t>
      </w:r>
    </w:p>
    <w:p w14:paraId="62818194" w14:textId="107FA6FF" w:rsidR="00432AD7" w:rsidRPr="00FA7D47" w:rsidRDefault="00432AD7">
      <w:pPr>
        <w:pStyle w:val="ListParagraph"/>
        <w:numPr>
          <w:ilvl w:val="0"/>
          <w:numId w:val="44"/>
        </w:numPr>
      </w:pPr>
      <w:r w:rsidRPr="001F4A34">
        <w:rPr>
          <w:b/>
          <w:bCs/>
        </w:rPr>
        <w:t>Dr. Christopher J. Coates</w:t>
      </w:r>
      <w:r w:rsidRPr="00FA7D47">
        <w:t xml:space="preserve"> – Contributed to</w:t>
      </w:r>
      <w:r w:rsidR="00F97FAE" w:rsidRPr="00FA7D47">
        <w:t xml:space="preserve"> the writing of </w:t>
      </w:r>
      <w:r w:rsidRPr="00FA7D47">
        <w:t>Publication 1.</w:t>
      </w:r>
    </w:p>
    <w:p w14:paraId="7C842A5B" w14:textId="78402912" w:rsidR="000D4C84" w:rsidRPr="001F4A34" w:rsidRDefault="000D4C84" w:rsidP="000D4C84">
      <w:pPr>
        <w:rPr>
          <w:b/>
          <w:bCs/>
          <w:u w:val="single"/>
        </w:rPr>
      </w:pPr>
      <w:r w:rsidRPr="001F4A34">
        <w:rPr>
          <w:b/>
          <w:bCs/>
          <w:u w:val="single"/>
        </w:rPr>
        <w:t>Other</w:t>
      </w:r>
    </w:p>
    <w:p w14:paraId="266C00AB" w14:textId="56088F23" w:rsidR="000D4C84" w:rsidRPr="00FA7D47" w:rsidRDefault="00C71858" w:rsidP="001F4A34">
      <w:pPr>
        <w:pStyle w:val="ListParagraph"/>
        <w:numPr>
          <w:ilvl w:val="0"/>
          <w:numId w:val="44"/>
        </w:numPr>
      </w:pPr>
      <w:r w:rsidRPr="00FA7D47">
        <w:t xml:space="preserve">Mrs </w:t>
      </w:r>
      <w:r w:rsidR="000D4C84" w:rsidRPr="00FA7D47">
        <w:t xml:space="preserve">Irene </w:t>
      </w:r>
      <w:r w:rsidRPr="00FA7D47">
        <w:t xml:space="preserve">Pont Trullen- </w:t>
      </w:r>
      <w:r w:rsidR="009A3B96" w:rsidRPr="00FA7D47">
        <w:t>Artist</w:t>
      </w:r>
      <w:r w:rsidRPr="00FA7D47">
        <w:t xml:space="preserve"> </w:t>
      </w:r>
      <w:r w:rsidR="009A3B96" w:rsidRPr="00FA7D47">
        <w:t xml:space="preserve">of </w:t>
      </w:r>
      <w:r w:rsidR="00BD1397" w:rsidRPr="00FA7D47">
        <w:fldChar w:fldCharType="begin"/>
      </w:r>
      <w:r w:rsidR="00BD1397" w:rsidRPr="00FA7D47">
        <w:instrText xml:space="preserve"> REF _Ref171325524 \h </w:instrText>
      </w:r>
      <w:r w:rsidR="00BD1397" w:rsidRPr="00FA7D47">
        <w:fldChar w:fldCharType="separate"/>
      </w:r>
      <w:r w:rsidR="008549FC" w:rsidRPr="009819CE">
        <w:rPr>
          <w:rFonts w:eastAsia="Calibri" w:cstheme="minorBidi"/>
          <w:b/>
          <w:iCs/>
          <w:color w:val="000000"/>
          <w:sz w:val="22"/>
          <w:szCs w:val="22"/>
        </w:rPr>
        <w:t xml:space="preserve">Figure </w:t>
      </w:r>
      <w:r w:rsidR="008549FC">
        <w:rPr>
          <w:rFonts w:eastAsia="Calibri" w:cstheme="minorBidi"/>
          <w:b/>
          <w:iCs/>
          <w:noProof/>
          <w:color w:val="000000"/>
          <w:sz w:val="22"/>
          <w:szCs w:val="22"/>
        </w:rPr>
        <w:t>1</w:t>
      </w:r>
      <w:r w:rsidR="008549FC" w:rsidRPr="009819CE">
        <w:rPr>
          <w:rFonts w:eastAsia="Calibri" w:cstheme="minorBidi"/>
          <w:b/>
          <w:iCs/>
          <w:color w:val="000000"/>
          <w:sz w:val="22"/>
          <w:szCs w:val="22"/>
        </w:rPr>
        <w:t>.</w:t>
      </w:r>
      <w:r w:rsidR="008549FC">
        <w:rPr>
          <w:rFonts w:eastAsia="Calibri" w:cstheme="minorBidi"/>
          <w:b/>
          <w:iCs/>
          <w:noProof/>
          <w:color w:val="000000"/>
          <w:sz w:val="22"/>
          <w:szCs w:val="22"/>
        </w:rPr>
        <w:t>1</w:t>
      </w:r>
      <w:r w:rsidR="00BD1397" w:rsidRPr="00FA7D47">
        <w:fldChar w:fldCharType="end"/>
      </w:r>
      <w:r w:rsidR="00BD1397" w:rsidRPr="00FA7D47">
        <w:t xml:space="preserve"> and </w:t>
      </w:r>
      <w:r w:rsidR="00BD1397" w:rsidRPr="00FA7D47">
        <w:fldChar w:fldCharType="begin"/>
      </w:r>
      <w:r w:rsidR="00BD1397" w:rsidRPr="00FA7D47">
        <w:instrText xml:space="preserve"> REF _Ref138437728 \h </w:instrText>
      </w:r>
      <w:r w:rsidR="00BD1397" w:rsidRPr="00FA7D47">
        <w:fldChar w:fldCharType="separate"/>
      </w:r>
      <w:r w:rsidR="008549FC" w:rsidRPr="009819CE">
        <w:rPr>
          <w:rFonts w:eastAsia="Calibri" w:cstheme="minorBidi"/>
          <w:b/>
          <w:iCs/>
          <w:color w:val="000000"/>
          <w:sz w:val="22"/>
          <w:szCs w:val="22"/>
        </w:rPr>
        <w:t xml:space="preserve">Figure </w:t>
      </w:r>
      <w:r w:rsidR="008549FC">
        <w:rPr>
          <w:rFonts w:eastAsia="Calibri" w:cstheme="minorBidi"/>
          <w:b/>
          <w:iCs/>
          <w:noProof/>
          <w:color w:val="000000"/>
          <w:sz w:val="22"/>
          <w:szCs w:val="22"/>
        </w:rPr>
        <w:t>1</w:t>
      </w:r>
      <w:r w:rsidR="008549FC" w:rsidRPr="009819CE">
        <w:rPr>
          <w:rFonts w:eastAsia="Calibri" w:cstheme="minorBidi"/>
          <w:b/>
          <w:iCs/>
          <w:color w:val="000000"/>
          <w:sz w:val="22"/>
          <w:szCs w:val="22"/>
        </w:rPr>
        <w:t>.</w:t>
      </w:r>
      <w:r w:rsidR="008549FC">
        <w:rPr>
          <w:rFonts w:eastAsia="Calibri" w:cstheme="minorBidi"/>
          <w:b/>
          <w:iCs/>
          <w:noProof/>
          <w:color w:val="000000"/>
          <w:sz w:val="22"/>
          <w:szCs w:val="22"/>
        </w:rPr>
        <w:t>7</w:t>
      </w:r>
      <w:r w:rsidR="00BD1397" w:rsidRPr="00FA7D47">
        <w:fldChar w:fldCharType="end"/>
      </w:r>
      <w:r w:rsidR="00BD1397" w:rsidRPr="00FA7D47">
        <w:t>.</w:t>
      </w:r>
    </w:p>
    <w:p w14:paraId="13F3F36F" w14:textId="77777777" w:rsidR="00B66841" w:rsidRDefault="00B66841" w:rsidP="00E22ACF">
      <w:pPr>
        <w:pStyle w:val="Heading1"/>
        <w:numPr>
          <w:ilvl w:val="0"/>
          <w:numId w:val="6"/>
        </w:numPr>
        <w:sectPr w:rsidR="00B66841" w:rsidSect="00B66841">
          <w:headerReference w:type="default" r:id="rId16"/>
          <w:pgSz w:w="11900" w:h="16840" w:code="9"/>
          <w:pgMar w:top="1440" w:right="1440" w:bottom="1440" w:left="1440" w:header="720" w:footer="720" w:gutter="0"/>
          <w:cols w:space="720"/>
          <w:docGrid w:linePitch="360"/>
        </w:sectPr>
      </w:pPr>
    </w:p>
    <w:p w14:paraId="3E1BF1BD" w14:textId="0C30D657" w:rsidR="00D52415" w:rsidRPr="009819CE" w:rsidRDefault="003B672F" w:rsidP="00E22ACF">
      <w:pPr>
        <w:pStyle w:val="Heading1"/>
        <w:numPr>
          <w:ilvl w:val="0"/>
          <w:numId w:val="6"/>
        </w:numPr>
      </w:pPr>
      <w:bookmarkStart w:id="5" w:name="_Toc204106578"/>
      <w:r w:rsidRPr="009819CE">
        <w:t>A</w:t>
      </w:r>
      <w:r w:rsidR="00803EEB" w:rsidRPr="009819CE">
        <w:t>cknowledgements</w:t>
      </w:r>
      <w:bookmarkEnd w:id="5"/>
    </w:p>
    <w:p w14:paraId="112AA1AC" w14:textId="77777777" w:rsidR="005A0EF4" w:rsidRPr="009819CE" w:rsidRDefault="005A0EF4" w:rsidP="005A0EF4">
      <w:pPr>
        <w:rPr>
          <w:rFonts w:cstheme="minorBidi"/>
        </w:rPr>
      </w:pPr>
      <w:r w:rsidRPr="009819CE">
        <w:rPr>
          <w:rFonts w:cstheme="minorBidi"/>
        </w:rPr>
        <w:t>I extend my deepest gratitude to my supervisors, Dr. Amaya Albalat, Professor Simon Mackenzie, Dr. Grant Stentiford, and Dr. David Bass, for their exceptional guidance and unwavering support throughout my PhD journey. Their expertise and commitment have been the foundation of my success.</w:t>
      </w:r>
    </w:p>
    <w:p w14:paraId="3FF892BB" w14:textId="57C595B7" w:rsidR="005A0EF4" w:rsidRPr="009819CE" w:rsidRDefault="005A0EF4" w:rsidP="005A0EF4">
      <w:pPr>
        <w:rPr>
          <w:rFonts w:cstheme="minorBidi"/>
        </w:rPr>
      </w:pPr>
      <w:r w:rsidRPr="009819CE">
        <w:rPr>
          <w:rFonts w:cstheme="minorBidi"/>
        </w:rPr>
        <w:t>Special thanks to my shadow mentors, Dr. Ben Clokie and Dr. Ahmed Elsheshtawy, for their invaluable mentorship and assistance. Ahmed's constant support and insightful conversations have been particularly significant.</w:t>
      </w:r>
    </w:p>
    <w:p w14:paraId="346E757C" w14:textId="7F944CC0" w:rsidR="005A0EF4" w:rsidRPr="009819CE" w:rsidRDefault="005A0EF4" w:rsidP="005A0EF4">
      <w:pPr>
        <w:rPr>
          <w:rFonts w:cstheme="minorBidi"/>
        </w:rPr>
      </w:pPr>
      <w:r w:rsidRPr="009819CE">
        <w:rPr>
          <w:rFonts w:cstheme="minorBidi"/>
        </w:rPr>
        <w:t xml:space="preserve">I also sincerely thank Dr. Bruce McAdam and Mickael Teixeira Alves for their contributions to statistical analysis and R programming, and Dr. Matthew Sprague, Dr. Richard Broughton, and the NAS staff for their assistance in lipid analysis. My appreciation extends to </w:t>
      </w:r>
      <w:r w:rsidR="00692B75" w:rsidRPr="009819CE">
        <w:rPr>
          <w:rFonts w:cstheme="minorBidi"/>
        </w:rPr>
        <w:t>Prof</w:t>
      </w:r>
      <w:r w:rsidRPr="009819CE">
        <w:rPr>
          <w:rFonts w:cstheme="minorBidi"/>
        </w:rPr>
        <w:t>. Douglas Neil, Dr. Sebastian Gornik, Dr. Nicholas Beevers, and Dr. Hazel for their external advice and feedback.</w:t>
      </w:r>
    </w:p>
    <w:p w14:paraId="2025BEDE" w14:textId="03A805B5" w:rsidR="005A0EF4" w:rsidRPr="009819CE" w:rsidRDefault="005A0EF4" w:rsidP="005A0EF4">
      <w:pPr>
        <w:rPr>
          <w:rFonts w:cstheme="minorBidi"/>
        </w:rPr>
      </w:pPr>
      <w:r w:rsidRPr="009819CE">
        <w:rPr>
          <w:rFonts w:cstheme="minorBidi"/>
        </w:rPr>
        <w:t xml:space="preserve">I am grateful to </w:t>
      </w:r>
      <w:r w:rsidR="00692B75" w:rsidRPr="009819CE">
        <w:rPr>
          <w:rFonts w:cstheme="minorBidi"/>
        </w:rPr>
        <w:t>Assoc</w:t>
      </w:r>
      <w:r w:rsidR="003C5B9F" w:rsidRPr="009819CE">
        <w:rPr>
          <w:rFonts w:cstheme="minorBidi"/>
        </w:rPr>
        <w:t>. Profs</w:t>
      </w:r>
      <w:r w:rsidRPr="009819CE">
        <w:rPr>
          <w:rFonts w:cstheme="minorBidi"/>
        </w:rPr>
        <w:t>. Monica Betancourt and Sonia Rey</w:t>
      </w:r>
      <w:r w:rsidR="003C5B9F" w:rsidRPr="009819CE">
        <w:rPr>
          <w:rFonts w:cstheme="minorBidi"/>
        </w:rPr>
        <w:t xml:space="preserve"> Planellas</w:t>
      </w:r>
      <w:r w:rsidRPr="009819CE">
        <w:rPr>
          <w:rFonts w:cstheme="minorBidi"/>
        </w:rPr>
        <w:t xml:space="preserve"> for their inspiring conversations and support, and to Emily Burnette and Silvere Santos for their dedication during live experiments.</w:t>
      </w:r>
    </w:p>
    <w:p w14:paraId="2AB0A0F8" w14:textId="019C37B0" w:rsidR="005A0EF4" w:rsidRPr="009819CE" w:rsidRDefault="005A0EF4" w:rsidP="005A0EF4">
      <w:pPr>
        <w:rPr>
          <w:rFonts w:cstheme="minorBidi"/>
        </w:rPr>
      </w:pPr>
      <w:r w:rsidRPr="009819CE">
        <w:rPr>
          <w:rFonts w:cstheme="minorBidi"/>
        </w:rPr>
        <w:t xml:space="preserve">My heartfelt thanks to the Institute of Aquaculture and the University of Stirling for the opportunity to serve as a teaching assistant, which ignited my passion for education. I appreciate the support from Jacquie Ireland, Dr. John Taggart, Fiona Muir, Debbie Faichney, Charles </w:t>
      </w:r>
      <w:r w:rsidR="003C5B9F" w:rsidRPr="009819CE">
        <w:rPr>
          <w:rFonts w:cstheme="minorBidi"/>
        </w:rPr>
        <w:t>Harrower</w:t>
      </w:r>
      <w:r w:rsidRPr="009819CE">
        <w:rPr>
          <w:rFonts w:cstheme="minorBidi"/>
        </w:rPr>
        <w:t>, and Jane Lewis.</w:t>
      </w:r>
    </w:p>
    <w:p w14:paraId="33EBD5E0" w14:textId="77777777" w:rsidR="005A0EF4" w:rsidRPr="009819CE" w:rsidRDefault="005A0EF4" w:rsidP="005A0EF4">
      <w:pPr>
        <w:rPr>
          <w:rFonts w:cstheme="minorBidi"/>
        </w:rPr>
      </w:pPr>
      <w:r w:rsidRPr="009819CE">
        <w:rPr>
          <w:rFonts w:cstheme="minorBidi"/>
        </w:rPr>
        <w:t>At CEFAS, I thank Rose Keer, Chantelle Hooper, Diana Minardi, Dr. Georgia Ward, Lyndsay, Dr. Corey Holt, and the histopathology team led by Dr. Kelly Bateman for their swift processing of samples during the pandemic.</w:t>
      </w:r>
    </w:p>
    <w:p w14:paraId="2A226CF2" w14:textId="77777777" w:rsidR="005A0EF4" w:rsidRPr="009819CE" w:rsidRDefault="005A0EF4" w:rsidP="005A0EF4">
      <w:pPr>
        <w:rPr>
          <w:rFonts w:cstheme="minorBidi"/>
        </w:rPr>
      </w:pPr>
      <w:r w:rsidRPr="009819CE">
        <w:rPr>
          <w:rFonts w:cstheme="minorBidi"/>
        </w:rPr>
        <w:t>Reflecting on this journey, I am grateful for the experiences and support from Ian Wightman, the captain of Eilidh Anne, and fellow students and colleagues at the University of Stirling, including Dr. Athina Papadopoulou, Chiara, Dr. Simao Zacarias, Dr. Arsenio Hilinganye, Dr. Anastasios Baltadakis, Dr. Claudia Tschesche, Dr. Wesley Malcorpos, Dr. Shankar Mandal, Jessica di Toro, Dr. Chris Payne, Dr. Carolina Fernández, Dr. Ana Corrochano, Lewis Warren, Rosie Allshire, Tim Whise, Dr. Callum Howard, Dr. Samuel Pourtney, Dr. Charlotte Bolton, Dr. Bernat Morro, and Gayatri Kachh.</w:t>
      </w:r>
    </w:p>
    <w:p w14:paraId="596E0EA5" w14:textId="2802C47C" w:rsidR="005A0EF4" w:rsidRPr="009819CE" w:rsidRDefault="005A0EF4" w:rsidP="005A0EF4">
      <w:pPr>
        <w:rPr>
          <w:rFonts w:cstheme="minorBidi"/>
        </w:rPr>
      </w:pPr>
      <w:r w:rsidRPr="009819CE">
        <w:rPr>
          <w:rFonts w:cstheme="minorBidi"/>
        </w:rPr>
        <w:t xml:space="preserve">Special gratitude goes to </w:t>
      </w:r>
      <w:r w:rsidR="00C76CB0" w:rsidRPr="009819CE">
        <w:rPr>
          <w:rFonts w:cstheme="minorBidi"/>
        </w:rPr>
        <w:t xml:space="preserve">my husband </w:t>
      </w:r>
      <w:r w:rsidRPr="009819CE">
        <w:rPr>
          <w:rFonts w:cstheme="minorBidi"/>
        </w:rPr>
        <w:t>Mark Hyde for his unwavering support and encouragement. Lastly, I dedicate this work to my friends and family in Valencia, especially my beloved mother, whose love and encouragement have been my guiding light. Te quiero mucho.</w:t>
      </w:r>
    </w:p>
    <w:p w14:paraId="7256D776" w14:textId="59AF2615" w:rsidR="001332F0" w:rsidRDefault="005A0EF4" w:rsidP="005A0EF4">
      <w:pPr>
        <w:rPr>
          <w:rFonts w:cstheme="minorBidi"/>
        </w:rPr>
      </w:pPr>
      <w:r w:rsidRPr="009819CE">
        <w:rPr>
          <w:rFonts w:cstheme="minorBidi"/>
        </w:rPr>
        <w:t>I proudly declare the completion of this thesis without a single cup of coffee, contrary to the predictions of my fellow PhD scholars.</w:t>
      </w:r>
    </w:p>
    <w:p w14:paraId="4E277126" w14:textId="77777777" w:rsidR="001332F0" w:rsidRDefault="001332F0" w:rsidP="005A0EF4">
      <w:pPr>
        <w:rPr>
          <w:rFonts w:cstheme="minorBidi"/>
        </w:rPr>
      </w:pPr>
    </w:p>
    <w:p w14:paraId="541D94C6" w14:textId="77777777" w:rsidR="00B66841" w:rsidRDefault="00B66841" w:rsidP="005A0EF4">
      <w:pPr>
        <w:rPr>
          <w:rFonts w:cstheme="minorBidi"/>
        </w:rPr>
        <w:sectPr w:rsidR="00B66841" w:rsidSect="00B66841">
          <w:headerReference w:type="default" r:id="rId17"/>
          <w:pgSz w:w="11900" w:h="16840" w:code="9"/>
          <w:pgMar w:top="1440" w:right="1440" w:bottom="1440" w:left="1440" w:header="720" w:footer="720" w:gutter="0"/>
          <w:cols w:space="720"/>
          <w:docGrid w:linePitch="360"/>
        </w:sectPr>
      </w:pPr>
    </w:p>
    <w:p w14:paraId="5D22A74B" w14:textId="1792E576" w:rsidR="00084EBB" w:rsidRPr="009819CE" w:rsidRDefault="00B577C1" w:rsidP="00E22ACF">
      <w:pPr>
        <w:pStyle w:val="Heading1"/>
        <w:numPr>
          <w:ilvl w:val="0"/>
          <w:numId w:val="6"/>
        </w:numPr>
      </w:pPr>
      <w:bookmarkStart w:id="6" w:name="_Toc204106579"/>
      <w:r w:rsidRPr="009819CE">
        <w:t>De</w:t>
      </w:r>
      <w:r w:rsidR="00C52F72" w:rsidRPr="009819CE">
        <w:t>dicatory</w:t>
      </w:r>
      <w:bookmarkEnd w:id="6"/>
    </w:p>
    <w:p w14:paraId="7E32EFBD" w14:textId="77777777" w:rsidR="00F64293" w:rsidRPr="009819CE" w:rsidRDefault="00F64293" w:rsidP="00DA29AB">
      <w:pPr>
        <w:pStyle w:val="ListParagraph"/>
        <w:spacing w:before="0" w:after="0"/>
        <w:ind w:left="180"/>
        <w:rPr>
          <w:rFonts w:cstheme="minorBidi"/>
          <w:b/>
          <w:color w:val="000000" w:themeColor="text1"/>
        </w:rPr>
      </w:pPr>
    </w:p>
    <w:p w14:paraId="1E03D311" w14:textId="77777777" w:rsidR="00F64293" w:rsidRPr="009819CE" w:rsidRDefault="00F64293" w:rsidP="00DA29AB">
      <w:pPr>
        <w:pStyle w:val="ListParagraph"/>
        <w:spacing w:before="0" w:after="0"/>
        <w:ind w:left="180"/>
        <w:rPr>
          <w:rFonts w:cstheme="minorBidi"/>
          <w:b/>
          <w:color w:val="000000" w:themeColor="text1"/>
        </w:rPr>
      </w:pPr>
    </w:p>
    <w:p w14:paraId="0715F7B6" w14:textId="77777777" w:rsidR="00F64293" w:rsidRPr="009819CE" w:rsidRDefault="00F64293" w:rsidP="00DA29AB">
      <w:pPr>
        <w:pStyle w:val="ListParagraph"/>
        <w:spacing w:before="0" w:after="0"/>
        <w:ind w:left="180"/>
        <w:rPr>
          <w:rFonts w:cstheme="minorBidi"/>
          <w:b/>
          <w:color w:val="000000" w:themeColor="text1"/>
        </w:rPr>
      </w:pPr>
    </w:p>
    <w:p w14:paraId="7B0D5C4C" w14:textId="77777777" w:rsidR="00F64293" w:rsidRPr="009819CE" w:rsidRDefault="00F64293" w:rsidP="00DA29AB">
      <w:pPr>
        <w:pStyle w:val="ListParagraph"/>
        <w:spacing w:before="0" w:after="0"/>
        <w:ind w:left="180"/>
        <w:rPr>
          <w:rFonts w:cstheme="minorBidi"/>
          <w:b/>
          <w:color w:val="000000" w:themeColor="text1"/>
        </w:rPr>
      </w:pPr>
    </w:p>
    <w:p w14:paraId="2FB0357C" w14:textId="77777777" w:rsidR="00F64293" w:rsidRPr="009819CE" w:rsidRDefault="00F64293" w:rsidP="00DA29AB">
      <w:pPr>
        <w:pStyle w:val="ListParagraph"/>
        <w:spacing w:before="0" w:after="0"/>
        <w:ind w:left="180"/>
        <w:rPr>
          <w:rFonts w:cstheme="minorBidi"/>
          <w:b/>
          <w:color w:val="000000" w:themeColor="text1"/>
        </w:rPr>
      </w:pPr>
    </w:p>
    <w:p w14:paraId="609C51C3" w14:textId="6FEA8900" w:rsidR="0031274E" w:rsidRPr="009819CE" w:rsidRDefault="0031274E" w:rsidP="00DA29AB">
      <w:pPr>
        <w:pStyle w:val="ListParagraph"/>
        <w:spacing w:before="0" w:after="0"/>
        <w:ind w:left="180"/>
        <w:jc w:val="center"/>
        <w:rPr>
          <w:rFonts w:cstheme="minorBidi"/>
          <w:color w:val="000000" w:themeColor="text1"/>
        </w:rPr>
      </w:pPr>
      <w:r w:rsidRPr="009819CE">
        <w:rPr>
          <w:rFonts w:cstheme="minorBidi"/>
          <w:b/>
          <w:color w:val="000000" w:themeColor="text1"/>
        </w:rPr>
        <w:t xml:space="preserve">For </w:t>
      </w:r>
      <w:r w:rsidR="00AB6DEF" w:rsidRPr="00FA7D47">
        <w:rPr>
          <w:rFonts w:cstheme="minorBidi"/>
          <w:b/>
          <w:color w:val="000000" w:themeColor="text1"/>
        </w:rPr>
        <w:t>Lucas</w:t>
      </w:r>
      <w:r w:rsidR="006B3006" w:rsidRPr="009819CE">
        <w:rPr>
          <w:rFonts w:cstheme="minorBidi"/>
          <w:b/>
          <w:color w:val="000000" w:themeColor="text1"/>
        </w:rPr>
        <w:t xml:space="preserve">, </w:t>
      </w:r>
      <w:r w:rsidRPr="009819CE">
        <w:rPr>
          <w:rFonts w:cstheme="minorBidi"/>
          <w:b/>
          <w:color w:val="000000" w:themeColor="text1"/>
        </w:rPr>
        <w:t>Mark,</w:t>
      </w:r>
      <w:r w:rsidR="00AB6DEF" w:rsidRPr="00FA7D47">
        <w:rPr>
          <w:rFonts w:cstheme="minorBidi"/>
          <w:b/>
          <w:color w:val="000000" w:themeColor="text1"/>
        </w:rPr>
        <w:t xml:space="preserve"> Cruz, </w:t>
      </w:r>
      <w:r w:rsidRPr="009819CE">
        <w:rPr>
          <w:rFonts w:cstheme="minorBidi"/>
          <w:b/>
          <w:color w:val="000000" w:themeColor="text1"/>
        </w:rPr>
        <w:t>Kimba, Brodie and Ona because I love them.</w:t>
      </w:r>
    </w:p>
    <w:p w14:paraId="480AE928" w14:textId="77777777" w:rsidR="00C52F72" w:rsidRPr="009819CE" w:rsidRDefault="00C52F72" w:rsidP="00DA29AB">
      <w:pPr>
        <w:spacing w:before="0" w:after="0"/>
        <w:rPr>
          <w:rFonts w:cstheme="minorBidi"/>
        </w:rPr>
      </w:pPr>
    </w:p>
    <w:p w14:paraId="25D4C218" w14:textId="77777777" w:rsidR="001332F0" w:rsidRDefault="001332F0" w:rsidP="00DA29AB">
      <w:pPr>
        <w:spacing w:before="0" w:after="0"/>
        <w:rPr>
          <w:rFonts w:cstheme="minorBidi"/>
        </w:rPr>
        <w:sectPr w:rsidR="001332F0" w:rsidSect="00B66841">
          <w:headerReference w:type="default" r:id="rId18"/>
          <w:pgSz w:w="11900" w:h="16840" w:code="9"/>
          <w:pgMar w:top="1440" w:right="1440" w:bottom="1440" w:left="1440" w:header="720" w:footer="720" w:gutter="0"/>
          <w:cols w:space="720"/>
          <w:docGrid w:linePitch="360"/>
        </w:sectPr>
      </w:pPr>
    </w:p>
    <w:p w14:paraId="5E525175" w14:textId="18ADC31B" w:rsidR="006D4904" w:rsidRPr="009819CE" w:rsidRDefault="00A23E20" w:rsidP="00E22ACF">
      <w:pPr>
        <w:pStyle w:val="Heading1"/>
        <w:numPr>
          <w:ilvl w:val="0"/>
          <w:numId w:val="6"/>
        </w:numPr>
      </w:pPr>
      <w:bookmarkStart w:id="7" w:name="_Toc204106580"/>
      <w:r w:rsidRPr="009819CE">
        <w:t>Peer-reviewed publications</w:t>
      </w:r>
      <w:bookmarkEnd w:id="7"/>
    </w:p>
    <w:p w14:paraId="75A3B02D" w14:textId="77777777" w:rsidR="00B541B4" w:rsidRPr="00B541B4" w:rsidRDefault="00DD10BD">
      <w:pPr>
        <w:pStyle w:val="ListParagraph"/>
        <w:numPr>
          <w:ilvl w:val="0"/>
          <w:numId w:val="33"/>
        </w:numPr>
        <w:spacing w:before="0" w:after="0"/>
        <w:rPr>
          <w:rFonts w:eastAsiaTheme="majorEastAsia" w:cstheme="minorBidi"/>
          <w:b/>
          <w:bCs/>
          <w:color w:val="000000" w:themeColor="text1"/>
          <w:u w:val="single"/>
          <w:shd w:val="clear" w:color="auto" w:fill="FFFFFF"/>
        </w:rPr>
      </w:pPr>
      <w:r w:rsidRPr="00B541B4">
        <w:rPr>
          <w:rFonts w:cstheme="minorBidi"/>
          <w:color w:val="000000" w:themeColor="text1"/>
        </w:rPr>
        <w:t>Molto-Martin, I., Neil, D.M., Coates, C.J., Mackenzie, S., Bass, D., Stentiford, G.D., Albalat, A., 2024. Infection of Norway lobster (</w:t>
      </w:r>
      <w:r w:rsidR="00C31E47" w:rsidRPr="00B541B4">
        <w:rPr>
          <w:rFonts w:cstheme="minorBidi"/>
          <w:i/>
          <w:iCs/>
          <w:color w:val="000000" w:themeColor="text1"/>
        </w:rPr>
        <w:t>Nephrops</w:t>
      </w:r>
      <w:r w:rsidRPr="00B541B4">
        <w:rPr>
          <w:rFonts w:cstheme="minorBidi"/>
          <w:i/>
          <w:iCs/>
          <w:color w:val="000000" w:themeColor="text1"/>
        </w:rPr>
        <w:t xml:space="preserve"> norvegicus</w:t>
      </w:r>
      <w:r w:rsidRPr="00B541B4">
        <w:rPr>
          <w:rFonts w:cstheme="minorBidi"/>
          <w:color w:val="000000" w:themeColor="text1"/>
        </w:rPr>
        <w:t xml:space="preserve">) by the parasite </w:t>
      </w:r>
      <w:r w:rsidR="009D03F4" w:rsidRPr="00B541B4">
        <w:rPr>
          <w:rFonts w:cstheme="minorBidi"/>
          <w:i/>
          <w:iCs/>
          <w:color w:val="000000" w:themeColor="text1"/>
        </w:rPr>
        <w:t>Hematodinium</w:t>
      </w:r>
      <w:r w:rsidRPr="00B541B4">
        <w:rPr>
          <w:rFonts w:cstheme="minorBidi"/>
          <w:color w:val="000000" w:themeColor="text1"/>
        </w:rPr>
        <w:t xml:space="preserve"> sp.: insights from 30 years of field observations. Royal Society Open Science 11. </w:t>
      </w:r>
    </w:p>
    <w:p w14:paraId="55A924F8" w14:textId="4AC93412" w:rsidR="008830FC" w:rsidRPr="00B541B4" w:rsidRDefault="00B541B4" w:rsidP="00B541B4">
      <w:pPr>
        <w:pStyle w:val="ListParagraph"/>
        <w:spacing w:before="0" w:after="0"/>
        <w:ind w:left="900"/>
        <w:rPr>
          <w:rFonts w:eastAsiaTheme="majorEastAsia" w:cstheme="minorBidi"/>
          <w:b/>
          <w:bCs/>
          <w:color w:val="000000" w:themeColor="text1"/>
          <w:u w:val="single"/>
          <w:shd w:val="clear" w:color="auto" w:fill="FFFFFF"/>
        </w:rPr>
      </w:pPr>
      <w:hyperlink r:id="rId19" w:history="1">
        <w:r w:rsidRPr="00AD7515">
          <w:rPr>
            <w:rStyle w:val="Hyperlink"/>
            <w:rFonts w:eastAsiaTheme="majorEastAsia" w:cstheme="minorBidi"/>
            <w:b/>
            <w:bCs/>
            <w:shd w:val="clear" w:color="auto" w:fill="FFFFFF"/>
          </w:rPr>
          <w:t>https://doi.org/10.1098/rsos.231147</w:t>
        </w:r>
      </w:hyperlink>
    </w:p>
    <w:p w14:paraId="311DC7F8" w14:textId="77777777" w:rsidR="00B541B4" w:rsidRPr="00B541B4" w:rsidRDefault="008B532E" w:rsidP="00DB4BF3">
      <w:pPr>
        <w:pStyle w:val="ListParagraph"/>
        <w:numPr>
          <w:ilvl w:val="0"/>
          <w:numId w:val="33"/>
        </w:numPr>
        <w:spacing w:before="0" w:after="0"/>
        <w:rPr>
          <w:rFonts w:eastAsiaTheme="majorEastAsia" w:cstheme="minorBidi"/>
          <w:color w:val="000000" w:themeColor="text1"/>
          <w:u w:val="single"/>
        </w:rPr>
      </w:pPr>
      <w:r w:rsidRPr="00B541B4">
        <w:rPr>
          <w:rFonts w:eastAsiaTheme="majorEastAsia" w:cstheme="minorBidi"/>
          <w:b/>
          <w:bCs/>
          <w:color w:val="000000" w:themeColor="text1"/>
          <w:u w:val="single"/>
          <w:shd w:val="clear" w:color="auto" w:fill="FFFFFF"/>
        </w:rPr>
        <w:t xml:space="preserve"> </w:t>
      </w:r>
      <w:r w:rsidR="00474F19" w:rsidRPr="00B541B4">
        <w:rPr>
          <w:rFonts w:eastAsiaTheme="majorEastAsia" w:cstheme="minorBidi"/>
          <w:color w:val="000000" w:themeColor="text1"/>
          <w:u w:val="single"/>
          <w:shd w:val="clear" w:color="auto" w:fill="FFFFFF"/>
        </w:rPr>
        <w:t xml:space="preserve">Martin, I., </w:t>
      </w:r>
      <w:r w:rsidR="00633653" w:rsidRPr="00B541B4">
        <w:rPr>
          <w:rFonts w:cstheme="minorBidi"/>
          <w:color w:val="000000" w:themeColor="text1"/>
          <w:shd w:val="clear" w:color="auto" w:fill="FFFFFF"/>
        </w:rPr>
        <w:t>Elsheshtawy, A., Clokie, B.G.J. </w:t>
      </w:r>
      <w:r w:rsidR="002D78CE" w:rsidRPr="00B541B4">
        <w:rPr>
          <w:rFonts w:cstheme="minorBidi"/>
          <w:color w:val="000000" w:themeColor="text1"/>
          <w:shd w:val="clear" w:color="auto" w:fill="FFFFFF"/>
        </w:rPr>
        <w:t>,</w:t>
      </w:r>
      <w:r w:rsidR="002D78CE" w:rsidRPr="00B541B4">
        <w:rPr>
          <w:rFonts w:cstheme="minorBidi"/>
          <w:color w:val="000000" w:themeColor="text1"/>
        </w:rPr>
        <w:t xml:space="preserve"> Mackenzie, S., Bass, D., Stentiford, G.D., Albalat, A.</w:t>
      </w:r>
      <w:r w:rsidR="00633653" w:rsidRPr="00B541B4">
        <w:rPr>
          <w:rFonts w:eastAsiaTheme="majorEastAsia" w:cstheme="minorBidi"/>
          <w:color w:val="000000" w:themeColor="text1"/>
          <w:shd w:val="clear" w:color="auto" w:fill="FFFFFF"/>
        </w:rPr>
        <w:t xml:space="preserve"> </w:t>
      </w:r>
      <w:r w:rsidR="00474F19" w:rsidRPr="00B541B4">
        <w:rPr>
          <w:rFonts w:eastAsiaTheme="majorEastAsia" w:cstheme="minorBidi"/>
          <w:color w:val="000000" w:themeColor="text1"/>
          <w:shd w:val="clear" w:color="auto" w:fill="FFFFFF"/>
        </w:rPr>
        <w:t>(2025). Microbiome dynamics associated with Hematodinium sp. infection in Norway lobster (Nephrops norvegicus). Animal Microbiome 7(1): 62.</w:t>
      </w:r>
      <w:r w:rsidR="00B541B4">
        <w:rPr>
          <w:rFonts w:eastAsiaTheme="majorEastAsia" w:cstheme="minorBidi"/>
          <w:color w:val="000000" w:themeColor="text1"/>
          <w:shd w:val="clear" w:color="auto" w:fill="FFFFFF"/>
        </w:rPr>
        <w:t xml:space="preserve"> </w:t>
      </w:r>
      <w:r w:rsidR="000B3BC7" w:rsidRPr="00B541B4">
        <w:rPr>
          <w:rFonts w:eastAsiaTheme="majorEastAsia" w:cstheme="minorBidi"/>
          <w:color w:val="000000" w:themeColor="text1"/>
          <w:u w:val="single"/>
          <w:shd w:val="clear" w:color="auto" w:fill="FFFFFF"/>
        </w:rPr>
        <w:t xml:space="preserve"> </w:t>
      </w:r>
    </w:p>
    <w:p w14:paraId="39AA5A70" w14:textId="23DF61B2" w:rsidR="000B3BC7" w:rsidRPr="00B541B4" w:rsidRDefault="00B541B4" w:rsidP="00B541B4">
      <w:pPr>
        <w:pStyle w:val="ListParagraph"/>
        <w:spacing w:before="0" w:after="0"/>
        <w:ind w:left="900"/>
        <w:rPr>
          <w:rStyle w:val="Hyperlink"/>
          <w:rFonts w:eastAsiaTheme="majorEastAsia" w:cstheme="minorBidi"/>
          <w:color w:val="000000" w:themeColor="text1"/>
        </w:rPr>
      </w:pPr>
      <w:hyperlink r:id="rId20" w:history="1">
        <w:r w:rsidRPr="00AD7515">
          <w:rPr>
            <w:rStyle w:val="Hyperlink"/>
            <w:rFonts w:eastAsiaTheme="majorEastAsia" w:cstheme="minorBidi"/>
            <w:b/>
            <w:bCs/>
            <w:shd w:val="clear" w:color="auto" w:fill="FFFFFF"/>
          </w:rPr>
          <w:t>https://doi.org/10.1186/s42523-025-00416-w</w:t>
        </w:r>
      </w:hyperlink>
    </w:p>
    <w:p w14:paraId="4FE1C60E" w14:textId="041AC123" w:rsidR="0000622A" w:rsidRDefault="0000622A" w:rsidP="000B3BC7">
      <w:pPr>
        <w:pStyle w:val="ListParagraph"/>
        <w:spacing w:before="0" w:after="0"/>
        <w:ind w:left="900"/>
        <w:rPr>
          <w:rFonts w:cstheme="minorBidi"/>
          <w:b/>
          <w:bCs/>
          <w:color w:val="333333"/>
          <w:shd w:val="clear" w:color="auto" w:fill="FFFFFF"/>
        </w:rPr>
      </w:pPr>
    </w:p>
    <w:p w14:paraId="09BFE6F9" w14:textId="77777777" w:rsidR="00D83225" w:rsidRPr="009819CE" w:rsidRDefault="006D4904" w:rsidP="00E22ACF">
      <w:pPr>
        <w:pStyle w:val="Heading1"/>
        <w:numPr>
          <w:ilvl w:val="0"/>
          <w:numId w:val="6"/>
        </w:numPr>
      </w:pPr>
      <w:bookmarkStart w:id="8" w:name="_Toc204106581"/>
      <w:r w:rsidRPr="009819CE">
        <w:t>Scientific conferences and meetings</w:t>
      </w:r>
      <w:bookmarkEnd w:id="8"/>
    </w:p>
    <w:p w14:paraId="3537A527" w14:textId="0C34CB01" w:rsidR="00D83225" w:rsidRPr="009819CE" w:rsidRDefault="00E05F25" w:rsidP="00952EC1">
      <w:pPr>
        <w:pStyle w:val="ListParagraph"/>
        <w:numPr>
          <w:ilvl w:val="0"/>
          <w:numId w:val="9"/>
        </w:numPr>
        <w:autoSpaceDE w:val="0"/>
        <w:autoSpaceDN w:val="0"/>
        <w:adjustRightInd w:val="0"/>
        <w:spacing w:before="0" w:after="0"/>
        <w:rPr>
          <w:rFonts w:cstheme="minorBidi"/>
          <w:color w:val="000000" w:themeColor="text1"/>
        </w:rPr>
      </w:pPr>
      <w:r w:rsidRPr="009819CE">
        <w:rPr>
          <w:rFonts w:cstheme="minorBidi"/>
          <w:color w:val="000000" w:themeColor="text1"/>
        </w:rPr>
        <w:t>ARCH-UK Finfish And Shellfish Microbiome Workshop: Poster Presentation, November 2018, Jurys Inn Aberdeen Airport, Argyll Road Aberdeen, Scotland, UK.</w:t>
      </w:r>
    </w:p>
    <w:p w14:paraId="71B08C57" w14:textId="49F9B8D6" w:rsidR="00676B5C" w:rsidRDefault="00676B5C" w:rsidP="00952EC1">
      <w:pPr>
        <w:pStyle w:val="ListParagraph"/>
        <w:numPr>
          <w:ilvl w:val="0"/>
          <w:numId w:val="9"/>
        </w:numPr>
        <w:autoSpaceDE w:val="0"/>
        <w:autoSpaceDN w:val="0"/>
        <w:adjustRightInd w:val="0"/>
        <w:spacing w:before="0" w:after="0"/>
        <w:rPr>
          <w:rFonts w:cstheme="minorBidi"/>
          <w:color w:val="000000" w:themeColor="text1"/>
        </w:rPr>
      </w:pPr>
      <w:r w:rsidRPr="009819CE">
        <w:rPr>
          <w:rFonts w:cstheme="minorBidi"/>
          <w:color w:val="000000" w:themeColor="text1"/>
        </w:rPr>
        <w:t>Institute of Aquaculture PhD Symposium: Poster and Oral Presentation, October 2019, Institute of Aquaculture, University of Stirling, UK.</w:t>
      </w:r>
    </w:p>
    <w:p w14:paraId="6EFBDE1E" w14:textId="77777777" w:rsidR="00B541B4" w:rsidRDefault="00B541B4" w:rsidP="00B541B4">
      <w:pPr>
        <w:pStyle w:val="ListParagraph"/>
        <w:autoSpaceDE w:val="0"/>
        <w:autoSpaceDN w:val="0"/>
        <w:adjustRightInd w:val="0"/>
        <w:spacing w:before="0" w:after="0"/>
        <w:ind w:left="360"/>
        <w:rPr>
          <w:rFonts w:cstheme="minorBidi"/>
          <w:color w:val="000000" w:themeColor="text1"/>
        </w:rPr>
      </w:pPr>
    </w:p>
    <w:p w14:paraId="530E7D7F" w14:textId="764DD63A" w:rsidR="006D4904" w:rsidRPr="009819CE" w:rsidRDefault="006D4904" w:rsidP="00E22ACF">
      <w:pPr>
        <w:pStyle w:val="Heading1"/>
        <w:numPr>
          <w:ilvl w:val="0"/>
          <w:numId w:val="6"/>
        </w:numPr>
      </w:pPr>
      <w:bookmarkStart w:id="9" w:name="_Toc204106582"/>
      <w:r w:rsidRPr="009819CE">
        <w:t>Trainings and workshops</w:t>
      </w:r>
      <w:bookmarkEnd w:id="9"/>
    </w:p>
    <w:p w14:paraId="17734579" w14:textId="478A0350" w:rsidR="00BE6798" w:rsidRPr="009819CE" w:rsidRDefault="007546C8" w:rsidP="00952EC1">
      <w:pPr>
        <w:pStyle w:val="ListParagraph"/>
        <w:numPr>
          <w:ilvl w:val="0"/>
          <w:numId w:val="10"/>
        </w:numPr>
        <w:autoSpaceDE w:val="0"/>
        <w:autoSpaceDN w:val="0"/>
        <w:adjustRightInd w:val="0"/>
        <w:spacing w:before="0" w:after="0"/>
        <w:rPr>
          <w:rFonts w:cstheme="minorBidi"/>
          <w:color w:val="000000" w:themeColor="text1"/>
        </w:rPr>
      </w:pPr>
      <w:r w:rsidRPr="009819CE">
        <w:rPr>
          <w:rFonts w:cstheme="minorBidi"/>
          <w:color w:val="000000" w:themeColor="text1"/>
        </w:rPr>
        <w:t>T</w:t>
      </w:r>
      <w:r w:rsidR="00676B5C" w:rsidRPr="009819CE">
        <w:rPr>
          <w:rFonts w:cstheme="minorBidi"/>
          <w:color w:val="000000" w:themeColor="text1"/>
        </w:rPr>
        <w:t>ARCH-UK Finfish And Shellfish Microbiome Workshop, November 2018, Jurys Inn Aberdeen Airport, Argyll Road Aberdeen, Scotland, UK.</w:t>
      </w:r>
    </w:p>
    <w:p w14:paraId="578ED0CC" w14:textId="77777777" w:rsidR="002D3430" w:rsidRPr="009819CE" w:rsidRDefault="002D3430" w:rsidP="00952EC1">
      <w:pPr>
        <w:pStyle w:val="ListParagraph"/>
        <w:numPr>
          <w:ilvl w:val="0"/>
          <w:numId w:val="10"/>
        </w:numPr>
        <w:autoSpaceDE w:val="0"/>
        <w:autoSpaceDN w:val="0"/>
        <w:adjustRightInd w:val="0"/>
        <w:spacing w:before="0" w:after="0"/>
        <w:rPr>
          <w:rFonts w:cstheme="minorBidi"/>
          <w:color w:val="000000" w:themeColor="text1"/>
        </w:rPr>
      </w:pPr>
      <w:r w:rsidRPr="009819CE">
        <w:rPr>
          <w:rFonts w:eastAsiaTheme="minorEastAsia" w:cstheme="minorBidi"/>
          <w:color w:val="000000" w:themeColor="text1"/>
        </w:rPr>
        <w:t>ARCH-UK Proteomics Workshop</w:t>
      </w:r>
      <w:r w:rsidRPr="009819CE">
        <w:rPr>
          <w:rFonts w:cstheme="minorBidi"/>
          <w:color w:val="000000" w:themeColor="text1"/>
        </w:rPr>
        <w:t xml:space="preserve">, </w:t>
      </w:r>
      <w:r w:rsidRPr="009819CE">
        <w:rPr>
          <w:rFonts w:eastAsiaTheme="minorEastAsia" w:cstheme="minorBidi"/>
          <w:color w:val="000000" w:themeColor="text1"/>
        </w:rPr>
        <w:t>November 2019</w:t>
      </w:r>
      <w:r w:rsidRPr="009819CE">
        <w:rPr>
          <w:rFonts w:cstheme="minorBidi"/>
          <w:color w:val="000000" w:themeColor="text1"/>
        </w:rPr>
        <w:t>,</w:t>
      </w:r>
      <w:r w:rsidRPr="009819CE">
        <w:rPr>
          <w:rFonts w:eastAsiaTheme="minorEastAsia" w:cstheme="minorBidi"/>
          <w:color w:val="000000" w:themeColor="text1"/>
        </w:rPr>
        <w:t xml:space="preserve"> Institute of Aquaculture</w:t>
      </w:r>
      <w:r w:rsidRPr="009819CE">
        <w:rPr>
          <w:rFonts w:cstheme="minorBidi"/>
          <w:color w:val="000000" w:themeColor="text1"/>
        </w:rPr>
        <w:t>,</w:t>
      </w:r>
      <w:r w:rsidRPr="009819CE">
        <w:rPr>
          <w:rFonts w:eastAsiaTheme="minorEastAsia" w:cstheme="minorBidi"/>
          <w:color w:val="000000" w:themeColor="text1"/>
        </w:rPr>
        <w:t xml:space="preserve"> University of Stirling</w:t>
      </w:r>
      <w:r w:rsidRPr="009819CE">
        <w:rPr>
          <w:rFonts w:cstheme="minorBidi"/>
          <w:color w:val="000000" w:themeColor="text1"/>
        </w:rPr>
        <w:t>, UK.</w:t>
      </w:r>
    </w:p>
    <w:p w14:paraId="1CED06AA" w14:textId="77777777" w:rsidR="002D3430" w:rsidRPr="009819CE" w:rsidRDefault="002D3430" w:rsidP="00952EC1">
      <w:pPr>
        <w:pStyle w:val="ListParagraph"/>
        <w:numPr>
          <w:ilvl w:val="0"/>
          <w:numId w:val="10"/>
        </w:numPr>
        <w:autoSpaceDE w:val="0"/>
        <w:autoSpaceDN w:val="0"/>
        <w:adjustRightInd w:val="0"/>
        <w:spacing w:before="0" w:after="0"/>
        <w:rPr>
          <w:rFonts w:cstheme="minorBidi"/>
          <w:color w:val="000000" w:themeColor="text1"/>
        </w:rPr>
      </w:pPr>
      <w:r w:rsidRPr="009819CE">
        <w:rPr>
          <w:rFonts w:cstheme="minorBidi"/>
          <w:color w:val="000000" w:themeColor="text1"/>
        </w:rPr>
        <w:t xml:space="preserve">Teaching Assistant Course, 25th January 2019, University of Stirling Academic Development, Stirling, UK. </w:t>
      </w:r>
    </w:p>
    <w:p w14:paraId="4C257875" w14:textId="77777777" w:rsidR="002D3430" w:rsidRPr="009819CE" w:rsidRDefault="002D3430" w:rsidP="00952EC1">
      <w:pPr>
        <w:pStyle w:val="ListParagraph"/>
        <w:numPr>
          <w:ilvl w:val="0"/>
          <w:numId w:val="10"/>
        </w:numPr>
        <w:autoSpaceDE w:val="0"/>
        <w:autoSpaceDN w:val="0"/>
        <w:adjustRightInd w:val="0"/>
        <w:spacing w:before="0" w:after="0"/>
        <w:rPr>
          <w:rFonts w:cstheme="minorBidi"/>
          <w:color w:val="000000" w:themeColor="text1"/>
        </w:rPr>
      </w:pPr>
      <w:r w:rsidRPr="009819CE">
        <w:rPr>
          <w:rFonts w:cstheme="minorBidi"/>
          <w:color w:val="000000" w:themeColor="text1"/>
        </w:rPr>
        <w:t xml:space="preserve">Demonstrator within the Faculty of Natural Sciences – Institute of Aquaculture, University of Stirling (27 September 2021 to 17 December 2021). </w:t>
      </w:r>
    </w:p>
    <w:p w14:paraId="548AEC08" w14:textId="77777777" w:rsidR="002D3430" w:rsidRPr="009819CE" w:rsidRDefault="002D3430" w:rsidP="00952EC1">
      <w:pPr>
        <w:pStyle w:val="ListParagraph"/>
        <w:numPr>
          <w:ilvl w:val="0"/>
          <w:numId w:val="10"/>
        </w:numPr>
        <w:autoSpaceDE w:val="0"/>
        <w:autoSpaceDN w:val="0"/>
        <w:adjustRightInd w:val="0"/>
        <w:spacing w:before="0" w:after="0"/>
        <w:rPr>
          <w:rFonts w:cstheme="minorBidi"/>
          <w:color w:val="000000" w:themeColor="text1"/>
        </w:rPr>
      </w:pPr>
      <w:r w:rsidRPr="009819CE">
        <w:rPr>
          <w:rFonts w:cstheme="minorBidi"/>
          <w:color w:val="000000" w:themeColor="text1"/>
        </w:rPr>
        <w:t>Part-time Lecturer within the Faculty of Natural Sciences - Institute of Aquaculture, University of Stirling.  (08 November 2021 to 31 July 2022).</w:t>
      </w:r>
    </w:p>
    <w:p w14:paraId="4135C849" w14:textId="6DF14474" w:rsidR="008B2F1D" w:rsidRPr="009819CE" w:rsidRDefault="006D4904" w:rsidP="00E22ACF">
      <w:pPr>
        <w:pStyle w:val="Heading1"/>
        <w:numPr>
          <w:ilvl w:val="0"/>
          <w:numId w:val="6"/>
        </w:numPr>
      </w:pPr>
      <w:bookmarkStart w:id="10" w:name="_Toc204106583"/>
      <w:r w:rsidRPr="009819CE">
        <w:t>Grants</w:t>
      </w:r>
      <w:bookmarkEnd w:id="10"/>
    </w:p>
    <w:p w14:paraId="70ACA84B" w14:textId="0FB55622" w:rsidR="002D3430" w:rsidRPr="00B541B4" w:rsidRDefault="002D3430" w:rsidP="008A2394">
      <w:pPr>
        <w:pStyle w:val="ListParagraph"/>
        <w:numPr>
          <w:ilvl w:val="0"/>
          <w:numId w:val="7"/>
        </w:numPr>
        <w:spacing w:before="0" w:after="0"/>
        <w:ind w:left="284" w:hanging="284"/>
        <w:rPr>
          <w:rFonts w:cstheme="minorBidi"/>
          <w:color w:val="000000" w:themeColor="text1"/>
        </w:rPr>
      </w:pPr>
      <w:r w:rsidRPr="00B541B4">
        <w:rPr>
          <w:rFonts w:cstheme="minorBidi"/>
          <w:color w:val="000000" w:themeColor="text1"/>
        </w:rPr>
        <w:t>Fishmongers’ Company Fish And Fisheries Programme Academic Sponsorship (2020). Funding value of</w:t>
      </w:r>
      <w:r w:rsidRPr="00B541B4">
        <w:rPr>
          <w:rFonts w:cstheme="minorBidi"/>
        </w:rPr>
        <w:t xml:space="preserve"> </w:t>
      </w:r>
      <w:r w:rsidRPr="00B541B4">
        <w:rPr>
          <w:rFonts w:cstheme="minorBidi"/>
          <w:color w:val="000000" w:themeColor="text1"/>
        </w:rPr>
        <w:t>£3,340.</w:t>
      </w:r>
    </w:p>
    <w:p w14:paraId="19D1A85C" w14:textId="77777777" w:rsidR="00B541B4" w:rsidRDefault="00B541B4" w:rsidP="00DA29AB">
      <w:pPr>
        <w:spacing w:before="0" w:after="0"/>
        <w:rPr>
          <w:rFonts w:cstheme="minorBidi"/>
          <w:color w:val="000000" w:themeColor="text1"/>
        </w:rPr>
        <w:sectPr w:rsidR="00B541B4" w:rsidSect="001332F0">
          <w:headerReference w:type="default" r:id="rId21"/>
          <w:pgSz w:w="11900" w:h="16840" w:code="9"/>
          <w:pgMar w:top="1440" w:right="1440" w:bottom="1440" w:left="1440" w:header="720" w:footer="720" w:gutter="0"/>
          <w:cols w:space="720"/>
          <w:docGrid w:linePitch="360"/>
        </w:sectPr>
      </w:pPr>
    </w:p>
    <w:p w14:paraId="24015929" w14:textId="0024EDD1" w:rsidR="00B513BA" w:rsidRPr="009819CE" w:rsidRDefault="006D4904" w:rsidP="00E22ACF">
      <w:pPr>
        <w:pStyle w:val="Heading1"/>
        <w:numPr>
          <w:ilvl w:val="0"/>
          <w:numId w:val="6"/>
        </w:numPr>
      </w:pPr>
      <w:bookmarkStart w:id="11" w:name="_Toc204106584"/>
      <w:bookmarkStart w:id="12" w:name="_Toc504297433"/>
      <w:bookmarkStart w:id="13" w:name="_Toc504934481"/>
      <w:r w:rsidRPr="009819CE">
        <w:t>List of abbreviations</w:t>
      </w:r>
      <w:bookmarkEnd w:id="11"/>
    </w:p>
    <w:p w14:paraId="23C41989" w14:textId="77777777" w:rsidR="00AA74A4" w:rsidRPr="009819CE" w:rsidRDefault="00AA74A4" w:rsidP="00DA29AB">
      <w:pPr>
        <w:spacing w:before="0" w:after="0"/>
        <w:rPr>
          <w:rFonts w:cstheme="minorBidi"/>
          <w:color w:val="000000" w:themeColor="text1"/>
        </w:rPr>
      </w:pPr>
    </w:p>
    <w:tbl>
      <w:tblPr>
        <w:tblStyle w:val="TableGrid"/>
        <w:tblW w:w="0" w:type="auto"/>
        <w:tblLook w:val="04A0" w:firstRow="1" w:lastRow="0" w:firstColumn="1" w:lastColumn="0" w:noHBand="0" w:noVBand="1"/>
      </w:tblPr>
      <w:tblGrid>
        <w:gridCol w:w="1907"/>
        <w:gridCol w:w="7103"/>
      </w:tblGrid>
      <w:tr w:rsidR="00981B66" w:rsidRPr="00FA7D47" w14:paraId="5D50031C" w14:textId="77777777" w:rsidTr="00981B66">
        <w:trPr>
          <w:trHeight w:val="300"/>
        </w:trPr>
        <w:tc>
          <w:tcPr>
            <w:tcW w:w="1907" w:type="dxa"/>
            <w:noWrap/>
            <w:hideMark/>
          </w:tcPr>
          <w:p w14:paraId="271C144B"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Abbreviation</w:t>
            </w:r>
          </w:p>
        </w:tc>
        <w:tc>
          <w:tcPr>
            <w:tcW w:w="7103" w:type="dxa"/>
            <w:noWrap/>
            <w:hideMark/>
          </w:tcPr>
          <w:p w14:paraId="7B433B89"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Meaning</w:t>
            </w:r>
          </w:p>
        </w:tc>
      </w:tr>
      <w:tr w:rsidR="00981B66" w:rsidRPr="00FA7D47" w14:paraId="617BC133" w14:textId="77777777" w:rsidTr="00981B66">
        <w:trPr>
          <w:trHeight w:val="300"/>
        </w:trPr>
        <w:tc>
          <w:tcPr>
            <w:tcW w:w="1907" w:type="dxa"/>
            <w:hideMark/>
          </w:tcPr>
          <w:p w14:paraId="61942B40"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w:t>
            </w:r>
          </w:p>
        </w:tc>
        <w:tc>
          <w:tcPr>
            <w:tcW w:w="7103" w:type="dxa"/>
            <w:hideMark/>
          </w:tcPr>
          <w:p w14:paraId="0C4C2D8A"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Percentage </w:t>
            </w:r>
          </w:p>
        </w:tc>
      </w:tr>
      <w:tr w:rsidR="00981B66" w:rsidRPr="00FA7D47" w14:paraId="2831527E" w14:textId="77777777" w:rsidTr="00981B66">
        <w:trPr>
          <w:trHeight w:val="300"/>
        </w:trPr>
        <w:tc>
          <w:tcPr>
            <w:tcW w:w="1907" w:type="dxa"/>
            <w:hideMark/>
          </w:tcPr>
          <w:p w14:paraId="63AFB8F6"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×g</w:t>
            </w:r>
          </w:p>
        </w:tc>
        <w:tc>
          <w:tcPr>
            <w:tcW w:w="7103" w:type="dxa"/>
            <w:hideMark/>
          </w:tcPr>
          <w:p w14:paraId="6757A3BC"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Centrifugal force </w:t>
            </w:r>
          </w:p>
        </w:tc>
      </w:tr>
      <w:tr w:rsidR="00981B66" w:rsidRPr="00FA7D47" w14:paraId="4AB50F12" w14:textId="77777777" w:rsidTr="00981B66">
        <w:trPr>
          <w:trHeight w:val="300"/>
        </w:trPr>
        <w:tc>
          <w:tcPr>
            <w:tcW w:w="1907" w:type="dxa"/>
            <w:hideMark/>
          </w:tcPr>
          <w:p w14:paraId="07367488"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w:t>
            </w:r>
          </w:p>
        </w:tc>
        <w:tc>
          <w:tcPr>
            <w:tcW w:w="7103" w:type="dxa"/>
            <w:hideMark/>
          </w:tcPr>
          <w:p w14:paraId="4F214731"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Degree Celsius </w:t>
            </w:r>
          </w:p>
        </w:tc>
      </w:tr>
      <w:tr w:rsidR="00981B66" w:rsidRPr="00FA7D47" w14:paraId="47975CAF" w14:textId="77777777" w:rsidTr="00981B66">
        <w:trPr>
          <w:trHeight w:val="300"/>
        </w:trPr>
        <w:tc>
          <w:tcPr>
            <w:tcW w:w="1907" w:type="dxa"/>
            <w:hideMark/>
          </w:tcPr>
          <w:p w14:paraId="1F101170" w14:textId="14D06874"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µg</w:t>
            </w:r>
            <w:r w:rsidR="0095549A">
              <w:rPr>
                <w:rFonts w:cstheme="minorBidi"/>
                <w:color w:val="000000" w:themeColor="text1"/>
                <w:lang w:val="en-GB"/>
              </w:rPr>
              <w:t xml:space="preserve"> </w:t>
            </w:r>
            <w:r w:rsidRPr="009819CE">
              <w:rPr>
                <w:rFonts w:cstheme="minorBidi"/>
                <w:color w:val="000000" w:themeColor="text1"/>
                <w:lang w:val="en-GB"/>
              </w:rPr>
              <w:t>mL</w:t>
            </w:r>
            <w:r w:rsidR="0095549A" w:rsidRPr="001F4A34">
              <w:rPr>
                <w:rFonts w:cstheme="minorBidi"/>
                <w:color w:val="000000" w:themeColor="text1"/>
                <w:vertAlign w:val="superscript"/>
              </w:rPr>
              <w:t>-1</w:t>
            </w:r>
          </w:p>
        </w:tc>
        <w:tc>
          <w:tcPr>
            <w:tcW w:w="7103" w:type="dxa"/>
            <w:hideMark/>
          </w:tcPr>
          <w:p w14:paraId="4679BEBE" w14:textId="715F3A46"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Micrograms per </w:t>
            </w:r>
            <w:r w:rsidR="00D14A2C" w:rsidRPr="00FA7D47">
              <w:rPr>
                <w:rFonts w:cstheme="minorBidi"/>
                <w:color w:val="000000" w:themeColor="text1"/>
                <w:lang w:val="en-GB"/>
              </w:rPr>
              <w:t>millilitre</w:t>
            </w:r>
          </w:p>
        </w:tc>
      </w:tr>
      <w:tr w:rsidR="00981B66" w:rsidRPr="00FA7D47" w14:paraId="3BE99A42" w14:textId="77777777" w:rsidTr="00981B66">
        <w:trPr>
          <w:trHeight w:val="300"/>
        </w:trPr>
        <w:tc>
          <w:tcPr>
            <w:tcW w:w="1907" w:type="dxa"/>
            <w:hideMark/>
          </w:tcPr>
          <w:p w14:paraId="14CB815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µm</w:t>
            </w:r>
          </w:p>
        </w:tc>
        <w:tc>
          <w:tcPr>
            <w:tcW w:w="7103" w:type="dxa"/>
            <w:hideMark/>
          </w:tcPr>
          <w:p w14:paraId="5E2E93D1"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Micrometer</w:t>
            </w:r>
          </w:p>
        </w:tc>
      </w:tr>
      <w:tr w:rsidR="00981B66" w:rsidRPr="00FA7D47" w14:paraId="6DC18DB4" w14:textId="77777777" w:rsidTr="00981B66">
        <w:trPr>
          <w:trHeight w:val="300"/>
        </w:trPr>
        <w:tc>
          <w:tcPr>
            <w:tcW w:w="1907" w:type="dxa"/>
            <w:hideMark/>
          </w:tcPr>
          <w:p w14:paraId="0BCFADF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18S</w:t>
            </w:r>
          </w:p>
        </w:tc>
        <w:tc>
          <w:tcPr>
            <w:tcW w:w="7103" w:type="dxa"/>
            <w:hideMark/>
          </w:tcPr>
          <w:p w14:paraId="3950D9D5"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small subunit of the ribosomal RNA (rRNA) </w:t>
            </w:r>
          </w:p>
        </w:tc>
      </w:tr>
      <w:tr w:rsidR="00981B66" w:rsidRPr="00FA7D47" w14:paraId="50D38CB4" w14:textId="77777777" w:rsidTr="00981B66">
        <w:trPr>
          <w:trHeight w:val="300"/>
        </w:trPr>
        <w:tc>
          <w:tcPr>
            <w:tcW w:w="1907" w:type="dxa"/>
            <w:noWrap/>
            <w:hideMark/>
          </w:tcPr>
          <w:p w14:paraId="35661D9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A+B</w:t>
            </w:r>
          </w:p>
        </w:tc>
        <w:tc>
          <w:tcPr>
            <w:tcW w:w="7103" w:type="dxa"/>
            <w:noWrap/>
            <w:hideMark/>
          </w:tcPr>
          <w:p w14:paraId="298AE72E"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early post-moult </w:t>
            </w:r>
          </w:p>
        </w:tc>
      </w:tr>
      <w:tr w:rsidR="00981B66" w:rsidRPr="00FA7D47" w14:paraId="2C38154A" w14:textId="77777777" w:rsidTr="00981B66">
        <w:trPr>
          <w:trHeight w:val="300"/>
        </w:trPr>
        <w:tc>
          <w:tcPr>
            <w:tcW w:w="1907" w:type="dxa"/>
            <w:noWrap/>
            <w:hideMark/>
          </w:tcPr>
          <w:p w14:paraId="5EC9A9AF"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AHPND</w:t>
            </w:r>
          </w:p>
        </w:tc>
        <w:tc>
          <w:tcPr>
            <w:tcW w:w="7103" w:type="dxa"/>
            <w:noWrap/>
            <w:hideMark/>
          </w:tcPr>
          <w:p w14:paraId="797F85AC"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Acute Hepatopancreatic Necrosis Disease </w:t>
            </w:r>
          </w:p>
        </w:tc>
      </w:tr>
      <w:tr w:rsidR="00981B66" w:rsidRPr="00FA7D47" w14:paraId="50939597" w14:textId="77777777" w:rsidTr="00981B66">
        <w:trPr>
          <w:trHeight w:val="300"/>
        </w:trPr>
        <w:tc>
          <w:tcPr>
            <w:tcW w:w="1907" w:type="dxa"/>
            <w:hideMark/>
          </w:tcPr>
          <w:p w14:paraId="7E9590D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AMPs</w:t>
            </w:r>
          </w:p>
        </w:tc>
        <w:tc>
          <w:tcPr>
            <w:tcW w:w="7103" w:type="dxa"/>
            <w:hideMark/>
          </w:tcPr>
          <w:p w14:paraId="4AE1B96E"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Antimicrobial peptides </w:t>
            </w:r>
          </w:p>
        </w:tc>
      </w:tr>
      <w:tr w:rsidR="00981B66" w:rsidRPr="00FA7D47" w14:paraId="0B6336CE" w14:textId="77777777" w:rsidTr="00981B66">
        <w:trPr>
          <w:trHeight w:val="300"/>
        </w:trPr>
        <w:tc>
          <w:tcPr>
            <w:tcW w:w="1907" w:type="dxa"/>
            <w:hideMark/>
          </w:tcPr>
          <w:p w14:paraId="48DE9985"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ANOVA </w:t>
            </w:r>
          </w:p>
        </w:tc>
        <w:tc>
          <w:tcPr>
            <w:tcW w:w="7103" w:type="dxa"/>
            <w:hideMark/>
          </w:tcPr>
          <w:p w14:paraId="1EB47117"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Analysis of variance </w:t>
            </w:r>
          </w:p>
        </w:tc>
      </w:tr>
      <w:tr w:rsidR="00981B66" w:rsidRPr="00FA7D47" w14:paraId="1F2F3CA9" w14:textId="77777777" w:rsidTr="00981B66">
        <w:trPr>
          <w:trHeight w:val="300"/>
        </w:trPr>
        <w:tc>
          <w:tcPr>
            <w:tcW w:w="1907" w:type="dxa"/>
            <w:hideMark/>
          </w:tcPr>
          <w:p w14:paraId="783A403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ASVs</w:t>
            </w:r>
          </w:p>
        </w:tc>
        <w:tc>
          <w:tcPr>
            <w:tcW w:w="7103" w:type="dxa"/>
            <w:hideMark/>
          </w:tcPr>
          <w:p w14:paraId="6DBDA351"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Amplicon Sequence Variants </w:t>
            </w:r>
          </w:p>
        </w:tc>
      </w:tr>
      <w:tr w:rsidR="00981B66" w:rsidRPr="00FA7D47" w14:paraId="76A3E1AD" w14:textId="77777777" w:rsidTr="00981B66">
        <w:trPr>
          <w:trHeight w:val="300"/>
        </w:trPr>
        <w:tc>
          <w:tcPr>
            <w:tcW w:w="1907" w:type="dxa"/>
            <w:hideMark/>
          </w:tcPr>
          <w:p w14:paraId="7236D7F6"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AWERB </w:t>
            </w:r>
          </w:p>
        </w:tc>
        <w:tc>
          <w:tcPr>
            <w:tcW w:w="7103" w:type="dxa"/>
            <w:hideMark/>
          </w:tcPr>
          <w:p w14:paraId="3D07FDE4"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Animal Welfare and Ethical Review Body </w:t>
            </w:r>
          </w:p>
        </w:tc>
      </w:tr>
      <w:tr w:rsidR="00981B66" w:rsidRPr="00FA7D47" w14:paraId="1153173E" w14:textId="77777777" w:rsidTr="00981B66">
        <w:trPr>
          <w:trHeight w:val="300"/>
        </w:trPr>
        <w:tc>
          <w:tcPr>
            <w:tcW w:w="1907" w:type="dxa"/>
            <w:noWrap/>
            <w:hideMark/>
          </w:tcPr>
          <w:p w14:paraId="08159F7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BBS</w:t>
            </w:r>
          </w:p>
        </w:tc>
        <w:tc>
          <w:tcPr>
            <w:tcW w:w="7103" w:type="dxa"/>
            <w:noWrap/>
            <w:hideMark/>
          </w:tcPr>
          <w:p w14:paraId="409438C8"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Blue Body Syndrome</w:t>
            </w:r>
          </w:p>
        </w:tc>
      </w:tr>
      <w:tr w:rsidR="00981B66" w:rsidRPr="00FA7D47" w14:paraId="5110C3F8" w14:textId="77777777" w:rsidTr="00981B66">
        <w:trPr>
          <w:trHeight w:val="300"/>
        </w:trPr>
        <w:tc>
          <w:tcPr>
            <w:tcW w:w="1907" w:type="dxa"/>
            <w:hideMark/>
          </w:tcPr>
          <w:p w14:paraId="3BAF5D0C"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BCM</w:t>
            </w:r>
          </w:p>
        </w:tc>
        <w:tc>
          <w:tcPr>
            <w:tcW w:w="7103" w:type="dxa"/>
            <w:hideMark/>
          </w:tcPr>
          <w:p w14:paraId="51915FB0"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Body colour method</w:t>
            </w:r>
          </w:p>
        </w:tc>
      </w:tr>
      <w:tr w:rsidR="00981B66" w:rsidRPr="00FA7D47" w14:paraId="279F76F4" w14:textId="77777777" w:rsidTr="00981B66">
        <w:trPr>
          <w:trHeight w:val="300"/>
        </w:trPr>
        <w:tc>
          <w:tcPr>
            <w:tcW w:w="1907" w:type="dxa"/>
            <w:hideMark/>
          </w:tcPr>
          <w:p w14:paraId="0B3AE38E"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bp </w:t>
            </w:r>
          </w:p>
        </w:tc>
        <w:tc>
          <w:tcPr>
            <w:tcW w:w="7103" w:type="dxa"/>
            <w:hideMark/>
          </w:tcPr>
          <w:p w14:paraId="6D38659F"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Base pair </w:t>
            </w:r>
          </w:p>
        </w:tc>
      </w:tr>
      <w:tr w:rsidR="00981B66" w:rsidRPr="00FA7D47" w14:paraId="7F023681" w14:textId="77777777" w:rsidTr="00981B66">
        <w:trPr>
          <w:trHeight w:val="300"/>
        </w:trPr>
        <w:tc>
          <w:tcPr>
            <w:tcW w:w="1907" w:type="dxa"/>
            <w:noWrap/>
            <w:hideMark/>
          </w:tcPr>
          <w:p w14:paraId="2BA34196"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w:t>
            </w:r>
          </w:p>
        </w:tc>
        <w:tc>
          <w:tcPr>
            <w:tcW w:w="7103" w:type="dxa"/>
            <w:noWrap/>
            <w:hideMark/>
          </w:tcPr>
          <w:p w14:paraId="3117F441"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Intermoult </w:t>
            </w:r>
          </w:p>
        </w:tc>
      </w:tr>
      <w:tr w:rsidR="00981B66" w:rsidRPr="00FA7D47" w14:paraId="269A577C" w14:textId="77777777" w:rsidTr="00981B66">
        <w:trPr>
          <w:trHeight w:val="300"/>
        </w:trPr>
        <w:tc>
          <w:tcPr>
            <w:tcW w:w="1907" w:type="dxa"/>
            <w:hideMark/>
          </w:tcPr>
          <w:p w14:paraId="12F1EB5A"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cDNA</w:t>
            </w:r>
          </w:p>
        </w:tc>
        <w:tc>
          <w:tcPr>
            <w:tcW w:w="7103" w:type="dxa"/>
            <w:hideMark/>
          </w:tcPr>
          <w:p w14:paraId="65DE922B"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Complementary DNA </w:t>
            </w:r>
          </w:p>
        </w:tc>
      </w:tr>
      <w:tr w:rsidR="00981B66" w:rsidRPr="00FA7D47" w14:paraId="7B438C60" w14:textId="77777777" w:rsidTr="00981B66">
        <w:trPr>
          <w:trHeight w:val="300"/>
        </w:trPr>
        <w:tc>
          <w:tcPr>
            <w:tcW w:w="1907" w:type="dxa"/>
            <w:hideMark/>
          </w:tcPr>
          <w:p w14:paraId="0A1AFE0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CEFAS</w:t>
            </w:r>
          </w:p>
        </w:tc>
        <w:tc>
          <w:tcPr>
            <w:tcW w:w="7103" w:type="dxa"/>
            <w:noWrap/>
            <w:hideMark/>
          </w:tcPr>
          <w:p w14:paraId="4890EF9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Centre for Environment, Fisheries, Aquaculture, Science</w:t>
            </w:r>
          </w:p>
        </w:tc>
      </w:tr>
      <w:tr w:rsidR="00981B66" w:rsidRPr="00FA7D47" w14:paraId="3FD944AE" w14:textId="77777777" w:rsidTr="00981B66">
        <w:trPr>
          <w:trHeight w:val="300"/>
        </w:trPr>
        <w:tc>
          <w:tcPr>
            <w:tcW w:w="1907" w:type="dxa"/>
            <w:noWrap/>
            <w:hideMark/>
          </w:tcPr>
          <w:p w14:paraId="696D44FF"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CL</w:t>
            </w:r>
          </w:p>
        </w:tc>
        <w:tc>
          <w:tcPr>
            <w:tcW w:w="7103" w:type="dxa"/>
            <w:noWrap/>
            <w:hideMark/>
          </w:tcPr>
          <w:p w14:paraId="1FFCC9DF"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Carapace length </w:t>
            </w:r>
          </w:p>
        </w:tc>
      </w:tr>
      <w:tr w:rsidR="00981B66" w:rsidRPr="00FA7D47" w14:paraId="0A3A5EDF" w14:textId="77777777" w:rsidTr="00981B66">
        <w:trPr>
          <w:trHeight w:val="300"/>
        </w:trPr>
        <w:tc>
          <w:tcPr>
            <w:tcW w:w="1907" w:type="dxa"/>
            <w:hideMark/>
          </w:tcPr>
          <w:p w14:paraId="0D2CAACB"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cm</w:t>
            </w:r>
          </w:p>
        </w:tc>
        <w:tc>
          <w:tcPr>
            <w:tcW w:w="7103" w:type="dxa"/>
            <w:hideMark/>
          </w:tcPr>
          <w:p w14:paraId="05A0F096" w14:textId="65064D4A" w:rsidR="00981B66" w:rsidRPr="009819CE" w:rsidRDefault="00F23B0C" w:rsidP="00981B66">
            <w:pPr>
              <w:spacing w:before="0" w:after="0"/>
              <w:rPr>
                <w:rFonts w:cstheme="minorBidi"/>
                <w:color w:val="000000" w:themeColor="text1"/>
                <w:lang w:val="en-GB"/>
              </w:rPr>
            </w:pPr>
            <w:r w:rsidRPr="009819CE">
              <w:rPr>
                <w:rFonts w:cstheme="minorBidi"/>
                <w:color w:val="000000" w:themeColor="text1"/>
                <w:lang w:val="en-GB"/>
              </w:rPr>
              <w:t>Centimetre</w:t>
            </w:r>
            <w:r w:rsidR="00981B66" w:rsidRPr="009819CE">
              <w:rPr>
                <w:rFonts w:cstheme="minorBidi"/>
                <w:color w:val="000000" w:themeColor="text1"/>
                <w:lang w:val="en-GB"/>
              </w:rPr>
              <w:t xml:space="preserve"> </w:t>
            </w:r>
          </w:p>
        </w:tc>
      </w:tr>
      <w:tr w:rsidR="00981B66" w:rsidRPr="00FA7D47" w14:paraId="5DB693F3" w14:textId="77777777" w:rsidTr="00981B66">
        <w:trPr>
          <w:trHeight w:val="300"/>
        </w:trPr>
        <w:tc>
          <w:tcPr>
            <w:tcW w:w="1907" w:type="dxa"/>
            <w:hideMark/>
          </w:tcPr>
          <w:p w14:paraId="7C564336"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CSA</w:t>
            </w:r>
          </w:p>
        </w:tc>
        <w:tc>
          <w:tcPr>
            <w:tcW w:w="7103" w:type="dxa"/>
            <w:hideMark/>
          </w:tcPr>
          <w:p w14:paraId="145D6349"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Clyde Sea Area</w:t>
            </w:r>
          </w:p>
        </w:tc>
      </w:tr>
      <w:tr w:rsidR="00981B66" w:rsidRPr="00FA7D47" w14:paraId="51FD0785" w14:textId="77777777" w:rsidTr="00981B66">
        <w:trPr>
          <w:trHeight w:val="300"/>
        </w:trPr>
        <w:tc>
          <w:tcPr>
            <w:tcW w:w="1907" w:type="dxa"/>
            <w:hideMark/>
          </w:tcPr>
          <w:p w14:paraId="4056C677"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Ct </w:t>
            </w:r>
          </w:p>
        </w:tc>
        <w:tc>
          <w:tcPr>
            <w:tcW w:w="7103" w:type="dxa"/>
            <w:hideMark/>
          </w:tcPr>
          <w:p w14:paraId="5C08A05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Cycle threshold </w:t>
            </w:r>
          </w:p>
        </w:tc>
      </w:tr>
      <w:tr w:rsidR="00981B66" w:rsidRPr="00FA7D47" w14:paraId="3973CCA1" w14:textId="77777777" w:rsidTr="00981B66">
        <w:trPr>
          <w:trHeight w:val="300"/>
        </w:trPr>
        <w:tc>
          <w:tcPr>
            <w:tcW w:w="1907" w:type="dxa"/>
            <w:noWrap/>
            <w:hideMark/>
          </w:tcPr>
          <w:p w14:paraId="73165D31"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w:t>
            </w:r>
          </w:p>
        </w:tc>
        <w:tc>
          <w:tcPr>
            <w:tcW w:w="7103" w:type="dxa"/>
            <w:noWrap/>
            <w:hideMark/>
          </w:tcPr>
          <w:p w14:paraId="3C0225E0"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pre-moult </w:t>
            </w:r>
          </w:p>
        </w:tc>
      </w:tr>
      <w:tr w:rsidR="00981B66" w:rsidRPr="00FA7D47" w14:paraId="60CF567F" w14:textId="77777777" w:rsidTr="00981B66">
        <w:trPr>
          <w:trHeight w:val="300"/>
        </w:trPr>
        <w:tc>
          <w:tcPr>
            <w:tcW w:w="1907" w:type="dxa"/>
            <w:hideMark/>
          </w:tcPr>
          <w:p w14:paraId="2A7E168E"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DGGE</w:t>
            </w:r>
          </w:p>
        </w:tc>
        <w:tc>
          <w:tcPr>
            <w:tcW w:w="7103" w:type="dxa"/>
            <w:hideMark/>
          </w:tcPr>
          <w:p w14:paraId="423405C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Denaturing gradient gel electrophoresis</w:t>
            </w:r>
          </w:p>
        </w:tc>
      </w:tr>
      <w:tr w:rsidR="00981B66" w:rsidRPr="00FA7D47" w14:paraId="26C7197E" w14:textId="77777777" w:rsidTr="00981B66">
        <w:trPr>
          <w:trHeight w:val="300"/>
        </w:trPr>
        <w:tc>
          <w:tcPr>
            <w:tcW w:w="1907" w:type="dxa"/>
            <w:hideMark/>
          </w:tcPr>
          <w:p w14:paraId="0D363BDA"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DNA</w:t>
            </w:r>
          </w:p>
        </w:tc>
        <w:tc>
          <w:tcPr>
            <w:tcW w:w="7103" w:type="dxa"/>
            <w:hideMark/>
          </w:tcPr>
          <w:p w14:paraId="74A2DB61"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Deoxyribonucleic Acid</w:t>
            </w:r>
          </w:p>
        </w:tc>
      </w:tr>
      <w:tr w:rsidR="00981B66" w:rsidRPr="00FA7D47" w14:paraId="30BECA8A" w14:textId="77777777" w:rsidTr="00981B66">
        <w:trPr>
          <w:trHeight w:val="300"/>
        </w:trPr>
        <w:tc>
          <w:tcPr>
            <w:tcW w:w="1907" w:type="dxa"/>
            <w:hideMark/>
          </w:tcPr>
          <w:p w14:paraId="3F29B6F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DO</w:t>
            </w:r>
          </w:p>
        </w:tc>
        <w:tc>
          <w:tcPr>
            <w:tcW w:w="7103" w:type="dxa"/>
            <w:hideMark/>
          </w:tcPr>
          <w:p w14:paraId="3E5DD4F0"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Dissolved oxygen</w:t>
            </w:r>
          </w:p>
        </w:tc>
      </w:tr>
      <w:tr w:rsidR="00F32F13" w:rsidRPr="00FA7D47" w14:paraId="04172299" w14:textId="77777777" w:rsidTr="00981B66">
        <w:trPr>
          <w:trHeight w:val="300"/>
        </w:trPr>
        <w:tc>
          <w:tcPr>
            <w:tcW w:w="1907" w:type="dxa"/>
          </w:tcPr>
          <w:p w14:paraId="322EB617" w14:textId="32BA8910" w:rsidR="00F32F13" w:rsidRPr="001F4A34" w:rsidRDefault="00F32F13" w:rsidP="00981B66">
            <w:pPr>
              <w:spacing w:before="0" w:after="0"/>
              <w:rPr>
                <w:rFonts w:cstheme="minorBidi"/>
                <w:color w:val="000000" w:themeColor="text1"/>
                <w:lang w:val="en-GB"/>
              </w:rPr>
            </w:pPr>
            <w:r w:rsidRPr="009819CE">
              <w:rPr>
                <w:rFonts w:cstheme="minorBidi"/>
                <w:color w:val="000000" w:themeColor="text1"/>
              </w:rPr>
              <w:t>DSF</w:t>
            </w:r>
          </w:p>
        </w:tc>
        <w:tc>
          <w:tcPr>
            <w:tcW w:w="7103" w:type="dxa"/>
          </w:tcPr>
          <w:p w14:paraId="450C4DF2" w14:textId="0696E75B" w:rsidR="00F32F13" w:rsidRPr="001F4A34" w:rsidRDefault="00F32F13" w:rsidP="00981B66">
            <w:pPr>
              <w:spacing w:before="0" w:after="0"/>
              <w:rPr>
                <w:rFonts w:cstheme="minorBidi"/>
                <w:color w:val="000000" w:themeColor="text1"/>
                <w:lang w:val="en-GB"/>
              </w:rPr>
            </w:pPr>
            <w:r w:rsidRPr="009819CE">
              <w:rPr>
                <w:rFonts w:cstheme="minorBidi"/>
                <w:color w:val="000000" w:themeColor="text1"/>
              </w:rPr>
              <w:t>Davidson’s Saltwater Fixative</w:t>
            </w:r>
          </w:p>
        </w:tc>
      </w:tr>
      <w:tr w:rsidR="00981B66" w:rsidRPr="00FA7D47" w14:paraId="7B5E0059" w14:textId="77777777" w:rsidTr="00981B66">
        <w:trPr>
          <w:trHeight w:val="300"/>
        </w:trPr>
        <w:tc>
          <w:tcPr>
            <w:tcW w:w="1907" w:type="dxa"/>
            <w:hideMark/>
          </w:tcPr>
          <w:p w14:paraId="226CD153"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EB</w:t>
            </w:r>
          </w:p>
        </w:tc>
        <w:tc>
          <w:tcPr>
            <w:tcW w:w="7103" w:type="dxa"/>
            <w:hideMark/>
          </w:tcPr>
          <w:p w14:paraId="43A711AD" w14:textId="77777777" w:rsidR="00981B66" w:rsidRPr="009819CE" w:rsidRDefault="00981B66" w:rsidP="00981B66">
            <w:pPr>
              <w:spacing w:before="0" w:after="0"/>
              <w:rPr>
                <w:rFonts w:cstheme="minorBidi"/>
                <w:i/>
                <w:iCs/>
                <w:color w:val="000000" w:themeColor="text1"/>
                <w:lang w:val="en-GB"/>
              </w:rPr>
            </w:pPr>
            <w:r w:rsidRPr="009819CE">
              <w:rPr>
                <w:rFonts w:cstheme="minorBidi"/>
                <w:i/>
                <w:iCs/>
                <w:color w:val="000000" w:themeColor="text1"/>
                <w:lang w:val="en-GB"/>
              </w:rPr>
              <w:t>Elution Buffer</w:t>
            </w:r>
          </w:p>
        </w:tc>
      </w:tr>
      <w:tr w:rsidR="00981B66" w:rsidRPr="00FA7D47" w14:paraId="6CD8502C" w14:textId="77777777" w:rsidTr="00981B66">
        <w:trPr>
          <w:trHeight w:val="300"/>
        </w:trPr>
        <w:tc>
          <w:tcPr>
            <w:tcW w:w="1907" w:type="dxa"/>
            <w:hideMark/>
          </w:tcPr>
          <w:p w14:paraId="604042C0"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EDTA</w:t>
            </w:r>
          </w:p>
        </w:tc>
        <w:tc>
          <w:tcPr>
            <w:tcW w:w="7103" w:type="dxa"/>
            <w:hideMark/>
          </w:tcPr>
          <w:p w14:paraId="1C4DB9A9"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Ethylenediaminetetraacetic acid</w:t>
            </w:r>
          </w:p>
        </w:tc>
      </w:tr>
      <w:tr w:rsidR="00981B66" w:rsidRPr="00FA7D47" w14:paraId="2FC565C7" w14:textId="77777777" w:rsidTr="00981B66">
        <w:trPr>
          <w:trHeight w:val="300"/>
        </w:trPr>
        <w:tc>
          <w:tcPr>
            <w:tcW w:w="1907" w:type="dxa"/>
            <w:hideMark/>
          </w:tcPr>
          <w:p w14:paraId="4188A8A3"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ELISA</w:t>
            </w:r>
          </w:p>
        </w:tc>
        <w:tc>
          <w:tcPr>
            <w:tcW w:w="7103" w:type="dxa"/>
            <w:hideMark/>
          </w:tcPr>
          <w:p w14:paraId="32BA4A69"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Enzyme-Linked Immunosorbent Assay</w:t>
            </w:r>
          </w:p>
        </w:tc>
      </w:tr>
      <w:tr w:rsidR="00357581" w:rsidRPr="00FA7D47" w14:paraId="46D80A1D" w14:textId="77777777" w:rsidTr="00981B66">
        <w:trPr>
          <w:trHeight w:val="300"/>
        </w:trPr>
        <w:tc>
          <w:tcPr>
            <w:tcW w:w="1907" w:type="dxa"/>
          </w:tcPr>
          <w:p w14:paraId="11A09181" w14:textId="6086C253" w:rsidR="00357581" w:rsidRPr="001F4A34" w:rsidRDefault="00357581" w:rsidP="00981B66">
            <w:pPr>
              <w:spacing w:before="0" w:after="0"/>
              <w:rPr>
                <w:rFonts w:cstheme="minorBidi"/>
                <w:color w:val="000000" w:themeColor="text1"/>
                <w:lang w:val="en-GB"/>
              </w:rPr>
            </w:pPr>
            <w:r w:rsidRPr="009819CE">
              <w:rPr>
                <w:rFonts w:cstheme="minorBidi"/>
                <w:color w:val="000000" w:themeColor="text1"/>
              </w:rPr>
              <w:t>ESD</w:t>
            </w:r>
          </w:p>
        </w:tc>
        <w:tc>
          <w:tcPr>
            <w:tcW w:w="7103" w:type="dxa"/>
          </w:tcPr>
          <w:p w14:paraId="57FAAD52" w14:textId="5E4195E1" w:rsidR="00357581" w:rsidRPr="001F4A34" w:rsidRDefault="00357581" w:rsidP="00981B66">
            <w:pPr>
              <w:spacing w:before="0" w:after="0"/>
              <w:rPr>
                <w:rFonts w:cstheme="minorBidi"/>
                <w:color w:val="000000" w:themeColor="text1"/>
                <w:lang w:val="en-GB"/>
              </w:rPr>
            </w:pPr>
            <w:r w:rsidRPr="009819CE">
              <w:rPr>
                <w:rFonts w:cstheme="minorBidi"/>
                <w:color w:val="000000" w:themeColor="text1"/>
              </w:rPr>
              <w:t>Epizootic shell disease</w:t>
            </w:r>
          </w:p>
        </w:tc>
      </w:tr>
      <w:tr w:rsidR="00BF4E13" w:rsidRPr="00FA7D47" w14:paraId="2F262293" w14:textId="77777777" w:rsidTr="00981B66">
        <w:trPr>
          <w:trHeight w:val="300"/>
        </w:trPr>
        <w:tc>
          <w:tcPr>
            <w:tcW w:w="1907" w:type="dxa"/>
          </w:tcPr>
          <w:p w14:paraId="7D402822" w14:textId="7E60E5C5" w:rsidR="00BF4E13" w:rsidRPr="001F4A34" w:rsidRDefault="00BF4E13" w:rsidP="00981B66">
            <w:pPr>
              <w:spacing w:before="0" w:after="0"/>
              <w:rPr>
                <w:rFonts w:cstheme="minorBidi"/>
                <w:color w:val="000000" w:themeColor="text1"/>
                <w:lang w:val="en-GB"/>
              </w:rPr>
            </w:pPr>
            <w:r w:rsidRPr="009819CE">
              <w:rPr>
                <w:rFonts w:cstheme="minorBidi"/>
                <w:color w:val="000000" w:themeColor="text1"/>
              </w:rPr>
              <w:t>FDR</w:t>
            </w:r>
          </w:p>
        </w:tc>
        <w:tc>
          <w:tcPr>
            <w:tcW w:w="7103" w:type="dxa"/>
          </w:tcPr>
          <w:p w14:paraId="2150ADBE" w14:textId="48E9CF45" w:rsidR="00BF4E13" w:rsidRPr="001F4A34" w:rsidRDefault="00BF4E13" w:rsidP="00981B66">
            <w:pPr>
              <w:spacing w:before="0" w:after="0"/>
              <w:rPr>
                <w:rFonts w:cstheme="minorBidi"/>
                <w:color w:val="000000" w:themeColor="text1"/>
                <w:lang w:val="en-GB"/>
              </w:rPr>
            </w:pPr>
            <w:r w:rsidRPr="009819CE">
              <w:rPr>
                <w:rFonts w:cstheme="minorBidi"/>
                <w:color w:val="000000" w:themeColor="text1"/>
              </w:rPr>
              <w:t>False discovery rate</w:t>
            </w:r>
          </w:p>
        </w:tc>
      </w:tr>
      <w:tr w:rsidR="00981B66" w:rsidRPr="00FA7D47" w14:paraId="18D21A53" w14:textId="77777777" w:rsidTr="00981B66">
        <w:trPr>
          <w:trHeight w:val="300"/>
        </w:trPr>
        <w:tc>
          <w:tcPr>
            <w:tcW w:w="1907" w:type="dxa"/>
            <w:hideMark/>
          </w:tcPr>
          <w:p w14:paraId="66A538C4"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FISH</w:t>
            </w:r>
          </w:p>
        </w:tc>
        <w:tc>
          <w:tcPr>
            <w:tcW w:w="7103" w:type="dxa"/>
            <w:hideMark/>
          </w:tcPr>
          <w:p w14:paraId="6B7F9709"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Fluorescent in situ hybridization</w:t>
            </w:r>
          </w:p>
        </w:tc>
      </w:tr>
      <w:tr w:rsidR="00D50DAA" w:rsidRPr="00FA7D47" w14:paraId="0CFB65A2" w14:textId="77777777" w:rsidTr="00981B66">
        <w:trPr>
          <w:trHeight w:val="300"/>
        </w:trPr>
        <w:tc>
          <w:tcPr>
            <w:tcW w:w="1907" w:type="dxa"/>
          </w:tcPr>
          <w:p w14:paraId="4ED6055C" w14:textId="209DCDAD" w:rsidR="00D50DAA" w:rsidRPr="001F4A34" w:rsidRDefault="00D50DAA" w:rsidP="00981B66">
            <w:pPr>
              <w:spacing w:before="0" w:after="0"/>
              <w:rPr>
                <w:rFonts w:cstheme="minorBidi"/>
                <w:color w:val="000000" w:themeColor="text1"/>
                <w:lang w:val="en-GB"/>
              </w:rPr>
            </w:pPr>
            <w:r w:rsidRPr="009819CE">
              <w:rPr>
                <w:rFonts w:cstheme="minorBidi"/>
                <w:color w:val="000000" w:themeColor="text1"/>
              </w:rPr>
              <w:t>FSC</w:t>
            </w:r>
          </w:p>
        </w:tc>
        <w:tc>
          <w:tcPr>
            <w:tcW w:w="7103" w:type="dxa"/>
          </w:tcPr>
          <w:p w14:paraId="0398838D" w14:textId="013FFF62" w:rsidR="00D50DAA" w:rsidRPr="001F4A34" w:rsidRDefault="008D6B52" w:rsidP="008D6B52">
            <w:pPr>
              <w:spacing w:before="0" w:after="0" w:line="240" w:lineRule="auto"/>
              <w:rPr>
                <w:rFonts w:ascii="Arial" w:hAnsi="Arial" w:cs="Arial"/>
                <w:color w:val="000000"/>
                <w:lang w:val="en-GB"/>
              </w:rPr>
            </w:pPr>
            <w:r w:rsidRPr="009819CE">
              <w:rPr>
                <w:rFonts w:ascii="Arial" w:hAnsi="Arial" w:cs="Arial"/>
                <w:color w:val="000000"/>
              </w:rPr>
              <w:t xml:space="preserve">Field Studies Council </w:t>
            </w:r>
          </w:p>
        </w:tc>
      </w:tr>
      <w:tr w:rsidR="00981B66" w:rsidRPr="00FA7D47" w14:paraId="548546FA" w14:textId="77777777" w:rsidTr="00981B66">
        <w:trPr>
          <w:trHeight w:val="300"/>
        </w:trPr>
        <w:tc>
          <w:tcPr>
            <w:tcW w:w="1907" w:type="dxa"/>
            <w:hideMark/>
          </w:tcPr>
          <w:p w14:paraId="4F48A4EA"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g</w:t>
            </w:r>
          </w:p>
        </w:tc>
        <w:tc>
          <w:tcPr>
            <w:tcW w:w="7103" w:type="dxa"/>
            <w:hideMark/>
          </w:tcPr>
          <w:p w14:paraId="30EB78C7"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Gram </w:t>
            </w:r>
          </w:p>
        </w:tc>
      </w:tr>
      <w:tr w:rsidR="00981B66" w:rsidRPr="00FA7D47" w14:paraId="575C07F8" w14:textId="77777777" w:rsidTr="00981B66">
        <w:trPr>
          <w:trHeight w:val="300"/>
        </w:trPr>
        <w:tc>
          <w:tcPr>
            <w:tcW w:w="1907" w:type="dxa"/>
            <w:noWrap/>
            <w:hideMark/>
          </w:tcPr>
          <w:p w14:paraId="1800D91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g/L</w:t>
            </w:r>
          </w:p>
        </w:tc>
        <w:tc>
          <w:tcPr>
            <w:tcW w:w="7103" w:type="dxa"/>
            <w:noWrap/>
            <w:hideMark/>
          </w:tcPr>
          <w:p w14:paraId="7395DD69" w14:textId="2B29DA6B"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Grams per </w:t>
            </w:r>
            <w:r w:rsidR="00F23B0C" w:rsidRPr="009819CE">
              <w:rPr>
                <w:rFonts w:cstheme="minorBidi"/>
                <w:color w:val="000000" w:themeColor="text1"/>
                <w:lang w:val="en-GB"/>
              </w:rPr>
              <w:t>litre</w:t>
            </w:r>
          </w:p>
        </w:tc>
      </w:tr>
      <w:tr w:rsidR="00981B66" w:rsidRPr="00FA7D47" w14:paraId="537DA938" w14:textId="77777777" w:rsidTr="00981B66">
        <w:trPr>
          <w:trHeight w:val="300"/>
        </w:trPr>
        <w:tc>
          <w:tcPr>
            <w:tcW w:w="1907" w:type="dxa"/>
            <w:noWrap/>
            <w:hideMark/>
          </w:tcPr>
          <w:p w14:paraId="00AA94A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GSI</w:t>
            </w:r>
          </w:p>
        </w:tc>
        <w:tc>
          <w:tcPr>
            <w:tcW w:w="7103" w:type="dxa"/>
            <w:noWrap/>
            <w:hideMark/>
          </w:tcPr>
          <w:p w14:paraId="2B14AEAB"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Gonadosomatic index</w:t>
            </w:r>
          </w:p>
        </w:tc>
      </w:tr>
      <w:tr w:rsidR="00744EAC" w:rsidRPr="00FA7D47" w14:paraId="1C702FAB" w14:textId="77777777" w:rsidTr="00981B66">
        <w:trPr>
          <w:trHeight w:val="300"/>
        </w:trPr>
        <w:tc>
          <w:tcPr>
            <w:tcW w:w="1907" w:type="dxa"/>
            <w:noWrap/>
          </w:tcPr>
          <w:p w14:paraId="4625331E" w14:textId="7130BA6C" w:rsidR="00744EAC" w:rsidRPr="001F4A34" w:rsidRDefault="00744EAC" w:rsidP="00981B66">
            <w:pPr>
              <w:spacing w:before="0" w:after="0"/>
              <w:rPr>
                <w:rFonts w:cstheme="minorBidi"/>
                <w:color w:val="000000" w:themeColor="text1"/>
                <w:lang w:val="en-GB"/>
              </w:rPr>
            </w:pPr>
            <w:r w:rsidRPr="009819CE">
              <w:rPr>
                <w:rFonts w:cstheme="minorBidi"/>
              </w:rPr>
              <w:t>H&amp;E</w:t>
            </w:r>
          </w:p>
        </w:tc>
        <w:tc>
          <w:tcPr>
            <w:tcW w:w="7103" w:type="dxa"/>
            <w:noWrap/>
          </w:tcPr>
          <w:p w14:paraId="1C26ED74" w14:textId="2BCF90D1" w:rsidR="00744EAC" w:rsidRPr="001F4A34" w:rsidRDefault="00744EAC" w:rsidP="00981B66">
            <w:pPr>
              <w:spacing w:before="0" w:after="0"/>
              <w:rPr>
                <w:rFonts w:cstheme="minorBidi"/>
                <w:color w:val="000000" w:themeColor="text1"/>
                <w:lang w:val="en-GB"/>
              </w:rPr>
            </w:pPr>
            <w:r w:rsidRPr="009819CE">
              <w:rPr>
                <w:rFonts w:cstheme="minorBidi"/>
              </w:rPr>
              <w:t>haematoxylin and eosin</w:t>
            </w:r>
          </w:p>
        </w:tc>
      </w:tr>
      <w:tr w:rsidR="00981B66" w:rsidRPr="00FA7D47" w14:paraId="2F3EB770" w14:textId="77777777" w:rsidTr="00981B66">
        <w:trPr>
          <w:trHeight w:val="300"/>
        </w:trPr>
        <w:tc>
          <w:tcPr>
            <w:tcW w:w="1907" w:type="dxa"/>
            <w:hideMark/>
          </w:tcPr>
          <w:p w14:paraId="16D1992F"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hrs</w:t>
            </w:r>
          </w:p>
        </w:tc>
        <w:tc>
          <w:tcPr>
            <w:tcW w:w="7103" w:type="dxa"/>
            <w:hideMark/>
          </w:tcPr>
          <w:p w14:paraId="01EE54FA"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Hours</w:t>
            </w:r>
          </w:p>
        </w:tc>
      </w:tr>
      <w:tr w:rsidR="00981B66" w:rsidRPr="00FA7D47" w14:paraId="0906B41F" w14:textId="77777777" w:rsidTr="00981B66">
        <w:trPr>
          <w:trHeight w:val="300"/>
        </w:trPr>
        <w:tc>
          <w:tcPr>
            <w:tcW w:w="1907" w:type="dxa"/>
            <w:hideMark/>
          </w:tcPr>
          <w:p w14:paraId="14101B8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HSI</w:t>
            </w:r>
          </w:p>
        </w:tc>
        <w:tc>
          <w:tcPr>
            <w:tcW w:w="7103" w:type="dxa"/>
            <w:hideMark/>
          </w:tcPr>
          <w:p w14:paraId="48FC1036"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Hepatic somatic index </w:t>
            </w:r>
          </w:p>
        </w:tc>
      </w:tr>
      <w:tr w:rsidR="00981B66" w:rsidRPr="00FA7D47" w14:paraId="6ED1A6CA" w14:textId="77777777" w:rsidTr="00981B66">
        <w:trPr>
          <w:trHeight w:val="300"/>
        </w:trPr>
        <w:tc>
          <w:tcPr>
            <w:tcW w:w="1907" w:type="dxa"/>
            <w:noWrap/>
            <w:hideMark/>
          </w:tcPr>
          <w:p w14:paraId="6138CE3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HTS</w:t>
            </w:r>
          </w:p>
        </w:tc>
        <w:tc>
          <w:tcPr>
            <w:tcW w:w="7103" w:type="dxa"/>
            <w:noWrap/>
            <w:hideMark/>
          </w:tcPr>
          <w:p w14:paraId="5B4B3233"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High-Throughput Sequencing </w:t>
            </w:r>
          </w:p>
        </w:tc>
      </w:tr>
      <w:tr w:rsidR="00981B66" w:rsidRPr="00FA7D47" w14:paraId="34094120" w14:textId="77777777" w:rsidTr="00981B66">
        <w:trPr>
          <w:trHeight w:val="300"/>
        </w:trPr>
        <w:tc>
          <w:tcPr>
            <w:tcW w:w="1907" w:type="dxa"/>
            <w:hideMark/>
          </w:tcPr>
          <w:p w14:paraId="7BF89288"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IoA</w:t>
            </w:r>
          </w:p>
        </w:tc>
        <w:tc>
          <w:tcPr>
            <w:tcW w:w="7103" w:type="dxa"/>
            <w:hideMark/>
          </w:tcPr>
          <w:p w14:paraId="0A1A750E"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Institute of Aquaculture</w:t>
            </w:r>
          </w:p>
        </w:tc>
      </w:tr>
      <w:tr w:rsidR="00981B66" w:rsidRPr="00FA7D47" w14:paraId="29283DC1" w14:textId="77777777" w:rsidTr="00981B66">
        <w:trPr>
          <w:trHeight w:val="300"/>
        </w:trPr>
        <w:tc>
          <w:tcPr>
            <w:tcW w:w="1907" w:type="dxa"/>
            <w:hideMark/>
          </w:tcPr>
          <w:p w14:paraId="62143473"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ITS1</w:t>
            </w:r>
          </w:p>
        </w:tc>
        <w:tc>
          <w:tcPr>
            <w:tcW w:w="7103" w:type="dxa"/>
            <w:hideMark/>
          </w:tcPr>
          <w:p w14:paraId="3C2D1916"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Internal transcriber 1</w:t>
            </w:r>
          </w:p>
        </w:tc>
      </w:tr>
      <w:tr w:rsidR="00981B66" w:rsidRPr="00FA7D47" w14:paraId="0C1C01AC" w14:textId="77777777" w:rsidTr="00981B66">
        <w:trPr>
          <w:trHeight w:val="300"/>
        </w:trPr>
        <w:tc>
          <w:tcPr>
            <w:tcW w:w="1907" w:type="dxa"/>
            <w:hideMark/>
          </w:tcPr>
          <w:p w14:paraId="07D5EA03"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Kg</w:t>
            </w:r>
          </w:p>
        </w:tc>
        <w:tc>
          <w:tcPr>
            <w:tcW w:w="7103" w:type="dxa"/>
            <w:hideMark/>
          </w:tcPr>
          <w:p w14:paraId="347F20D9" w14:textId="77777777" w:rsidR="00981B66" w:rsidRPr="009819CE" w:rsidRDefault="00981B66" w:rsidP="00981B66">
            <w:pPr>
              <w:spacing w:before="0" w:after="0"/>
              <w:rPr>
                <w:rFonts w:cstheme="minorBidi"/>
                <w:i/>
                <w:iCs/>
                <w:color w:val="000000" w:themeColor="text1"/>
                <w:lang w:val="en-GB"/>
              </w:rPr>
            </w:pPr>
            <w:r w:rsidRPr="009819CE">
              <w:rPr>
                <w:rFonts w:cstheme="minorBidi"/>
                <w:i/>
                <w:iCs/>
                <w:color w:val="000000" w:themeColor="text1"/>
                <w:lang w:val="en-GB"/>
              </w:rPr>
              <w:t>Kilogram</w:t>
            </w:r>
          </w:p>
        </w:tc>
      </w:tr>
      <w:tr w:rsidR="00981B66" w:rsidRPr="00FA7D47" w14:paraId="6D601D11" w14:textId="77777777" w:rsidTr="00981B66">
        <w:trPr>
          <w:trHeight w:val="300"/>
        </w:trPr>
        <w:tc>
          <w:tcPr>
            <w:tcW w:w="1907" w:type="dxa"/>
            <w:noWrap/>
            <w:hideMark/>
          </w:tcPr>
          <w:p w14:paraId="2978D8FC"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LFC</w:t>
            </w:r>
          </w:p>
        </w:tc>
        <w:tc>
          <w:tcPr>
            <w:tcW w:w="7103" w:type="dxa"/>
            <w:noWrap/>
            <w:hideMark/>
          </w:tcPr>
          <w:p w14:paraId="1C29098D"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 xml:space="preserve">Largs-Fairly Channel </w:t>
            </w:r>
          </w:p>
        </w:tc>
      </w:tr>
      <w:tr w:rsidR="00981B66" w:rsidRPr="00FA7D47" w14:paraId="34178D18" w14:textId="77777777" w:rsidTr="00981B66">
        <w:trPr>
          <w:trHeight w:val="300"/>
        </w:trPr>
        <w:tc>
          <w:tcPr>
            <w:tcW w:w="1907" w:type="dxa"/>
            <w:hideMark/>
          </w:tcPr>
          <w:p w14:paraId="1B4813E2"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M</w:t>
            </w:r>
          </w:p>
        </w:tc>
        <w:tc>
          <w:tcPr>
            <w:tcW w:w="7103" w:type="dxa"/>
            <w:hideMark/>
          </w:tcPr>
          <w:p w14:paraId="372F7E93" w14:textId="77777777" w:rsidR="00981B66" w:rsidRPr="009819CE" w:rsidRDefault="00981B66" w:rsidP="00981B66">
            <w:pPr>
              <w:spacing w:before="0" w:after="0"/>
              <w:rPr>
                <w:rFonts w:cstheme="minorBidi"/>
                <w:color w:val="000000" w:themeColor="text1"/>
                <w:lang w:val="en-GB"/>
              </w:rPr>
            </w:pPr>
            <w:r w:rsidRPr="009819CE">
              <w:rPr>
                <w:rFonts w:cstheme="minorBidi"/>
                <w:color w:val="000000" w:themeColor="text1"/>
                <w:lang w:val="en-GB"/>
              </w:rPr>
              <w:t>Molar</w:t>
            </w:r>
          </w:p>
        </w:tc>
      </w:tr>
      <w:tr w:rsidR="0026066B" w:rsidRPr="00FA7D47" w14:paraId="4AB1C738" w14:textId="77777777" w:rsidTr="00981B66">
        <w:trPr>
          <w:trHeight w:val="300"/>
        </w:trPr>
        <w:tc>
          <w:tcPr>
            <w:tcW w:w="1907" w:type="dxa"/>
          </w:tcPr>
          <w:p w14:paraId="7FFC7C87" w14:textId="016CF2B5" w:rsidR="0026066B" w:rsidRPr="001F4A34" w:rsidRDefault="0026066B" w:rsidP="0026066B">
            <w:pPr>
              <w:spacing w:before="0" w:after="0"/>
              <w:rPr>
                <w:rFonts w:cstheme="minorBidi"/>
                <w:color w:val="000000" w:themeColor="text1"/>
                <w:lang w:val="en-GB"/>
              </w:rPr>
            </w:pPr>
            <w:r w:rsidRPr="009819CE">
              <w:rPr>
                <w:rFonts w:cstheme="minorBidi"/>
                <w:color w:val="000000" w:themeColor="text1"/>
              </w:rPr>
              <w:t>MF</w:t>
            </w:r>
          </w:p>
        </w:tc>
        <w:tc>
          <w:tcPr>
            <w:tcW w:w="7103" w:type="dxa"/>
          </w:tcPr>
          <w:p w14:paraId="1442332B" w14:textId="4BA7B091" w:rsidR="0026066B" w:rsidRPr="001F4A34" w:rsidRDefault="0026066B" w:rsidP="0026066B">
            <w:pPr>
              <w:spacing w:before="0" w:after="0"/>
              <w:rPr>
                <w:rFonts w:cstheme="minorBidi"/>
                <w:color w:val="000000" w:themeColor="text1"/>
                <w:lang w:val="en-GB"/>
              </w:rPr>
            </w:pPr>
            <w:r w:rsidRPr="009819CE">
              <w:rPr>
                <w:rFonts w:cstheme="minorBidi"/>
                <w:shd w:val="clear" w:color="auto" w:fill="FFFFFF"/>
              </w:rPr>
              <w:t xml:space="preserve">methyl farnesoate </w:t>
            </w:r>
          </w:p>
        </w:tc>
      </w:tr>
      <w:tr w:rsidR="0026066B" w:rsidRPr="00FA7D47" w14:paraId="79F0C777" w14:textId="77777777" w:rsidTr="00981B66">
        <w:trPr>
          <w:trHeight w:val="300"/>
        </w:trPr>
        <w:tc>
          <w:tcPr>
            <w:tcW w:w="1907" w:type="dxa"/>
            <w:hideMark/>
          </w:tcPr>
          <w:p w14:paraId="79682E8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mg</w:t>
            </w:r>
          </w:p>
        </w:tc>
        <w:tc>
          <w:tcPr>
            <w:tcW w:w="7103" w:type="dxa"/>
            <w:hideMark/>
          </w:tcPr>
          <w:p w14:paraId="2CCE1B0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Milligram</w:t>
            </w:r>
          </w:p>
        </w:tc>
      </w:tr>
      <w:tr w:rsidR="0026066B" w:rsidRPr="00FA7D47" w14:paraId="35C85C3C" w14:textId="77777777" w:rsidTr="00981B66">
        <w:trPr>
          <w:trHeight w:val="352"/>
        </w:trPr>
        <w:tc>
          <w:tcPr>
            <w:tcW w:w="1907" w:type="dxa"/>
            <w:hideMark/>
          </w:tcPr>
          <w:p w14:paraId="2521293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Mg L</w:t>
            </w:r>
            <w:r w:rsidRPr="009819CE">
              <w:rPr>
                <w:rFonts w:cstheme="minorBidi"/>
                <w:color w:val="000000" w:themeColor="text1"/>
                <w:vertAlign w:val="superscript"/>
                <w:lang w:val="en-GB"/>
              </w:rPr>
              <w:t>–1</w:t>
            </w:r>
          </w:p>
        </w:tc>
        <w:tc>
          <w:tcPr>
            <w:tcW w:w="7103" w:type="dxa"/>
            <w:hideMark/>
          </w:tcPr>
          <w:p w14:paraId="043664DE"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Milligrams per litre</w:t>
            </w:r>
          </w:p>
        </w:tc>
      </w:tr>
      <w:tr w:rsidR="0026066B" w:rsidRPr="00FA7D47" w14:paraId="620713D1" w14:textId="77777777" w:rsidTr="00981B66">
        <w:trPr>
          <w:trHeight w:val="300"/>
        </w:trPr>
        <w:tc>
          <w:tcPr>
            <w:tcW w:w="1907" w:type="dxa"/>
            <w:noWrap/>
            <w:hideMark/>
          </w:tcPr>
          <w:p w14:paraId="62873D7D"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midx</w:t>
            </w:r>
          </w:p>
        </w:tc>
        <w:tc>
          <w:tcPr>
            <w:tcW w:w="7103" w:type="dxa"/>
            <w:noWrap/>
            <w:hideMark/>
          </w:tcPr>
          <w:p w14:paraId="794EE07D" w14:textId="66ADE505" w:rsidR="0026066B" w:rsidRPr="009819CE" w:rsidRDefault="00C967F0" w:rsidP="0026066B">
            <w:pPr>
              <w:spacing w:before="0" w:after="0"/>
              <w:rPr>
                <w:rFonts w:cstheme="minorBidi"/>
                <w:color w:val="000000" w:themeColor="text1"/>
                <w:lang w:val="en-GB"/>
              </w:rPr>
            </w:pPr>
            <w:r w:rsidRPr="00FA7D47">
              <w:rPr>
                <w:rFonts w:cstheme="minorBidi"/>
                <w:color w:val="000000" w:themeColor="text1"/>
                <w:lang w:val="en-GB"/>
              </w:rPr>
              <w:t>moult index</w:t>
            </w:r>
          </w:p>
        </w:tc>
      </w:tr>
      <w:tr w:rsidR="0026066B" w:rsidRPr="00FA7D47" w14:paraId="03904279" w14:textId="77777777" w:rsidTr="00981B66">
        <w:trPr>
          <w:trHeight w:val="300"/>
        </w:trPr>
        <w:tc>
          <w:tcPr>
            <w:tcW w:w="1907" w:type="dxa"/>
            <w:hideMark/>
          </w:tcPr>
          <w:p w14:paraId="4490353B"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min</w:t>
            </w:r>
          </w:p>
        </w:tc>
        <w:tc>
          <w:tcPr>
            <w:tcW w:w="7103" w:type="dxa"/>
            <w:hideMark/>
          </w:tcPr>
          <w:p w14:paraId="6B56FF6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Minute</w:t>
            </w:r>
          </w:p>
        </w:tc>
      </w:tr>
      <w:tr w:rsidR="0026066B" w:rsidRPr="00FA7D47" w14:paraId="2FC3E750" w14:textId="77777777" w:rsidTr="00981B66">
        <w:trPr>
          <w:trHeight w:val="300"/>
        </w:trPr>
        <w:tc>
          <w:tcPr>
            <w:tcW w:w="1907" w:type="dxa"/>
            <w:hideMark/>
          </w:tcPr>
          <w:p w14:paraId="5052D6C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mM</w:t>
            </w:r>
          </w:p>
        </w:tc>
        <w:tc>
          <w:tcPr>
            <w:tcW w:w="7103" w:type="dxa"/>
            <w:hideMark/>
          </w:tcPr>
          <w:p w14:paraId="15065A53" w14:textId="77777777" w:rsidR="0026066B" w:rsidRPr="009819CE" w:rsidRDefault="0026066B" w:rsidP="0026066B">
            <w:pPr>
              <w:spacing w:before="0" w:after="0"/>
              <w:rPr>
                <w:rFonts w:cstheme="minorBidi"/>
                <w:i/>
                <w:iCs/>
                <w:color w:val="000000" w:themeColor="text1"/>
                <w:lang w:val="en-GB"/>
              </w:rPr>
            </w:pPr>
            <w:r w:rsidRPr="009819CE">
              <w:rPr>
                <w:rFonts w:cstheme="minorBidi"/>
                <w:i/>
                <w:iCs/>
                <w:color w:val="000000" w:themeColor="text1"/>
                <w:lang w:val="en-GB"/>
              </w:rPr>
              <w:t>Millimolar</w:t>
            </w:r>
          </w:p>
        </w:tc>
      </w:tr>
      <w:tr w:rsidR="0026066B" w:rsidRPr="00FA7D47" w14:paraId="6DF31F98" w14:textId="77777777" w:rsidTr="00981B66">
        <w:trPr>
          <w:trHeight w:val="300"/>
        </w:trPr>
        <w:tc>
          <w:tcPr>
            <w:tcW w:w="1907" w:type="dxa"/>
            <w:hideMark/>
          </w:tcPr>
          <w:p w14:paraId="098DB4A5"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mm</w:t>
            </w:r>
          </w:p>
        </w:tc>
        <w:tc>
          <w:tcPr>
            <w:tcW w:w="7103" w:type="dxa"/>
            <w:hideMark/>
          </w:tcPr>
          <w:p w14:paraId="1C57C37C"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millimetres</w:t>
            </w:r>
          </w:p>
        </w:tc>
      </w:tr>
      <w:tr w:rsidR="0026066B" w:rsidRPr="00FA7D47" w14:paraId="334EB94B" w14:textId="77777777" w:rsidTr="00981B66">
        <w:trPr>
          <w:trHeight w:val="300"/>
        </w:trPr>
        <w:tc>
          <w:tcPr>
            <w:tcW w:w="1907" w:type="dxa"/>
            <w:hideMark/>
          </w:tcPr>
          <w:p w14:paraId="2310093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MRCs</w:t>
            </w:r>
          </w:p>
        </w:tc>
        <w:tc>
          <w:tcPr>
            <w:tcW w:w="7103" w:type="dxa"/>
            <w:hideMark/>
          </w:tcPr>
          <w:p w14:paraId="393EA50D"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Mitochondrion-rich cells </w:t>
            </w:r>
          </w:p>
        </w:tc>
      </w:tr>
      <w:tr w:rsidR="0026066B" w:rsidRPr="00FA7D47" w14:paraId="1C8193DC" w14:textId="77777777" w:rsidTr="00981B66">
        <w:trPr>
          <w:trHeight w:val="300"/>
        </w:trPr>
        <w:tc>
          <w:tcPr>
            <w:tcW w:w="1907" w:type="dxa"/>
            <w:hideMark/>
          </w:tcPr>
          <w:p w14:paraId="6E27365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mRNA </w:t>
            </w:r>
          </w:p>
        </w:tc>
        <w:tc>
          <w:tcPr>
            <w:tcW w:w="7103" w:type="dxa"/>
            <w:hideMark/>
          </w:tcPr>
          <w:p w14:paraId="715D1F2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Messenger Ribonucleic acid </w:t>
            </w:r>
          </w:p>
        </w:tc>
      </w:tr>
      <w:tr w:rsidR="0026066B" w:rsidRPr="00FA7D47" w14:paraId="6B002C64" w14:textId="77777777" w:rsidTr="00981B66">
        <w:trPr>
          <w:trHeight w:val="300"/>
        </w:trPr>
        <w:tc>
          <w:tcPr>
            <w:tcW w:w="1907" w:type="dxa"/>
            <w:noWrap/>
            <w:hideMark/>
          </w:tcPr>
          <w:p w14:paraId="32120D4E"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ms</w:t>
            </w:r>
          </w:p>
        </w:tc>
        <w:tc>
          <w:tcPr>
            <w:tcW w:w="7103" w:type="dxa"/>
            <w:noWrap/>
            <w:hideMark/>
          </w:tcPr>
          <w:p w14:paraId="79952D84" w14:textId="72FAE202" w:rsidR="0026066B" w:rsidRPr="009819CE" w:rsidRDefault="00C967F0" w:rsidP="0026066B">
            <w:pPr>
              <w:spacing w:before="0" w:after="0"/>
              <w:rPr>
                <w:rFonts w:cstheme="minorBidi"/>
                <w:color w:val="000000" w:themeColor="text1"/>
                <w:lang w:val="en-GB"/>
              </w:rPr>
            </w:pPr>
            <w:r w:rsidRPr="00FA7D47">
              <w:rPr>
                <w:rFonts w:cstheme="minorBidi"/>
                <w:color w:val="000000" w:themeColor="text1"/>
                <w:lang w:val="en-GB"/>
              </w:rPr>
              <w:t>moult stage</w:t>
            </w:r>
          </w:p>
        </w:tc>
      </w:tr>
      <w:tr w:rsidR="0026066B" w:rsidRPr="00FA7D47" w14:paraId="180D6990" w14:textId="77777777" w:rsidTr="00981B66">
        <w:trPr>
          <w:trHeight w:val="300"/>
        </w:trPr>
        <w:tc>
          <w:tcPr>
            <w:tcW w:w="1907" w:type="dxa"/>
            <w:hideMark/>
          </w:tcPr>
          <w:p w14:paraId="00B3F9E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N </w:t>
            </w:r>
          </w:p>
        </w:tc>
        <w:tc>
          <w:tcPr>
            <w:tcW w:w="7103" w:type="dxa"/>
            <w:hideMark/>
          </w:tcPr>
          <w:p w14:paraId="138608D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Number </w:t>
            </w:r>
          </w:p>
        </w:tc>
      </w:tr>
      <w:tr w:rsidR="0026066B" w:rsidRPr="00FA7D47" w14:paraId="5FF6F4C6" w14:textId="77777777" w:rsidTr="00981B66">
        <w:trPr>
          <w:trHeight w:val="300"/>
        </w:trPr>
        <w:tc>
          <w:tcPr>
            <w:tcW w:w="1907" w:type="dxa"/>
            <w:hideMark/>
          </w:tcPr>
          <w:p w14:paraId="55976F4C"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NaCl</w:t>
            </w:r>
          </w:p>
        </w:tc>
        <w:tc>
          <w:tcPr>
            <w:tcW w:w="7103" w:type="dxa"/>
            <w:hideMark/>
          </w:tcPr>
          <w:p w14:paraId="2D959EB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Sodium chloride</w:t>
            </w:r>
          </w:p>
        </w:tc>
      </w:tr>
      <w:tr w:rsidR="0026066B" w:rsidRPr="00FA7D47" w14:paraId="41779D47" w14:textId="77777777" w:rsidTr="00981B66">
        <w:trPr>
          <w:trHeight w:val="300"/>
        </w:trPr>
        <w:tc>
          <w:tcPr>
            <w:tcW w:w="1907" w:type="dxa"/>
            <w:hideMark/>
          </w:tcPr>
          <w:p w14:paraId="20193A6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NCBI</w:t>
            </w:r>
          </w:p>
        </w:tc>
        <w:tc>
          <w:tcPr>
            <w:tcW w:w="7103" w:type="dxa"/>
            <w:hideMark/>
          </w:tcPr>
          <w:p w14:paraId="02E25F88" w14:textId="7A08A93C"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National Centre for Biotechnology Information</w:t>
            </w:r>
          </w:p>
        </w:tc>
      </w:tr>
      <w:tr w:rsidR="0026066B" w:rsidRPr="00FA7D47" w14:paraId="4D0ACEB8" w14:textId="77777777" w:rsidTr="00981B66">
        <w:trPr>
          <w:trHeight w:val="300"/>
        </w:trPr>
        <w:tc>
          <w:tcPr>
            <w:tcW w:w="1907" w:type="dxa"/>
            <w:noWrap/>
            <w:hideMark/>
          </w:tcPr>
          <w:p w14:paraId="6A00CB3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NEG</w:t>
            </w:r>
          </w:p>
        </w:tc>
        <w:tc>
          <w:tcPr>
            <w:tcW w:w="7103" w:type="dxa"/>
            <w:noWrap/>
            <w:hideMark/>
          </w:tcPr>
          <w:p w14:paraId="3B8088B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negative</w:t>
            </w:r>
          </w:p>
        </w:tc>
      </w:tr>
      <w:tr w:rsidR="0026066B" w:rsidRPr="00FA7D47" w14:paraId="03858FA7" w14:textId="77777777" w:rsidTr="00981B66">
        <w:trPr>
          <w:trHeight w:val="300"/>
        </w:trPr>
        <w:tc>
          <w:tcPr>
            <w:tcW w:w="1907" w:type="dxa"/>
            <w:hideMark/>
          </w:tcPr>
          <w:p w14:paraId="32A93FB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ng</w:t>
            </w:r>
          </w:p>
        </w:tc>
        <w:tc>
          <w:tcPr>
            <w:tcW w:w="7103" w:type="dxa"/>
            <w:hideMark/>
          </w:tcPr>
          <w:p w14:paraId="21FD0A6C"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Nanogram</w:t>
            </w:r>
          </w:p>
        </w:tc>
      </w:tr>
      <w:tr w:rsidR="0026066B" w:rsidRPr="00FA7D47" w14:paraId="02FEC0C3" w14:textId="77777777" w:rsidTr="00981B66">
        <w:trPr>
          <w:trHeight w:val="300"/>
        </w:trPr>
        <w:tc>
          <w:tcPr>
            <w:tcW w:w="1907" w:type="dxa"/>
            <w:hideMark/>
          </w:tcPr>
          <w:p w14:paraId="35E4B8E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NMDS</w:t>
            </w:r>
          </w:p>
        </w:tc>
        <w:tc>
          <w:tcPr>
            <w:tcW w:w="7103" w:type="dxa"/>
            <w:hideMark/>
          </w:tcPr>
          <w:p w14:paraId="229681D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Non-metric multidimensional scaling </w:t>
            </w:r>
          </w:p>
        </w:tc>
      </w:tr>
      <w:tr w:rsidR="0026066B" w:rsidRPr="00FA7D47" w14:paraId="2C148B92" w14:textId="77777777" w:rsidTr="00981B66">
        <w:trPr>
          <w:trHeight w:val="300"/>
        </w:trPr>
        <w:tc>
          <w:tcPr>
            <w:tcW w:w="1907" w:type="dxa"/>
            <w:noWrap/>
            <w:hideMark/>
          </w:tcPr>
          <w:p w14:paraId="0235B52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OBIS</w:t>
            </w:r>
          </w:p>
        </w:tc>
        <w:tc>
          <w:tcPr>
            <w:tcW w:w="7103" w:type="dxa"/>
            <w:hideMark/>
          </w:tcPr>
          <w:p w14:paraId="6173A1D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Ocean Biodiversity Information System</w:t>
            </w:r>
          </w:p>
        </w:tc>
      </w:tr>
      <w:tr w:rsidR="0026066B" w:rsidRPr="00FA7D47" w14:paraId="5A6B0455" w14:textId="77777777" w:rsidTr="00981B66">
        <w:trPr>
          <w:trHeight w:val="300"/>
        </w:trPr>
        <w:tc>
          <w:tcPr>
            <w:tcW w:w="1907" w:type="dxa"/>
            <w:hideMark/>
          </w:tcPr>
          <w:p w14:paraId="2B3B2367"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OTUs</w:t>
            </w:r>
          </w:p>
        </w:tc>
        <w:tc>
          <w:tcPr>
            <w:tcW w:w="7103" w:type="dxa"/>
            <w:hideMark/>
          </w:tcPr>
          <w:p w14:paraId="16C9E53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Operational Taxonomic Units</w:t>
            </w:r>
          </w:p>
        </w:tc>
      </w:tr>
      <w:tr w:rsidR="0026066B" w:rsidRPr="00FA7D47" w14:paraId="01C95E61" w14:textId="77777777" w:rsidTr="00981B66">
        <w:trPr>
          <w:trHeight w:val="300"/>
        </w:trPr>
        <w:tc>
          <w:tcPr>
            <w:tcW w:w="1907" w:type="dxa"/>
            <w:hideMark/>
          </w:tcPr>
          <w:p w14:paraId="5692282A" w14:textId="77777777" w:rsidR="0026066B" w:rsidRPr="009819CE" w:rsidRDefault="0026066B" w:rsidP="0026066B">
            <w:pPr>
              <w:spacing w:before="0" w:after="0"/>
              <w:rPr>
                <w:rFonts w:cstheme="minorBidi"/>
                <w:i/>
                <w:iCs/>
                <w:color w:val="000000" w:themeColor="text1"/>
                <w:lang w:val="en-GB"/>
              </w:rPr>
            </w:pPr>
            <w:r w:rsidRPr="009819CE">
              <w:rPr>
                <w:rFonts w:cstheme="minorBidi"/>
                <w:i/>
                <w:iCs/>
                <w:color w:val="000000" w:themeColor="text1"/>
                <w:lang w:val="en-GB"/>
              </w:rPr>
              <w:t xml:space="preserve">p </w:t>
            </w:r>
          </w:p>
        </w:tc>
        <w:tc>
          <w:tcPr>
            <w:tcW w:w="7103" w:type="dxa"/>
            <w:hideMark/>
          </w:tcPr>
          <w:p w14:paraId="401BB3B1"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P-value </w:t>
            </w:r>
          </w:p>
        </w:tc>
      </w:tr>
      <w:tr w:rsidR="0026066B" w:rsidRPr="00FA7D47" w14:paraId="687BCE95" w14:textId="77777777" w:rsidTr="00981B66">
        <w:trPr>
          <w:trHeight w:val="300"/>
        </w:trPr>
        <w:tc>
          <w:tcPr>
            <w:tcW w:w="1907" w:type="dxa"/>
            <w:noWrap/>
            <w:hideMark/>
          </w:tcPr>
          <w:p w14:paraId="253650E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PCOA</w:t>
            </w:r>
          </w:p>
        </w:tc>
        <w:tc>
          <w:tcPr>
            <w:tcW w:w="7103" w:type="dxa"/>
            <w:noWrap/>
            <w:hideMark/>
          </w:tcPr>
          <w:p w14:paraId="2FC9B6E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Principal component analysis </w:t>
            </w:r>
          </w:p>
        </w:tc>
      </w:tr>
      <w:tr w:rsidR="0026066B" w:rsidRPr="00FA7D47" w14:paraId="7607B6F0" w14:textId="77777777" w:rsidTr="00981B66">
        <w:trPr>
          <w:trHeight w:val="300"/>
        </w:trPr>
        <w:tc>
          <w:tcPr>
            <w:tcW w:w="1907" w:type="dxa"/>
            <w:hideMark/>
          </w:tcPr>
          <w:p w14:paraId="70B1093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PCR</w:t>
            </w:r>
          </w:p>
        </w:tc>
        <w:tc>
          <w:tcPr>
            <w:tcW w:w="7103" w:type="dxa"/>
            <w:hideMark/>
          </w:tcPr>
          <w:p w14:paraId="52BB49B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Polymerase chain reaction</w:t>
            </w:r>
          </w:p>
        </w:tc>
      </w:tr>
      <w:tr w:rsidR="0026066B" w:rsidRPr="00FA7D47" w14:paraId="26B2CCCB" w14:textId="77777777" w:rsidTr="00981B66">
        <w:trPr>
          <w:trHeight w:val="300"/>
        </w:trPr>
        <w:tc>
          <w:tcPr>
            <w:tcW w:w="1907" w:type="dxa"/>
            <w:hideMark/>
          </w:tcPr>
          <w:p w14:paraId="2101FDA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PERMANOVA</w:t>
            </w:r>
          </w:p>
        </w:tc>
        <w:tc>
          <w:tcPr>
            <w:tcW w:w="7103" w:type="dxa"/>
            <w:hideMark/>
          </w:tcPr>
          <w:p w14:paraId="646C3825"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Permutational multivariate analysis of variance</w:t>
            </w:r>
          </w:p>
        </w:tc>
      </w:tr>
      <w:tr w:rsidR="0026066B" w:rsidRPr="00FA7D47" w14:paraId="489807FB" w14:textId="77777777" w:rsidTr="00981B66">
        <w:trPr>
          <w:trHeight w:val="300"/>
        </w:trPr>
        <w:tc>
          <w:tcPr>
            <w:tcW w:w="1907" w:type="dxa"/>
            <w:hideMark/>
          </w:tcPr>
          <w:p w14:paraId="34674A0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pH</w:t>
            </w:r>
          </w:p>
        </w:tc>
        <w:tc>
          <w:tcPr>
            <w:tcW w:w="7103" w:type="dxa"/>
            <w:hideMark/>
          </w:tcPr>
          <w:p w14:paraId="7990F1C5"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Potential of hydrogen</w:t>
            </w:r>
          </w:p>
        </w:tc>
      </w:tr>
      <w:tr w:rsidR="0026066B" w:rsidRPr="00FA7D47" w14:paraId="5787CE24" w14:textId="77777777" w:rsidTr="00981B66">
        <w:trPr>
          <w:trHeight w:val="300"/>
        </w:trPr>
        <w:tc>
          <w:tcPr>
            <w:tcW w:w="1907" w:type="dxa"/>
            <w:hideMark/>
          </w:tcPr>
          <w:p w14:paraId="0B76F3F1"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PM</w:t>
            </w:r>
          </w:p>
        </w:tc>
        <w:tc>
          <w:tcPr>
            <w:tcW w:w="7103" w:type="dxa"/>
            <w:hideMark/>
          </w:tcPr>
          <w:p w14:paraId="6D790A2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pleopod method</w:t>
            </w:r>
          </w:p>
        </w:tc>
      </w:tr>
      <w:tr w:rsidR="0026066B" w:rsidRPr="00FA7D47" w14:paraId="5FDB9B30" w14:textId="77777777" w:rsidTr="00981B66">
        <w:trPr>
          <w:trHeight w:val="300"/>
        </w:trPr>
        <w:tc>
          <w:tcPr>
            <w:tcW w:w="1907" w:type="dxa"/>
            <w:noWrap/>
            <w:hideMark/>
          </w:tcPr>
          <w:p w14:paraId="71444DFE"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POS</w:t>
            </w:r>
          </w:p>
        </w:tc>
        <w:tc>
          <w:tcPr>
            <w:tcW w:w="7103" w:type="dxa"/>
            <w:noWrap/>
            <w:hideMark/>
          </w:tcPr>
          <w:p w14:paraId="64710BB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positive</w:t>
            </w:r>
          </w:p>
        </w:tc>
      </w:tr>
      <w:tr w:rsidR="0026066B" w:rsidRPr="00FA7D47" w14:paraId="41D2AE92" w14:textId="77777777" w:rsidTr="00981B66">
        <w:trPr>
          <w:trHeight w:val="300"/>
        </w:trPr>
        <w:tc>
          <w:tcPr>
            <w:tcW w:w="1907" w:type="dxa"/>
            <w:noWrap/>
            <w:hideMark/>
          </w:tcPr>
          <w:p w14:paraId="06DD584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ps</w:t>
            </w:r>
          </w:p>
        </w:tc>
        <w:tc>
          <w:tcPr>
            <w:tcW w:w="7103" w:type="dxa"/>
            <w:noWrap/>
            <w:hideMark/>
          </w:tcPr>
          <w:p w14:paraId="748F8AF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pleopod stage</w:t>
            </w:r>
          </w:p>
        </w:tc>
      </w:tr>
      <w:tr w:rsidR="0026066B" w:rsidRPr="00FA7D47" w14:paraId="639A720A" w14:textId="77777777" w:rsidTr="00981B66">
        <w:trPr>
          <w:trHeight w:val="300"/>
        </w:trPr>
        <w:tc>
          <w:tcPr>
            <w:tcW w:w="1907" w:type="dxa"/>
            <w:noWrap/>
            <w:hideMark/>
          </w:tcPr>
          <w:p w14:paraId="4A8001A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ps2</w:t>
            </w:r>
          </w:p>
        </w:tc>
        <w:tc>
          <w:tcPr>
            <w:tcW w:w="7103" w:type="dxa"/>
            <w:noWrap/>
            <w:hideMark/>
          </w:tcPr>
          <w:p w14:paraId="2BCC9C71"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pleopod stages 1-4 combined</w:t>
            </w:r>
          </w:p>
        </w:tc>
      </w:tr>
      <w:tr w:rsidR="0026066B" w:rsidRPr="00FA7D47" w14:paraId="7E1BBC58" w14:textId="77777777" w:rsidTr="00981B66">
        <w:trPr>
          <w:trHeight w:val="300"/>
        </w:trPr>
        <w:tc>
          <w:tcPr>
            <w:tcW w:w="1907" w:type="dxa"/>
            <w:hideMark/>
          </w:tcPr>
          <w:p w14:paraId="3715E56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PUFAs</w:t>
            </w:r>
          </w:p>
        </w:tc>
        <w:tc>
          <w:tcPr>
            <w:tcW w:w="7103" w:type="dxa"/>
            <w:hideMark/>
          </w:tcPr>
          <w:p w14:paraId="5E0EF00B"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Polyunsaturated fatty acids </w:t>
            </w:r>
          </w:p>
        </w:tc>
      </w:tr>
      <w:tr w:rsidR="0026066B" w:rsidRPr="00FA7D47" w14:paraId="0A440C84" w14:textId="77777777" w:rsidTr="00981B66">
        <w:trPr>
          <w:trHeight w:val="300"/>
        </w:trPr>
        <w:tc>
          <w:tcPr>
            <w:tcW w:w="1907" w:type="dxa"/>
            <w:hideMark/>
          </w:tcPr>
          <w:p w14:paraId="091580D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qPCR</w:t>
            </w:r>
          </w:p>
        </w:tc>
        <w:tc>
          <w:tcPr>
            <w:tcW w:w="7103" w:type="dxa"/>
            <w:hideMark/>
          </w:tcPr>
          <w:p w14:paraId="18FBADB7"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Quantitative polymerase chain reaction</w:t>
            </w:r>
          </w:p>
        </w:tc>
      </w:tr>
      <w:tr w:rsidR="0026066B" w:rsidRPr="00FA7D47" w14:paraId="2EBD4575" w14:textId="77777777" w:rsidTr="00981B66">
        <w:trPr>
          <w:trHeight w:val="352"/>
        </w:trPr>
        <w:tc>
          <w:tcPr>
            <w:tcW w:w="1907" w:type="dxa"/>
            <w:hideMark/>
          </w:tcPr>
          <w:p w14:paraId="6FA0DEEB"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R</w:t>
            </w:r>
            <w:r w:rsidRPr="009819CE">
              <w:rPr>
                <w:rFonts w:cstheme="minorBidi"/>
                <w:color w:val="000000" w:themeColor="text1"/>
                <w:vertAlign w:val="superscript"/>
                <w:lang w:val="en-GB"/>
              </w:rPr>
              <w:t>2</w:t>
            </w:r>
          </w:p>
        </w:tc>
        <w:tc>
          <w:tcPr>
            <w:tcW w:w="7103" w:type="dxa"/>
            <w:hideMark/>
          </w:tcPr>
          <w:p w14:paraId="0994DBB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Coefficient of determination </w:t>
            </w:r>
          </w:p>
        </w:tc>
      </w:tr>
      <w:tr w:rsidR="0026066B" w:rsidRPr="00FA7D47" w14:paraId="7CC6F0E3" w14:textId="77777777" w:rsidTr="00981B66">
        <w:trPr>
          <w:trHeight w:val="300"/>
        </w:trPr>
        <w:tc>
          <w:tcPr>
            <w:tcW w:w="1907" w:type="dxa"/>
            <w:hideMark/>
          </w:tcPr>
          <w:p w14:paraId="2E1E74C5"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RAS</w:t>
            </w:r>
          </w:p>
        </w:tc>
        <w:tc>
          <w:tcPr>
            <w:tcW w:w="7103" w:type="dxa"/>
            <w:hideMark/>
          </w:tcPr>
          <w:p w14:paraId="6172662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Recirculating aquaculture system </w:t>
            </w:r>
          </w:p>
        </w:tc>
      </w:tr>
      <w:tr w:rsidR="0026066B" w:rsidRPr="00FA7D47" w14:paraId="09AB34A5" w14:textId="77777777" w:rsidTr="00981B66">
        <w:trPr>
          <w:trHeight w:val="300"/>
        </w:trPr>
        <w:tc>
          <w:tcPr>
            <w:tcW w:w="1907" w:type="dxa"/>
            <w:hideMark/>
          </w:tcPr>
          <w:p w14:paraId="7714302B"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Rf</w:t>
            </w:r>
          </w:p>
        </w:tc>
        <w:tc>
          <w:tcPr>
            <w:tcW w:w="7103" w:type="dxa"/>
            <w:hideMark/>
          </w:tcPr>
          <w:p w14:paraId="5C88DDA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Reference</w:t>
            </w:r>
          </w:p>
        </w:tc>
      </w:tr>
      <w:tr w:rsidR="0026066B" w:rsidRPr="00FA7D47" w14:paraId="3AEDC480" w14:textId="77777777" w:rsidTr="00981B66">
        <w:trPr>
          <w:trHeight w:val="300"/>
        </w:trPr>
        <w:tc>
          <w:tcPr>
            <w:tcW w:w="1907" w:type="dxa"/>
            <w:hideMark/>
          </w:tcPr>
          <w:p w14:paraId="080F588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RNA </w:t>
            </w:r>
          </w:p>
        </w:tc>
        <w:tc>
          <w:tcPr>
            <w:tcW w:w="7103" w:type="dxa"/>
            <w:hideMark/>
          </w:tcPr>
          <w:p w14:paraId="4FC45B4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Ribonucleic acid </w:t>
            </w:r>
          </w:p>
        </w:tc>
      </w:tr>
      <w:tr w:rsidR="0026066B" w:rsidRPr="00FA7D47" w14:paraId="7301BD2C" w14:textId="77777777" w:rsidTr="00981B66">
        <w:trPr>
          <w:trHeight w:val="300"/>
        </w:trPr>
        <w:tc>
          <w:tcPr>
            <w:tcW w:w="1907" w:type="dxa"/>
            <w:hideMark/>
          </w:tcPr>
          <w:p w14:paraId="4E982DF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rRNA</w:t>
            </w:r>
          </w:p>
        </w:tc>
        <w:tc>
          <w:tcPr>
            <w:tcW w:w="7103" w:type="dxa"/>
            <w:hideMark/>
          </w:tcPr>
          <w:p w14:paraId="3F27C01C"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Ribosomal ribonucleic acid</w:t>
            </w:r>
          </w:p>
        </w:tc>
      </w:tr>
      <w:tr w:rsidR="0026066B" w:rsidRPr="00FA7D47" w14:paraId="3A0B8783" w14:textId="77777777" w:rsidTr="00981B66">
        <w:trPr>
          <w:trHeight w:val="300"/>
        </w:trPr>
        <w:tc>
          <w:tcPr>
            <w:tcW w:w="1907" w:type="dxa"/>
            <w:hideMark/>
          </w:tcPr>
          <w:p w14:paraId="24C33A5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RT </w:t>
            </w:r>
          </w:p>
        </w:tc>
        <w:tc>
          <w:tcPr>
            <w:tcW w:w="7103" w:type="dxa"/>
            <w:hideMark/>
          </w:tcPr>
          <w:p w14:paraId="70A30BE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Room temperature </w:t>
            </w:r>
          </w:p>
        </w:tc>
      </w:tr>
      <w:tr w:rsidR="0026066B" w:rsidRPr="00FA7D47" w14:paraId="68D199BC" w14:textId="77777777" w:rsidTr="00981B66">
        <w:trPr>
          <w:trHeight w:val="300"/>
        </w:trPr>
        <w:tc>
          <w:tcPr>
            <w:tcW w:w="1907" w:type="dxa"/>
            <w:hideMark/>
          </w:tcPr>
          <w:p w14:paraId="675A7F3C"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w:t>
            </w:r>
          </w:p>
        </w:tc>
        <w:tc>
          <w:tcPr>
            <w:tcW w:w="7103" w:type="dxa"/>
            <w:hideMark/>
          </w:tcPr>
          <w:p w14:paraId="15D0080D"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Seconds</w:t>
            </w:r>
          </w:p>
        </w:tc>
      </w:tr>
      <w:tr w:rsidR="0026066B" w:rsidRPr="00FA7D47" w14:paraId="2D4E19D3" w14:textId="77777777" w:rsidTr="00981B66">
        <w:trPr>
          <w:trHeight w:val="300"/>
        </w:trPr>
        <w:tc>
          <w:tcPr>
            <w:tcW w:w="1907" w:type="dxa"/>
            <w:hideMark/>
          </w:tcPr>
          <w:p w14:paraId="4C03B84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SCFAs</w:t>
            </w:r>
          </w:p>
        </w:tc>
        <w:tc>
          <w:tcPr>
            <w:tcW w:w="7103" w:type="dxa"/>
            <w:hideMark/>
          </w:tcPr>
          <w:p w14:paraId="45C18D14"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Short-chain fatty acids</w:t>
            </w:r>
          </w:p>
        </w:tc>
      </w:tr>
      <w:tr w:rsidR="0026066B" w:rsidRPr="00FA7D47" w14:paraId="3ACDF303" w14:textId="77777777" w:rsidTr="00981B66">
        <w:trPr>
          <w:trHeight w:val="300"/>
        </w:trPr>
        <w:tc>
          <w:tcPr>
            <w:tcW w:w="1907" w:type="dxa"/>
            <w:hideMark/>
          </w:tcPr>
          <w:p w14:paraId="28417A2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SD</w:t>
            </w:r>
          </w:p>
        </w:tc>
        <w:tc>
          <w:tcPr>
            <w:tcW w:w="7103" w:type="dxa"/>
            <w:hideMark/>
          </w:tcPr>
          <w:p w14:paraId="72F84DC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Standard deviation</w:t>
            </w:r>
          </w:p>
        </w:tc>
      </w:tr>
      <w:tr w:rsidR="0026066B" w:rsidRPr="00FA7D47" w14:paraId="66CF76AE" w14:textId="77777777" w:rsidTr="00981B66">
        <w:trPr>
          <w:trHeight w:val="300"/>
        </w:trPr>
        <w:tc>
          <w:tcPr>
            <w:tcW w:w="1907" w:type="dxa"/>
            <w:hideMark/>
          </w:tcPr>
          <w:p w14:paraId="09F09AD3"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SDS</w:t>
            </w:r>
          </w:p>
        </w:tc>
        <w:tc>
          <w:tcPr>
            <w:tcW w:w="7103" w:type="dxa"/>
            <w:hideMark/>
          </w:tcPr>
          <w:p w14:paraId="6E70573B"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Sodium Dodecyl sulfate</w:t>
            </w:r>
          </w:p>
        </w:tc>
      </w:tr>
      <w:tr w:rsidR="0026066B" w:rsidRPr="00FA7D47" w14:paraId="2A8225A0" w14:textId="77777777" w:rsidTr="00981B66">
        <w:trPr>
          <w:trHeight w:val="300"/>
        </w:trPr>
        <w:tc>
          <w:tcPr>
            <w:tcW w:w="1907" w:type="dxa"/>
            <w:hideMark/>
          </w:tcPr>
          <w:p w14:paraId="4008E1F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SOM</w:t>
            </w:r>
          </w:p>
        </w:tc>
        <w:tc>
          <w:tcPr>
            <w:tcW w:w="7103" w:type="dxa"/>
            <w:hideMark/>
          </w:tcPr>
          <w:p w14:paraId="2FD21BD2" w14:textId="0B594925"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w:t>
            </w:r>
            <w:r w:rsidR="007F30F2" w:rsidRPr="00FA7D47">
              <w:rPr>
                <w:rFonts w:cstheme="minorBidi"/>
                <w:color w:val="000000" w:themeColor="text1"/>
                <w:lang w:val="en-GB"/>
              </w:rPr>
              <w:t xml:space="preserve">ize at </w:t>
            </w:r>
            <w:r w:rsidR="00FA3AF0" w:rsidRPr="00FA7D47">
              <w:rPr>
                <w:rFonts w:cstheme="minorBidi"/>
                <w:color w:val="000000" w:themeColor="text1"/>
                <w:lang w:val="en-GB"/>
              </w:rPr>
              <w:t>o</w:t>
            </w:r>
            <w:r w:rsidRPr="009819CE">
              <w:rPr>
                <w:rFonts w:cstheme="minorBidi"/>
                <w:color w:val="000000" w:themeColor="text1"/>
                <w:lang w:val="en-GB"/>
              </w:rPr>
              <w:t xml:space="preserve">nset </w:t>
            </w:r>
            <w:r w:rsidR="00FA3AF0" w:rsidRPr="00FA7D47">
              <w:rPr>
                <w:rFonts w:cstheme="minorBidi"/>
                <w:color w:val="000000" w:themeColor="text1"/>
                <w:lang w:val="en-GB"/>
              </w:rPr>
              <w:t>of sexual m</w:t>
            </w:r>
            <w:r w:rsidRPr="009819CE">
              <w:rPr>
                <w:rFonts w:cstheme="minorBidi"/>
                <w:color w:val="000000" w:themeColor="text1"/>
                <w:lang w:val="en-GB"/>
              </w:rPr>
              <w:t>aturity</w:t>
            </w:r>
          </w:p>
        </w:tc>
      </w:tr>
      <w:tr w:rsidR="0026066B" w:rsidRPr="00FA7D47" w14:paraId="74AF7568" w14:textId="77777777" w:rsidTr="00981B66">
        <w:trPr>
          <w:trHeight w:val="300"/>
        </w:trPr>
        <w:tc>
          <w:tcPr>
            <w:tcW w:w="1907" w:type="dxa"/>
            <w:hideMark/>
          </w:tcPr>
          <w:p w14:paraId="5DEA38E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SOP</w:t>
            </w:r>
          </w:p>
        </w:tc>
        <w:tc>
          <w:tcPr>
            <w:tcW w:w="7103" w:type="dxa"/>
            <w:hideMark/>
          </w:tcPr>
          <w:p w14:paraId="7D95BE3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Standard operating procedure</w:t>
            </w:r>
          </w:p>
        </w:tc>
      </w:tr>
      <w:tr w:rsidR="0026066B" w:rsidRPr="00FA7D47" w14:paraId="6877FD9B" w14:textId="77777777" w:rsidTr="00981B66">
        <w:trPr>
          <w:trHeight w:val="300"/>
        </w:trPr>
        <w:tc>
          <w:tcPr>
            <w:tcW w:w="1907" w:type="dxa"/>
            <w:noWrap/>
            <w:hideMark/>
          </w:tcPr>
          <w:p w14:paraId="0A381BC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SRB</w:t>
            </w:r>
          </w:p>
        </w:tc>
        <w:tc>
          <w:tcPr>
            <w:tcW w:w="7103" w:type="dxa"/>
            <w:noWrap/>
            <w:hideMark/>
          </w:tcPr>
          <w:p w14:paraId="258E8B05"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sulfate-reducing bacteria </w:t>
            </w:r>
          </w:p>
        </w:tc>
      </w:tr>
      <w:tr w:rsidR="0026066B" w:rsidRPr="00FA7D47" w14:paraId="3FA3DDAF" w14:textId="77777777" w:rsidTr="00981B66">
        <w:trPr>
          <w:trHeight w:val="300"/>
        </w:trPr>
        <w:tc>
          <w:tcPr>
            <w:tcW w:w="1907" w:type="dxa"/>
            <w:hideMark/>
          </w:tcPr>
          <w:p w14:paraId="5E490563"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TAE</w:t>
            </w:r>
          </w:p>
        </w:tc>
        <w:tc>
          <w:tcPr>
            <w:tcW w:w="7103" w:type="dxa"/>
            <w:hideMark/>
          </w:tcPr>
          <w:p w14:paraId="32609E4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Tris acetate EDTA </w:t>
            </w:r>
          </w:p>
        </w:tc>
      </w:tr>
      <w:tr w:rsidR="0026066B" w:rsidRPr="00FA7D47" w14:paraId="129AF8E5" w14:textId="77777777" w:rsidTr="00981B66">
        <w:trPr>
          <w:trHeight w:val="300"/>
        </w:trPr>
        <w:tc>
          <w:tcPr>
            <w:tcW w:w="1907" w:type="dxa"/>
            <w:hideMark/>
          </w:tcPr>
          <w:p w14:paraId="0C7C53A6"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TEM</w:t>
            </w:r>
          </w:p>
        </w:tc>
        <w:tc>
          <w:tcPr>
            <w:tcW w:w="7103" w:type="dxa"/>
            <w:hideMark/>
          </w:tcPr>
          <w:p w14:paraId="18A1CF5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Transmission electron microscopy</w:t>
            </w:r>
          </w:p>
        </w:tc>
      </w:tr>
      <w:tr w:rsidR="0026066B" w:rsidRPr="00FA7D47" w14:paraId="63AAC715" w14:textId="77777777" w:rsidTr="00981B66">
        <w:trPr>
          <w:trHeight w:val="300"/>
        </w:trPr>
        <w:tc>
          <w:tcPr>
            <w:tcW w:w="1907" w:type="dxa"/>
            <w:hideMark/>
          </w:tcPr>
          <w:p w14:paraId="5E4B31F2"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US</w:t>
            </w:r>
          </w:p>
        </w:tc>
        <w:tc>
          <w:tcPr>
            <w:tcW w:w="7103" w:type="dxa"/>
            <w:hideMark/>
          </w:tcPr>
          <w:p w14:paraId="05C7F911"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United States</w:t>
            </w:r>
          </w:p>
        </w:tc>
      </w:tr>
      <w:tr w:rsidR="0026066B" w:rsidRPr="00FA7D47" w14:paraId="0A9F4CBF" w14:textId="77777777" w:rsidTr="00981B66">
        <w:trPr>
          <w:trHeight w:val="300"/>
        </w:trPr>
        <w:tc>
          <w:tcPr>
            <w:tcW w:w="1907" w:type="dxa"/>
            <w:hideMark/>
          </w:tcPr>
          <w:p w14:paraId="29A45C87"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v/v</w:t>
            </w:r>
          </w:p>
        </w:tc>
        <w:tc>
          <w:tcPr>
            <w:tcW w:w="7103" w:type="dxa"/>
            <w:hideMark/>
          </w:tcPr>
          <w:p w14:paraId="217E701A"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Volume/volume </w:t>
            </w:r>
          </w:p>
        </w:tc>
      </w:tr>
      <w:tr w:rsidR="0026066B" w:rsidRPr="00FA7D47" w14:paraId="4EFA028D" w14:textId="77777777" w:rsidTr="00981B66">
        <w:trPr>
          <w:trHeight w:val="300"/>
        </w:trPr>
        <w:tc>
          <w:tcPr>
            <w:tcW w:w="1907" w:type="dxa"/>
            <w:noWrap/>
            <w:hideMark/>
          </w:tcPr>
          <w:p w14:paraId="1C4FF0D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vidx</w:t>
            </w:r>
          </w:p>
        </w:tc>
        <w:tc>
          <w:tcPr>
            <w:tcW w:w="7103" w:type="dxa"/>
            <w:noWrap/>
            <w:hideMark/>
          </w:tcPr>
          <w:p w14:paraId="41D6229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vigour index</w:t>
            </w:r>
          </w:p>
        </w:tc>
      </w:tr>
      <w:tr w:rsidR="0026066B" w:rsidRPr="00FA7D47" w14:paraId="185F2F2C" w14:textId="77777777" w:rsidTr="00981B66">
        <w:trPr>
          <w:trHeight w:val="300"/>
        </w:trPr>
        <w:tc>
          <w:tcPr>
            <w:tcW w:w="1907" w:type="dxa"/>
            <w:hideMark/>
          </w:tcPr>
          <w:p w14:paraId="6840B330"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w/v</w:t>
            </w:r>
          </w:p>
        </w:tc>
        <w:tc>
          <w:tcPr>
            <w:tcW w:w="7103" w:type="dxa"/>
            <w:hideMark/>
          </w:tcPr>
          <w:p w14:paraId="15271BB8"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Weight per volume</w:t>
            </w:r>
          </w:p>
        </w:tc>
      </w:tr>
      <w:tr w:rsidR="0026066B" w:rsidRPr="00FA7D47" w14:paraId="751ECC27" w14:textId="77777777" w:rsidTr="00981B66">
        <w:trPr>
          <w:trHeight w:val="300"/>
        </w:trPr>
        <w:tc>
          <w:tcPr>
            <w:tcW w:w="1907" w:type="dxa"/>
            <w:noWrap/>
            <w:hideMark/>
          </w:tcPr>
          <w:p w14:paraId="16A16FD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WFS</w:t>
            </w:r>
          </w:p>
        </w:tc>
        <w:tc>
          <w:tcPr>
            <w:tcW w:w="7103" w:type="dxa"/>
            <w:noWrap/>
            <w:hideMark/>
          </w:tcPr>
          <w:p w14:paraId="4A4C8889"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White Faeces Syndrome </w:t>
            </w:r>
          </w:p>
        </w:tc>
      </w:tr>
      <w:tr w:rsidR="0026066B" w:rsidRPr="00FA7D47" w14:paraId="18FFB28B" w14:textId="77777777" w:rsidTr="00981B66">
        <w:trPr>
          <w:trHeight w:val="300"/>
        </w:trPr>
        <w:tc>
          <w:tcPr>
            <w:tcW w:w="1907" w:type="dxa"/>
            <w:noWrap/>
            <w:hideMark/>
          </w:tcPr>
          <w:p w14:paraId="398AF2F3"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WSSV</w:t>
            </w:r>
          </w:p>
        </w:tc>
        <w:tc>
          <w:tcPr>
            <w:tcW w:w="7103" w:type="dxa"/>
            <w:noWrap/>
            <w:hideMark/>
          </w:tcPr>
          <w:p w14:paraId="229714A5"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White Spot Syndrome Virus </w:t>
            </w:r>
          </w:p>
        </w:tc>
      </w:tr>
      <w:tr w:rsidR="0026066B" w:rsidRPr="00FA7D47" w14:paraId="0670FDBC" w14:textId="77777777" w:rsidTr="00981B66">
        <w:trPr>
          <w:trHeight w:val="300"/>
        </w:trPr>
        <w:tc>
          <w:tcPr>
            <w:tcW w:w="1907" w:type="dxa"/>
            <w:hideMark/>
          </w:tcPr>
          <w:p w14:paraId="2471459B"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μg </w:t>
            </w:r>
          </w:p>
        </w:tc>
        <w:tc>
          <w:tcPr>
            <w:tcW w:w="7103" w:type="dxa"/>
            <w:hideMark/>
          </w:tcPr>
          <w:p w14:paraId="28880D3F"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 xml:space="preserve">Microgram </w:t>
            </w:r>
          </w:p>
        </w:tc>
      </w:tr>
      <w:tr w:rsidR="0026066B" w:rsidRPr="00FA7D47" w14:paraId="03C08E04" w14:textId="77777777" w:rsidTr="00981B66">
        <w:trPr>
          <w:trHeight w:val="300"/>
        </w:trPr>
        <w:tc>
          <w:tcPr>
            <w:tcW w:w="1907" w:type="dxa"/>
            <w:hideMark/>
          </w:tcPr>
          <w:p w14:paraId="37C2D297" w14:textId="77777777"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μL</w:t>
            </w:r>
          </w:p>
        </w:tc>
        <w:tc>
          <w:tcPr>
            <w:tcW w:w="7103" w:type="dxa"/>
            <w:hideMark/>
          </w:tcPr>
          <w:p w14:paraId="4815B4A9" w14:textId="02D9EAAB" w:rsidR="0026066B" w:rsidRPr="009819CE" w:rsidRDefault="0026066B" w:rsidP="0026066B">
            <w:pPr>
              <w:spacing w:before="0" w:after="0"/>
              <w:rPr>
                <w:rFonts w:cstheme="minorBidi"/>
                <w:color w:val="000000" w:themeColor="text1"/>
                <w:lang w:val="en-GB"/>
              </w:rPr>
            </w:pPr>
            <w:r w:rsidRPr="009819CE">
              <w:rPr>
                <w:rFonts w:cstheme="minorBidi"/>
                <w:color w:val="000000" w:themeColor="text1"/>
                <w:lang w:val="en-GB"/>
              </w:rPr>
              <w:t>Microlitr</w:t>
            </w:r>
            <w:r w:rsidR="00451477" w:rsidRPr="00FA7D47">
              <w:rPr>
                <w:rFonts w:cstheme="minorBidi"/>
                <w:color w:val="000000" w:themeColor="text1"/>
                <w:lang w:val="en-GB"/>
              </w:rPr>
              <w:t>e</w:t>
            </w:r>
            <w:r w:rsidRPr="009819CE">
              <w:rPr>
                <w:rFonts w:cstheme="minorBidi"/>
                <w:color w:val="000000" w:themeColor="text1"/>
                <w:lang w:val="en-GB"/>
              </w:rPr>
              <w:t xml:space="preserve"> </w:t>
            </w:r>
          </w:p>
        </w:tc>
      </w:tr>
    </w:tbl>
    <w:p w14:paraId="4F175FED" w14:textId="4EC7F17F" w:rsidR="008B2F1D" w:rsidRPr="009819CE" w:rsidRDefault="008B2F1D" w:rsidP="00DA29AB">
      <w:pPr>
        <w:spacing w:before="0" w:after="0"/>
        <w:rPr>
          <w:rFonts w:cstheme="minorBidi"/>
          <w:color w:val="000000" w:themeColor="text1"/>
        </w:rPr>
      </w:pPr>
    </w:p>
    <w:p w14:paraId="02FFA7A4" w14:textId="77777777" w:rsidR="00B541B4" w:rsidRDefault="00B541B4" w:rsidP="00DA29AB">
      <w:pPr>
        <w:spacing w:before="0" w:after="0"/>
        <w:rPr>
          <w:rFonts w:cstheme="minorBidi"/>
          <w:color w:val="000000" w:themeColor="text1"/>
        </w:rPr>
        <w:sectPr w:rsidR="00B541B4" w:rsidSect="00B541B4">
          <w:headerReference w:type="default" r:id="rId22"/>
          <w:pgSz w:w="11900" w:h="16840" w:code="9"/>
          <w:pgMar w:top="1440" w:right="1440" w:bottom="1440" w:left="1440" w:header="720" w:footer="720" w:gutter="0"/>
          <w:cols w:space="720"/>
          <w:docGrid w:linePitch="360"/>
        </w:sectPr>
      </w:pPr>
    </w:p>
    <w:p w14:paraId="220BCFF9" w14:textId="77777777" w:rsidR="00490FA1" w:rsidRPr="009819CE" w:rsidRDefault="00490FA1" w:rsidP="00490FA1">
      <w:pPr>
        <w:pStyle w:val="Heading1"/>
        <w:numPr>
          <w:ilvl w:val="0"/>
          <w:numId w:val="6"/>
        </w:numPr>
      </w:pPr>
      <w:bookmarkStart w:id="14" w:name="_Toc204106585"/>
      <w:bookmarkEnd w:id="12"/>
      <w:bookmarkEnd w:id="13"/>
      <w:r w:rsidRPr="009819CE">
        <w:t>Abstract</w:t>
      </w:r>
      <w:bookmarkEnd w:id="14"/>
    </w:p>
    <w:p w14:paraId="3A365701" w14:textId="6A9C46D8" w:rsidR="00490FA1" w:rsidRPr="009819CE" w:rsidRDefault="00490FA1" w:rsidP="00490FA1">
      <w:pPr>
        <w:rPr>
          <w:rFonts w:cstheme="minorBidi"/>
        </w:rPr>
      </w:pPr>
      <w:r w:rsidRPr="009819CE">
        <w:rPr>
          <w:rFonts w:cstheme="minorBidi"/>
          <w:i/>
          <w:iCs/>
        </w:rPr>
        <w:t>Hematodinium</w:t>
      </w:r>
      <w:r w:rsidRPr="009819CE">
        <w:rPr>
          <w:rFonts w:cstheme="minorBidi"/>
        </w:rPr>
        <w:t xml:space="preserve"> sp. poses a significant threat to shellfish fisheries and aquaculture worldwide, causing morbidity and mortality events in various decapod species. The study focuses on the Clyde Sea Area (CSA) population of </w:t>
      </w:r>
      <w:r w:rsidRPr="009819CE">
        <w:rPr>
          <w:rFonts w:cstheme="minorBidi"/>
          <w:i/>
        </w:rPr>
        <w:t>Nephrops</w:t>
      </w:r>
      <w:r w:rsidRPr="009819CE">
        <w:rPr>
          <w:rFonts w:cstheme="minorBidi"/>
        </w:rPr>
        <w:t xml:space="preserve"> and aims to elucidate key aspects of the </w:t>
      </w:r>
      <w:r w:rsidRPr="009819CE">
        <w:rPr>
          <w:rFonts w:cstheme="minorBidi"/>
          <w:i/>
          <w:iCs/>
        </w:rPr>
        <w:t>Hematodinium</w:t>
      </w:r>
      <w:r w:rsidRPr="009819CE">
        <w:rPr>
          <w:rFonts w:cstheme="minorBidi"/>
        </w:rPr>
        <w:t>-</w:t>
      </w:r>
      <w:r w:rsidRPr="009819CE">
        <w:rPr>
          <w:rFonts w:cstheme="minorBidi"/>
          <w:i/>
          <w:iCs/>
        </w:rPr>
        <w:t>Nephrops</w:t>
      </w:r>
      <w:r w:rsidRPr="009819CE">
        <w:rPr>
          <w:rFonts w:cstheme="minorBidi"/>
        </w:rPr>
        <w:t xml:space="preserve"> pathosystem. </w:t>
      </w:r>
      <w:r w:rsidRPr="00FA7D47">
        <w:rPr>
          <w:rFonts w:cstheme="minorBidi"/>
        </w:rPr>
        <w:t xml:space="preserve">This </w:t>
      </w:r>
      <w:r w:rsidRPr="009819CE">
        <w:rPr>
          <w:rFonts w:cstheme="minorBidi"/>
        </w:rPr>
        <w:t xml:space="preserve">research confirms that </w:t>
      </w:r>
      <w:r w:rsidRPr="009819CE">
        <w:rPr>
          <w:rFonts w:cstheme="minorBidi"/>
          <w:i/>
          <w:iCs/>
        </w:rPr>
        <w:t>Hematodinium</w:t>
      </w:r>
      <w:r w:rsidRPr="009819CE">
        <w:rPr>
          <w:rFonts w:cstheme="minorBidi"/>
        </w:rPr>
        <w:t xml:space="preserve"> sp. infection levels in the CSA align with previous data using body colo</w:t>
      </w:r>
      <w:r>
        <w:rPr>
          <w:rFonts w:cstheme="minorBidi"/>
        </w:rPr>
        <w:t>u</w:t>
      </w:r>
      <w:r w:rsidRPr="009819CE">
        <w:rPr>
          <w:rFonts w:cstheme="minorBidi"/>
        </w:rPr>
        <w:t xml:space="preserve">ration and pleopod examination methods </w:t>
      </w:r>
      <w:r w:rsidRPr="009819CE">
        <w:rPr>
          <w:rFonts w:cstheme="minorBidi"/>
        </w:rPr>
        <w:fldChar w:fldCharType="begin">
          <w:fldData xml:space="preserve">PEVuZE5vdGU+PENpdGU+PEF1dGhvcj5TdGVudGlmb3JkPC9BdXRob3I+PFllYXI+MjAwMTwvWWVh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</w:fldData>
        </w:fldChar>
      </w:r>
      <w:r w:rsidRPr="009819CE">
        <w:rPr>
          <w:rFonts w:cstheme="minorBidi"/>
        </w:rPr>
        <w:instrText xml:space="preserve"> ADDIN EN.CITE </w:instrText>
      </w:r>
      <w:r w:rsidRPr="009819CE">
        <w:rPr>
          <w:rFonts w:cstheme="minorBidi"/>
        </w:rPr>
        <w:fldChar w:fldCharType="begin">
          <w:fldData xml:space="preserve">PEVuZE5vdGU+PENpdGU+PEF1dGhvcj5TdGVudGlmb3JkPC9BdXRob3I+PFllYXI+MjAwMTwvWWVh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</w:fldData>
        </w:fldChar>
      </w:r>
      <w:r w:rsidRPr="009819CE">
        <w:rPr>
          <w:rFonts w:cstheme="minorBidi"/>
        </w:rPr>
        <w:instrText xml:space="preserve"> ADDIN EN.CITE.DATA </w:instrText>
      </w:r>
      <w:r w:rsidRPr="009819CE">
        <w:rPr>
          <w:rFonts w:cstheme="minorBidi"/>
        </w:rPr>
      </w:r>
      <w:r w:rsidRPr="009819CE">
        <w:rPr>
          <w:rFonts w:cstheme="minorBidi"/>
        </w:rPr>
        <w:fldChar w:fldCharType="end"/>
      </w:r>
      <w:r w:rsidRPr="009819CE">
        <w:rPr>
          <w:rFonts w:cstheme="minorBidi"/>
        </w:rPr>
      </w:r>
      <w:r w:rsidRPr="009819CE">
        <w:rPr>
          <w:rFonts w:cstheme="minorBidi"/>
        </w:rPr>
        <w:fldChar w:fldCharType="separate"/>
      </w:r>
      <w:r w:rsidRPr="001F4A34">
        <w:rPr>
          <w:rFonts w:cstheme="minorBidi"/>
        </w:rPr>
        <w:t>(</w:t>
      </w:r>
      <w:hyperlink w:anchor="_ENREF_29" w:tooltip="Beevers, 2012 #377" w:history="1">
        <w:r w:rsidR="00950097" w:rsidRPr="001F4A34">
          <w:rPr>
            <w:rFonts w:cstheme="minorBidi"/>
          </w:rPr>
          <w:t>Beevers et al., 2012</w:t>
        </w:r>
      </w:hyperlink>
      <w:r w:rsidRPr="001F4A34">
        <w:rPr>
          <w:rFonts w:cstheme="minorBidi"/>
        </w:rPr>
        <w:t xml:space="preserve">; </w:t>
      </w:r>
      <w:hyperlink w:anchor="_ENREF_297" w:tooltip="Stentiford, 2001 #124" w:history="1">
        <w:r w:rsidR="00950097" w:rsidRPr="001F4A34">
          <w:rPr>
            <w:rFonts w:cstheme="minorBidi"/>
          </w:rPr>
          <w:t>Stentiford et al., 2001a</w:t>
        </w:r>
      </w:hyperlink>
      <w:r w:rsidRPr="001F4A34">
        <w:rPr>
          <w:rFonts w:cstheme="minorBidi"/>
        </w:rPr>
        <w:t>)</w:t>
      </w:r>
      <w:r w:rsidRPr="009819CE">
        <w:rPr>
          <w:rFonts w:cstheme="minorBidi"/>
        </w:rPr>
        <w:fldChar w:fldCharType="end"/>
      </w:r>
      <w:r w:rsidRPr="009819CE">
        <w:rPr>
          <w:rFonts w:cstheme="minorBidi"/>
        </w:rPr>
        <w:t xml:space="preserve">. This </w:t>
      </w:r>
      <w:r w:rsidRPr="00FA7D47">
        <w:rPr>
          <w:rFonts w:cstheme="minorBidi"/>
        </w:rPr>
        <w:t xml:space="preserve">confirms that </w:t>
      </w:r>
      <w:r w:rsidRPr="009819CE">
        <w:rPr>
          <w:rFonts w:cstheme="minorBidi"/>
          <w:i/>
          <w:iCs/>
        </w:rPr>
        <w:t>Hematodinium</w:t>
      </w:r>
      <w:r w:rsidRPr="009819CE">
        <w:rPr>
          <w:rFonts w:cstheme="minorBidi"/>
        </w:rPr>
        <w:t xml:space="preserve"> sp. is endemic to the region, with infection rates peaking in spring and summer and declining in autumn. </w:t>
      </w:r>
      <w:r w:rsidRPr="00FA7D47">
        <w:rPr>
          <w:rFonts w:cstheme="minorBidi"/>
        </w:rPr>
        <w:t xml:space="preserve">The </w:t>
      </w:r>
      <w:r w:rsidRPr="009819CE">
        <w:rPr>
          <w:rFonts w:cstheme="minorBidi"/>
        </w:rPr>
        <w:t xml:space="preserve">study highlights a correlation between infection severity and </w:t>
      </w:r>
      <w:r w:rsidRPr="009819CE">
        <w:rPr>
          <w:rFonts w:cstheme="minorBidi"/>
          <w:i/>
          <w:iCs/>
        </w:rPr>
        <w:t>Nephrops</w:t>
      </w:r>
      <w:r w:rsidRPr="009819CE">
        <w:rPr>
          <w:rFonts w:cstheme="minorBidi"/>
        </w:rPr>
        <w:t xml:space="preserve"> size, with smaller individuals being more susceptible to disease progression. Female </w:t>
      </w:r>
      <w:r w:rsidRPr="009819CE">
        <w:rPr>
          <w:rFonts w:cstheme="minorBidi"/>
          <w:i/>
          <w:iCs/>
        </w:rPr>
        <w:t>Nephrops</w:t>
      </w:r>
      <w:r w:rsidRPr="009819CE">
        <w:rPr>
          <w:rFonts w:cstheme="minorBidi"/>
        </w:rPr>
        <w:t xml:space="preserve">, exhibiting behaviours such as burrow emergence and synchronized moulting in spring, are particularly prone to acquiring infection. </w:t>
      </w:r>
      <w:r w:rsidRPr="00FA7D47">
        <w:rPr>
          <w:rFonts w:cstheme="minorBidi"/>
        </w:rPr>
        <w:t>the</w:t>
      </w:r>
    </w:p>
    <w:p w14:paraId="51B48925" w14:textId="514DAB71" w:rsidR="00490FA1" w:rsidRPr="009819CE" w:rsidRDefault="00490FA1" w:rsidP="00490FA1">
      <w:pPr>
        <w:rPr>
          <w:rFonts w:cstheme="minorBidi"/>
        </w:rPr>
      </w:pPr>
      <w:r w:rsidRPr="009819CE">
        <w:rPr>
          <w:rFonts w:cstheme="minorBidi"/>
        </w:rPr>
        <w:t xml:space="preserve">Building upon this knowledge, previously unexamined aspects of </w:t>
      </w:r>
      <w:r w:rsidRPr="009819CE">
        <w:rPr>
          <w:rFonts w:cstheme="minorBidi"/>
          <w:i/>
          <w:iCs/>
        </w:rPr>
        <w:t>Nephrops</w:t>
      </w:r>
      <w:r w:rsidRPr="009819CE">
        <w:rPr>
          <w:rFonts w:cstheme="minorBidi"/>
        </w:rPr>
        <w:t xml:space="preserve"> microbiome dynamics </w:t>
      </w:r>
      <w:r w:rsidR="00F43CD7">
        <w:rPr>
          <w:rFonts w:cstheme="minorBidi"/>
        </w:rPr>
        <w:t xml:space="preserve">were explored </w:t>
      </w:r>
      <w:r w:rsidRPr="009819CE">
        <w:rPr>
          <w:rFonts w:cstheme="minorBidi"/>
        </w:rPr>
        <w:t xml:space="preserve">in both </w:t>
      </w:r>
      <w:r w:rsidRPr="009819CE">
        <w:rPr>
          <w:rFonts w:cstheme="minorBidi"/>
          <w:i/>
          <w:iCs/>
        </w:rPr>
        <w:t>Hematodinium</w:t>
      </w:r>
      <w:r w:rsidRPr="009819CE">
        <w:rPr>
          <w:rFonts w:cstheme="minorBidi"/>
        </w:rPr>
        <w:t xml:space="preserve">-negative individuals and those infected by </w:t>
      </w:r>
      <w:r w:rsidRPr="009819CE">
        <w:rPr>
          <w:rFonts w:cstheme="minorBidi"/>
          <w:i/>
          <w:iCs/>
        </w:rPr>
        <w:t>Hematodinium</w:t>
      </w:r>
      <w:r w:rsidRPr="009819CE">
        <w:rPr>
          <w:rFonts w:cstheme="minorBidi"/>
        </w:rPr>
        <w:t xml:space="preserve"> sp. </w:t>
      </w:r>
      <w:r w:rsidRPr="00FA7D47">
        <w:rPr>
          <w:rFonts w:cstheme="minorBidi"/>
        </w:rPr>
        <w:t>The</w:t>
      </w:r>
      <w:r w:rsidRPr="009819CE">
        <w:rPr>
          <w:rFonts w:cstheme="minorBidi"/>
        </w:rPr>
        <w:t xml:space="preserve"> analysis revealed that even at subpatent levels, infected lobsters exhibit significant changes in haemolymph microbiome richness and composition, indicating a rapid and persistent microbial response to </w:t>
      </w:r>
      <w:r w:rsidRPr="009819CE">
        <w:rPr>
          <w:rFonts w:cstheme="minorBidi"/>
          <w:i/>
          <w:iCs/>
        </w:rPr>
        <w:t>Hematodinium</w:t>
      </w:r>
      <w:r w:rsidRPr="009819CE">
        <w:rPr>
          <w:rFonts w:cstheme="minorBidi"/>
        </w:rPr>
        <w:t xml:space="preserve"> sp. infection. The infection decreased haemolymph bacterial richness and increased opportunistic bacteria, while the gut microbiome shifted towards polysaccharide-degrading genera. This study also established a baseline for </w:t>
      </w:r>
      <w:r w:rsidRPr="00FA7D47">
        <w:rPr>
          <w:rFonts w:cstheme="minorBidi"/>
        </w:rPr>
        <w:t>“healthy”</w:t>
      </w:r>
      <w:r w:rsidRPr="009819CE">
        <w:rPr>
          <w:rFonts w:cstheme="minorBidi"/>
        </w:rPr>
        <w:t xml:space="preserve"> microbiomes in </w:t>
      </w:r>
      <w:r w:rsidRPr="009819CE">
        <w:rPr>
          <w:rFonts w:cstheme="minorBidi"/>
          <w:i/>
          <w:iCs/>
        </w:rPr>
        <w:t>Nephrops</w:t>
      </w:r>
      <w:r w:rsidRPr="009819CE">
        <w:rPr>
          <w:rFonts w:cstheme="minorBidi"/>
        </w:rPr>
        <w:t xml:space="preserve">, with </w:t>
      </w:r>
      <w:r w:rsidRPr="009819CE">
        <w:rPr>
          <w:rFonts w:cstheme="minorBidi"/>
          <w:i/>
          <w:iCs/>
        </w:rPr>
        <w:t>Proteobacteria</w:t>
      </w:r>
      <w:r w:rsidRPr="009819CE">
        <w:rPr>
          <w:rFonts w:cstheme="minorBidi"/>
        </w:rPr>
        <w:t xml:space="preserve"> dominating both haemolymph (46.1%) and gut (26.7%) microbiomes, a pattern consistent with other crustaceans. The haemolymph contained beneficial genera like </w:t>
      </w:r>
      <w:r w:rsidRPr="009819CE">
        <w:rPr>
          <w:rFonts w:cstheme="minorBidi"/>
          <w:i/>
          <w:iCs/>
        </w:rPr>
        <w:t>Bifidobacterium</w:t>
      </w:r>
      <w:r w:rsidRPr="009819CE">
        <w:rPr>
          <w:rFonts w:cstheme="minorBidi"/>
        </w:rPr>
        <w:t xml:space="preserve"> and </w:t>
      </w:r>
      <w:r w:rsidRPr="009819CE">
        <w:rPr>
          <w:rFonts w:cstheme="minorBidi"/>
          <w:i/>
          <w:iCs/>
        </w:rPr>
        <w:t>Lactobacillus</w:t>
      </w:r>
      <w:r w:rsidRPr="009819CE">
        <w:rPr>
          <w:rFonts w:cstheme="minorBidi"/>
        </w:rPr>
        <w:t xml:space="preserve">, alongside opportunistic pathogens such as </w:t>
      </w:r>
      <w:r w:rsidRPr="009819CE">
        <w:rPr>
          <w:rFonts w:cstheme="minorBidi"/>
          <w:i/>
          <w:iCs/>
        </w:rPr>
        <w:t>Pseudomonas</w:t>
      </w:r>
      <w:r w:rsidRPr="009819CE">
        <w:rPr>
          <w:rFonts w:cstheme="minorBidi"/>
        </w:rPr>
        <w:t xml:space="preserve">. The gut featured diverse genera, including sulphate-reducing bacteria and the key member </w:t>
      </w:r>
      <w:r w:rsidRPr="009819CE">
        <w:rPr>
          <w:rFonts w:cstheme="minorBidi"/>
          <w:i/>
          <w:iCs/>
        </w:rPr>
        <w:t>Candidatus Bacilloplasma</w:t>
      </w:r>
      <w:r w:rsidRPr="009819CE">
        <w:rPr>
          <w:rFonts w:cstheme="minorBidi"/>
        </w:rPr>
        <w:t>, capable of influencing immune responses.</w:t>
      </w:r>
    </w:p>
    <w:p w14:paraId="15FE2ABC" w14:textId="6A781C14" w:rsidR="00490FA1" w:rsidRPr="009819CE" w:rsidRDefault="00490FA1" w:rsidP="00490FA1">
      <w:pPr>
        <w:rPr>
          <w:rFonts w:cstheme="minorBidi"/>
        </w:rPr>
      </w:pPr>
      <w:r w:rsidRPr="009819CE">
        <w:rPr>
          <w:rFonts w:cstheme="minorBidi"/>
        </w:rPr>
        <w:t xml:space="preserve">Furthermore, the lipid dynamics between </w:t>
      </w:r>
      <w:r w:rsidRPr="009819CE">
        <w:rPr>
          <w:rFonts w:cstheme="minorBidi"/>
          <w:i/>
          <w:iCs/>
        </w:rPr>
        <w:t>Hematodinium</w:t>
      </w:r>
      <w:r w:rsidRPr="009819CE">
        <w:rPr>
          <w:rFonts w:cstheme="minorBidi"/>
        </w:rPr>
        <w:t xml:space="preserve"> sp. and </w:t>
      </w:r>
      <w:r w:rsidRPr="009819CE">
        <w:rPr>
          <w:rFonts w:cstheme="minorBidi"/>
          <w:i/>
          <w:iCs/>
        </w:rPr>
        <w:t>Nephrops</w:t>
      </w:r>
      <w:r w:rsidR="00F43CD7">
        <w:rPr>
          <w:rFonts w:cstheme="minorBidi"/>
        </w:rPr>
        <w:t xml:space="preserve"> were analysed</w:t>
      </w:r>
      <w:r w:rsidRPr="009819CE">
        <w:rPr>
          <w:rFonts w:cstheme="minorBidi"/>
        </w:rPr>
        <w:t>, revealing clear similarities in lipid profiles between the parasite spores and the host hepatopancreas. This</w:t>
      </w:r>
      <w:r w:rsidRPr="00FA7D47">
        <w:rPr>
          <w:rFonts w:cstheme="minorBidi"/>
        </w:rPr>
        <w:t xml:space="preserve"> may</w:t>
      </w:r>
      <w:r w:rsidRPr="009819CE">
        <w:rPr>
          <w:rFonts w:cstheme="minorBidi"/>
        </w:rPr>
        <w:t xml:space="preserve"> indicate that the parasite relies on scavenging host-derived lipids for survival and possibly pathogenesis. </w:t>
      </w:r>
      <w:r w:rsidRPr="009819CE">
        <w:rPr>
          <w:rFonts w:cstheme="minorBidi"/>
          <w:i/>
          <w:iCs/>
        </w:rPr>
        <w:t>Hematodinium</w:t>
      </w:r>
      <w:r w:rsidRPr="009819CE">
        <w:rPr>
          <w:rFonts w:cstheme="minorBidi"/>
        </w:rPr>
        <w:t xml:space="preserve"> sp. macrospores accumulate energy-rich lipids such as triacylglycerols, DHA, and EPA, which likely enhance membrane fluidity, motility, and stress resistance, thereby aiding in their survival and transmission of </w:t>
      </w:r>
      <w:r w:rsidRPr="009819CE">
        <w:rPr>
          <w:rFonts w:cstheme="minorBidi"/>
          <w:i/>
          <w:iCs/>
        </w:rPr>
        <w:t>Hematodinium</w:t>
      </w:r>
      <w:r w:rsidRPr="009819CE">
        <w:rPr>
          <w:rFonts w:cstheme="minorBidi"/>
        </w:rPr>
        <w:t xml:space="preserve"> sp..</w:t>
      </w:r>
    </w:p>
    <w:p w14:paraId="52BA1D0D" w14:textId="60B9092E" w:rsidR="00490FA1" w:rsidRPr="009819CE" w:rsidRDefault="00490FA1" w:rsidP="00490FA1">
      <w:pPr>
        <w:rPr>
          <w:rFonts w:cstheme="minorBidi"/>
          <w:color w:val="000000"/>
        </w:rPr>
      </w:pPr>
      <w:r w:rsidRPr="009819CE">
        <w:rPr>
          <w:rFonts w:cstheme="minorBidi"/>
        </w:rPr>
        <w:t xml:space="preserve">Future investigations should build upon these insights by incorporating comprehensive monitoring of </w:t>
      </w:r>
      <w:r w:rsidRPr="009819CE">
        <w:rPr>
          <w:rFonts w:cstheme="minorBidi"/>
          <w:i/>
          <w:iCs/>
        </w:rPr>
        <w:t>Hematodinium</w:t>
      </w:r>
      <w:r w:rsidRPr="009819CE">
        <w:rPr>
          <w:rFonts w:cstheme="minorBidi"/>
        </w:rPr>
        <w:t xml:space="preserve"> sp. progression in captivity and exploring the environmental and biological cues that trigger sporulation. Additionally, further research into the specific mechanisms of lipid utilization and the roles of different spore types will advance </w:t>
      </w:r>
      <w:r w:rsidRPr="00FA7D47">
        <w:rPr>
          <w:rFonts w:cstheme="minorBidi"/>
        </w:rPr>
        <w:t xml:space="preserve">the </w:t>
      </w:r>
      <w:r w:rsidRPr="009819CE">
        <w:rPr>
          <w:rFonts w:cstheme="minorBidi"/>
        </w:rPr>
        <w:t>understanding of host-parasite interactions.</w:t>
      </w:r>
    </w:p>
    <w:p w14:paraId="24CEFE58" w14:textId="77777777" w:rsidR="00B541B4" w:rsidRDefault="00B541B4" w:rsidP="00490FA1">
      <w:pPr>
        <w:rPr>
          <w:rFonts w:cstheme="minorBidi"/>
        </w:rPr>
        <w:sectPr w:rsidR="00B541B4" w:rsidSect="00B541B4">
          <w:headerReference w:type="default" r:id="rId23"/>
          <w:pgSz w:w="11900" w:h="16840" w:code="9"/>
          <w:pgMar w:top="1440" w:right="1440" w:bottom="1440" w:left="1440" w:header="720" w:footer="720" w:gutter="0"/>
          <w:cols w:space="720"/>
          <w:docGrid w:linePitch="360"/>
        </w:sectPr>
      </w:pPr>
    </w:p>
    <w:p w14:paraId="5144394D" w14:textId="7A0AF799" w:rsidR="004E2609" w:rsidRPr="009819CE" w:rsidRDefault="00F47B72" w:rsidP="00E22ACF">
      <w:pPr>
        <w:pStyle w:val="Heading1"/>
        <w:numPr>
          <w:ilvl w:val="0"/>
          <w:numId w:val="6"/>
        </w:numPr>
      </w:pPr>
      <w:bookmarkStart w:id="15" w:name="_Toc204106586"/>
      <w:r w:rsidRPr="009819CE">
        <w:t xml:space="preserve">Table of </w:t>
      </w:r>
      <w:r w:rsidR="00CD18A8">
        <w:t>c</w:t>
      </w:r>
      <w:r w:rsidRPr="009819CE">
        <w:t>ontents</w:t>
      </w:r>
      <w:bookmarkEnd w:id="15"/>
    </w:p>
    <w:p w14:paraId="2EEE5C6C" w14:textId="3045301D" w:rsidR="002F3A99" w:rsidRDefault="00FB3578">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r w:rsidRPr="009819CE">
        <w:rPr>
          <w:rFonts w:asciiTheme="minorBidi" w:hAnsiTheme="minorBidi" w:cstheme="minorBidi"/>
          <w:b w:val="0"/>
          <w:bCs w:val="0"/>
          <w:color w:val="000000" w:themeColor="text1"/>
        </w:rPr>
        <w:fldChar w:fldCharType="begin"/>
      </w:r>
      <w:r w:rsidRPr="009819CE">
        <w:rPr>
          <w:rFonts w:asciiTheme="minorBidi" w:hAnsiTheme="minorBidi" w:cstheme="minorBidi"/>
          <w:b w:val="0"/>
          <w:bCs w:val="0"/>
          <w:color w:val="000000" w:themeColor="text1"/>
        </w:rPr>
        <w:instrText xml:space="preserve"> TOC \o "1-3" \h \z \u </w:instrText>
      </w:r>
      <w:r w:rsidRPr="009819CE">
        <w:rPr>
          <w:rFonts w:asciiTheme="minorBidi" w:hAnsiTheme="minorBidi" w:cstheme="minorBidi"/>
          <w:b w:val="0"/>
          <w:bCs w:val="0"/>
          <w:color w:val="000000" w:themeColor="text1"/>
        </w:rPr>
        <w:fldChar w:fldCharType="separate"/>
      </w:r>
      <w:hyperlink w:anchor="_Toc204106575" w:history="1">
        <w:r w:rsidR="002F3A99" w:rsidRPr="003925C9">
          <w:rPr>
            <w:rStyle w:val="Hyperlink"/>
            <w:noProof/>
          </w:rPr>
          <w:t>I.</w:t>
        </w:r>
        <w:r w:rsidR="002F3A99">
          <w:rPr>
            <w:rFonts w:asciiTheme="minorHAnsi" w:eastAsiaTheme="minorEastAsia" w:hAnsiTheme="minorHAnsi" w:cstheme="minorBidi"/>
            <w:b w:val="0"/>
            <w:bCs w:val="0"/>
            <w:noProof/>
            <w:kern w:val="2"/>
            <w14:ligatures w14:val="standardContextual"/>
          </w:rPr>
          <w:tab/>
        </w:r>
        <w:r w:rsidR="002F3A99" w:rsidRPr="003925C9">
          <w:rPr>
            <w:rStyle w:val="Hyperlink"/>
            <w:noProof/>
          </w:rPr>
          <w:t>Supervisors’ declaration</w:t>
        </w:r>
        <w:r w:rsidR="002F3A99">
          <w:rPr>
            <w:noProof/>
            <w:webHidden/>
          </w:rPr>
          <w:tab/>
        </w:r>
        <w:r w:rsidR="002F3A99">
          <w:rPr>
            <w:noProof/>
            <w:webHidden/>
          </w:rPr>
          <w:fldChar w:fldCharType="begin"/>
        </w:r>
        <w:r w:rsidR="002F3A99">
          <w:rPr>
            <w:noProof/>
            <w:webHidden/>
          </w:rPr>
          <w:instrText xml:space="preserve"> PAGEREF _Toc204106575 \h </w:instrText>
        </w:r>
        <w:r w:rsidR="002F3A99">
          <w:rPr>
            <w:noProof/>
            <w:webHidden/>
          </w:rPr>
        </w:r>
        <w:r w:rsidR="002F3A99">
          <w:rPr>
            <w:noProof/>
            <w:webHidden/>
          </w:rPr>
          <w:fldChar w:fldCharType="separate"/>
        </w:r>
        <w:r w:rsidR="008549FC">
          <w:rPr>
            <w:noProof/>
            <w:webHidden/>
          </w:rPr>
          <w:t>2</w:t>
        </w:r>
        <w:r w:rsidR="002F3A99">
          <w:rPr>
            <w:noProof/>
            <w:webHidden/>
          </w:rPr>
          <w:fldChar w:fldCharType="end"/>
        </w:r>
      </w:hyperlink>
    </w:p>
    <w:p w14:paraId="095C5E60" w14:textId="440E2226"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576" w:history="1">
        <w:r w:rsidRPr="003925C9">
          <w:rPr>
            <w:rStyle w:val="Hyperlink"/>
            <w:noProof/>
          </w:rPr>
          <w:t>II.</w:t>
        </w:r>
        <w:r>
          <w:rPr>
            <w:rFonts w:asciiTheme="minorHAnsi" w:eastAsiaTheme="minorEastAsia" w:hAnsiTheme="minorHAnsi" w:cstheme="minorBidi"/>
            <w:b w:val="0"/>
            <w:bCs w:val="0"/>
            <w:noProof/>
            <w:kern w:val="2"/>
            <w14:ligatures w14:val="standardContextual"/>
          </w:rPr>
          <w:tab/>
        </w:r>
        <w:r w:rsidRPr="003925C9">
          <w:rPr>
            <w:rStyle w:val="Hyperlink"/>
            <w:noProof/>
          </w:rPr>
          <w:t>Declaration</w:t>
        </w:r>
        <w:r>
          <w:rPr>
            <w:noProof/>
            <w:webHidden/>
          </w:rPr>
          <w:tab/>
        </w:r>
        <w:r>
          <w:rPr>
            <w:noProof/>
            <w:webHidden/>
          </w:rPr>
          <w:fldChar w:fldCharType="begin"/>
        </w:r>
        <w:r>
          <w:rPr>
            <w:noProof/>
            <w:webHidden/>
          </w:rPr>
          <w:instrText xml:space="preserve"> PAGEREF _Toc204106576 \h </w:instrText>
        </w:r>
        <w:r>
          <w:rPr>
            <w:noProof/>
            <w:webHidden/>
          </w:rPr>
        </w:r>
        <w:r>
          <w:rPr>
            <w:noProof/>
            <w:webHidden/>
          </w:rPr>
          <w:fldChar w:fldCharType="separate"/>
        </w:r>
        <w:r w:rsidR="008549FC">
          <w:rPr>
            <w:noProof/>
            <w:webHidden/>
          </w:rPr>
          <w:t>3</w:t>
        </w:r>
        <w:r>
          <w:rPr>
            <w:noProof/>
            <w:webHidden/>
          </w:rPr>
          <w:fldChar w:fldCharType="end"/>
        </w:r>
      </w:hyperlink>
    </w:p>
    <w:p w14:paraId="379D32C3" w14:textId="6CD96692"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77" w:history="1">
        <w:r w:rsidRPr="003925C9">
          <w:rPr>
            <w:rStyle w:val="Hyperlink"/>
            <w:noProof/>
          </w:rPr>
          <w:t>III.</w:t>
        </w:r>
        <w:r>
          <w:rPr>
            <w:rFonts w:asciiTheme="minorHAnsi" w:eastAsiaTheme="minorEastAsia" w:hAnsiTheme="minorHAnsi" w:cstheme="minorBidi"/>
            <w:b w:val="0"/>
            <w:bCs w:val="0"/>
            <w:noProof/>
            <w:kern w:val="2"/>
            <w14:ligatures w14:val="standardContextual"/>
          </w:rPr>
          <w:tab/>
        </w:r>
        <w:r w:rsidRPr="003925C9">
          <w:rPr>
            <w:rStyle w:val="Hyperlink"/>
            <w:noProof/>
          </w:rPr>
          <w:t>Authors contributions</w:t>
        </w:r>
        <w:r>
          <w:rPr>
            <w:noProof/>
            <w:webHidden/>
          </w:rPr>
          <w:tab/>
        </w:r>
        <w:r>
          <w:rPr>
            <w:noProof/>
            <w:webHidden/>
          </w:rPr>
          <w:fldChar w:fldCharType="begin"/>
        </w:r>
        <w:r>
          <w:rPr>
            <w:noProof/>
            <w:webHidden/>
          </w:rPr>
          <w:instrText xml:space="preserve"> PAGEREF _Toc204106577 \h </w:instrText>
        </w:r>
        <w:r>
          <w:rPr>
            <w:noProof/>
            <w:webHidden/>
          </w:rPr>
        </w:r>
        <w:r>
          <w:rPr>
            <w:noProof/>
            <w:webHidden/>
          </w:rPr>
          <w:fldChar w:fldCharType="separate"/>
        </w:r>
        <w:r w:rsidR="008549FC">
          <w:rPr>
            <w:noProof/>
            <w:webHidden/>
          </w:rPr>
          <w:t>4</w:t>
        </w:r>
        <w:r>
          <w:rPr>
            <w:noProof/>
            <w:webHidden/>
          </w:rPr>
          <w:fldChar w:fldCharType="end"/>
        </w:r>
      </w:hyperlink>
    </w:p>
    <w:p w14:paraId="24B12AEC" w14:textId="30E86028"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78" w:history="1">
        <w:r w:rsidRPr="003925C9">
          <w:rPr>
            <w:rStyle w:val="Hyperlink"/>
            <w:noProof/>
          </w:rPr>
          <w:t>IV.</w:t>
        </w:r>
        <w:r>
          <w:rPr>
            <w:rFonts w:asciiTheme="minorHAnsi" w:eastAsiaTheme="minorEastAsia" w:hAnsiTheme="minorHAnsi" w:cstheme="minorBidi"/>
            <w:b w:val="0"/>
            <w:bCs w:val="0"/>
            <w:noProof/>
            <w:kern w:val="2"/>
            <w14:ligatures w14:val="standardContextual"/>
          </w:rPr>
          <w:tab/>
        </w:r>
        <w:r w:rsidRPr="003925C9">
          <w:rPr>
            <w:rStyle w:val="Hyperlink"/>
            <w:noProof/>
          </w:rPr>
          <w:t>Acknowledgements</w:t>
        </w:r>
        <w:r>
          <w:rPr>
            <w:noProof/>
            <w:webHidden/>
          </w:rPr>
          <w:tab/>
        </w:r>
        <w:r>
          <w:rPr>
            <w:noProof/>
            <w:webHidden/>
          </w:rPr>
          <w:fldChar w:fldCharType="begin"/>
        </w:r>
        <w:r>
          <w:rPr>
            <w:noProof/>
            <w:webHidden/>
          </w:rPr>
          <w:instrText xml:space="preserve"> PAGEREF _Toc204106578 \h </w:instrText>
        </w:r>
        <w:r>
          <w:rPr>
            <w:noProof/>
            <w:webHidden/>
          </w:rPr>
        </w:r>
        <w:r>
          <w:rPr>
            <w:noProof/>
            <w:webHidden/>
          </w:rPr>
          <w:fldChar w:fldCharType="separate"/>
        </w:r>
        <w:r w:rsidR="008549FC">
          <w:rPr>
            <w:noProof/>
            <w:webHidden/>
          </w:rPr>
          <w:t>6</w:t>
        </w:r>
        <w:r>
          <w:rPr>
            <w:noProof/>
            <w:webHidden/>
          </w:rPr>
          <w:fldChar w:fldCharType="end"/>
        </w:r>
      </w:hyperlink>
    </w:p>
    <w:p w14:paraId="3BC86F89" w14:textId="510F34ED"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579" w:history="1">
        <w:r w:rsidRPr="003925C9">
          <w:rPr>
            <w:rStyle w:val="Hyperlink"/>
            <w:noProof/>
          </w:rPr>
          <w:t>V.</w:t>
        </w:r>
        <w:r>
          <w:rPr>
            <w:rFonts w:asciiTheme="minorHAnsi" w:eastAsiaTheme="minorEastAsia" w:hAnsiTheme="minorHAnsi" w:cstheme="minorBidi"/>
            <w:b w:val="0"/>
            <w:bCs w:val="0"/>
            <w:noProof/>
            <w:kern w:val="2"/>
            <w14:ligatures w14:val="standardContextual"/>
          </w:rPr>
          <w:tab/>
        </w:r>
        <w:r w:rsidRPr="003925C9">
          <w:rPr>
            <w:rStyle w:val="Hyperlink"/>
            <w:noProof/>
          </w:rPr>
          <w:t>Dedicatory</w:t>
        </w:r>
        <w:r>
          <w:rPr>
            <w:noProof/>
            <w:webHidden/>
          </w:rPr>
          <w:tab/>
        </w:r>
        <w:r>
          <w:rPr>
            <w:noProof/>
            <w:webHidden/>
          </w:rPr>
          <w:fldChar w:fldCharType="begin"/>
        </w:r>
        <w:r>
          <w:rPr>
            <w:noProof/>
            <w:webHidden/>
          </w:rPr>
          <w:instrText xml:space="preserve"> PAGEREF _Toc204106579 \h </w:instrText>
        </w:r>
        <w:r>
          <w:rPr>
            <w:noProof/>
            <w:webHidden/>
          </w:rPr>
        </w:r>
        <w:r>
          <w:rPr>
            <w:noProof/>
            <w:webHidden/>
          </w:rPr>
          <w:fldChar w:fldCharType="separate"/>
        </w:r>
        <w:r w:rsidR="008549FC">
          <w:rPr>
            <w:noProof/>
            <w:webHidden/>
          </w:rPr>
          <w:t>8</w:t>
        </w:r>
        <w:r>
          <w:rPr>
            <w:noProof/>
            <w:webHidden/>
          </w:rPr>
          <w:fldChar w:fldCharType="end"/>
        </w:r>
      </w:hyperlink>
    </w:p>
    <w:p w14:paraId="136B9F68" w14:textId="553D5657"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0" w:history="1">
        <w:r w:rsidRPr="003925C9">
          <w:rPr>
            <w:rStyle w:val="Hyperlink"/>
            <w:noProof/>
          </w:rPr>
          <w:t>VI.</w:t>
        </w:r>
        <w:r>
          <w:rPr>
            <w:rFonts w:asciiTheme="minorHAnsi" w:eastAsiaTheme="minorEastAsia" w:hAnsiTheme="minorHAnsi" w:cstheme="minorBidi"/>
            <w:b w:val="0"/>
            <w:bCs w:val="0"/>
            <w:noProof/>
            <w:kern w:val="2"/>
            <w14:ligatures w14:val="standardContextual"/>
          </w:rPr>
          <w:tab/>
        </w:r>
        <w:r w:rsidRPr="003925C9">
          <w:rPr>
            <w:rStyle w:val="Hyperlink"/>
            <w:noProof/>
          </w:rPr>
          <w:t>Peer-reviewed publications</w:t>
        </w:r>
        <w:r>
          <w:rPr>
            <w:noProof/>
            <w:webHidden/>
          </w:rPr>
          <w:tab/>
        </w:r>
        <w:r>
          <w:rPr>
            <w:noProof/>
            <w:webHidden/>
          </w:rPr>
          <w:fldChar w:fldCharType="begin"/>
        </w:r>
        <w:r>
          <w:rPr>
            <w:noProof/>
            <w:webHidden/>
          </w:rPr>
          <w:instrText xml:space="preserve"> PAGEREF _Toc204106580 \h </w:instrText>
        </w:r>
        <w:r>
          <w:rPr>
            <w:noProof/>
            <w:webHidden/>
          </w:rPr>
        </w:r>
        <w:r>
          <w:rPr>
            <w:noProof/>
            <w:webHidden/>
          </w:rPr>
          <w:fldChar w:fldCharType="separate"/>
        </w:r>
        <w:r w:rsidR="008549FC">
          <w:rPr>
            <w:noProof/>
            <w:webHidden/>
          </w:rPr>
          <w:t>9</w:t>
        </w:r>
        <w:r>
          <w:rPr>
            <w:noProof/>
            <w:webHidden/>
          </w:rPr>
          <w:fldChar w:fldCharType="end"/>
        </w:r>
      </w:hyperlink>
    </w:p>
    <w:p w14:paraId="22CF1AF2" w14:textId="2B6D9D9F"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1" w:history="1">
        <w:r w:rsidRPr="003925C9">
          <w:rPr>
            <w:rStyle w:val="Hyperlink"/>
            <w:noProof/>
          </w:rPr>
          <w:t>VII.</w:t>
        </w:r>
        <w:r>
          <w:rPr>
            <w:rFonts w:asciiTheme="minorHAnsi" w:eastAsiaTheme="minorEastAsia" w:hAnsiTheme="minorHAnsi" w:cstheme="minorBidi"/>
            <w:b w:val="0"/>
            <w:bCs w:val="0"/>
            <w:noProof/>
            <w:kern w:val="2"/>
            <w14:ligatures w14:val="standardContextual"/>
          </w:rPr>
          <w:tab/>
        </w:r>
        <w:r w:rsidRPr="003925C9">
          <w:rPr>
            <w:rStyle w:val="Hyperlink"/>
            <w:noProof/>
          </w:rPr>
          <w:t>Scientific conferences and meetings</w:t>
        </w:r>
        <w:r>
          <w:rPr>
            <w:noProof/>
            <w:webHidden/>
          </w:rPr>
          <w:tab/>
        </w:r>
        <w:r>
          <w:rPr>
            <w:noProof/>
            <w:webHidden/>
          </w:rPr>
          <w:fldChar w:fldCharType="begin"/>
        </w:r>
        <w:r>
          <w:rPr>
            <w:noProof/>
            <w:webHidden/>
          </w:rPr>
          <w:instrText xml:space="preserve"> PAGEREF _Toc204106581 \h </w:instrText>
        </w:r>
        <w:r>
          <w:rPr>
            <w:noProof/>
            <w:webHidden/>
          </w:rPr>
        </w:r>
        <w:r>
          <w:rPr>
            <w:noProof/>
            <w:webHidden/>
          </w:rPr>
          <w:fldChar w:fldCharType="separate"/>
        </w:r>
        <w:r w:rsidR="008549FC">
          <w:rPr>
            <w:noProof/>
            <w:webHidden/>
          </w:rPr>
          <w:t>9</w:t>
        </w:r>
        <w:r>
          <w:rPr>
            <w:noProof/>
            <w:webHidden/>
          </w:rPr>
          <w:fldChar w:fldCharType="end"/>
        </w:r>
      </w:hyperlink>
    </w:p>
    <w:p w14:paraId="7E49784C" w14:textId="0FEA9CF8"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2" w:history="1">
        <w:r w:rsidRPr="003925C9">
          <w:rPr>
            <w:rStyle w:val="Hyperlink"/>
            <w:noProof/>
          </w:rPr>
          <w:t>VIII.</w:t>
        </w:r>
        <w:r>
          <w:rPr>
            <w:rFonts w:asciiTheme="minorHAnsi" w:eastAsiaTheme="minorEastAsia" w:hAnsiTheme="minorHAnsi" w:cstheme="minorBidi"/>
            <w:b w:val="0"/>
            <w:bCs w:val="0"/>
            <w:noProof/>
            <w:kern w:val="2"/>
            <w14:ligatures w14:val="standardContextual"/>
          </w:rPr>
          <w:tab/>
        </w:r>
        <w:r w:rsidRPr="003925C9">
          <w:rPr>
            <w:rStyle w:val="Hyperlink"/>
            <w:noProof/>
          </w:rPr>
          <w:t>Trainings and workshops</w:t>
        </w:r>
        <w:r>
          <w:rPr>
            <w:noProof/>
            <w:webHidden/>
          </w:rPr>
          <w:tab/>
        </w:r>
        <w:r>
          <w:rPr>
            <w:noProof/>
            <w:webHidden/>
          </w:rPr>
          <w:fldChar w:fldCharType="begin"/>
        </w:r>
        <w:r>
          <w:rPr>
            <w:noProof/>
            <w:webHidden/>
          </w:rPr>
          <w:instrText xml:space="preserve"> PAGEREF _Toc204106582 \h </w:instrText>
        </w:r>
        <w:r>
          <w:rPr>
            <w:noProof/>
            <w:webHidden/>
          </w:rPr>
        </w:r>
        <w:r>
          <w:rPr>
            <w:noProof/>
            <w:webHidden/>
          </w:rPr>
          <w:fldChar w:fldCharType="separate"/>
        </w:r>
        <w:r w:rsidR="008549FC">
          <w:rPr>
            <w:noProof/>
            <w:webHidden/>
          </w:rPr>
          <w:t>9</w:t>
        </w:r>
        <w:r>
          <w:rPr>
            <w:noProof/>
            <w:webHidden/>
          </w:rPr>
          <w:fldChar w:fldCharType="end"/>
        </w:r>
      </w:hyperlink>
    </w:p>
    <w:p w14:paraId="6398F943" w14:textId="7BADB4DD"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3" w:history="1">
        <w:r w:rsidRPr="003925C9">
          <w:rPr>
            <w:rStyle w:val="Hyperlink"/>
            <w:noProof/>
          </w:rPr>
          <w:t>IX.</w:t>
        </w:r>
        <w:r>
          <w:rPr>
            <w:rFonts w:asciiTheme="minorHAnsi" w:eastAsiaTheme="minorEastAsia" w:hAnsiTheme="minorHAnsi" w:cstheme="minorBidi"/>
            <w:b w:val="0"/>
            <w:bCs w:val="0"/>
            <w:noProof/>
            <w:kern w:val="2"/>
            <w14:ligatures w14:val="standardContextual"/>
          </w:rPr>
          <w:tab/>
        </w:r>
        <w:r w:rsidRPr="003925C9">
          <w:rPr>
            <w:rStyle w:val="Hyperlink"/>
            <w:noProof/>
          </w:rPr>
          <w:t>Grants</w:t>
        </w:r>
        <w:r>
          <w:rPr>
            <w:noProof/>
            <w:webHidden/>
          </w:rPr>
          <w:tab/>
        </w:r>
        <w:r>
          <w:rPr>
            <w:noProof/>
            <w:webHidden/>
          </w:rPr>
          <w:fldChar w:fldCharType="begin"/>
        </w:r>
        <w:r>
          <w:rPr>
            <w:noProof/>
            <w:webHidden/>
          </w:rPr>
          <w:instrText xml:space="preserve"> PAGEREF _Toc204106583 \h </w:instrText>
        </w:r>
        <w:r>
          <w:rPr>
            <w:noProof/>
            <w:webHidden/>
          </w:rPr>
        </w:r>
        <w:r>
          <w:rPr>
            <w:noProof/>
            <w:webHidden/>
          </w:rPr>
          <w:fldChar w:fldCharType="separate"/>
        </w:r>
        <w:r w:rsidR="008549FC">
          <w:rPr>
            <w:noProof/>
            <w:webHidden/>
          </w:rPr>
          <w:t>10</w:t>
        </w:r>
        <w:r>
          <w:rPr>
            <w:noProof/>
            <w:webHidden/>
          </w:rPr>
          <w:fldChar w:fldCharType="end"/>
        </w:r>
      </w:hyperlink>
    </w:p>
    <w:p w14:paraId="7E9F70B4" w14:textId="7672DFFC"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584" w:history="1">
        <w:r w:rsidRPr="003925C9">
          <w:rPr>
            <w:rStyle w:val="Hyperlink"/>
            <w:noProof/>
          </w:rPr>
          <w:t>X.</w:t>
        </w:r>
        <w:r>
          <w:rPr>
            <w:rFonts w:asciiTheme="minorHAnsi" w:eastAsiaTheme="minorEastAsia" w:hAnsiTheme="minorHAnsi" w:cstheme="minorBidi"/>
            <w:b w:val="0"/>
            <w:bCs w:val="0"/>
            <w:noProof/>
            <w:kern w:val="2"/>
            <w14:ligatures w14:val="standardContextual"/>
          </w:rPr>
          <w:tab/>
        </w:r>
        <w:r w:rsidRPr="003925C9">
          <w:rPr>
            <w:rStyle w:val="Hyperlink"/>
            <w:noProof/>
          </w:rPr>
          <w:t>List of abbreviations</w:t>
        </w:r>
        <w:r>
          <w:rPr>
            <w:noProof/>
            <w:webHidden/>
          </w:rPr>
          <w:tab/>
        </w:r>
        <w:r>
          <w:rPr>
            <w:noProof/>
            <w:webHidden/>
          </w:rPr>
          <w:fldChar w:fldCharType="begin"/>
        </w:r>
        <w:r>
          <w:rPr>
            <w:noProof/>
            <w:webHidden/>
          </w:rPr>
          <w:instrText xml:space="preserve"> PAGEREF _Toc204106584 \h </w:instrText>
        </w:r>
        <w:r>
          <w:rPr>
            <w:noProof/>
            <w:webHidden/>
          </w:rPr>
        </w:r>
        <w:r>
          <w:rPr>
            <w:noProof/>
            <w:webHidden/>
          </w:rPr>
          <w:fldChar w:fldCharType="separate"/>
        </w:r>
        <w:r w:rsidR="008549FC">
          <w:rPr>
            <w:noProof/>
            <w:webHidden/>
          </w:rPr>
          <w:t>11</w:t>
        </w:r>
        <w:r>
          <w:rPr>
            <w:noProof/>
            <w:webHidden/>
          </w:rPr>
          <w:fldChar w:fldCharType="end"/>
        </w:r>
      </w:hyperlink>
    </w:p>
    <w:p w14:paraId="45B3A2C6" w14:textId="3432B327"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5" w:history="1">
        <w:r w:rsidRPr="003925C9">
          <w:rPr>
            <w:rStyle w:val="Hyperlink"/>
            <w:noProof/>
          </w:rPr>
          <w:t>XI.</w:t>
        </w:r>
        <w:r>
          <w:rPr>
            <w:rFonts w:asciiTheme="minorHAnsi" w:eastAsiaTheme="minorEastAsia" w:hAnsiTheme="minorHAnsi" w:cstheme="minorBidi"/>
            <w:b w:val="0"/>
            <w:bCs w:val="0"/>
            <w:noProof/>
            <w:kern w:val="2"/>
            <w14:ligatures w14:val="standardContextual"/>
          </w:rPr>
          <w:tab/>
        </w:r>
        <w:r w:rsidRPr="003925C9">
          <w:rPr>
            <w:rStyle w:val="Hyperlink"/>
            <w:noProof/>
          </w:rPr>
          <w:t>Abstract</w:t>
        </w:r>
        <w:r>
          <w:rPr>
            <w:noProof/>
            <w:webHidden/>
          </w:rPr>
          <w:tab/>
        </w:r>
        <w:r>
          <w:rPr>
            <w:noProof/>
            <w:webHidden/>
          </w:rPr>
          <w:fldChar w:fldCharType="begin"/>
        </w:r>
        <w:r>
          <w:rPr>
            <w:noProof/>
            <w:webHidden/>
          </w:rPr>
          <w:instrText xml:space="preserve"> PAGEREF _Toc204106585 \h </w:instrText>
        </w:r>
        <w:r>
          <w:rPr>
            <w:noProof/>
            <w:webHidden/>
          </w:rPr>
        </w:r>
        <w:r>
          <w:rPr>
            <w:noProof/>
            <w:webHidden/>
          </w:rPr>
          <w:fldChar w:fldCharType="separate"/>
        </w:r>
        <w:r w:rsidR="008549FC">
          <w:rPr>
            <w:noProof/>
            <w:webHidden/>
          </w:rPr>
          <w:t>15</w:t>
        </w:r>
        <w:r>
          <w:rPr>
            <w:noProof/>
            <w:webHidden/>
          </w:rPr>
          <w:fldChar w:fldCharType="end"/>
        </w:r>
      </w:hyperlink>
    </w:p>
    <w:p w14:paraId="177869A9" w14:textId="2C1A0BD8"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6" w:history="1">
        <w:r w:rsidRPr="003925C9">
          <w:rPr>
            <w:rStyle w:val="Hyperlink"/>
            <w:noProof/>
          </w:rPr>
          <w:t>XII.</w:t>
        </w:r>
        <w:r>
          <w:rPr>
            <w:rFonts w:asciiTheme="minorHAnsi" w:eastAsiaTheme="minorEastAsia" w:hAnsiTheme="minorHAnsi" w:cstheme="minorBidi"/>
            <w:b w:val="0"/>
            <w:bCs w:val="0"/>
            <w:noProof/>
            <w:kern w:val="2"/>
            <w14:ligatures w14:val="standardContextual"/>
          </w:rPr>
          <w:tab/>
        </w:r>
        <w:r w:rsidRPr="003925C9">
          <w:rPr>
            <w:rStyle w:val="Hyperlink"/>
            <w:noProof/>
          </w:rPr>
          <w:t>Table of contents</w:t>
        </w:r>
        <w:r>
          <w:rPr>
            <w:noProof/>
            <w:webHidden/>
          </w:rPr>
          <w:tab/>
        </w:r>
        <w:r>
          <w:rPr>
            <w:noProof/>
            <w:webHidden/>
          </w:rPr>
          <w:fldChar w:fldCharType="begin"/>
        </w:r>
        <w:r>
          <w:rPr>
            <w:noProof/>
            <w:webHidden/>
          </w:rPr>
          <w:instrText xml:space="preserve"> PAGEREF _Toc204106586 \h </w:instrText>
        </w:r>
        <w:r>
          <w:rPr>
            <w:noProof/>
            <w:webHidden/>
          </w:rPr>
        </w:r>
        <w:r>
          <w:rPr>
            <w:noProof/>
            <w:webHidden/>
          </w:rPr>
          <w:fldChar w:fldCharType="separate"/>
        </w:r>
        <w:r w:rsidR="008549FC">
          <w:rPr>
            <w:noProof/>
            <w:webHidden/>
          </w:rPr>
          <w:t>17</w:t>
        </w:r>
        <w:r>
          <w:rPr>
            <w:noProof/>
            <w:webHidden/>
          </w:rPr>
          <w:fldChar w:fldCharType="end"/>
        </w:r>
      </w:hyperlink>
    </w:p>
    <w:p w14:paraId="017A492C" w14:textId="3C543251"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7" w:history="1">
        <w:r w:rsidRPr="003925C9">
          <w:rPr>
            <w:rStyle w:val="Hyperlink"/>
            <w:noProof/>
          </w:rPr>
          <w:t>XIII.</w:t>
        </w:r>
        <w:r>
          <w:rPr>
            <w:rFonts w:asciiTheme="minorHAnsi" w:eastAsiaTheme="minorEastAsia" w:hAnsiTheme="minorHAnsi" w:cstheme="minorBidi"/>
            <w:b w:val="0"/>
            <w:bCs w:val="0"/>
            <w:noProof/>
            <w:kern w:val="2"/>
            <w14:ligatures w14:val="standardContextual"/>
          </w:rPr>
          <w:tab/>
        </w:r>
        <w:r w:rsidRPr="003925C9">
          <w:rPr>
            <w:rStyle w:val="Hyperlink"/>
            <w:noProof/>
          </w:rPr>
          <w:t>List of figures</w:t>
        </w:r>
        <w:r>
          <w:rPr>
            <w:noProof/>
            <w:webHidden/>
          </w:rPr>
          <w:tab/>
        </w:r>
        <w:r>
          <w:rPr>
            <w:noProof/>
            <w:webHidden/>
          </w:rPr>
          <w:fldChar w:fldCharType="begin"/>
        </w:r>
        <w:r>
          <w:rPr>
            <w:noProof/>
            <w:webHidden/>
          </w:rPr>
          <w:instrText xml:space="preserve"> PAGEREF _Toc204106587 \h </w:instrText>
        </w:r>
        <w:r>
          <w:rPr>
            <w:noProof/>
            <w:webHidden/>
          </w:rPr>
        </w:r>
        <w:r>
          <w:rPr>
            <w:noProof/>
            <w:webHidden/>
          </w:rPr>
          <w:fldChar w:fldCharType="separate"/>
        </w:r>
        <w:r w:rsidR="008549FC">
          <w:rPr>
            <w:noProof/>
            <w:webHidden/>
          </w:rPr>
          <w:t>22</w:t>
        </w:r>
        <w:r>
          <w:rPr>
            <w:noProof/>
            <w:webHidden/>
          </w:rPr>
          <w:fldChar w:fldCharType="end"/>
        </w:r>
      </w:hyperlink>
    </w:p>
    <w:p w14:paraId="4B55C91E" w14:textId="7DA72E68" w:rsidR="002F3A99" w:rsidRDefault="002F3A99">
      <w:pPr>
        <w:pStyle w:val="TOC1"/>
        <w:tabs>
          <w:tab w:val="left" w:pos="720"/>
          <w:tab w:val="right" w:leader="dot" w:pos="9010"/>
        </w:tabs>
        <w:rPr>
          <w:rFonts w:asciiTheme="minorHAnsi" w:eastAsiaTheme="minorEastAsia" w:hAnsiTheme="minorHAnsi" w:cstheme="minorBidi"/>
          <w:b w:val="0"/>
          <w:bCs w:val="0"/>
          <w:noProof/>
          <w:kern w:val="2"/>
          <w14:ligatures w14:val="standardContextual"/>
        </w:rPr>
      </w:pPr>
      <w:hyperlink w:anchor="_Toc204106588" w:history="1">
        <w:r w:rsidRPr="003925C9">
          <w:rPr>
            <w:rStyle w:val="Hyperlink"/>
            <w:noProof/>
          </w:rPr>
          <w:t>XIV.</w:t>
        </w:r>
        <w:r>
          <w:rPr>
            <w:rFonts w:asciiTheme="minorHAnsi" w:eastAsiaTheme="minorEastAsia" w:hAnsiTheme="minorHAnsi" w:cstheme="minorBidi"/>
            <w:b w:val="0"/>
            <w:bCs w:val="0"/>
            <w:noProof/>
            <w:kern w:val="2"/>
            <w14:ligatures w14:val="standardContextual"/>
          </w:rPr>
          <w:tab/>
        </w:r>
        <w:r w:rsidRPr="003925C9">
          <w:rPr>
            <w:rStyle w:val="Hyperlink"/>
            <w:noProof/>
          </w:rPr>
          <w:t>List of tables</w:t>
        </w:r>
        <w:r>
          <w:rPr>
            <w:noProof/>
            <w:webHidden/>
          </w:rPr>
          <w:tab/>
        </w:r>
        <w:r>
          <w:rPr>
            <w:noProof/>
            <w:webHidden/>
          </w:rPr>
          <w:fldChar w:fldCharType="begin"/>
        </w:r>
        <w:r>
          <w:rPr>
            <w:noProof/>
            <w:webHidden/>
          </w:rPr>
          <w:instrText xml:space="preserve"> PAGEREF _Toc204106588 \h </w:instrText>
        </w:r>
        <w:r>
          <w:rPr>
            <w:noProof/>
            <w:webHidden/>
          </w:rPr>
        </w:r>
        <w:r>
          <w:rPr>
            <w:noProof/>
            <w:webHidden/>
          </w:rPr>
          <w:fldChar w:fldCharType="separate"/>
        </w:r>
        <w:r w:rsidR="008549FC">
          <w:rPr>
            <w:noProof/>
            <w:webHidden/>
          </w:rPr>
          <w:t>32</w:t>
        </w:r>
        <w:r>
          <w:rPr>
            <w:noProof/>
            <w:webHidden/>
          </w:rPr>
          <w:fldChar w:fldCharType="end"/>
        </w:r>
      </w:hyperlink>
    </w:p>
    <w:p w14:paraId="35115D37" w14:textId="190B9E62"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589" w:history="1">
        <w:r w:rsidRPr="003925C9">
          <w:rPr>
            <w:rStyle w:val="Hyperlink"/>
            <w:noProof/>
          </w:rPr>
          <w:t>1.</w:t>
        </w:r>
        <w:r>
          <w:rPr>
            <w:rFonts w:asciiTheme="minorHAnsi" w:eastAsiaTheme="minorEastAsia" w:hAnsiTheme="minorHAnsi" w:cstheme="minorBidi"/>
            <w:b w:val="0"/>
            <w:bCs w:val="0"/>
            <w:noProof/>
            <w:kern w:val="2"/>
            <w14:ligatures w14:val="standardContextual"/>
          </w:rPr>
          <w:tab/>
        </w:r>
        <w:r w:rsidRPr="003925C9">
          <w:rPr>
            <w:rStyle w:val="Hyperlink"/>
            <w:noProof/>
          </w:rPr>
          <w:t>General introduction</w:t>
        </w:r>
        <w:r>
          <w:rPr>
            <w:noProof/>
            <w:webHidden/>
          </w:rPr>
          <w:tab/>
        </w:r>
        <w:r>
          <w:rPr>
            <w:noProof/>
            <w:webHidden/>
          </w:rPr>
          <w:fldChar w:fldCharType="begin"/>
        </w:r>
        <w:r>
          <w:rPr>
            <w:noProof/>
            <w:webHidden/>
          </w:rPr>
          <w:instrText xml:space="preserve"> PAGEREF _Toc204106589 \h </w:instrText>
        </w:r>
        <w:r>
          <w:rPr>
            <w:noProof/>
            <w:webHidden/>
          </w:rPr>
        </w:r>
        <w:r>
          <w:rPr>
            <w:noProof/>
            <w:webHidden/>
          </w:rPr>
          <w:fldChar w:fldCharType="separate"/>
        </w:r>
        <w:r w:rsidR="008549FC">
          <w:rPr>
            <w:noProof/>
            <w:webHidden/>
          </w:rPr>
          <w:t>36</w:t>
        </w:r>
        <w:r>
          <w:rPr>
            <w:noProof/>
            <w:webHidden/>
          </w:rPr>
          <w:fldChar w:fldCharType="end"/>
        </w:r>
      </w:hyperlink>
    </w:p>
    <w:p w14:paraId="7631D9B3" w14:textId="27A19199"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590" w:history="1">
        <w:r w:rsidRPr="003925C9">
          <w:rPr>
            <w:rStyle w:val="Hyperlink"/>
            <w:rFonts w:eastAsiaTheme="minorHAnsi"/>
            <w:noProof/>
          </w:rPr>
          <w:t>1.1.</w:t>
        </w:r>
        <w:r>
          <w:rPr>
            <w:rFonts w:asciiTheme="minorHAnsi" w:eastAsiaTheme="minorEastAsia" w:hAnsiTheme="minorHAnsi" w:cstheme="minorBidi"/>
            <w:b w:val="0"/>
            <w:bCs w:val="0"/>
            <w:noProof/>
            <w:kern w:val="2"/>
            <w14:ligatures w14:val="standardContextual"/>
          </w:rPr>
          <w:tab/>
        </w:r>
        <w:r w:rsidRPr="003925C9">
          <w:rPr>
            <w:rStyle w:val="Hyperlink"/>
            <w:i/>
            <w:iCs/>
            <w:noProof/>
          </w:rPr>
          <w:t>Nephrops</w:t>
        </w:r>
        <w:r w:rsidRPr="003925C9">
          <w:rPr>
            <w:rStyle w:val="Hyperlink"/>
            <w:rFonts w:eastAsiaTheme="minorHAnsi"/>
            <w:i/>
            <w:iCs/>
            <w:noProof/>
          </w:rPr>
          <w:t xml:space="preserve"> </w:t>
        </w:r>
        <w:r w:rsidRPr="003925C9">
          <w:rPr>
            <w:rStyle w:val="Hyperlink"/>
            <w:i/>
            <w:iCs/>
            <w:noProof/>
          </w:rPr>
          <w:t>norvegicus</w:t>
        </w:r>
        <w:r w:rsidRPr="003925C9">
          <w:rPr>
            <w:rStyle w:val="Hyperlink"/>
            <w:rFonts w:eastAsiaTheme="minorHAnsi"/>
            <w:noProof/>
          </w:rPr>
          <w:t xml:space="preserve"> (Linnaeus, </w:t>
        </w:r>
        <w:r w:rsidRPr="003925C9">
          <w:rPr>
            <w:rStyle w:val="Hyperlink"/>
            <w:noProof/>
          </w:rPr>
          <w:t>1758</w:t>
        </w:r>
        <w:r w:rsidRPr="003925C9">
          <w:rPr>
            <w:rStyle w:val="Hyperlink"/>
            <w:rFonts w:eastAsiaTheme="minorHAnsi"/>
            <w:noProof/>
          </w:rPr>
          <w:t>): biology, ecology and behaviour</w:t>
        </w:r>
        <w:r>
          <w:rPr>
            <w:noProof/>
            <w:webHidden/>
          </w:rPr>
          <w:tab/>
        </w:r>
        <w:r>
          <w:rPr>
            <w:noProof/>
            <w:webHidden/>
          </w:rPr>
          <w:fldChar w:fldCharType="begin"/>
        </w:r>
        <w:r>
          <w:rPr>
            <w:noProof/>
            <w:webHidden/>
          </w:rPr>
          <w:instrText xml:space="preserve"> PAGEREF _Toc204106590 \h </w:instrText>
        </w:r>
        <w:r>
          <w:rPr>
            <w:noProof/>
            <w:webHidden/>
          </w:rPr>
        </w:r>
        <w:r>
          <w:rPr>
            <w:noProof/>
            <w:webHidden/>
          </w:rPr>
          <w:fldChar w:fldCharType="separate"/>
        </w:r>
        <w:r w:rsidR="008549FC">
          <w:rPr>
            <w:noProof/>
            <w:webHidden/>
          </w:rPr>
          <w:t>36</w:t>
        </w:r>
        <w:r>
          <w:rPr>
            <w:noProof/>
            <w:webHidden/>
          </w:rPr>
          <w:fldChar w:fldCharType="end"/>
        </w:r>
      </w:hyperlink>
    </w:p>
    <w:p w14:paraId="7179963F" w14:textId="5A6EB1D6" w:rsidR="002F3A99" w:rsidRDefault="002F3A99">
      <w:pPr>
        <w:pStyle w:val="TOC3"/>
        <w:rPr>
          <w:rFonts w:asciiTheme="minorHAnsi" w:eastAsiaTheme="minorEastAsia" w:hAnsiTheme="minorHAnsi" w:cstheme="minorBidi"/>
          <w:noProof/>
          <w:kern w:val="2"/>
          <w14:ligatures w14:val="standardContextual"/>
        </w:rPr>
      </w:pPr>
      <w:hyperlink w:anchor="_Toc204106591" w:history="1">
        <w:r w:rsidRPr="003925C9">
          <w:rPr>
            <w:rStyle w:val="Hyperlink"/>
            <w:i/>
            <w:noProof/>
          </w:rPr>
          <w:t>1.1.1.</w:t>
        </w:r>
        <w:r>
          <w:rPr>
            <w:rFonts w:asciiTheme="minorHAnsi" w:eastAsiaTheme="minorEastAsia" w:hAnsiTheme="minorHAnsi" w:cstheme="minorBidi"/>
            <w:noProof/>
            <w:kern w:val="2"/>
            <w14:ligatures w14:val="standardContextual"/>
          </w:rPr>
          <w:tab/>
        </w:r>
        <w:r w:rsidRPr="003925C9">
          <w:rPr>
            <w:rStyle w:val="Hyperlink"/>
            <w:iCs/>
            <w:noProof/>
          </w:rPr>
          <w:t xml:space="preserve">An introduction to the species </w:t>
        </w:r>
        <w:r w:rsidRPr="003925C9">
          <w:rPr>
            <w:rStyle w:val="Hyperlink"/>
            <w:i/>
            <w:iCs/>
            <w:noProof/>
          </w:rPr>
          <w:t>Nephrops norvegicus</w:t>
        </w:r>
        <w:r>
          <w:rPr>
            <w:noProof/>
            <w:webHidden/>
          </w:rPr>
          <w:tab/>
        </w:r>
        <w:r>
          <w:rPr>
            <w:noProof/>
            <w:webHidden/>
          </w:rPr>
          <w:fldChar w:fldCharType="begin"/>
        </w:r>
        <w:r>
          <w:rPr>
            <w:noProof/>
            <w:webHidden/>
          </w:rPr>
          <w:instrText xml:space="preserve"> PAGEREF _Toc204106591 \h </w:instrText>
        </w:r>
        <w:r>
          <w:rPr>
            <w:noProof/>
            <w:webHidden/>
          </w:rPr>
        </w:r>
        <w:r>
          <w:rPr>
            <w:noProof/>
            <w:webHidden/>
          </w:rPr>
          <w:fldChar w:fldCharType="separate"/>
        </w:r>
        <w:r w:rsidR="008549FC">
          <w:rPr>
            <w:noProof/>
            <w:webHidden/>
          </w:rPr>
          <w:t>36</w:t>
        </w:r>
        <w:r>
          <w:rPr>
            <w:noProof/>
            <w:webHidden/>
          </w:rPr>
          <w:fldChar w:fldCharType="end"/>
        </w:r>
      </w:hyperlink>
    </w:p>
    <w:p w14:paraId="6085D038" w14:textId="72254D2C" w:rsidR="002F3A99" w:rsidRDefault="002F3A99">
      <w:pPr>
        <w:pStyle w:val="TOC3"/>
        <w:rPr>
          <w:rFonts w:asciiTheme="minorHAnsi" w:eastAsiaTheme="minorEastAsia" w:hAnsiTheme="minorHAnsi" w:cstheme="minorBidi"/>
          <w:noProof/>
          <w:kern w:val="2"/>
          <w14:ligatures w14:val="standardContextual"/>
        </w:rPr>
      </w:pPr>
      <w:hyperlink w:anchor="_Toc204106592" w:history="1">
        <w:r w:rsidRPr="003925C9">
          <w:rPr>
            <w:rStyle w:val="Hyperlink"/>
            <w:iCs/>
            <w:noProof/>
          </w:rPr>
          <w:t>1.1.2.</w:t>
        </w:r>
        <w:r>
          <w:rPr>
            <w:rFonts w:asciiTheme="minorHAnsi" w:eastAsiaTheme="minorEastAsia" w:hAnsiTheme="minorHAnsi" w:cstheme="minorBidi"/>
            <w:noProof/>
            <w:kern w:val="2"/>
            <w14:ligatures w14:val="standardContextual"/>
          </w:rPr>
          <w:tab/>
        </w:r>
        <w:r w:rsidRPr="003925C9">
          <w:rPr>
            <w:rStyle w:val="Hyperlink"/>
            <w:iCs/>
            <w:noProof/>
          </w:rPr>
          <w:t>Distribution and habitat</w:t>
        </w:r>
        <w:r>
          <w:rPr>
            <w:noProof/>
            <w:webHidden/>
          </w:rPr>
          <w:tab/>
        </w:r>
        <w:r>
          <w:rPr>
            <w:noProof/>
            <w:webHidden/>
          </w:rPr>
          <w:fldChar w:fldCharType="begin"/>
        </w:r>
        <w:r>
          <w:rPr>
            <w:noProof/>
            <w:webHidden/>
          </w:rPr>
          <w:instrText xml:space="preserve"> PAGEREF _Toc204106592 \h </w:instrText>
        </w:r>
        <w:r>
          <w:rPr>
            <w:noProof/>
            <w:webHidden/>
          </w:rPr>
        </w:r>
        <w:r>
          <w:rPr>
            <w:noProof/>
            <w:webHidden/>
          </w:rPr>
          <w:fldChar w:fldCharType="separate"/>
        </w:r>
        <w:r w:rsidR="008549FC">
          <w:rPr>
            <w:noProof/>
            <w:webHidden/>
          </w:rPr>
          <w:t>39</w:t>
        </w:r>
        <w:r>
          <w:rPr>
            <w:noProof/>
            <w:webHidden/>
          </w:rPr>
          <w:fldChar w:fldCharType="end"/>
        </w:r>
      </w:hyperlink>
    </w:p>
    <w:p w14:paraId="0891CC63" w14:textId="73948AD3" w:rsidR="002F3A99" w:rsidRDefault="002F3A99">
      <w:pPr>
        <w:pStyle w:val="TOC3"/>
        <w:rPr>
          <w:rFonts w:asciiTheme="minorHAnsi" w:eastAsiaTheme="minorEastAsia" w:hAnsiTheme="minorHAnsi" w:cstheme="minorBidi"/>
          <w:noProof/>
          <w:kern w:val="2"/>
          <w14:ligatures w14:val="standardContextual"/>
        </w:rPr>
      </w:pPr>
      <w:hyperlink w:anchor="_Toc204106593" w:history="1">
        <w:r w:rsidRPr="003925C9">
          <w:rPr>
            <w:rStyle w:val="Hyperlink"/>
            <w:i/>
            <w:noProof/>
          </w:rPr>
          <w:t>1.1.3.</w:t>
        </w:r>
        <w:r>
          <w:rPr>
            <w:rFonts w:asciiTheme="minorHAnsi" w:eastAsiaTheme="minorEastAsia" w:hAnsiTheme="minorHAnsi" w:cstheme="minorBidi"/>
            <w:noProof/>
            <w:kern w:val="2"/>
            <w14:ligatures w14:val="standardContextual"/>
          </w:rPr>
          <w:tab/>
        </w:r>
        <w:r w:rsidRPr="003925C9">
          <w:rPr>
            <w:rStyle w:val="Hyperlink"/>
            <w:i/>
            <w:noProof/>
          </w:rPr>
          <w:t xml:space="preserve">Nephrops </w:t>
        </w:r>
        <w:r w:rsidRPr="003925C9">
          <w:rPr>
            <w:rStyle w:val="Hyperlink"/>
            <w:iCs/>
            <w:noProof/>
          </w:rPr>
          <w:t>life cycle</w:t>
        </w:r>
        <w:r>
          <w:rPr>
            <w:noProof/>
            <w:webHidden/>
          </w:rPr>
          <w:tab/>
        </w:r>
        <w:r>
          <w:rPr>
            <w:noProof/>
            <w:webHidden/>
          </w:rPr>
          <w:fldChar w:fldCharType="begin"/>
        </w:r>
        <w:r>
          <w:rPr>
            <w:noProof/>
            <w:webHidden/>
          </w:rPr>
          <w:instrText xml:space="preserve"> PAGEREF _Toc204106593 \h </w:instrText>
        </w:r>
        <w:r>
          <w:rPr>
            <w:noProof/>
            <w:webHidden/>
          </w:rPr>
        </w:r>
        <w:r>
          <w:rPr>
            <w:noProof/>
            <w:webHidden/>
          </w:rPr>
          <w:fldChar w:fldCharType="separate"/>
        </w:r>
        <w:r w:rsidR="008549FC">
          <w:rPr>
            <w:noProof/>
            <w:webHidden/>
          </w:rPr>
          <w:t>40</w:t>
        </w:r>
        <w:r>
          <w:rPr>
            <w:noProof/>
            <w:webHidden/>
          </w:rPr>
          <w:fldChar w:fldCharType="end"/>
        </w:r>
      </w:hyperlink>
    </w:p>
    <w:p w14:paraId="5C5AB5D9" w14:textId="755171A8" w:rsidR="002F3A99" w:rsidRDefault="002F3A99">
      <w:pPr>
        <w:pStyle w:val="TOC3"/>
        <w:rPr>
          <w:rFonts w:asciiTheme="minorHAnsi" w:eastAsiaTheme="minorEastAsia" w:hAnsiTheme="minorHAnsi" w:cstheme="minorBidi"/>
          <w:noProof/>
          <w:kern w:val="2"/>
          <w14:ligatures w14:val="standardContextual"/>
        </w:rPr>
      </w:pPr>
      <w:hyperlink w:anchor="_Toc204106594" w:history="1">
        <w:r w:rsidRPr="003925C9">
          <w:rPr>
            <w:rStyle w:val="Hyperlink"/>
            <w:iCs/>
            <w:noProof/>
          </w:rPr>
          <w:t>1.1.4.</w:t>
        </w:r>
        <w:r>
          <w:rPr>
            <w:rFonts w:asciiTheme="minorHAnsi" w:eastAsiaTheme="minorEastAsia" w:hAnsiTheme="minorHAnsi" w:cstheme="minorBidi"/>
            <w:noProof/>
            <w:kern w:val="2"/>
            <w14:ligatures w14:val="standardContextual"/>
          </w:rPr>
          <w:tab/>
        </w:r>
        <w:r w:rsidRPr="003925C9">
          <w:rPr>
            <w:rStyle w:val="Hyperlink"/>
            <w:iCs/>
            <w:noProof/>
          </w:rPr>
          <w:t>Feeding ecology</w:t>
        </w:r>
        <w:r>
          <w:rPr>
            <w:noProof/>
            <w:webHidden/>
          </w:rPr>
          <w:tab/>
        </w:r>
        <w:r>
          <w:rPr>
            <w:noProof/>
            <w:webHidden/>
          </w:rPr>
          <w:fldChar w:fldCharType="begin"/>
        </w:r>
        <w:r>
          <w:rPr>
            <w:noProof/>
            <w:webHidden/>
          </w:rPr>
          <w:instrText xml:space="preserve"> PAGEREF _Toc204106594 \h </w:instrText>
        </w:r>
        <w:r>
          <w:rPr>
            <w:noProof/>
            <w:webHidden/>
          </w:rPr>
        </w:r>
        <w:r>
          <w:rPr>
            <w:noProof/>
            <w:webHidden/>
          </w:rPr>
          <w:fldChar w:fldCharType="separate"/>
        </w:r>
        <w:r w:rsidR="008549FC">
          <w:rPr>
            <w:noProof/>
            <w:webHidden/>
          </w:rPr>
          <w:t>43</w:t>
        </w:r>
        <w:r>
          <w:rPr>
            <w:noProof/>
            <w:webHidden/>
          </w:rPr>
          <w:fldChar w:fldCharType="end"/>
        </w:r>
      </w:hyperlink>
    </w:p>
    <w:p w14:paraId="1EFF3567" w14:textId="2C6E9F3C" w:rsidR="002F3A99" w:rsidRDefault="002F3A99">
      <w:pPr>
        <w:pStyle w:val="TOC3"/>
        <w:rPr>
          <w:rFonts w:asciiTheme="minorHAnsi" w:eastAsiaTheme="minorEastAsia" w:hAnsiTheme="minorHAnsi" w:cstheme="minorBidi"/>
          <w:noProof/>
          <w:kern w:val="2"/>
          <w14:ligatures w14:val="standardContextual"/>
        </w:rPr>
      </w:pPr>
      <w:hyperlink w:anchor="_Toc204106595" w:history="1">
        <w:r w:rsidRPr="003925C9">
          <w:rPr>
            <w:rStyle w:val="Hyperlink"/>
            <w:i/>
            <w:noProof/>
          </w:rPr>
          <w:t>1.1.5.</w:t>
        </w:r>
        <w:r>
          <w:rPr>
            <w:rFonts w:asciiTheme="minorHAnsi" w:eastAsiaTheme="minorEastAsia" w:hAnsiTheme="minorHAnsi" w:cstheme="minorBidi"/>
            <w:noProof/>
            <w:kern w:val="2"/>
            <w14:ligatures w14:val="standardContextual"/>
          </w:rPr>
          <w:tab/>
        </w:r>
        <w:r w:rsidRPr="003925C9">
          <w:rPr>
            <w:rStyle w:val="Hyperlink"/>
            <w:iCs/>
            <w:noProof/>
          </w:rPr>
          <w:t>Moulting</w:t>
        </w:r>
        <w:r>
          <w:rPr>
            <w:noProof/>
            <w:webHidden/>
          </w:rPr>
          <w:tab/>
        </w:r>
        <w:r>
          <w:rPr>
            <w:noProof/>
            <w:webHidden/>
          </w:rPr>
          <w:fldChar w:fldCharType="begin"/>
        </w:r>
        <w:r>
          <w:rPr>
            <w:noProof/>
            <w:webHidden/>
          </w:rPr>
          <w:instrText xml:space="preserve"> PAGEREF _Toc204106595 \h </w:instrText>
        </w:r>
        <w:r>
          <w:rPr>
            <w:noProof/>
            <w:webHidden/>
          </w:rPr>
        </w:r>
        <w:r>
          <w:rPr>
            <w:noProof/>
            <w:webHidden/>
          </w:rPr>
          <w:fldChar w:fldCharType="separate"/>
        </w:r>
        <w:r w:rsidR="008549FC">
          <w:rPr>
            <w:noProof/>
            <w:webHidden/>
          </w:rPr>
          <w:t>44</w:t>
        </w:r>
        <w:r>
          <w:rPr>
            <w:noProof/>
            <w:webHidden/>
          </w:rPr>
          <w:fldChar w:fldCharType="end"/>
        </w:r>
      </w:hyperlink>
    </w:p>
    <w:p w14:paraId="3FB075A7" w14:textId="5EF4541E"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596" w:history="1">
        <w:r w:rsidRPr="003925C9">
          <w:rPr>
            <w:rStyle w:val="Hyperlink"/>
            <w:noProof/>
          </w:rPr>
          <w:t>1.2.</w:t>
        </w:r>
        <w:r>
          <w:rPr>
            <w:rFonts w:asciiTheme="minorHAnsi" w:eastAsiaTheme="minorEastAsia" w:hAnsiTheme="minorHAnsi" w:cstheme="minorBidi"/>
            <w:b w:val="0"/>
            <w:bCs w:val="0"/>
            <w:noProof/>
            <w:kern w:val="2"/>
            <w14:ligatures w14:val="standardContextual"/>
          </w:rPr>
          <w:tab/>
        </w:r>
        <w:r w:rsidRPr="003925C9">
          <w:rPr>
            <w:rStyle w:val="Hyperlink"/>
            <w:i/>
            <w:iCs/>
            <w:noProof/>
          </w:rPr>
          <w:t>Nephrops</w:t>
        </w:r>
        <w:r w:rsidRPr="003925C9">
          <w:rPr>
            <w:rStyle w:val="Hyperlink"/>
            <w:noProof/>
          </w:rPr>
          <w:t xml:space="preserve"> Fishery</w:t>
        </w:r>
        <w:r>
          <w:rPr>
            <w:noProof/>
            <w:webHidden/>
          </w:rPr>
          <w:tab/>
        </w:r>
        <w:r>
          <w:rPr>
            <w:noProof/>
            <w:webHidden/>
          </w:rPr>
          <w:fldChar w:fldCharType="begin"/>
        </w:r>
        <w:r>
          <w:rPr>
            <w:noProof/>
            <w:webHidden/>
          </w:rPr>
          <w:instrText xml:space="preserve"> PAGEREF _Toc204106596 \h </w:instrText>
        </w:r>
        <w:r>
          <w:rPr>
            <w:noProof/>
            <w:webHidden/>
          </w:rPr>
        </w:r>
        <w:r>
          <w:rPr>
            <w:noProof/>
            <w:webHidden/>
          </w:rPr>
          <w:fldChar w:fldCharType="separate"/>
        </w:r>
        <w:r w:rsidR="008549FC">
          <w:rPr>
            <w:noProof/>
            <w:webHidden/>
          </w:rPr>
          <w:t>44</w:t>
        </w:r>
        <w:r>
          <w:rPr>
            <w:noProof/>
            <w:webHidden/>
          </w:rPr>
          <w:fldChar w:fldCharType="end"/>
        </w:r>
      </w:hyperlink>
    </w:p>
    <w:p w14:paraId="6F9E5B36" w14:textId="233FC3B7"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597" w:history="1">
        <w:r w:rsidRPr="003925C9">
          <w:rPr>
            <w:rStyle w:val="Hyperlink"/>
            <w:noProof/>
          </w:rPr>
          <w:t>1.3.</w:t>
        </w:r>
        <w:r>
          <w:rPr>
            <w:rFonts w:asciiTheme="minorHAnsi" w:eastAsiaTheme="minorEastAsia" w:hAnsiTheme="minorHAnsi" w:cstheme="minorBidi"/>
            <w:b w:val="0"/>
            <w:bCs w:val="0"/>
            <w:noProof/>
            <w:kern w:val="2"/>
            <w14:ligatures w14:val="standardContextual"/>
          </w:rPr>
          <w:tab/>
        </w:r>
        <w:r w:rsidRPr="003925C9">
          <w:rPr>
            <w:rStyle w:val="Hyperlink"/>
            <w:i/>
            <w:iCs/>
            <w:noProof/>
          </w:rPr>
          <w:t>Hematodinium</w:t>
        </w:r>
        <w:r>
          <w:rPr>
            <w:noProof/>
            <w:webHidden/>
          </w:rPr>
          <w:tab/>
        </w:r>
        <w:r>
          <w:rPr>
            <w:noProof/>
            <w:webHidden/>
          </w:rPr>
          <w:fldChar w:fldCharType="begin"/>
        </w:r>
        <w:r>
          <w:rPr>
            <w:noProof/>
            <w:webHidden/>
          </w:rPr>
          <w:instrText xml:space="preserve"> PAGEREF _Toc204106597 \h </w:instrText>
        </w:r>
        <w:r>
          <w:rPr>
            <w:noProof/>
            <w:webHidden/>
          </w:rPr>
        </w:r>
        <w:r>
          <w:rPr>
            <w:noProof/>
            <w:webHidden/>
          </w:rPr>
          <w:fldChar w:fldCharType="separate"/>
        </w:r>
        <w:r w:rsidR="008549FC">
          <w:rPr>
            <w:noProof/>
            <w:webHidden/>
          </w:rPr>
          <w:t>49</w:t>
        </w:r>
        <w:r>
          <w:rPr>
            <w:noProof/>
            <w:webHidden/>
          </w:rPr>
          <w:fldChar w:fldCharType="end"/>
        </w:r>
      </w:hyperlink>
    </w:p>
    <w:p w14:paraId="291E14C3" w14:textId="2FBB493F" w:rsidR="002F3A99" w:rsidRDefault="002F3A99">
      <w:pPr>
        <w:pStyle w:val="TOC3"/>
        <w:rPr>
          <w:rFonts w:asciiTheme="minorHAnsi" w:eastAsiaTheme="minorEastAsia" w:hAnsiTheme="minorHAnsi" w:cstheme="minorBidi"/>
          <w:noProof/>
          <w:kern w:val="2"/>
          <w14:ligatures w14:val="standardContextual"/>
        </w:rPr>
      </w:pPr>
      <w:hyperlink w:anchor="_Toc204106598" w:history="1">
        <w:r w:rsidRPr="003925C9">
          <w:rPr>
            <w:rStyle w:val="Hyperlink"/>
            <w:iCs/>
            <w:noProof/>
          </w:rPr>
          <w:t>1.3.1.</w:t>
        </w:r>
        <w:r>
          <w:rPr>
            <w:rFonts w:asciiTheme="minorHAnsi" w:eastAsiaTheme="minorEastAsia" w:hAnsiTheme="minorHAnsi" w:cstheme="minorBidi"/>
            <w:noProof/>
            <w:kern w:val="2"/>
            <w14:ligatures w14:val="standardContextual"/>
          </w:rPr>
          <w:tab/>
        </w:r>
        <w:r w:rsidRPr="003925C9">
          <w:rPr>
            <w:rStyle w:val="Hyperlink"/>
            <w:iCs/>
            <w:noProof/>
          </w:rPr>
          <w:t xml:space="preserve">Genetic diversity of </w:t>
        </w:r>
        <w:r w:rsidRPr="003925C9">
          <w:rPr>
            <w:rStyle w:val="Hyperlink"/>
            <w:i/>
            <w:iCs/>
            <w:noProof/>
          </w:rPr>
          <w:t>Hematodinium</w:t>
        </w:r>
        <w:r>
          <w:rPr>
            <w:noProof/>
            <w:webHidden/>
          </w:rPr>
          <w:tab/>
        </w:r>
        <w:r>
          <w:rPr>
            <w:noProof/>
            <w:webHidden/>
          </w:rPr>
          <w:fldChar w:fldCharType="begin"/>
        </w:r>
        <w:r>
          <w:rPr>
            <w:noProof/>
            <w:webHidden/>
          </w:rPr>
          <w:instrText xml:space="preserve"> PAGEREF _Toc204106598 \h </w:instrText>
        </w:r>
        <w:r>
          <w:rPr>
            <w:noProof/>
            <w:webHidden/>
          </w:rPr>
        </w:r>
        <w:r>
          <w:rPr>
            <w:noProof/>
            <w:webHidden/>
          </w:rPr>
          <w:fldChar w:fldCharType="separate"/>
        </w:r>
        <w:r w:rsidR="008549FC">
          <w:rPr>
            <w:noProof/>
            <w:webHidden/>
          </w:rPr>
          <w:t>50</w:t>
        </w:r>
        <w:r>
          <w:rPr>
            <w:noProof/>
            <w:webHidden/>
          </w:rPr>
          <w:fldChar w:fldCharType="end"/>
        </w:r>
      </w:hyperlink>
    </w:p>
    <w:p w14:paraId="020F5748" w14:textId="76F846B2" w:rsidR="002F3A99" w:rsidRDefault="002F3A99">
      <w:pPr>
        <w:pStyle w:val="TOC3"/>
        <w:rPr>
          <w:rFonts w:asciiTheme="minorHAnsi" w:eastAsiaTheme="minorEastAsia" w:hAnsiTheme="minorHAnsi" w:cstheme="minorBidi"/>
          <w:noProof/>
          <w:kern w:val="2"/>
          <w14:ligatures w14:val="standardContextual"/>
        </w:rPr>
      </w:pPr>
      <w:hyperlink w:anchor="_Toc204106599" w:history="1">
        <w:r w:rsidRPr="003925C9">
          <w:rPr>
            <w:rStyle w:val="Hyperlink"/>
            <w:iCs/>
            <w:noProof/>
          </w:rPr>
          <w:t>1.3.2.</w:t>
        </w:r>
        <w:r>
          <w:rPr>
            <w:rFonts w:asciiTheme="minorHAnsi" w:eastAsiaTheme="minorEastAsia" w:hAnsiTheme="minorHAnsi" w:cstheme="minorBidi"/>
            <w:noProof/>
            <w:kern w:val="2"/>
            <w14:ligatures w14:val="standardContextual"/>
          </w:rPr>
          <w:tab/>
        </w:r>
        <w:r w:rsidRPr="003925C9">
          <w:rPr>
            <w:rStyle w:val="Hyperlink"/>
            <w:iCs/>
            <w:noProof/>
          </w:rPr>
          <w:t xml:space="preserve">Description of the parasite </w:t>
        </w:r>
        <w:r w:rsidRPr="003925C9">
          <w:rPr>
            <w:rStyle w:val="Hyperlink"/>
            <w:i/>
            <w:iCs/>
            <w:noProof/>
          </w:rPr>
          <w:t>Hematodinium</w:t>
        </w:r>
        <w:r w:rsidRPr="003925C9">
          <w:rPr>
            <w:rStyle w:val="Hyperlink"/>
            <w:iCs/>
            <w:noProof/>
          </w:rPr>
          <w:t>.</w:t>
        </w:r>
        <w:r>
          <w:rPr>
            <w:noProof/>
            <w:webHidden/>
          </w:rPr>
          <w:tab/>
        </w:r>
        <w:r>
          <w:rPr>
            <w:noProof/>
            <w:webHidden/>
          </w:rPr>
          <w:fldChar w:fldCharType="begin"/>
        </w:r>
        <w:r>
          <w:rPr>
            <w:noProof/>
            <w:webHidden/>
          </w:rPr>
          <w:instrText xml:space="preserve"> PAGEREF _Toc204106599 \h </w:instrText>
        </w:r>
        <w:r>
          <w:rPr>
            <w:noProof/>
            <w:webHidden/>
          </w:rPr>
        </w:r>
        <w:r>
          <w:rPr>
            <w:noProof/>
            <w:webHidden/>
          </w:rPr>
          <w:fldChar w:fldCharType="separate"/>
        </w:r>
        <w:r w:rsidR="008549FC">
          <w:rPr>
            <w:noProof/>
            <w:webHidden/>
          </w:rPr>
          <w:t>51</w:t>
        </w:r>
        <w:r>
          <w:rPr>
            <w:noProof/>
            <w:webHidden/>
          </w:rPr>
          <w:fldChar w:fldCharType="end"/>
        </w:r>
      </w:hyperlink>
    </w:p>
    <w:p w14:paraId="219421DA" w14:textId="4AE7A688" w:rsidR="002F3A99" w:rsidRDefault="002F3A99">
      <w:pPr>
        <w:pStyle w:val="TOC3"/>
        <w:rPr>
          <w:rFonts w:asciiTheme="minorHAnsi" w:eastAsiaTheme="minorEastAsia" w:hAnsiTheme="minorHAnsi" w:cstheme="minorBidi"/>
          <w:noProof/>
          <w:kern w:val="2"/>
          <w14:ligatures w14:val="standardContextual"/>
        </w:rPr>
      </w:pPr>
      <w:hyperlink w:anchor="_Toc204106600" w:history="1">
        <w:r w:rsidRPr="003925C9">
          <w:rPr>
            <w:rStyle w:val="Hyperlink"/>
            <w:noProof/>
          </w:rPr>
          <w:t>1.3.3.</w:t>
        </w:r>
        <w:r>
          <w:rPr>
            <w:rFonts w:asciiTheme="minorHAnsi" w:eastAsiaTheme="minorEastAsia" w:hAnsiTheme="minorHAnsi" w:cstheme="minorBidi"/>
            <w:noProof/>
            <w:kern w:val="2"/>
            <w14:ligatures w14:val="standardContextual"/>
          </w:rPr>
          <w:tab/>
        </w:r>
        <w:r w:rsidRPr="003925C9">
          <w:rPr>
            <w:rStyle w:val="Hyperlink"/>
            <w:noProof/>
          </w:rPr>
          <w:t xml:space="preserve">Life cycle of </w:t>
        </w:r>
        <w:r w:rsidRPr="003925C9">
          <w:rPr>
            <w:rStyle w:val="Hyperlink"/>
            <w:i/>
            <w:noProof/>
          </w:rPr>
          <w:t>Hematodinium</w:t>
        </w:r>
        <w:r>
          <w:rPr>
            <w:noProof/>
            <w:webHidden/>
          </w:rPr>
          <w:tab/>
        </w:r>
        <w:r>
          <w:rPr>
            <w:noProof/>
            <w:webHidden/>
          </w:rPr>
          <w:fldChar w:fldCharType="begin"/>
        </w:r>
        <w:r>
          <w:rPr>
            <w:noProof/>
            <w:webHidden/>
          </w:rPr>
          <w:instrText xml:space="preserve"> PAGEREF _Toc204106600 \h </w:instrText>
        </w:r>
        <w:r>
          <w:rPr>
            <w:noProof/>
            <w:webHidden/>
          </w:rPr>
        </w:r>
        <w:r>
          <w:rPr>
            <w:noProof/>
            <w:webHidden/>
          </w:rPr>
          <w:fldChar w:fldCharType="separate"/>
        </w:r>
        <w:r w:rsidR="008549FC">
          <w:rPr>
            <w:noProof/>
            <w:webHidden/>
          </w:rPr>
          <w:t>52</w:t>
        </w:r>
        <w:r>
          <w:rPr>
            <w:noProof/>
            <w:webHidden/>
          </w:rPr>
          <w:fldChar w:fldCharType="end"/>
        </w:r>
      </w:hyperlink>
    </w:p>
    <w:p w14:paraId="4AE3609E" w14:textId="12DBB8C3" w:rsidR="002F3A99" w:rsidRDefault="002F3A99">
      <w:pPr>
        <w:pStyle w:val="TOC3"/>
        <w:rPr>
          <w:rFonts w:asciiTheme="minorHAnsi" w:eastAsiaTheme="minorEastAsia" w:hAnsiTheme="minorHAnsi" w:cstheme="minorBidi"/>
          <w:noProof/>
          <w:kern w:val="2"/>
          <w14:ligatures w14:val="standardContextual"/>
        </w:rPr>
      </w:pPr>
      <w:hyperlink w:anchor="_Toc204106601" w:history="1">
        <w:r w:rsidRPr="003925C9">
          <w:rPr>
            <w:rStyle w:val="Hyperlink"/>
            <w:iCs/>
            <w:noProof/>
          </w:rPr>
          <w:t>1.3.4.</w:t>
        </w:r>
        <w:r>
          <w:rPr>
            <w:rFonts w:asciiTheme="minorHAnsi" w:eastAsiaTheme="minorEastAsia" w:hAnsiTheme="minorHAnsi" w:cstheme="minorBidi"/>
            <w:noProof/>
            <w:kern w:val="2"/>
            <w14:ligatures w14:val="standardContextual"/>
          </w:rPr>
          <w:tab/>
        </w:r>
        <w:r w:rsidRPr="003925C9">
          <w:rPr>
            <w:rStyle w:val="Hyperlink"/>
            <w:i/>
            <w:iCs/>
            <w:noProof/>
          </w:rPr>
          <w:t>Hematodinium</w:t>
        </w:r>
        <w:r w:rsidRPr="003925C9">
          <w:rPr>
            <w:rStyle w:val="Hyperlink"/>
            <w:iCs/>
            <w:noProof/>
          </w:rPr>
          <w:t xml:space="preserve"> diagnosis in </w:t>
        </w:r>
        <w:r w:rsidRPr="003925C9">
          <w:rPr>
            <w:rStyle w:val="Hyperlink"/>
            <w:i/>
            <w:noProof/>
          </w:rPr>
          <w:t>Nephrops</w:t>
        </w:r>
        <w:r>
          <w:rPr>
            <w:noProof/>
            <w:webHidden/>
          </w:rPr>
          <w:tab/>
        </w:r>
        <w:r>
          <w:rPr>
            <w:noProof/>
            <w:webHidden/>
          </w:rPr>
          <w:fldChar w:fldCharType="begin"/>
        </w:r>
        <w:r>
          <w:rPr>
            <w:noProof/>
            <w:webHidden/>
          </w:rPr>
          <w:instrText xml:space="preserve"> PAGEREF _Toc204106601 \h </w:instrText>
        </w:r>
        <w:r>
          <w:rPr>
            <w:noProof/>
            <w:webHidden/>
          </w:rPr>
        </w:r>
        <w:r>
          <w:rPr>
            <w:noProof/>
            <w:webHidden/>
          </w:rPr>
          <w:fldChar w:fldCharType="separate"/>
        </w:r>
        <w:r w:rsidR="008549FC">
          <w:rPr>
            <w:noProof/>
            <w:webHidden/>
          </w:rPr>
          <w:t>59</w:t>
        </w:r>
        <w:r>
          <w:rPr>
            <w:noProof/>
            <w:webHidden/>
          </w:rPr>
          <w:fldChar w:fldCharType="end"/>
        </w:r>
      </w:hyperlink>
    </w:p>
    <w:p w14:paraId="0FFE75A0" w14:textId="014C76DE"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02" w:history="1">
        <w:r w:rsidRPr="003925C9">
          <w:rPr>
            <w:rStyle w:val="Hyperlink"/>
            <w:noProof/>
          </w:rPr>
          <w:t>1.4.</w:t>
        </w:r>
        <w:r>
          <w:rPr>
            <w:rFonts w:asciiTheme="minorHAnsi" w:eastAsiaTheme="minorEastAsia" w:hAnsiTheme="minorHAnsi" w:cstheme="minorBidi"/>
            <w:b w:val="0"/>
            <w:bCs w:val="0"/>
            <w:noProof/>
            <w:kern w:val="2"/>
            <w14:ligatures w14:val="standardContextual"/>
          </w:rPr>
          <w:tab/>
        </w:r>
        <w:r w:rsidRPr="003925C9">
          <w:rPr>
            <w:rStyle w:val="Hyperlink"/>
            <w:noProof/>
          </w:rPr>
          <w:t xml:space="preserve">Infection dynamics of </w:t>
        </w:r>
        <w:r w:rsidRPr="003925C9">
          <w:rPr>
            <w:rStyle w:val="Hyperlink"/>
            <w:i/>
            <w:iCs/>
            <w:noProof/>
          </w:rPr>
          <w:t>Hematodinium</w:t>
        </w:r>
        <w:r w:rsidRPr="003925C9">
          <w:rPr>
            <w:rStyle w:val="Hyperlink"/>
            <w:noProof/>
          </w:rPr>
          <w:t xml:space="preserve"> sp.</w:t>
        </w:r>
        <w:r>
          <w:rPr>
            <w:noProof/>
            <w:webHidden/>
          </w:rPr>
          <w:tab/>
        </w:r>
        <w:r>
          <w:rPr>
            <w:noProof/>
            <w:webHidden/>
          </w:rPr>
          <w:fldChar w:fldCharType="begin"/>
        </w:r>
        <w:r>
          <w:rPr>
            <w:noProof/>
            <w:webHidden/>
          </w:rPr>
          <w:instrText xml:space="preserve"> PAGEREF _Toc204106602 \h </w:instrText>
        </w:r>
        <w:r>
          <w:rPr>
            <w:noProof/>
            <w:webHidden/>
          </w:rPr>
        </w:r>
        <w:r>
          <w:rPr>
            <w:noProof/>
            <w:webHidden/>
          </w:rPr>
          <w:fldChar w:fldCharType="separate"/>
        </w:r>
        <w:r w:rsidR="008549FC">
          <w:rPr>
            <w:noProof/>
            <w:webHidden/>
          </w:rPr>
          <w:t>63</w:t>
        </w:r>
        <w:r>
          <w:rPr>
            <w:noProof/>
            <w:webHidden/>
          </w:rPr>
          <w:fldChar w:fldCharType="end"/>
        </w:r>
      </w:hyperlink>
    </w:p>
    <w:p w14:paraId="2FF34801" w14:textId="4ED285C6"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03" w:history="1">
        <w:r w:rsidRPr="003925C9">
          <w:rPr>
            <w:rStyle w:val="Hyperlink"/>
            <w:i/>
            <w:iCs/>
            <w:noProof/>
          </w:rPr>
          <w:t>1.5.</w:t>
        </w:r>
        <w:r>
          <w:rPr>
            <w:rFonts w:asciiTheme="minorHAnsi" w:eastAsiaTheme="minorEastAsia" w:hAnsiTheme="minorHAnsi" w:cstheme="minorBidi"/>
            <w:b w:val="0"/>
            <w:bCs w:val="0"/>
            <w:noProof/>
            <w:kern w:val="2"/>
            <w14:ligatures w14:val="standardContextual"/>
          </w:rPr>
          <w:tab/>
        </w:r>
        <w:r w:rsidRPr="003925C9">
          <w:rPr>
            <w:rStyle w:val="Hyperlink"/>
            <w:noProof/>
          </w:rPr>
          <w:t xml:space="preserve">Effect of </w:t>
        </w:r>
        <w:r w:rsidRPr="003925C9">
          <w:rPr>
            <w:rStyle w:val="Hyperlink"/>
            <w:i/>
            <w:noProof/>
          </w:rPr>
          <w:t>Hematodinium</w:t>
        </w:r>
        <w:r w:rsidRPr="003925C9">
          <w:rPr>
            <w:rStyle w:val="Hyperlink"/>
            <w:noProof/>
          </w:rPr>
          <w:t xml:space="preserve"> sp. in </w:t>
        </w:r>
        <w:r w:rsidRPr="003925C9">
          <w:rPr>
            <w:rStyle w:val="Hyperlink"/>
            <w:i/>
            <w:iCs/>
            <w:noProof/>
          </w:rPr>
          <w:t>Nephrops norvegicus</w:t>
        </w:r>
        <w:r>
          <w:rPr>
            <w:noProof/>
            <w:webHidden/>
          </w:rPr>
          <w:tab/>
        </w:r>
        <w:r>
          <w:rPr>
            <w:noProof/>
            <w:webHidden/>
          </w:rPr>
          <w:fldChar w:fldCharType="begin"/>
        </w:r>
        <w:r>
          <w:rPr>
            <w:noProof/>
            <w:webHidden/>
          </w:rPr>
          <w:instrText xml:space="preserve"> PAGEREF _Toc204106603 \h </w:instrText>
        </w:r>
        <w:r>
          <w:rPr>
            <w:noProof/>
            <w:webHidden/>
          </w:rPr>
        </w:r>
        <w:r>
          <w:rPr>
            <w:noProof/>
            <w:webHidden/>
          </w:rPr>
          <w:fldChar w:fldCharType="separate"/>
        </w:r>
        <w:r w:rsidR="008549FC">
          <w:rPr>
            <w:noProof/>
            <w:webHidden/>
          </w:rPr>
          <w:t>66</w:t>
        </w:r>
        <w:r>
          <w:rPr>
            <w:noProof/>
            <w:webHidden/>
          </w:rPr>
          <w:fldChar w:fldCharType="end"/>
        </w:r>
      </w:hyperlink>
    </w:p>
    <w:p w14:paraId="231E0FC7" w14:textId="53CA95C1" w:rsidR="002F3A99" w:rsidRDefault="002F3A99">
      <w:pPr>
        <w:pStyle w:val="TOC3"/>
        <w:rPr>
          <w:rFonts w:asciiTheme="minorHAnsi" w:eastAsiaTheme="minorEastAsia" w:hAnsiTheme="minorHAnsi" w:cstheme="minorBidi"/>
          <w:noProof/>
          <w:kern w:val="2"/>
          <w14:ligatures w14:val="standardContextual"/>
        </w:rPr>
      </w:pPr>
      <w:hyperlink w:anchor="_Toc204106604" w:history="1">
        <w:r w:rsidRPr="003925C9">
          <w:rPr>
            <w:rStyle w:val="Hyperlink"/>
            <w:iCs/>
            <w:noProof/>
          </w:rPr>
          <w:t>1.5.1.</w:t>
        </w:r>
        <w:r>
          <w:rPr>
            <w:rFonts w:asciiTheme="minorHAnsi" w:eastAsiaTheme="minorEastAsia" w:hAnsiTheme="minorHAnsi" w:cstheme="minorBidi"/>
            <w:noProof/>
            <w:kern w:val="2"/>
            <w14:ligatures w14:val="standardContextual"/>
          </w:rPr>
          <w:tab/>
        </w:r>
        <w:r w:rsidRPr="003925C9">
          <w:rPr>
            <w:rStyle w:val="Hyperlink"/>
            <w:i/>
            <w:iCs/>
            <w:noProof/>
          </w:rPr>
          <w:t>Hematodinium</w:t>
        </w:r>
        <w:r w:rsidRPr="003925C9">
          <w:rPr>
            <w:rStyle w:val="Hyperlink"/>
            <w:iCs/>
            <w:noProof/>
          </w:rPr>
          <w:t xml:space="preserve"> pathology in </w:t>
        </w:r>
        <w:r w:rsidRPr="003925C9">
          <w:rPr>
            <w:rStyle w:val="Hyperlink"/>
            <w:i/>
            <w:noProof/>
          </w:rPr>
          <w:t>Nephrops</w:t>
        </w:r>
        <w:r>
          <w:rPr>
            <w:noProof/>
            <w:webHidden/>
          </w:rPr>
          <w:tab/>
        </w:r>
        <w:r>
          <w:rPr>
            <w:noProof/>
            <w:webHidden/>
          </w:rPr>
          <w:fldChar w:fldCharType="begin"/>
        </w:r>
        <w:r>
          <w:rPr>
            <w:noProof/>
            <w:webHidden/>
          </w:rPr>
          <w:instrText xml:space="preserve"> PAGEREF _Toc204106604 \h </w:instrText>
        </w:r>
        <w:r>
          <w:rPr>
            <w:noProof/>
            <w:webHidden/>
          </w:rPr>
        </w:r>
        <w:r>
          <w:rPr>
            <w:noProof/>
            <w:webHidden/>
          </w:rPr>
          <w:fldChar w:fldCharType="separate"/>
        </w:r>
        <w:r w:rsidR="008549FC">
          <w:rPr>
            <w:noProof/>
            <w:webHidden/>
          </w:rPr>
          <w:t>66</w:t>
        </w:r>
        <w:r>
          <w:rPr>
            <w:noProof/>
            <w:webHidden/>
          </w:rPr>
          <w:fldChar w:fldCharType="end"/>
        </w:r>
      </w:hyperlink>
    </w:p>
    <w:p w14:paraId="53500EB9" w14:textId="3418D461" w:rsidR="002F3A99" w:rsidRDefault="002F3A99">
      <w:pPr>
        <w:pStyle w:val="TOC3"/>
        <w:rPr>
          <w:rFonts w:asciiTheme="minorHAnsi" w:eastAsiaTheme="minorEastAsia" w:hAnsiTheme="minorHAnsi" w:cstheme="minorBidi"/>
          <w:noProof/>
          <w:kern w:val="2"/>
          <w14:ligatures w14:val="standardContextual"/>
        </w:rPr>
      </w:pPr>
      <w:hyperlink w:anchor="_Toc204106605" w:history="1">
        <w:r w:rsidRPr="003925C9">
          <w:rPr>
            <w:rStyle w:val="Hyperlink"/>
            <w:iCs/>
            <w:noProof/>
          </w:rPr>
          <w:t>1.5.2.</w:t>
        </w:r>
        <w:r>
          <w:rPr>
            <w:rFonts w:asciiTheme="minorHAnsi" w:eastAsiaTheme="minorEastAsia" w:hAnsiTheme="minorHAnsi" w:cstheme="minorBidi"/>
            <w:noProof/>
            <w:kern w:val="2"/>
            <w14:ligatures w14:val="standardContextual"/>
          </w:rPr>
          <w:tab/>
        </w:r>
        <w:r w:rsidRPr="003925C9">
          <w:rPr>
            <w:rStyle w:val="Hyperlink"/>
            <w:iCs/>
            <w:noProof/>
          </w:rPr>
          <w:t xml:space="preserve">Immune response to </w:t>
        </w:r>
        <w:r w:rsidRPr="003925C9">
          <w:rPr>
            <w:rStyle w:val="Hyperlink"/>
            <w:i/>
            <w:iCs/>
            <w:noProof/>
          </w:rPr>
          <w:t>Hematodinium</w:t>
        </w:r>
        <w:r w:rsidRPr="003925C9">
          <w:rPr>
            <w:rStyle w:val="Hyperlink"/>
            <w:iCs/>
            <w:noProof/>
          </w:rPr>
          <w:t xml:space="preserve"> infection</w:t>
        </w:r>
        <w:r>
          <w:rPr>
            <w:noProof/>
            <w:webHidden/>
          </w:rPr>
          <w:tab/>
        </w:r>
        <w:r>
          <w:rPr>
            <w:noProof/>
            <w:webHidden/>
          </w:rPr>
          <w:fldChar w:fldCharType="begin"/>
        </w:r>
        <w:r>
          <w:rPr>
            <w:noProof/>
            <w:webHidden/>
          </w:rPr>
          <w:instrText xml:space="preserve"> PAGEREF _Toc204106605 \h </w:instrText>
        </w:r>
        <w:r>
          <w:rPr>
            <w:noProof/>
            <w:webHidden/>
          </w:rPr>
        </w:r>
        <w:r>
          <w:rPr>
            <w:noProof/>
            <w:webHidden/>
          </w:rPr>
          <w:fldChar w:fldCharType="separate"/>
        </w:r>
        <w:r w:rsidR="008549FC">
          <w:rPr>
            <w:noProof/>
            <w:webHidden/>
          </w:rPr>
          <w:t>67</w:t>
        </w:r>
        <w:r>
          <w:rPr>
            <w:noProof/>
            <w:webHidden/>
          </w:rPr>
          <w:fldChar w:fldCharType="end"/>
        </w:r>
      </w:hyperlink>
    </w:p>
    <w:p w14:paraId="4151A959" w14:textId="6B7B0A29"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06" w:history="1">
        <w:r w:rsidRPr="003925C9">
          <w:rPr>
            <w:rStyle w:val="Hyperlink"/>
            <w:noProof/>
          </w:rPr>
          <w:t>1.6.</w:t>
        </w:r>
        <w:r>
          <w:rPr>
            <w:rFonts w:asciiTheme="minorHAnsi" w:eastAsiaTheme="minorEastAsia" w:hAnsiTheme="minorHAnsi" w:cstheme="minorBidi"/>
            <w:b w:val="0"/>
            <w:bCs w:val="0"/>
            <w:noProof/>
            <w:kern w:val="2"/>
            <w14:ligatures w14:val="standardContextual"/>
          </w:rPr>
          <w:tab/>
        </w:r>
        <w:r w:rsidRPr="003925C9">
          <w:rPr>
            <w:rStyle w:val="Hyperlink"/>
            <w:noProof/>
          </w:rPr>
          <w:t>Microbiome within the context of health and disease</w:t>
        </w:r>
        <w:r>
          <w:rPr>
            <w:noProof/>
            <w:webHidden/>
          </w:rPr>
          <w:tab/>
        </w:r>
        <w:r>
          <w:rPr>
            <w:noProof/>
            <w:webHidden/>
          </w:rPr>
          <w:fldChar w:fldCharType="begin"/>
        </w:r>
        <w:r>
          <w:rPr>
            <w:noProof/>
            <w:webHidden/>
          </w:rPr>
          <w:instrText xml:space="preserve"> PAGEREF _Toc204106606 \h </w:instrText>
        </w:r>
        <w:r>
          <w:rPr>
            <w:noProof/>
            <w:webHidden/>
          </w:rPr>
        </w:r>
        <w:r>
          <w:rPr>
            <w:noProof/>
            <w:webHidden/>
          </w:rPr>
          <w:fldChar w:fldCharType="separate"/>
        </w:r>
        <w:r w:rsidR="008549FC">
          <w:rPr>
            <w:noProof/>
            <w:webHidden/>
          </w:rPr>
          <w:t>68</w:t>
        </w:r>
        <w:r>
          <w:rPr>
            <w:noProof/>
            <w:webHidden/>
          </w:rPr>
          <w:fldChar w:fldCharType="end"/>
        </w:r>
      </w:hyperlink>
    </w:p>
    <w:p w14:paraId="74DA8283" w14:textId="776068C2" w:rsidR="002F3A99" w:rsidRDefault="002F3A99">
      <w:pPr>
        <w:pStyle w:val="TOC3"/>
        <w:rPr>
          <w:rFonts w:asciiTheme="minorHAnsi" w:eastAsiaTheme="minorEastAsia" w:hAnsiTheme="minorHAnsi" w:cstheme="minorBidi"/>
          <w:noProof/>
          <w:kern w:val="2"/>
          <w14:ligatures w14:val="standardContextual"/>
        </w:rPr>
      </w:pPr>
      <w:hyperlink w:anchor="_Toc204106607" w:history="1">
        <w:r w:rsidRPr="003925C9">
          <w:rPr>
            <w:rStyle w:val="Hyperlink"/>
            <w:noProof/>
          </w:rPr>
          <w:t>1.6.1.</w:t>
        </w:r>
        <w:r>
          <w:rPr>
            <w:rFonts w:asciiTheme="minorHAnsi" w:eastAsiaTheme="minorEastAsia" w:hAnsiTheme="minorHAnsi" w:cstheme="minorBidi"/>
            <w:noProof/>
            <w:kern w:val="2"/>
            <w14:ligatures w14:val="standardContextual"/>
          </w:rPr>
          <w:tab/>
        </w:r>
        <w:r w:rsidRPr="003925C9">
          <w:rPr>
            <w:rStyle w:val="Hyperlink"/>
            <w:noProof/>
          </w:rPr>
          <w:t>The microbiome of decapod crustaceans</w:t>
        </w:r>
        <w:r>
          <w:rPr>
            <w:noProof/>
            <w:webHidden/>
          </w:rPr>
          <w:tab/>
        </w:r>
        <w:r>
          <w:rPr>
            <w:noProof/>
            <w:webHidden/>
          </w:rPr>
          <w:fldChar w:fldCharType="begin"/>
        </w:r>
        <w:r>
          <w:rPr>
            <w:noProof/>
            <w:webHidden/>
          </w:rPr>
          <w:instrText xml:space="preserve"> PAGEREF _Toc204106607 \h </w:instrText>
        </w:r>
        <w:r>
          <w:rPr>
            <w:noProof/>
            <w:webHidden/>
          </w:rPr>
        </w:r>
        <w:r>
          <w:rPr>
            <w:noProof/>
            <w:webHidden/>
          </w:rPr>
          <w:fldChar w:fldCharType="separate"/>
        </w:r>
        <w:r w:rsidR="008549FC">
          <w:rPr>
            <w:noProof/>
            <w:webHidden/>
          </w:rPr>
          <w:t>68</w:t>
        </w:r>
        <w:r>
          <w:rPr>
            <w:noProof/>
            <w:webHidden/>
          </w:rPr>
          <w:fldChar w:fldCharType="end"/>
        </w:r>
      </w:hyperlink>
    </w:p>
    <w:p w14:paraId="7DCDCADB" w14:textId="3713BCDA" w:rsidR="002F3A99" w:rsidRDefault="002F3A99">
      <w:pPr>
        <w:pStyle w:val="TOC3"/>
        <w:rPr>
          <w:rFonts w:asciiTheme="minorHAnsi" w:eastAsiaTheme="minorEastAsia" w:hAnsiTheme="minorHAnsi" w:cstheme="minorBidi"/>
          <w:noProof/>
          <w:kern w:val="2"/>
          <w14:ligatures w14:val="standardContextual"/>
        </w:rPr>
      </w:pPr>
      <w:hyperlink w:anchor="_Toc204106608" w:history="1">
        <w:r w:rsidRPr="003925C9">
          <w:rPr>
            <w:rStyle w:val="Hyperlink"/>
            <w:noProof/>
          </w:rPr>
          <w:t>1.6.2.</w:t>
        </w:r>
        <w:r>
          <w:rPr>
            <w:rFonts w:asciiTheme="minorHAnsi" w:eastAsiaTheme="minorEastAsia" w:hAnsiTheme="minorHAnsi" w:cstheme="minorBidi"/>
            <w:noProof/>
            <w:kern w:val="2"/>
            <w14:ligatures w14:val="standardContextual"/>
          </w:rPr>
          <w:tab/>
        </w:r>
        <w:r w:rsidRPr="003925C9">
          <w:rPr>
            <w:rStyle w:val="Hyperlink"/>
            <w:noProof/>
          </w:rPr>
          <w:t>The pathobiome of decapod crustaceans</w:t>
        </w:r>
        <w:r>
          <w:rPr>
            <w:noProof/>
            <w:webHidden/>
          </w:rPr>
          <w:tab/>
        </w:r>
        <w:r>
          <w:rPr>
            <w:noProof/>
            <w:webHidden/>
          </w:rPr>
          <w:fldChar w:fldCharType="begin"/>
        </w:r>
        <w:r>
          <w:rPr>
            <w:noProof/>
            <w:webHidden/>
          </w:rPr>
          <w:instrText xml:space="preserve"> PAGEREF _Toc204106608 \h </w:instrText>
        </w:r>
        <w:r>
          <w:rPr>
            <w:noProof/>
            <w:webHidden/>
          </w:rPr>
        </w:r>
        <w:r>
          <w:rPr>
            <w:noProof/>
            <w:webHidden/>
          </w:rPr>
          <w:fldChar w:fldCharType="separate"/>
        </w:r>
        <w:r w:rsidR="008549FC">
          <w:rPr>
            <w:noProof/>
            <w:webHidden/>
          </w:rPr>
          <w:t>71</w:t>
        </w:r>
        <w:r>
          <w:rPr>
            <w:noProof/>
            <w:webHidden/>
          </w:rPr>
          <w:fldChar w:fldCharType="end"/>
        </w:r>
      </w:hyperlink>
    </w:p>
    <w:p w14:paraId="5AEC29B8" w14:textId="51B12BA8"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09" w:history="1">
        <w:r w:rsidRPr="003925C9">
          <w:rPr>
            <w:rStyle w:val="Hyperlink"/>
            <w:noProof/>
          </w:rPr>
          <w:t>1.7.</w:t>
        </w:r>
        <w:r>
          <w:rPr>
            <w:rFonts w:asciiTheme="minorHAnsi" w:eastAsiaTheme="minorEastAsia" w:hAnsiTheme="minorHAnsi" w:cstheme="minorBidi"/>
            <w:b w:val="0"/>
            <w:bCs w:val="0"/>
            <w:noProof/>
            <w:kern w:val="2"/>
            <w14:ligatures w14:val="standardContextual"/>
          </w:rPr>
          <w:tab/>
        </w:r>
        <w:r w:rsidRPr="003925C9">
          <w:rPr>
            <w:rStyle w:val="Hyperlink"/>
            <w:noProof/>
          </w:rPr>
          <w:t>Aims and objectives</w:t>
        </w:r>
        <w:r>
          <w:rPr>
            <w:noProof/>
            <w:webHidden/>
          </w:rPr>
          <w:tab/>
        </w:r>
        <w:r>
          <w:rPr>
            <w:noProof/>
            <w:webHidden/>
          </w:rPr>
          <w:fldChar w:fldCharType="begin"/>
        </w:r>
        <w:r>
          <w:rPr>
            <w:noProof/>
            <w:webHidden/>
          </w:rPr>
          <w:instrText xml:space="preserve"> PAGEREF _Toc204106609 \h </w:instrText>
        </w:r>
        <w:r>
          <w:rPr>
            <w:noProof/>
            <w:webHidden/>
          </w:rPr>
        </w:r>
        <w:r>
          <w:rPr>
            <w:noProof/>
            <w:webHidden/>
          </w:rPr>
          <w:fldChar w:fldCharType="separate"/>
        </w:r>
        <w:r w:rsidR="008549FC">
          <w:rPr>
            <w:noProof/>
            <w:webHidden/>
          </w:rPr>
          <w:t>73</w:t>
        </w:r>
        <w:r>
          <w:rPr>
            <w:noProof/>
            <w:webHidden/>
          </w:rPr>
          <w:fldChar w:fldCharType="end"/>
        </w:r>
      </w:hyperlink>
    </w:p>
    <w:p w14:paraId="310962EB" w14:textId="217D1C0A"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610" w:history="1">
        <w:r w:rsidRPr="003925C9">
          <w:rPr>
            <w:rStyle w:val="Hyperlink"/>
            <w:noProof/>
          </w:rPr>
          <w:t>2.</w:t>
        </w:r>
        <w:r>
          <w:rPr>
            <w:rFonts w:asciiTheme="minorHAnsi" w:eastAsiaTheme="minorEastAsia" w:hAnsiTheme="minorHAnsi" w:cstheme="minorBidi"/>
            <w:b w:val="0"/>
            <w:bCs w:val="0"/>
            <w:noProof/>
            <w:kern w:val="2"/>
            <w14:ligatures w14:val="standardContextual"/>
          </w:rPr>
          <w:tab/>
        </w:r>
        <w:r w:rsidRPr="003925C9">
          <w:rPr>
            <w:rStyle w:val="Hyperlink"/>
            <w:noProof/>
          </w:rPr>
          <w:t xml:space="preserve">Prevalence of </w:t>
        </w:r>
        <w:r w:rsidRPr="003925C9">
          <w:rPr>
            <w:rStyle w:val="Hyperlink"/>
            <w:i/>
            <w:noProof/>
          </w:rPr>
          <w:t>Hematodinium</w:t>
        </w:r>
        <w:r w:rsidRPr="003925C9">
          <w:rPr>
            <w:rStyle w:val="Hyperlink"/>
            <w:noProof/>
          </w:rPr>
          <w:t xml:space="preserve"> sp. in Norway lobsters (</w:t>
        </w:r>
        <w:r w:rsidRPr="003925C9">
          <w:rPr>
            <w:rStyle w:val="Hyperlink"/>
            <w:i/>
            <w:noProof/>
          </w:rPr>
          <w:t>Nephrops</w:t>
        </w:r>
        <w:r w:rsidRPr="003925C9">
          <w:rPr>
            <w:rStyle w:val="Hyperlink"/>
            <w:noProof/>
          </w:rPr>
          <w:t xml:space="preserve"> </w:t>
        </w:r>
        <w:r w:rsidRPr="003925C9">
          <w:rPr>
            <w:rStyle w:val="Hyperlink"/>
            <w:i/>
            <w:iCs/>
            <w:noProof/>
          </w:rPr>
          <w:t>norvegicus</w:t>
        </w:r>
        <w:r w:rsidRPr="003925C9">
          <w:rPr>
            <w:rStyle w:val="Hyperlink"/>
            <w:noProof/>
          </w:rPr>
          <w:t>) from the Clyde Sea area</w:t>
        </w:r>
        <w:r>
          <w:rPr>
            <w:noProof/>
            <w:webHidden/>
          </w:rPr>
          <w:tab/>
        </w:r>
        <w:r>
          <w:rPr>
            <w:noProof/>
            <w:webHidden/>
          </w:rPr>
          <w:fldChar w:fldCharType="begin"/>
        </w:r>
        <w:r>
          <w:rPr>
            <w:noProof/>
            <w:webHidden/>
          </w:rPr>
          <w:instrText xml:space="preserve"> PAGEREF _Toc204106610 \h </w:instrText>
        </w:r>
        <w:r>
          <w:rPr>
            <w:noProof/>
            <w:webHidden/>
          </w:rPr>
        </w:r>
        <w:r>
          <w:rPr>
            <w:noProof/>
            <w:webHidden/>
          </w:rPr>
          <w:fldChar w:fldCharType="separate"/>
        </w:r>
        <w:r w:rsidR="008549FC">
          <w:rPr>
            <w:noProof/>
            <w:webHidden/>
          </w:rPr>
          <w:t>75</w:t>
        </w:r>
        <w:r>
          <w:rPr>
            <w:noProof/>
            <w:webHidden/>
          </w:rPr>
          <w:fldChar w:fldCharType="end"/>
        </w:r>
      </w:hyperlink>
    </w:p>
    <w:p w14:paraId="50249A80" w14:textId="1CF0EA73"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11" w:history="1">
        <w:r w:rsidRPr="003925C9">
          <w:rPr>
            <w:rStyle w:val="Hyperlink"/>
            <w:noProof/>
          </w:rPr>
          <w:t>2.1.</w:t>
        </w:r>
        <w:r>
          <w:rPr>
            <w:rFonts w:asciiTheme="minorHAnsi" w:eastAsiaTheme="minorEastAsia" w:hAnsiTheme="minorHAnsi" w:cstheme="minorBidi"/>
            <w:b w:val="0"/>
            <w:bCs w:val="0"/>
            <w:noProof/>
            <w:kern w:val="2"/>
            <w14:ligatures w14:val="standardContextual"/>
          </w:rPr>
          <w:tab/>
        </w:r>
        <w:r w:rsidRPr="003925C9">
          <w:rPr>
            <w:rStyle w:val="Hyperlink"/>
            <w:noProof/>
          </w:rPr>
          <w:t>Abstract</w:t>
        </w:r>
        <w:r>
          <w:rPr>
            <w:noProof/>
            <w:webHidden/>
          </w:rPr>
          <w:tab/>
        </w:r>
        <w:r>
          <w:rPr>
            <w:noProof/>
            <w:webHidden/>
          </w:rPr>
          <w:fldChar w:fldCharType="begin"/>
        </w:r>
        <w:r>
          <w:rPr>
            <w:noProof/>
            <w:webHidden/>
          </w:rPr>
          <w:instrText xml:space="preserve"> PAGEREF _Toc204106611 \h </w:instrText>
        </w:r>
        <w:r>
          <w:rPr>
            <w:noProof/>
            <w:webHidden/>
          </w:rPr>
        </w:r>
        <w:r>
          <w:rPr>
            <w:noProof/>
            <w:webHidden/>
          </w:rPr>
          <w:fldChar w:fldCharType="separate"/>
        </w:r>
        <w:r w:rsidR="008549FC">
          <w:rPr>
            <w:noProof/>
            <w:webHidden/>
          </w:rPr>
          <w:t>75</w:t>
        </w:r>
        <w:r>
          <w:rPr>
            <w:noProof/>
            <w:webHidden/>
          </w:rPr>
          <w:fldChar w:fldCharType="end"/>
        </w:r>
      </w:hyperlink>
    </w:p>
    <w:p w14:paraId="27480521" w14:textId="171445D7"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12" w:history="1">
        <w:r w:rsidRPr="003925C9">
          <w:rPr>
            <w:rStyle w:val="Hyperlink"/>
            <w:noProof/>
          </w:rPr>
          <w:t>2.2.</w:t>
        </w:r>
        <w:r>
          <w:rPr>
            <w:rFonts w:asciiTheme="minorHAnsi" w:eastAsiaTheme="minorEastAsia" w:hAnsiTheme="minorHAnsi" w:cstheme="minorBidi"/>
            <w:b w:val="0"/>
            <w:bCs w:val="0"/>
            <w:noProof/>
            <w:kern w:val="2"/>
            <w14:ligatures w14:val="standardContextual"/>
          </w:rPr>
          <w:tab/>
        </w:r>
        <w:r w:rsidRPr="003925C9">
          <w:rPr>
            <w:rStyle w:val="Hyperlink"/>
            <w:noProof/>
          </w:rPr>
          <w:t>Introduction</w:t>
        </w:r>
        <w:r>
          <w:rPr>
            <w:noProof/>
            <w:webHidden/>
          </w:rPr>
          <w:tab/>
        </w:r>
        <w:r>
          <w:rPr>
            <w:noProof/>
            <w:webHidden/>
          </w:rPr>
          <w:fldChar w:fldCharType="begin"/>
        </w:r>
        <w:r>
          <w:rPr>
            <w:noProof/>
            <w:webHidden/>
          </w:rPr>
          <w:instrText xml:space="preserve"> PAGEREF _Toc204106612 \h </w:instrText>
        </w:r>
        <w:r>
          <w:rPr>
            <w:noProof/>
            <w:webHidden/>
          </w:rPr>
        </w:r>
        <w:r>
          <w:rPr>
            <w:noProof/>
            <w:webHidden/>
          </w:rPr>
          <w:fldChar w:fldCharType="separate"/>
        </w:r>
        <w:r w:rsidR="008549FC">
          <w:rPr>
            <w:noProof/>
            <w:webHidden/>
          </w:rPr>
          <w:t>75</w:t>
        </w:r>
        <w:r>
          <w:rPr>
            <w:noProof/>
            <w:webHidden/>
          </w:rPr>
          <w:fldChar w:fldCharType="end"/>
        </w:r>
      </w:hyperlink>
    </w:p>
    <w:p w14:paraId="10F99AA8" w14:textId="3A959F3C"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13" w:history="1">
        <w:r w:rsidRPr="003925C9">
          <w:rPr>
            <w:rStyle w:val="Hyperlink"/>
            <w:noProof/>
          </w:rPr>
          <w:t>2.3.</w:t>
        </w:r>
        <w:r>
          <w:rPr>
            <w:rFonts w:asciiTheme="minorHAnsi" w:eastAsiaTheme="minorEastAsia" w:hAnsiTheme="minorHAnsi" w:cstheme="minorBidi"/>
            <w:b w:val="0"/>
            <w:bCs w:val="0"/>
            <w:noProof/>
            <w:kern w:val="2"/>
            <w14:ligatures w14:val="standardContextual"/>
          </w:rPr>
          <w:tab/>
        </w:r>
        <w:r w:rsidRPr="003925C9">
          <w:rPr>
            <w:rStyle w:val="Hyperlink"/>
            <w:noProof/>
          </w:rPr>
          <w:t>Material and Methods</w:t>
        </w:r>
        <w:r>
          <w:rPr>
            <w:noProof/>
            <w:webHidden/>
          </w:rPr>
          <w:tab/>
        </w:r>
        <w:r>
          <w:rPr>
            <w:noProof/>
            <w:webHidden/>
          </w:rPr>
          <w:fldChar w:fldCharType="begin"/>
        </w:r>
        <w:r>
          <w:rPr>
            <w:noProof/>
            <w:webHidden/>
          </w:rPr>
          <w:instrText xml:space="preserve"> PAGEREF _Toc204106613 \h </w:instrText>
        </w:r>
        <w:r>
          <w:rPr>
            <w:noProof/>
            <w:webHidden/>
          </w:rPr>
        </w:r>
        <w:r>
          <w:rPr>
            <w:noProof/>
            <w:webHidden/>
          </w:rPr>
          <w:fldChar w:fldCharType="separate"/>
        </w:r>
        <w:r w:rsidR="008549FC">
          <w:rPr>
            <w:noProof/>
            <w:webHidden/>
          </w:rPr>
          <w:t>80</w:t>
        </w:r>
        <w:r>
          <w:rPr>
            <w:noProof/>
            <w:webHidden/>
          </w:rPr>
          <w:fldChar w:fldCharType="end"/>
        </w:r>
      </w:hyperlink>
    </w:p>
    <w:p w14:paraId="52AEE670" w14:textId="46C9F1AA" w:rsidR="002F3A99" w:rsidRDefault="002F3A99">
      <w:pPr>
        <w:pStyle w:val="TOC3"/>
        <w:rPr>
          <w:rFonts w:asciiTheme="minorHAnsi" w:eastAsiaTheme="minorEastAsia" w:hAnsiTheme="minorHAnsi" w:cstheme="minorBidi"/>
          <w:noProof/>
          <w:kern w:val="2"/>
          <w14:ligatures w14:val="standardContextual"/>
        </w:rPr>
      </w:pPr>
      <w:hyperlink w:anchor="_Toc204106614" w:history="1">
        <w:r w:rsidRPr="003925C9">
          <w:rPr>
            <w:rStyle w:val="Hyperlink"/>
            <w:noProof/>
          </w:rPr>
          <w:t>2.3.1.</w:t>
        </w:r>
        <w:r>
          <w:rPr>
            <w:rFonts w:asciiTheme="minorHAnsi" w:eastAsiaTheme="minorEastAsia" w:hAnsiTheme="minorHAnsi" w:cstheme="minorBidi"/>
            <w:noProof/>
            <w:kern w:val="2"/>
            <w14:ligatures w14:val="standardContextual"/>
          </w:rPr>
          <w:tab/>
        </w:r>
        <w:r w:rsidRPr="003925C9">
          <w:rPr>
            <w:rStyle w:val="Hyperlink"/>
            <w:noProof/>
          </w:rPr>
          <w:t>Ethics statement</w:t>
        </w:r>
        <w:r>
          <w:rPr>
            <w:noProof/>
            <w:webHidden/>
          </w:rPr>
          <w:tab/>
        </w:r>
        <w:r>
          <w:rPr>
            <w:noProof/>
            <w:webHidden/>
          </w:rPr>
          <w:fldChar w:fldCharType="begin"/>
        </w:r>
        <w:r>
          <w:rPr>
            <w:noProof/>
            <w:webHidden/>
          </w:rPr>
          <w:instrText xml:space="preserve"> PAGEREF _Toc204106614 \h </w:instrText>
        </w:r>
        <w:r>
          <w:rPr>
            <w:noProof/>
            <w:webHidden/>
          </w:rPr>
        </w:r>
        <w:r>
          <w:rPr>
            <w:noProof/>
            <w:webHidden/>
          </w:rPr>
          <w:fldChar w:fldCharType="separate"/>
        </w:r>
        <w:r w:rsidR="008549FC">
          <w:rPr>
            <w:noProof/>
            <w:webHidden/>
          </w:rPr>
          <w:t>80</w:t>
        </w:r>
        <w:r>
          <w:rPr>
            <w:noProof/>
            <w:webHidden/>
          </w:rPr>
          <w:fldChar w:fldCharType="end"/>
        </w:r>
      </w:hyperlink>
    </w:p>
    <w:p w14:paraId="1ACB3480" w14:textId="20C0B792" w:rsidR="002F3A99" w:rsidRDefault="002F3A99">
      <w:pPr>
        <w:pStyle w:val="TOC3"/>
        <w:rPr>
          <w:rFonts w:asciiTheme="minorHAnsi" w:eastAsiaTheme="minorEastAsia" w:hAnsiTheme="minorHAnsi" w:cstheme="minorBidi"/>
          <w:noProof/>
          <w:kern w:val="2"/>
          <w14:ligatures w14:val="standardContextual"/>
        </w:rPr>
      </w:pPr>
      <w:hyperlink w:anchor="_Toc204106615" w:history="1">
        <w:r w:rsidRPr="003925C9">
          <w:rPr>
            <w:rStyle w:val="Hyperlink"/>
            <w:iCs/>
            <w:noProof/>
          </w:rPr>
          <w:t>2.3.2.</w:t>
        </w:r>
        <w:r>
          <w:rPr>
            <w:rFonts w:asciiTheme="minorHAnsi" w:eastAsiaTheme="minorEastAsia" w:hAnsiTheme="minorHAnsi" w:cstheme="minorBidi"/>
            <w:noProof/>
            <w:kern w:val="2"/>
            <w14:ligatures w14:val="standardContextual"/>
          </w:rPr>
          <w:tab/>
        </w:r>
        <w:r w:rsidRPr="003925C9">
          <w:rPr>
            <w:rStyle w:val="Hyperlink"/>
            <w:noProof/>
          </w:rPr>
          <w:t>Sample collection</w:t>
        </w:r>
        <w:r>
          <w:rPr>
            <w:noProof/>
            <w:webHidden/>
          </w:rPr>
          <w:tab/>
        </w:r>
        <w:r>
          <w:rPr>
            <w:noProof/>
            <w:webHidden/>
          </w:rPr>
          <w:fldChar w:fldCharType="begin"/>
        </w:r>
        <w:r>
          <w:rPr>
            <w:noProof/>
            <w:webHidden/>
          </w:rPr>
          <w:instrText xml:space="preserve"> PAGEREF _Toc204106615 \h </w:instrText>
        </w:r>
        <w:r>
          <w:rPr>
            <w:noProof/>
            <w:webHidden/>
          </w:rPr>
        </w:r>
        <w:r>
          <w:rPr>
            <w:noProof/>
            <w:webHidden/>
          </w:rPr>
          <w:fldChar w:fldCharType="separate"/>
        </w:r>
        <w:r w:rsidR="008549FC">
          <w:rPr>
            <w:noProof/>
            <w:webHidden/>
          </w:rPr>
          <w:t>81</w:t>
        </w:r>
        <w:r>
          <w:rPr>
            <w:noProof/>
            <w:webHidden/>
          </w:rPr>
          <w:fldChar w:fldCharType="end"/>
        </w:r>
      </w:hyperlink>
    </w:p>
    <w:p w14:paraId="00A9D5DD" w14:textId="21214078" w:rsidR="002F3A99" w:rsidRDefault="002F3A99">
      <w:pPr>
        <w:pStyle w:val="TOC3"/>
        <w:rPr>
          <w:rFonts w:asciiTheme="minorHAnsi" w:eastAsiaTheme="minorEastAsia" w:hAnsiTheme="minorHAnsi" w:cstheme="minorBidi"/>
          <w:noProof/>
          <w:kern w:val="2"/>
          <w14:ligatures w14:val="standardContextual"/>
        </w:rPr>
      </w:pPr>
      <w:hyperlink w:anchor="_Toc204106616" w:history="1">
        <w:r w:rsidRPr="003925C9">
          <w:rPr>
            <w:rStyle w:val="Hyperlink"/>
            <w:noProof/>
          </w:rPr>
          <w:t>2.3.3.</w:t>
        </w:r>
        <w:r>
          <w:rPr>
            <w:rFonts w:asciiTheme="minorHAnsi" w:eastAsiaTheme="minorEastAsia" w:hAnsiTheme="minorHAnsi" w:cstheme="minorBidi"/>
            <w:noProof/>
            <w:kern w:val="2"/>
            <w14:ligatures w14:val="standardContextual"/>
          </w:rPr>
          <w:tab/>
        </w:r>
        <w:r w:rsidRPr="003925C9">
          <w:rPr>
            <w:rStyle w:val="Hyperlink"/>
            <w:noProof/>
          </w:rPr>
          <w:t>Body colour method (BCM) examination</w:t>
        </w:r>
        <w:r>
          <w:rPr>
            <w:noProof/>
            <w:webHidden/>
          </w:rPr>
          <w:tab/>
        </w:r>
        <w:r>
          <w:rPr>
            <w:noProof/>
            <w:webHidden/>
          </w:rPr>
          <w:fldChar w:fldCharType="begin"/>
        </w:r>
        <w:r>
          <w:rPr>
            <w:noProof/>
            <w:webHidden/>
          </w:rPr>
          <w:instrText xml:space="preserve"> PAGEREF _Toc204106616 \h </w:instrText>
        </w:r>
        <w:r>
          <w:rPr>
            <w:noProof/>
            <w:webHidden/>
          </w:rPr>
        </w:r>
        <w:r>
          <w:rPr>
            <w:noProof/>
            <w:webHidden/>
          </w:rPr>
          <w:fldChar w:fldCharType="separate"/>
        </w:r>
        <w:r w:rsidR="008549FC">
          <w:rPr>
            <w:noProof/>
            <w:webHidden/>
          </w:rPr>
          <w:t>82</w:t>
        </w:r>
        <w:r>
          <w:rPr>
            <w:noProof/>
            <w:webHidden/>
          </w:rPr>
          <w:fldChar w:fldCharType="end"/>
        </w:r>
      </w:hyperlink>
    </w:p>
    <w:p w14:paraId="0E7E3E14" w14:textId="57A91C3D" w:rsidR="002F3A99" w:rsidRDefault="002F3A99">
      <w:pPr>
        <w:pStyle w:val="TOC3"/>
        <w:rPr>
          <w:rFonts w:asciiTheme="minorHAnsi" w:eastAsiaTheme="minorEastAsia" w:hAnsiTheme="minorHAnsi" w:cstheme="minorBidi"/>
          <w:noProof/>
          <w:kern w:val="2"/>
          <w14:ligatures w14:val="standardContextual"/>
        </w:rPr>
      </w:pPr>
      <w:hyperlink w:anchor="_Toc204106617" w:history="1">
        <w:r w:rsidRPr="003925C9">
          <w:rPr>
            <w:rStyle w:val="Hyperlink"/>
            <w:iCs/>
            <w:noProof/>
          </w:rPr>
          <w:t>2.3.4.</w:t>
        </w:r>
        <w:r>
          <w:rPr>
            <w:rFonts w:asciiTheme="minorHAnsi" w:eastAsiaTheme="minorEastAsia" w:hAnsiTheme="minorHAnsi" w:cstheme="minorBidi"/>
            <w:noProof/>
            <w:kern w:val="2"/>
            <w14:ligatures w14:val="standardContextual"/>
          </w:rPr>
          <w:tab/>
        </w:r>
        <w:r w:rsidRPr="003925C9">
          <w:rPr>
            <w:rStyle w:val="Hyperlink"/>
            <w:noProof/>
          </w:rPr>
          <w:t>Pleopod method (PM) examination</w:t>
        </w:r>
        <w:r>
          <w:rPr>
            <w:noProof/>
            <w:webHidden/>
          </w:rPr>
          <w:tab/>
        </w:r>
        <w:r>
          <w:rPr>
            <w:noProof/>
            <w:webHidden/>
          </w:rPr>
          <w:fldChar w:fldCharType="begin"/>
        </w:r>
        <w:r>
          <w:rPr>
            <w:noProof/>
            <w:webHidden/>
          </w:rPr>
          <w:instrText xml:space="preserve"> PAGEREF _Toc204106617 \h </w:instrText>
        </w:r>
        <w:r>
          <w:rPr>
            <w:noProof/>
            <w:webHidden/>
          </w:rPr>
        </w:r>
        <w:r>
          <w:rPr>
            <w:noProof/>
            <w:webHidden/>
          </w:rPr>
          <w:fldChar w:fldCharType="separate"/>
        </w:r>
        <w:r w:rsidR="008549FC">
          <w:rPr>
            <w:noProof/>
            <w:webHidden/>
          </w:rPr>
          <w:t>83</w:t>
        </w:r>
        <w:r>
          <w:rPr>
            <w:noProof/>
            <w:webHidden/>
          </w:rPr>
          <w:fldChar w:fldCharType="end"/>
        </w:r>
      </w:hyperlink>
    </w:p>
    <w:p w14:paraId="1C2040FD" w14:textId="4736D36A" w:rsidR="002F3A99" w:rsidRDefault="002F3A99">
      <w:pPr>
        <w:pStyle w:val="TOC3"/>
        <w:rPr>
          <w:rFonts w:asciiTheme="minorHAnsi" w:eastAsiaTheme="minorEastAsia" w:hAnsiTheme="minorHAnsi" w:cstheme="minorBidi"/>
          <w:noProof/>
          <w:kern w:val="2"/>
          <w14:ligatures w14:val="standardContextual"/>
        </w:rPr>
      </w:pPr>
      <w:hyperlink w:anchor="_Toc204106618" w:history="1">
        <w:r w:rsidRPr="003925C9">
          <w:rPr>
            <w:rStyle w:val="Hyperlink"/>
            <w:iCs/>
            <w:noProof/>
          </w:rPr>
          <w:t>2.3.5.</w:t>
        </w:r>
        <w:r>
          <w:rPr>
            <w:rFonts w:asciiTheme="minorHAnsi" w:eastAsiaTheme="minorEastAsia" w:hAnsiTheme="minorHAnsi" w:cstheme="minorBidi"/>
            <w:noProof/>
            <w:kern w:val="2"/>
            <w14:ligatures w14:val="standardContextual"/>
          </w:rPr>
          <w:tab/>
        </w:r>
        <w:r w:rsidRPr="003925C9">
          <w:rPr>
            <w:rStyle w:val="Hyperlink"/>
            <w:noProof/>
          </w:rPr>
          <w:t xml:space="preserve">Female </w:t>
        </w:r>
        <w:r w:rsidRPr="003925C9">
          <w:rPr>
            <w:rStyle w:val="Hyperlink"/>
            <w:i/>
            <w:noProof/>
          </w:rPr>
          <w:t>Nephrops</w:t>
        </w:r>
        <w:r>
          <w:rPr>
            <w:noProof/>
            <w:webHidden/>
          </w:rPr>
          <w:tab/>
        </w:r>
        <w:r>
          <w:rPr>
            <w:noProof/>
            <w:webHidden/>
          </w:rPr>
          <w:fldChar w:fldCharType="begin"/>
        </w:r>
        <w:r>
          <w:rPr>
            <w:noProof/>
            <w:webHidden/>
          </w:rPr>
          <w:instrText xml:space="preserve"> PAGEREF _Toc204106618 \h </w:instrText>
        </w:r>
        <w:r>
          <w:rPr>
            <w:noProof/>
            <w:webHidden/>
          </w:rPr>
        </w:r>
        <w:r>
          <w:rPr>
            <w:noProof/>
            <w:webHidden/>
          </w:rPr>
          <w:fldChar w:fldCharType="separate"/>
        </w:r>
        <w:r w:rsidR="008549FC">
          <w:rPr>
            <w:noProof/>
            <w:webHidden/>
          </w:rPr>
          <w:t>85</w:t>
        </w:r>
        <w:r>
          <w:rPr>
            <w:noProof/>
            <w:webHidden/>
          </w:rPr>
          <w:fldChar w:fldCharType="end"/>
        </w:r>
      </w:hyperlink>
    </w:p>
    <w:p w14:paraId="1C69DFF9" w14:textId="07F7AE02" w:rsidR="002F3A99" w:rsidRDefault="002F3A99">
      <w:pPr>
        <w:pStyle w:val="TOC3"/>
        <w:rPr>
          <w:rFonts w:asciiTheme="minorHAnsi" w:eastAsiaTheme="minorEastAsia" w:hAnsiTheme="minorHAnsi" w:cstheme="minorBidi"/>
          <w:noProof/>
          <w:kern w:val="2"/>
          <w14:ligatures w14:val="standardContextual"/>
        </w:rPr>
      </w:pPr>
      <w:hyperlink w:anchor="_Toc204106619" w:history="1">
        <w:r w:rsidRPr="003925C9">
          <w:rPr>
            <w:rStyle w:val="Hyperlink"/>
            <w:iCs/>
            <w:noProof/>
          </w:rPr>
          <w:t>2.3.6.</w:t>
        </w:r>
        <w:r>
          <w:rPr>
            <w:rFonts w:asciiTheme="minorHAnsi" w:eastAsiaTheme="minorEastAsia" w:hAnsiTheme="minorHAnsi" w:cstheme="minorBidi"/>
            <w:noProof/>
            <w:kern w:val="2"/>
            <w14:ligatures w14:val="standardContextual"/>
          </w:rPr>
          <w:tab/>
        </w:r>
        <w:r w:rsidRPr="003925C9">
          <w:rPr>
            <w:rStyle w:val="Hyperlink"/>
            <w:noProof/>
          </w:rPr>
          <w:t>Statistical analysis</w:t>
        </w:r>
        <w:r>
          <w:rPr>
            <w:noProof/>
            <w:webHidden/>
          </w:rPr>
          <w:tab/>
        </w:r>
        <w:r>
          <w:rPr>
            <w:noProof/>
            <w:webHidden/>
          </w:rPr>
          <w:fldChar w:fldCharType="begin"/>
        </w:r>
        <w:r>
          <w:rPr>
            <w:noProof/>
            <w:webHidden/>
          </w:rPr>
          <w:instrText xml:space="preserve"> PAGEREF _Toc204106619 \h </w:instrText>
        </w:r>
        <w:r>
          <w:rPr>
            <w:noProof/>
            <w:webHidden/>
          </w:rPr>
        </w:r>
        <w:r>
          <w:rPr>
            <w:noProof/>
            <w:webHidden/>
          </w:rPr>
          <w:fldChar w:fldCharType="separate"/>
        </w:r>
        <w:r w:rsidR="008549FC">
          <w:rPr>
            <w:noProof/>
            <w:webHidden/>
          </w:rPr>
          <w:t>85</w:t>
        </w:r>
        <w:r>
          <w:rPr>
            <w:noProof/>
            <w:webHidden/>
          </w:rPr>
          <w:fldChar w:fldCharType="end"/>
        </w:r>
      </w:hyperlink>
    </w:p>
    <w:p w14:paraId="24C21C2D" w14:textId="4E505CD1"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20" w:history="1">
        <w:r w:rsidRPr="003925C9">
          <w:rPr>
            <w:rStyle w:val="Hyperlink"/>
            <w:noProof/>
          </w:rPr>
          <w:t>2.4.</w:t>
        </w:r>
        <w:r>
          <w:rPr>
            <w:rFonts w:asciiTheme="minorHAnsi" w:eastAsiaTheme="minorEastAsia" w:hAnsiTheme="minorHAnsi" w:cstheme="minorBidi"/>
            <w:b w:val="0"/>
            <w:bCs w:val="0"/>
            <w:noProof/>
            <w:kern w:val="2"/>
            <w14:ligatures w14:val="standardContextual"/>
          </w:rPr>
          <w:tab/>
        </w:r>
        <w:r w:rsidRPr="003925C9">
          <w:rPr>
            <w:rStyle w:val="Hyperlink"/>
            <w:noProof/>
          </w:rPr>
          <w:t>Results</w:t>
        </w:r>
        <w:r>
          <w:rPr>
            <w:noProof/>
            <w:webHidden/>
          </w:rPr>
          <w:tab/>
        </w:r>
        <w:r>
          <w:rPr>
            <w:noProof/>
            <w:webHidden/>
          </w:rPr>
          <w:fldChar w:fldCharType="begin"/>
        </w:r>
        <w:r>
          <w:rPr>
            <w:noProof/>
            <w:webHidden/>
          </w:rPr>
          <w:instrText xml:space="preserve"> PAGEREF _Toc204106620 \h </w:instrText>
        </w:r>
        <w:r>
          <w:rPr>
            <w:noProof/>
            <w:webHidden/>
          </w:rPr>
        </w:r>
        <w:r>
          <w:rPr>
            <w:noProof/>
            <w:webHidden/>
          </w:rPr>
          <w:fldChar w:fldCharType="separate"/>
        </w:r>
        <w:r w:rsidR="008549FC">
          <w:rPr>
            <w:noProof/>
            <w:webHidden/>
          </w:rPr>
          <w:t>86</w:t>
        </w:r>
        <w:r>
          <w:rPr>
            <w:noProof/>
            <w:webHidden/>
          </w:rPr>
          <w:fldChar w:fldCharType="end"/>
        </w:r>
      </w:hyperlink>
    </w:p>
    <w:p w14:paraId="45BFBBD5" w14:textId="7F39F940" w:rsidR="002F3A99" w:rsidRDefault="002F3A99">
      <w:pPr>
        <w:pStyle w:val="TOC3"/>
        <w:rPr>
          <w:rFonts w:asciiTheme="minorHAnsi" w:eastAsiaTheme="minorEastAsia" w:hAnsiTheme="minorHAnsi" w:cstheme="minorBidi"/>
          <w:noProof/>
          <w:kern w:val="2"/>
          <w14:ligatures w14:val="standardContextual"/>
        </w:rPr>
      </w:pPr>
      <w:hyperlink w:anchor="_Toc204106621" w:history="1">
        <w:r w:rsidRPr="003925C9">
          <w:rPr>
            <w:rStyle w:val="Hyperlink"/>
            <w:iCs/>
            <w:noProof/>
          </w:rPr>
          <w:t>2.4.1.</w:t>
        </w:r>
        <w:r>
          <w:rPr>
            <w:rFonts w:asciiTheme="minorHAnsi" w:eastAsiaTheme="minorEastAsia" w:hAnsiTheme="minorHAnsi" w:cstheme="minorBidi"/>
            <w:noProof/>
            <w:kern w:val="2"/>
            <w14:ligatures w14:val="standardContextual"/>
          </w:rPr>
          <w:tab/>
        </w:r>
        <w:r w:rsidRPr="003925C9">
          <w:rPr>
            <w:rStyle w:val="Hyperlink"/>
            <w:i/>
            <w:noProof/>
          </w:rPr>
          <w:t>Nephrops</w:t>
        </w:r>
        <w:r w:rsidRPr="003925C9">
          <w:rPr>
            <w:rStyle w:val="Hyperlink"/>
            <w:noProof/>
          </w:rPr>
          <w:t xml:space="preserve"> population trends</w:t>
        </w:r>
        <w:r>
          <w:rPr>
            <w:noProof/>
            <w:webHidden/>
          </w:rPr>
          <w:tab/>
        </w:r>
        <w:r>
          <w:rPr>
            <w:noProof/>
            <w:webHidden/>
          </w:rPr>
          <w:fldChar w:fldCharType="begin"/>
        </w:r>
        <w:r>
          <w:rPr>
            <w:noProof/>
            <w:webHidden/>
          </w:rPr>
          <w:instrText xml:space="preserve"> PAGEREF _Toc204106621 \h </w:instrText>
        </w:r>
        <w:r>
          <w:rPr>
            <w:noProof/>
            <w:webHidden/>
          </w:rPr>
        </w:r>
        <w:r>
          <w:rPr>
            <w:noProof/>
            <w:webHidden/>
          </w:rPr>
          <w:fldChar w:fldCharType="separate"/>
        </w:r>
        <w:r w:rsidR="008549FC">
          <w:rPr>
            <w:noProof/>
            <w:webHidden/>
          </w:rPr>
          <w:t>86</w:t>
        </w:r>
        <w:r>
          <w:rPr>
            <w:noProof/>
            <w:webHidden/>
          </w:rPr>
          <w:fldChar w:fldCharType="end"/>
        </w:r>
      </w:hyperlink>
    </w:p>
    <w:p w14:paraId="6795B587" w14:textId="42592F71" w:rsidR="002F3A99" w:rsidRDefault="002F3A99">
      <w:pPr>
        <w:pStyle w:val="TOC3"/>
        <w:rPr>
          <w:rFonts w:asciiTheme="minorHAnsi" w:eastAsiaTheme="minorEastAsia" w:hAnsiTheme="minorHAnsi" w:cstheme="minorBidi"/>
          <w:noProof/>
          <w:kern w:val="2"/>
          <w14:ligatures w14:val="standardContextual"/>
        </w:rPr>
      </w:pPr>
      <w:hyperlink w:anchor="_Toc204106622" w:history="1">
        <w:r w:rsidRPr="003925C9">
          <w:rPr>
            <w:rStyle w:val="Hyperlink"/>
            <w:iCs/>
            <w:noProof/>
          </w:rPr>
          <w:t>2.4.2.</w:t>
        </w:r>
        <w:r>
          <w:rPr>
            <w:rFonts w:asciiTheme="minorHAnsi" w:eastAsiaTheme="minorEastAsia" w:hAnsiTheme="minorHAnsi" w:cstheme="minorBidi"/>
            <w:noProof/>
            <w:kern w:val="2"/>
            <w14:ligatures w14:val="standardContextual"/>
          </w:rPr>
          <w:tab/>
        </w:r>
        <w:r w:rsidRPr="003925C9">
          <w:rPr>
            <w:rStyle w:val="Hyperlink"/>
            <w:noProof/>
          </w:rPr>
          <w:t xml:space="preserve">Prevalence of </w:t>
        </w:r>
        <w:r w:rsidRPr="003925C9">
          <w:rPr>
            <w:rStyle w:val="Hyperlink"/>
            <w:i/>
            <w:noProof/>
          </w:rPr>
          <w:t>Hematodinium</w:t>
        </w:r>
        <w:r w:rsidRPr="003925C9">
          <w:rPr>
            <w:rStyle w:val="Hyperlink"/>
            <w:noProof/>
          </w:rPr>
          <w:t xml:space="preserve"> sp. in the CSA</w:t>
        </w:r>
        <w:r>
          <w:rPr>
            <w:noProof/>
            <w:webHidden/>
          </w:rPr>
          <w:tab/>
        </w:r>
        <w:r>
          <w:rPr>
            <w:noProof/>
            <w:webHidden/>
          </w:rPr>
          <w:fldChar w:fldCharType="begin"/>
        </w:r>
        <w:r>
          <w:rPr>
            <w:noProof/>
            <w:webHidden/>
          </w:rPr>
          <w:instrText xml:space="preserve"> PAGEREF _Toc204106622 \h </w:instrText>
        </w:r>
        <w:r>
          <w:rPr>
            <w:noProof/>
            <w:webHidden/>
          </w:rPr>
        </w:r>
        <w:r>
          <w:rPr>
            <w:noProof/>
            <w:webHidden/>
          </w:rPr>
          <w:fldChar w:fldCharType="separate"/>
        </w:r>
        <w:r w:rsidR="008549FC">
          <w:rPr>
            <w:noProof/>
            <w:webHidden/>
          </w:rPr>
          <w:t>94</w:t>
        </w:r>
        <w:r>
          <w:rPr>
            <w:noProof/>
            <w:webHidden/>
          </w:rPr>
          <w:fldChar w:fldCharType="end"/>
        </w:r>
      </w:hyperlink>
    </w:p>
    <w:p w14:paraId="7561E7C9" w14:textId="639CF226" w:rsidR="002F3A99" w:rsidRDefault="002F3A99">
      <w:pPr>
        <w:pStyle w:val="TOC3"/>
        <w:rPr>
          <w:rFonts w:asciiTheme="minorHAnsi" w:eastAsiaTheme="minorEastAsia" w:hAnsiTheme="minorHAnsi" w:cstheme="minorBidi"/>
          <w:noProof/>
          <w:kern w:val="2"/>
          <w14:ligatures w14:val="standardContextual"/>
        </w:rPr>
      </w:pPr>
      <w:hyperlink w:anchor="_Toc204106623" w:history="1">
        <w:r w:rsidRPr="003925C9">
          <w:rPr>
            <w:rStyle w:val="Hyperlink"/>
            <w:iCs/>
            <w:noProof/>
          </w:rPr>
          <w:t>2.4.3.</w:t>
        </w:r>
        <w:r>
          <w:rPr>
            <w:rFonts w:asciiTheme="minorHAnsi" w:eastAsiaTheme="minorEastAsia" w:hAnsiTheme="minorHAnsi" w:cstheme="minorBidi"/>
            <w:noProof/>
            <w:kern w:val="2"/>
            <w14:ligatures w14:val="standardContextual"/>
          </w:rPr>
          <w:tab/>
        </w:r>
        <w:r w:rsidRPr="003925C9">
          <w:rPr>
            <w:rStyle w:val="Hyperlink"/>
            <w:noProof/>
          </w:rPr>
          <w:t xml:space="preserve">Variables associated with </w:t>
        </w:r>
        <w:r w:rsidRPr="003925C9">
          <w:rPr>
            <w:rStyle w:val="Hyperlink"/>
            <w:i/>
            <w:noProof/>
          </w:rPr>
          <w:t>Hematodinium</w:t>
        </w:r>
        <w:r w:rsidRPr="003925C9">
          <w:rPr>
            <w:rStyle w:val="Hyperlink"/>
            <w:noProof/>
          </w:rPr>
          <w:t xml:space="preserve"> sp. patent infection</w:t>
        </w:r>
        <w:r>
          <w:rPr>
            <w:noProof/>
            <w:webHidden/>
          </w:rPr>
          <w:tab/>
        </w:r>
        <w:r>
          <w:rPr>
            <w:noProof/>
            <w:webHidden/>
          </w:rPr>
          <w:fldChar w:fldCharType="begin"/>
        </w:r>
        <w:r>
          <w:rPr>
            <w:noProof/>
            <w:webHidden/>
          </w:rPr>
          <w:instrText xml:space="preserve"> PAGEREF _Toc204106623 \h </w:instrText>
        </w:r>
        <w:r>
          <w:rPr>
            <w:noProof/>
            <w:webHidden/>
          </w:rPr>
        </w:r>
        <w:r>
          <w:rPr>
            <w:noProof/>
            <w:webHidden/>
          </w:rPr>
          <w:fldChar w:fldCharType="separate"/>
        </w:r>
        <w:r w:rsidR="008549FC">
          <w:rPr>
            <w:noProof/>
            <w:webHidden/>
          </w:rPr>
          <w:t>97</w:t>
        </w:r>
        <w:r>
          <w:rPr>
            <w:noProof/>
            <w:webHidden/>
          </w:rPr>
          <w:fldChar w:fldCharType="end"/>
        </w:r>
      </w:hyperlink>
    </w:p>
    <w:p w14:paraId="480611DD" w14:textId="59CBCE89" w:rsidR="002F3A99" w:rsidRDefault="002F3A99">
      <w:pPr>
        <w:pStyle w:val="TOC3"/>
        <w:rPr>
          <w:rFonts w:asciiTheme="minorHAnsi" w:eastAsiaTheme="minorEastAsia" w:hAnsiTheme="minorHAnsi" w:cstheme="minorBidi"/>
          <w:noProof/>
          <w:kern w:val="2"/>
          <w14:ligatures w14:val="standardContextual"/>
        </w:rPr>
      </w:pPr>
      <w:hyperlink w:anchor="_Toc204106624" w:history="1">
        <w:r w:rsidRPr="003925C9">
          <w:rPr>
            <w:rStyle w:val="Hyperlink"/>
            <w:iCs/>
            <w:noProof/>
          </w:rPr>
          <w:t>2.4.4.</w:t>
        </w:r>
        <w:r>
          <w:rPr>
            <w:rFonts w:asciiTheme="minorHAnsi" w:eastAsiaTheme="minorEastAsia" w:hAnsiTheme="minorHAnsi" w:cstheme="minorBidi"/>
            <w:noProof/>
            <w:kern w:val="2"/>
            <w14:ligatures w14:val="standardContextual"/>
          </w:rPr>
          <w:tab/>
        </w:r>
        <w:r w:rsidRPr="003925C9">
          <w:rPr>
            <w:rStyle w:val="Hyperlink"/>
            <w:noProof/>
          </w:rPr>
          <w:t>Infection and size</w:t>
        </w:r>
        <w:r>
          <w:rPr>
            <w:noProof/>
            <w:webHidden/>
          </w:rPr>
          <w:tab/>
        </w:r>
        <w:r>
          <w:rPr>
            <w:noProof/>
            <w:webHidden/>
          </w:rPr>
          <w:fldChar w:fldCharType="begin"/>
        </w:r>
        <w:r>
          <w:rPr>
            <w:noProof/>
            <w:webHidden/>
          </w:rPr>
          <w:instrText xml:space="preserve"> PAGEREF _Toc204106624 \h </w:instrText>
        </w:r>
        <w:r>
          <w:rPr>
            <w:noProof/>
            <w:webHidden/>
          </w:rPr>
        </w:r>
        <w:r>
          <w:rPr>
            <w:noProof/>
            <w:webHidden/>
          </w:rPr>
          <w:fldChar w:fldCharType="separate"/>
        </w:r>
        <w:r w:rsidR="008549FC">
          <w:rPr>
            <w:noProof/>
            <w:webHidden/>
          </w:rPr>
          <w:t>99</w:t>
        </w:r>
        <w:r>
          <w:rPr>
            <w:noProof/>
            <w:webHidden/>
          </w:rPr>
          <w:fldChar w:fldCharType="end"/>
        </w:r>
      </w:hyperlink>
    </w:p>
    <w:p w14:paraId="2BE83144" w14:textId="1737D127" w:rsidR="002F3A99" w:rsidRDefault="002F3A99">
      <w:pPr>
        <w:pStyle w:val="TOC3"/>
        <w:rPr>
          <w:rFonts w:asciiTheme="minorHAnsi" w:eastAsiaTheme="minorEastAsia" w:hAnsiTheme="minorHAnsi" w:cstheme="minorBidi"/>
          <w:noProof/>
          <w:kern w:val="2"/>
          <w14:ligatures w14:val="standardContextual"/>
        </w:rPr>
      </w:pPr>
      <w:hyperlink w:anchor="_Toc204106625" w:history="1">
        <w:r w:rsidRPr="003925C9">
          <w:rPr>
            <w:rStyle w:val="Hyperlink"/>
            <w:iCs/>
            <w:noProof/>
          </w:rPr>
          <w:t>2.4.5.</w:t>
        </w:r>
        <w:r>
          <w:rPr>
            <w:rFonts w:asciiTheme="minorHAnsi" w:eastAsiaTheme="minorEastAsia" w:hAnsiTheme="minorHAnsi" w:cstheme="minorBidi"/>
            <w:noProof/>
            <w:kern w:val="2"/>
            <w14:ligatures w14:val="standardContextual"/>
          </w:rPr>
          <w:tab/>
        </w:r>
        <w:r w:rsidRPr="003925C9">
          <w:rPr>
            <w:rStyle w:val="Hyperlink"/>
            <w:noProof/>
          </w:rPr>
          <w:t>Infection and moult</w:t>
        </w:r>
        <w:r>
          <w:rPr>
            <w:noProof/>
            <w:webHidden/>
          </w:rPr>
          <w:tab/>
        </w:r>
        <w:r>
          <w:rPr>
            <w:noProof/>
            <w:webHidden/>
          </w:rPr>
          <w:fldChar w:fldCharType="begin"/>
        </w:r>
        <w:r>
          <w:rPr>
            <w:noProof/>
            <w:webHidden/>
          </w:rPr>
          <w:instrText xml:space="preserve"> PAGEREF _Toc204106625 \h </w:instrText>
        </w:r>
        <w:r>
          <w:rPr>
            <w:noProof/>
            <w:webHidden/>
          </w:rPr>
        </w:r>
        <w:r>
          <w:rPr>
            <w:noProof/>
            <w:webHidden/>
          </w:rPr>
          <w:fldChar w:fldCharType="separate"/>
        </w:r>
        <w:r w:rsidR="008549FC">
          <w:rPr>
            <w:noProof/>
            <w:webHidden/>
          </w:rPr>
          <w:t>103</w:t>
        </w:r>
        <w:r>
          <w:rPr>
            <w:noProof/>
            <w:webHidden/>
          </w:rPr>
          <w:fldChar w:fldCharType="end"/>
        </w:r>
      </w:hyperlink>
    </w:p>
    <w:p w14:paraId="05B6B95A" w14:textId="13EB7DDA" w:rsidR="002F3A99" w:rsidRDefault="002F3A99">
      <w:pPr>
        <w:pStyle w:val="TOC3"/>
        <w:rPr>
          <w:rFonts w:asciiTheme="minorHAnsi" w:eastAsiaTheme="minorEastAsia" w:hAnsiTheme="minorHAnsi" w:cstheme="minorBidi"/>
          <w:noProof/>
          <w:kern w:val="2"/>
          <w14:ligatures w14:val="standardContextual"/>
        </w:rPr>
      </w:pPr>
      <w:hyperlink w:anchor="_Toc204106626" w:history="1">
        <w:r w:rsidRPr="003925C9">
          <w:rPr>
            <w:rStyle w:val="Hyperlink"/>
            <w:iCs/>
            <w:noProof/>
          </w:rPr>
          <w:t>2.4.6.</w:t>
        </w:r>
        <w:r>
          <w:rPr>
            <w:rFonts w:asciiTheme="minorHAnsi" w:eastAsiaTheme="minorEastAsia" w:hAnsiTheme="minorHAnsi" w:cstheme="minorBidi"/>
            <w:noProof/>
            <w:kern w:val="2"/>
            <w14:ligatures w14:val="standardContextual"/>
          </w:rPr>
          <w:tab/>
        </w:r>
        <w:r w:rsidRPr="003925C9">
          <w:rPr>
            <w:rStyle w:val="Hyperlink"/>
            <w:noProof/>
          </w:rPr>
          <w:t>Infection and sex</w:t>
        </w:r>
        <w:r>
          <w:rPr>
            <w:noProof/>
            <w:webHidden/>
          </w:rPr>
          <w:tab/>
        </w:r>
        <w:r>
          <w:rPr>
            <w:noProof/>
            <w:webHidden/>
          </w:rPr>
          <w:fldChar w:fldCharType="begin"/>
        </w:r>
        <w:r>
          <w:rPr>
            <w:noProof/>
            <w:webHidden/>
          </w:rPr>
          <w:instrText xml:space="preserve"> PAGEREF _Toc204106626 \h </w:instrText>
        </w:r>
        <w:r>
          <w:rPr>
            <w:noProof/>
            <w:webHidden/>
          </w:rPr>
        </w:r>
        <w:r>
          <w:rPr>
            <w:noProof/>
            <w:webHidden/>
          </w:rPr>
          <w:fldChar w:fldCharType="separate"/>
        </w:r>
        <w:r w:rsidR="008549FC">
          <w:rPr>
            <w:noProof/>
            <w:webHidden/>
          </w:rPr>
          <w:t>103</w:t>
        </w:r>
        <w:r>
          <w:rPr>
            <w:noProof/>
            <w:webHidden/>
          </w:rPr>
          <w:fldChar w:fldCharType="end"/>
        </w:r>
      </w:hyperlink>
    </w:p>
    <w:p w14:paraId="4DF15549" w14:textId="7C55FA07" w:rsidR="002F3A99" w:rsidRDefault="002F3A99">
      <w:pPr>
        <w:pStyle w:val="TOC3"/>
        <w:rPr>
          <w:rFonts w:asciiTheme="minorHAnsi" w:eastAsiaTheme="minorEastAsia" w:hAnsiTheme="minorHAnsi" w:cstheme="minorBidi"/>
          <w:noProof/>
          <w:kern w:val="2"/>
          <w14:ligatures w14:val="standardContextual"/>
        </w:rPr>
      </w:pPr>
      <w:hyperlink w:anchor="_Toc204106627" w:history="1">
        <w:r w:rsidRPr="003925C9">
          <w:rPr>
            <w:rStyle w:val="Hyperlink"/>
            <w:iCs/>
            <w:noProof/>
          </w:rPr>
          <w:t>2.4.7.</w:t>
        </w:r>
        <w:r>
          <w:rPr>
            <w:rFonts w:asciiTheme="minorHAnsi" w:eastAsiaTheme="minorEastAsia" w:hAnsiTheme="minorHAnsi" w:cstheme="minorBidi"/>
            <w:noProof/>
            <w:kern w:val="2"/>
            <w14:ligatures w14:val="standardContextual"/>
          </w:rPr>
          <w:tab/>
        </w:r>
        <w:r w:rsidRPr="003925C9">
          <w:rPr>
            <w:rStyle w:val="Hyperlink"/>
            <w:i/>
            <w:noProof/>
          </w:rPr>
          <w:t>Nephrops</w:t>
        </w:r>
        <w:r w:rsidRPr="003925C9">
          <w:rPr>
            <w:rStyle w:val="Hyperlink"/>
            <w:noProof/>
          </w:rPr>
          <w:t xml:space="preserve"> females</w:t>
        </w:r>
        <w:r>
          <w:rPr>
            <w:noProof/>
            <w:webHidden/>
          </w:rPr>
          <w:tab/>
        </w:r>
        <w:r>
          <w:rPr>
            <w:noProof/>
            <w:webHidden/>
          </w:rPr>
          <w:fldChar w:fldCharType="begin"/>
        </w:r>
        <w:r>
          <w:rPr>
            <w:noProof/>
            <w:webHidden/>
          </w:rPr>
          <w:instrText xml:space="preserve"> PAGEREF _Toc204106627 \h </w:instrText>
        </w:r>
        <w:r>
          <w:rPr>
            <w:noProof/>
            <w:webHidden/>
          </w:rPr>
        </w:r>
        <w:r>
          <w:rPr>
            <w:noProof/>
            <w:webHidden/>
          </w:rPr>
          <w:fldChar w:fldCharType="separate"/>
        </w:r>
        <w:r w:rsidR="008549FC">
          <w:rPr>
            <w:noProof/>
            <w:webHidden/>
          </w:rPr>
          <w:t>103</w:t>
        </w:r>
        <w:r>
          <w:rPr>
            <w:noProof/>
            <w:webHidden/>
          </w:rPr>
          <w:fldChar w:fldCharType="end"/>
        </w:r>
      </w:hyperlink>
    </w:p>
    <w:p w14:paraId="3E61B613" w14:textId="23222284" w:rsidR="002F3A99" w:rsidRDefault="002F3A99">
      <w:pPr>
        <w:pStyle w:val="TOC3"/>
        <w:rPr>
          <w:rFonts w:asciiTheme="minorHAnsi" w:eastAsiaTheme="minorEastAsia" w:hAnsiTheme="minorHAnsi" w:cstheme="minorBidi"/>
          <w:noProof/>
          <w:kern w:val="2"/>
          <w14:ligatures w14:val="standardContextual"/>
        </w:rPr>
      </w:pPr>
      <w:hyperlink w:anchor="_Toc204106628" w:history="1">
        <w:r w:rsidRPr="003925C9">
          <w:rPr>
            <w:rStyle w:val="Hyperlink"/>
            <w:iCs/>
            <w:noProof/>
          </w:rPr>
          <w:t>2.4.8.</w:t>
        </w:r>
        <w:r>
          <w:rPr>
            <w:rFonts w:asciiTheme="minorHAnsi" w:eastAsiaTheme="minorEastAsia" w:hAnsiTheme="minorHAnsi" w:cstheme="minorBidi"/>
            <w:noProof/>
            <w:kern w:val="2"/>
            <w14:ligatures w14:val="standardContextual"/>
          </w:rPr>
          <w:tab/>
        </w:r>
        <w:r w:rsidRPr="003925C9">
          <w:rPr>
            <w:rStyle w:val="Hyperlink"/>
            <w:iCs/>
            <w:noProof/>
          </w:rPr>
          <w:t xml:space="preserve">Female </w:t>
        </w:r>
        <w:r w:rsidRPr="003925C9">
          <w:rPr>
            <w:rStyle w:val="Hyperlink"/>
            <w:i/>
            <w:noProof/>
          </w:rPr>
          <w:t>Nephrops</w:t>
        </w:r>
        <w:r w:rsidRPr="003925C9">
          <w:rPr>
            <w:rStyle w:val="Hyperlink"/>
            <w:noProof/>
          </w:rPr>
          <w:t xml:space="preserve"> infected with </w:t>
        </w:r>
        <w:r w:rsidRPr="003925C9">
          <w:rPr>
            <w:rStyle w:val="Hyperlink"/>
            <w:i/>
            <w:noProof/>
          </w:rPr>
          <w:t>Hematodinium</w:t>
        </w:r>
        <w:r w:rsidRPr="003925C9">
          <w:rPr>
            <w:rStyle w:val="Hyperlink"/>
            <w:noProof/>
          </w:rPr>
          <w:t xml:space="preserve"> sp.</w:t>
        </w:r>
        <w:r>
          <w:rPr>
            <w:noProof/>
            <w:webHidden/>
          </w:rPr>
          <w:tab/>
        </w:r>
        <w:r>
          <w:rPr>
            <w:noProof/>
            <w:webHidden/>
          </w:rPr>
          <w:fldChar w:fldCharType="begin"/>
        </w:r>
        <w:r>
          <w:rPr>
            <w:noProof/>
            <w:webHidden/>
          </w:rPr>
          <w:instrText xml:space="preserve"> PAGEREF _Toc204106628 \h </w:instrText>
        </w:r>
        <w:r>
          <w:rPr>
            <w:noProof/>
            <w:webHidden/>
          </w:rPr>
        </w:r>
        <w:r>
          <w:rPr>
            <w:noProof/>
            <w:webHidden/>
          </w:rPr>
          <w:fldChar w:fldCharType="separate"/>
        </w:r>
        <w:r w:rsidR="008549FC">
          <w:rPr>
            <w:noProof/>
            <w:webHidden/>
          </w:rPr>
          <w:t>108</w:t>
        </w:r>
        <w:r>
          <w:rPr>
            <w:noProof/>
            <w:webHidden/>
          </w:rPr>
          <w:fldChar w:fldCharType="end"/>
        </w:r>
      </w:hyperlink>
    </w:p>
    <w:p w14:paraId="4592C79A" w14:textId="72A7A560"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29" w:history="1">
        <w:r w:rsidRPr="003925C9">
          <w:rPr>
            <w:rStyle w:val="Hyperlink"/>
            <w:noProof/>
          </w:rPr>
          <w:t>2.5.</w:t>
        </w:r>
        <w:r>
          <w:rPr>
            <w:rFonts w:asciiTheme="minorHAnsi" w:eastAsiaTheme="minorEastAsia" w:hAnsiTheme="minorHAnsi" w:cstheme="minorBidi"/>
            <w:b w:val="0"/>
            <w:bCs w:val="0"/>
            <w:noProof/>
            <w:kern w:val="2"/>
            <w14:ligatures w14:val="standardContextual"/>
          </w:rPr>
          <w:tab/>
        </w:r>
        <w:r w:rsidRPr="003925C9">
          <w:rPr>
            <w:rStyle w:val="Hyperlink"/>
            <w:noProof/>
          </w:rPr>
          <w:t>Discussion</w:t>
        </w:r>
        <w:r>
          <w:rPr>
            <w:noProof/>
            <w:webHidden/>
          </w:rPr>
          <w:tab/>
        </w:r>
        <w:r>
          <w:rPr>
            <w:noProof/>
            <w:webHidden/>
          </w:rPr>
          <w:fldChar w:fldCharType="begin"/>
        </w:r>
        <w:r>
          <w:rPr>
            <w:noProof/>
            <w:webHidden/>
          </w:rPr>
          <w:instrText xml:space="preserve"> PAGEREF _Toc204106629 \h </w:instrText>
        </w:r>
        <w:r>
          <w:rPr>
            <w:noProof/>
            <w:webHidden/>
          </w:rPr>
        </w:r>
        <w:r>
          <w:rPr>
            <w:noProof/>
            <w:webHidden/>
          </w:rPr>
          <w:fldChar w:fldCharType="separate"/>
        </w:r>
        <w:r w:rsidR="008549FC">
          <w:rPr>
            <w:noProof/>
            <w:webHidden/>
          </w:rPr>
          <w:t>111</w:t>
        </w:r>
        <w:r>
          <w:rPr>
            <w:noProof/>
            <w:webHidden/>
          </w:rPr>
          <w:fldChar w:fldCharType="end"/>
        </w:r>
      </w:hyperlink>
    </w:p>
    <w:p w14:paraId="2B002A7A" w14:textId="688E2760" w:rsidR="002F3A99" w:rsidRDefault="002F3A99">
      <w:pPr>
        <w:pStyle w:val="TOC3"/>
        <w:rPr>
          <w:rFonts w:asciiTheme="minorHAnsi" w:eastAsiaTheme="minorEastAsia" w:hAnsiTheme="minorHAnsi" w:cstheme="minorBidi"/>
          <w:noProof/>
          <w:kern w:val="2"/>
          <w14:ligatures w14:val="standardContextual"/>
        </w:rPr>
      </w:pPr>
      <w:hyperlink w:anchor="_Toc204106630" w:history="1">
        <w:r w:rsidRPr="003925C9">
          <w:rPr>
            <w:rStyle w:val="Hyperlink"/>
            <w:noProof/>
          </w:rPr>
          <w:t>2.5.1.</w:t>
        </w:r>
        <w:r>
          <w:rPr>
            <w:rFonts w:asciiTheme="minorHAnsi" w:eastAsiaTheme="minorEastAsia" w:hAnsiTheme="minorHAnsi" w:cstheme="minorBidi"/>
            <w:noProof/>
            <w:kern w:val="2"/>
            <w14:ligatures w14:val="standardContextual"/>
          </w:rPr>
          <w:tab/>
        </w:r>
        <w:r w:rsidRPr="003925C9">
          <w:rPr>
            <w:rStyle w:val="Hyperlink"/>
            <w:noProof/>
          </w:rPr>
          <w:t xml:space="preserve">The prevalence of </w:t>
        </w:r>
        <w:r w:rsidRPr="003925C9">
          <w:rPr>
            <w:rStyle w:val="Hyperlink"/>
            <w:i/>
            <w:noProof/>
          </w:rPr>
          <w:t>Hematodinium</w:t>
        </w:r>
        <w:r w:rsidRPr="003925C9">
          <w:rPr>
            <w:rStyle w:val="Hyperlink"/>
            <w:noProof/>
          </w:rPr>
          <w:t xml:space="preserve"> infections in </w:t>
        </w:r>
        <w:r w:rsidRPr="003925C9">
          <w:rPr>
            <w:rStyle w:val="Hyperlink"/>
            <w:i/>
            <w:noProof/>
          </w:rPr>
          <w:t>Nephrops</w:t>
        </w:r>
        <w:r w:rsidRPr="003925C9">
          <w:rPr>
            <w:rStyle w:val="Hyperlink"/>
            <w:noProof/>
          </w:rPr>
          <w:t xml:space="preserve"> in the CSA</w:t>
        </w:r>
        <w:r>
          <w:rPr>
            <w:noProof/>
            <w:webHidden/>
          </w:rPr>
          <w:tab/>
        </w:r>
        <w:r>
          <w:rPr>
            <w:noProof/>
            <w:webHidden/>
          </w:rPr>
          <w:fldChar w:fldCharType="begin"/>
        </w:r>
        <w:r>
          <w:rPr>
            <w:noProof/>
            <w:webHidden/>
          </w:rPr>
          <w:instrText xml:space="preserve"> PAGEREF _Toc204106630 \h </w:instrText>
        </w:r>
        <w:r>
          <w:rPr>
            <w:noProof/>
            <w:webHidden/>
          </w:rPr>
        </w:r>
        <w:r>
          <w:rPr>
            <w:noProof/>
            <w:webHidden/>
          </w:rPr>
          <w:fldChar w:fldCharType="separate"/>
        </w:r>
        <w:r w:rsidR="008549FC">
          <w:rPr>
            <w:noProof/>
            <w:webHidden/>
          </w:rPr>
          <w:t>111</w:t>
        </w:r>
        <w:r>
          <w:rPr>
            <w:noProof/>
            <w:webHidden/>
          </w:rPr>
          <w:fldChar w:fldCharType="end"/>
        </w:r>
      </w:hyperlink>
    </w:p>
    <w:p w14:paraId="406A4165" w14:textId="24CC6D17" w:rsidR="002F3A99" w:rsidRDefault="002F3A99">
      <w:pPr>
        <w:pStyle w:val="TOC3"/>
        <w:rPr>
          <w:rFonts w:asciiTheme="minorHAnsi" w:eastAsiaTheme="minorEastAsia" w:hAnsiTheme="minorHAnsi" w:cstheme="minorBidi"/>
          <w:noProof/>
          <w:kern w:val="2"/>
          <w14:ligatures w14:val="standardContextual"/>
        </w:rPr>
      </w:pPr>
      <w:hyperlink w:anchor="_Toc204106631" w:history="1">
        <w:r w:rsidRPr="003925C9">
          <w:rPr>
            <w:rStyle w:val="Hyperlink"/>
            <w:noProof/>
          </w:rPr>
          <w:t>2.5.2.</w:t>
        </w:r>
        <w:r>
          <w:rPr>
            <w:rFonts w:asciiTheme="minorHAnsi" w:eastAsiaTheme="minorEastAsia" w:hAnsiTheme="minorHAnsi" w:cstheme="minorBidi"/>
            <w:noProof/>
            <w:kern w:val="2"/>
            <w14:ligatures w14:val="standardContextual"/>
          </w:rPr>
          <w:tab/>
        </w:r>
        <w:r w:rsidRPr="003925C9">
          <w:rPr>
            <w:rStyle w:val="Hyperlink"/>
            <w:noProof/>
          </w:rPr>
          <w:t>Factors affecting infection and disease progression</w:t>
        </w:r>
        <w:r>
          <w:rPr>
            <w:noProof/>
            <w:webHidden/>
          </w:rPr>
          <w:tab/>
        </w:r>
        <w:r>
          <w:rPr>
            <w:noProof/>
            <w:webHidden/>
          </w:rPr>
          <w:fldChar w:fldCharType="begin"/>
        </w:r>
        <w:r>
          <w:rPr>
            <w:noProof/>
            <w:webHidden/>
          </w:rPr>
          <w:instrText xml:space="preserve"> PAGEREF _Toc204106631 \h </w:instrText>
        </w:r>
        <w:r>
          <w:rPr>
            <w:noProof/>
            <w:webHidden/>
          </w:rPr>
        </w:r>
        <w:r>
          <w:rPr>
            <w:noProof/>
            <w:webHidden/>
          </w:rPr>
          <w:fldChar w:fldCharType="separate"/>
        </w:r>
        <w:r w:rsidR="008549FC">
          <w:rPr>
            <w:noProof/>
            <w:webHidden/>
          </w:rPr>
          <w:t>112</w:t>
        </w:r>
        <w:r>
          <w:rPr>
            <w:noProof/>
            <w:webHidden/>
          </w:rPr>
          <w:fldChar w:fldCharType="end"/>
        </w:r>
      </w:hyperlink>
    </w:p>
    <w:p w14:paraId="475B8693" w14:textId="7D68362C" w:rsidR="002F3A99" w:rsidRDefault="002F3A99">
      <w:pPr>
        <w:pStyle w:val="TOC3"/>
        <w:rPr>
          <w:rFonts w:asciiTheme="minorHAnsi" w:eastAsiaTheme="minorEastAsia" w:hAnsiTheme="minorHAnsi" w:cstheme="minorBidi"/>
          <w:noProof/>
          <w:kern w:val="2"/>
          <w14:ligatures w14:val="standardContextual"/>
        </w:rPr>
      </w:pPr>
      <w:hyperlink w:anchor="_Toc204106632" w:history="1">
        <w:r w:rsidRPr="003925C9">
          <w:rPr>
            <w:rStyle w:val="Hyperlink"/>
            <w:iCs/>
            <w:noProof/>
          </w:rPr>
          <w:t>2.5.3.</w:t>
        </w:r>
        <w:r>
          <w:rPr>
            <w:rFonts w:asciiTheme="minorHAnsi" w:eastAsiaTheme="minorEastAsia" w:hAnsiTheme="minorHAnsi" w:cstheme="minorBidi"/>
            <w:noProof/>
            <w:kern w:val="2"/>
            <w14:ligatures w14:val="standardContextual"/>
          </w:rPr>
          <w:tab/>
        </w:r>
        <w:r w:rsidRPr="003925C9">
          <w:rPr>
            <w:rStyle w:val="Hyperlink"/>
            <w:noProof/>
          </w:rPr>
          <w:t xml:space="preserve">The effects of </w:t>
        </w:r>
        <w:r w:rsidRPr="003925C9">
          <w:rPr>
            <w:rStyle w:val="Hyperlink"/>
            <w:i/>
            <w:noProof/>
          </w:rPr>
          <w:t>Hematodinium</w:t>
        </w:r>
        <w:r w:rsidRPr="003925C9">
          <w:rPr>
            <w:rStyle w:val="Hyperlink"/>
            <w:noProof/>
          </w:rPr>
          <w:t xml:space="preserve"> sp. infection on the hepatopancreas of female </w:t>
        </w:r>
        <w:r w:rsidRPr="003925C9">
          <w:rPr>
            <w:rStyle w:val="Hyperlink"/>
            <w:i/>
            <w:noProof/>
          </w:rPr>
          <w:t>Nephrops</w:t>
        </w:r>
        <w:r>
          <w:rPr>
            <w:noProof/>
            <w:webHidden/>
          </w:rPr>
          <w:tab/>
        </w:r>
        <w:r>
          <w:rPr>
            <w:noProof/>
            <w:webHidden/>
          </w:rPr>
          <w:fldChar w:fldCharType="begin"/>
        </w:r>
        <w:r>
          <w:rPr>
            <w:noProof/>
            <w:webHidden/>
          </w:rPr>
          <w:instrText xml:space="preserve"> PAGEREF _Toc204106632 \h </w:instrText>
        </w:r>
        <w:r>
          <w:rPr>
            <w:noProof/>
            <w:webHidden/>
          </w:rPr>
        </w:r>
        <w:r>
          <w:rPr>
            <w:noProof/>
            <w:webHidden/>
          </w:rPr>
          <w:fldChar w:fldCharType="separate"/>
        </w:r>
        <w:r w:rsidR="008549FC">
          <w:rPr>
            <w:noProof/>
            <w:webHidden/>
          </w:rPr>
          <w:t>114</w:t>
        </w:r>
        <w:r>
          <w:rPr>
            <w:noProof/>
            <w:webHidden/>
          </w:rPr>
          <w:fldChar w:fldCharType="end"/>
        </w:r>
      </w:hyperlink>
    </w:p>
    <w:p w14:paraId="1D4688CD" w14:textId="08CC1420" w:rsidR="002F3A99" w:rsidRDefault="002F3A99">
      <w:pPr>
        <w:pStyle w:val="TOC3"/>
        <w:rPr>
          <w:rFonts w:asciiTheme="minorHAnsi" w:eastAsiaTheme="minorEastAsia" w:hAnsiTheme="minorHAnsi" w:cstheme="minorBidi"/>
          <w:noProof/>
          <w:kern w:val="2"/>
          <w14:ligatures w14:val="standardContextual"/>
        </w:rPr>
      </w:pPr>
      <w:hyperlink w:anchor="_Toc204106633" w:history="1">
        <w:r w:rsidRPr="003925C9">
          <w:rPr>
            <w:rStyle w:val="Hyperlink"/>
            <w:iCs/>
            <w:noProof/>
          </w:rPr>
          <w:t>2.5.4.</w:t>
        </w:r>
        <w:r>
          <w:rPr>
            <w:rFonts w:asciiTheme="minorHAnsi" w:eastAsiaTheme="minorEastAsia" w:hAnsiTheme="minorHAnsi" w:cstheme="minorBidi"/>
            <w:noProof/>
            <w:kern w:val="2"/>
            <w14:ligatures w14:val="standardContextual"/>
          </w:rPr>
          <w:tab/>
        </w:r>
        <w:r w:rsidRPr="003925C9">
          <w:rPr>
            <w:rStyle w:val="Hyperlink"/>
            <w:noProof/>
          </w:rPr>
          <w:t xml:space="preserve">The effects of </w:t>
        </w:r>
        <w:r w:rsidRPr="003925C9">
          <w:rPr>
            <w:rStyle w:val="Hyperlink"/>
            <w:i/>
            <w:noProof/>
          </w:rPr>
          <w:t>Hematodinium</w:t>
        </w:r>
        <w:r w:rsidRPr="003925C9">
          <w:rPr>
            <w:rStyle w:val="Hyperlink"/>
            <w:noProof/>
          </w:rPr>
          <w:t xml:space="preserve"> sp. infection on the gonads of female </w:t>
        </w:r>
        <w:r w:rsidRPr="003925C9">
          <w:rPr>
            <w:rStyle w:val="Hyperlink"/>
            <w:i/>
            <w:noProof/>
          </w:rPr>
          <w:t>Nephrops</w:t>
        </w:r>
        <w:r>
          <w:rPr>
            <w:noProof/>
            <w:webHidden/>
          </w:rPr>
          <w:tab/>
        </w:r>
        <w:r>
          <w:rPr>
            <w:noProof/>
            <w:webHidden/>
          </w:rPr>
          <w:fldChar w:fldCharType="begin"/>
        </w:r>
        <w:r>
          <w:rPr>
            <w:noProof/>
            <w:webHidden/>
          </w:rPr>
          <w:instrText xml:space="preserve"> PAGEREF _Toc204106633 \h </w:instrText>
        </w:r>
        <w:r>
          <w:rPr>
            <w:noProof/>
            <w:webHidden/>
          </w:rPr>
        </w:r>
        <w:r>
          <w:rPr>
            <w:noProof/>
            <w:webHidden/>
          </w:rPr>
          <w:fldChar w:fldCharType="separate"/>
        </w:r>
        <w:r w:rsidR="008549FC">
          <w:rPr>
            <w:noProof/>
            <w:webHidden/>
          </w:rPr>
          <w:t>115</w:t>
        </w:r>
        <w:r>
          <w:rPr>
            <w:noProof/>
            <w:webHidden/>
          </w:rPr>
          <w:fldChar w:fldCharType="end"/>
        </w:r>
      </w:hyperlink>
    </w:p>
    <w:p w14:paraId="35FADA51" w14:textId="0700BCBC"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34" w:history="1">
        <w:r w:rsidRPr="003925C9">
          <w:rPr>
            <w:rStyle w:val="Hyperlink"/>
            <w:noProof/>
          </w:rPr>
          <w:t>2.6.</w:t>
        </w:r>
        <w:r>
          <w:rPr>
            <w:rFonts w:asciiTheme="minorHAnsi" w:eastAsiaTheme="minorEastAsia" w:hAnsiTheme="minorHAnsi" w:cstheme="minorBidi"/>
            <w:b w:val="0"/>
            <w:bCs w:val="0"/>
            <w:noProof/>
            <w:kern w:val="2"/>
            <w14:ligatures w14:val="standardContextual"/>
          </w:rPr>
          <w:tab/>
        </w:r>
        <w:r w:rsidRPr="003925C9">
          <w:rPr>
            <w:rStyle w:val="Hyperlink"/>
            <w:noProof/>
          </w:rPr>
          <w:t>Conclusions</w:t>
        </w:r>
        <w:r>
          <w:rPr>
            <w:noProof/>
            <w:webHidden/>
          </w:rPr>
          <w:tab/>
        </w:r>
        <w:r>
          <w:rPr>
            <w:noProof/>
            <w:webHidden/>
          </w:rPr>
          <w:fldChar w:fldCharType="begin"/>
        </w:r>
        <w:r>
          <w:rPr>
            <w:noProof/>
            <w:webHidden/>
          </w:rPr>
          <w:instrText xml:space="preserve"> PAGEREF _Toc204106634 \h </w:instrText>
        </w:r>
        <w:r>
          <w:rPr>
            <w:noProof/>
            <w:webHidden/>
          </w:rPr>
        </w:r>
        <w:r>
          <w:rPr>
            <w:noProof/>
            <w:webHidden/>
          </w:rPr>
          <w:fldChar w:fldCharType="separate"/>
        </w:r>
        <w:r w:rsidR="008549FC">
          <w:rPr>
            <w:noProof/>
            <w:webHidden/>
          </w:rPr>
          <w:t>117</w:t>
        </w:r>
        <w:r>
          <w:rPr>
            <w:noProof/>
            <w:webHidden/>
          </w:rPr>
          <w:fldChar w:fldCharType="end"/>
        </w:r>
      </w:hyperlink>
    </w:p>
    <w:p w14:paraId="739637F4" w14:textId="5937F432"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635" w:history="1">
        <w:r w:rsidRPr="003925C9">
          <w:rPr>
            <w:rStyle w:val="Hyperlink"/>
            <w:noProof/>
          </w:rPr>
          <w:t>3.</w:t>
        </w:r>
        <w:r>
          <w:rPr>
            <w:rFonts w:asciiTheme="minorHAnsi" w:eastAsiaTheme="minorEastAsia" w:hAnsiTheme="minorHAnsi" w:cstheme="minorBidi"/>
            <w:b w:val="0"/>
            <w:bCs w:val="0"/>
            <w:noProof/>
            <w:kern w:val="2"/>
            <w14:ligatures w14:val="standardContextual"/>
          </w:rPr>
          <w:tab/>
        </w:r>
        <w:r w:rsidRPr="003925C9">
          <w:rPr>
            <w:rStyle w:val="Hyperlink"/>
            <w:noProof/>
          </w:rPr>
          <w:t xml:space="preserve">Characterisation of haemolymph and gut microbiomes of </w:t>
        </w:r>
        <w:r w:rsidRPr="003925C9">
          <w:rPr>
            <w:rStyle w:val="Hyperlink"/>
            <w:i/>
            <w:noProof/>
          </w:rPr>
          <w:t>Nephrops norvegicus</w:t>
        </w:r>
        <w:r>
          <w:rPr>
            <w:noProof/>
            <w:webHidden/>
          </w:rPr>
          <w:tab/>
        </w:r>
        <w:r>
          <w:rPr>
            <w:noProof/>
            <w:webHidden/>
          </w:rPr>
          <w:fldChar w:fldCharType="begin"/>
        </w:r>
        <w:r>
          <w:rPr>
            <w:noProof/>
            <w:webHidden/>
          </w:rPr>
          <w:instrText xml:space="preserve"> PAGEREF _Toc204106635 \h </w:instrText>
        </w:r>
        <w:r>
          <w:rPr>
            <w:noProof/>
            <w:webHidden/>
          </w:rPr>
        </w:r>
        <w:r>
          <w:rPr>
            <w:noProof/>
            <w:webHidden/>
          </w:rPr>
          <w:fldChar w:fldCharType="separate"/>
        </w:r>
        <w:r w:rsidR="008549FC">
          <w:rPr>
            <w:noProof/>
            <w:webHidden/>
          </w:rPr>
          <w:t>118</w:t>
        </w:r>
        <w:r>
          <w:rPr>
            <w:noProof/>
            <w:webHidden/>
          </w:rPr>
          <w:fldChar w:fldCharType="end"/>
        </w:r>
      </w:hyperlink>
    </w:p>
    <w:p w14:paraId="64ED865F" w14:textId="5E9C23A5"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36" w:history="1">
        <w:r w:rsidRPr="003925C9">
          <w:rPr>
            <w:rStyle w:val="Hyperlink"/>
            <w:noProof/>
          </w:rPr>
          <w:t>3.1.</w:t>
        </w:r>
        <w:r>
          <w:rPr>
            <w:rFonts w:asciiTheme="minorHAnsi" w:eastAsiaTheme="minorEastAsia" w:hAnsiTheme="minorHAnsi" w:cstheme="minorBidi"/>
            <w:b w:val="0"/>
            <w:bCs w:val="0"/>
            <w:noProof/>
            <w:kern w:val="2"/>
            <w14:ligatures w14:val="standardContextual"/>
          </w:rPr>
          <w:tab/>
        </w:r>
        <w:r w:rsidRPr="003925C9">
          <w:rPr>
            <w:rStyle w:val="Hyperlink"/>
            <w:noProof/>
          </w:rPr>
          <w:t>Abstract</w:t>
        </w:r>
        <w:r>
          <w:rPr>
            <w:noProof/>
            <w:webHidden/>
          </w:rPr>
          <w:tab/>
        </w:r>
        <w:r>
          <w:rPr>
            <w:noProof/>
            <w:webHidden/>
          </w:rPr>
          <w:fldChar w:fldCharType="begin"/>
        </w:r>
        <w:r>
          <w:rPr>
            <w:noProof/>
            <w:webHidden/>
          </w:rPr>
          <w:instrText xml:space="preserve"> PAGEREF _Toc204106636 \h </w:instrText>
        </w:r>
        <w:r>
          <w:rPr>
            <w:noProof/>
            <w:webHidden/>
          </w:rPr>
        </w:r>
        <w:r>
          <w:rPr>
            <w:noProof/>
            <w:webHidden/>
          </w:rPr>
          <w:fldChar w:fldCharType="separate"/>
        </w:r>
        <w:r w:rsidR="008549FC">
          <w:rPr>
            <w:noProof/>
            <w:webHidden/>
          </w:rPr>
          <w:t>118</w:t>
        </w:r>
        <w:r>
          <w:rPr>
            <w:noProof/>
            <w:webHidden/>
          </w:rPr>
          <w:fldChar w:fldCharType="end"/>
        </w:r>
      </w:hyperlink>
    </w:p>
    <w:p w14:paraId="0748D8BC" w14:textId="3AE5E03B"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37" w:history="1">
        <w:r w:rsidRPr="003925C9">
          <w:rPr>
            <w:rStyle w:val="Hyperlink"/>
            <w:noProof/>
          </w:rPr>
          <w:t>3.2.</w:t>
        </w:r>
        <w:r>
          <w:rPr>
            <w:rFonts w:asciiTheme="minorHAnsi" w:eastAsiaTheme="minorEastAsia" w:hAnsiTheme="minorHAnsi" w:cstheme="minorBidi"/>
            <w:b w:val="0"/>
            <w:bCs w:val="0"/>
            <w:noProof/>
            <w:kern w:val="2"/>
            <w14:ligatures w14:val="standardContextual"/>
          </w:rPr>
          <w:tab/>
        </w:r>
        <w:r w:rsidRPr="003925C9">
          <w:rPr>
            <w:rStyle w:val="Hyperlink"/>
            <w:noProof/>
          </w:rPr>
          <w:t>Introduction</w:t>
        </w:r>
        <w:r>
          <w:rPr>
            <w:noProof/>
            <w:webHidden/>
          </w:rPr>
          <w:tab/>
        </w:r>
        <w:r>
          <w:rPr>
            <w:noProof/>
            <w:webHidden/>
          </w:rPr>
          <w:fldChar w:fldCharType="begin"/>
        </w:r>
        <w:r>
          <w:rPr>
            <w:noProof/>
            <w:webHidden/>
          </w:rPr>
          <w:instrText xml:space="preserve"> PAGEREF _Toc204106637 \h </w:instrText>
        </w:r>
        <w:r>
          <w:rPr>
            <w:noProof/>
            <w:webHidden/>
          </w:rPr>
        </w:r>
        <w:r>
          <w:rPr>
            <w:noProof/>
            <w:webHidden/>
          </w:rPr>
          <w:fldChar w:fldCharType="separate"/>
        </w:r>
        <w:r w:rsidR="008549FC">
          <w:rPr>
            <w:noProof/>
            <w:webHidden/>
          </w:rPr>
          <w:t>119</w:t>
        </w:r>
        <w:r>
          <w:rPr>
            <w:noProof/>
            <w:webHidden/>
          </w:rPr>
          <w:fldChar w:fldCharType="end"/>
        </w:r>
      </w:hyperlink>
    </w:p>
    <w:p w14:paraId="10AF5F32" w14:textId="3B69C6A6"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38" w:history="1">
        <w:r w:rsidRPr="003925C9">
          <w:rPr>
            <w:rStyle w:val="Hyperlink"/>
            <w:noProof/>
          </w:rPr>
          <w:t>3.3.</w:t>
        </w:r>
        <w:r>
          <w:rPr>
            <w:rFonts w:asciiTheme="minorHAnsi" w:eastAsiaTheme="minorEastAsia" w:hAnsiTheme="minorHAnsi" w:cstheme="minorBidi"/>
            <w:b w:val="0"/>
            <w:bCs w:val="0"/>
            <w:noProof/>
            <w:kern w:val="2"/>
            <w14:ligatures w14:val="standardContextual"/>
          </w:rPr>
          <w:tab/>
        </w:r>
        <w:r w:rsidRPr="003925C9">
          <w:rPr>
            <w:rStyle w:val="Hyperlink"/>
            <w:noProof/>
          </w:rPr>
          <w:t>Methods and Materials</w:t>
        </w:r>
        <w:r>
          <w:rPr>
            <w:noProof/>
            <w:webHidden/>
          </w:rPr>
          <w:tab/>
        </w:r>
        <w:r>
          <w:rPr>
            <w:noProof/>
            <w:webHidden/>
          </w:rPr>
          <w:fldChar w:fldCharType="begin"/>
        </w:r>
        <w:r>
          <w:rPr>
            <w:noProof/>
            <w:webHidden/>
          </w:rPr>
          <w:instrText xml:space="preserve"> PAGEREF _Toc204106638 \h </w:instrText>
        </w:r>
        <w:r>
          <w:rPr>
            <w:noProof/>
            <w:webHidden/>
          </w:rPr>
        </w:r>
        <w:r>
          <w:rPr>
            <w:noProof/>
            <w:webHidden/>
          </w:rPr>
          <w:fldChar w:fldCharType="separate"/>
        </w:r>
        <w:r w:rsidR="008549FC">
          <w:rPr>
            <w:noProof/>
            <w:webHidden/>
          </w:rPr>
          <w:t>122</w:t>
        </w:r>
        <w:r>
          <w:rPr>
            <w:noProof/>
            <w:webHidden/>
          </w:rPr>
          <w:fldChar w:fldCharType="end"/>
        </w:r>
      </w:hyperlink>
    </w:p>
    <w:p w14:paraId="32E3ABCD" w14:textId="0A832F43" w:rsidR="002F3A99" w:rsidRDefault="002F3A99">
      <w:pPr>
        <w:pStyle w:val="TOC3"/>
        <w:rPr>
          <w:rFonts w:asciiTheme="minorHAnsi" w:eastAsiaTheme="minorEastAsia" w:hAnsiTheme="minorHAnsi" w:cstheme="minorBidi"/>
          <w:noProof/>
          <w:kern w:val="2"/>
          <w14:ligatures w14:val="standardContextual"/>
        </w:rPr>
      </w:pPr>
      <w:hyperlink w:anchor="_Toc204106639" w:history="1">
        <w:r w:rsidRPr="003925C9">
          <w:rPr>
            <w:rStyle w:val="Hyperlink"/>
            <w:noProof/>
          </w:rPr>
          <w:t>3.3.1.</w:t>
        </w:r>
        <w:r>
          <w:rPr>
            <w:rFonts w:asciiTheme="minorHAnsi" w:eastAsiaTheme="minorEastAsia" w:hAnsiTheme="minorHAnsi" w:cstheme="minorBidi"/>
            <w:noProof/>
            <w:kern w:val="2"/>
            <w14:ligatures w14:val="standardContextual"/>
          </w:rPr>
          <w:tab/>
        </w:r>
        <w:r w:rsidRPr="003925C9">
          <w:rPr>
            <w:rStyle w:val="Hyperlink"/>
            <w:noProof/>
          </w:rPr>
          <w:t>Ethics statement</w:t>
        </w:r>
        <w:r>
          <w:rPr>
            <w:noProof/>
            <w:webHidden/>
          </w:rPr>
          <w:tab/>
        </w:r>
        <w:r>
          <w:rPr>
            <w:noProof/>
            <w:webHidden/>
          </w:rPr>
          <w:fldChar w:fldCharType="begin"/>
        </w:r>
        <w:r>
          <w:rPr>
            <w:noProof/>
            <w:webHidden/>
          </w:rPr>
          <w:instrText xml:space="preserve"> PAGEREF _Toc204106639 \h </w:instrText>
        </w:r>
        <w:r>
          <w:rPr>
            <w:noProof/>
            <w:webHidden/>
          </w:rPr>
        </w:r>
        <w:r>
          <w:rPr>
            <w:noProof/>
            <w:webHidden/>
          </w:rPr>
          <w:fldChar w:fldCharType="separate"/>
        </w:r>
        <w:r w:rsidR="008549FC">
          <w:rPr>
            <w:noProof/>
            <w:webHidden/>
          </w:rPr>
          <w:t>122</w:t>
        </w:r>
        <w:r>
          <w:rPr>
            <w:noProof/>
            <w:webHidden/>
          </w:rPr>
          <w:fldChar w:fldCharType="end"/>
        </w:r>
      </w:hyperlink>
    </w:p>
    <w:p w14:paraId="63429882" w14:textId="7D3B5E96" w:rsidR="002F3A99" w:rsidRDefault="002F3A99">
      <w:pPr>
        <w:pStyle w:val="TOC3"/>
        <w:rPr>
          <w:rFonts w:asciiTheme="minorHAnsi" w:eastAsiaTheme="minorEastAsia" w:hAnsiTheme="minorHAnsi" w:cstheme="minorBidi"/>
          <w:noProof/>
          <w:kern w:val="2"/>
          <w14:ligatures w14:val="standardContextual"/>
        </w:rPr>
      </w:pPr>
      <w:hyperlink w:anchor="_Toc204106640" w:history="1">
        <w:r w:rsidRPr="003925C9">
          <w:rPr>
            <w:rStyle w:val="Hyperlink"/>
            <w:noProof/>
          </w:rPr>
          <w:t>3.3.2.</w:t>
        </w:r>
        <w:r>
          <w:rPr>
            <w:rFonts w:asciiTheme="minorHAnsi" w:eastAsiaTheme="minorEastAsia" w:hAnsiTheme="minorHAnsi" w:cstheme="minorBidi"/>
            <w:noProof/>
            <w:kern w:val="2"/>
            <w14:ligatures w14:val="standardContextual"/>
          </w:rPr>
          <w:tab/>
        </w:r>
        <w:r w:rsidRPr="003925C9">
          <w:rPr>
            <w:rStyle w:val="Hyperlink"/>
            <w:noProof/>
          </w:rPr>
          <w:t>Sample collection</w:t>
        </w:r>
        <w:r>
          <w:rPr>
            <w:noProof/>
            <w:webHidden/>
          </w:rPr>
          <w:tab/>
        </w:r>
        <w:r>
          <w:rPr>
            <w:noProof/>
            <w:webHidden/>
          </w:rPr>
          <w:fldChar w:fldCharType="begin"/>
        </w:r>
        <w:r>
          <w:rPr>
            <w:noProof/>
            <w:webHidden/>
          </w:rPr>
          <w:instrText xml:space="preserve"> PAGEREF _Toc204106640 \h </w:instrText>
        </w:r>
        <w:r>
          <w:rPr>
            <w:noProof/>
            <w:webHidden/>
          </w:rPr>
        </w:r>
        <w:r>
          <w:rPr>
            <w:noProof/>
            <w:webHidden/>
          </w:rPr>
          <w:fldChar w:fldCharType="separate"/>
        </w:r>
        <w:r w:rsidR="008549FC">
          <w:rPr>
            <w:noProof/>
            <w:webHidden/>
          </w:rPr>
          <w:t>122</w:t>
        </w:r>
        <w:r>
          <w:rPr>
            <w:noProof/>
            <w:webHidden/>
          </w:rPr>
          <w:fldChar w:fldCharType="end"/>
        </w:r>
      </w:hyperlink>
    </w:p>
    <w:p w14:paraId="0CE1A68B" w14:textId="05D8F673" w:rsidR="002F3A99" w:rsidRDefault="002F3A99">
      <w:pPr>
        <w:pStyle w:val="TOC3"/>
        <w:rPr>
          <w:rFonts w:asciiTheme="minorHAnsi" w:eastAsiaTheme="minorEastAsia" w:hAnsiTheme="minorHAnsi" w:cstheme="minorBidi"/>
          <w:noProof/>
          <w:kern w:val="2"/>
          <w14:ligatures w14:val="standardContextual"/>
        </w:rPr>
      </w:pPr>
      <w:hyperlink w:anchor="_Toc204106641" w:history="1">
        <w:r w:rsidRPr="003925C9">
          <w:rPr>
            <w:rStyle w:val="Hyperlink"/>
            <w:noProof/>
          </w:rPr>
          <w:t>3.3.3.</w:t>
        </w:r>
        <w:r>
          <w:rPr>
            <w:rFonts w:asciiTheme="minorHAnsi" w:eastAsiaTheme="minorEastAsia" w:hAnsiTheme="minorHAnsi" w:cstheme="minorBidi"/>
            <w:noProof/>
            <w:kern w:val="2"/>
            <w14:ligatures w14:val="standardContextual"/>
          </w:rPr>
          <w:tab/>
        </w:r>
        <w:r w:rsidRPr="003925C9">
          <w:rPr>
            <w:rStyle w:val="Hyperlink"/>
            <w:noProof/>
          </w:rPr>
          <w:t>Tissue histology</w:t>
        </w:r>
        <w:r>
          <w:rPr>
            <w:noProof/>
            <w:webHidden/>
          </w:rPr>
          <w:tab/>
        </w:r>
        <w:r>
          <w:rPr>
            <w:noProof/>
            <w:webHidden/>
          </w:rPr>
          <w:fldChar w:fldCharType="begin"/>
        </w:r>
        <w:r>
          <w:rPr>
            <w:noProof/>
            <w:webHidden/>
          </w:rPr>
          <w:instrText xml:space="preserve"> PAGEREF _Toc204106641 \h </w:instrText>
        </w:r>
        <w:r>
          <w:rPr>
            <w:noProof/>
            <w:webHidden/>
          </w:rPr>
        </w:r>
        <w:r>
          <w:rPr>
            <w:noProof/>
            <w:webHidden/>
          </w:rPr>
          <w:fldChar w:fldCharType="separate"/>
        </w:r>
        <w:r w:rsidR="008549FC">
          <w:rPr>
            <w:noProof/>
            <w:webHidden/>
          </w:rPr>
          <w:t>123</w:t>
        </w:r>
        <w:r>
          <w:rPr>
            <w:noProof/>
            <w:webHidden/>
          </w:rPr>
          <w:fldChar w:fldCharType="end"/>
        </w:r>
      </w:hyperlink>
    </w:p>
    <w:p w14:paraId="47BEEAE0" w14:textId="37E88B72" w:rsidR="002F3A99" w:rsidRDefault="002F3A99">
      <w:pPr>
        <w:pStyle w:val="TOC3"/>
        <w:rPr>
          <w:rFonts w:asciiTheme="minorHAnsi" w:eastAsiaTheme="minorEastAsia" w:hAnsiTheme="minorHAnsi" w:cstheme="minorBidi"/>
          <w:noProof/>
          <w:kern w:val="2"/>
          <w14:ligatures w14:val="standardContextual"/>
        </w:rPr>
      </w:pPr>
      <w:hyperlink w:anchor="_Toc204106642" w:history="1">
        <w:r w:rsidRPr="003925C9">
          <w:rPr>
            <w:rStyle w:val="Hyperlink"/>
            <w:noProof/>
          </w:rPr>
          <w:t>3.3.4.</w:t>
        </w:r>
        <w:r>
          <w:rPr>
            <w:rFonts w:asciiTheme="minorHAnsi" w:eastAsiaTheme="minorEastAsia" w:hAnsiTheme="minorHAnsi" w:cstheme="minorBidi"/>
            <w:noProof/>
            <w:kern w:val="2"/>
            <w14:ligatures w14:val="standardContextual"/>
          </w:rPr>
          <w:tab/>
        </w:r>
        <w:r w:rsidRPr="003925C9">
          <w:rPr>
            <w:rStyle w:val="Hyperlink"/>
            <w:noProof/>
          </w:rPr>
          <w:t>DNA extraction</w:t>
        </w:r>
        <w:r>
          <w:rPr>
            <w:noProof/>
            <w:webHidden/>
          </w:rPr>
          <w:tab/>
        </w:r>
        <w:r>
          <w:rPr>
            <w:noProof/>
            <w:webHidden/>
          </w:rPr>
          <w:fldChar w:fldCharType="begin"/>
        </w:r>
        <w:r>
          <w:rPr>
            <w:noProof/>
            <w:webHidden/>
          </w:rPr>
          <w:instrText xml:space="preserve"> PAGEREF _Toc204106642 \h </w:instrText>
        </w:r>
        <w:r>
          <w:rPr>
            <w:noProof/>
            <w:webHidden/>
          </w:rPr>
        </w:r>
        <w:r>
          <w:rPr>
            <w:noProof/>
            <w:webHidden/>
          </w:rPr>
          <w:fldChar w:fldCharType="separate"/>
        </w:r>
        <w:r w:rsidR="008549FC">
          <w:rPr>
            <w:noProof/>
            <w:webHidden/>
          </w:rPr>
          <w:t>124</w:t>
        </w:r>
        <w:r>
          <w:rPr>
            <w:noProof/>
            <w:webHidden/>
          </w:rPr>
          <w:fldChar w:fldCharType="end"/>
        </w:r>
      </w:hyperlink>
    </w:p>
    <w:p w14:paraId="02457F0D" w14:textId="2FD842F5" w:rsidR="002F3A99" w:rsidRDefault="002F3A99">
      <w:pPr>
        <w:pStyle w:val="TOC3"/>
        <w:rPr>
          <w:rFonts w:asciiTheme="minorHAnsi" w:eastAsiaTheme="minorEastAsia" w:hAnsiTheme="minorHAnsi" w:cstheme="minorBidi"/>
          <w:noProof/>
          <w:kern w:val="2"/>
          <w14:ligatures w14:val="standardContextual"/>
        </w:rPr>
      </w:pPr>
      <w:hyperlink w:anchor="_Toc204106643" w:history="1">
        <w:r w:rsidRPr="003925C9">
          <w:rPr>
            <w:rStyle w:val="Hyperlink"/>
            <w:noProof/>
          </w:rPr>
          <w:t>3.3.5.</w:t>
        </w:r>
        <w:r>
          <w:rPr>
            <w:rFonts w:asciiTheme="minorHAnsi" w:eastAsiaTheme="minorEastAsia" w:hAnsiTheme="minorHAnsi" w:cstheme="minorBidi"/>
            <w:noProof/>
            <w:kern w:val="2"/>
            <w14:ligatures w14:val="standardContextual"/>
          </w:rPr>
          <w:tab/>
        </w:r>
        <w:r w:rsidRPr="003925C9">
          <w:rPr>
            <w:rStyle w:val="Hyperlink"/>
            <w:noProof/>
          </w:rPr>
          <w:t xml:space="preserve">Molecular detection of </w:t>
        </w:r>
        <w:r w:rsidRPr="003925C9">
          <w:rPr>
            <w:rStyle w:val="Hyperlink"/>
            <w:i/>
            <w:noProof/>
          </w:rPr>
          <w:t>Hematodinium</w:t>
        </w:r>
        <w:r w:rsidRPr="003925C9">
          <w:rPr>
            <w:rStyle w:val="Hyperlink"/>
            <w:noProof/>
          </w:rPr>
          <w:t xml:space="preserve"> sp.</w:t>
        </w:r>
        <w:r>
          <w:rPr>
            <w:noProof/>
            <w:webHidden/>
          </w:rPr>
          <w:tab/>
        </w:r>
        <w:r>
          <w:rPr>
            <w:noProof/>
            <w:webHidden/>
          </w:rPr>
          <w:fldChar w:fldCharType="begin"/>
        </w:r>
        <w:r>
          <w:rPr>
            <w:noProof/>
            <w:webHidden/>
          </w:rPr>
          <w:instrText xml:space="preserve"> PAGEREF _Toc204106643 \h </w:instrText>
        </w:r>
        <w:r>
          <w:rPr>
            <w:noProof/>
            <w:webHidden/>
          </w:rPr>
        </w:r>
        <w:r>
          <w:rPr>
            <w:noProof/>
            <w:webHidden/>
          </w:rPr>
          <w:fldChar w:fldCharType="separate"/>
        </w:r>
        <w:r w:rsidR="008549FC">
          <w:rPr>
            <w:noProof/>
            <w:webHidden/>
          </w:rPr>
          <w:t>124</w:t>
        </w:r>
        <w:r>
          <w:rPr>
            <w:noProof/>
            <w:webHidden/>
          </w:rPr>
          <w:fldChar w:fldCharType="end"/>
        </w:r>
      </w:hyperlink>
    </w:p>
    <w:p w14:paraId="3F27C9E0" w14:textId="4F64CE85" w:rsidR="002F3A99" w:rsidRDefault="002F3A99">
      <w:pPr>
        <w:pStyle w:val="TOC3"/>
        <w:rPr>
          <w:rFonts w:asciiTheme="minorHAnsi" w:eastAsiaTheme="minorEastAsia" w:hAnsiTheme="minorHAnsi" w:cstheme="minorBidi"/>
          <w:noProof/>
          <w:kern w:val="2"/>
          <w14:ligatures w14:val="standardContextual"/>
        </w:rPr>
      </w:pPr>
      <w:hyperlink w:anchor="_Toc204106644" w:history="1">
        <w:r w:rsidRPr="003925C9">
          <w:rPr>
            <w:rStyle w:val="Hyperlink"/>
            <w:noProof/>
          </w:rPr>
          <w:t>3.3.6.</w:t>
        </w:r>
        <w:r>
          <w:rPr>
            <w:rFonts w:asciiTheme="minorHAnsi" w:eastAsiaTheme="minorEastAsia" w:hAnsiTheme="minorHAnsi" w:cstheme="minorBidi"/>
            <w:noProof/>
            <w:kern w:val="2"/>
            <w14:ligatures w14:val="standardContextual"/>
          </w:rPr>
          <w:tab/>
        </w:r>
        <w:r w:rsidRPr="003925C9">
          <w:rPr>
            <w:rStyle w:val="Hyperlink"/>
            <w:noProof/>
          </w:rPr>
          <w:t>Bacterial 16S rRNA amplicon sequencing</w:t>
        </w:r>
        <w:r>
          <w:rPr>
            <w:noProof/>
            <w:webHidden/>
          </w:rPr>
          <w:tab/>
        </w:r>
        <w:r>
          <w:rPr>
            <w:noProof/>
            <w:webHidden/>
          </w:rPr>
          <w:fldChar w:fldCharType="begin"/>
        </w:r>
        <w:r>
          <w:rPr>
            <w:noProof/>
            <w:webHidden/>
          </w:rPr>
          <w:instrText xml:space="preserve"> PAGEREF _Toc204106644 \h </w:instrText>
        </w:r>
        <w:r>
          <w:rPr>
            <w:noProof/>
            <w:webHidden/>
          </w:rPr>
        </w:r>
        <w:r>
          <w:rPr>
            <w:noProof/>
            <w:webHidden/>
          </w:rPr>
          <w:fldChar w:fldCharType="separate"/>
        </w:r>
        <w:r w:rsidR="008549FC">
          <w:rPr>
            <w:noProof/>
            <w:webHidden/>
          </w:rPr>
          <w:t>125</w:t>
        </w:r>
        <w:r>
          <w:rPr>
            <w:noProof/>
            <w:webHidden/>
          </w:rPr>
          <w:fldChar w:fldCharType="end"/>
        </w:r>
      </w:hyperlink>
    </w:p>
    <w:p w14:paraId="74785A09" w14:textId="47CA777F" w:rsidR="002F3A99" w:rsidRDefault="002F3A99">
      <w:pPr>
        <w:pStyle w:val="TOC3"/>
        <w:rPr>
          <w:rFonts w:asciiTheme="minorHAnsi" w:eastAsiaTheme="minorEastAsia" w:hAnsiTheme="minorHAnsi" w:cstheme="minorBidi"/>
          <w:noProof/>
          <w:kern w:val="2"/>
          <w14:ligatures w14:val="standardContextual"/>
        </w:rPr>
      </w:pPr>
      <w:hyperlink w:anchor="_Toc204106645" w:history="1">
        <w:r w:rsidRPr="003925C9">
          <w:rPr>
            <w:rStyle w:val="Hyperlink"/>
            <w:noProof/>
          </w:rPr>
          <w:t>3.3.7.</w:t>
        </w:r>
        <w:r>
          <w:rPr>
            <w:rFonts w:asciiTheme="minorHAnsi" w:eastAsiaTheme="minorEastAsia" w:hAnsiTheme="minorHAnsi" w:cstheme="minorBidi"/>
            <w:noProof/>
            <w:kern w:val="2"/>
            <w14:ligatures w14:val="standardContextual"/>
          </w:rPr>
          <w:tab/>
        </w:r>
        <w:r w:rsidRPr="003925C9">
          <w:rPr>
            <w:rStyle w:val="Hyperlink"/>
            <w:noProof/>
          </w:rPr>
          <w:t>Bioinformatics</w:t>
        </w:r>
        <w:r>
          <w:rPr>
            <w:noProof/>
            <w:webHidden/>
          </w:rPr>
          <w:tab/>
        </w:r>
        <w:r>
          <w:rPr>
            <w:noProof/>
            <w:webHidden/>
          </w:rPr>
          <w:fldChar w:fldCharType="begin"/>
        </w:r>
        <w:r>
          <w:rPr>
            <w:noProof/>
            <w:webHidden/>
          </w:rPr>
          <w:instrText xml:space="preserve"> PAGEREF _Toc204106645 \h </w:instrText>
        </w:r>
        <w:r>
          <w:rPr>
            <w:noProof/>
            <w:webHidden/>
          </w:rPr>
        </w:r>
        <w:r>
          <w:rPr>
            <w:noProof/>
            <w:webHidden/>
          </w:rPr>
          <w:fldChar w:fldCharType="separate"/>
        </w:r>
        <w:r w:rsidR="008549FC">
          <w:rPr>
            <w:noProof/>
            <w:webHidden/>
          </w:rPr>
          <w:t>125</w:t>
        </w:r>
        <w:r>
          <w:rPr>
            <w:noProof/>
            <w:webHidden/>
          </w:rPr>
          <w:fldChar w:fldCharType="end"/>
        </w:r>
      </w:hyperlink>
    </w:p>
    <w:p w14:paraId="4822FCF0" w14:textId="525B705A"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46" w:history="1">
        <w:r w:rsidRPr="003925C9">
          <w:rPr>
            <w:rStyle w:val="Hyperlink"/>
            <w:noProof/>
          </w:rPr>
          <w:t>3.4.</w:t>
        </w:r>
        <w:r>
          <w:rPr>
            <w:rFonts w:asciiTheme="minorHAnsi" w:eastAsiaTheme="minorEastAsia" w:hAnsiTheme="minorHAnsi" w:cstheme="minorBidi"/>
            <w:b w:val="0"/>
            <w:bCs w:val="0"/>
            <w:noProof/>
            <w:kern w:val="2"/>
            <w14:ligatures w14:val="standardContextual"/>
          </w:rPr>
          <w:tab/>
        </w:r>
        <w:r w:rsidRPr="003925C9">
          <w:rPr>
            <w:rStyle w:val="Hyperlink"/>
            <w:noProof/>
          </w:rPr>
          <w:t>Results</w:t>
        </w:r>
        <w:r>
          <w:rPr>
            <w:noProof/>
            <w:webHidden/>
          </w:rPr>
          <w:tab/>
        </w:r>
        <w:r>
          <w:rPr>
            <w:noProof/>
            <w:webHidden/>
          </w:rPr>
          <w:fldChar w:fldCharType="begin"/>
        </w:r>
        <w:r>
          <w:rPr>
            <w:noProof/>
            <w:webHidden/>
          </w:rPr>
          <w:instrText xml:space="preserve"> PAGEREF _Toc204106646 \h </w:instrText>
        </w:r>
        <w:r>
          <w:rPr>
            <w:noProof/>
            <w:webHidden/>
          </w:rPr>
        </w:r>
        <w:r>
          <w:rPr>
            <w:noProof/>
            <w:webHidden/>
          </w:rPr>
          <w:fldChar w:fldCharType="separate"/>
        </w:r>
        <w:r w:rsidR="008549FC">
          <w:rPr>
            <w:noProof/>
            <w:webHidden/>
          </w:rPr>
          <w:t>127</w:t>
        </w:r>
        <w:r>
          <w:rPr>
            <w:noProof/>
            <w:webHidden/>
          </w:rPr>
          <w:fldChar w:fldCharType="end"/>
        </w:r>
      </w:hyperlink>
    </w:p>
    <w:p w14:paraId="014E4BCC" w14:textId="1B1C22F9" w:rsidR="002F3A99" w:rsidRDefault="002F3A99">
      <w:pPr>
        <w:pStyle w:val="TOC3"/>
        <w:rPr>
          <w:rFonts w:asciiTheme="minorHAnsi" w:eastAsiaTheme="minorEastAsia" w:hAnsiTheme="minorHAnsi" w:cstheme="minorBidi"/>
          <w:noProof/>
          <w:kern w:val="2"/>
          <w14:ligatures w14:val="standardContextual"/>
        </w:rPr>
      </w:pPr>
      <w:hyperlink w:anchor="_Toc204106647" w:history="1">
        <w:r w:rsidRPr="003925C9">
          <w:rPr>
            <w:rStyle w:val="Hyperlink"/>
            <w:noProof/>
          </w:rPr>
          <w:t>3.4.1.</w:t>
        </w:r>
        <w:r>
          <w:rPr>
            <w:rFonts w:asciiTheme="minorHAnsi" w:eastAsiaTheme="minorEastAsia" w:hAnsiTheme="minorHAnsi" w:cstheme="minorBidi"/>
            <w:noProof/>
            <w:kern w:val="2"/>
            <w14:ligatures w14:val="standardContextual"/>
          </w:rPr>
          <w:tab/>
        </w:r>
        <w:r w:rsidRPr="003925C9">
          <w:rPr>
            <w:rStyle w:val="Hyperlink"/>
            <w:noProof/>
          </w:rPr>
          <w:t xml:space="preserve">Prevalence of </w:t>
        </w:r>
        <w:r w:rsidRPr="003925C9">
          <w:rPr>
            <w:rStyle w:val="Hyperlink"/>
            <w:i/>
            <w:noProof/>
          </w:rPr>
          <w:t>Hematodinium</w:t>
        </w:r>
        <w:r w:rsidRPr="003925C9">
          <w:rPr>
            <w:rStyle w:val="Hyperlink"/>
            <w:noProof/>
          </w:rPr>
          <w:t xml:space="preserve"> sp. in </w:t>
        </w:r>
        <w:r w:rsidRPr="003925C9">
          <w:rPr>
            <w:rStyle w:val="Hyperlink"/>
            <w:i/>
            <w:noProof/>
          </w:rPr>
          <w:t>Nephrops</w:t>
        </w:r>
        <w:r w:rsidRPr="003925C9">
          <w:rPr>
            <w:rStyle w:val="Hyperlink"/>
            <w:noProof/>
          </w:rPr>
          <w:t xml:space="preserve"> norvegicus from the Clyde Sea Area (CSA): The 'Prevalence-Set'</w:t>
        </w:r>
        <w:r>
          <w:rPr>
            <w:noProof/>
            <w:webHidden/>
          </w:rPr>
          <w:tab/>
        </w:r>
        <w:r>
          <w:rPr>
            <w:noProof/>
            <w:webHidden/>
          </w:rPr>
          <w:fldChar w:fldCharType="begin"/>
        </w:r>
        <w:r>
          <w:rPr>
            <w:noProof/>
            <w:webHidden/>
          </w:rPr>
          <w:instrText xml:space="preserve"> PAGEREF _Toc204106647 \h </w:instrText>
        </w:r>
        <w:r>
          <w:rPr>
            <w:noProof/>
            <w:webHidden/>
          </w:rPr>
        </w:r>
        <w:r>
          <w:rPr>
            <w:noProof/>
            <w:webHidden/>
          </w:rPr>
          <w:fldChar w:fldCharType="separate"/>
        </w:r>
        <w:r w:rsidR="008549FC">
          <w:rPr>
            <w:noProof/>
            <w:webHidden/>
          </w:rPr>
          <w:t>127</w:t>
        </w:r>
        <w:r>
          <w:rPr>
            <w:noProof/>
            <w:webHidden/>
          </w:rPr>
          <w:fldChar w:fldCharType="end"/>
        </w:r>
      </w:hyperlink>
    </w:p>
    <w:p w14:paraId="33BE84F6" w14:textId="58FDBD74" w:rsidR="002F3A99" w:rsidRDefault="002F3A99">
      <w:pPr>
        <w:pStyle w:val="TOC3"/>
        <w:rPr>
          <w:rFonts w:asciiTheme="minorHAnsi" w:eastAsiaTheme="minorEastAsia" w:hAnsiTheme="minorHAnsi" w:cstheme="minorBidi"/>
          <w:noProof/>
          <w:kern w:val="2"/>
          <w14:ligatures w14:val="standardContextual"/>
        </w:rPr>
      </w:pPr>
      <w:hyperlink w:anchor="_Toc204106648" w:history="1">
        <w:r w:rsidRPr="003925C9">
          <w:rPr>
            <w:rStyle w:val="Hyperlink"/>
            <w:noProof/>
          </w:rPr>
          <w:t>3.4.2.</w:t>
        </w:r>
        <w:r>
          <w:rPr>
            <w:rFonts w:asciiTheme="minorHAnsi" w:eastAsiaTheme="minorEastAsia" w:hAnsiTheme="minorHAnsi" w:cstheme="minorBidi"/>
            <w:noProof/>
            <w:kern w:val="2"/>
            <w14:ligatures w14:val="standardContextual"/>
          </w:rPr>
          <w:tab/>
        </w:r>
        <w:r w:rsidRPr="003925C9">
          <w:rPr>
            <w:rStyle w:val="Hyperlink"/>
            <w:noProof/>
          </w:rPr>
          <w:t>Infection profiles on samples from the ‘pathobiome-set’</w:t>
        </w:r>
        <w:r>
          <w:rPr>
            <w:noProof/>
            <w:webHidden/>
          </w:rPr>
          <w:tab/>
        </w:r>
        <w:r>
          <w:rPr>
            <w:noProof/>
            <w:webHidden/>
          </w:rPr>
          <w:fldChar w:fldCharType="begin"/>
        </w:r>
        <w:r>
          <w:rPr>
            <w:noProof/>
            <w:webHidden/>
          </w:rPr>
          <w:instrText xml:space="preserve"> PAGEREF _Toc204106648 \h </w:instrText>
        </w:r>
        <w:r>
          <w:rPr>
            <w:noProof/>
            <w:webHidden/>
          </w:rPr>
        </w:r>
        <w:r>
          <w:rPr>
            <w:noProof/>
            <w:webHidden/>
          </w:rPr>
          <w:fldChar w:fldCharType="separate"/>
        </w:r>
        <w:r w:rsidR="008549FC">
          <w:rPr>
            <w:noProof/>
            <w:webHidden/>
          </w:rPr>
          <w:t>131</w:t>
        </w:r>
        <w:r>
          <w:rPr>
            <w:noProof/>
            <w:webHidden/>
          </w:rPr>
          <w:fldChar w:fldCharType="end"/>
        </w:r>
      </w:hyperlink>
    </w:p>
    <w:p w14:paraId="2EFF9F85" w14:textId="2CFC5174" w:rsidR="002F3A99" w:rsidRDefault="002F3A99">
      <w:pPr>
        <w:pStyle w:val="TOC3"/>
        <w:rPr>
          <w:rFonts w:asciiTheme="minorHAnsi" w:eastAsiaTheme="minorEastAsia" w:hAnsiTheme="minorHAnsi" w:cstheme="minorBidi"/>
          <w:noProof/>
          <w:kern w:val="2"/>
          <w14:ligatures w14:val="standardContextual"/>
        </w:rPr>
      </w:pPr>
      <w:hyperlink w:anchor="_Toc204106649" w:history="1">
        <w:r w:rsidRPr="003925C9">
          <w:rPr>
            <w:rStyle w:val="Hyperlink"/>
            <w:noProof/>
          </w:rPr>
          <w:t>3.4.3.</w:t>
        </w:r>
        <w:r>
          <w:rPr>
            <w:rFonts w:asciiTheme="minorHAnsi" w:eastAsiaTheme="minorEastAsia" w:hAnsiTheme="minorHAnsi" w:cstheme="minorBidi"/>
            <w:noProof/>
            <w:kern w:val="2"/>
            <w14:ligatures w14:val="standardContextual"/>
          </w:rPr>
          <w:tab/>
        </w:r>
        <w:r w:rsidRPr="003925C9">
          <w:rPr>
            <w:rStyle w:val="Hyperlink"/>
            <w:noProof/>
          </w:rPr>
          <w:t xml:space="preserve">Composition of the haemolymph and gut microbiomes in 'healthy' </w:t>
        </w:r>
        <w:r w:rsidRPr="003925C9">
          <w:rPr>
            <w:rStyle w:val="Hyperlink"/>
            <w:i/>
            <w:noProof/>
          </w:rPr>
          <w:t>Nephrops</w:t>
        </w:r>
        <w:r w:rsidRPr="003925C9">
          <w:rPr>
            <w:rStyle w:val="Hyperlink"/>
            <w:noProof/>
          </w:rPr>
          <w:t xml:space="preserve"> (</w:t>
        </w:r>
        <w:r w:rsidRPr="003925C9">
          <w:rPr>
            <w:rStyle w:val="Hyperlink"/>
            <w:i/>
            <w:iCs/>
            <w:noProof/>
          </w:rPr>
          <w:t>Hematodinium</w:t>
        </w:r>
        <w:r w:rsidRPr="003925C9">
          <w:rPr>
            <w:rStyle w:val="Hyperlink"/>
            <w:noProof/>
          </w:rPr>
          <w:t>-free)</w:t>
        </w:r>
        <w:r>
          <w:rPr>
            <w:noProof/>
            <w:webHidden/>
          </w:rPr>
          <w:tab/>
        </w:r>
        <w:r>
          <w:rPr>
            <w:noProof/>
            <w:webHidden/>
          </w:rPr>
          <w:fldChar w:fldCharType="begin"/>
        </w:r>
        <w:r>
          <w:rPr>
            <w:noProof/>
            <w:webHidden/>
          </w:rPr>
          <w:instrText xml:space="preserve"> PAGEREF _Toc204106649 \h </w:instrText>
        </w:r>
        <w:r>
          <w:rPr>
            <w:noProof/>
            <w:webHidden/>
          </w:rPr>
        </w:r>
        <w:r>
          <w:rPr>
            <w:noProof/>
            <w:webHidden/>
          </w:rPr>
          <w:fldChar w:fldCharType="separate"/>
        </w:r>
        <w:r w:rsidR="008549FC">
          <w:rPr>
            <w:noProof/>
            <w:webHidden/>
          </w:rPr>
          <w:t>141</w:t>
        </w:r>
        <w:r>
          <w:rPr>
            <w:noProof/>
            <w:webHidden/>
          </w:rPr>
          <w:fldChar w:fldCharType="end"/>
        </w:r>
      </w:hyperlink>
    </w:p>
    <w:p w14:paraId="1F97819B" w14:textId="7A9379F5" w:rsidR="002F3A99" w:rsidRDefault="002F3A99">
      <w:pPr>
        <w:pStyle w:val="TOC3"/>
        <w:rPr>
          <w:rFonts w:asciiTheme="minorHAnsi" w:eastAsiaTheme="minorEastAsia" w:hAnsiTheme="minorHAnsi" w:cstheme="minorBidi"/>
          <w:noProof/>
          <w:kern w:val="2"/>
          <w14:ligatures w14:val="standardContextual"/>
        </w:rPr>
      </w:pPr>
      <w:hyperlink w:anchor="_Toc204106650" w:history="1">
        <w:r w:rsidRPr="003925C9">
          <w:rPr>
            <w:rStyle w:val="Hyperlink"/>
            <w:noProof/>
          </w:rPr>
          <w:t>3.4.4.</w:t>
        </w:r>
        <w:r>
          <w:rPr>
            <w:rFonts w:asciiTheme="minorHAnsi" w:eastAsiaTheme="minorEastAsia" w:hAnsiTheme="minorHAnsi" w:cstheme="minorBidi"/>
            <w:noProof/>
            <w:kern w:val="2"/>
            <w14:ligatures w14:val="standardContextual"/>
          </w:rPr>
          <w:tab/>
        </w:r>
        <w:r w:rsidRPr="003925C9">
          <w:rPr>
            <w:rStyle w:val="Hyperlink"/>
            <w:noProof/>
          </w:rPr>
          <w:t xml:space="preserve">Pathobiome associated with advanced levels of </w:t>
        </w:r>
        <w:r w:rsidRPr="003925C9">
          <w:rPr>
            <w:rStyle w:val="Hyperlink"/>
            <w:i/>
            <w:iCs/>
            <w:noProof/>
          </w:rPr>
          <w:t>Hematodinium</w:t>
        </w:r>
        <w:r w:rsidRPr="003925C9">
          <w:rPr>
            <w:rStyle w:val="Hyperlink"/>
            <w:noProof/>
          </w:rPr>
          <w:t xml:space="preserve"> sp. infection</w:t>
        </w:r>
        <w:r>
          <w:rPr>
            <w:noProof/>
            <w:webHidden/>
          </w:rPr>
          <w:tab/>
        </w:r>
        <w:r>
          <w:rPr>
            <w:noProof/>
            <w:webHidden/>
          </w:rPr>
          <w:fldChar w:fldCharType="begin"/>
        </w:r>
        <w:r>
          <w:rPr>
            <w:noProof/>
            <w:webHidden/>
          </w:rPr>
          <w:instrText xml:space="preserve"> PAGEREF _Toc204106650 \h </w:instrText>
        </w:r>
        <w:r>
          <w:rPr>
            <w:noProof/>
            <w:webHidden/>
          </w:rPr>
        </w:r>
        <w:r>
          <w:rPr>
            <w:noProof/>
            <w:webHidden/>
          </w:rPr>
          <w:fldChar w:fldCharType="separate"/>
        </w:r>
        <w:r w:rsidR="008549FC">
          <w:rPr>
            <w:noProof/>
            <w:webHidden/>
          </w:rPr>
          <w:t>143</w:t>
        </w:r>
        <w:r>
          <w:rPr>
            <w:noProof/>
            <w:webHidden/>
          </w:rPr>
          <w:fldChar w:fldCharType="end"/>
        </w:r>
      </w:hyperlink>
    </w:p>
    <w:p w14:paraId="1253CFB2" w14:textId="3FEF1BB6" w:rsidR="002F3A99" w:rsidRDefault="002F3A99">
      <w:pPr>
        <w:pStyle w:val="TOC3"/>
        <w:rPr>
          <w:rFonts w:asciiTheme="minorHAnsi" w:eastAsiaTheme="minorEastAsia" w:hAnsiTheme="minorHAnsi" w:cstheme="minorBidi"/>
          <w:noProof/>
          <w:kern w:val="2"/>
          <w14:ligatures w14:val="standardContextual"/>
        </w:rPr>
      </w:pPr>
      <w:hyperlink w:anchor="_Toc204106651" w:history="1">
        <w:r w:rsidRPr="003925C9">
          <w:rPr>
            <w:rStyle w:val="Hyperlink"/>
            <w:noProof/>
          </w:rPr>
          <w:t>3.4.5.</w:t>
        </w:r>
        <w:r>
          <w:rPr>
            <w:rFonts w:asciiTheme="minorHAnsi" w:eastAsiaTheme="minorEastAsia" w:hAnsiTheme="minorHAnsi" w:cstheme="minorBidi"/>
            <w:noProof/>
            <w:kern w:val="2"/>
            <w14:ligatures w14:val="standardContextual"/>
          </w:rPr>
          <w:tab/>
        </w:r>
        <w:r w:rsidRPr="003925C9">
          <w:rPr>
            <w:rStyle w:val="Hyperlink"/>
            <w:noProof/>
          </w:rPr>
          <w:t xml:space="preserve">Pathobiome associated with </w:t>
        </w:r>
        <w:r w:rsidRPr="003925C9">
          <w:rPr>
            <w:rStyle w:val="Hyperlink"/>
            <w:i/>
            <w:noProof/>
          </w:rPr>
          <w:t>Hematodinium</w:t>
        </w:r>
        <w:r w:rsidRPr="003925C9">
          <w:rPr>
            <w:rStyle w:val="Hyperlink"/>
            <w:noProof/>
          </w:rPr>
          <w:t xml:space="preserve"> sp. disease progression according to the PM</w:t>
        </w:r>
        <w:r>
          <w:rPr>
            <w:noProof/>
            <w:webHidden/>
          </w:rPr>
          <w:tab/>
        </w:r>
        <w:r>
          <w:rPr>
            <w:noProof/>
            <w:webHidden/>
          </w:rPr>
          <w:fldChar w:fldCharType="begin"/>
        </w:r>
        <w:r>
          <w:rPr>
            <w:noProof/>
            <w:webHidden/>
          </w:rPr>
          <w:instrText xml:space="preserve"> PAGEREF _Toc204106651 \h </w:instrText>
        </w:r>
        <w:r>
          <w:rPr>
            <w:noProof/>
            <w:webHidden/>
          </w:rPr>
        </w:r>
        <w:r>
          <w:rPr>
            <w:noProof/>
            <w:webHidden/>
          </w:rPr>
          <w:fldChar w:fldCharType="separate"/>
        </w:r>
        <w:r w:rsidR="008549FC">
          <w:rPr>
            <w:noProof/>
            <w:webHidden/>
          </w:rPr>
          <w:t>148</w:t>
        </w:r>
        <w:r>
          <w:rPr>
            <w:noProof/>
            <w:webHidden/>
          </w:rPr>
          <w:fldChar w:fldCharType="end"/>
        </w:r>
      </w:hyperlink>
    </w:p>
    <w:p w14:paraId="34539A39" w14:textId="4C23DD83" w:rsidR="002F3A99" w:rsidRDefault="002F3A99">
      <w:pPr>
        <w:pStyle w:val="TOC3"/>
        <w:rPr>
          <w:rFonts w:asciiTheme="minorHAnsi" w:eastAsiaTheme="minorEastAsia" w:hAnsiTheme="minorHAnsi" w:cstheme="minorBidi"/>
          <w:noProof/>
          <w:kern w:val="2"/>
          <w14:ligatures w14:val="standardContextual"/>
        </w:rPr>
      </w:pPr>
      <w:hyperlink w:anchor="_Toc204106652" w:history="1">
        <w:r w:rsidRPr="003925C9">
          <w:rPr>
            <w:rStyle w:val="Hyperlink"/>
            <w:noProof/>
          </w:rPr>
          <w:t>3.4.6.</w:t>
        </w:r>
        <w:r>
          <w:rPr>
            <w:rFonts w:asciiTheme="minorHAnsi" w:eastAsiaTheme="minorEastAsia" w:hAnsiTheme="minorHAnsi" w:cstheme="minorBidi"/>
            <w:noProof/>
            <w:kern w:val="2"/>
            <w14:ligatures w14:val="standardContextual"/>
          </w:rPr>
          <w:tab/>
        </w:r>
        <w:r w:rsidRPr="003925C9">
          <w:rPr>
            <w:rStyle w:val="Hyperlink"/>
            <w:noProof/>
          </w:rPr>
          <w:t xml:space="preserve">Pathobiome associated with subpatent levels of </w:t>
        </w:r>
        <w:r w:rsidRPr="003925C9">
          <w:rPr>
            <w:rStyle w:val="Hyperlink"/>
            <w:i/>
            <w:noProof/>
          </w:rPr>
          <w:t>Hematodinium</w:t>
        </w:r>
        <w:r w:rsidRPr="003925C9">
          <w:rPr>
            <w:rStyle w:val="Hyperlink"/>
            <w:noProof/>
          </w:rPr>
          <w:t xml:space="preserve"> sp</w:t>
        </w:r>
        <w:r>
          <w:rPr>
            <w:noProof/>
            <w:webHidden/>
          </w:rPr>
          <w:tab/>
        </w:r>
        <w:r>
          <w:rPr>
            <w:noProof/>
            <w:webHidden/>
          </w:rPr>
          <w:fldChar w:fldCharType="begin"/>
        </w:r>
        <w:r>
          <w:rPr>
            <w:noProof/>
            <w:webHidden/>
          </w:rPr>
          <w:instrText xml:space="preserve"> PAGEREF _Toc204106652 \h </w:instrText>
        </w:r>
        <w:r>
          <w:rPr>
            <w:noProof/>
            <w:webHidden/>
          </w:rPr>
        </w:r>
        <w:r>
          <w:rPr>
            <w:noProof/>
            <w:webHidden/>
          </w:rPr>
          <w:fldChar w:fldCharType="separate"/>
        </w:r>
        <w:r w:rsidR="008549FC">
          <w:rPr>
            <w:noProof/>
            <w:webHidden/>
          </w:rPr>
          <w:t>151</w:t>
        </w:r>
        <w:r>
          <w:rPr>
            <w:noProof/>
            <w:webHidden/>
          </w:rPr>
          <w:fldChar w:fldCharType="end"/>
        </w:r>
      </w:hyperlink>
    </w:p>
    <w:p w14:paraId="06504188" w14:textId="6D9D2035"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53" w:history="1">
        <w:r w:rsidRPr="003925C9">
          <w:rPr>
            <w:rStyle w:val="Hyperlink"/>
            <w:noProof/>
          </w:rPr>
          <w:t>3.5.</w:t>
        </w:r>
        <w:r>
          <w:rPr>
            <w:rFonts w:asciiTheme="minorHAnsi" w:eastAsiaTheme="minorEastAsia" w:hAnsiTheme="minorHAnsi" w:cstheme="minorBidi"/>
            <w:b w:val="0"/>
            <w:bCs w:val="0"/>
            <w:noProof/>
            <w:kern w:val="2"/>
            <w14:ligatures w14:val="standardContextual"/>
          </w:rPr>
          <w:tab/>
        </w:r>
        <w:r w:rsidRPr="003925C9">
          <w:rPr>
            <w:rStyle w:val="Hyperlink"/>
            <w:noProof/>
          </w:rPr>
          <w:t>Discussion</w:t>
        </w:r>
        <w:r>
          <w:rPr>
            <w:noProof/>
            <w:webHidden/>
          </w:rPr>
          <w:tab/>
        </w:r>
        <w:r>
          <w:rPr>
            <w:noProof/>
            <w:webHidden/>
          </w:rPr>
          <w:fldChar w:fldCharType="begin"/>
        </w:r>
        <w:r>
          <w:rPr>
            <w:noProof/>
            <w:webHidden/>
          </w:rPr>
          <w:instrText xml:space="preserve"> PAGEREF _Toc204106653 \h </w:instrText>
        </w:r>
        <w:r>
          <w:rPr>
            <w:noProof/>
            <w:webHidden/>
          </w:rPr>
        </w:r>
        <w:r>
          <w:rPr>
            <w:noProof/>
            <w:webHidden/>
          </w:rPr>
          <w:fldChar w:fldCharType="separate"/>
        </w:r>
        <w:r w:rsidR="008549FC">
          <w:rPr>
            <w:noProof/>
            <w:webHidden/>
          </w:rPr>
          <w:t>153</w:t>
        </w:r>
        <w:r>
          <w:rPr>
            <w:noProof/>
            <w:webHidden/>
          </w:rPr>
          <w:fldChar w:fldCharType="end"/>
        </w:r>
      </w:hyperlink>
    </w:p>
    <w:p w14:paraId="4FEEBECE" w14:textId="7D6173FA" w:rsidR="002F3A99" w:rsidRDefault="002F3A99">
      <w:pPr>
        <w:pStyle w:val="TOC3"/>
        <w:rPr>
          <w:rFonts w:asciiTheme="minorHAnsi" w:eastAsiaTheme="minorEastAsia" w:hAnsiTheme="minorHAnsi" w:cstheme="minorBidi"/>
          <w:noProof/>
          <w:kern w:val="2"/>
          <w14:ligatures w14:val="standardContextual"/>
        </w:rPr>
      </w:pPr>
      <w:hyperlink w:anchor="_Toc204106654" w:history="1">
        <w:r w:rsidRPr="003925C9">
          <w:rPr>
            <w:rStyle w:val="Hyperlink"/>
            <w:noProof/>
          </w:rPr>
          <w:t>3.5.1.</w:t>
        </w:r>
        <w:r>
          <w:rPr>
            <w:rFonts w:asciiTheme="minorHAnsi" w:eastAsiaTheme="minorEastAsia" w:hAnsiTheme="minorHAnsi" w:cstheme="minorBidi"/>
            <w:noProof/>
            <w:kern w:val="2"/>
            <w14:ligatures w14:val="standardContextual"/>
          </w:rPr>
          <w:tab/>
        </w:r>
        <w:r w:rsidRPr="003925C9">
          <w:rPr>
            <w:rStyle w:val="Hyperlink"/>
            <w:noProof/>
          </w:rPr>
          <w:t xml:space="preserve">Haemolymph and gut microbiomes of </w:t>
        </w:r>
        <w:r w:rsidRPr="003925C9">
          <w:rPr>
            <w:rStyle w:val="Hyperlink"/>
            <w:i/>
            <w:iCs/>
            <w:noProof/>
          </w:rPr>
          <w:t>N. norvegicus</w:t>
        </w:r>
        <w:r>
          <w:rPr>
            <w:noProof/>
            <w:webHidden/>
          </w:rPr>
          <w:tab/>
        </w:r>
        <w:r>
          <w:rPr>
            <w:noProof/>
            <w:webHidden/>
          </w:rPr>
          <w:fldChar w:fldCharType="begin"/>
        </w:r>
        <w:r>
          <w:rPr>
            <w:noProof/>
            <w:webHidden/>
          </w:rPr>
          <w:instrText xml:space="preserve"> PAGEREF _Toc204106654 \h </w:instrText>
        </w:r>
        <w:r>
          <w:rPr>
            <w:noProof/>
            <w:webHidden/>
          </w:rPr>
        </w:r>
        <w:r>
          <w:rPr>
            <w:noProof/>
            <w:webHidden/>
          </w:rPr>
          <w:fldChar w:fldCharType="separate"/>
        </w:r>
        <w:r w:rsidR="008549FC">
          <w:rPr>
            <w:noProof/>
            <w:webHidden/>
          </w:rPr>
          <w:t>153</w:t>
        </w:r>
        <w:r>
          <w:rPr>
            <w:noProof/>
            <w:webHidden/>
          </w:rPr>
          <w:fldChar w:fldCharType="end"/>
        </w:r>
      </w:hyperlink>
    </w:p>
    <w:p w14:paraId="151AD678" w14:textId="284C76F7" w:rsidR="002F3A99" w:rsidRDefault="002F3A99">
      <w:pPr>
        <w:pStyle w:val="TOC3"/>
        <w:rPr>
          <w:rFonts w:asciiTheme="minorHAnsi" w:eastAsiaTheme="minorEastAsia" w:hAnsiTheme="minorHAnsi" w:cstheme="minorBidi"/>
          <w:noProof/>
          <w:kern w:val="2"/>
          <w14:ligatures w14:val="standardContextual"/>
        </w:rPr>
      </w:pPr>
      <w:hyperlink w:anchor="_Toc204106655" w:history="1">
        <w:r w:rsidRPr="003925C9">
          <w:rPr>
            <w:rStyle w:val="Hyperlink"/>
            <w:noProof/>
          </w:rPr>
          <w:t>3.5.2.</w:t>
        </w:r>
        <w:r>
          <w:rPr>
            <w:rFonts w:asciiTheme="minorHAnsi" w:eastAsiaTheme="minorEastAsia" w:hAnsiTheme="minorHAnsi" w:cstheme="minorBidi"/>
            <w:noProof/>
            <w:kern w:val="2"/>
            <w14:ligatures w14:val="standardContextual"/>
          </w:rPr>
          <w:tab/>
        </w:r>
        <w:r w:rsidRPr="003925C9">
          <w:rPr>
            <w:rStyle w:val="Hyperlink"/>
            <w:noProof/>
          </w:rPr>
          <w:t xml:space="preserve">Changes in the microbiome linked to </w:t>
        </w:r>
        <w:r w:rsidRPr="003925C9">
          <w:rPr>
            <w:rStyle w:val="Hyperlink"/>
            <w:i/>
            <w:iCs/>
            <w:noProof/>
          </w:rPr>
          <w:t>Hematodinium</w:t>
        </w:r>
        <w:r w:rsidRPr="003925C9">
          <w:rPr>
            <w:rStyle w:val="Hyperlink"/>
            <w:noProof/>
          </w:rPr>
          <w:t xml:space="preserve"> sp. infection</w:t>
        </w:r>
        <w:r>
          <w:rPr>
            <w:noProof/>
            <w:webHidden/>
          </w:rPr>
          <w:tab/>
        </w:r>
        <w:r>
          <w:rPr>
            <w:noProof/>
            <w:webHidden/>
          </w:rPr>
          <w:fldChar w:fldCharType="begin"/>
        </w:r>
        <w:r>
          <w:rPr>
            <w:noProof/>
            <w:webHidden/>
          </w:rPr>
          <w:instrText xml:space="preserve"> PAGEREF _Toc204106655 \h </w:instrText>
        </w:r>
        <w:r>
          <w:rPr>
            <w:noProof/>
            <w:webHidden/>
          </w:rPr>
        </w:r>
        <w:r>
          <w:rPr>
            <w:noProof/>
            <w:webHidden/>
          </w:rPr>
          <w:fldChar w:fldCharType="separate"/>
        </w:r>
        <w:r w:rsidR="008549FC">
          <w:rPr>
            <w:noProof/>
            <w:webHidden/>
          </w:rPr>
          <w:t>156</w:t>
        </w:r>
        <w:r>
          <w:rPr>
            <w:noProof/>
            <w:webHidden/>
          </w:rPr>
          <w:fldChar w:fldCharType="end"/>
        </w:r>
      </w:hyperlink>
    </w:p>
    <w:p w14:paraId="41A26B7F" w14:textId="7EF07E5C"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56" w:history="1">
        <w:r w:rsidRPr="003925C9">
          <w:rPr>
            <w:rStyle w:val="Hyperlink"/>
            <w:noProof/>
          </w:rPr>
          <w:t>3.6.</w:t>
        </w:r>
        <w:r>
          <w:rPr>
            <w:rFonts w:asciiTheme="minorHAnsi" w:eastAsiaTheme="minorEastAsia" w:hAnsiTheme="minorHAnsi" w:cstheme="minorBidi"/>
            <w:b w:val="0"/>
            <w:bCs w:val="0"/>
            <w:noProof/>
            <w:kern w:val="2"/>
            <w14:ligatures w14:val="standardContextual"/>
          </w:rPr>
          <w:tab/>
        </w:r>
        <w:r w:rsidRPr="003925C9">
          <w:rPr>
            <w:rStyle w:val="Hyperlink"/>
            <w:noProof/>
          </w:rPr>
          <w:t>Conclusions</w:t>
        </w:r>
        <w:r>
          <w:rPr>
            <w:noProof/>
            <w:webHidden/>
          </w:rPr>
          <w:tab/>
        </w:r>
        <w:r>
          <w:rPr>
            <w:noProof/>
            <w:webHidden/>
          </w:rPr>
          <w:fldChar w:fldCharType="begin"/>
        </w:r>
        <w:r>
          <w:rPr>
            <w:noProof/>
            <w:webHidden/>
          </w:rPr>
          <w:instrText xml:space="preserve"> PAGEREF _Toc204106656 \h </w:instrText>
        </w:r>
        <w:r>
          <w:rPr>
            <w:noProof/>
            <w:webHidden/>
          </w:rPr>
        </w:r>
        <w:r>
          <w:rPr>
            <w:noProof/>
            <w:webHidden/>
          </w:rPr>
          <w:fldChar w:fldCharType="separate"/>
        </w:r>
        <w:r w:rsidR="008549FC">
          <w:rPr>
            <w:noProof/>
            <w:webHidden/>
          </w:rPr>
          <w:t>160</w:t>
        </w:r>
        <w:r>
          <w:rPr>
            <w:noProof/>
            <w:webHidden/>
          </w:rPr>
          <w:fldChar w:fldCharType="end"/>
        </w:r>
      </w:hyperlink>
    </w:p>
    <w:p w14:paraId="0F02BFEE" w14:textId="29AE065B"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657" w:history="1">
        <w:r w:rsidRPr="003925C9">
          <w:rPr>
            <w:rStyle w:val="Hyperlink"/>
            <w:noProof/>
          </w:rPr>
          <w:t>4.</w:t>
        </w:r>
        <w:r>
          <w:rPr>
            <w:rFonts w:asciiTheme="minorHAnsi" w:eastAsiaTheme="minorEastAsia" w:hAnsiTheme="minorHAnsi" w:cstheme="minorBidi"/>
            <w:b w:val="0"/>
            <w:bCs w:val="0"/>
            <w:noProof/>
            <w:kern w:val="2"/>
            <w14:ligatures w14:val="standardContextual"/>
          </w:rPr>
          <w:tab/>
        </w:r>
        <w:r w:rsidRPr="003925C9">
          <w:rPr>
            <w:rStyle w:val="Hyperlink"/>
            <w:noProof/>
          </w:rPr>
          <w:t xml:space="preserve">Sporulation dynamics and host lipid dependency of </w:t>
        </w:r>
        <w:r w:rsidRPr="003925C9">
          <w:rPr>
            <w:rStyle w:val="Hyperlink"/>
            <w:i/>
            <w:noProof/>
          </w:rPr>
          <w:t>Hematodinium</w:t>
        </w:r>
        <w:r w:rsidRPr="003925C9">
          <w:rPr>
            <w:rStyle w:val="Hyperlink"/>
            <w:noProof/>
          </w:rPr>
          <w:t xml:space="preserve"> sp. infecting </w:t>
        </w:r>
        <w:r w:rsidRPr="003925C9">
          <w:rPr>
            <w:rStyle w:val="Hyperlink"/>
            <w:i/>
            <w:noProof/>
          </w:rPr>
          <w:t>Nephrops norvegicus</w:t>
        </w:r>
        <w:r>
          <w:rPr>
            <w:noProof/>
            <w:webHidden/>
          </w:rPr>
          <w:tab/>
        </w:r>
        <w:r>
          <w:rPr>
            <w:noProof/>
            <w:webHidden/>
          </w:rPr>
          <w:fldChar w:fldCharType="begin"/>
        </w:r>
        <w:r>
          <w:rPr>
            <w:noProof/>
            <w:webHidden/>
          </w:rPr>
          <w:instrText xml:space="preserve"> PAGEREF _Toc204106657 \h </w:instrText>
        </w:r>
        <w:r>
          <w:rPr>
            <w:noProof/>
            <w:webHidden/>
          </w:rPr>
        </w:r>
        <w:r>
          <w:rPr>
            <w:noProof/>
            <w:webHidden/>
          </w:rPr>
          <w:fldChar w:fldCharType="separate"/>
        </w:r>
        <w:r w:rsidR="008549FC">
          <w:rPr>
            <w:noProof/>
            <w:webHidden/>
          </w:rPr>
          <w:t>161</w:t>
        </w:r>
        <w:r>
          <w:rPr>
            <w:noProof/>
            <w:webHidden/>
          </w:rPr>
          <w:fldChar w:fldCharType="end"/>
        </w:r>
      </w:hyperlink>
    </w:p>
    <w:p w14:paraId="7789CA4D" w14:textId="0E7B1FEC"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58" w:history="1">
        <w:r w:rsidRPr="003925C9">
          <w:rPr>
            <w:rStyle w:val="Hyperlink"/>
            <w:noProof/>
          </w:rPr>
          <w:t>4.1.</w:t>
        </w:r>
        <w:r>
          <w:rPr>
            <w:rFonts w:asciiTheme="minorHAnsi" w:eastAsiaTheme="minorEastAsia" w:hAnsiTheme="minorHAnsi" w:cstheme="minorBidi"/>
            <w:b w:val="0"/>
            <w:bCs w:val="0"/>
            <w:noProof/>
            <w:kern w:val="2"/>
            <w14:ligatures w14:val="standardContextual"/>
          </w:rPr>
          <w:tab/>
        </w:r>
        <w:r w:rsidRPr="003925C9">
          <w:rPr>
            <w:rStyle w:val="Hyperlink"/>
            <w:noProof/>
          </w:rPr>
          <w:t>Abstract</w:t>
        </w:r>
        <w:r>
          <w:rPr>
            <w:noProof/>
            <w:webHidden/>
          </w:rPr>
          <w:tab/>
        </w:r>
        <w:r>
          <w:rPr>
            <w:noProof/>
            <w:webHidden/>
          </w:rPr>
          <w:fldChar w:fldCharType="begin"/>
        </w:r>
        <w:r>
          <w:rPr>
            <w:noProof/>
            <w:webHidden/>
          </w:rPr>
          <w:instrText xml:space="preserve"> PAGEREF _Toc204106658 \h </w:instrText>
        </w:r>
        <w:r>
          <w:rPr>
            <w:noProof/>
            <w:webHidden/>
          </w:rPr>
        </w:r>
        <w:r>
          <w:rPr>
            <w:noProof/>
            <w:webHidden/>
          </w:rPr>
          <w:fldChar w:fldCharType="separate"/>
        </w:r>
        <w:r w:rsidR="008549FC">
          <w:rPr>
            <w:noProof/>
            <w:webHidden/>
          </w:rPr>
          <w:t>161</w:t>
        </w:r>
        <w:r>
          <w:rPr>
            <w:noProof/>
            <w:webHidden/>
          </w:rPr>
          <w:fldChar w:fldCharType="end"/>
        </w:r>
      </w:hyperlink>
    </w:p>
    <w:p w14:paraId="7C22D8B1" w14:textId="04A221A7"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59" w:history="1">
        <w:r w:rsidRPr="003925C9">
          <w:rPr>
            <w:rStyle w:val="Hyperlink"/>
            <w:noProof/>
          </w:rPr>
          <w:t>4.2.</w:t>
        </w:r>
        <w:r>
          <w:rPr>
            <w:rFonts w:asciiTheme="minorHAnsi" w:eastAsiaTheme="minorEastAsia" w:hAnsiTheme="minorHAnsi" w:cstheme="minorBidi"/>
            <w:b w:val="0"/>
            <w:bCs w:val="0"/>
            <w:noProof/>
            <w:kern w:val="2"/>
            <w14:ligatures w14:val="standardContextual"/>
          </w:rPr>
          <w:tab/>
        </w:r>
        <w:r w:rsidRPr="003925C9">
          <w:rPr>
            <w:rStyle w:val="Hyperlink"/>
            <w:noProof/>
          </w:rPr>
          <w:t>Introduction</w:t>
        </w:r>
        <w:r>
          <w:rPr>
            <w:noProof/>
            <w:webHidden/>
          </w:rPr>
          <w:tab/>
        </w:r>
        <w:r>
          <w:rPr>
            <w:noProof/>
            <w:webHidden/>
          </w:rPr>
          <w:fldChar w:fldCharType="begin"/>
        </w:r>
        <w:r>
          <w:rPr>
            <w:noProof/>
            <w:webHidden/>
          </w:rPr>
          <w:instrText xml:space="preserve"> PAGEREF _Toc204106659 \h </w:instrText>
        </w:r>
        <w:r>
          <w:rPr>
            <w:noProof/>
            <w:webHidden/>
          </w:rPr>
        </w:r>
        <w:r>
          <w:rPr>
            <w:noProof/>
            <w:webHidden/>
          </w:rPr>
          <w:fldChar w:fldCharType="separate"/>
        </w:r>
        <w:r w:rsidR="008549FC">
          <w:rPr>
            <w:noProof/>
            <w:webHidden/>
          </w:rPr>
          <w:t>162</w:t>
        </w:r>
        <w:r>
          <w:rPr>
            <w:noProof/>
            <w:webHidden/>
          </w:rPr>
          <w:fldChar w:fldCharType="end"/>
        </w:r>
      </w:hyperlink>
    </w:p>
    <w:p w14:paraId="5FDFEDB8" w14:textId="07E342E8"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60" w:history="1">
        <w:r w:rsidRPr="003925C9">
          <w:rPr>
            <w:rStyle w:val="Hyperlink"/>
            <w:noProof/>
          </w:rPr>
          <w:t>4.3.</w:t>
        </w:r>
        <w:r>
          <w:rPr>
            <w:rFonts w:asciiTheme="minorHAnsi" w:eastAsiaTheme="minorEastAsia" w:hAnsiTheme="minorHAnsi" w:cstheme="minorBidi"/>
            <w:b w:val="0"/>
            <w:bCs w:val="0"/>
            <w:noProof/>
            <w:kern w:val="2"/>
            <w14:ligatures w14:val="standardContextual"/>
          </w:rPr>
          <w:tab/>
        </w:r>
        <w:r w:rsidRPr="003925C9">
          <w:rPr>
            <w:rStyle w:val="Hyperlink"/>
            <w:noProof/>
          </w:rPr>
          <w:t>Materials and Methods</w:t>
        </w:r>
        <w:r>
          <w:rPr>
            <w:noProof/>
            <w:webHidden/>
          </w:rPr>
          <w:tab/>
        </w:r>
        <w:r>
          <w:rPr>
            <w:noProof/>
            <w:webHidden/>
          </w:rPr>
          <w:fldChar w:fldCharType="begin"/>
        </w:r>
        <w:r>
          <w:rPr>
            <w:noProof/>
            <w:webHidden/>
          </w:rPr>
          <w:instrText xml:space="preserve"> PAGEREF _Toc204106660 \h </w:instrText>
        </w:r>
        <w:r>
          <w:rPr>
            <w:noProof/>
            <w:webHidden/>
          </w:rPr>
        </w:r>
        <w:r>
          <w:rPr>
            <w:noProof/>
            <w:webHidden/>
          </w:rPr>
          <w:fldChar w:fldCharType="separate"/>
        </w:r>
        <w:r w:rsidR="008549FC">
          <w:rPr>
            <w:noProof/>
            <w:webHidden/>
          </w:rPr>
          <w:t>165</w:t>
        </w:r>
        <w:r>
          <w:rPr>
            <w:noProof/>
            <w:webHidden/>
          </w:rPr>
          <w:fldChar w:fldCharType="end"/>
        </w:r>
      </w:hyperlink>
    </w:p>
    <w:p w14:paraId="2CAF8995" w14:textId="405D1894" w:rsidR="002F3A99" w:rsidRDefault="002F3A99">
      <w:pPr>
        <w:pStyle w:val="TOC3"/>
        <w:rPr>
          <w:rFonts w:asciiTheme="minorHAnsi" w:eastAsiaTheme="minorEastAsia" w:hAnsiTheme="minorHAnsi" w:cstheme="minorBidi"/>
          <w:noProof/>
          <w:kern w:val="2"/>
          <w14:ligatures w14:val="standardContextual"/>
        </w:rPr>
      </w:pPr>
      <w:hyperlink w:anchor="_Toc204106661" w:history="1">
        <w:r w:rsidRPr="003925C9">
          <w:rPr>
            <w:rStyle w:val="Hyperlink"/>
            <w:noProof/>
          </w:rPr>
          <w:t>4.3.1.</w:t>
        </w:r>
        <w:r>
          <w:rPr>
            <w:rFonts w:asciiTheme="minorHAnsi" w:eastAsiaTheme="minorEastAsia" w:hAnsiTheme="minorHAnsi" w:cstheme="minorBidi"/>
            <w:noProof/>
            <w:kern w:val="2"/>
            <w14:ligatures w14:val="standardContextual"/>
          </w:rPr>
          <w:tab/>
        </w:r>
        <w:r w:rsidRPr="003925C9">
          <w:rPr>
            <w:rStyle w:val="Hyperlink"/>
            <w:noProof/>
          </w:rPr>
          <w:t>Ethics statement</w:t>
        </w:r>
        <w:r>
          <w:rPr>
            <w:noProof/>
            <w:webHidden/>
          </w:rPr>
          <w:tab/>
        </w:r>
        <w:r>
          <w:rPr>
            <w:noProof/>
            <w:webHidden/>
          </w:rPr>
          <w:fldChar w:fldCharType="begin"/>
        </w:r>
        <w:r>
          <w:rPr>
            <w:noProof/>
            <w:webHidden/>
          </w:rPr>
          <w:instrText xml:space="preserve"> PAGEREF _Toc204106661 \h </w:instrText>
        </w:r>
        <w:r>
          <w:rPr>
            <w:noProof/>
            <w:webHidden/>
          </w:rPr>
        </w:r>
        <w:r>
          <w:rPr>
            <w:noProof/>
            <w:webHidden/>
          </w:rPr>
          <w:fldChar w:fldCharType="separate"/>
        </w:r>
        <w:r w:rsidR="008549FC">
          <w:rPr>
            <w:noProof/>
            <w:webHidden/>
          </w:rPr>
          <w:t>165</w:t>
        </w:r>
        <w:r>
          <w:rPr>
            <w:noProof/>
            <w:webHidden/>
          </w:rPr>
          <w:fldChar w:fldCharType="end"/>
        </w:r>
      </w:hyperlink>
    </w:p>
    <w:p w14:paraId="653DD585" w14:textId="534A8AEA" w:rsidR="002F3A99" w:rsidRDefault="002F3A99">
      <w:pPr>
        <w:pStyle w:val="TOC3"/>
        <w:rPr>
          <w:rFonts w:asciiTheme="minorHAnsi" w:eastAsiaTheme="minorEastAsia" w:hAnsiTheme="minorHAnsi" w:cstheme="minorBidi"/>
          <w:noProof/>
          <w:kern w:val="2"/>
          <w14:ligatures w14:val="standardContextual"/>
        </w:rPr>
      </w:pPr>
      <w:hyperlink w:anchor="_Toc204106662" w:history="1">
        <w:r w:rsidRPr="003925C9">
          <w:rPr>
            <w:rStyle w:val="Hyperlink"/>
            <w:noProof/>
          </w:rPr>
          <w:t>4.3.2.</w:t>
        </w:r>
        <w:r>
          <w:rPr>
            <w:rFonts w:asciiTheme="minorHAnsi" w:eastAsiaTheme="minorEastAsia" w:hAnsiTheme="minorHAnsi" w:cstheme="minorBidi"/>
            <w:noProof/>
            <w:kern w:val="2"/>
            <w14:ligatures w14:val="standardContextual"/>
          </w:rPr>
          <w:tab/>
        </w:r>
        <w:r w:rsidRPr="003925C9">
          <w:rPr>
            <w:rStyle w:val="Hyperlink"/>
            <w:noProof/>
          </w:rPr>
          <w:t xml:space="preserve">Acquisition of live </w:t>
        </w:r>
        <w:r w:rsidRPr="003925C9">
          <w:rPr>
            <w:rStyle w:val="Hyperlink"/>
            <w:i/>
            <w:noProof/>
          </w:rPr>
          <w:t xml:space="preserve">Hematodinium </w:t>
        </w:r>
        <w:r w:rsidRPr="003925C9">
          <w:rPr>
            <w:rStyle w:val="Hyperlink"/>
            <w:noProof/>
          </w:rPr>
          <w:t xml:space="preserve">infected </w:t>
        </w:r>
        <w:r w:rsidRPr="003925C9">
          <w:rPr>
            <w:rStyle w:val="Hyperlink"/>
            <w:i/>
            <w:noProof/>
          </w:rPr>
          <w:t>Nephrops</w:t>
        </w:r>
        <w:r>
          <w:rPr>
            <w:noProof/>
            <w:webHidden/>
          </w:rPr>
          <w:tab/>
        </w:r>
        <w:r>
          <w:rPr>
            <w:noProof/>
            <w:webHidden/>
          </w:rPr>
          <w:fldChar w:fldCharType="begin"/>
        </w:r>
        <w:r>
          <w:rPr>
            <w:noProof/>
            <w:webHidden/>
          </w:rPr>
          <w:instrText xml:space="preserve"> PAGEREF _Toc204106662 \h </w:instrText>
        </w:r>
        <w:r>
          <w:rPr>
            <w:noProof/>
            <w:webHidden/>
          </w:rPr>
        </w:r>
        <w:r>
          <w:rPr>
            <w:noProof/>
            <w:webHidden/>
          </w:rPr>
          <w:fldChar w:fldCharType="separate"/>
        </w:r>
        <w:r w:rsidR="008549FC">
          <w:rPr>
            <w:noProof/>
            <w:webHidden/>
          </w:rPr>
          <w:t>165</w:t>
        </w:r>
        <w:r>
          <w:rPr>
            <w:noProof/>
            <w:webHidden/>
          </w:rPr>
          <w:fldChar w:fldCharType="end"/>
        </w:r>
      </w:hyperlink>
    </w:p>
    <w:p w14:paraId="10353898" w14:textId="7CD365D4" w:rsidR="002F3A99" w:rsidRDefault="002F3A99">
      <w:pPr>
        <w:pStyle w:val="TOC3"/>
        <w:rPr>
          <w:rFonts w:asciiTheme="minorHAnsi" w:eastAsiaTheme="minorEastAsia" w:hAnsiTheme="minorHAnsi" w:cstheme="minorBidi"/>
          <w:noProof/>
          <w:kern w:val="2"/>
          <w14:ligatures w14:val="standardContextual"/>
        </w:rPr>
      </w:pPr>
      <w:hyperlink w:anchor="_Toc204106663" w:history="1">
        <w:r w:rsidRPr="003925C9">
          <w:rPr>
            <w:rStyle w:val="Hyperlink"/>
            <w:noProof/>
          </w:rPr>
          <w:t>4.3.3.</w:t>
        </w:r>
        <w:r>
          <w:rPr>
            <w:rFonts w:asciiTheme="minorHAnsi" w:eastAsiaTheme="minorEastAsia" w:hAnsiTheme="minorHAnsi" w:cstheme="minorBidi"/>
            <w:noProof/>
            <w:kern w:val="2"/>
            <w14:ligatures w14:val="standardContextual"/>
          </w:rPr>
          <w:tab/>
        </w:r>
        <w:r w:rsidRPr="003925C9">
          <w:rPr>
            <w:rStyle w:val="Hyperlink"/>
            <w:noProof/>
          </w:rPr>
          <w:t>Animal husbandry and experimental conditions</w:t>
        </w:r>
        <w:r>
          <w:rPr>
            <w:noProof/>
            <w:webHidden/>
          </w:rPr>
          <w:tab/>
        </w:r>
        <w:r>
          <w:rPr>
            <w:noProof/>
            <w:webHidden/>
          </w:rPr>
          <w:fldChar w:fldCharType="begin"/>
        </w:r>
        <w:r>
          <w:rPr>
            <w:noProof/>
            <w:webHidden/>
          </w:rPr>
          <w:instrText xml:space="preserve"> PAGEREF _Toc204106663 \h </w:instrText>
        </w:r>
        <w:r>
          <w:rPr>
            <w:noProof/>
            <w:webHidden/>
          </w:rPr>
        </w:r>
        <w:r>
          <w:rPr>
            <w:noProof/>
            <w:webHidden/>
          </w:rPr>
          <w:fldChar w:fldCharType="separate"/>
        </w:r>
        <w:r w:rsidR="008549FC">
          <w:rPr>
            <w:noProof/>
            <w:webHidden/>
          </w:rPr>
          <w:t>166</w:t>
        </w:r>
        <w:r>
          <w:rPr>
            <w:noProof/>
            <w:webHidden/>
          </w:rPr>
          <w:fldChar w:fldCharType="end"/>
        </w:r>
      </w:hyperlink>
    </w:p>
    <w:p w14:paraId="64C8DA8F" w14:textId="0B08B7CA" w:rsidR="002F3A99" w:rsidRDefault="002F3A99">
      <w:pPr>
        <w:pStyle w:val="TOC3"/>
        <w:rPr>
          <w:rFonts w:asciiTheme="minorHAnsi" w:eastAsiaTheme="minorEastAsia" w:hAnsiTheme="minorHAnsi" w:cstheme="minorBidi"/>
          <w:noProof/>
          <w:kern w:val="2"/>
          <w14:ligatures w14:val="standardContextual"/>
        </w:rPr>
      </w:pPr>
      <w:hyperlink w:anchor="_Toc204106664" w:history="1">
        <w:r w:rsidRPr="003925C9">
          <w:rPr>
            <w:rStyle w:val="Hyperlink"/>
            <w:noProof/>
          </w:rPr>
          <w:t>4.3.4.</w:t>
        </w:r>
        <w:r>
          <w:rPr>
            <w:rFonts w:asciiTheme="minorHAnsi" w:eastAsiaTheme="minorEastAsia" w:hAnsiTheme="minorHAnsi" w:cstheme="minorBidi"/>
            <w:noProof/>
            <w:kern w:val="2"/>
            <w14:ligatures w14:val="standardContextual"/>
          </w:rPr>
          <w:tab/>
        </w:r>
        <w:r w:rsidRPr="003925C9">
          <w:rPr>
            <w:rStyle w:val="Hyperlink"/>
            <w:noProof/>
          </w:rPr>
          <w:t>Collection of spores and hepatopancreas</w:t>
        </w:r>
        <w:r>
          <w:rPr>
            <w:noProof/>
            <w:webHidden/>
          </w:rPr>
          <w:tab/>
        </w:r>
        <w:r>
          <w:rPr>
            <w:noProof/>
            <w:webHidden/>
          </w:rPr>
          <w:fldChar w:fldCharType="begin"/>
        </w:r>
        <w:r>
          <w:rPr>
            <w:noProof/>
            <w:webHidden/>
          </w:rPr>
          <w:instrText xml:space="preserve"> PAGEREF _Toc204106664 \h </w:instrText>
        </w:r>
        <w:r>
          <w:rPr>
            <w:noProof/>
            <w:webHidden/>
          </w:rPr>
        </w:r>
        <w:r>
          <w:rPr>
            <w:noProof/>
            <w:webHidden/>
          </w:rPr>
          <w:fldChar w:fldCharType="separate"/>
        </w:r>
        <w:r w:rsidR="008549FC">
          <w:rPr>
            <w:noProof/>
            <w:webHidden/>
          </w:rPr>
          <w:t>167</w:t>
        </w:r>
        <w:r>
          <w:rPr>
            <w:noProof/>
            <w:webHidden/>
          </w:rPr>
          <w:fldChar w:fldCharType="end"/>
        </w:r>
      </w:hyperlink>
    </w:p>
    <w:p w14:paraId="08759AC3" w14:textId="7B813C9E" w:rsidR="002F3A99" w:rsidRDefault="002F3A99">
      <w:pPr>
        <w:pStyle w:val="TOC3"/>
        <w:rPr>
          <w:rFonts w:asciiTheme="minorHAnsi" w:eastAsiaTheme="minorEastAsia" w:hAnsiTheme="minorHAnsi" w:cstheme="minorBidi"/>
          <w:noProof/>
          <w:kern w:val="2"/>
          <w14:ligatures w14:val="standardContextual"/>
        </w:rPr>
      </w:pPr>
      <w:hyperlink w:anchor="_Toc204106665" w:history="1">
        <w:r w:rsidRPr="003925C9">
          <w:rPr>
            <w:rStyle w:val="Hyperlink"/>
            <w:noProof/>
          </w:rPr>
          <w:t>4.3.5.</w:t>
        </w:r>
        <w:r>
          <w:rPr>
            <w:rFonts w:asciiTheme="minorHAnsi" w:eastAsiaTheme="minorEastAsia" w:hAnsiTheme="minorHAnsi" w:cstheme="minorBidi"/>
            <w:noProof/>
            <w:kern w:val="2"/>
            <w14:ligatures w14:val="standardContextual"/>
          </w:rPr>
          <w:tab/>
        </w:r>
        <w:r w:rsidRPr="003925C9">
          <w:rPr>
            <w:rStyle w:val="Hyperlink"/>
            <w:noProof/>
          </w:rPr>
          <w:t>Hepatosomatic index</w:t>
        </w:r>
        <w:r>
          <w:rPr>
            <w:noProof/>
            <w:webHidden/>
          </w:rPr>
          <w:tab/>
        </w:r>
        <w:r>
          <w:rPr>
            <w:noProof/>
            <w:webHidden/>
          </w:rPr>
          <w:fldChar w:fldCharType="begin"/>
        </w:r>
        <w:r>
          <w:rPr>
            <w:noProof/>
            <w:webHidden/>
          </w:rPr>
          <w:instrText xml:space="preserve"> PAGEREF _Toc204106665 \h </w:instrText>
        </w:r>
        <w:r>
          <w:rPr>
            <w:noProof/>
            <w:webHidden/>
          </w:rPr>
        </w:r>
        <w:r>
          <w:rPr>
            <w:noProof/>
            <w:webHidden/>
          </w:rPr>
          <w:fldChar w:fldCharType="separate"/>
        </w:r>
        <w:r w:rsidR="008549FC">
          <w:rPr>
            <w:noProof/>
            <w:webHidden/>
          </w:rPr>
          <w:t>167</w:t>
        </w:r>
        <w:r>
          <w:rPr>
            <w:noProof/>
            <w:webHidden/>
          </w:rPr>
          <w:fldChar w:fldCharType="end"/>
        </w:r>
      </w:hyperlink>
    </w:p>
    <w:p w14:paraId="22BED327" w14:textId="0EC93C0B" w:rsidR="002F3A99" w:rsidRDefault="002F3A99">
      <w:pPr>
        <w:pStyle w:val="TOC3"/>
        <w:rPr>
          <w:rFonts w:asciiTheme="minorHAnsi" w:eastAsiaTheme="minorEastAsia" w:hAnsiTheme="minorHAnsi" w:cstheme="minorBidi"/>
          <w:noProof/>
          <w:kern w:val="2"/>
          <w14:ligatures w14:val="standardContextual"/>
        </w:rPr>
      </w:pPr>
      <w:hyperlink w:anchor="_Toc204106666" w:history="1">
        <w:r w:rsidRPr="003925C9">
          <w:rPr>
            <w:rStyle w:val="Hyperlink"/>
            <w:noProof/>
          </w:rPr>
          <w:t>4.3.6.</w:t>
        </w:r>
        <w:r>
          <w:rPr>
            <w:rFonts w:asciiTheme="minorHAnsi" w:eastAsiaTheme="minorEastAsia" w:hAnsiTheme="minorHAnsi" w:cstheme="minorBidi"/>
            <w:noProof/>
            <w:kern w:val="2"/>
            <w14:ligatures w14:val="standardContextual"/>
          </w:rPr>
          <w:tab/>
        </w:r>
        <w:r w:rsidRPr="003925C9">
          <w:rPr>
            <w:rStyle w:val="Hyperlink"/>
            <w:noProof/>
          </w:rPr>
          <w:t>Histopathology</w:t>
        </w:r>
        <w:r>
          <w:rPr>
            <w:noProof/>
            <w:webHidden/>
          </w:rPr>
          <w:tab/>
        </w:r>
        <w:r>
          <w:rPr>
            <w:noProof/>
            <w:webHidden/>
          </w:rPr>
          <w:fldChar w:fldCharType="begin"/>
        </w:r>
        <w:r>
          <w:rPr>
            <w:noProof/>
            <w:webHidden/>
          </w:rPr>
          <w:instrText xml:space="preserve"> PAGEREF _Toc204106666 \h </w:instrText>
        </w:r>
        <w:r>
          <w:rPr>
            <w:noProof/>
            <w:webHidden/>
          </w:rPr>
        </w:r>
        <w:r>
          <w:rPr>
            <w:noProof/>
            <w:webHidden/>
          </w:rPr>
          <w:fldChar w:fldCharType="separate"/>
        </w:r>
        <w:r w:rsidR="008549FC">
          <w:rPr>
            <w:noProof/>
            <w:webHidden/>
          </w:rPr>
          <w:t>168</w:t>
        </w:r>
        <w:r>
          <w:rPr>
            <w:noProof/>
            <w:webHidden/>
          </w:rPr>
          <w:fldChar w:fldCharType="end"/>
        </w:r>
      </w:hyperlink>
    </w:p>
    <w:p w14:paraId="0DB74E5F" w14:textId="02D17962" w:rsidR="002F3A99" w:rsidRDefault="002F3A99">
      <w:pPr>
        <w:pStyle w:val="TOC3"/>
        <w:rPr>
          <w:rFonts w:asciiTheme="minorHAnsi" w:eastAsiaTheme="minorEastAsia" w:hAnsiTheme="minorHAnsi" w:cstheme="minorBidi"/>
          <w:noProof/>
          <w:kern w:val="2"/>
          <w14:ligatures w14:val="standardContextual"/>
        </w:rPr>
      </w:pPr>
      <w:hyperlink w:anchor="_Toc204106667" w:history="1">
        <w:r w:rsidRPr="003925C9">
          <w:rPr>
            <w:rStyle w:val="Hyperlink"/>
            <w:noProof/>
          </w:rPr>
          <w:t>4.3.7.</w:t>
        </w:r>
        <w:r>
          <w:rPr>
            <w:rFonts w:asciiTheme="minorHAnsi" w:eastAsiaTheme="minorEastAsia" w:hAnsiTheme="minorHAnsi" w:cstheme="minorBidi"/>
            <w:noProof/>
            <w:kern w:val="2"/>
            <w14:ligatures w14:val="standardContextual"/>
          </w:rPr>
          <w:tab/>
        </w:r>
        <w:r w:rsidRPr="003925C9">
          <w:rPr>
            <w:rStyle w:val="Hyperlink"/>
            <w:noProof/>
          </w:rPr>
          <w:t>Electron microscopy</w:t>
        </w:r>
        <w:r>
          <w:rPr>
            <w:noProof/>
            <w:webHidden/>
          </w:rPr>
          <w:tab/>
        </w:r>
        <w:r>
          <w:rPr>
            <w:noProof/>
            <w:webHidden/>
          </w:rPr>
          <w:fldChar w:fldCharType="begin"/>
        </w:r>
        <w:r>
          <w:rPr>
            <w:noProof/>
            <w:webHidden/>
          </w:rPr>
          <w:instrText xml:space="preserve"> PAGEREF _Toc204106667 \h </w:instrText>
        </w:r>
        <w:r>
          <w:rPr>
            <w:noProof/>
            <w:webHidden/>
          </w:rPr>
        </w:r>
        <w:r>
          <w:rPr>
            <w:noProof/>
            <w:webHidden/>
          </w:rPr>
          <w:fldChar w:fldCharType="separate"/>
        </w:r>
        <w:r w:rsidR="008549FC">
          <w:rPr>
            <w:noProof/>
            <w:webHidden/>
          </w:rPr>
          <w:t>168</w:t>
        </w:r>
        <w:r>
          <w:rPr>
            <w:noProof/>
            <w:webHidden/>
          </w:rPr>
          <w:fldChar w:fldCharType="end"/>
        </w:r>
      </w:hyperlink>
    </w:p>
    <w:p w14:paraId="4C4645C3" w14:textId="2673C09C" w:rsidR="002F3A99" w:rsidRDefault="002F3A99">
      <w:pPr>
        <w:pStyle w:val="TOC3"/>
        <w:rPr>
          <w:rFonts w:asciiTheme="minorHAnsi" w:eastAsiaTheme="minorEastAsia" w:hAnsiTheme="minorHAnsi" w:cstheme="minorBidi"/>
          <w:noProof/>
          <w:kern w:val="2"/>
          <w14:ligatures w14:val="standardContextual"/>
        </w:rPr>
      </w:pPr>
      <w:hyperlink w:anchor="_Toc204106668" w:history="1">
        <w:r w:rsidRPr="003925C9">
          <w:rPr>
            <w:rStyle w:val="Hyperlink"/>
            <w:noProof/>
          </w:rPr>
          <w:t>4.3.8.</w:t>
        </w:r>
        <w:r>
          <w:rPr>
            <w:rFonts w:asciiTheme="minorHAnsi" w:eastAsiaTheme="minorEastAsia" w:hAnsiTheme="minorHAnsi" w:cstheme="minorBidi"/>
            <w:noProof/>
            <w:kern w:val="2"/>
            <w14:ligatures w14:val="standardContextual"/>
          </w:rPr>
          <w:tab/>
        </w:r>
        <w:r w:rsidRPr="003925C9">
          <w:rPr>
            <w:rStyle w:val="Hyperlink"/>
            <w:noProof/>
          </w:rPr>
          <w:t>Water content</w:t>
        </w:r>
        <w:r>
          <w:rPr>
            <w:noProof/>
            <w:webHidden/>
          </w:rPr>
          <w:tab/>
        </w:r>
        <w:r>
          <w:rPr>
            <w:noProof/>
            <w:webHidden/>
          </w:rPr>
          <w:fldChar w:fldCharType="begin"/>
        </w:r>
        <w:r>
          <w:rPr>
            <w:noProof/>
            <w:webHidden/>
          </w:rPr>
          <w:instrText xml:space="preserve"> PAGEREF _Toc204106668 \h </w:instrText>
        </w:r>
        <w:r>
          <w:rPr>
            <w:noProof/>
            <w:webHidden/>
          </w:rPr>
        </w:r>
        <w:r>
          <w:rPr>
            <w:noProof/>
            <w:webHidden/>
          </w:rPr>
          <w:fldChar w:fldCharType="separate"/>
        </w:r>
        <w:r w:rsidR="008549FC">
          <w:rPr>
            <w:noProof/>
            <w:webHidden/>
          </w:rPr>
          <w:t>169</w:t>
        </w:r>
        <w:r>
          <w:rPr>
            <w:noProof/>
            <w:webHidden/>
          </w:rPr>
          <w:fldChar w:fldCharType="end"/>
        </w:r>
      </w:hyperlink>
    </w:p>
    <w:p w14:paraId="3EEF2CF8" w14:textId="3931B72F" w:rsidR="002F3A99" w:rsidRDefault="002F3A99">
      <w:pPr>
        <w:pStyle w:val="TOC3"/>
        <w:rPr>
          <w:rFonts w:asciiTheme="minorHAnsi" w:eastAsiaTheme="minorEastAsia" w:hAnsiTheme="minorHAnsi" w:cstheme="minorBidi"/>
          <w:noProof/>
          <w:kern w:val="2"/>
          <w14:ligatures w14:val="standardContextual"/>
        </w:rPr>
      </w:pPr>
      <w:hyperlink w:anchor="_Toc204106669" w:history="1">
        <w:r w:rsidRPr="003925C9">
          <w:rPr>
            <w:rStyle w:val="Hyperlink"/>
            <w:noProof/>
          </w:rPr>
          <w:t>4.3.9.</w:t>
        </w:r>
        <w:r>
          <w:rPr>
            <w:rFonts w:asciiTheme="minorHAnsi" w:eastAsiaTheme="minorEastAsia" w:hAnsiTheme="minorHAnsi" w:cstheme="minorBidi"/>
            <w:noProof/>
            <w:kern w:val="2"/>
            <w14:ligatures w14:val="standardContextual"/>
          </w:rPr>
          <w:tab/>
        </w:r>
        <w:r w:rsidRPr="003925C9">
          <w:rPr>
            <w:rStyle w:val="Hyperlink"/>
            <w:noProof/>
          </w:rPr>
          <w:t>Total lipid extraction and lipid class analysis</w:t>
        </w:r>
        <w:r>
          <w:rPr>
            <w:noProof/>
            <w:webHidden/>
          </w:rPr>
          <w:tab/>
        </w:r>
        <w:r>
          <w:rPr>
            <w:noProof/>
            <w:webHidden/>
          </w:rPr>
          <w:fldChar w:fldCharType="begin"/>
        </w:r>
        <w:r>
          <w:rPr>
            <w:noProof/>
            <w:webHidden/>
          </w:rPr>
          <w:instrText xml:space="preserve"> PAGEREF _Toc204106669 \h </w:instrText>
        </w:r>
        <w:r>
          <w:rPr>
            <w:noProof/>
            <w:webHidden/>
          </w:rPr>
        </w:r>
        <w:r>
          <w:rPr>
            <w:noProof/>
            <w:webHidden/>
          </w:rPr>
          <w:fldChar w:fldCharType="separate"/>
        </w:r>
        <w:r w:rsidR="008549FC">
          <w:rPr>
            <w:noProof/>
            <w:webHidden/>
          </w:rPr>
          <w:t>169</w:t>
        </w:r>
        <w:r>
          <w:rPr>
            <w:noProof/>
            <w:webHidden/>
          </w:rPr>
          <w:fldChar w:fldCharType="end"/>
        </w:r>
      </w:hyperlink>
    </w:p>
    <w:p w14:paraId="789D0BD8" w14:textId="074089E5" w:rsidR="002F3A99" w:rsidRDefault="002F3A99">
      <w:pPr>
        <w:pStyle w:val="TOC3"/>
        <w:rPr>
          <w:rFonts w:asciiTheme="minorHAnsi" w:eastAsiaTheme="minorEastAsia" w:hAnsiTheme="minorHAnsi" w:cstheme="minorBidi"/>
          <w:noProof/>
          <w:kern w:val="2"/>
          <w14:ligatures w14:val="standardContextual"/>
        </w:rPr>
      </w:pPr>
      <w:hyperlink w:anchor="_Toc204106670" w:history="1">
        <w:r w:rsidRPr="003925C9">
          <w:rPr>
            <w:rStyle w:val="Hyperlink"/>
            <w:noProof/>
          </w:rPr>
          <w:t>4.3.10.</w:t>
        </w:r>
        <w:r>
          <w:rPr>
            <w:rFonts w:asciiTheme="minorHAnsi" w:eastAsiaTheme="minorEastAsia" w:hAnsiTheme="minorHAnsi" w:cstheme="minorBidi"/>
            <w:noProof/>
            <w:kern w:val="2"/>
            <w14:ligatures w14:val="standardContextual"/>
          </w:rPr>
          <w:tab/>
        </w:r>
        <w:r w:rsidRPr="003925C9">
          <w:rPr>
            <w:rStyle w:val="Hyperlink"/>
            <w:noProof/>
          </w:rPr>
          <w:t>Fatty Acid Analysis: FAME preparation and gas chromatography</w:t>
        </w:r>
        <w:r>
          <w:rPr>
            <w:noProof/>
            <w:webHidden/>
          </w:rPr>
          <w:tab/>
        </w:r>
        <w:r>
          <w:rPr>
            <w:noProof/>
            <w:webHidden/>
          </w:rPr>
          <w:fldChar w:fldCharType="begin"/>
        </w:r>
        <w:r>
          <w:rPr>
            <w:noProof/>
            <w:webHidden/>
          </w:rPr>
          <w:instrText xml:space="preserve"> PAGEREF _Toc204106670 \h </w:instrText>
        </w:r>
        <w:r>
          <w:rPr>
            <w:noProof/>
            <w:webHidden/>
          </w:rPr>
        </w:r>
        <w:r>
          <w:rPr>
            <w:noProof/>
            <w:webHidden/>
          </w:rPr>
          <w:fldChar w:fldCharType="separate"/>
        </w:r>
        <w:r w:rsidR="008549FC">
          <w:rPr>
            <w:noProof/>
            <w:webHidden/>
          </w:rPr>
          <w:t>170</w:t>
        </w:r>
        <w:r>
          <w:rPr>
            <w:noProof/>
            <w:webHidden/>
          </w:rPr>
          <w:fldChar w:fldCharType="end"/>
        </w:r>
      </w:hyperlink>
    </w:p>
    <w:p w14:paraId="3BDC50EF" w14:textId="04053266" w:rsidR="002F3A99" w:rsidRDefault="002F3A99">
      <w:pPr>
        <w:pStyle w:val="TOC3"/>
        <w:rPr>
          <w:rFonts w:asciiTheme="minorHAnsi" w:eastAsiaTheme="minorEastAsia" w:hAnsiTheme="minorHAnsi" w:cstheme="minorBidi"/>
          <w:noProof/>
          <w:kern w:val="2"/>
          <w14:ligatures w14:val="standardContextual"/>
        </w:rPr>
      </w:pPr>
      <w:hyperlink w:anchor="_Toc204106671" w:history="1">
        <w:r w:rsidRPr="003925C9">
          <w:rPr>
            <w:rStyle w:val="Hyperlink"/>
            <w:noProof/>
          </w:rPr>
          <w:t>4.3.11.</w:t>
        </w:r>
        <w:r>
          <w:rPr>
            <w:rFonts w:asciiTheme="minorHAnsi" w:eastAsiaTheme="minorEastAsia" w:hAnsiTheme="minorHAnsi" w:cstheme="minorBidi"/>
            <w:noProof/>
            <w:kern w:val="2"/>
            <w14:ligatures w14:val="standardContextual"/>
          </w:rPr>
          <w:tab/>
        </w:r>
        <w:r w:rsidRPr="003925C9">
          <w:rPr>
            <w:rStyle w:val="Hyperlink"/>
            <w:noProof/>
          </w:rPr>
          <w:t>Statistical analysis</w:t>
        </w:r>
        <w:r>
          <w:rPr>
            <w:noProof/>
            <w:webHidden/>
          </w:rPr>
          <w:tab/>
        </w:r>
        <w:r>
          <w:rPr>
            <w:noProof/>
            <w:webHidden/>
          </w:rPr>
          <w:fldChar w:fldCharType="begin"/>
        </w:r>
        <w:r>
          <w:rPr>
            <w:noProof/>
            <w:webHidden/>
          </w:rPr>
          <w:instrText xml:space="preserve"> PAGEREF _Toc204106671 \h </w:instrText>
        </w:r>
        <w:r>
          <w:rPr>
            <w:noProof/>
            <w:webHidden/>
          </w:rPr>
        </w:r>
        <w:r>
          <w:rPr>
            <w:noProof/>
            <w:webHidden/>
          </w:rPr>
          <w:fldChar w:fldCharType="separate"/>
        </w:r>
        <w:r w:rsidR="008549FC">
          <w:rPr>
            <w:noProof/>
            <w:webHidden/>
          </w:rPr>
          <w:t>170</w:t>
        </w:r>
        <w:r>
          <w:rPr>
            <w:noProof/>
            <w:webHidden/>
          </w:rPr>
          <w:fldChar w:fldCharType="end"/>
        </w:r>
      </w:hyperlink>
    </w:p>
    <w:p w14:paraId="0E19B738" w14:textId="69A06AD5"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72" w:history="1">
        <w:r w:rsidRPr="003925C9">
          <w:rPr>
            <w:rStyle w:val="Hyperlink"/>
            <w:noProof/>
          </w:rPr>
          <w:t>4.4.</w:t>
        </w:r>
        <w:r>
          <w:rPr>
            <w:rFonts w:asciiTheme="minorHAnsi" w:eastAsiaTheme="minorEastAsia" w:hAnsiTheme="minorHAnsi" w:cstheme="minorBidi"/>
            <w:b w:val="0"/>
            <w:bCs w:val="0"/>
            <w:noProof/>
            <w:kern w:val="2"/>
            <w14:ligatures w14:val="standardContextual"/>
          </w:rPr>
          <w:tab/>
        </w:r>
        <w:r w:rsidRPr="003925C9">
          <w:rPr>
            <w:rStyle w:val="Hyperlink"/>
            <w:noProof/>
          </w:rPr>
          <w:t>Results</w:t>
        </w:r>
        <w:r>
          <w:rPr>
            <w:noProof/>
            <w:webHidden/>
          </w:rPr>
          <w:tab/>
        </w:r>
        <w:r>
          <w:rPr>
            <w:noProof/>
            <w:webHidden/>
          </w:rPr>
          <w:fldChar w:fldCharType="begin"/>
        </w:r>
        <w:r>
          <w:rPr>
            <w:noProof/>
            <w:webHidden/>
          </w:rPr>
          <w:instrText xml:space="preserve"> PAGEREF _Toc204106672 \h </w:instrText>
        </w:r>
        <w:r>
          <w:rPr>
            <w:noProof/>
            <w:webHidden/>
          </w:rPr>
        </w:r>
        <w:r>
          <w:rPr>
            <w:noProof/>
            <w:webHidden/>
          </w:rPr>
          <w:fldChar w:fldCharType="separate"/>
        </w:r>
        <w:r w:rsidR="008549FC">
          <w:rPr>
            <w:noProof/>
            <w:webHidden/>
          </w:rPr>
          <w:t>171</w:t>
        </w:r>
        <w:r>
          <w:rPr>
            <w:noProof/>
            <w:webHidden/>
          </w:rPr>
          <w:fldChar w:fldCharType="end"/>
        </w:r>
      </w:hyperlink>
    </w:p>
    <w:p w14:paraId="0B96A362" w14:textId="15BD1F23" w:rsidR="002F3A99" w:rsidRDefault="002F3A99">
      <w:pPr>
        <w:pStyle w:val="TOC3"/>
        <w:rPr>
          <w:rFonts w:asciiTheme="minorHAnsi" w:eastAsiaTheme="minorEastAsia" w:hAnsiTheme="minorHAnsi" w:cstheme="minorBidi"/>
          <w:noProof/>
          <w:kern w:val="2"/>
          <w14:ligatures w14:val="standardContextual"/>
        </w:rPr>
      </w:pPr>
      <w:hyperlink w:anchor="_Toc204106673" w:history="1">
        <w:r w:rsidRPr="003925C9">
          <w:rPr>
            <w:rStyle w:val="Hyperlink"/>
            <w:noProof/>
          </w:rPr>
          <w:t>4.4.1.</w:t>
        </w:r>
        <w:r>
          <w:rPr>
            <w:rFonts w:asciiTheme="minorHAnsi" w:eastAsiaTheme="minorEastAsia" w:hAnsiTheme="minorHAnsi" w:cstheme="minorBidi"/>
            <w:noProof/>
            <w:kern w:val="2"/>
            <w14:ligatures w14:val="standardContextual"/>
          </w:rPr>
          <w:tab/>
        </w:r>
        <w:r w:rsidRPr="003925C9">
          <w:rPr>
            <w:rStyle w:val="Hyperlink"/>
            <w:noProof/>
          </w:rPr>
          <w:t>Summary of experimental animals and lipid analysis subsets</w:t>
        </w:r>
        <w:r>
          <w:rPr>
            <w:noProof/>
            <w:webHidden/>
          </w:rPr>
          <w:tab/>
        </w:r>
        <w:r>
          <w:rPr>
            <w:noProof/>
            <w:webHidden/>
          </w:rPr>
          <w:fldChar w:fldCharType="begin"/>
        </w:r>
        <w:r>
          <w:rPr>
            <w:noProof/>
            <w:webHidden/>
          </w:rPr>
          <w:instrText xml:space="preserve"> PAGEREF _Toc204106673 \h </w:instrText>
        </w:r>
        <w:r>
          <w:rPr>
            <w:noProof/>
            <w:webHidden/>
          </w:rPr>
        </w:r>
        <w:r>
          <w:rPr>
            <w:noProof/>
            <w:webHidden/>
          </w:rPr>
          <w:fldChar w:fldCharType="separate"/>
        </w:r>
        <w:r w:rsidR="008549FC">
          <w:rPr>
            <w:noProof/>
            <w:webHidden/>
          </w:rPr>
          <w:t>171</w:t>
        </w:r>
        <w:r>
          <w:rPr>
            <w:noProof/>
            <w:webHidden/>
          </w:rPr>
          <w:fldChar w:fldCharType="end"/>
        </w:r>
      </w:hyperlink>
    </w:p>
    <w:p w14:paraId="2D069762" w14:textId="6BFF74D1" w:rsidR="002F3A99" w:rsidRDefault="002F3A99">
      <w:pPr>
        <w:pStyle w:val="TOC3"/>
        <w:rPr>
          <w:rFonts w:asciiTheme="minorHAnsi" w:eastAsiaTheme="minorEastAsia" w:hAnsiTheme="minorHAnsi" w:cstheme="minorBidi"/>
          <w:noProof/>
          <w:kern w:val="2"/>
          <w14:ligatures w14:val="standardContextual"/>
        </w:rPr>
      </w:pPr>
      <w:hyperlink w:anchor="_Toc204106674" w:history="1">
        <w:r w:rsidRPr="003925C9">
          <w:rPr>
            <w:rStyle w:val="Hyperlink"/>
            <w:noProof/>
          </w:rPr>
          <w:t>4.4.2.</w:t>
        </w:r>
        <w:r>
          <w:rPr>
            <w:rFonts w:asciiTheme="minorHAnsi" w:eastAsiaTheme="minorEastAsia" w:hAnsiTheme="minorHAnsi" w:cstheme="minorBidi"/>
            <w:noProof/>
            <w:kern w:val="2"/>
            <w14:ligatures w14:val="standardContextual"/>
          </w:rPr>
          <w:tab/>
        </w:r>
        <w:r w:rsidRPr="003925C9">
          <w:rPr>
            <w:rStyle w:val="Hyperlink"/>
            <w:noProof/>
          </w:rPr>
          <w:t>Sporulation observations</w:t>
        </w:r>
        <w:r>
          <w:rPr>
            <w:noProof/>
            <w:webHidden/>
          </w:rPr>
          <w:tab/>
        </w:r>
        <w:r>
          <w:rPr>
            <w:noProof/>
            <w:webHidden/>
          </w:rPr>
          <w:fldChar w:fldCharType="begin"/>
        </w:r>
        <w:r>
          <w:rPr>
            <w:noProof/>
            <w:webHidden/>
          </w:rPr>
          <w:instrText xml:space="preserve"> PAGEREF _Toc204106674 \h </w:instrText>
        </w:r>
        <w:r>
          <w:rPr>
            <w:noProof/>
            <w:webHidden/>
          </w:rPr>
        </w:r>
        <w:r>
          <w:rPr>
            <w:noProof/>
            <w:webHidden/>
          </w:rPr>
          <w:fldChar w:fldCharType="separate"/>
        </w:r>
        <w:r w:rsidR="008549FC">
          <w:rPr>
            <w:noProof/>
            <w:webHidden/>
          </w:rPr>
          <w:t>174</w:t>
        </w:r>
        <w:r>
          <w:rPr>
            <w:noProof/>
            <w:webHidden/>
          </w:rPr>
          <w:fldChar w:fldCharType="end"/>
        </w:r>
      </w:hyperlink>
    </w:p>
    <w:p w14:paraId="70EA4797" w14:textId="7C267D68" w:rsidR="002F3A99" w:rsidRDefault="002F3A99">
      <w:pPr>
        <w:pStyle w:val="TOC3"/>
        <w:rPr>
          <w:rFonts w:asciiTheme="minorHAnsi" w:eastAsiaTheme="minorEastAsia" w:hAnsiTheme="minorHAnsi" w:cstheme="minorBidi"/>
          <w:noProof/>
          <w:kern w:val="2"/>
          <w14:ligatures w14:val="standardContextual"/>
        </w:rPr>
      </w:pPr>
      <w:hyperlink w:anchor="_Toc204106675" w:history="1">
        <w:r w:rsidRPr="003925C9">
          <w:rPr>
            <w:rStyle w:val="Hyperlink"/>
            <w:noProof/>
          </w:rPr>
          <w:t>4.4.3.</w:t>
        </w:r>
        <w:r>
          <w:rPr>
            <w:rFonts w:asciiTheme="minorHAnsi" w:eastAsiaTheme="minorEastAsia" w:hAnsiTheme="minorHAnsi" w:cstheme="minorBidi"/>
            <w:noProof/>
            <w:kern w:val="2"/>
            <w14:ligatures w14:val="standardContextual"/>
          </w:rPr>
          <w:tab/>
        </w:r>
        <w:r w:rsidRPr="003925C9">
          <w:rPr>
            <w:rStyle w:val="Hyperlink"/>
            <w:noProof/>
          </w:rPr>
          <w:t>Histology and electron microscopy</w:t>
        </w:r>
        <w:r>
          <w:rPr>
            <w:noProof/>
            <w:webHidden/>
          </w:rPr>
          <w:tab/>
        </w:r>
        <w:r>
          <w:rPr>
            <w:noProof/>
            <w:webHidden/>
          </w:rPr>
          <w:fldChar w:fldCharType="begin"/>
        </w:r>
        <w:r>
          <w:rPr>
            <w:noProof/>
            <w:webHidden/>
          </w:rPr>
          <w:instrText xml:space="preserve"> PAGEREF _Toc204106675 \h </w:instrText>
        </w:r>
        <w:r>
          <w:rPr>
            <w:noProof/>
            <w:webHidden/>
          </w:rPr>
        </w:r>
        <w:r>
          <w:rPr>
            <w:noProof/>
            <w:webHidden/>
          </w:rPr>
          <w:fldChar w:fldCharType="separate"/>
        </w:r>
        <w:r w:rsidR="008549FC">
          <w:rPr>
            <w:noProof/>
            <w:webHidden/>
          </w:rPr>
          <w:t>176</w:t>
        </w:r>
        <w:r>
          <w:rPr>
            <w:noProof/>
            <w:webHidden/>
          </w:rPr>
          <w:fldChar w:fldCharType="end"/>
        </w:r>
      </w:hyperlink>
    </w:p>
    <w:p w14:paraId="66C96683" w14:textId="5B1CB0BE" w:rsidR="002F3A99" w:rsidRDefault="002F3A99">
      <w:pPr>
        <w:pStyle w:val="TOC3"/>
        <w:rPr>
          <w:rFonts w:asciiTheme="minorHAnsi" w:eastAsiaTheme="minorEastAsia" w:hAnsiTheme="minorHAnsi" w:cstheme="minorBidi"/>
          <w:noProof/>
          <w:kern w:val="2"/>
          <w14:ligatures w14:val="standardContextual"/>
        </w:rPr>
      </w:pPr>
      <w:hyperlink w:anchor="_Toc204106676" w:history="1">
        <w:r w:rsidRPr="003925C9">
          <w:rPr>
            <w:rStyle w:val="Hyperlink"/>
            <w:noProof/>
          </w:rPr>
          <w:t>4.4.4.</w:t>
        </w:r>
        <w:r>
          <w:rPr>
            <w:rFonts w:asciiTheme="minorHAnsi" w:eastAsiaTheme="minorEastAsia" w:hAnsiTheme="minorHAnsi" w:cstheme="minorBidi"/>
            <w:noProof/>
            <w:kern w:val="2"/>
            <w14:ligatures w14:val="standardContextual"/>
          </w:rPr>
          <w:tab/>
        </w:r>
        <w:r w:rsidRPr="003925C9">
          <w:rPr>
            <w:rStyle w:val="Hyperlink"/>
            <w:noProof/>
          </w:rPr>
          <w:t xml:space="preserve">Body indices and lipid content in </w:t>
        </w:r>
        <w:r w:rsidRPr="003925C9">
          <w:rPr>
            <w:rStyle w:val="Hyperlink"/>
            <w:i/>
            <w:noProof/>
          </w:rPr>
          <w:t>Nephrops</w:t>
        </w:r>
        <w:r w:rsidRPr="003925C9">
          <w:rPr>
            <w:rStyle w:val="Hyperlink"/>
            <w:noProof/>
          </w:rPr>
          <w:t xml:space="preserve"> hepatopancreas and spores</w:t>
        </w:r>
        <w:r>
          <w:rPr>
            <w:noProof/>
            <w:webHidden/>
          </w:rPr>
          <w:tab/>
        </w:r>
        <w:r>
          <w:rPr>
            <w:noProof/>
            <w:webHidden/>
          </w:rPr>
          <w:fldChar w:fldCharType="begin"/>
        </w:r>
        <w:r>
          <w:rPr>
            <w:noProof/>
            <w:webHidden/>
          </w:rPr>
          <w:instrText xml:space="preserve"> PAGEREF _Toc204106676 \h </w:instrText>
        </w:r>
        <w:r>
          <w:rPr>
            <w:noProof/>
            <w:webHidden/>
          </w:rPr>
        </w:r>
        <w:r>
          <w:rPr>
            <w:noProof/>
            <w:webHidden/>
          </w:rPr>
          <w:fldChar w:fldCharType="separate"/>
        </w:r>
        <w:r w:rsidR="008549FC">
          <w:rPr>
            <w:noProof/>
            <w:webHidden/>
          </w:rPr>
          <w:t>183</w:t>
        </w:r>
        <w:r>
          <w:rPr>
            <w:noProof/>
            <w:webHidden/>
          </w:rPr>
          <w:fldChar w:fldCharType="end"/>
        </w:r>
      </w:hyperlink>
    </w:p>
    <w:p w14:paraId="576E96C4" w14:textId="247C56D2" w:rsidR="002F3A99" w:rsidRDefault="002F3A99">
      <w:pPr>
        <w:pStyle w:val="TOC3"/>
        <w:rPr>
          <w:rFonts w:asciiTheme="minorHAnsi" w:eastAsiaTheme="minorEastAsia" w:hAnsiTheme="minorHAnsi" w:cstheme="minorBidi"/>
          <w:noProof/>
          <w:kern w:val="2"/>
          <w14:ligatures w14:val="standardContextual"/>
        </w:rPr>
      </w:pPr>
      <w:hyperlink w:anchor="_Toc204106677" w:history="1">
        <w:r w:rsidRPr="003925C9">
          <w:rPr>
            <w:rStyle w:val="Hyperlink"/>
            <w:noProof/>
          </w:rPr>
          <w:t>4.4.5.</w:t>
        </w:r>
        <w:r>
          <w:rPr>
            <w:rFonts w:asciiTheme="minorHAnsi" w:eastAsiaTheme="minorEastAsia" w:hAnsiTheme="minorHAnsi" w:cstheme="minorBidi"/>
            <w:noProof/>
            <w:kern w:val="2"/>
            <w14:ligatures w14:val="standardContextual"/>
          </w:rPr>
          <w:tab/>
        </w:r>
        <w:r w:rsidRPr="003925C9">
          <w:rPr>
            <w:rStyle w:val="Hyperlink"/>
            <w:noProof/>
          </w:rPr>
          <w:t>Fatty acid composition in total lipid</w:t>
        </w:r>
        <w:r>
          <w:rPr>
            <w:noProof/>
            <w:webHidden/>
          </w:rPr>
          <w:tab/>
        </w:r>
        <w:r>
          <w:rPr>
            <w:noProof/>
            <w:webHidden/>
          </w:rPr>
          <w:fldChar w:fldCharType="begin"/>
        </w:r>
        <w:r>
          <w:rPr>
            <w:noProof/>
            <w:webHidden/>
          </w:rPr>
          <w:instrText xml:space="preserve"> PAGEREF _Toc204106677 \h </w:instrText>
        </w:r>
        <w:r>
          <w:rPr>
            <w:noProof/>
            <w:webHidden/>
          </w:rPr>
        </w:r>
        <w:r>
          <w:rPr>
            <w:noProof/>
            <w:webHidden/>
          </w:rPr>
          <w:fldChar w:fldCharType="separate"/>
        </w:r>
        <w:r w:rsidR="008549FC">
          <w:rPr>
            <w:noProof/>
            <w:webHidden/>
          </w:rPr>
          <w:t>186</w:t>
        </w:r>
        <w:r>
          <w:rPr>
            <w:noProof/>
            <w:webHidden/>
          </w:rPr>
          <w:fldChar w:fldCharType="end"/>
        </w:r>
      </w:hyperlink>
    </w:p>
    <w:p w14:paraId="489ABB9D" w14:textId="243F4FAB" w:rsidR="002F3A99" w:rsidRDefault="002F3A99">
      <w:pPr>
        <w:pStyle w:val="TOC3"/>
        <w:rPr>
          <w:rFonts w:asciiTheme="minorHAnsi" w:eastAsiaTheme="minorEastAsia" w:hAnsiTheme="minorHAnsi" w:cstheme="minorBidi"/>
          <w:noProof/>
          <w:kern w:val="2"/>
          <w14:ligatures w14:val="standardContextual"/>
        </w:rPr>
      </w:pPr>
      <w:hyperlink w:anchor="_Toc204106678" w:history="1">
        <w:r w:rsidRPr="003925C9">
          <w:rPr>
            <w:rStyle w:val="Hyperlink"/>
            <w:noProof/>
          </w:rPr>
          <w:t>4.4.6.</w:t>
        </w:r>
        <w:r>
          <w:rPr>
            <w:rFonts w:asciiTheme="minorHAnsi" w:eastAsiaTheme="minorEastAsia" w:hAnsiTheme="minorHAnsi" w:cstheme="minorBidi"/>
            <w:noProof/>
            <w:kern w:val="2"/>
            <w14:ligatures w14:val="standardContextual"/>
          </w:rPr>
          <w:tab/>
        </w:r>
        <w:r w:rsidRPr="003925C9">
          <w:rPr>
            <w:rStyle w:val="Hyperlink"/>
            <w:noProof/>
          </w:rPr>
          <w:t>Lipid class</w:t>
        </w:r>
        <w:r>
          <w:rPr>
            <w:noProof/>
            <w:webHidden/>
          </w:rPr>
          <w:tab/>
        </w:r>
        <w:r>
          <w:rPr>
            <w:noProof/>
            <w:webHidden/>
          </w:rPr>
          <w:fldChar w:fldCharType="begin"/>
        </w:r>
        <w:r>
          <w:rPr>
            <w:noProof/>
            <w:webHidden/>
          </w:rPr>
          <w:instrText xml:space="preserve"> PAGEREF _Toc204106678 \h </w:instrText>
        </w:r>
        <w:r>
          <w:rPr>
            <w:noProof/>
            <w:webHidden/>
          </w:rPr>
        </w:r>
        <w:r>
          <w:rPr>
            <w:noProof/>
            <w:webHidden/>
          </w:rPr>
          <w:fldChar w:fldCharType="separate"/>
        </w:r>
        <w:r w:rsidR="008549FC">
          <w:rPr>
            <w:noProof/>
            <w:webHidden/>
          </w:rPr>
          <w:t>194</w:t>
        </w:r>
        <w:r>
          <w:rPr>
            <w:noProof/>
            <w:webHidden/>
          </w:rPr>
          <w:fldChar w:fldCharType="end"/>
        </w:r>
      </w:hyperlink>
    </w:p>
    <w:p w14:paraId="731C4AC7" w14:textId="51327629" w:rsidR="002F3A99" w:rsidRDefault="002F3A99">
      <w:pPr>
        <w:pStyle w:val="TOC3"/>
        <w:rPr>
          <w:rFonts w:asciiTheme="minorHAnsi" w:eastAsiaTheme="minorEastAsia" w:hAnsiTheme="minorHAnsi" w:cstheme="minorBidi"/>
          <w:noProof/>
          <w:kern w:val="2"/>
          <w14:ligatures w14:val="standardContextual"/>
        </w:rPr>
      </w:pPr>
      <w:hyperlink w:anchor="_Toc204106679" w:history="1">
        <w:r w:rsidRPr="003925C9">
          <w:rPr>
            <w:rStyle w:val="Hyperlink"/>
            <w:noProof/>
          </w:rPr>
          <w:t>4.4.7.</w:t>
        </w:r>
        <w:r>
          <w:rPr>
            <w:rFonts w:asciiTheme="minorHAnsi" w:eastAsiaTheme="minorEastAsia" w:hAnsiTheme="minorHAnsi" w:cstheme="minorBidi"/>
            <w:noProof/>
            <w:kern w:val="2"/>
            <w14:ligatures w14:val="standardContextual"/>
          </w:rPr>
          <w:tab/>
        </w:r>
        <w:r w:rsidRPr="003925C9">
          <w:rPr>
            <w:rStyle w:val="Hyperlink"/>
            <w:noProof/>
          </w:rPr>
          <w:t>Fatty acid composition according to lipid class composition</w:t>
        </w:r>
        <w:r>
          <w:rPr>
            <w:noProof/>
            <w:webHidden/>
          </w:rPr>
          <w:tab/>
        </w:r>
        <w:r>
          <w:rPr>
            <w:noProof/>
            <w:webHidden/>
          </w:rPr>
          <w:fldChar w:fldCharType="begin"/>
        </w:r>
        <w:r>
          <w:rPr>
            <w:noProof/>
            <w:webHidden/>
          </w:rPr>
          <w:instrText xml:space="preserve"> PAGEREF _Toc204106679 \h </w:instrText>
        </w:r>
        <w:r>
          <w:rPr>
            <w:noProof/>
            <w:webHidden/>
          </w:rPr>
        </w:r>
        <w:r>
          <w:rPr>
            <w:noProof/>
            <w:webHidden/>
          </w:rPr>
          <w:fldChar w:fldCharType="separate"/>
        </w:r>
        <w:r w:rsidR="008549FC">
          <w:rPr>
            <w:noProof/>
            <w:webHidden/>
          </w:rPr>
          <w:t>199</w:t>
        </w:r>
        <w:r>
          <w:rPr>
            <w:noProof/>
            <w:webHidden/>
          </w:rPr>
          <w:fldChar w:fldCharType="end"/>
        </w:r>
      </w:hyperlink>
    </w:p>
    <w:p w14:paraId="1F6D9ED8" w14:textId="4FCD5AF7" w:rsidR="002F3A99" w:rsidRDefault="002F3A99">
      <w:pPr>
        <w:pStyle w:val="TOC3"/>
        <w:rPr>
          <w:rFonts w:asciiTheme="minorHAnsi" w:eastAsiaTheme="minorEastAsia" w:hAnsiTheme="minorHAnsi" w:cstheme="minorBidi"/>
          <w:noProof/>
          <w:kern w:val="2"/>
          <w14:ligatures w14:val="standardContextual"/>
        </w:rPr>
      </w:pPr>
      <w:hyperlink w:anchor="_Toc204106680" w:history="1">
        <w:r w:rsidRPr="003925C9">
          <w:rPr>
            <w:rStyle w:val="Hyperlink"/>
            <w:noProof/>
          </w:rPr>
          <w:t>4.4.8.</w:t>
        </w:r>
        <w:r>
          <w:rPr>
            <w:rFonts w:asciiTheme="minorHAnsi" w:eastAsiaTheme="minorEastAsia" w:hAnsiTheme="minorHAnsi" w:cstheme="minorBidi"/>
            <w:noProof/>
            <w:kern w:val="2"/>
            <w14:ligatures w14:val="standardContextual"/>
          </w:rPr>
          <w:tab/>
        </w:r>
        <w:r w:rsidRPr="003925C9">
          <w:rPr>
            <w:rStyle w:val="Hyperlink"/>
            <w:noProof/>
          </w:rPr>
          <w:t xml:space="preserve">Anova </w:t>
        </w:r>
        <w:r w:rsidRPr="003925C9">
          <w:rPr>
            <w:rStyle w:val="Hyperlink"/>
            <w:rFonts w:eastAsia="Calibri"/>
            <w:iCs/>
            <w:noProof/>
          </w:rPr>
          <w:t>comparisons</w:t>
        </w:r>
        <w:r>
          <w:rPr>
            <w:noProof/>
            <w:webHidden/>
          </w:rPr>
          <w:tab/>
        </w:r>
        <w:r>
          <w:rPr>
            <w:noProof/>
            <w:webHidden/>
          </w:rPr>
          <w:fldChar w:fldCharType="begin"/>
        </w:r>
        <w:r>
          <w:rPr>
            <w:noProof/>
            <w:webHidden/>
          </w:rPr>
          <w:instrText xml:space="preserve"> PAGEREF _Toc204106680 \h </w:instrText>
        </w:r>
        <w:r>
          <w:rPr>
            <w:noProof/>
            <w:webHidden/>
          </w:rPr>
        </w:r>
        <w:r>
          <w:rPr>
            <w:noProof/>
            <w:webHidden/>
          </w:rPr>
          <w:fldChar w:fldCharType="separate"/>
        </w:r>
        <w:r w:rsidR="008549FC">
          <w:rPr>
            <w:noProof/>
            <w:webHidden/>
          </w:rPr>
          <w:t>214</w:t>
        </w:r>
        <w:r>
          <w:rPr>
            <w:noProof/>
            <w:webHidden/>
          </w:rPr>
          <w:fldChar w:fldCharType="end"/>
        </w:r>
      </w:hyperlink>
    </w:p>
    <w:p w14:paraId="4B738355" w14:textId="4FC3C2CB"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81" w:history="1">
        <w:r w:rsidRPr="003925C9">
          <w:rPr>
            <w:rStyle w:val="Hyperlink"/>
            <w:noProof/>
          </w:rPr>
          <w:t>4.5.</w:t>
        </w:r>
        <w:r>
          <w:rPr>
            <w:rFonts w:asciiTheme="minorHAnsi" w:eastAsiaTheme="minorEastAsia" w:hAnsiTheme="minorHAnsi" w:cstheme="minorBidi"/>
            <w:b w:val="0"/>
            <w:bCs w:val="0"/>
            <w:noProof/>
            <w:kern w:val="2"/>
            <w14:ligatures w14:val="standardContextual"/>
          </w:rPr>
          <w:tab/>
        </w:r>
        <w:r w:rsidRPr="003925C9">
          <w:rPr>
            <w:rStyle w:val="Hyperlink"/>
            <w:noProof/>
          </w:rPr>
          <w:t>Discussion</w:t>
        </w:r>
        <w:r>
          <w:rPr>
            <w:noProof/>
            <w:webHidden/>
          </w:rPr>
          <w:tab/>
        </w:r>
        <w:r>
          <w:rPr>
            <w:noProof/>
            <w:webHidden/>
          </w:rPr>
          <w:fldChar w:fldCharType="begin"/>
        </w:r>
        <w:r>
          <w:rPr>
            <w:noProof/>
            <w:webHidden/>
          </w:rPr>
          <w:instrText xml:space="preserve"> PAGEREF _Toc204106681 \h </w:instrText>
        </w:r>
        <w:r>
          <w:rPr>
            <w:noProof/>
            <w:webHidden/>
          </w:rPr>
        </w:r>
        <w:r>
          <w:rPr>
            <w:noProof/>
            <w:webHidden/>
          </w:rPr>
          <w:fldChar w:fldCharType="separate"/>
        </w:r>
        <w:r w:rsidR="008549FC">
          <w:rPr>
            <w:noProof/>
            <w:webHidden/>
          </w:rPr>
          <w:t>218</w:t>
        </w:r>
        <w:r>
          <w:rPr>
            <w:noProof/>
            <w:webHidden/>
          </w:rPr>
          <w:fldChar w:fldCharType="end"/>
        </w:r>
      </w:hyperlink>
    </w:p>
    <w:p w14:paraId="29823CEE" w14:textId="4AEFB033"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82" w:history="1">
        <w:r w:rsidRPr="003925C9">
          <w:rPr>
            <w:rStyle w:val="Hyperlink"/>
            <w:noProof/>
          </w:rPr>
          <w:t>4.6.</w:t>
        </w:r>
        <w:r>
          <w:rPr>
            <w:rFonts w:asciiTheme="minorHAnsi" w:eastAsiaTheme="minorEastAsia" w:hAnsiTheme="minorHAnsi" w:cstheme="minorBidi"/>
            <w:b w:val="0"/>
            <w:bCs w:val="0"/>
            <w:noProof/>
            <w:kern w:val="2"/>
            <w14:ligatures w14:val="standardContextual"/>
          </w:rPr>
          <w:tab/>
        </w:r>
        <w:r w:rsidRPr="003925C9">
          <w:rPr>
            <w:rStyle w:val="Hyperlink"/>
            <w:noProof/>
          </w:rPr>
          <w:t>Conclusions</w:t>
        </w:r>
        <w:r>
          <w:rPr>
            <w:noProof/>
            <w:webHidden/>
          </w:rPr>
          <w:tab/>
        </w:r>
        <w:r>
          <w:rPr>
            <w:noProof/>
            <w:webHidden/>
          </w:rPr>
          <w:fldChar w:fldCharType="begin"/>
        </w:r>
        <w:r>
          <w:rPr>
            <w:noProof/>
            <w:webHidden/>
          </w:rPr>
          <w:instrText xml:space="preserve"> PAGEREF _Toc204106682 \h </w:instrText>
        </w:r>
        <w:r>
          <w:rPr>
            <w:noProof/>
            <w:webHidden/>
          </w:rPr>
        </w:r>
        <w:r>
          <w:rPr>
            <w:noProof/>
            <w:webHidden/>
          </w:rPr>
          <w:fldChar w:fldCharType="separate"/>
        </w:r>
        <w:r w:rsidR="008549FC">
          <w:rPr>
            <w:noProof/>
            <w:webHidden/>
          </w:rPr>
          <w:t>223</w:t>
        </w:r>
        <w:r>
          <w:rPr>
            <w:noProof/>
            <w:webHidden/>
          </w:rPr>
          <w:fldChar w:fldCharType="end"/>
        </w:r>
      </w:hyperlink>
    </w:p>
    <w:p w14:paraId="04684344" w14:textId="1681A7E9"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683" w:history="1">
        <w:r w:rsidRPr="003925C9">
          <w:rPr>
            <w:rStyle w:val="Hyperlink"/>
            <w:noProof/>
          </w:rPr>
          <w:t>5.</w:t>
        </w:r>
        <w:r>
          <w:rPr>
            <w:rFonts w:asciiTheme="minorHAnsi" w:eastAsiaTheme="minorEastAsia" w:hAnsiTheme="minorHAnsi" w:cstheme="minorBidi"/>
            <w:b w:val="0"/>
            <w:bCs w:val="0"/>
            <w:noProof/>
            <w:kern w:val="2"/>
            <w14:ligatures w14:val="standardContextual"/>
          </w:rPr>
          <w:tab/>
        </w:r>
        <w:r w:rsidRPr="003925C9">
          <w:rPr>
            <w:rStyle w:val="Hyperlink"/>
            <w:noProof/>
          </w:rPr>
          <w:t>General discussion</w:t>
        </w:r>
        <w:r>
          <w:rPr>
            <w:noProof/>
            <w:webHidden/>
          </w:rPr>
          <w:tab/>
        </w:r>
        <w:r>
          <w:rPr>
            <w:noProof/>
            <w:webHidden/>
          </w:rPr>
          <w:fldChar w:fldCharType="begin"/>
        </w:r>
        <w:r>
          <w:rPr>
            <w:noProof/>
            <w:webHidden/>
          </w:rPr>
          <w:instrText xml:space="preserve"> PAGEREF _Toc204106683 \h </w:instrText>
        </w:r>
        <w:r>
          <w:rPr>
            <w:noProof/>
            <w:webHidden/>
          </w:rPr>
        </w:r>
        <w:r>
          <w:rPr>
            <w:noProof/>
            <w:webHidden/>
          </w:rPr>
          <w:fldChar w:fldCharType="separate"/>
        </w:r>
        <w:r w:rsidR="008549FC">
          <w:rPr>
            <w:noProof/>
            <w:webHidden/>
          </w:rPr>
          <w:t>224</w:t>
        </w:r>
        <w:r>
          <w:rPr>
            <w:noProof/>
            <w:webHidden/>
          </w:rPr>
          <w:fldChar w:fldCharType="end"/>
        </w:r>
      </w:hyperlink>
    </w:p>
    <w:p w14:paraId="2EE94226" w14:textId="0C0563A0"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84" w:history="1">
        <w:r w:rsidRPr="003925C9">
          <w:rPr>
            <w:rStyle w:val="Hyperlink"/>
            <w:rFonts w:eastAsiaTheme="minorHAnsi"/>
            <w:noProof/>
          </w:rPr>
          <w:t>5.1.</w:t>
        </w:r>
        <w:r>
          <w:rPr>
            <w:rFonts w:asciiTheme="minorHAnsi" w:eastAsiaTheme="minorEastAsia" w:hAnsiTheme="minorHAnsi" w:cstheme="minorBidi"/>
            <w:b w:val="0"/>
            <w:bCs w:val="0"/>
            <w:noProof/>
            <w:kern w:val="2"/>
            <w14:ligatures w14:val="standardContextual"/>
          </w:rPr>
          <w:tab/>
        </w:r>
        <w:r w:rsidRPr="003925C9">
          <w:rPr>
            <w:rStyle w:val="Hyperlink"/>
            <w:rFonts w:eastAsiaTheme="minorHAnsi"/>
            <w:noProof/>
          </w:rPr>
          <w:t>Summary and insights provided by main findings</w:t>
        </w:r>
        <w:r>
          <w:rPr>
            <w:noProof/>
            <w:webHidden/>
          </w:rPr>
          <w:tab/>
        </w:r>
        <w:r>
          <w:rPr>
            <w:noProof/>
            <w:webHidden/>
          </w:rPr>
          <w:fldChar w:fldCharType="begin"/>
        </w:r>
        <w:r>
          <w:rPr>
            <w:noProof/>
            <w:webHidden/>
          </w:rPr>
          <w:instrText xml:space="preserve"> PAGEREF _Toc204106684 \h </w:instrText>
        </w:r>
        <w:r>
          <w:rPr>
            <w:noProof/>
            <w:webHidden/>
          </w:rPr>
        </w:r>
        <w:r>
          <w:rPr>
            <w:noProof/>
            <w:webHidden/>
          </w:rPr>
          <w:fldChar w:fldCharType="separate"/>
        </w:r>
        <w:r w:rsidR="008549FC">
          <w:rPr>
            <w:noProof/>
            <w:webHidden/>
          </w:rPr>
          <w:t>224</w:t>
        </w:r>
        <w:r>
          <w:rPr>
            <w:noProof/>
            <w:webHidden/>
          </w:rPr>
          <w:fldChar w:fldCharType="end"/>
        </w:r>
      </w:hyperlink>
    </w:p>
    <w:p w14:paraId="459B795B" w14:textId="2F45C754"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85" w:history="1">
        <w:r w:rsidRPr="003925C9">
          <w:rPr>
            <w:rStyle w:val="Hyperlink"/>
            <w:rFonts w:eastAsiaTheme="minorHAnsi"/>
            <w:noProof/>
          </w:rPr>
          <w:t>5.2.</w:t>
        </w:r>
        <w:r>
          <w:rPr>
            <w:rFonts w:asciiTheme="minorHAnsi" w:eastAsiaTheme="minorEastAsia" w:hAnsiTheme="minorHAnsi" w:cstheme="minorBidi"/>
            <w:b w:val="0"/>
            <w:bCs w:val="0"/>
            <w:noProof/>
            <w:kern w:val="2"/>
            <w14:ligatures w14:val="standardContextual"/>
          </w:rPr>
          <w:tab/>
        </w:r>
        <w:r w:rsidRPr="003925C9">
          <w:rPr>
            <w:rStyle w:val="Hyperlink"/>
            <w:rFonts w:eastAsiaTheme="minorHAnsi"/>
            <w:noProof/>
          </w:rPr>
          <w:t>Future work in this research area</w:t>
        </w:r>
        <w:r>
          <w:rPr>
            <w:noProof/>
            <w:webHidden/>
          </w:rPr>
          <w:tab/>
        </w:r>
        <w:r>
          <w:rPr>
            <w:noProof/>
            <w:webHidden/>
          </w:rPr>
          <w:fldChar w:fldCharType="begin"/>
        </w:r>
        <w:r>
          <w:rPr>
            <w:noProof/>
            <w:webHidden/>
          </w:rPr>
          <w:instrText xml:space="preserve"> PAGEREF _Toc204106685 \h </w:instrText>
        </w:r>
        <w:r>
          <w:rPr>
            <w:noProof/>
            <w:webHidden/>
          </w:rPr>
        </w:r>
        <w:r>
          <w:rPr>
            <w:noProof/>
            <w:webHidden/>
          </w:rPr>
          <w:fldChar w:fldCharType="separate"/>
        </w:r>
        <w:r w:rsidR="008549FC">
          <w:rPr>
            <w:noProof/>
            <w:webHidden/>
          </w:rPr>
          <w:t>227</w:t>
        </w:r>
        <w:r>
          <w:rPr>
            <w:noProof/>
            <w:webHidden/>
          </w:rPr>
          <w:fldChar w:fldCharType="end"/>
        </w:r>
      </w:hyperlink>
    </w:p>
    <w:p w14:paraId="788B71D2" w14:textId="51148D1D"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686" w:history="1">
        <w:r w:rsidRPr="003925C9">
          <w:rPr>
            <w:rStyle w:val="Hyperlink"/>
            <w:noProof/>
          </w:rPr>
          <w:t>6.</w:t>
        </w:r>
        <w:r>
          <w:rPr>
            <w:rFonts w:asciiTheme="minorHAnsi" w:eastAsiaTheme="minorEastAsia" w:hAnsiTheme="minorHAnsi" w:cstheme="minorBidi"/>
            <w:b w:val="0"/>
            <w:bCs w:val="0"/>
            <w:noProof/>
            <w:kern w:val="2"/>
            <w14:ligatures w14:val="standardContextual"/>
          </w:rPr>
          <w:tab/>
        </w:r>
        <w:r w:rsidRPr="003925C9">
          <w:rPr>
            <w:rStyle w:val="Hyperlink"/>
            <w:noProof/>
          </w:rPr>
          <w:t>References</w:t>
        </w:r>
        <w:r>
          <w:rPr>
            <w:noProof/>
            <w:webHidden/>
          </w:rPr>
          <w:tab/>
        </w:r>
        <w:r>
          <w:rPr>
            <w:noProof/>
            <w:webHidden/>
          </w:rPr>
          <w:fldChar w:fldCharType="begin"/>
        </w:r>
        <w:r>
          <w:rPr>
            <w:noProof/>
            <w:webHidden/>
          </w:rPr>
          <w:instrText xml:space="preserve"> PAGEREF _Toc204106686 \h </w:instrText>
        </w:r>
        <w:r>
          <w:rPr>
            <w:noProof/>
            <w:webHidden/>
          </w:rPr>
        </w:r>
        <w:r>
          <w:rPr>
            <w:noProof/>
            <w:webHidden/>
          </w:rPr>
          <w:fldChar w:fldCharType="separate"/>
        </w:r>
        <w:r w:rsidR="008549FC">
          <w:rPr>
            <w:noProof/>
            <w:webHidden/>
          </w:rPr>
          <w:t>232</w:t>
        </w:r>
        <w:r>
          <w:rPr>
            <w:noProof/>
            <w:webHidden/>
          </w:rPr>
          <w:fldChar w:fldCharType="end"/>
        </w:r>
      </w:hyperlink>
    </w:p>
    <w:p w14:paraId="189A765C" w14:textId="0818BB7F" w:rsidR="002F3A99" w:rsidRDefault="002F3A99">
      <w:pPr>
        <w:pStyle w:val="TOC1"/>
        <w:tabs>
          <w:tab w:val="left" w:pos="482"/>
          <w:tab w:val="right" w:leader="dot" w:pos="9010"/>
        </w:tabs>
        <w:rPr>
          <w:rFonts w:asciiTheme="minorHAnsi" w:eastAsiaTheme="minorEastAsia" w:hAnsiTheme="minorHAnsi" w:cstheme="minorBidi"/>
          <w:b w:val="0"/>
          <w:bCs w:val="0"/>
          <w:noProof/>
          <w:kern w:val="2"/>
          <w14:ligatures w14:val="standardContextual"/>
        </w:rPr>
      </w:pPr>
      <w:hyperlink w:anchor="_Toc204106687" w:history="1">
        <w:r w:rsidRPr="003925C9">
          <w:rPr>
            <w:rStyle w:val="Hyperlink"/>
            <w:noProof/>
          </w:rPr>
          <w:t>7.</w:t>
        </w:r>
        <w:r>
          <w:rPr>
            <w:rFonts w:asciiTheme="minorHAnsi" w:eastAsiaTheme="minorEastAsia" w:hAnsiTheme="minorHAnsi" w:cstheme="minorBidi"/>
            <w:b w:val="0"/>
            <w:bCs w:val="0"/>
            <w:noProof/>
            <w:kern w:val="2"/>
            <w14:ligatures w14:val="standardContextual"/>
          </w:rPr>
          <w:tab/>
        </w:r>
        <w:r w:rsidRPr="003925C9">
          <w:rPr>
            <w:rStyle w:val="Hyperlink"/>
            <w:noProof/>
          </w:rPr>
          <w:t>Appendices</w:t>
        </w:r>
        <w:r>
          <w:rPr>
            <w:noProof/>
            <w:webHidden/>
          </w:rPr>
          <w:tab/>
        </w:r>
        <w:r>
          <w:rPr>
            <w:noProof/>
            <w:webHidden/>
          </w:rPr>
          <w:fldChar w:fldCharType="begin"/>
        </w:r>
        <w:r>
          <w:rPr>
            <w:noProof/>
            <w:webHidden/>
          </w:rPr>
          <w:instrText xml:space="preserve"> PAGEREF _Toc204106687 \h </w:instrText>
        </w:r>
        <w:r>
          <w:rPr>
            <w:noProof/>
            <w:webHidden/>
          </w:rPr>
        </w:r>
        <w:r>
          <w:rPr>
            <w:noProof/>
            <w:webHidden/>
          </w:rPr>
          <w:fldChar w:fldCharType="separate"/>
        </w:r>
        <w:r w:rsidR="008549FC">
          <w:rPr>
            <w:noProof/>
            <w:webHidden/>
          </w:rPr>
          <w:t>279</w:t>
        </w:r>
        <w:r>
          <w:rPr>
            <w:noProof/>
            <w:webHidden/>
          </w:rPr>
          <w:fldChar w:fldCharType="end"/>
        </w:r>
      </w:hyperlink>
    </w:p>
    <w:p w14:paraId="78BB5EA4" w14:textId="4DF29A30"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88" w:history="1">
        <w:r w:rsidRPr="003925C9">
          <w:rPr>
            <w:rStyle w:val="Hyperlink"/>
            <w:noProof/>
          </w:rPr>
          <w:t>7.1.</w:t>
        </w:r>
        <w:r>
          <w:rPr>
            <w:rFonts w:asciiTheme="minorHAnsi" w:eastAsiaTheme="minorEastAsia" w:hAnsiTheme="minorHAnsi" w:cstheme="minorBidi"/>
            <w:b w:val="0"/>
            <w:bCs w:val="0"/>
            <w:noProof/>
            <w:kern w:val="2"/>
            <w14:ligatures w14:val="standardContextual"/>
          </w:rPr>
          <w:tab/>
        </w:r>
        <w:r w:rsidRPr="003925C9">
          <w:rPr>
            <w:rStyle w:val="Hyperlink"/>
            <w:noProof/>
          </w:rPr>
          <w:t>Supplementary data chapter 2</w:t>
        </w:r>
        <w:r>
          <w:rPr>
            <w:noProof/>
            <w:webHidden/>
          </w:rPr>
          <w:tab/>
        </w:r>
        <w:r>
          <w:rPr>
            <w:noProof/>
            <w:webHidden/>
          </w:rPr>
          <w:fldChar w:fldCharType="begin"/>
        </w:r>
        <w:r>
          <w:rPr>
            <w:noProof/>
            <w:webHidden/>
          </w:rPr>
          <w:instrText xml:space="preserve"> PAGEREF _Toc204106688 \h </w:instrText>
        </w:r>
        <w:r>
          <w:rPr>
            <w:noProof/>
            <w:webHidden/>
          </w:rPr>
        </w:r>
        <w:r>
          <w:rPr>
            <w:noProof/>
            <w:webHidden/>
          </w:rPr>
          <w:fldChar w:fldCharType="separate"/>
        </w:r>
        <w:r w:rsidR="008549FC">
          <w:rPr>
            <w:noProof/>
            <w:webHidden/>
          </w:rPr>
          <w:t>279</w:t>
        </w:r>
        <w:r>
          <w:rPr>
            <w:noProof/>
            <w:webHidden/>
          </w:rPr>
          <w:fldChar w:fldCharType="end"/>
        </w:r>
      </w:hyperlink>
    </w:p>
    <w:p w14:paraId="472AB4C3" w14:textId="2364797B"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89" w:history="1">
        <w:r w:rsidRPr="003925C9">
          <w:rPr>
            <w:rStyle w:val="Hyperlink"/>
            <w:noProof/>
          </w:rPr>
          <w:t>7.2.</w:t>
        </w:r>
        <w:r>
          <w:rPr>
            <w:rFonts w:asciiTheme="minorHAnsi" w:eastAsiaTheme="minorEastAsia" w:hAnsiTheme="minorHAnsi" w:cstheme="minorBidi"/>
            <w:b w:val="0"/>
            <w:bCs w:val="0"/>
            <w:noProof/>
            <w:kern w:val="2"/>
            <w14:ligatures w14:val="standardContextual"/>
          </w:rPr>
          <w:tab/>
        </w:r>
        <w:r w:rsidRPr="003925C9">
          <w:rPr>
            <w:rStyle w:val="Hyperlink"/>
            <w:noProof/>
          </w:rPr>
          <w:t>Supplementary data chapter 3</w:t>
        </w:r>
        <w:r>
          <w:rPr>
            <w:noProof/>
            <w:webHidden/>
          </w:rPr>
          <w:tab/>
        </w:r>
        <w:r>
          <w:rPr>
            <w:noProof/>
            <w:webHidden/>
          </w:rPr>
          <w:fldChar w:fldCharType="begin"/>
        </w:r>
        <w:r>
          <w:rPr>
            <w:noProof/>
            <w:webHidden/>
          </w:rPr>
          <w:instrText xml:space="preserve"> PAGEREF _Toc204106689 \h </w:instrText>
        </w:r>
        <w:r>
          <w:rPr>
            <w:noProof/>
            <w:webHidden/>
          </w:rPr>
        </w:r>
        <w:r>
          <w:rPr>
            <w:noProof/>
            <w:webHidden/>
          </w:rPr>
          <w:fldChar w:fldCharType="separate"/>
        </w:r>
        <w:r w:rsidR="008549FC">
          <w:rPr>
            <w:noProof/>
            <w:webHidden/>
          </w:rPr>
          <w:t>285</w:t>
        </w:r>
        <w:r>
          <w:rPr>
            <w:noProof/>
            <w:webHidden/>
          </w:rPr>
          <w:fldChar w:fldCharType="end"/>
        </w:r>
      </w:hyperlink>
    </w:p>
    <w:p w14:paraId="4C6567FE" w14:textId="542D3FFA" w:rsidR="002F3A99" w:rsidRDefault="002F3A99">
      <w:pPr>
        <w:pStyle w:val="TOC2"/>
        <w:tabs>
          <w:tab w:val="left" w:pos="960"/>
          <w:tab w:val="right" w:leader="dot" w:pos="9010"/>
        </w:tabs>
        <w:rPr>
          <w:rFonts w:asciiTheme="minorHAnsi" w:eastAsiaTheme="minorEastAsia" w:hAnsiTheme="minorHAnsi" w:cstheme="minorBidi"/>
          <w:b w:val="0"/>
          <w:bCs w:val="0"/>
          <w:noProof/>
          <w:kern w:val="2"/>
          <w14:ligatures w14:val="standardContextual"/>
        </w:rPr>
      </w:pPr>
      <w:hyperlink w:anchor="_Toc204106690" w:history="1">
        <w:r w:rsidRPr="003925C9">
          <w:rPr>
            <w:rStyle w:val="Hyperlink"/>
            <w:noProof/>
          </w:rPr>
          <w:t>7.3.</w:t>
        </w:r>
        <w:r>
          <w:rPr>
            <w:rFonts w:asciiTheme="minorHAnsi" w:eastAsiaTheme="minorEastAsia" w:hAnsiTheme="minorHAnsi" w:cstheme="minorBidi"/>
            <w:b w:val="0"/>
            <w:bCs w:val="0"/>
            <w:noProof/>
            <w:kern w:val="2"/>
            <w14:ligatures w14:val="standardContextual"/>
          </w:rPr>
          <w:tab/>
        </w:r>
        <w:r w:rsidRPr="003925C9">
          <w:rPr>
            <w:rStyle w:val="Hyperlink"/>
            <w:noProof/>
          </w:rPr>
          <w:t>Supplementary data chapter 4</w:t>
        </w:r>
        <w:r>
          <w:rPr>
            <w:noProof/>
            <w:webHidden/>
          </w:rPr>
          <w:tab/>
        </w:r>
        <w:r>
          <w:rPr>
            <w:noProof/>
            <w:webHidden/>
          </w:rPr>
          <w:fldChar w:fldCharType="begin"/>
        </w:r>
        <w:r>
          <w:rPr>
            <w:noProof/>
            <w:webHidden/>
          </w:rPr>
          <w:instrText xml:space="preserve"> PAGEREF _Toc204106690 \h </w:instrText>
        </w:r>
        <w:r>
          <w:rPr>
            <w:noProof/>
            <w:webHidden/>
          </w:rPr>
        </w:r>
        <w:r>
          <w:rPr>
            <w:noProof/>
            <w:webHidden/>
          </w:rPr>
          <w:fldChar w:fldCharType="separate"/>
        </w:r>
        <w:r w:rsidR="008549FC">
          <w:rPr>
            <w:noProof/>
            <w:webHidden/>
          </w:rPr>
          <w:t>304</w:t>
        </w:r>
        <w:r>
          <w:rPr>
            <w:noProof/>
            <w:webHidden/>
          </w:rPr>
          <w:fldChar w:fldCharType="end"/>
        </w:r>
      </w:hyperlink>
    </w:p>
    <w:p w14:paraId="44BC18B3" w14:textId="69535C3A" w:rsidR="00EE0C2F" w:rsidRDefault="00FB3578" w:rsidP="00EE0C2F">
      <w:pPr>
        <w:sectPr w:rsidR="00EE0C2F" w:rsidSect="00B541B4">
          <w:headerReference w:type="default" r:id="rId24"/>
          <w:pgSz w:w="11900" w:h="16840" w:code="9"/>
          <w:pgMar w:top="1440" w:right="1440" w:bottom="1440" w:left="1440" w:header="720" w:footer="720" w:gutter="0"/>
          <w:cols w:space="720"/>
          <w:docGrid w:linePitch="360"/>
        </w:sectPr>
      </w:pPr>
      <w:r w:rsidRPr="009819CE">
        <w:fldChar w:fldCharType="end"/>
      </w:r>
    </w:p>
    <w:p w14:paraId="3434AB17" w14:textId="0714731B" w:rsidR="00BA3327" w:rsidRPr="009819CE" w:rsidRDefault="004E2609" w:rsidP="00EE0C2F">
      <w:pPr>
        <w:pStyle w:val="Heading1"/>
        <w:numPr>
          <w:ilvl w:val="0"/>
          <w:numId w:val="6"/>
        </w:numPr>
      </w:pPr>
      <w:bookmarkStart w:id="16" w:name="_Toc204106587"/>
      <w:r w:rsidRPr="009819CE">
        <w:t xml:space="preserve">List of </w:t>
      </w:r>
      <w:r w:rsidR="008E565E">
        <w:t>f</w:t>
      </w:r>
      <w:r w:rsidRPr="009819CE">
        <w:t>igures</w:t>
      </w:r>
      <w:bookmarkEnd w:id="16"/>
    </w:p>
    <w:p w14:paraId="360257DD" w14:textId="768452F9" w:rsidR="002F3A99" w:rsidRDefault="00FB3578">
      <w:pPr>
        <w:pStyle w:val="TableofFigures"/>
        <w:tabs>
          <w:tab w:val="right" w:leader="dot" w:pos="9010"/>
        </w:tabs>
        <w:rPr>
          <w:rFonts w:asciiTheme="minorHAnsi" w:eastAsiaTheme="minorEastAsia" w:hAnsiTheme="minorHAnsi" w:cstheme="minorBidi"/>
          <w:noProof/>
          <w:kern w:val="2"/>
          <w:szCs w:val="24"/>
          <w14:ligatures w14:val="standardContextual"/>
        </w:rPr>
      </w:pPr>
      <w:r w:rsidRPr="009819CE">
        <w:rPr>
          <w:rFonts w:cstheme="minorBidi"/>
          <w:color w:val="000000" w:themeColor="text1"/>
          <w:szCs w:val="24"/>
        </w:rPr>
        <w:fldChar w:fldCharType="begin"/>
      </w:r>
      <w:r w:rsidRPr="009819CE">
        <w:rPr>
          <w:rFonts w:cstheme="minorBidi"/>
          <w:color w:val="000000" w:themeColor="text1"/>
          <w:szCs w:val="24"/>
        </w:rPr>
        <w:instrText xml:space="preserve"> TOC \h \z \c "Figure" </w:instrText>
      </w:r>
      <w:r w:rsidRPr="009819CE">
        <w:rPr>
          <w:rFonts w:cstheme="minorBidi"/>
          <w:color w:val="000000" w:themeColor="text1"/>
          <w:szCs w:val="24"/>
        </w:rPr>
        <w:fldChar w:fldCharType="separate"/>
      </w:r>
      <w:hyperlink w:anchor="_Toc204106691" w:history="1">
        <w:r w:rsidR="002F3A99" w:rsidRPr="00535F9D">
          <w:rPr>
            <w:rStyle w:val="Hyperlink"/>
            <w:rFonts w:eastAsia="Calibri"/>
            <w:b/>
            <w:iCs/>
            <w:noProof/>
          </w:rPr>
          <w:t>Figure 1.1</w:t>
        </w:r>
        <w:r w:rsidR="002F3A99" w:rsidRPr="00535F9D">
          <w:rPr>
            <w:rStyle w:val="Hyperlink"/>
            <w:rFonts w:eastAsia="Calibri"/>
            <w:iCs/>
            <w:noProof/>
          </w:rPr>
          <w:t xml:space="preserve"> A) Dorsal and B) lateral view of </w:t>
        </w:r>
        <w:r w:rsidR="002F3A99" w:rsidRPr="00535F9D">
          <w:rPr>
            <w:rStyle w:val="Hyperlink"/>
            <w:rFonts w:eastAsia="Calibri"/>
            <w:i/>
            <w:noProof/>
          </w:rPr>
          <w:t>Nephrops norvegicus</w:t>
        </w:r>
        <w:r w:rsidR="002F3A99" w:rsidRPr="00535F9D">
          <w:rPr>
            <w:rStyle w:val="Hyperlink"/>
            <w:rFonts w:eastAsia="Calibri"/>
            <w:iCs/>
            <w:noProof/>
          </w:rPr>
          <w:t xml:space="preserve">. C) Ventral view of </w:t>
        </w:r>
        <w:r w:rsidR="002F3A99" w:rsidRPr="00535F9D">
          <w:rPr>
            <w:rStyle w:val="Hyperlink"/>
            <w:rFonts w:eastAsia="Calibri"/>
            <w:i/>
            <w:noProof/>
          </w:rPr>
          <w:t>Nephrops norvegicus</w:t>
        </w:r>
        <w:r w:rsidR="002F3A99" w:rsidRPr="00535F9D">
          <w:rPr>
            <w:rStyle w:val="Hyperlink"/>
            <w:rFonts w:eastAsia="Calibri"/>
            <w:iCs/>
            <w:noProof/>
          </w:rPr>
          <w:t xml:space="preserve"> male and female. Differences between male and female pleopods are labelled. Artist: Pont-Trullen, I.</w:t>
        </w:r>
        <w:r w:rsidR="002F3A99">
          <w:rPr>
            <w:noProof/>
            <w:webHidden/>
          </w:rPr>
          <w:tab/>
        </w:r>
        <w:r w:rsidR="002F3A99">
          <w:rPr>
            <w:noProof/>
            <w:webHidden/>
          </w:rPr>
          <w:fldChar w:fldCharType="begin"/>
        </w:r>
        <w:r w:rsidR="002F3A99">
          <w:rPr>
            <w:noProof/>
            <w:webHidden/>
          </w:rPr>
          <w:instrText xml:space="preserve"> PAGEREF _Toc204106691 \h </w:instrText>
        </w:r>
        <w:r w:rsidR="002F3A99">
          <w:rPr>
            <w:noProof/>
            <w:webHidden/>
          </w:rPr>
        </w:r>
        <w:r w:rsidR="002F3A99">
          <w:rPr>
            <w:noProof/>
            <w:webHidden/>
          </w:rPr>
          <w:fldChar w:fldCharType="separate"/>
        </w:r>
        <w:r w:rsidR="008549FC">
          <w:rPr>
            <w:noProof/>
            <w:webHidden/>
          </w:rPr>
          <w:t>38</w:t>
        </w:r>
        <w:r w:rsidR="002F3A99">
          <w:rPr>
            <w:noProof/>
            <w:webHidden/>
          </w:rPr>
          <w:fldChar w:fldCharType="end"/>
        </w:r>
      </w:hyperlink>
    </w:p>
    <w:p w14:paraId="12F18497" w14:textId="61960D5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2" w:history="1">
        <w:r w:rsidRPr="00535F9D">
          <w:rPr>
            <w:rStyle w:val="Hyperlink"/>
            <w:rFonts w:eastAsia="Calibri"/>
            <w:b/>
            <w:iCs/>
            <w:noProof/>
          </w:rPr>
          <w:t>Figure 1.2</w:t>
        </w:r>
        <w:r w:rsidRPr="00535F9D">
          <w:rPr>
            <w:rStyle w:val="Hyperlink"/>
            <w:rFonts w:eastAsia="Calibri"/>
            <w:iCs/>
            <w:noProof/>
          </w:rPr>
          <w:t xml:space="preserve"> Species records for </w:t>
        </w:r>
        <w:r w:rsidRPr="00535F9D">
          <w:rPr>
            <w:rStyle w:val="Hyperlink"/>
            <w:rFonts w:eastAsia="Calibri"/>
            <w:i/>
            <w:noProof/>
          </w:rPr>
          <w:t>Nephrops norvegicus</w:t>
        </w:r>
        <w:r w:rsidRPr="00535F9D">
          <w:rPr>
            <w:rStyle w:val="Hyperlink"/>
            <w:rFonts w:eastAsia="Calibri"/>
            <w:iCs/>
            <w:noProof/>
          </w:rPr>
          <w:t xml:space="preserve"> in the OBIS database. Source: Johnson et al. (2013).</w:t>
        </w:r>
        <w:r>
          <w:rPr>
            <w:noProof/>
            <w:webHidden/>
          </w:rPr>
          <w:tab/>
        </w:r>
        <w:r>
          <w:rPr>
            <w:noProof/>
            <w:webHidden/>
          </w:rPr>
          <w:fldChar w:fldCharType="begin"/>
        </w:r>
        <w:r>
          <w:rPr>
            <w:noProof/>
            <w:webHidden/>
          </w:rPr>
          <w:instrText xml:space="preserve"> PAGEREF _Toc204106692 \h </w:instrText>
        </w:r>
        <w:r>
          <w:rPr>
            <w:noProof/>
            <w:webHidden/>
          </w:rPr>
        </w:r>
        <w:r>
          <w:rPr>
            <w:noProof/>
            <w:webHidden/>
          </w:rPr>
          <w:fldChar w:fldCharType="separate"/>
        </w:r>
        <w:r w:rsidR="008549FC">
          <w:rPr>
            <w:noProof/>
            <w:webHidden/>
          </w:rPr>
          <w:t>39</w:t>
        </w:r>
        <w:r>
          <w:rPr>
            <w:noProof/>
            <w:webHidden/>
          </w:rPr>
          <w:fldChar w:fldCharType="end"/>
        </w:r>
      </w:hyperlink>
    </w:p>
    <w:p w14:paraId="56785D63" w14:textId="3C6B0234"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3" w:history="1">
        <w:r w:rsidRPr="00535F9D">
          <w:rPr>
            <w:rStyle w:val="Hyperlink"/>
            <w:rFonts w:eastAsia="Calibri"/>
            <w:b/>
            <w:iCs/>
            <w:noProof/>
          </w:rPr>
          <w:t>Figure 1.3</w:t>
        </w:r>
        <w:r w:rsidRPr="00535F9D">
          <w:rPr>
            <w:rStyle w:val="Hyperlink"/>
            <w:rFonts w:eastAsia="Calibri"/>
            <w:iCs/>
            <w:noProof/>
          </w:rPr>
          <w:t xml:space="preserve"> Life cycle of </w:t>
        </w:r>
        <w:r w:rsidRPr="00535F9D">
          <w:rPr>
            <w:rStyle w:val="Hyperlink"/>
            <w:rFonts w:eastAsia="Calibri"/>
            <w:i/>
            <w:iCs/>
            <w:noProof/>
          </w:rPr>
          <w:t>Nephrops norvegicus</w:t>
        </w:r>
        <w:r w:rsidRPr="00535F9D">
          <w:rPr>
            <w:rStyle w:val="Hyperlink"/>
            <w:rFonts w:eastAsia="Calibri"/>
            <w:iCs/>
            <w:noProof/>
          </w:rPr>
          <w:t>. Source: Powell and Eriksson (2013) after (Santucci, 1926).</w:t>
        </w:r>
        <w:r>
          <w:rPr>
            <w:noProof/>
            <w:webHidden/>
          </w:rPr>
          <w:tab/>
        </w:r>
        <w:r>
          <w:rPr>
            <w:noProof/>
            <w:webHidden/>
          </w:rPr>
          <w:fldChar w:fldCharType="begin"/>
        </w:r>
        <w:r>
          <w:rPr>
            <w:noProof/>
            <w:webHidden/>
          </w:rPr>
          <w:instrText xml:space="preserve"> PAGEREF _Toc204106693 \h </w:instrText>
        </w:r>
        <w:r>
          <w:rPr>
            <w:noProof/>
            <w:webHidden/>
          </w:rPr>
        </w:r>
        <w:r>
          <w:rPr>
            <w:noProof/>
            <w:webHidden/>
          </w:rPr>
          <w:fldChar w:fldCharType="separate"/>
        </w:r>
        <w:r w:rsidR="008549FC">
          <w:rPr>
            <w:noProof/>
            <w:webHidden/>
          </w:rPr>
          <w:t>42</w:t>
        </w:r>
        <w:r>
          <w:rPr>
            <w:noProof/>
            <w:webHidden/>
          </w:rPr>
          <w:fldChar w:fldCharType="end"/>
        </w:r>
      </w:hyperlink>
    </w:p>
    <w:p w14:paraId="62A37235" w14:textId="6E9373B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4" w:history="1">
        <w:r w:rsidRPr="00535F9D">
          <w:rPr>
            <w:rStyle w:val="Hyperlink"/>
            <w:rFonts w:eastAsia="Calibri"/>
            <w:b/>
            <w:iCs/>
            <w:noProof/>
          </w:rPr>
          <w:t>Figure 1.4</w:t>
        </w:r>
        <w:r w:rsidRPr="00535F9D">
          <w:rPr>
            <w:rStyle w:val="Hyperlink"/>
            <w:rFonts w:eastAsia="Calibri"/>
            <w:iCs/>
            <w:noProof/>
          </w:rPr>
          <w:t xml:space="preserve"> Map of the Clyde Sea Area (CSA) on the west coast of Scotland.  The boundary of the CSA is depicted by a black line running from the southern end of the Mull of Kintyre to Corsewall Point. Source: Scottish Government (2021).</w:t>
        </w:r>
        <w:r>
          <w:rPr>
            <w:noProof/>
            <w:webHidden/>
          </w:rPr>
          <w:tab/>
        </w:r>
        <w:r>
          <w:rPr>
            <w:noProof/>
            <w:webHidden/>
          </w:rPr>
          <w:fldChar w:fldCharType="begin"/>
        </w:r>
        <w:r>
          <w:rPr>
            <w:noProof/>
            <w:webHidden/>
          </w:rPr>
          <w:instrText xml:space="preserve"> PAGEREF _Toc204106694 \h </w:instrText>
        </w:r>
        <w:r>
          <w:rPr>
            <w:noProof/>
            <w:webHidden/>
          </w:rPr>
        </w:r>
        <w:r>
          <w:rPr>
            <w:noProof/>
            <w:webHidden/>
          </w:rPr>
          <w:fldChar w:fldCharType="separate"/>
        </w:r>
        <w:r w:rsidR="008549FC">
          <w:rPr>
            <w:noProof/>
            <w:webHidden/>
          </w:rPr>
          <w:t>46</w:t>
        </w:r>
        <w:r>
          <w:rPr>
            <w:noProof/>
            <w:webHidden/>
          </w:rPr>
          <w:fldChar w:fldCharType="end"/>
        </w:r>
      </w:hyperlink>
    </w:p>
    <w:p w14:paraId="336153E4" w14:textId="759B7A86"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5" w:history="1">
        <w:r w:rsidRPr="00535F9D">
          <w:rPr>
            <w:rStyle w:val="Hyperlink"/>
            <w:rFonts w:eastAsia="Calibri"/>
            <w:b/>
            <w:bCs/>
            <w:iCs/>
            <w:noProof/>
          </w:rPr>
          <w:t>Figure 1.5</w:t>
        </w:r>
        <w:r w:rsidRPr="00535F9D">
          <w:rPr>
            <w:rStyle w:val="Hyperlink"/>
            <w:rFonts w:eastAsia="Calibri"/>
            <w:iCs/>
            <w:noProof/>
          </w:rPr>
          <w:t xml:space="preserve"> Landings of the main demersal fish species and </w:t>
        </w:r>
        <w:r w:rsidRPr="00535F9D">
          <w:rPr>
            <w:rStyle w:val="Hyperlink"/>
            <w:rFonts w:eastAsia="Calibri"/>
            <w:i/>
            <w:iCs/>
            <w:noProof/>
          </w:rPr>
          <w:t>Nephrops</w:t>
        </w:r>
        <w:r w:rsidRPr="00535F9D">
          <w:rPr>
            <w:rStyle w:val="Hyperlink"/>
            <w:rFonts w:eastAsia="Calibri"/>
            <w:iCs/>
            <w:noProof/>
          </w:rPr>
          <w:t xml:space="preserve"> in the CSA since 1960. Source: McIntyre et al. (2012).</w:t>
        </w:r>
        <w:r>
          <w:rPr>
            <w:noProof/>
            <w:webHidden/>
          </w:rPr>
          <w:tab/>
        </w:r>
        <w:r>
          <w:rPr>
            <w:noProof/>
            <w:webHidden/>
          </w:rPr>
          <w:fldChar w:fldCharType="begin"/>
        </w:r>
        <w:r>
          <w:rPr>
            <w:noProof/>
            <w:webHidden/>
          </w:rPr>
          <w:instrText xml:space="preserve"> PAGEREF _Toc204106695 \h </w:instrText>
        </w:r>
        <w:r>
          <w:rPr>
            <w:noProof/>
            <w:webHidden/>
          </w:rPr>
        </w:r>
        <w:r>
          <w:rPr>
            <w:noProof/>
            <w:webHidden/>
          </w:rPr>
          <w:fldChar w:fldCharType="separate"/>
        </w:r>
        <w:r w:rsidR="008549FC">
          <w:rPr>
            <w:noProof/>
            <w:webHidden/>
          </w:rPr>
          <w:t>47</w:t>
        </w:r>
        <w:r>
          <w:rPr>
            <w:noProof/>
            <w:webHidden/>
          </w:rPr>
          <w:fldChar w:fldCharType="end"/>
        </w:r>
      </w:hyperlink>
    </w:p>
    <w:p w14:paraId="37DC163D" w14:textId="01E3055F"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6" w:history="1">
        <w:r w:rsidRPr="00535F9D">
          <w:rPr>
            <w:rStyle w:val="Hyperlink"/>
            <w:rFonts w:eastAsia="Calibri"/>
            <w:b/>
            <w:iCs/>
            <w:noProof/>
          </w:rPr>
          <w:t>Figure 1.6</w:t>
        </w:r>
        <w:r w:rsidRPr="00535F9D">
          <w:rPr>
            <w:rStyle w:val="Hyperlink"/>
            <w:rFonts w:eastAsia="Calibri"/>
            <w:iCs/>
            <w:noProof/>
          </w:rPr>
          <w:t xml:space="preserve"> The global distribution and diversity of the parasitic dinoflagellate </w:t>
        </w:r>
        <w:r w:rsidRPr="00535F9D">
          <w:rPr>
            <w:rStyle w:val="Hyperlink"/>
            <w:rFonts w:eastAsia="Calibri"/>
            <w:i/>
            <w:iCs/>
            <w:noProof/>
          </w:rPr>
          <w:t>Hematodinium</w:t>
        </w:r>
        <w:r w:rsidRPr="00535F9D">
          <w:rPr>
            <w:rStyle w:val="Hyperlink"/>
            <w:rFonts w:eastAsia="Calibri"/>
            <w:iCs/>
            <w:noProof/>
          </w:rPr>
          <w:t>. Note blue dots (</w:t>
        </w:r>
        <w:r w:rsidRPr="00535F9D">
          <w:rPr>
            <w:rStyle w:val="Hyperlink"/>
            <w:rFonts w:eastAsia="Calibri"/>
            <w:i/>
            <w:iCs/>
            <w:noProof/>
          </w:rPr>
          <w:t>Hematodinium perezi</w:t>
        </w:r>
        <w:r w:rsidRPr="00535F9D">
          <w:rPr>
            <w:rStyle w:val="Hyperlink"/>
            <w:rFonts w:eastAsia="Calibri"/>
            <w:iCs/>
            <w:noProof/>
          </w:rPr>
          <w:t>); red dots (</w:t>
        </w:r>
        <w:r w:rsidRPr="00535F9D">
          <w:rPr>
            <w:rStyle w:val="Hyperlink"/>
            <w:rFonts w:eastAsia="Calibri"/>
            <w:i/>
            <w:iCs/>
            <w:noProof/>
          </w:rPr>
          <w:t>Hematodinium australis</w:t>
        </w:r>
        <w:r w:rsidRPr="00535F9D">
          <w:rPr>
            <w:rStyle w:val="Hyperlink"/>
            <w:rFonts w:eastAsia="Calibri"/>
            <w:iCs/>
            <w:noProof/>
          </w:rPr>
          <w:t xml:space="preserve">); pink dots (other unclassified </w:t>
        </w:r>
        <w:r w:rsidRPr="00535F9D">
          <w:rPr>
            <w:rStyle w:val="Hyperlink"/>
            <w:rFonts w:eastAsia="Calibri"/>
            <w:i/>
            <w:iCs/>
            <w:noProof/>
          </w:rPr>
          <w:t>Hematodinium</w:t>
        </w:r>
        <w:r w:rsidRPr="00535F9D">
          <w:rPr>
            <w:rStyle w:val="Hyperlink"/>
            <w:rFonts w:eastAsia="Calibri"/>
            <w:iCs/>
            <w:noProof/>
          </w:rPr>
          <w:t xml:space="preserve"> species). Source: Li et al. (2021a).</w:t>
        </w:r>
        <w:r>
          <w:rPr>
            <w:noProof/>
            <w:webHidden/>
          </w:rPr>
          <w:tab/>
        </w:r>
        <w:r>
          <w:rPr>
            <w:noProof/>
            <w:webHidden/>
          </w:rPr>
          <w:fldChar w:fldCharType="begin"/>
        </w:r>
        <w:r>
          <w:rPr>
            <w:noProof/>
            <w:webHidden/>
          </w:rPr>
          <w:instrText xml:space="preserve"> PAGEREF _Toc204106696 \h </w:instrText>
        </w:r>
        <w:r>
          <w:rPr>
            <w:noProof/>
            <w:webHidden/>
          </w:rPr>
        </w:r>
        <w:r>
          <w:rPr>
            <w:noProof/>
            <w:webHidden/>
          </w:rPr>
          <w:fldChar w:fldCharType="separate"/>
        </w:r>
        <w:r w:rsidR="008549FC">
          <w:rPr>
            <w:noProof/>
            <w:webHidden/>
          </w:rPr>
          <w:t>49</w:t>
        </w:r>
        <w:r>
          <w:rPr>
            <w:noProof/>
            <w:webHidden/>
          </w:rPr>
          <w:fldChar w:fldCharType="end"/>
        </w:r>
      </w:hyperlink>
    </w:p>
    <w:p w14:paraId="114DF5C9" w14:textId="450F13F4"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7" w:history="1">
        <w:r w:rsidRPr="00535F9D">
          <w:rPr>
            <w:rStyle w:val="Hyperlink"/>
            <w:rFonts w:eastAsia="Calibri"/>
            <w:b/>
            <w:iCs/>
            <w:noProof/>
          </w:rPr>
          <w:t>Figure 1.7</w:t>
        </w:r>
        <w:r w:rsidRPr="00535F9D">
          <w:rPr>
            <w:rStyle w:val="Hyperlink"/>
            <w:rFonts w:eastAsia="Calibri"/>
            <w:iCs/>
            <w:noProof/>
          </w:rPr>
          <w:t xml:space="preserve"> Developmental cycle of </w:t>
        </w:r>
        <w:r w:rsidRPr="00535F9D">
          <w:rPr>
            <w:rStyle w:val="Hyperlink"/>
            <w:rFonts w:eastAsia="Calibri"/>
            <w:i/>
            <w:iCs/>
            <w:noProof/>
          </w:rPr>
          <w:t>in vitro</w:t>
        </w:r>
        <w:r w:rsidRPr="00535F9D">
          <w:rPr>
            <w:rStyle w:val="Hyperlink"/>
            <w:rFonts w:eastAsia="Calibri"/>
            <w:iCs/>
            <w:noProof/>
          </w:rPr>
          <w:t xml:space="preserve">-cultured </w:t>
        </w:r>
        <w:r w:rsidRPr="00535F9D">
          <w:rPr>
            <w:rStyle w:val="Hyperlink"/>
            <w:rFonts w:eastAsia="Calibri"/>
            <w:i/>
            <w:iCs/>
            <w:noProof/>
          </w:rPr>
          <w:t>Hematodinium</w:t>
        </w:r>
        <w:r w:rsidRPr="00535F9D">
          <w:rPr>
            <w:rStyle w:val="Hyperlink"/>
            <w:rFonts w:eastAsia="Calibri"/>
            <w:iCs/>
            <w:noProof/>
          </w:rPr>
          <w:t xml:space="preserve"> sp. derived from </w:t>
        </w:r>
        <w:r w:rsidRPr="00535F9D">
          <w:rPr>
            <w:rStyle w:val="Hyperlink"/>
            <w:rFonts w:eastAsia="Calibri"/>
            <w:i/>
            <w:iCs/>
            <w:noProof/>
          </w:rPr>
          <w:t>Nephrops norvegicus</w:t>
        </w:r>
        <w:r w:rsidRPr="00535F9D">
          <w:rPr>
            <w:rStyle w:val="Hyperlink"/>
            <w:rFonts w:eastAsia="Calibri"/>
            <w:iCs/>
            <w:noProof/>
          </w:rPr>
          <w:t>. Adapted from Appleton and Vickerman (1998). Artist: Pont-Trullen, I.</w:t>
        </w:r>
        <w:r>
          <w:rPr>
            <w:noProof/>
            <w:webHidden/>
          </w:rPr>
          <w:tab/>
        </w:r>
        <w:r>
          <w:rPr>
            <w:noProof/>
            <w:webHidden/>
          </w:rPr>
          <w:fldChar w:fldCharType="begin"/>
        </w:r>
        <w:r>
          <w:rPr>
            <w:noProof/>
            <w:webHidden/>
          </w:rPr>
          <w:instrText xml:space="preserve"> PAGEREF _Toc204106697 \h </w:instrText>
        </w:r>
        <w:r>
          <w:rPr>
            <w:noProof/>
            <w:webHidden/>
          </w:rPr>
        </w:r>
        <w:r>
          <w:rPr>
            <w:noProof/>
            <w:webHidden/>
          </w:rPr>
          <w:fldChar w:fldCharType="separate"/>
        </w:r>
        <w:r w:rsidR="008549FC">
          <w:rPr>
            <w:noProof/>
            <w:webHidden/>
          </w:rPr>
          <w:t>54</w:t>
        </w:r>
        <w:r>
          <w:rPr>
            <w:noProof/>
            <w:webHidden/>
          </w:rPr>
          <w:fldChar w:fldCharType="end"/>
        </w:r>
      </w:hyperlink>
    </w:p>
    <w:p w14:paraId="76DAC867" w14:textId="5A1B9CC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8" w:history="1">
        <w:r w:rsidRPr="00535F9D">
          <w:rPr>
            <w:rStyle w:val="Hyperlink"/>
            <w:rFonts w:eastAsia="Calibri"/>
            <w:b/>
            <w:bCs/>
            <w:noProof/>
          </w:rPr>
          <w:t>Figure 1.8</w:t>
        </w:r>
        <w:r w:rsidRPr="00535F9D">
          <w:rPr>
            <w:rStyle w:val="Hyperlink"/>
            <w:rFonts w:eastAsia="Calibri"/>
            <w:noProof/>
          </w:rPr>
          <w:t xml:space="preserve"> Morphological observation of the </w:t>
        </w:r>
        <w:r w:rsidRPr="00535F9D">
          <w:rPr>
            <w:rStyle w:val="Hyperlink"/>
            <w:rFonts w:eastAsia="Calibri"/>
            <w:i/>
            <w:iCs/>
            <w:noProof/>
          </w:rPr>
          <w:t>in vitro</w:t>
        </w:r>
        <w:r w:rsidRPr="00535F9D">
          <w:rPr>
            <w:rStyle w:val="Hyperlink"/>
            <w:rFonts w:eastAsia="Calibri"/>
            <w:noProof/>
          </w:rPr>
          <w:t xml:space="preserve"> life stages of </w:t>
        </w:r>
        <w:r w:rsidRPr="00535F9D">
          <w:rPr>
            <w:rStyle w:val="Hyperlink"/>
            <w:rFonts w:eastAsia="Calibri"/>
            <w:i/>
            <w:iCs/>
            <w:noProof/>
          </w:rPr>
          <w:t>Hematodinium</w:t>
        </w:r>
        <w:r w:rsidRPr="00535F9D">
          <w:rPr>
            <w:rStyle w:val="Hyperlink"/>
            <w:rFonts w:eastAsia="Calibri"/>
            <w:noProof/>
          </w:rPr>
          <w:t xml:space="preserve"> sp. isolated from </w:t>
        </w:r>
        <w:r w:rsidRPr="00535F9D">
          <w:rPr>
            <w:rStyle w:val="Hyperlink"/>
            <w:rFonts w:eastAsia="Calibri"/>
            <w:i/>
            <w:iCs/>
            <w:noProof/>
          </w:rPr>
          <w:t>Nephrops norvegicus</w:t>
        </w:r>
        <w:r w:rsidRPr="00535F9D">
          <w:rPr>
            <w:rStyle w:val="Hyperlink"/>
            <w:rFonts w:eastAsia="Calibri"/>
            <w:noProof/>
          </w:rPr>
          <w:t xml:space="preserve"> A) Clump colony; B) Ameboid/ filamentous trophonts; C) Ameboid/ filamentous trophonts dividing by dinomitosis; D) Gorgonlock trophont colony; E) </w:t>
        </w:r>
        <w:r w:rsidRPr="00535F9D">
          <w:rPr>
            <w:rStyle w:val="Hyperlink"/>
            <w:rFonts w:eastAsiaTheme="majorEastAsia"/>
            <w:noProof/>
          </w:rPr>
          <w:t>substrate adhesion</w:t>
        </w:r>
        <w:r w:rsidRPr="00535F9D">
          <w:rPr>
            <w:rStyle w:val="Hyperlink"/>
            <w:rFonts w:eastAsia="Calibri"/>
            <w:noProof/>
          </w:rPr>
          <w:t xml:space="preserve"> of ameboid trophont  F) arachnoid trophont; G) arachnoid sporont; H) sporoblast (sb) releasing </w:t>
        </w:r>
        <w:r w:rsidRPr="00535F9D">
          <w:rPr>
            <w:rStyle w:val="Hyperlink"/>
            <w:rFonts w:eastAsiaTheme="majorEastAsia"/>
            <w:noProof/>
          </w:rPr>
          <w:t>microspore-like structures (black arrows).</w:t>
        </w:r>
        <w:r w:rsidRPr="00535F9D">
          <w:rPr>
            <w:rStyle w:val="Hyperlink"/>
            <w:rFonts w:eastAsia="Calibri"/>
            <w:noProof/>
          </w:rPr>
          <w:t xml:space="preserve"> </w:t>
        </w:r>
        <w:r w:rsidRPr="00535F9D">
          <w:rPr>
            <w:rStyle w:val="Hyperlink"/>
            <w:rFonts w:eastAsia="Calibri"/>
            <w:iCs/>
            <w:noProof/>
          </w:rPr>
          <w:t>Author: Martín, I.</w:t>
        </w:r>
        <w:r>
          <w:rPr>
            <w:noProof/>
            <w:webHidden/>
          </w:rPr>
          <w:tab/>
        </w:r>
        <w:r>
          <w:rPr>
            <w:noProof/>
            <w:webHidden/>
          </w:rPr>
          <w:fldChar w:fldCharType="begin"/>
        </w:r>
        <w:r>
          <w:rPr>
            <w:noProof/>
            <w:webHidden/>
          </w:rPr>
          <w:instrText xml:space="preserve"> PAGEREF _Toc204106698 \h </w:instrText>
        </w:r>
        <w:r>
          <w:rPr>
            <w:noProof/>
            <w:webHidden/>
          </w:rPr>
        </w:r>
        <w:r>
          <w:rPr>
            <w:noProof/>
            <w:webHidden/>
          </w:rPr>
          <w:fldChar w:fldCharType="separate"/>
        </w:r>
        <w:r w:rsidR="008549FC">
          <w:rPr>
            <w:noProof/>
            <w:webHidden/>
          </w:rPr>
          <w:t>55</w:t>
        </w:r>
        <w:r>
          <w:rPr>
            <w:noProof/>
            <w:webHidden/>
          </w:rPr>
          <w:fldChar w:fldCharType="end"/>
        </w:r>
      </w:hyperlink>
    </w:p>
    <w:p w14:paraId="424713F3" w14:textId="78D6C4B2"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699" w:history="1">
        <w:r w:rsidRPr="00535F9D">
          <w:rPr>
            <w:rStyle w:val="Hyperlink"/>
            <w:rFonts w:eastAsia="Calibri"/>
            <w:b/>
            <w:iCs/>
            <w:noProof/>
          </w:rPr>
          <w:t>Figure 1.9</w:t>
        </w:r>
        <w:r w:rsidRPr="00535F9D">
          <w:rPr>
            <w:rStyle w:val="Hyperlink"/>
            <w:rFonts w:eastAsia="Calibri"/>
            <w:iCs/>
            <w:noProof/>
          </w:rPr>
          <w:t xml:space="preserve"> </w:t>
        </w:r>
        <w:r w:rsidRPr="00535F9D">
          <w:rPr>
            <w:rStyle w:val="Hyperlink"/>
            <w:rFonts w:eastAsia="Calibri"/>
            <w:iCs/>
            <w:noProof/>
            <w:shd w:val="clear" w:color="auto" w:fill="FFFFFF"/>
          </w:rPr>
          <w:t xml:space="preserve">Mature (4-day-old) dinospores from primary </w:t>
        </w:r>
        <w:r w:rsidRPr="00535F9D">
          <w:rPr>
            <w:rStyle w:val="Hyperlink"/>
            <w:rFonts w:eastAsia="Calibri"/>
            <w:i/>
            <w:noProof/>
            <w:shd w:val="clear" w:color="auto" w:fill="FFFFFF"/>
          </w:rPr>
          <w:t>in vitro</w:t>
        </w:r>
        <w:r w:rsidRPr="00535F9D">
          <w:rPr>
            <w:rStyle w:val="Hyperlink"/>
            <w:rFonts w:eastAsia="Calibri"/>
            <w:iCs/>
            <w:noProof/>
            <w:shd w:val="clear" w:color="auto" w:fill="FFFFFF"/>
          </w:rPr>
          <w:t xml:space="preserve"> cultures. Scanning electron microscopy. (A) Macrospore (B) Microspore C) Image of spores being released from a heavily infected </w:t>
        </w:r>
        <w:r w:rsidRPr="00535F9D">
          <w:rPr>
            <w:rStyle w:val="Hyperlink"/>
            <w:rFonts w:eastAsia="Calibri"/>
            <w:i/>
            <w:iCs/>
            <w:noProof/>
            <w:shd w:val="clear" w:color="auto" w:fill="FFFFFF"/>
          </w:rPr>
          <w:t>Nephrops norvegicus</w:t>
        </w:r>
        <w:r w:rsidRPr="00535F9D">
          <w:rPr>
            <w:rStyle w:val="Hyperlink"/>
            <w:rFonts w:eastAsia="Calibri"/>
            <w:iCs/>
            <w:noProof/>
            <w:shd w:val="clear" w:color="auto" w:fill="FFFFFF"/>
          </w:rPr>
          <w:t xml:space="preserve"> during sporulation (black arrow highlights spore cloud). Source: Appleton and Vickerman (1998) and (Appleton, 1996).</w:t>
        </w:r>
        <w:r>
          <w:rPr>
            <w:noProof/>
            <w:webHidden/>
          </w:rPr>
          <w:tab/>
        </w:r>
        <w:r>
          <w:rPr>
            <w:noProof/>
            <w:webHidden/>
          </w:rPr>
          <w:fldChar w:fldCharType="begin"/>
        </w:r>
        <w:r>
          <w:rPr>
            <w:noProof/>
            <w:webHidden/>
          </w:rPr>
          <w:instrText xml:space="preserve"> PAGEREF _Toc204106699 \h </w:instrText>
        </w:r>
        <w:r>
          <w:rPr>
            <w:noProof/>
            <w:webHidden/>
          </w:rPr>
        </w:r>
        <w:r>
          <w:rPr>
            <w:noProof/>
            <w:webHidden/>
          </w:rPr>
          <w:fldChar w:fldCharType="separate"/>
        </w:r>
        <w:r w:rsidR="008549FC">
          <w:rPr>
            <w:noProof/>
            <w:webHidden/>
          </w:rPr>
          <w:t>56</w:t>
        </w:r>
        <w:r>
          <w:rPr>
            <w:noProof/>
            <w:webHidden/>
          </w:rPr>
          <w:fldChar w:fldCharType="end"/>
        </w:r>
      </w:hyperlink>
    </w:p>
    <w:p w14:paraId="3BD526EC" w14:textId="05908C2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0" w:history="1">
        <w:r w:rsidRPr="00535F9D">
          <w:rPr>
            <w:rStyle w:val="Hyperlink"/>
            <w:rFonts w:eastAsia="Calibri"/>
            <w:b/>
            <w:iCs/>
            <w:noProof/>
          </w:rPr>
          <w:t>Figure 1.10</w:t>
        </w:r>
        <w:r w:rsidRPr="00535F9D">
          <w:rPr>
            <w:rStyle w:val="Hyperlink"/>
            <w:rFonts w:eastAsia="Calibri"/>
            <w:iCs/>
            <w:noProof/>
          </w:rPr>
          <w:t xml:space="preserve"> Mature (4-day-old) dinospores from primary </w:t>
        </w:r>
        <w:r w:rsidRPr="00535F9D">
          <w:rPr>
            <w:rStyle w:val="Hyperlink"/>
            <w:rFonts w:eastAsia="Calibri"/>
            <w:i/>
            <w:noProof/>
          </w:rPr>
          <w:t>in vitro</w:t>
        </w:r>
        <w:r w:rsidRPr="00535F9D">
          <w:rPr>
            <w:rStyle w:val="Hyperlink"/>
            <w:rFonts w:eastAsia="Calibri"/>
            <w:iCs/>
            <w:noProof/>
          </w:rPr>
          <w:t xml:space="preserve"> cultures: Ultrastructural Insights. (A and B) Transmission Electron Microscopy Longitudinal Sections. (A) Macrospore: Notice the transverse flagellum base (tf), distanced from the condensed chromosome-bearing nucleus (n). Abundant cytoplasmic components include lipid droplets (l), peripheral vacuoles (v), and trichocysts (tr). (B) Microspore: The nucleus is entirely filled with condensed chromosomes (chr), with corrugation on the dinospore surface due to swollen alveoli (al). The refractile body (rb) within the posterior vacuole is not distinctly visible. (C) Enhanced Visualization: Refractile body (rb) a cytoplasmic inclusion</w:t>
        </w:r>
        <w:r w:rsidRPr="00535F9D">
          <w:rPr>
            <w:rStyle w:val="Hyperlink"/>
            <w:rFonts w:eastAsiaTheme="majorEastAsia"/>
            <w:iCs/>
            <w:noProof/>
          </w:rPr>
          <w:t xml:space="preserve"> </w:t>
        </w:r>
        <w:r w:rsidRPr="00535F9D">
          <w:rPr>
            <w:rStyle w:val="Hyperlink"/>
            <w:rFonts w:eastAsia="Calibri"/>
            <w:iCs/>
            <w:noProof/>
          </w:rPr>
          <w:t>clearly discernible in this light micrograph of a glutaraldehyde-fixed microspore, 3 weeks after sporogenesis. Differential Interference Contrast. Source: Appleton and Vickerman (1998).</w:t>
        </w:r>
        <w:r>
          <w:rPr>
            <w:noProof/>
            <w:webHidden/>
          </w:rPr>
          <w:tab/>
        </w:r>
        <w:r>
          <w:rPr>
            <w:noProof/>
            <w:webHidden/>
          </w:rPr>
          <w:fldChar w:fldCharType="begin"/>
        </w:r>
        <w:r>
          <w:rPr>
            <w:noProof/>
            <w:webHidden/>
          </w:rPr>
          <w:instrText xml:space="preserve"> PAGEREF _Toc204106700 \h </w:instrText>
        </w:r>
        <w:r>
          <w:rPr>
            <w:noProof/>
            <w:webHidden/>
          </w:rPr>
        </w:r>
        <w:r>
          <w:rPr>
            <w:noProof/>
            <w:webHidden/>
          </w:rPr>
          <w:fldChar w:fldCharType="separate"/>
        </w:r>
        <w:r w:rsidR="008549FC">
          <w:rPr>
            <w:noProof/>
            <w:webHidden/>
          </w:rPr>
          <w:t>58</w:t>
        </w:r>
        <w:r>
          <w:rPr>
            <w:noProof/>
            <w:webHidden/>
          </w:rPr>
          <w:fldChar w:fldCharType="end"/>
        </w:r>
      </w:hyperlink>
    </w:p>
    <w:p w14:paraId="7B42F6CF" w14:textId="145ED7C4"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1" w:history="1">
        <w:r w:rsidRPr="00535F9D">
          <w:rPr>
            <w:rStyle w:val="Hyperlink"/>
            <w:rFonts w:eastAsia="Calibri"/>
            <w:b/>
            <w:iCs/>
            <w:noProof/>
          </w:rPr>
          <w:t>Figure 1.11</w:t>
        </w:r>
        <w:r w:rsidRPr="00535F9D">
          <w:rPr>
            <w:rStyle w:val="Hyperlink"/>
            <w:rFonts w:eastAsia="Calibri"/>
            <w:iCs/>
            <w:noProof/>
          </w:rPr>
          <w:t xml:space="preserve"> Ultrastructural features of freshly sporulated dinospores: Microscopic Insights. (A) Longitudinal section of freshly sporulated microspore. Annotated features include a flagellum (f), amphiesmal alveoli (arrow) (a), lipid globules (l), flagellar hair vesicle (fhv), internal trichocysts, and vacuoles (va). Captured through Transmission Electron Micrograph. (B) Transverse section of macrospore. Annotated features include the nucleus (n), lipid globules (l), a granular matrix organelle (gmo), and an internal trichocyst (t). Examined via Transmission Electron Micrograph. Scale bar: 1 µm. Source: Beevers (2010).</w:t>
        </w:r>
        <w:r>
          <w:rPr>
            <w:noProof/>
            <w:webHidden/>
          </w:rPr>
          <w:tab/>
        </w:r>
        <w:r>
          <w:rPr>
            <w:noProof/>
            <w:webHidden/>
          </w:rPr>
          <w:fldChar w:fldCharType="begin"/>
        </w:r>
        <w:r>
          <w:rPr>
            <w:noProof/>
            <w:webHidden/>
          </w:rPr>
          <w:instrText xml:space="preserve"> PAGEREF _Toc204106701 \h </w:instrText>
        </w:r>
        <w:r>
          <w:rPr>
            <w:noProof/>
            <w:webHidden/>
          </w:rPr>
        </w:r>
        <w:r>
          <w:rPr>
            <w:noProof/>
            <w:webHidden/>
          </w:rPr>
          <w:fldChar w:fldCharType="separate"/>
        </w:r>
        <w:r w:rsidR="008549FC">
          <w:rPr>
            <w:noProof/>
            <w:webHidden/>
          </w:rPr>
          <w:t>58</w:t>
        </w:r>
        <w:r>
          <w:rPr>
            <w:noProof/>
            <w:webHidden/>
          </w:rPr>
          <w:fldChar w:fldCharType="end"/>
        </w:r>
      </w:hyperlink>
    </w:p>
    <w:p w14:paraId="5303638D" w14:textId="24AC199E"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2" w:history="1">
        <w:r w:rsidRPr="00535F9D">
          <w:rPr>
            <w:rStyle w:val="Hyperlink"/>
            <w:rFonts w:eastAsia="Calibri"/>
            <w:b/>
            <w:iCs/>
            <w:noProof/>
          </w:rPr>
          <w:t>Figure 1.12</w:t>
        </w:r>
        <w:r w:rsidRPr="00535F9D">
          <w:rPr>
            <w:rStyle w:val="Hyperlink"/>
            <w:rFonts w:eastAsia="Calibri"/>
            <w:iCs/>
            <w:noProof/>
          </w:rPr>
          <w:t xml:space="preserve"> Dorsal (A) and ventral (B) view of uninfected </w:t>
        </w:r>
        <w:r w:rsidRPr="00535F9D">
          <w:rPr>
            <w:rStyle w:val="Hyperlink"/>
            <w:rFonts w:eastAsia="Calibri"/>
            <w:i/>
            <w:noProof/>
          </w:rPr>
          <w:t>Nephrops</w:t>
        </w:r>
        <w:r w:rsidRPr="00535F9D">
          <w:rPr>
            <w:rStyle w:val="Hyperlink"/>
            <w:rFonts w:eastAsia="Calibri"/>
            <w:iCs/>
            <w:noProof/>
          </w:rPr>
          <w:t xml:space="preserve"> (U) and infected </w:t>
        </w:r>
        <w:r w:rsidRPr="00535F9D">
          <w:rPr>
            <w:rStyle w:val="Hyperlink"/>
            <w:rFonts w:eastAsia="Calibri"/>
            <w:i/>
            <w:iCs/>
            <w:noProof/>
          </w:rPr>
          <w:t>Nephrops</w:t>
        </w:r>
        <w:r w:rsidRPr="00535F9D">
          <w:rPr>
            <w:rStyle w:val="Hyperlink"/>
            <w:rFonts w:eastAsia="Calibri"/>
            <w:iCs/>
            <w:noProof/>
          </w:rPr>
          <w:t xml:space="preserve"> (I) from the CSA</w:t>
        </w:r>
        <w:r w:rsidRPr="00535F9D">
          <w:rPr>
            <w:rStyle w:val="Hyperlink"/>
            <w:rFonts w:eastAsia="Calibri"/>
            <w:i/>
            <w:iCs/>
            <w:noProof/>
          </w:rPr>
          <w:t xml:space="preserve">. </w:t>
        </w:r>
        <w:r w:rsidRPr="00535F9D">
          <w:rPr>
            <w:rStyle w:val="Hyperlink"/>
            <w:rFonts w:eastAsia="Calibri"/>
            <w:noProof/>
          </w:rPr>
          <w:t>Source: Beevers (2010).</w:t>
        </w:r>
        <w:r>
          <w:rPr>
            <w:noProof/>
            <w:webHidden/>
          </w:rPr>
          <w:tab/>
        </w:r>
        <w:r>
          <w:rPr>
            <w:noProof/>
            <w:webHidden/>
          </w:rPr>
          <w:fldChar w:fldCharType="begin"/>
        </w:r>
        <w:r>
          <w:rPr>
            <w:noProof/>
            <w:webHidden/>
          </w:rPr>
          <w:instrText xml:space="preserve"> PAGEREF _Toc204106702 \h </w:instrText>
        </w:r>
        <w:r>
          <w:rPr>
            <w:noProof/>
            <w:webHidden/>
          </w:rPr>
        </w:r>
        <w:r>
          <w:rPr>
            <w:noProof/>
            <w:webHidden/>
          </w:rPr>
          <w:fldChar w:fldCharType="separate"/>
        </w:r>
        <w:r w:rsidR="008549FC">
          <w:rPr>
            <w:noProof/>
            <w:webHidden/>
          </w:rPr>
          <w:t>61</w:t>
        </w:r>
        <w:r>
          <w:rPr>
            <w:noProof/>
            <w:webHidden/>
          </w:rPr>
          <w:fldChar w:fldCharType="end"/>
        </w:r>
      </w:hyperlink>
    </w:p>
    <w:p w14:paraId="440EF7E8" w14:textId="60C666B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3" w:history="1">
        <w:r w:rsidRPr="00535F9D">
          <w:rPr>
            <w:rStyle w:val="Hyperlink"/>
            <w:rFonts w:eastAsia="Calibri"/>
            <w:b/>
            <w:iCs/>
            <w:noProof/>
          </w:rPr>
          <w:t>Figure 1.13</w:t>
        </w:r>
        <w:r w:rsidRPr="00535F9D">
          <w:rPr>
            <w:rStyle w:val="Hyperlink"/>
            <w:rFonts w:eastAsia="Calibri"/>
            <w:iCs/>
            <w:noProof/>
          </w:rPr>
          <w:t xml:space="preserve"> </w:t>
        </w:r>
        <w:r w:rsidRPr="00535F9D">
          <w:rPr>
            <w:rStyle w:val="Hyperlink"/>
            <w:rFonts w:eastAsia="Calibri"/>
            <w:i/>
            <w:iCs/>
            <w:noProof/>
          </w:rPr>
          <w:t>Hematodinium</w:t>
        </w:r>
        <w:r w:rsidRPr="00535F9D">
          <w:rPr>
            <w:rStyle w:val="Hyperlink"/>
            <w:rFonts w:eastAsia="Calibri"/>
            <w:iCs/>
            <w:noProof/>
          </w:rPr>
          <w:t xml:space="preserve"> infection severity categorized on a five-point scale using the pleopod method. Bar = 0.5 mm. Source: Field and Appleton (1995).</w:t>
        </w:r>
        <w:r>
          <w:rPr>
            <w:noProof/>
            <w:webHidden/>
          </w:rPr>
          <w:tab/>
        </w:r>
        <w:r>
          <w:rPr>
            <w:noProof/>
            <w:webHidden/>
          </w:rPr>
          <w:fldChar w:fldCharType="begin"/>
        </w:r>
        <w:r>
          <w:rPr>
            <w:noProof/>
            <w:webHidden/>
          </w:rPr>
          <w:instrText xml:space="preserve"> PAGEREF _Toc204106703 \h </w:instrText>
        </w:r>
        <w:r>
          <w:rPr>
            <w:noProof/>
            <w:webHidden/>
          </w:rPr>
        </w:r>
        <w:r>
          <w:rPr>
            <w:noProof/>
            <w:webHidden/>
          </w:rPr>
          <w:fldChar w:fldCharType="separate"/>
        </w:r>
        <w:r w:rsidR="008549FC">
          <w:rPr>
            <w:noProof/>
            <w:webHidden/>
          </w:rPr>
          <w:t>61</w:t>
        </w:r>
        <w:r>
          <w:rPr>
            <w:noProof/>
            <w:webHidden/>
          </w:rPr>
          <w:fldChar w:fldCharType="end"/>
        </w:r>
      </w:hyperlink>
    </w:p>
    <w:p w14:paraId="0D495766" w14:textId="5D6F86DF"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4" w:history="1">
        <w:r w:rsidRPr="00535F9D">
          <w:rPr>
            <w:rStyle w:val="Hyperlink"/>
            <w:rFonts w:eastAsia="Calibri"/>
            <w:b/>
            <w:iCs/>
            <w:noProof/>
          </w:rPr>
          <w:t>Figure 1.14</w:t>
        </w:r>
        <w:r w:rsidRPr="00535F9D">
          <w:rPr>
            <w:rStyle w:val="Hyperlink"/>
            <w:rFonts w:eastAsia="Calibri"/>
            <w:iCs/>
            <w:noProof/>
          </w:rPr>
          <w:t xml:space="preserve"> </w:t>
        </w:r>
        <w:r w:rsidRPr="00535F9D">
          <w:rPr>
            <w:rStyle w:val="Hyperlink"/>
            <w:rFonts w:eastAsia="Calibri"/>
            <w:i/>
            <w:noProof/>
          </w:rPr>
          <w:t>Nephrops</w:t>
        </w:r>
        <w:r w:rsidRPr="00535F9D">
          <w:rPr>
            <w:rStyle w:val="Hyperlink"/>
            <w:rFonts w:eastAsia="Calibri"/>
            <w:iCs/>
            <w:noProof/>
          </w:rPr>
          <w:t xml:space="preserve"> captured near Little Cumbrae in the CSA from February 1998 to November 2000 as determined by pleopod method (PM). Adapted from Stentiford et al. (2001a).</w:t>
        </w:r>
        <w:r>
          <w:rPr>
            <w:noProof/>
            <w:webHidden/>
          </w:rPr>
          <w:tab/>
        </w:r>
        <w:r>
          <w:rPr>
            <w:noProof/>
            <w:webHidden/>
          </w:rPr>
          <w:fldChar w:fldCharType="begin"/>
        </w:r>
        <w:r>
          <w:rPr>
            <w:noProof/>
            <w:webHidden/>
          </w:rPr>
          <w:instrText xml:space="preserve"> PAGEREF _Toc204106704 \h </w:instrText>
        </w:r>
        <w:r>
          <w:rPr>
            <w:noProof/>
            <w:webHidden/>
          </w:rPr>
        </w:r>
        <w:r>
          <w:rPr>
            <w:noProof/>
            <w:webHidden/>
          </w:rPr>
          <w:fldChar w:fldCharType="separate"/>
        </w:r>
        <w:r w:rsidR="008549FC">
          <w:rPr>
            <w:noProof/>
            <w:webHidden/>
          </w:rPr>
          <w:t>64</w:t>
        </w:r>
        <w:r>
          <w:rPr>
            <w:noProof/>
            <w:webHidden/>
          </w:rPr>
          <w:fldChar w:fldCharType="end"/>
        </w:r>
      </w:hyperlink>
    </w:p>
    <w:p w14:paraId="51AAAEE8" w14:textId="09863959"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5" w:history="1">
        <w:r w:rsidRPr="00535F9D">
          <w:rPr>
            <w:rStyle w:val="Hyperlink"/>
            <w:rFonts w:eastAsia="Calibri"/>
            <w:b/>
            <w:iCs/>
            <w:noProof/>
          </w:rPr>
          <w:t xml:space="preserve">Figure 1.15 </w:t>
        </w:r>
        <w:r w:rsidRPr="00535F9D">
          <w:rPr>
            <w:rStyle w:val="Hyperlink"/>
            <w:rFonts w:eastAsia="Calibri"/>
            <w:bCs/>
            <w:iCs/>
            <w:noProof/>
          </w:rPr>
          <w:t>P</w:t>
        </w:r>
        <w:r w:rsidRPr="00535F9D">
          <w:rPr>
            <w:rStyle w:val="Hyperlink"/>
            <w:rFonts w:eastAsia="Calibri"/>
            <w:iCs/>
            <w:noProof/>
          </w:rPr>
          <w:t xml:space="preserve">revalence of patent </w:t>
        </w:r>
        <w:r w:rsidRPr="00535F9D">
          <w:rPr>
            <w:rStyle w:val="Hyperlink"/>
            <w:rFonts w:eastAsia="Calibri"/>
            <w:i/>
            <w:iCs/>
            <w:noProof/>
          </w:rPr>
          <w:t>Hematodinium</w:t>
        </w:r>
        <w:r w:rsidRPr="00535F9D">
          <w:rPr>
            <w:rStyle w:val="Hyperlink"/>
            <w:rFonts w:eastAsia="Calibri"/>
            <w:iCs/>
            <w:noProof/>
          </w:rPr>
          <w:t xml:space="preserve"> sp. infection (the percentage of individuals who were classified as positive by the pleopod method) and sub-patent </w:t>
        </w:r>
        <w:r w:rsidRPr="00535F9D">
          <w:rPr>
            <w:rStyle w:val="Hyperlink"/>
            <w:rFonts w:eastAsia="Calibri"/>
            <w:i/>
            <w:iCs/>
            <w:noProof/>
          </w:rPr>
          <w:t>Hematodinium</w:t>
        </w:r>
        <w:r w:rsidRPr="00535F9D">
          <w:rPr>
            <w:rStyle w:val="Hyperlink"/>
            <w:rFonts w:eastAsia="Calibri"/>
            <w:iCs/>
            <w:noProof/>
          </w:rPr>
          <w:t xml:space="preserve"> sp. infection (the percentage of individuals who were classified as positive by the western blot immunoassay method but negative by the pleopod method). Source: Stentiford et al. (2001d)</w:t>
        </w:r>
        <w:r>
          <w:rPr>
            <w:noProof/>
            <w:webHidden/>
          </w:rPr>
          <w:tab/>
        </w:r>
        <w:r>
          <w:rPr>
            <w:noProof/>
            <w:webHidden/>
          </w:rPr>
          <w:fldChar w:fldCharType="begin"/>
        </w:r>
        <w:r>
          <w:rPr>
            <w:noProof/>
            <w:webHidden/>
          </w:rPr>
          <w:instrText xml:space="preserve"> PAGEREF _Toc204106705 \h </w:instrText>
        </w:r>
        <w:r>
          <w:rPr>
            <w:noProof/>
            <w:webHidden/>
          </w:rPr>
        </w:r>
        <w:r>
          <w:rPr>
            <w:noProof/>
            <w:webHidden/>
          </w:rPr>
          <w:fldChar w:fldCharType="separate"/>
        </w:r>
        <w:r w:rsidR="008549FC">
          <w:rPr>
            <w:noProof/>
            <w:webHidden/>
          </w:rPr>
          <w:t>65</w:t>
        </w:r>
        <w:r>
          <w:rPr>
            <w:noProof/>
            <w:webHidden/>
          </w:rPr>
          <w:fldChar w:fldCharType="end"/>
        </w:r>
      </w:hyperlink>
    </w:p>
    <w:p w14:paraId="1C04E5BB" w14:textId="6B71913B"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6" w:history="1">
        <w:r w:rsidRPr="00535F9D">
          <w:rPr>
            <w:rStyle w:val="Hyperlink"/>
            <w:rFonts w:eastAsia="Calibri"/>
            <w:b/>
            <w:iCs/>
            <w:noProof/>
          </w:rPr>
          <w:t>Figure 1.16</w:t>
        </w:r>
        <w:r w:rsidRPr="00535F9D">
          <w:rPr>
            <w:rStyle w:val="Hyperlink"/>
            <w:rFonts w:eastAsia="Calibri"/>
            <w:iCs/>
            <w:noProof/>
          </w:rPr>
          <w:t xml:space="preserve"> Prevalence of </w:t>
        </w:r>
        <w:r w:rsidRPr="00535F9D">
          <w:rPr>
            <w:rStyle w:val="Hyperlink"/>
            <w:rFonts w:eastAsia="Calibri"/>
            <w:i/>
            <w:iCs/>
            <w:noProof/>
          </w:rPr>
          <w:t>Hematodinium</w:t>
        </w:r>
        <w:r w:rsidRPr="00535F9D">
          <w:rPr>
            <w:rStyle w:val="Hyperlink"/>
            <w:rFonts w:eastAsia="Calibri"/>
            <w:iCs/>
            <w:noProof/>
          </w:rPr>
          <w:t xml:space="preserve"> infection in the CSA as determined by PCR, ELISA and pleopod method (PM) of diagnosis. Adapted from: Beevers et al. (2012).</w:t>
        </w:r>
        <w:r>
          <w:rPr>
            <w:noProof/>
            <w:webHidden/>
          </w:rPr>
          <w:tab/>
        </w:r>
        <w:r>
          <w:rPr>
            <w:noProof/>
            <w:webHidden/>
          </w:rPr>
          <w:fldChar w:fldCharType="begin"/>
        </w:r>
        <w:r>
          <w:rPr>
            <w:noProof/>
            <w:webHidden/>
          </w:rPr>
          <w:instrText xml:space="preserve"> PAGEREF _Toc204106706 \h </w:instrText>
        </w:r>
        <w:r>
          <w:rPr>
            <w:noProof/>
            <w:webHidden/>
          </w:rPr>
        </w:r>
        <w:r>
          <w:rPr>
            <w:noProof/>
            <w:webHidden/>
          </w:rPr>
          <w:fldChar w:fldCharType="separate"/>
        </w:r>
        <w:r w:rsidR="008549FC">
          <w:rPr>
            <w:noProof/>
            <w:webHidden/>
          </w:rPr>
          <w:t>66</w:t>
        </w:r>
        <w:r>
          <w:rPr>
            <w:noProof/>
            <w:webHidden/>
          </w:rPr>
          <w:fldChar w:fldCharType="end"/>
        </w:r>
      </w:hyperlink>
    </w:p>
    <w:p w14:paraId="02EDFC8C" w14:textId="0F4DDFF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7" w:history="1">
        <w:r w:rsidRPr="00535F9D">
          <w:rPr>
            <w:rStyle w:val="Hyperlink"/>
            <w:rFonts w:eastAsiaTheme="majorEastAsia"/>
            <w:b/>
            <w:bCs/>
            <w:noProof/>
          </w:rPr>
          <w:t>Figure 2.1</w:t>
        </w:r>
        <w:r w:rsidRPr="00535F9D">
          <w:rPr>
            <w:rStyle w:val="Hyperlink"/>
            <w:rFonts w:eastAsiaTheme="majorEastAsia"/>
            <w:noProof/>
          </w:rPr>
          <w:t xml:space="preserve"> Map of the Clyde Sea Area (CSA) indicating the sampling transects conducted during November 2018- October 2019. Asterisk (*) indicates a second sampling conducted that same date.</w:t>
        </w:r>
        <w:r>
          <w:rPr>
            <w:noProof/>
            <w:webHidden/>
          </w:rPr>
          <w:tab/>
        </w:r>
        <w:r>
          <w:rPr>
            <w:noProof/>
            <w:webHidden/>
          </w:rPr>
          <w:fldChar w:fldCharType="begin"/>
        </w:r>
        <w:r>
          <w:rPr>
            <w:noProof/>
            <w:webHidden/>
          </w:rPr>
          <w:instrText xml:space="preserve"> PAGEREF _Toc204106707 \h </w:instrText>
        </w:r>
        <w:r>
          <w:rPr>
            <w:noProof/>
            <w:webHidden/>
          </w:rPr>
        </w:r>
        <w:r>
          <w:rPr>
            <w:noProof/>
            <w:webHidden/>
          </w:rPr>
          <w:fldChar w:fldCharType="separate"/>
        </w:r>
        <w:r w:rsidR="008549FC">
          <w:rPr>
            <w:noProof/>
            <w:webHidden/>
          </w:rPr>
          <w:t>82</w:t>
        </w:r>
        <w:r>
          <w:rPr>
            <w:noProof/>
            <w:webHidden/>
          </w:rPr>
          <w:fldChar w:fldCharType="end"/>
        </w:r>
      </w:hyperlink>
    </w:p>
    <w:p w14:paraId="7EFE3084" w14:textId="49056DFB"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8" w:history="1">
        <w:r w:rsidRPr="00535F9D">
          <w:rPr>
            <w:rStyle w:val="Hyperlink"/>
            <w:rFonts w:eastAsiaTheme="majorEastAsia"/>
            <w:b/>
            <w:noProof/>
          </w:rPr>
          <w:t>Figure 2.2</w:t>
        </w:r>
        <w:r w:rsidRPr="00535F9D">
          <w:rPr>
            <w:rStyle w:val="Hyperlink"/>
            <w:rFonts w:eastAsiaTheme="majorEastAsia"/>
            <w:noProof/>
          </w:rPr>
          <w:t xml:space="preserve"> </w:t>
        </w:r>
        <w:r w:rsidRPr="00535F9D">
          <w:rPr>
            <w:rStyle w:val="Hyperlink"/>
            <w:rFonts w:eastAsiaTheme="majorEastAsia"/>
            <w:i/>
            <w:noProof/>
          </w:rPr>
          <w:t>Hematodinium</w:t>
        </w:r>
        <w:r w:rsidRPr="00535F9D">
          <w:rPr>
            <w:rStyle w:val="Hyperlink"/>
            <w:rFonts w:eastAsiaTheme="majorEastAsia"/>
            <w:noProof/>
          </w:rPr>
          <w:t xml:space="preserve"> infection severity categorized on a four-point scale using the pleopod method (PM) (Field and Appleton 1995). Bar = 0.5 mm.</w:t>
        </w:r>
        <w:r>
          <w:rPr>
            <w:noProof/>
            <w:webHidden/>
          </w:rPr>
          <w:tab/>
        </w:r>
        <w:r>
          <w:rPr>
            <w:noProof/>
            <w:webHidden/>
          </w:rPr>
          <w:fldChar w:fldCharType="begin"/>
        </w:r>
        <w:r>
          <w:rPr>
            <w:noProof/>
            <w:webHidden/>
          </w:rPr>
          <w:instrText xml:space="preserve"> PAGEREF _Toc204106708 \h </w:instrText>
        </w:r>
        <w:r>
          <w:rPr>
            <w:noProof/>
            <w:webHidden/>
          </w:rPr>
        </w:r>
        <w:r>
          <w:rPr>
            <w:noProof/>
            <w:webHidden/>
          </w:rPr>
          <w:fldChar w:fldCharType="separate"/>
        </w:r>
        <w:r w:rsidR="008549FC">
          <w:rPr>
            <w:noProof/>
            <w:webHidden/>
          </w:rPr>
          <w:t>84</w:t>
        </w:r>
        <w:r>
          <w:rPr>
            <w:noProof/>
            <w:webHidden/>
          </w:rPr>
          <w:fldChar w:fldCharType="end"/>
        </w:r>
      </w:hyperlink>
    </w:p>
    <w:p w14:paraId="789837DB" w14:textId="268BA80A"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09" w:history="1">
        <w:r w:rsidRPr="00535F9D">
          <w:rPr>
            <w:rStyle w:val="Hyperlink"/>
            <w:rFonts w:eastAsiaTheme="majorEastAsia"/>
            <w:b/>
            <w:noProof/>
          </w:rPr>
          <w:t>Figure 2.3</w:t>
        </w:r>
        <w:r w:rsidRPr="00535F9D">
          <w:rPr>
            <w:rStyle w:val="Hyperlink"/>
            <w:rFonts w:eastAsiaTheme="majorEastAsia"/>
            <w:noProof/>
          </w:rPr>
          <w:t xml:space="preserve"> Sex ratio distribution found in the monthly samples of </w:t>
        </w:r>
        <w:r w:rsidRPr="00535F9D">
          <w:rPr>
            <w:rStyle w:val="Hyperlink"/>
            <w:rFonts w:eastAsiaTheme="majorEastAsia"/>
            <w:i/>
            <w:noProof/>
          </w:rPr>
          <w:t>Nephrops</w:t>
        </w:r>
        <w:r w:rsidRPr="00535F9D">
          <w:rPr>
            <w:rStyle w:val="Hyperlink"/>
            <w:rFonts w:eastAsiaTheme="majorEastAsia"/>
            <w:noProof/>
          </w:rPr>
          <w:t xml:space="preserve"> captured from the CSA site between November 2018 and September 2019.</w:t>
        </w:r>
        <w:r>
          <w:rPr>
            <w:noProof/>
            <w:webHidden/>
          </w:rPr>
          <w:tab/>
        </w:r>
        <w:r>
          <w:rPr>
            <w:noProof/>
            <w:webHidden/>
          </w:rPr>
          <w:fldChar w:fldCharType="begin"/>
        </w:r>
        <w:r>
          <w:rPr>
            <w:noProof/>
            <w:webHidden/>
          </w:rPr>
          <w:instrText xml:space="preserve"> PAGEREF _Toc204106709 \h </w:instrText>
        </w:r>
        <w:r>
          <w:rPr>
            <w:noProof/>
            <w:webHidden/>
          </w:rPr>
        </w:r>
        <w:r>
          <w:rPr>
            <w:noProof/>
            <w:webHidden/>
          </w:rPr>
          <w:fldChar w:fldCharType="separate"/>
        </w:r>
        <w:r w:rsidR="008549FC">
          <w:rPr>
            <w:noProof/>
            <w:webHidden/>
          </w:rPr>
          <w:t>87</w:t>
        </w:r>
        <w:r>
          <w:rPr>
            <w:noProof/>
            <w:webHidden/>
          </w:rPr>
          <w:fldChar w:fldCharType="end"/>
        </w:r>
      </w:hyperlink>
    </w:p>
    <w:p w14:paraId="02A3BFBA" w14:textId="44B64D99"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0" w:history="1">
        <w:r w:rsidRPr="00535F9D">
          <w:rPr>
            <w:rStyle w:val="Hyperlink"/>
            <w:rFonts w:eastAsiaTheme="majorEastAsia"/>
            <w:b/>
            <w:noProof/>
          </w:rPr>
          <w:t>Figure 2.4</w:t>
        </w:r>
        <w:r w:rsidRPr="00535F9D">
          <w:rPr>
            <w:rStyle w:val="Hyperlink"/>
            <w:rFonts w:eastAsiaTheme="majorEastAsia"/>
            <w:noProof/>
          </w:rPr>
          <w:t xml:space="preserve"> Mean CL (mm) of males and females found in the monthly samples of </w:t>
        </w:r>
        <w:r w:rsidRPr="00535F9D">
          <w:rPr>
            <w:rStyle w:val="Hyperlink"/>
            <w:rFonts w:eastAsiaTheme="majorEastAsia"/>
            <w:i/>
            <w:noProof/>
          </w:rPr>
          <w:t>Nephrops</w:t>
        </w:r>
        <w:r w:rsidRPr="00535F9D">
          <w:rPr>
            <w:rStyle w:val="Hyperlink"/>
            <w:rFonts w:eastAsiaTheme="majorEastAsia"/>
            <w:noProof/>
          </w:rPr>
          <w:t xml:space="preserve"> captured from the CSA site between November 2018 and September 2019</w:t>
        </w:r>
        <w:r>
          <w:rPr>
            <w:noProof/>
            <w:webHidden/>
          </w:rPr>
          <w:tab/>
        </w:r>
        <w:r>
          <w:rPr>
            <w:noProof/>
            <w:webHidden/>
          </w:rPr>
          <w:fldChar w:fldCharType="begin"/>
        </w:r>
        <w:r>
          <w:rPr>
            <w:noProof/>
            <w:webHidden/>
          </w:rPr>
          <w:instrText xml:space="preserve"> PAGEREF _Toc204106710 \h </w:instrText>
        </w:r>
        <w:r>
          <w:rPr>
            <w:noProof/>
            <w:webHidden/>
          </w:rPr>
        </w:r>
        <w:r>
          <w:rPr>
            <w:noProof/>
            <w:webHidden/>
          </w:rPr>
          <w:fldChar w:fldCharType="separate"/>
        </w:r>
        <w:r w:rsidR="008549FC">
          <w:rPr>
            <w:noProof/>
            <w:webHidden/>
          </w:rPr>
          <w:t>88</w:t>
        </w:r>
        <w:r>
          <w:rPr>
            <w:noProof/>
            <w:webHidden/>
          </w:rPr>
          <w:fldChar w:fldCharType="end"/>
        </w:r>
      </w:hyperlink>
    </w:p>
    <w:p w14:paraId="5EFEFD16" w14:textId="43EC7D8B"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1" w:history="1">
        <w:r w:rsidRPr="00535F9D">
          <w:rPr>
            <w:rStyle w:val="Hyperlink"/>
            <w:rFonts w:eastAsiaTheme="majorEastAsia"/>
            <w:b/>
            <w:noProof/>
          </w:rPr>
          <w:t>Figure 2.5</w:t>
        </w:r>
        <w:r w:rsidRPr="00535F9D">
          <w:rPr>
            <w:rStyle w:val="Hyperlink"/>
            <w:rFonts w:eastAsiaTheme="majorEastAsia"/>
            <w:noProof/>
          </w:rPr>
          <w:t xml:space="preserve"> </w:t>
        </w:r>
        <w:r w:rsidRPr="00535F9D">
          <w:rPr>
            <w:rStyle w:val="Hyperlink"/>
            <w:rFonts w:eastAsiaTheme="majorEastAsia"/>
            <w:bCs/>
            <w:noProof/>
          </w:rPr>
          <w:t>(A)</w:t>
        </w:r>
        <w:r w:rsidRPr="00535F9D">
          <w:rPr>
            <w:rStyle w:val="Hyperlink"/>
            <w:rFonts w:eastAsiaTheme="majorEastAsia"/>
            <w:noProof/>
          </w:rPr>
          <w:t xml:space="preserve"> Overall percentage (%) of mature (CL ≥ 26 mm for females; ≥ 29mm for males) and immature (CL &lt; 26 mm for females; &lt; 29mm for males) </w:t>
        </w:r>
        <w:r w:rsidRPr="00535F9D">
          <w:rPr>
            <w:rStyle w:val="Hyperlink"/>
            <w:rFonts w:eastAsiaTheme="majorEastAsia"/>
            <w:i/>
            <w:iCs/>
            <w:noProof/>
          </w:rPr>
          <w:t>Nephrops</w:t>
        </w:r>
        <w:r w:rsidRPr="00535F9D">
          <w:rPr>
            <w:rStyle w:val="Hyperlink"/>
            <w:rFonts w:eastAsiaTheme="majorEastAsia"/>
            <w:noProof/>
          </w:rPr>
          <w:t xml:space="preserve"> in the monthly samples captured from the CSA site between November 2018 and September 2019. (B) Percentage (%) of mature/immature males. (C) Percentage (%) of mature/immature females.</w:t>
        </w:r>
        <w:r>
          <w:rPr>
            <w:noProof/>
            <w:webHidden/>
          </w:rPr>
          <w:tab/>
        </w:r>
        <w:r>
          <w:rPr>
            <w:noProof/>
            <w:webHidden/>
          </w:rPr>
          <w:fldChar w:fldCharType="begin"/>
        </w:r>
        <w:r>
          <w:rPr>
            <w:noProof/>
            <w:webHidden/>
          </w:rPr>
          <w:instrText xml:space="preserve"> PAGEREF _Toc204106711 \h </w:instrText>
        </w:r>
        <w:r>
          <w:rPr>
            <w:noProof/>
            <w:webHidden/>
          </w:rPr>
        </w:r>
        <w:r>
          <w:rPr>
            <w:noProof/>
            <w:webHidden/>
          </w:rPr>
          <w:fldChar w:fldCharType="separate"/>
        </w:r>
        <w:r w:rsidR="008549FC">
          <w:rPr>
            <w:noProof/>
            <w:webHidden/>
          </w:rPr>
          <w:t>89</w:t>
        </w:r>
        <w:r>
          <w:rPr>
            <w:noProof/>
            <w:webHidden/>
          </w:rPr>
          <w:fldChar w:fldCharType="end"/>
        </w:r>
      </w:hyperlink>
    </w:p>
    <w:p w14:paraId="77402FE0" w14:textId="274082F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2" w:history="1">
        <w:r w:rsidRPr="00535F9D">
          <w:rPr>
            <w:rStyle w:val="Hyperlink"/>
            <w:rFonts w:eastAsiaTheme="majorEastAsia"/>
            <w:b/>
            <w:noProof/>
          </w:rPr>
          <w:t xml:space="preserve">Figure 2.6 </w:t>
        </w:r>
        <w:r w:rsidRPr="00535F9D">
          <w:rPr>
            <w:rStyle w:val="Hyperlink"/>
            <w:rFonts w:eastAsiaTheme="majorEastAsia"/>
            <w:noProof/>
          </w:rPr>
          <w:t xml:space="preserve">Percentage (%) of (A-C) Moult index (hard, soft, jelly); (D-F) Moult stage (post-moult; inter-moult, and pre-moult); for the sexes combined (A,D), males (B,E) and females (C,F) in the monthly samples of </w:t>
        </w:r>
        <w:r w:rsidRPr="00535F9D">
          <w:rPr>
            <w:rStyle w:val="Hyperlink"/>
            <w:rFonts w:eastAsiaTheme="majorEastAsia"/>
            <w:i/>
            <w:noProof/>
          </w:rPr>
          <w:t>Nephrops</w:t>
        </w:r>
        <w:r w:rsidRPr="00535F9D">
          <w:rPr>
            <w:rStyle w:val="Hyperlink"/>
            <w:rFonts w:eastAsiaTheme="majorEastAsia"/>
            <w:noProof/>
          </w:rPr>
          <w:t xml:space="preserve"> captured from the CSA site between November 2018 and September 2019.</w:t>
        </w:r>
        <w:r>
          <w:rPr>
            <w:noProof/>
            <w:webHidden/>
          </w:rPr>
          <w:tab/>
        </w:r>
        <w:r>
          <w:rPr>
            <w:noProof/>
            <w:webHidden/>
          </w:rPr>
          <w:fldChar w:fldCharType="begin"/>
        </w:r>
        <w:r>
          <w:rPr>
            <w:noProof/>
            <w:webHidden/>
          </w:rPr>
          <w:instrText xml:space="preserve"> PAGEREF _Toc204106712 \h </w:instrText>
        </w:r>
        <w:r>
          <w:rPr>
            <w:noProof/>
            <w:webHidden/>
          </w:rPr>
        </w:r>
        <w:r>
          <w:rPr>
            <w:noProof/>
            <w:webHidden/>
          </w:rPr>
          <w:fldChar w:fldCharType="separate"/>
        </w:r>
        <w:r w:rsidR="008549FC">
          <w:rPr>
            <w:noProof/>
            <w:webHidden/>
          </w:rPr>
          <w:t>91</w:t>
        </w:r>
        <w:r>
          <w:rPr>
            <w:noProof/>
            <w:webHidden/>
          </w:rPr>
          <w:fldChar w:fldCharType="end"/>
        </w:r>
      </w:hyperlink>
    </w:p>
    <w:p w14:paraId="74799105" w14:textId="6B17348E"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3" w:history="1">
        <w:r w:rsidRPr="00535F9D">
          <w:rPr>
            <w:rStyle w:val="Hyperlink"/>
            <w:rFonts w:eastAsiaTheme="majorEastAsia"/>
            <w:b/>
            <w:noProof/>
          </w:rPr>
          <w:t xml:space="preserve">Figure 2.7 </w:t>
        </w:r>
        <w:r w:rsidRPr="00535F9D">
          <w:rPr>
            <w:rStyle w:val="Hyperlink"/>
            <w:rFonts w:eastAsiaTheme="majorEastAsia"/>
            <w:bCs/>
            <w:noProof/>
          </w:rPr>
          <w:t xml:space="preserve">(A) Distribution of carapace length (CL) (males and females combined), according to moult stages (post-moult; inter-moult, and pre-moult). (B) Male carapace length distribution by moult stage. (C) Female carapace length distribution by moult stage. Each graph shows the number of individuals (count) per carapace length size for each moult stage, providing insight into the absolute abundance and size distribution of </w:t>
        </w:r>
        <w:r w:rsidRPr="00535F9D">
          <w:rPr>
            <w:rStyle w:val="Hyperlink"/>
            <w:rFonts w:eastAsiaTheme="majorEastAsia"/>
            <w:bCs/>
            <w:i/>
            <w:iCs/>
            <w:noProof/>
          </w:rPr>
          <w:t>Nephrops</w:t>
        </w:r>
        <w:r w:rsidRPr="00535F9D">
          <w:rPr>
            <w:rStyle w:val="Hyperlink"/>
            <w:rFonts w:eastAsiaTheme="majorEastAsia"/>
            <w:bCs/>
            <w:noProof/>
          </w:rPr>
          <w:t xml:space="preserve"> in different moult stages.</w:t>
        </w:r>
        <w:r>
          <w:rPr>
            <w:noProof/>
            <w:webHidden/>
          </w:rPr>
          <w:tab/>
        </w:r>
        <w:r>
          <w:rPr>
            <w:noProof/>
            <w:webHidden/>
          </w:rPr>
          <w:fldChar w:fldCharType="begin"/>
        </w:r>
        <w:r>
          <w:rPr>
            <w:noProof/>
            <w:webHidden/>
          </w:rPr>
          <w:instrText xml:space="preserve"> PAGEREF _Toc204106713 \h </w:instrText>
        </w:r>
        <w:r>
          <w:rPr>
            <w:noProof/>
            <w:webHidden/>
          </w:rPr>
        </w:r>
        <w:r>
          <w:rPr>
            <w:noProof/>
            <w:webHidden/>
          </w:rPr>
          <w:fldChar w:fldCharType="separate"/>
        </w:r>
        <w:r w:rsidR="008549FC">
          <w:rPr>
            <w:noProof/>
            <w:webHidden/>
          </w:rPr>
          <w:t>93</w:t>
        </w:r>
        <w:r>
          <w:rPr>
            <w:noProof/>
            <w:webHidden/>
          </w:rPr>
          <w:fldChar w:fldCharType="end"/>
        </w:r>
      </w:hyperlink>
    </w:p>
    <w:p w14:paraId="76BD5557" w14:textId="0C9FDA5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4" w:history="1">
        <w:r w:rsidRPr="00535F9D">
          <w:rPr>
            <w:rStyle w:val="Hyperlink"/>
            <w:rFonts w:eastAsiaTheme="majorEastAsia"/>
            <w:b/>
            <w:noProof/>
          </w:rPr>
          <w:t>Figure 2.8</w:t>
        </w:r>
        <w:r w:rsidRPr="00535F9D">
          <w:rPr>
            <w:rStyle w:val="Hyperlink"/>
            <w:rFonts w:eastAsiaTheme="majorEastAsia"/>
            <w:noProof/>
          </w:rPr>
          <w:t xml:space="preserve"> Overall percentage (%) of patent infection according to body-colour (BCM), and pleopod method (PM-stages 1-4) in monthly samples of </w:t>
        </w:r>
        <w:r w:rsidRPr="00535F9D">
          <w:rPr>
            <w:rStyle w:val="Hyperlink"/>
            <w:rFonts w:eastAsiaTheme="majorEastAsia"/>
            <w:i/>
            <w:iCs/>
            <w:noProof/>
          </w:rPr>
          <w:t>Nephrops</w:t>
        </w:r>
        <w:r w:rsidRPr="00535F9D">
          <w:rPr>
            <w:rStyle w:val="Hyperlink"/>
            <w:rFonts w:eastAsiaTheme="majorEastAsia"/>
            <w:noProof/>
          </w:rPr>
          <w:t xml:space="preserve"> (males and females combined) captured from the CSA site between November 2018 and September 2019.</w:t>
        </w:r>
        <w:r>
          <w:rPr>
            <w:noProof/>
            <w:webHidden/>
          </w:rPr>
          <w:tab/>
        </w:r>
        <w:r>
          <w:rPr>
            <w:noProof/>
            <w:webHidden/>
          </w:rPr>
          <w:fldChar w:fldCharType="begin"/>
        </w:r>
        <w:r>
          <w:rPr>
            <w:noProof/>
            <w:webHidden/>
          </w:rPr>
          <w:instrText xml:space="preserve"> PAGEREF _Toc204106714 \h </w:instrText>
        </w:r>
        <w:r>
          <w:rPr>
            <w:noProof/>
            <w:webHidden/>
          </w:rPr>
        </w:r>
        <w:r>
          <w:rPr>
            <w:noProof/>
            <w:webHidden/>
          </w:rPr>
          <w:fldChar w:fldCharType="separate"/>
        </w:r>
        <w:r w:rsidR="008549FC">
          <w:rPr>
            <w:noProof/>
            <w:webHidden/>
          </w:rPr>
          <w:t>95</w:t>
        </w:r>
        <w:r>
          <w:rPr>
            <w:noProof/>
            <w:webHidden/>
          </w:rPr>
          <w:fldChar w:fldCharType="end"/>
        </w:r>
      </w:hyperlink>
    </w:p>
    <w:p w14:paraId="587FD36E" w14:textId="601B778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5" w:history="1">
        <w:r w:rsidRPr="00535F9D">
          <w:rPr>
            <w:rStyle w:val="Hyperlink"/>
            <w:rFonts w:eastAsiaTheme="majorEastAsia"/>
            <w:b/>
            <w:noProof/>
          </w:rPr>
          <w:t>Figure 2.9</w:t>
        </w:r>
        <w:r w:rsidRPr="00535F9D">
          <w:rPr>
            <w:rStyle w:val="Hyperlink"/>
            <w:rFonts w:eastAsiaTheme="majorEastAsia"/>
            <w:noProof/>
          </w:rPr>
          <w:t xml:space="preserve"> Percentage (%) of patent infection by sex and diagnostic method (body-colour/pleopod methods) in monthly samples of </w:t>
        </w:r>
        <w:r w:rsidRPr="00535F9D">
          <w:rPr>
            <w:rStyle w:val="Hyperlink"/>
            <w:rFonts w:eastAsiaTheme="majorEastAsia"/>
            <w:i/>
            <w:iCs/>
            <w:noProof/>
          </w:rPr>
          <w:t>Nephrops</w:t>
        </w:r>
        <w:r w:rsidRPr="00535F9D">
          <w:rPr>
            <w:rStyle w:val="Hyperlink"/>
            <w:rFonts w:eastAsiaTheme="majorEastAsia"/>
            <w:noProof/>
          </w:rPr>
          <w:t xml:space="preserve"> captured from the CSA site between November 2018 and September 2019.</w:t>
        </w:r>
        <w:r>
          <w:rPr>
            <w:noProof/>
            <w:webHidden/>
          </w:rPr>
          <w:tab/>
        </w:r>
        <w:r>
          <w:rPr>
            <w:noProof/>
            <w:webHidden/>
          </w:rPr>
          <w:fldChar w:fldCharType="begin"/>
        </w:r>
        <w:r>
          <w:rPr>
            <w:noProof/>
            <w:webHidden/>
          </w:rPr>
          <w:instrText xml:space="preserve"> PAGEREF _Toc204106715 \h </w:instrText>
        </w:r>
        <w:r>
          <w:rPr>
            <w:noProof/>
            <w:webHidden/>
          </w:rPr>
        </w:r>
        <w:r>
          <w:rPr>
            <w:noProof/>
            <w:webHidden/>
          </w:rPr>
          <w:fldChar w:fldCharType="separate"/>
        </w:r>
        <w:r w:rsidR="008549FC">
          <w:rPr>
            <w:noProof/>
            <w:webHidden/>
          </w:rPr>
          <w:t>95</w:t>
        </w:r>
        <w:r>
          <w:rPr>
            <w:noProof/>
            <w:webHidden/>
          </w:rPr>
          <w:fldChar w:fldCharType="end"/>
        </w:r>
      </w:hyperlink>
    </w:p>
    <w:p w14:paraId="3ADF014C" w14:textId="6BBA908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6" w:history="1">
        <w:r w:rsidRPr="00535F9D">
          <w:rPr>
            <w:rStyle w:val="Hyperlink"/>
            <w:rFonts w:eastAsiaTheme="majorEastAsia"/>
            <w:b/>
            <w:bCs/>
            <w:noProof/>
          </w:rPr>
          <w:t>Figure 2.10</w:t>
        </w:r>
        <w:r w:rsidRPr="00535F9D">
          <w:rPr>
            <w:rStyle w:val="Hyperlink"/>
            <w:rFonts w:eastAsiaTheme="majorEastAsia"/>
            <w:noProof/>
          </w:rPr>
          <w:t xml:space="preserve"> A) Overall percentage (%) of patent infection severity (S0-S4) according to pleopod method (PM). B) Male percentage (%) of patent infection (PM). C) Female percentage (%) of patent infection (PM).</w:t>
        </w:r>
        <w:r>
          <w:rPr>
            <w:noProof/>
            <w:webHidden/>
          </w:rPr>
          <w:tab/>
        </w:r>
        <w:r>
          <w:rPr>
            <w:noProof/>
            <w:webHidden/>
          </w:rPr>
          <w:fldChar w:fldCharType="begin"/>
        </w:r>
        <w:r>
          <w:rPr>
            <w:noProof/>
            <w:webHidden/>
          </w:rPr>
          <w:instrText xml:space="preserve"> PAGEREF _Toc204106716 \h </w:instrText>
        </w:r>
        <w:r>
          <w:rPr>
            <w:noProof/>
            <w:webHidden/>
          </w:rPr>
        </w:r>
        <w:r>
          <w:rPr>
            <w:noProof/>
            <w:webHidden/>
          </w:rPr>
          <w:fldChar w:fldCharType="separate"/>
        </w:r>
        <w:r w:rsidR="008549FC">
          <w:rPr>
            <w:noProof/>
            <w:webHidden/>
          </w:rPr>
          <w:t>96</w:t>
        </w:r>
        <w:r>
          <w:rPr>
            <w:noProof/>
            <w:webHidden/>
          </w:rPr>
          <w:fldChar w:fldCharType="end"/>
        </w:r>
      </w:hyperlink>
    </w:p>
    <w:p w14:paraId="18418E63" w14:textId="194D9C0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7" w:history="1">
        <w:r w:rsidRPr="00535F9D">
          <w:rPr>
            <w:rStyle w:val="Hyperlink"/>
            <w:rFonts w:eastAsiaTheme="majorEastAsia"/>
            <w:b/>
            <w:noProof/>
          </w:rPr>
          <w:t>Figure 2.11</w:t>
        </w:r>
        <w:r w:rsidRPr="00535F9D">
          <w:rPr>
            <w:rStyle w:val="Hyperlink"/>
            <w:rFonts w:eastAsiaTheme="majorEastAsia"/>
            <w:noProof/>
          </w:rPr>
          <w:t xml:space="preserve"> Mean carapace length (mm) of non-infected (negative (NEG)) and infected (positive (POS)) </w:t>
        </w:r>
        <w:r w:rsidRPr="00535F9D">
          <w:rPr>
            <w:rStyle w:val="Hyperlink"/>
            <w:rFonts w:eastAsiaTheme="majorEastAsia"/>
            <w:i/>
            <w:iCs/>
            <w:noProof/>
          </w:rPr>
          <w:t>Nephrops</w:t>
        </w:r>
        <w:r w:rsidRPr="00535F9D">
          <w:rPr>
            <w:rStyle w:val="Hyperlink"/>
            <w:rFonts w:eastAsiaTheme="majorEastAsia"/>
            <w:noProof/>
          </w:rPr>
          <w:t xml:space="preserve"> (both sexes combined), based on: A) BCM-negative vs BCM-positive individuals, using the body-colour method (BCM); B) PM-negative vs PM-positive individuals, representing the combined infection stages S1–S4 identified by the pleopod method (PM); C) The individual infection stages S0–S4, as determined by the pleopod method (PM).</w:t>
        </w:r>
        <w:r>
          <w:rPr>
            <w:noProof/>
            <w:webHidden/>
          </w:rPr>
          <w:tab/>
        </w:r>
        <w:r>
          <w:rPr>
            <w:noProof/>
            <w:webHidden/>
          </w:rPr>
          <w:fldChar w:fldCharType="begin"/>
        </w:r>
        <w:r>
          <w:rPr>
            <w:noProof/>
            <w:webHidden/>
          </w:rPr>
          <w:instrText xml:space="preserve"> PAGEREF _Toc204106717 \h </w:instrText>
        </w:r>
        <w:r>
          <w:rPr>
            <w:noProof/>
            <w:webHidden/>
          </w:rPr>
        </w:r>
        <w:r>
          <w:rPr>
            <w:noProof/>
            <w:webHidden/>
          </w:rPr>
          <w:fldChar w:fldCharType="separate"/>
        </w:r>
        <w:r w:rsidR="008549FC">
          <w:rPr>
            <w:noProof/>
            <w:webHidden/>
          </w:rPr>
          <w:t>100</w:t>
        </w:r>
        <w:r>
          <w:rPr>
            <w:noProof/>
            <w:webHidden/>
          </w:rPr>
          <w:fldChar w:fldCharType="end"/>
        </w:r>
      </w:hyperlink>
    </w:p>
    <w:p w14:paraId="26003446" w14:textId="2CA4637E"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8" w:history="1">
        <w:r w:rsidRPr="00535F9D">
          <w:rPr>
            <w:rStyle w:val="Hyperlink"/>
            <w:rFonts w:eastAsiaTheme="majorEastAsia"/>
            <w:b/>
            <w:noProof/>
          </w:rPr>
          <w:t>Figure 2.12</w:t>
        </w:r>
        <w:r w:rsidRPr="00535F9D">
          <w:rPr>
            <w:rStyle w:val="Hyperlink"/>
            <w:rFonts w:eastAsiaTheme="majorEastAsia"/>
            <w:noProof/>
          </w:rPr>
          <w:t xml:space="preserve"> Mean carapace length (mm) of non-infected (negative (NEG) and infected (positive (POS)) female and male </w:t>
        </w:r>
        <w:r w:rsidRPr="00535F9D">
          <w:rPr>
            <w:rStyle w:val="Hyperlink"/>
            <w:rFonts w:eastAsiaTheme="majorEastAsia"/>
            <w:i/>
            <w:iCs/>
            <w:noProof/>
          </w:rPr>
          <w:t>Nephrops</w:t>
        </w:r>
        <w:r w:rsidRPr="00535F9D">
          <w:rPr>
            <w:rStyle w:val="Hyperlink"/>
            <w:rFonts w:eastAsiaTheme="majorEastAsia"/>
            <w:noProof/>
          </w:rPr>
          <w:t>, based on: A) BCM-negative vs BCM-positive individuals, using the body-colour method (BCM); B) PM-negative vs PM-positive individuals, representing the combined infection stages S1–S4 identified by the pleopod method (PM); C) The individual infection stages S0–S4, as determined by the pleopod method (PM).</w:t>
        </w:r>
        <w:r>
          <w:rPr>
            <w:noProof/>
            <w:webHidden/>
          </w:rPr>
          <w:tab/>
        </w:r>
        <w:r>
          <w:rPr>
            <w:noProof/>
            <w:webHidden/>
          </w:rPr>
          <w:fldChar w:fldCharType="begin"/>
        </w:r>
        <w:r>
          <w:rPr>
            <w:noProof/>
            <w:webHidden/>
          </w:rPr>
          <w:instrText xml:space="preserve"> PAGEREF _Toc204106718 \h </w:instrText>
        </w:r>
        <w:r>
          <w:rPr>
            <w:noProof/>
            <w:webHidden/>
          </w:rPr>
        </w:r>
        <w:r>
          <w:rPr>
            <w:noProof/>
            <w:webHidden/>
          </w:rPr>
          <w:fldChar w:fldCharType="separate"/>
        </w:r>
        <w:r w:rsidR="008549FC">
          <w:rPr>
            <w:noProof/>
            <w:webHidden/>
          </w:rPr>
          <w:t>101</w:t>
        </w:r>
        <w:r>
          <w:rPr>
            <w:noProof/>
            <w:webHidden/>
          </w:rPr>
          <w:fldChar w:fldCharType="end"/>
        </w:r>
      </w:hyperlink>
    </w:p>
    <w:p w14:paraId="70E21FC4" w14:textId="6DA53B9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19" w:history="1">
        <w:r w:rsidRPr="00535F9D">
          <w:rPr>
            <w:rStyle w:val="Hyperlink"/>
            <w:rFonts w:eastAsiaTheme="majorEastAsia"/>
            <w:b/>
            <w:bCs/>
            <w:noProof/>
          </w:rPr>
          <w:t>Figure 2.13</w:t>
        </w:r>
        <w:r w:rsidRPr="00535F9D">
          <w:rPr>
            <w:rStyle w:val="Hyperlink"/>
            <w:rFonts w:eastAsiaTheme="majorEastAsia"/>
            <w:noProof/>
          </w:rPr>
          <w:t xml:space="preserve"> Size distribution of </w:t>
        </w:r>
        <w:r w:rsidRPr="00535F9D">
          <w:rPr>
            <w:rStyle w:val="Hyperlink"/>
            <w:rFonts w:eastAsiaTheme="majorEastAsia"/>
            <w:i/>
            <w:iCs/>
            <w:noProof/>
          </w:rPr>
          <w:t>Nephrops</w:t>
        </w:r>
        <w:r w:rsidRPr="00535F9D">
          <w:rPr>
            <w:rStyle w:val="Hyperlink"/>
            <w:rFonts w:eastAsiaTheme="majorEastAsia"/>
            <w:noProof/>
          </w:rPr>
          <w:t xml:space="preserve"> females and males with infection, based on body colour (BCM) and pleopod method (PM-stages 1-4 combined). S0/NEG are </w:t>
        </w:r>
        <w:r w:rsidRPr="00535F9D">
          <w:rPr>
            <w:rStyle w:val="Hyperlink"/>
            <w:rFonts w:eastAsiaTheme="majorEastAsia"/>
            <w:i/>
            <w:iCs/>
            <w:noProof/>
          </w:rPr>
          <w:t>Hematodinium</w:t>
        </w:r>
        <w:r w:rsidRPr="00535F9D">
          <w:rPr>
            <w:rStyle w:val="Hyperlink"/>
            <w:rFonts w:eastAsiaTheme="majorEastAsia"/>
            <w:noProof/>
          </w:rPr>
          <w:t xml:space="preserve"> negative by pleopod method (PM).</w:t>
        </w:r>
        <w:r>
          <w:rPr>
            <w:noProof/>
            <w:webHidden/>
          </w:rPr>
          <w:tab/>
        </w:r>
        <w:r>
          <w:rPr>
            <w:noProof/>
            <w:webHidden/>
          </w:rPr>
          <w:fldChar w:fldCharType="begin"/>
        </w:r>
        <w:r>
          <w:rPr>
            <w:noProof/>
            <w:webHidden/>
          </w:rPr>
          <w:instrText xml:space="preserve"> PAGEREF _Toc204106719 \h </w:instrText>
        </w:r>
        <w:r>
          <w:rPr>
            <w:noProof/>
            <w:webHidden/>
          </w:rPr>
        </w:r>
        <w:r>
          <w:rPr>
            <w:noProof/>
            <w:webHidden/>
          </w:rPr>
          <w:fldChar w:fldCharType="separate"/>
        </w:r>
        <w:r w:rsidR="008549FC">
          <w:rPr>
            <w:noProof/>
            <w:webHidden/>
          </w:rPr>
          <w:t>102</w:t>
        </w:r>
        <w:r>
          <w:rPr>
            <w:noProof/>
            <w:webHidden/>
          </w:rPr>
          <w:fldChar w:fldCharType="end"/>
        </w:r>
      </w:hyperlink>
    </w:p>
    <w:p w14:paraId="2DE9A734" w14:textId="71A58786"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0" w:history="1">
        <w:r w:rsidRPr="00535F9D">
          <w:rPr>
            <w:rStyle w:val="Hyperlink"/>
            <w:rFonts w:eastAsiaTheme="majorEastAsia"/>
            <w:b/>
            <w:noProof/>
          </w:rPr>
          <w:t>Figure 2.14</w:t>
        </w:r>
        <w:r w:rsidRPr="00535F9D">
          <w:rPr>
            <w:rStyle w:val="Hyperlink"/>
            <w:rFonts w:eastAsiaTheme="majorEastAsia"/>
            <w:noProof/>
          </w:rPr>
          <w:t xml:space="preserve"> The percentage of egg-bearing females (berried) found in samples (n=892; including PM-infected and PM-negative females) collected from the CSA site between November 2018 and September 2019.</w:t>
        </w:r>
        <w:r>
          <w:rPr>
            <w:noProof/>
            <w:webHidden/>
          </w:rPr>
          <w:tab/>
        </w:r>
        <w:r>
          <w:rPr>
            <w:noProof/>
            <w:webHidden/>
          </w:rPr>
          <w:fldChar w:fldCharType="begin"/>
        </w:r>
        <w:r>
          <w:rPr>
            <w:noProof/>
            <w:webHidden/>
          </w:rPr>
          <w:instrText xml:space="preserve"> PAGEREF _Toc204106720 \h </w:instrText>
        </w:r>
        <w:r>
          <w:rPr>
            <w:noProof/>
            <w:webHidden/>
          </w:rPr>
        </w:r>
        <w:r>
          <w:rPr>
            <w:noProof/>
            <w:webHidden/>
          </w:rPr>
          <w:fldChar w:fldCharType="separate"/>
        </w:r>
        <w:r w:rsidR="008549FC">
          <w:rPr>
            <w:noProof/>
            <w:webHidden/>
          </w:rPr>
          <w:t>104</w:t>
        </w:r>
        <w:r>
          <w:rPr>
            <w:noProof/>
            <w:webHidden/>
          </w:rPr>
          <w:fldChar w:fldCharType="end"/>
        </w:r>
      </w:hyperlink>
    </w:p>
    <w:p w14:paraId="77C03940" w14:textId="033DE75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1" w:history="1">
        <w:r w:rsidRPr="00535F9D">
          <w:rPr>
            <w:rStyle w:val="Hyperlink"/>
            <w:rFonts w:eastAsiaTheme="majorEastAsia"/>
            <w:b/>
            <w:bCs/>
            <w:noProof/>
          </w:rPr>
          <w:t>Figure 2.15</w:t>
        </w:r>
        <w:r w:rsidRPr="00535F9D">
          <w:rPr>
            <w:rStyle w:val="Hyperlink"/>
            <w:rFonts w:eastAsiaTheme="majorEastAsia"/>
            <w:noProof/>
          </w:rPr>
          <w:t xml:space="preserve"> A) Mean body weight (g); B) hepatosomatic index (HSI); C) gonadosomatic index (GSI) of female </w:t>
        </w:r>
        <w:r w:rsidRPr="00535F9D">
          <w:rPr>
            <w:rStyle w:val="Hyperlink"/>
            <w:rFonts w:eastAsiaTheme="majorEastAsia"/>
            <w:i/>
            <w:noProof/>
          </w:rPr>
          <w:t>Nephrops</w:t>
        </w:r>
        <w:r w:rsidRPr="00535F9D">
          <w:rPr>
            <w:rStyle w:val="Hyperlink"/>
            <w:rFonts w:eastAsiaTheme="majorEastAsia"/>
            <w:noProof/>
          </w:rPr>
          <w:t xml:space="preserve"> collected from the CSA site between November 2018 and September 2019.</w:t>
        </w:r>
        <w:r>
          <w:rPr>
            <w:noProof/>
            <w:webHidden/>
          </w:rPr>
          <w:tab/>
        </w:r>
        <w:r>
          <w:rPr>
            <w:noProof/>
            <w:webHidden/>
          </w:rPr>
          <w:fldChar w:fldCharType="begin"/>
        </w:r>
        <w:r>
          <w:rPr>
            <w:noProof/>
            <w:webHidden/>
          </w:rPr>
          <w:instrText xml:space="preserve"> PAGEREF _Toc204106721 \h </w:instrText>
        </w:r>
        <w:r>
          <w:rPr>
            <w:noProof/>
            <w:webHidden/>
          </w:rPr>
        </w:r>
        <w:r>
          <w:rPr>
            <w:noProof/>
            <w:webHidden/>
          </w:rPr>
          <w:fldChar w:fldCharType="separate"/>
        </w:r>
        <w:r w:rsidR="008549FC">
          <w:rPr>
            <w:noProof/>
            <w:webHidden/>
          </w:rPr>
          <w:t>105</w:t>
        </w:r>
        <w:r>
          <w:rPr>
            <w:noProof/>
            <w:webHidden/>
          </w:rPr>
          <w:fldChar w:fldCharType="end"/>
        </w:r>
      </w:hyperlink>
    </w:p>
    <w:p w14:paraId="24613168" w14:textId="791F8274"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2" w:history="1">
        <w:r w:rsidRPr="00535F9D">
          <w:rPr>
            <w:rStyle w:val="Hyperlink"/>
            <w:rFonts w:eastAsiaTheme="majorEastAsia"/>
            <w:b/>
            <w:noProof/>
          </w:rPr>
          <w:t>Figure 2.16</w:t>
        </w:r>
        <w:r w:rsidRPr="00535F9D">
          <w:rPr>
            <w:rStyle w:val="Hyperlink"/>
            <w:rFonts w:eastAsiaTheme="majorEastAsia"/>
            <w:noProof/>
          </w:rPr>
          <w:t xml:space="preserve"> The percentages of female </w:t>
        </w:r>
        <w:r w:rsidRPr="00535F9D">
          <w:rPr>
            <w:rStyle w:val="Hyperlink"/>
            <w:rFonts w:eastAsiaTheme="majorEastAsia"/>
            <w:i/>
            <w:noProof/>
          </w:rPr>
          <w:t>Nephrops</w:t>
        </w:r>
        <w:r w:rsidRPr="00535F9D">
          <w:rPr>
            <w:rStyle w:val="Hyperlink"/>
            <w:rFonts w:eastAsiaTheme="majorEastAsia"/>
            <w:noProof/>
          </w:rPr>
          <w:t xml:space="preserve"> at the different gonad stages, collected from the CSA site between November 2018 and September 2019. (number of observations S0, n=115; S1, n=34; S2, n=40; S3/4, n=115; S5, n=26)</w:t>
        </w:r>
        <w:r>
          <w:rPr>
            <w:noProof/>
            <w:webHidden/>
          </w:rPr>
          <w:tab/>
        </w:r>
        <w:r>
          <w:rPr>
            <w:noProof/>
            <w:webHidden/>
          </w:rPr>
          <w:fldChar w:fldCharType="begin"/>
        </w:r>
        <w:r>
          <w:rPr>
            <w:noProof/>
            <w:webHidden/>
          </w:rPr>
          <w:instrText xml:space="preserve"> PAGEREF _Toc204106722 \h </w:instrText>
        </w:r>
        <w:r>
          <w:rPr>
            <w:noProof/>
            <w:webHidden/>
          </w:rPr>
        </w:r>
        <w:r>
          <w:rPr>
            <w:noProof/>
            <w:webHidden/>
          </w:rPr>
          <w:fldChar w:fldCharType="separate"/>
        </w:r>
        <w:r w:rsidR="008549FC">
          <w:rPr>
            <w:noProof/>
            <w:webHidden/>
          </w:rPr>
          <w:t>106</w:t>
        </w:r>
        <w:r>
          <w:rPr>
            <w:noProof/>
            <w:webHidden/>
          </w:rPr>
          <w:fldChar w:fldCharType="end"/>
        </w:r>
      </w:hyperlink>
    </w:p>
    <w:p w14:paraId="3FB11EA6" w14:textId="4EFCD50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3" w:history="1">
        <w:r w:rsidRPr="00535F9D">
          <w:rPr>
            <w:rStyle w:val="Hyperlink"/>
            <w:rFonts w:eastAsiaTheme="majorEastAsia"/>
            <w:b/>
            <w:noProof/>
          </w:rPr>
          <w:t>Figure 2.17</w:t>
        </w:r>
        <w:r w:rsidRPr="00535F9D">
          <w:rPr>
            <w:rStyle w:val="Hyperlink"/>
            <w:rFonts w:eastAsiaTheme="majorEastAsia"/>
            <w:noProof/>
          </w:rPr>
          <w:t xml:space="preserve"> </w:t>
        </w:r>
        <w:r w:rsidRPr="00535F9D">
          <w:rPr>
            <w:rStyle w:val="Hyperlink"/>
            <w:rFonts w:eastAsia="Calibri"/>
            <w:bCs/>
            <w:iCs/>
            <w:noProof/>
          </w:rPr>
          <w:t xml:space="preserve">Mean values of (A) the hepatosomatic index (HSI) and (B) the gonadosomatic index (GSI) of female </w:t>
        </w:r>
        <w:r w:rsidRPr="00535F9D">
          <w:rPr>
            <w:rStyle w:val="Hyperlink"/>
            <w:rFonts w:eastAsia="Calibri"/>
            <w:bCs/>
            <w:i/>
            <w:iCs/>
            <w:noProof/>
          </w:rPr>
          <w:t>Nephrops</w:t>
        </w:r>
        <w:r w:rsidRPr="00535F9D">
          <w:rPr>
            <w:rStyle w:val="Hyperlink"/>
            <w:rFonts w:eastAsia="Calibri"/>
            <w:bCs/>
            <w:iCs/>
            <w:noProof/>
          </w:rPr>
          <w:t xml:space="preserve"> at the different stages of gonadal development. (number of observations S0, n=115; S1, n=34; S2, n=40; S3/4, n=115; S5, n=26)</w:t>
        </w:r>
        <w:r>
          <w:rPr>
            <w:noProof/>
            <w:webHidden/>
          </w:rPr>
          <w:tab/>
        </w:r>
        <w:r>
          <w:rPr>
            <w:noProof/>
            <w:webHidden/>
          </w:rPr>
          <w:fldChar w:fldCharType="begin"/>
        </w:r>
        <w:r>
          <w:rPr>
            <w:noProof/>
            <w:webHidden/>
          </w:rPr>
          <w:instrText xml:space="preserve"> PAGEREF _Toc204106723 \h </w:instrText>
        </w:r>
        <w:r>
          <w:rPr>
            <w:noProof/>
            <w:webHidden/>
          </w:rPr>
        </w:r>
        <w:r>
          <w:rPr>
            <w:noProof/>
            <w:webHidden/>
          </w:rPr>
          <w:fldChar w:fldCharType="separate"/>
        </w:r>
        <w:r w:rsidR="008549FC">
          <w:rPr>
            <w:noProof/>
            <w:webHidden/>
          </w:rPr>
          <w:t>107</w:t>
        </w:r>
        <w:r>
          <w:rPr>
            <w:noProof/>
            <w:webHidden/>
          </w:rPr>
          <w:fldChar w:fldCharType="end"/>
        </w:r>
      </w:hyperlink>
    </w:p>
    <w:p w14:paraId="08F1A52B" w14:textId="1CD03592"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4" w:history="1">
        <w:r w:rsidRPr="00535F9D">
          <w:rPr>
            <w:rStyle w:val="Hyperlink"/>
            <w:rFonts w:eastAsiaTheme="majorEastAsia"/>
            <w:b/>
            <w:noProof/>
          </w:rPr>
          <w:t>Figure 2.18</w:t>
        </w:r>
        <w:r w:rsidRPr="00535F9D">
          <w:rPr>
            <w:rStyle w:val="Hyperlink"/>
            <w:rFonts w:eastAsiaTheme="majorEastAsia"/>
            <w:noProof/>
          </w:rPr>
          <w:t xml:space="preserve"> The hepatosomatic (HSI) (A-C) and the gonadosomatic (GSI) (D-F) indices of female </w:t>
        </w:r>
        <w:r w:rsidRPr="00535F9D">
          <w:rPr>
            <w:rStyle w:val="Hyperlink"/>
            <w:rFonts w:eastAsiaTheme="majorEastAsia"/>
            <w:i/>
            <w:noProof/>
          </w:rPr>
          <w:t>Nephrops</w:t>
        </w:r>
        <w:r w:rsidRPr="00535F9D">
          <w:rPr>
            <w:rStyle w:val="Hyperlink"/>
            <w:rFonts w:eastAsiaTheme="majorEastAsia"/>
            <w:noProof/>
          </w:rPr>
          <w:t xml:space="preserve"> in relation to infection status evaluated by BCM and PM.</w:t>
        </w:r>
        <w:r>
          <w:rPr>
            <w:noProof/>
            <w:webHidden/>
          </w:rPr>
          <w:tab/>
        </w:r>
        <w:r>
          <w:rPr>
            <w:noProof/>
            <w:webHidden/>
          </w:rPr>
          <w:fldChar w:fldCharType="begin"/>
        </w:r>
        <w:r>
          <w:rPr>
            <w:noProof/>
            <w:webHidden/>
          </w:rPr>
          <w:instrText xml:space="preserve"> PAGEREF _Toc204106724 \h </w:instrText>
        </w:r>
        <w:r>
          <w:rPr>
            <w:noProof/>
            <w:webHidden/>
          </w:rPr>
        </w:r>
        <w:r>
          <w:rPr>
            <w:noProof/>
            <w:webHidden/>
          </w:rPr>
          <w:fldChar w:fldCharType="separate"/>
        </w:r>
        <w:r w:rsidR="008549FC">
          <w:rPr>
            <w:noProof/>
            <w:webHidden/>
          </w:rPr>
          <w:t>110</w:t>
        </w:r>
        <w:r>
          <w:rPr>
            <w:noProof/>
            <w:webHidden/>
          </w:rPr>
          <w:fldChar w:fldCharType="end"/>
        </w:r>
      </w:hyperlink>
    </w:p>
    <w:p w14:paraId="395A1473" w14:textId="7D6AB64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5" w:history="1">
        <w:r w:rsidRPr="00535F9D">
          <w:rPr>
            <w:rStyle w:val="Hyperlink"/>
            <w:rFonts w:eastAsiaTheme="majorEastAsia"/>
            <w:b/>
            <w:noProof/>
          </w:rPr>
          <w:t>Figure 3.1</w:t>
        </w:r>
        <w:r w:rsidRPr="00535F9D">
          <w:rPr>
            <w:rStyle w:val="Hyperlink"/>
            <w:rFonts w:eastAsiaTheme="majorEastAsia"/>
            <w:noProof/>
          </w:rPr>
          <w:t xml:space="preserve"> A) Percentage distribution of patent infection based on body-colour method (BCM) and pleopod method (PM) Stages 1-4. B) Distribution of pleopod patent infection percentage across different pleopod stages (prevalence-set).</w:t>
        </w:r>
        <w:r>
          <w:rPr>
            <w:noProof/>
            <w:webHidden/>
          </w:rPr>
          <w:tab/>
        </w:r>
        <w:r>
          <w:rPr>
            <w:noProof/>
            <w:webHidden/>
          </w:rPr>
          <w:fldChar w:fldCharType="begin"/>
        </w:r>
        <w:r>
          <w:rPr>
            <w:noProof/>
            <w:webHidden/>
          </w:rPr>
          <w:instrText xml:space="preserve"> PAGEREF _Toc204106725 \h </w:instrText>
        </w:r>
        <w:r>
          <w:rPr>
            <w:noProof/>
            <w:webHidden/>
          </w:rPr>
        </w:r>
        <w:r>
          <w:rPr>
            <w:noProof/>
            <w:webHidden/>
          </w:rPr>
          <w:fldChar w:fldCharType="separate"/>
        </w:r>
        <w:r w:rsidR="008549FC">
          <w:rPr>
            <w:noProof/>
            <w:webHidden/>
          </w:rPr>
          <w:t>130</w:t>
        </w:r>
        <w:r>
          <w:rPr>
            <w:noProof/>
            <w:webHidden/>
          </w:rPr>
          <w:fldChar w:fldCharType="end"/>
        </w:r>
      </w:hyperlink>
    </w:p>
    <w:p w14:paraId="4FCF5199" w14:textId="04C2701B"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6" w:history="1">
        <w:r w:rsidRPr="00535F9D">
          <w:rPr>
            <w:rStyle w:val="Hyperlink"/>
            <w:rFonts w:eastAsiaTheme="majorEastAsia"/>
            <w:b/>
            <w:noProof/>
          </w:rPr>
          <w:t>Figure 3.2</w:t>
        </w:r>
        <w:r w:rsidRPr="00535F9D">
          <w:rPr>
            <w:rStyle w:val="Hyperlink"/>
            <w:rFonts w:eastAsiaTheme="majorEastAsia"/>
            <w:noProof/>
          </w:rPr>
          <w:t xml:space="preserve"> A) Distribution of patent infection percentage by sex and diagnostic method (body-colour/pleopod method). B) Distribution of pleopod patent infection percentage across different pleopod stages and sex (prevalence-set).</w:t>
        </w:r>
        <w:r>
          <w:rPr>
            <w:noProof/>
            <w:webHidden/>
          </w:rPr>
          <w:tab/>
        </w:r>
        <w:r>
          <w:rPr>
            <w:noProof/>
            <w:webHidden/>
          </w:rPr>
          <w:fldChar w:fldCharType="begin"/>
        </w:r>
        <w:r>
          <w:rPr>
            <w:noProof/>
            <w:webHidden/>
          </w:rPr>
          <w:instrText xml:space="preserve"> PAGEREF _Toc204106726 \h </w:instrText>
        </w:r>
        <w:r>
          <w:rPr>
            <w:noProof/>
            <w:webHidden/>
          </w:rPr>
        </w:r>
        <w:r>
          <w:rPr>
            <w:noProof/>
            <w:webHidden/>
          </w:rPr>
          <w:fldChar w:fldCharType="separate"/>
        </w:r>
        <w:r w:rsidR="008549FC">
          <w:rPr>
            <w:noProof/>
            <w:webHidden/>
          </w:rPr>
          <w:t>130</w:t>
        </w:r>
        <w:r>
          <w:rPr>
            <w:noProof/>
            <w:webHidden/>
          </w:rPr>
          <w:fldChar w:fldCharType="end"/>
        </w:r>
      </w:hyperlink>
    </w:p>
    <w:p w14:paraId="5F7A41E8" w14:textId="455FD201"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7" w:history="1">
        <w:r w:rsidRPr="00535F9D">
          <w:rPr>
            <w:rStyle w:val="Hyperlink"/>
            <w:rFonts w:eastAsiaTheme="majorEastAsia"/>
            <w:b/>
            <w:noProof/>
          </w:rPr>
          <w:t>Figure 3.3</w:t>
        </w:r>
        <w:r w:rsidRPr="00535F9D">
          <w:rPr>
            <w:rStyle w:val="Hyperlink"/>
            <w:rFonts w:eastAsiaTheme="majorEastAsia"/>
            <w:noProof/>
          </w:rPr>
          <w:t xml:space="preserve"> Progression of </w:t>
        </w:r>
        <w:r w:rsidRPr="00535F9D">
          <w:rPr>
            <w:rStyle w:val="Hyperlink"/>
            <w:rFonts w:eastAsiaTheme="majorEastAsia"/>
            <w:i/>
            <w:noProof/>
          </w:rPr>
          <w:t>Hematodinium</w:t>
        </w:r>
        <w:r w:rsidRPr="00535F9D">
          <w:rPr>
            <w:rStyle w:val="Hyperlink"/>
            <w:rFonts w:eastAsiaTheme="majorEastAsia"/>
            <w:noProof/>
          </w:rPr>
          <w:t xml:space="preserve"> sp. infection in the gills of </w:t>
        </w:r>
        <w:r w:rsidRPr="00535F9D">
          <w:rPr>
            <w:rStyle w:val="Hyperlink"/>
            <w:rFonts w:eastAsiaTheme="majorEastAsia"/>
            <w:i/>
            <w:noProof/>
          </w:rPr>
          <w:t>N. norvegicus</w:t>
        </w:r>
        <w:r w:rsidRPr="00535F9D">
          <w:rPr>
            <w:rStyle w:val="Hyperlink"/>
            <w:rFonts w:eastAsiaTheme="majorEastAsia"/>
            <w:noProof/>
          </w:rPr>
          <w:t>, shown across infection stages 0 to 4 (</w:t>
        </w:r>
        <w:r w:rsidRPr="00535F9D">
          <w:rPr>
            <w:rStyle w:val="Hyperlink"/>
            <w:rFonts w:eastAsiaTheme="majorEastAsia"/>
            <w:b/>
            <w:bCs/>
            <w:noProof/>
          </w:rPr>
          <w:t>A–E</w:t>
        </w:r>
        <w:r w:rsidRPr="00535F9D">
          <w:rPr>
            <w:rStyle w:val="Hyperlink"/>
            <w:rFonts w:eastAsiaTheme="majorEastAsia"/>
            <w:noProof/>
          </w:rPr>
          <w:t xml:space="preserve">), based on the pleopod method (PM). </w:t>
        </w:r>
        <w:r w:rsidRPr="00535F9D">
          <w:rPr>
            <w:rStyle w:val="Hyperlink"/>
            <w:rFonts w:eastAsiaTheme="majorEastAsia"/>
            <w:b/>
            <w:bCs/>
            <w:noProof/>
          </w:rPr>
          <w:t>F</w:t>
        </w:r>
        <w:r w:rsidRPr="00535F9D">
          <w:rPr>
            <w:rStyle w:val="Hyperlink"/>
            <w:rFonts w:eastAsiaTheme="majorEastAsia"/>
            <w:noProof/>
          </w:rPr>
          <w:t xml:space="preserve">) High-magnification image of the gills at stage 1 of infection (PM). Haemocytes (red arrows), mononucleated </w:t>
        </w:r>
        <w:r w:rsidRPr="00535F9D">
          <w:rPr>
            <w:rStyle w:val="Hyperlink"/>
            <w:rFonts w:eastAsiaTheme="majorEastAsia"/>
            <w:i/>
            <w:noProof/>
          </w:rPr>
          <w:t>Hematodinium</w:t>
        </w:r>
        <w:r w:rsidRPr="00535F9D">
          <w:rPr>
            <w:rStyle w:val="Hyperlink"/>
            <w:rFonts w:eastAsiaTheme="majorEastAsia"/>
            <w:noProof/>
          </w:rPr>
          <w:t xml:space="preserve"> cells (blue arrow), and multinucleated </w:t>
        </w:r>
        <w:r w:rsidRPr="00535F9D">
          <w:rPr>
            <w:rStyle w:val="Hyperlink"/>
            <w:rFonts w:eastAsiaTheme="majorEastAsia"/>
            <w:i/>
            <w:noProof/>
          </w:rPr>
          <w:t>Hematodinium</w:t>
        </w:r>
        <w:r w:rsidRPr="00535F9D">
          <w:rPr>
            <w:rStyle w:val="Hyperlink"/>
            <w:rFonts w:eastAsiaTheme="majorEastAsia"/>
            <w:noProof/>
          </w:rPr>
          <w:t xml:space="preserve"> cells (black arrow) are visible. </w:t>
        </w:r>
        <w:r w:rsidRPr="00535F9D">
          <w:rPr>
            <w:rStyle w:val="Hyperlink"/>
            <w:rFonts w:eastAsiaTheme="majorEastAsia"/>
            <w:i/>
            <w:noProof/>
          </w:rPr>
          <w:t>Note: No evidence of host cellular response or melanisation is observed.</w:t>
        </w:r>
        <w:r>
          <w:rPr>
            <w:noProof/>
            <w:webHidden/>
          </w:rPr>
          <w:tab/>
        </w:r>
        <w:r>
          <w:rPr>
            <w:noProof/>
            <w:webHidden/>
          </w:rPr>
          <w:fldChar w:fldCharType="begin"/>
        </w:r>
        <w:r>
          <w:rPr>
            <w:noProof/>
            <w:webHidden/>
          </w:rPr>
          <w:instrText xml:space="preserve"> PAGEREF _Toc204106727 \h </w:instrText>
        </w:r>
        <w:r>
          <w:rPr>
            <w:noProof/>
            <w:webHidden/>
          </w:rPr>
        </w:r>
        <w:r>
          <w:rPr>
            <w:noProof/>
            <w:webHidden/>
          </w:rPr>
          <w:fldChar w:fldCharType="separate"/>
        </w:r>
        <w:r w:rsidR="008549FC">
          <w:rPr>
            <w:noProof/>
            <w:webHidden/>
          </w:rPr>
          <w:t>135</w:t>
        </w:r>
        <w:r>
          <w:rPr>
            <w:noProof/>
            <w:webHidden/>
          </w:rPr>
          <w:fldChar w:fldCharType="end"/>
        </w:r>
      </w:hyperlink>
    </w:p>
    <w:p w14:paraId="703F4DA0" w14:textId="4228E20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8" w:history="1">
        <w:r w:rsidRPr="00535F9D">
          <w:rPr>
            <w:rStyle w:val="Hyperlink"/>
            <w:rFonts w:eastAsiaTheme="majorEastAsia"/>
            <w:b/>
            <w:noProof/>
          </w:rPr>
          <w:t>Figure 3.4</w:t>
        </w:r>
        <w:r w:rsidRPr="00535F9D">
          <w:rPr>
            <w:rStyle w:val="Hyperlink"/>
            <w:rFonts w:eastAsiaTheme="majorEastAsia"/>
            <w:noProof/>
          </w:rPr>
          <w:t xml:space="preserve"> Progression of </w:t>
        </w:r>
        <w:r w:rsidRPr="00535F9D">
          <w:rPr>
            <w:rStyle w:val="Hyperlink"/>
            <w:rFonts w:eastAsiaTheme="majorEastAsia"/>
            <w:i/>
            <w:noProof/>
          </w:rPr>
          <w:t>Hematodinium</w:t>
        </w:r>
        <w:r w:rsidRPr="00535F9D">
          <w:rPr>
            <w:rStyle w:val="Hyperlink"/>
            <w:rFonts w:eastAsiaTheme="majorEastAsia"/>
            <w:noProof/>
          </w:rPr>
          <w:t xml:space="preserve"> sp. infection in the heart of </w:t>
        </w:r>
        <w:r w:rsidRPr="00535F9D">
          <w:rPr>
            <w:rStyle w:val="Hyperlink"/>
            <w:rFonts w:eastAsiaTheme="majorEastAsia"/>
            <w:i/>
            <w:noProof/>
          </w:rPr>
          <w:t>N. norvegicus</w:t>
        </w:r>
        <w:r w:rsidRPr="00535F9D">
          <w:rPr>
            <w:rStyle w:val="Hyperlink"/>
            <w:rFonts w:eastAsiaTheme="majorEastAsia"/>
            <w:noProof/>
          </w:rPr>
          <w:t>, shown across infection stages 0 to 4 (</w:t>
        </w:r>
        <w:r w:rsidRPr="00535F9D">
          <w:rPr>
            <w:rStyle w:val="Hyperlink"/>
            <w:rFonts w:eastAsiaTheme="majorEastAsia"/>
            <w:b/>
            <w:bCs/>
            <w:noProof/>
          </w:rPr>
          <w:t>A–E</w:t>
        </w:r>
        <w:r w:rsidRPr="00535F9D">
          <w:rPr>
            <w:rStyle w:val="Hyperlink"/>
            <w:rFonts w:eastAsiaTheme="majorEastAsia"/>
            <w:noProof/>
          </w:rPr>
          <w:t xml:space="preserve">), based on the pleopod method (PM). </w:t>
        </w:r>
        <w:r w:rsidRPr="00535F9D">
          <w:rPr>
            <w:rStyle w:val="Hyperlink"/>
            <w:rFonts w:eastAsiaTheme="majorEastAsia"/>
            <w:b/>
            <w:bCs/>
            <w:noProof/>
          </w:rPr>
          <w:t>F</w:t>
        </w:r>
        <w:r w:rsidRPr="00535F9D">
          <w:rPr>
            <w:rStyle w:val="Hyperlink"/>
            <w:rFonts w:eastAsiaTheme="majorEastAsia"/>
            <w:noProof/>
          </w:rPr>
          <w:t xml:space="preserve">) High-magnification image of the heart at stage 2 of infection (PM). Haemocytes (red arrows), mononucleated </w:t>
        </w:r>
        <w:r w:rsidRPr="00535F9D">
          <w:rPr>
            <w:rStyle w:val="Hyperlink"/>
            <w:rFonts w:eastAsiaTheme="majorEastAsia"/>
            <w:i/>
            <w:noProof/>
          </w:rPr>
          <w:t>Hematodinium</w:t>
        </w:r>
        <w:r w:rsidRPr="00535F9D">
          <w:rPr>
            <w:rStyle w:val="Hyperlink"/>
            <w:rFonts w:eastAsiaTheme="majorEastAsia"/>
            <w:noProof/>
          </w:rPr>
          <w:t xml:space="preserve"> cells (blue arrow), and multinucleated </w:t>
        </w:r>
        <w:r w:rsidRPr="00535F9D">
          <w:rPr>
            <w:rStyle w:val="Hyperlink"/>
            <w:rFonts w:eastAsiaTheme="majorEastAsia"/>
            <w:i/>
            <w:noProof/>
          </w:rPr>
          <w:t>Hematodinium</w:t>
        </w:r>
        <w:r w:rsidRPr="00535F9D">
          <w:rPr>
            <w:rStyle w:val="Hyperlink"/>
            <w:rFonts w:eastAsiaTheme="majorEastAsia"/>
            <w:noProof/>
          </w:rPr>
          <w:t xml:space="preserve"> cells (black arrow) are visible. </w:t>
        </w:r>
        <w:r w:rsidRPr="00535F9D">
          <w:rPr>
            <w:rStyle w:val="Hyperlink"/>
            <w:rFonts w:eastAsiaTheme="majorEastAsia"/>
            <w:i/>
            <w:noProof/>
          </w:rPr>
          <w:t>Note: No evidence of host cellular response or melanisation is observed.</w:t>
        </w:r>
        <w:r>
          <w:rPr>
            <w:noProof/>
            <w:webHidden/>
          </w:rPr>
          <w:tab/>
        </w:r>
        <w:r>
          <w:rPr>
            <w:noProof/>
            <w:webHidden/>
          </w:rPr>
          <w:fldChar w:fldCharType="begin"/>
        </w:r>
        <w:r>
          <w:rPr>
            <w:noProof/>
            <w:webHidden/>
          </w:rPr>
          <w:instrText xml:space="preserve"> PAGEREF _Toc204106728 \h </w:instrText>
        </w:r>
        <w:r>
          <w:rPr>
            <w:noProof/>
            <w:webHidden/>
          </w:rPr>
        </w:r>
        <w:r>
          <w:rPr>
            <w:noProof/>
            <w:webHidden/>
          </w:rPr>
          <w:fldChar w:fldCharType="separate"/>
        </w:r>
        <w:r w:rsidR="008549FC">
          <w:rPr>
            <w:noProof/>
            <w:webHidden/>
          </w:rPr>
          <w:t>136</w:t>
        </w:r>
        <w:r>
          <w:rPr>
            <w:noProof/>
            <w:webHidden/>
          </w:rPr>
          <w:fldChar w:fldCharType="end"/>
        </w:r>
      </w:hyperlink>
    </w:p>
    <w:p w14:paraId="4791E5FD" w14:textId="584C553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29" w:history="1">
        <w:r w:rsidRPr="00535F9D">
          <w:rPr>
            <w:rStyle w:val="Hyperlink"/>
            <w:rFonts w:eastAsiaTheme="majorEastAsia"/>
            <w:b/>
            <w:noProof/>
          </w:rPr>
          <w:t>Figure 3.5</w:t>
        </w:r>
        <w:r w:rsidRPr="00535F9D">
          <w:rPr>
            <w:rStyle w:val="Hyperlink"/>
            <w:rFonts w:eastAsiaTheme="majorEastAsia"/>
            <w:b/>
            <w:bCs/>
            <w:noProof/>
          </w:rPr>
          <w:t xml:space="preserve"> </w:t>
        </w:r>
        <w:r w:rsidRPr="00535F9D">
          <w:rPr>
            <w:rStyle w:val="Hyperlink"/>
            <w:rFonts w:eastAsiaTheme="majorEastAsia"/>
            <w:noProof/>
          </w:rPr>
          <w:t xml:space="preserve">Progression of </w:t>
        </w:r>
        <w:r w:rsidRPr="00535F9D">
          <w:rPr>
            <w:rStyle w:val="Hyperlink"/>
            <w:rFonts w:eastAsiaTheme="majorEastAsia"/>
            <w:i/>
            <w:iCs/>
            <w:noProof/>
          </w:rPr>
          <w:t>Hematodinium</w:t>
        </w:r>
        <w:r w:rsidRPr="00535F9D">
          <w:rPr>
            <w:rStyle w:val="Hyperlink"/>
            <w:rFonts w:eastAsiaTheme="majorEastAsia"/>
            <w:noProof/>
          </w:rPr>
          <w:t xml:space="preserve"> sp. infection in the hepatopancreas of </w:t>
        </w:r>
        <w:r w:rsidRPr="00535F9D">
          <w:rPr>
            <w:rStyle w:val="Hyperlink"/>
            <w:rFonts w:eastAsiaTheme="majorEastAsia"/>
            <w:i/>
            <w:iCs/>
            <w:noProof/>
          </w:rPr>
          <w:t>N. norvegicus</w:t>
        </w:r>
        <w:r w:rsidRPr="00535F9D">
          <w:rPr>
            <w:rStyle w:val="Hyperlink"/>
            <w:rFonts w:eastAsiaTheme="majorEastAsia"/>
            <w:noProof/>
          </w:rPr>
          <w:t>, shown across infection stages 0 to 4 (</w:t>
        </w:r>
        <w:r w:rsidRPr="00535F9D">
          <w:rPr>
            <w:rStyle w:val="Hyperlink"/>
            <w:rFonts w:eastAsiaTheme="majorEastAsia"/>
            <w:b/>
            <w:bCs/>
            <w:noProof/>
          </w:rPr>
          <w:t>A–E</w:t>
        </w:r>
        <w:r w:rsidRPr="00535F9D">
          <w:rPr>
            <w:rStyle w:val="Hyperlink"/>
            <w:rFonts w:eastAsiaTheme="majorEastAsia"/>
            <w:noProof/>
          </w:rPr>
          <w:t xml:space="preserve">), based on the pleopod method (PM). </w:t>
        </w:r>
        <w:r w:rsidRPr="00535F9D">
          <w:rPr>
            <w:rStyle w:val="Hyperlink"/>
            <w:rFonts w:eastAsiaTheme="majorEastAsia"/>
            <w:b/>
            <w:bCs/>
            <w:noProof/>
          </w:rPr>
          <w:t>F</w:t>
        </w:r>
        <w:r w:rsidRPr="00535F9D">
          <w:rPr>
            <w:rStyle w:val="Hyperlink"/>
            <w:rFonts w:eastAsiaTheme="majorEastAsia"/>
            <w:noProof/>
          </w:rPr>
          <w:t xml:space="preserve">) High-magnification image of the hepatopancreas at stage 1 of infection (PM). Haemocytes (red arrows), mononucleated </w:t>
        </w:r>
        <w:r w:rsidRPr="00535F9D">
          <w:rPr>
            <w:rStyle w:val="Hyperlink"/>
            <w:rFonts w:eastAsiaTheme="majorEastAsia"/>
            <w:i/>
            <w:iCs/>
            <w:noProof/>
          </w:rPr>
          <w:t>Hematodinium</w:t>
        </w:r>
        <w:r w:rsidRPr="00535F9D">
          <w:rPr>
            <w:rStyle w:val="Hyperlink"/>
            <w:rFonts w:eastAsiaTheme="majorEastAsia"/>
            <w:noProof/>
          </w:rPr>
          <w:t xml:space="preserve"> cells (blue arrow), and multinucleated </w:t>
        </w:r>
        <w:r w:rsidRPr="00535F9D">
          <w:rPr>
            <w:rStyle w:val="Hyperlink"/>
            <w:rFonts w:eastAsiaTheme="majorEastAsia"/>
            <w:i/>
            <w:iCs/>
            <w:noProof/>
          </w:rPr>
          <w:t>Hematodinium</w:t>
        </w:r>
        <w:r w:rsidRPr="00535F9D">
          <w:rPr>
            <w:rStyle w:val="Hyperlink"/>
            <w:rFonts w:eastAsiaTheme="majorEastAsia"/>
            <w:noProof/>
          </w:rPr>
          <w:t xml:space="preserve"> cells (black arrow) are visible. </w:t>
        </w:r>
        <w:r w:rsidRPr="00535F9D">
          <w:rPr>
            <w:rStyle w:val="Hyperlink"/>
            <w:rFonts w:eastAsiaTheme="majorEastAsia"/>
            <w:i/>
            <w:iCs/>
            <w:noProof/>
          </w:rPr>
          <w:t>Note: No evidence of host cellular response or melanisation is observed.</w:t>
        </w:r>
        <w:r>
          <w:rPr>
            <w:noProof/>
            <w:webHidden/>
          </w:rPr>
          <w:tab/>
        </w:r>
        <w:r>
          <w:rPr>
            <w:noProof/>
            <w:webHidden/>
          </w:rPr>
          <w:fldChar w:fldCharType="begin"/>
        </w:r>
        <w:r>
          <w:rPr>
            <w:noProof/>
            <w:webHidden/>
          </w:rPr>
          <w:instrText xml:space="preserve"> PAGEREF _Toc204106729 \h </w:instrText>
        </w:r>
        <w:r>
          <w:rPr>
            <w:noProof/>
            <w:webHidden/>
          </w:rPr>
        </w:r>
        <w:r>
          <w:rPr>
            <w:noProof/>
            <w:webHidden/>
          </w:rPr>
          <w:fldChar w:fldCharType="separate"/>
        </w:r>
        <w:r w:rsidR="008549FC">
          <w:rPr>
            <w:noProof/>
            <w:webHidden/>
          </w:rPr>
          <w:t>137</w:t>
        </w:r>
        <w:r>
          <w:rPr>
            <w:noProof/>
            <w:webHidden/>
          </w:rPr>
          <w:fldChar w:fldCharType="end"/>
        </w:r>
      </w:hyperlink>
    </w:p>
    <w:p w14:paraId="43310648" w14:textId="4E1AA3EF"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0" w:history="1">
        <w:r w:rsidRPr="00535F9D">
          <w:rPr>
            <w:rStyle w:val="Hyperlink"/>
            <w:rFonts w:eastAsiaTheme="majorEastAsia"/>
            <w:b/>
            <w:noProof/>
          </w:rPr>
          <w:t>Figure 3.6</w:t>
        </w:r>
        <w:r w:rsidRPr="00535F9D">
          <w:rPr>
            <w:rStyle w:val="Hyperlink"/>
            <w:rFonts w:eastAsiaTheme="majorEastAsia"/>
            <w:noProof/>
          </w:rPr>
          <w:t xml:space="preserve">  Progression of </w:t>
        </w:r>
        <w:r w:rsidRPr="00535F9D">
          <w:rPr>
            <w:rStyle w:val="Hyperlink"/>
            <w:rFonts w:eastAsiaTheme="majorEastAsia"/>
            <w:i/>
            <w:iCs/>
            <w:noProof/>
          </w:rPr>
          <w:t>Hematodinium</w:t>
        </w:r>
        <w:r w:rsidRPr="00535F9D">
          <w:rPr>
            <w:rStyle w:val="Hyperlink"/>
            <w:rFonts w:eastAsiaTheme="majorEastAsia"/>
            <w:noProof/>
          </w:rPr>
          <w:t xml:space="preserve"> sp. infection in the muscle of </w:t>
        </w:r>
        <w:r w:rsidRPr="00535F9D">
          <w:rPr>
            <w:rStyle w:val="Hyperlink"/>
            <w:rFonts w:eastAsiaTheme="majorEastAsia"/>
            <w:i/>
            <w:iCs/>
            <w:noProof/>
          </w:rPr>
          <w:t>N. norvegicus</w:t>
        </w:r>
        <w:r w:rsidRPr="00535F9D">
          <w:rPr>
            <w:rStyle w:val="Hyperlink"/>
            <w:rFonts w:eastAsiaTheme="majorEastAsia"/>
            <w:noProof/>
          </w:rPr>
          <w:t>, shown across infection stages 0 to 4 (</w:t>
        </w:r>
        <w:r w:rsidRPr="00535F9D">
          <w:rPr>
            <w:rStyle w:val="Hyperlink"/>
            <w:rFonts w:eastAsiaTheme="majorEastAsia"/>
            <w:b/>
            <w:bCs/>
            <w:noProof/>
          </w:rPr>
          <w:t>A–E</w:t>
        </w:r>
        <w:r w:rsidRPr="00535F9D">
          <w:rPr>
            <w:rStyle w:val="Hyperlink"/>
            <w:rFonts w:eastAsiaTheme="majorEastAsia"/>
            <w:noProof/>
          </w:rPr>
          <w:t xml:space="preserve">), based on the pleopod method (PM). </w:t>
        </w:r>
        <w:r w:rsidRPr="00535F9D">
          <w:rPr>
            <w:rStyle w:val="Hyperlink"/>
            <w:rFonts w:eastAsiaTheme="majorEastAsia"/>
            <w:b/>
            <w:bCs/>
            <w:noProof/>
          </w:rPr>
          <w:t>F</w:t>
        </w:r>
        <w:r w:rsidRPr="00535F9D">
          <w:rPr>
            <w:rStyle w:val="Hyperlink"/>
            <w:rFonts w:eastAsiaTheme="majorEastAsia"/>
            <w:noProof/>
          </w:rPr>
          <w:t xml:space="preserve">) High-magnification image of the muscle at stage 1 of infection (PM). Haemocytes (white arrows), mononucleated </w:t>
        </w:r>
        <w:r w:rsidRPr="00535F9D">
          <w:rPr>
            <w:rStyle w:val="Hyperlink"/>
            <w:rFonts w:eastAsiaTheme="majorEastAsia"/>
            <w:i/>
            <w:iCs/>
            <w:noProof/>
          </w:rPr>
          <w:t>Hematodinium</w:t>
        </w:r>
        <w:r w:rsidRPr="00535F9D">
          <w:rPr>
            <w:rStyle w:val="Hyperlink"/>
            <w:rFonts w:eastAsiaTheme="majorEastAsia"/>
            <w:noProof/>
          </w:rPr>
          <w:t xml:space="preserve"> cells (blue arrow), and multinucleated </w:t>
        </w:r>
        <w:r w:rsidRPr="00535F9D">
          <w:rPr>
            <w:rStyle w:val="Hyperlink"/>
            <w:rFonts w:eastAsiaTheme="majorEastAsia"/>
            <w:i/>
            <w:iCs/>
            <w:noProof/>
          </w:rPr>
          <w:t>Hematodinium</w:t>
        </w:r>
        <w:r w:rsidRPr="00535F9D">
          <w:rPr>
            <w:rStyle w:val="Hyperlink"/>
            <w:rFonts w:eastAsiaTheme="majorEastAsia"/>
            <w:noProof/>
          </w:rPr>
          <w:t xml:space="preserve"> cells (black arrow) are visible. </w:t>
        </w:r>
        <w:r w:rsidRPr="00535F9D">
          <w:rPr>
            <w:rStyle w:val="Hyperlink"/>
            <w:rFonts w:eastAsiaTheme="majorEastAsia"/>
            <w:i/>
            <w:iCs/>
            <w:noProof/>
          </w:rPr>
          <w:t>Note: No evidence of host cellular response or melanisation is observed.</w:t>
        </w:r>
        <w:r>
          <w:rPr>
            <w:noProof/>
            <w:webHidden/>
          </w:rPr>
          <w:tab/>
        </w:r>
        <w:r>
          <w:rPr>
            <w:noProof/>
            <w:webHidden/>
          </w:rPr>
          <w:fldChar w:fldCharType="begin"/>
        </w:r>
        <w:r>
          <w:rPr>
            <w:noProof/>
            <w:webHidden/>
          </w:rPr>
          <w:instrText xml:space="preserve"> PAGEREF _Toc204106730 \h </w:instrText>
        </w:r>
        <w:r>
          <w:rPr>
            <w:noProof/>
            <w:webHidden/>
          </w:rPr>
        </w:r>
        <w:r>
          <w:rPr>
            <w:noProof/>
            <w:webHidden/>
          </w:rPr>
          <w:fldChar w:fldCharType="separate"/>
        </w:r>
        <w:r w:rsidR="008549FC">
          <w:rPr>
            <w:noProof/>
            <w:webHidden/>
          </w:rPr>
          <w:t>138</w:t>
        </w:r>
        <w:r>
          <w:rPr>
            <w:noProof/>
            <w:webHidden/>
          </w:rPr>
          <w:fldChar w:fldCharType="end"/>
        </w:r>
      </w:hyperlink>
    </w:p>
    <w:p w14:paraId="4ACADD29" w14:textId="4D629EA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1" w:history="1">
        <w:r w:rsidRPr="00535F9D">
          <w:rPr>
            <w:rStyle w:val="Hyperlink"/>
            <w:rFonts w:eastAsiaTheme="majorEastAsia"/>
            <w:b/>
            <w:noProof/>
          </w:rPr>
          <w:t xml:space="preserve">Figure 3.7 </w:t>
        </w:r>
        <w:r w:rsidRPr="00535F9D">
          <w:rPr>
            <w:rStyle w:val="Hyperlink"/>
            <w:rFonts w:eastAsiaTheme="majorEastAsia"/>
            <w:noProof/>
          </w:rPr>
          <w:t xml:space="preserve">Progression of </w:t>
        </w:r>
        <w:r w:rsidRPr="00535F9D">
          <w:rPr>
            <w:rStyle w:val="Hyperlink"/>
            <w:rFonts w:eastAsiaTheme="majorEastAsia"/>
            <w:i/>
            <w:noProof/>
          </w:rPr>
          <w:t>Hematodinium</w:t>
        </w:r>
        <w:r w:rsidRPr="00535F9D">
          <w:rPr>
            <w:rStyle w:val="Hyperlink"/>
            <w:rFonts w:eastAsiaTheme="majorEastAsia"/>
            <w:noProof/>
          </w:rPr>
          <w:t xml:space="preserve"> sp. infection in the female gonad of </w:t>
        </w:r>
        <w:r w:rsidRPr="00535F9D">
          <w:rPr>
            <w:rStyle w:val="Hyperlink"/>
            <w:rFonts w:eastAsiaTheme="majorEastAsia"/>
            <w:i/>
            <w:noProof/>
          </w:rPr>
          <w:t>N. norvegicus</w:t>
        </w:r>
        <w:r w:rsidRPr="00535F9D">
          <w:rPr>
            <w:rStyle w:val="Hyperlink"/>
            <w:rFonts w:eastAsiaTheme="majorEastAsia"/>
            <w:noProof/>
          </w:rPr>
          <w:t>, shown across infection stages 0 to 4 (</w:t>
        </w:r>
        <w:r w:rsidRPr="00535F9D">
          <w:rPr>
            <w:rStyle w:val="Hyperlink"/>
            <w:rFonts w:eastAsiaTheme="majorEastAsia"/>
            <w:b/>
            <w:bCs/>
            <w:noProof/>
          </w:rPr>
          <w:t>A–E</w:t>
        </w:r>
        <w:r w:rsidRPr="00535F9D">
          <w:rPr>
            <w:rStyle w:val="Hyperlink"/>
            <w:rFonts w:eastAsiaTheme="majorEastAsia"/>
            <w:noProof/>
          </w:rPr>
          <w:t xml:space="preserve">), based on the pleopod method. </w:t>
        </w:r>
        <w:r w:rsidRPr="00535F9D">
          <w:rPr>
            <w:rStyle w:val="Hyperlink"/>
            <w:rFonts w:eastAsiaTheme="majorEastAsia"/>
            <w:b/>
            <w:bCs/>
            <w:noProof/>
          </w:rPr>
          <w:t>F</w:t>
        </w:r>
        <w:r w:rsidRPr="00535F9D">
          <w:rPr>
            <w:rStyle w:val="Hyperlink"/>
            <w:rFonts w:eastAsiaTheme="majorEastAsia"/>
            <w:noProof/>
          </w:rPr>
          <w:t xml:space="preserve">) High-magnification image of a female gonad at stage 2 of infection (PM). Haemocytes (white arrows), mononucleated </w:t>
        </w:r>
        <w:r w:rsidRPr="00535F9D">
          <w:rPr>
            <w:rStyle w:val="Hyperlink"/>
            <w:rFonts w:eastAsiaTheme="majorEastAsia"/>
            <w:i/>
            <w:noProof/>
          </w:rPr>
          <w:t>Hematodinium</w:t>
        </w:r>
        <w:r w:rsidRPr="00535F9D">
          <w:rPr>
            <w:rStyle w:val="Hyperlink"/>
            <w:rFonts w:eastAsiaTheme="majorEastAsia"/>
            <w:noProof/>
          </w:rPr>
          <w:t xml:space="preserve"> cells (blue arrow), and multinucleated </w:t>
        </w:r>
        <w:r w:rsidRPr="00535F9D">
          <w:rPr>
            <w:rStyle w:val="Hyperlink"/>
            <w:rFonts w:eastAsiaTheme="majorEastAsia"/>
            <w:i/>
            <w:noProof/>
          </w:rPr>
          <w:t>Hematodinium</w:t>
        </w:r>
        <w:r w:rsidRPr="00535F9D">
          <w:rPr>
            <w:rStyle w:val="Hyperlink"/>
            <w:rFonts w:eastAsiaTheme="majorEastAsia"/>
            <w:noProof/>
          </w:rPr>
          <w:t xml:space="preserve"> cells (black arrow) are visible. </w:t>
        </w:r>
        <w:r w:rsidRPr="00535F9D">
          <w:rPr>
            <w:rStyle w:val="Hyperlink"/>
            <w:rFonts w:eastAsiaTheme="majorEastAsia"/>
            <w:i/>
            <w:noProof/>
          </w:rPr>
          <w:t>Note: No evidence of host cellular response or melanisation is observed.</w:t>
        </w:r>
        <w:r>
          <w:rPr>
            <w:noProof/>
            <w:webHidden/>
          </w:rPr>
          <w:tab/>
        </w:r>
        <w:r>
          <w:rPr>
            <w:noProof/>
            <w:webHidden/>
          </w:rPr>
          <w:fldChar w:fldCharType="begin"/>
        </w:r>
        <w:r>
          <w:rPr>
            <w:noProof/>
            <w:webHidden/>
          </w:rPr>
          <w:instrText xml:space="preserve"> PAGEREF _Toc204106731 \h </w:instrText>
        </w:r>
        <w:r>
          <w:rPr>
            <w:noProof/>
            <w:webHidden/>
          </w:rPr>
        </w:r>
        <w:r>
          <w:rPr>
            <w:noProof/>
            <w:webHidden/>
          </w:rPr>
          <w:fldChar w:fldCharType="separate"/>
        </w:r>
        <w:r w:rsidR="008549FC">
          <w:rPr>
            <w:noProof/>
            <w:webHidden/>
          </w:rPr>
          <w:t>139</w:t>
        </w:r>
        <w:r>
          <w:rPr>
            <w:noProof/>
            <w:webHidden/>
          </w:rPr>
          <w:fldChar w:fldCharType="end"/>
        </w:r>
      </w:hyperlink>
    </w:p>
    <w:p w14:paraId="6393420A" w14:textId="29A750CA"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2" w:history="1">
        <w:r w:rsidRPr="00535F9D">
          <w:rPr>
            <w:rStyle w:val="Hyperlink"/>
            <w:rFonts w:eastAsiaTheme="majorEastAsia"/>
            <w:b/>
            <w:noProof/>
          </w:rPr>
          <w:t xml:space="preserve">Figure 3.8 </w:t>
        </w:r>
        <w:r w:rsidRPr="00535F9D">
          <w:rPr>
            <w:rStyle w:val="Hyperlink"/>
            <w:rFonts w:eastAsiaTheme="majorEastAsia"/>
            <w:noProof/>
          </w:rPr>
          <w:t xml:space="preserve">Progression of </w:t>
        </w:r>
        <w:r w:rsidRPr="00535F9D">
          <w:rPr>
            <w:rStyle w:val="Hyperlink"/>
            <w:rFonts w:eastAsiaTheme="majorEastAsia"/>
            <w:i/>
            <w:noProof/>
          </w:rPr>
          <w:t>Hematodinium</w:t>
        </w:r>
        <w:r w:rsidRPr="00535F9D">
          <w:rPr>
            <w:rStyle w:val="Hyperlink"/>
            <w:rFonts w:eastAsiaTheme="majorEastAsia"/>
            <w:noProof/>
          </w:rPr>
          <w:t xml:space="preserve"> sp. infection in the male gonad of </w:t>
        </w:r>
        <w:r w:rsidRPr="00535F9D">
          <w:rPr>
            <w:rStyle w:val="Hyperlink"/>
            <w:rFonts w:eastAsiaTheme="majorEastAsia"/>
            <w:i/>
            <w:noProof/>
          </w:rPr>
          <w:t>N. norvegicus</w:t>
        </w:r>
        <w:r w:rsidRPr="00535F9D">
          <w:rPr>
            <w:rStyle w:val="Hyperlink"/>
            <w:rFonts w:eastAsiaTheme="majorEastAsia"/>
            <w:noProof/>
          </w:rPr>
          <w:t>, shown across infection stages 0 to 4 (</w:t>
        </w:r>
        <w:r w:rsidRPr="00535F9D">
          <w:rPr>
            <w:rStyle w:val="Hyperlink"/>
            <w:rFonts w:eastAsiaTheme="majorEastAsia"/>
            <w:b/>
            <w:bCs/>
            <w:noProof/>
          </w:rPr>
          <w:t>A–E</w:t>
        </w:r>
        <w:r w:rsidRPr="00535F9D">
          <w:rPr>
            <w:rStyle w:val="Hyperlink"/>
            <w:rFonts w:eastAsiaTheme="majorEastAsia"/>
            <w:noProof/>
          </w:rPr>
          <w:t xml:space="preserve">), based on the pleopod method. </w:t>
        </w:r>
        <w:r w:rsidRPr="00535F9D">
          <w:rPr>
            <w:rStyle w:val="Hyperlink"/>
            <w:rFonts w:eastAsiaTheme="majorEastAsia"/>
            <w:b/>
            <w:bCs/>
            <w:noProof/>
          </w:rPr>
          <w:t>F</w:t>
        </w:r>
        <w:r w:rsidRPr="00535F9D">
          <w:rPr>
            <w:rStyle w:val="Hyperlink"/>
            <w:rFonts w:eastAsiaTheme="majorEastAsia"/>
            <w:noProof/>
          </w:rPr>
          <w:t xml:space="preserve">) High-magnification image of a male gonad at stage 2 of infection (PM). Haemocytes (red arrows), mononucleated </w:t>
        </w:r>
        <w:r w:rsidRPr="00535F9D">
          <w:rPr>
            <w:rStyle w:val="Hyperlink"/>
            <w:rFonts w:eastAsiaTheme="majorEastAsia"/>
            <w:i/>
            <w:noProof/>
          </w:rPr>
          <w:t>Hematodinium</w:t>
        </w:r>
        <w:r w:rsidRPr="00535F9D">
          <w:rPr>
            <w:rStyle w:val="Hyperlink"/>
            <w:rFonts w:eastAsiaTheme="majorEastAsia"/>
            <w:noProof/>
          </w:rPr>
          <w:t xml:space="preserve"> cells (blue arrow), and multinucleated </w:t>
        </w:r>
        <w:r w:rsidRPr="00535F9D">
          <w:rPr>
            <w:rStyle w:val="Hyperlink"/>
            <w:rFonts w:eastAsiaTheme="majorEastAsia"/>
            <w:i/>
            <w:noProof/>
          </w:rPr>
          <w:t>Hematodinium</w:t>
        </w:r>
        <w:r w:rsidRPr="00535F9D">
          <w:rPr>
            <w:rStyle w:val="Hyperlink"/>
            <w:rFonts w:eastAsiaTheme="majorEastAsia"/>
            <w:noProof/>
          </w:rPr>
          <w:t xml:space="preserve"> cells (black arrow) are visible. </w:t>
        </w:r>
        <w:r w:rsidRPr="00535F9D">
          <w:rPr>
            <w:rStyle w:val="Hyperlink"/>
            <w:rFonts w:eastAsiaTheme="majorEastAsia"/>
            <w:i/>
            <w:noProof/>
          </w:rPr>
          <w:t>Note: No evidence of host cellular response or melanisation is observed.</w:t>
        </w:r>
        <w:r>
          <w:rPr>
            <w:noProof/>
            <w:webHidden/>
          </w:rPr>
          <w:tab/>
        </w:r>
        <w:r>
          <w:rPr>
            <w:noProof/>
            <w:webHidden/>
          </w:rPr>
          <w:fldChar w:fldCharType="begin"/>
        </w:r>
        <w:r>
          <w:rPr>
            <w:noProof/>
            <w:webHidden/>
          </w:rPr>
          <w:instrText xml:space="preserve"> PAGEREF _Toc204106732 \h </w:instrText>
        </w:r>
        <w:r>
          <w:rPr>
            <w:noProof/>
            <w:webHidden/>
          </w:rPr>
        </w:r>
        <w:r>
          <w:rPr>
            <w:noProof/>
            <w:webHidden/>
          </w:rPr>
          <w:fldChar w:fldCharType="separate"/>
        </w:r>
        <w:r w:rsidR="008549FC">
          <w:rPr>
            <w:noProof/>
            <w:webHidden/>
          </w:rPr>
          <w:t>140</w:t>
        </w:r>
        <w:r>
          <w:rPr>
            <w:noProof/>
            <w:webHidden/>
          </w:rPr>
          <w:fldChar w:fldCharType="end"/>
        </w:r>
      </w:hyperlink>
    </w:p>
    <w:p w14:paraId="235952CD" w14:textId="463863E3"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3" w:history="1">
        <w:r w:rsidRPr="00535F9D">
          <w:rPr>
            <w:rStyle w:val="Hyperlink"/>
            <w:rFonts w:eastAsiaTheme="majorEastAsia"/>
            <w:b/>
            <w:noProof/>
          </w:rPr>
          <w:t>Figure 3.9</w:t>
        </w:r>
        <w:r w:rsidRPr="00535F9D">
          <w:rPr>
            <w:rStyle w:val="Hyperlink"/>
            <w:rFonts w:eastAsiaTheme="majorEastAsia"/>
            <w:noProof/>
          </w:rPr>
          <w:t xml:space="preserve"> Relative abundance (%) of the microbial composition at phylum level observed in the (A) haemolymph and (B) gut of “healthy” </w:t>
        </w:r>
        <w:r w:rsidRPr="00535F9D">
          <w:rPr>
            <w:rStyle w:val="Hyperlink"/>
            <w:rFonts w:eastAsiaTheme="majorEastAsia"/>
            <w:i/>
            <w:noProof/>
          </w:rPr>
          <w:t>Nephrops norvegicus,</w:t>
        </w:r>
        <w:r w:rsidRPr="00535F9D">
          <w:rPr>
            <w:rStyle w:val="Hyperlink"/>
            <w:rFonts w:eastAsiaTheme="majorEastAsia"/>
            <w:noProof/>
          </w:rPr>
          <w:t xml:space="preserve"> </w:t>
        </w:r>
        <w:r w:rsidRPr="00535F9D">
          <w:rPr>
            <w:rStyle w:val="Hyperlink"/>
            <w:rFonts w:eastAsiaTheme="majorEastAsia"/>
            <w:i/>
            <w:noProof/>
          </w:rPr>
          <w:t>Hematodinium</w:t>
        </w:r>
        <w:r w:rsidRPr="00535F9D">
          <w:rPr>
            <w:rStyle w:val="Hyperlink"/>
            <w:rFonts w:eastAsiaTheme="majorEastAsia"/>
            <w:noProof/>
          </w:rPr>
          <w:t>-negative individuals confirmed by several methods: BCM, PM, PCR and histology (n=45).</w:t>
        </w:r>
        <w:r>
          <w:rPr>
            <w:noProof/>
            <w:webHidden/>
          </w:rPr>
          <w:tab/>
        </w:r>
        <w:r>
          <w:rPr>
            <w:noProof/>
            <w:webHidden/>
          </w:rPr>
          <w:fldChar w:fldCharType="begin"/>
        </w:r>
        <w:r>
          <w:rPr>
            <w:noProof/>
            <w:webHidden/>
          </w:rPr>
          <w:instrText xml:space="preserve"> PAGEREF _Toc204106733 \h </w:instrText>
        </w:r>
        <w:r>
          <w:rPr>
            <w:noProof/>
            <w:webHidden/>
          </w:rPr>
        </w:r>
        <w:r>
          <w:rPr>
            <w:noProof/>
            <w:webHidden/>
          </w:rPr>
          <w:fldChar w:fldCharType="separate"/>
        </w:r>
        <w:r w:rsidR="008549FC">
          <w:rPr>
            <w:noProof/>
            <w:webHidden/>
          </w:rPr>
          <w:t>142</w:t>
        </w:r>
        <w:r>
          <w:rPr>
            <w:noProof/>
            <w:webHidden/>
          </w:rPr>
          <w:fldChar w:fldCharType="end"/>
        </w:r>
      </w:hyperlink>
    </w:p>
    <w:p w14:paraId="34CA3BCB" w14:textId="0E257D6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4" w:history="1">
        <w:r w:rsidRPr="00535F9D">
          <w:rPr>
            <w:rStyle w:val="Hyperlink"/>
            <w:rFonts w:eastAsiaTheme="majorEastAsia"/>
            <w:b/>
            <w:noProof/>
          </w:rPr>
          <w:t>Figure 3.10</w:t>
        </w:r>
        <w:r w:rsidRPr="00535F9D">
          <w:rPr>
            <w:rStyle w:val="Hyperlink"/>
            <w:rFonts w:eastAsiaTheme="majorEastAsia"/>
            <w:noProof/>
          </w:rPr>
          <w:t xml:space="preserve"> Comparison of haemolymph and gut microbial communities between ‘</w:t>
        </w:r>
        <w:r w:rsidRPr="00535F9D">
          <w:rPr>
            <w:rStyle w:val="Hyperlink"/>
            <w:rFonts w:eastAsiaTheme="majorEastAsia"/>
            <w:i/>
            <w:noProof/>
          </w:rPr>
          <w:t>Hematodinium</w:t>
        </w:r>
        <w:r w:rsidRPr="00535F9D">
          <w:rPr>
            <w:rStyle w:val="Hyperlink"/>
            <w:rFonts w:eastAsiaTheme="majorEastAsia"/>
            <w:noProof/>
          </w:rPr>
          <w:t xml:space="preserve">-free’ </w:t>
        </w:r>
        <w:r w:rsidRPr="00535F9D">
          <w:rPr>
            <w:rStyle w:val="Hyperlink"/>
            <w:rFonts w:eastAsiaTheme="majorEastAsia"/>
            <w:i/>
            <w:noProof/>
          </w:rPr>
          <w:t>Nephrops</w:t>
        </w:r>
        <w:r w:rsidRPr="00535F9D">
          <w:rPr>
            <w:rStyle w:val="Hyperlink"/>
            <w:rFonts w:eastAsiaTheme="majorEastAsia"/>
            <w:noProof/>
          </w:rPr>
          <w:t xml:space="preserve"> (tested negative by BCM, PM, PCR, histology; n=22) and </w:t>
        </w:r>
        <w:r w:rsidRPr="00535F9D">
          <w:rPr>
            <w:rStyle w:val="Hyperlink"/>
            <w:rFonts w:eastAsiaTheme="majorEastAsia"/>
            <w:i/>
            <w:noProof/>
          </w:rPr>
          <w:t>Nephrops</w:t>
        </w:r>
        <w:r w:rsidRPr="00535F9D">
          <w:rPr>
            <w:rStyle w:val="Hyperlink"/>
            <w:rFonts w:eastAsiaTheme="majorEastAsia"/>
            <w:noProof/>
          </w:rPr>
          <w:t xml:space="preserve"> at advanced levels of infection (confirmed positive by BCM and PM stages 3-4; n=22). Alpha-diversity metrics of the haemolymph (A-B) and gut (D-E) comparisons are shown. Each dot represents an individual sample, and **p &lt; 0.001. Principal Coordinate Analysis (PCoA) plots based on Bray-Curtis similarity matrix are depicted for the haemolymph (C) and gut (F) microbial communities. The ellipses represent the distribution of samples around the group centroid and illustrate the variation within each group. Colours correspond to the respective group classification (green: negative; red: positive).</w:t>
        </w:r>
        <w:r>
          <w:rPr>
            <w:noProof/>
            <w:webHidden/>
          </w:rPr>
          <w:tab/>
        </w:r>
        <w:r>
          <w:rPr>
            <w:noProof/>
            <w:webHidden/>
          </w:rPr>
          <w:fldChar w:fldCharType="begin"/>
        </w:r>
        <w:r>
          <w:rPr>
            <w:noProof/>
            <w:webHidden/>
          </w:rPr>
          <w:instrText xml:space="preserve"> PAGEREF _Toc204106734 \h </w:instrText>
        </w:r>
        <w:r>
          <w:rPr>
            <w:noProof/>
            <w:webHidden/>
          </w:rPr>
        </w:r>
        <w:r>
          <w:rPr>
            <w:noProof/>
            <w:webHidden/>
          </w:rPr>
          <w:fldChar w:fldCharType="separate"/>
        </w:r>
        <w:r w:rsidR="008549FC">
          <w:rPr>
            <w:noProof/>
            <w:webHidden/>
          </w:rPr>
          <w:t>145</w:t>
        </w:r>
        <w:r>
          <w:rPr>
            <w:noProof/>
            <w:webHidden/>
          </w:rPr>
          <w:fldChar w:fldCharType="end"/>
        </w:r>
      </w:hyperlink>
    </w:p>
    <w:p w14:paraId="4D64B2DC" w14:textId="21222C81"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5" w:history="1">
        <w:r w:rsidRPr="00535F9D">
          <w:rPr>
            <w:rStyle w:val="Hyperlink"/>
            <w:rFonts w:eastAsiaTheme="majorEastAsia"/>
            <w:b/>
            <w:noProof/>
          </w:rPr>
          <w:t>Figure 3.11</w:t>
        </w:r>
        <w:r w:rsidRPr="00535F9D">
          <w:rPr>
            <w:rStyle w:val="Hyperlink"/>
            <w:rFonts w:eastAsiaTheme="majorEastAsia"/>
            <w:noProof/>
          </w:rPr>
          <w:t xml:space="preserve"> A) Significant genera (p-value&lt;0.01) observed in the haemolymph microbiota between </w:t>
        </w:r>
        <w:r w:rsidRPr="00535F9D">
          <w:rPr>
            <w:rStyle w:val="Hyperlink"/>
            <w:rFonts w:eastAsiaTheme="majorEastAsia"/>
            <w:i/>
            <w:noProof/>
          </w:rPr>
          <w:t>‘Hematodinium</w:t>
        </w:r>
        <w:r w:rsidRPr="00535F9D">
          <w:rPr>
            <w:rStyle w:val="Hyperlink"/>
            <w:rFonts w:eastAsiaTheme="majorEastAsia"/>
            <w:noProof/>
          </w:rPr>
          <w:t>-free</w:t>
        </w:r>
        <w:r w:rsidRPr="00535F9D">
          <w:rPr>
            <w:rStyle w:val="Hyperlink"/>
            <w:rFonts w:eastAsiaTheme="majorEastAsia"/>
            <w:i/>
            <w:noProof/>
          </w:rPr>
          <w:t xml:space="preserve">’ </w:t>
        </w:r>
        <w:r w:rsidRPr="00535F9D">
          <w:rPr>
            <w:rStyle w:val="Hyperlink"/>
            <w:rFonts w:eastAsiaTheme="majorEastAsia"/>
            <w:noProof/>
          </w:rPr>
          <w:t xml:space="preserve">(NEG) and BCM and PM stages 3-4 positive (POS) </w:t>
        </w:r>
        <w:r w:rsidRPr="00535F9D">
          <w:rPr>
            <w:rStyle w:val="Hyperlink"/>
            <w:rFonts w:eastAsiaTheme="majorEastAsia"/>
            <w:i/>
            <w:noProof/>
          </w:rPr>
          <w:t>Nephrops</w:t>
        </w:r>
        <w:r w:rsidRPr="00535F9D">
          <w:rPr>
            <w:rStyle w:val="Hyperlink"/>
            <w:rFonts w:eastAsiaTheme="majorEastAsia"/>
            <w:noProof/>
          </w:rPr>
          <w:t xml:space="preserve"> (n=22). Unclassified or uncultured bacterial genera include </w:t>
        </w:r>
        <w:r w:rsidRPr="00535F9D">
          <w:rPr>
            <w:rStyle w:val="Hyperlink"/>
            <w:rFonts w:eastAsiaTheme="majorEastAsia"/>
            <w:i/>
            <w:noProof/>
          </w:rPr>
          <w:t>WD260</w:t>
        </w:r>
        <w:r w:rsidRPr="00535F9D">
          <w:rPr>
            <w:rStyle w:val="Hyperlink"/>
            <w:rFonts w:eastAsiaTheme="majorEastAsia"/>
            <w:noProof/>
          </w:rPr>
          <w:t xml:space="preserve">, </w:t>
        </w:r>
        <w:r w:rsidRPr="00535F9D">
          <w:rPr>
            <w:rStyle w:val="Hyperlink"/>
            <w:rFonts w:eastAsiaTheme="majorEastAsia"/>
            <w:i/>
            <w:noProof/>
          </w:rPr>
          <w:t>subgroup 5, 13, 15</w:t>
        </w:r>
        <w:r w:rsidRPr="00535F9D">
          <w:rPr>
            <w:rStyle w:val="Hyperlink"/>
            <w:rFonts w:eastAsiaTheme="majorEastAsia"/>
            <w:noProof/>
          </w:rPr>
          <w:t xml:space="preserve">, </w:t>
        </w:r>
        <w:r w:rsidRPr="00535F9D">
          <w:rPr>
            <w:rStyle w:val="Hyperlink"/>
            <w:rFonts w:eastAsiaTheme="majorEastAsia"/>
            <w:i/>
            <w:noProof/>
          </w:rPr>
          <w:t>RCP2-54</w:t>
        </w:r>
        <w:r w:rsidRPr="00535F9D">
          <w:rPr>
            <w:rStyle w:val="Hyperlink"/>
            <w:rFonts w:eastAsiaTheme="majorEastAsia"/>
            <w:noProof/>
          </w:rPr>
          <w:t xml:space="preserve">, </w:t>
        </w:r>
        <w:r w:rsidRPr="00535F9D">
          <w:rPr>
            <w:rStyle w:val="Hyperlink"/>
            <w:rFonts w:eastAsiaTheme="majorEastAsia"/>
            <w:i/>
            <w:noProof/>
          </w:rPr>
          <w:t>JG30-KF-AS9</w:t>
        </w:r>
        <w:r w:rsidRPr="00535F9D">
          <w:rPr>
            <w:rStyle w:val="Hyperlink"/>
            <w:rFonts w:eastAsiaTheme="majorEastAsia"/>
            <w:noProof/>
          </w:rPr>
          <w:t xml:space="preserve">, and </w:t>
        </w:r>
        <w:r w:rsidRPr="00535F9D">
          <w:rPr>
            <w:rStyle w:val="Hyperlink"/>
            <w:rFonts w:eastAsiaTheme="majorEastAsia"/>
            <w:i/>
            <w:noProof/>
          </w:rPr>
          <w:t>Blrii41</w:t>
        </w:r>
        <w:r w:rsidRPr="00535F9D">
          <w:rPr>
            <w:rStyle w:val="Hyperlink"/>
            <w:rFonts w:eastAsiaTheme="majorEastAsia"/>
            <w:noProof/>
          </w:rPr>
          <w:t>.</w:t>
        </w:r>
        <w:r>
          <w:rPr>
            <w:noProof/>
            <w:webHidden/>
          </w:rPr>
          <w:tab/>
        </w:r>
        <w:r>
          <w:rPr>
            <w:noProof/>
            <w:webHidden/>
          </w:rPr>
          <w:fldChar w:fldCharType="begin"/>
        </w:r>
        <w:r>
          <w:rPr>
            <w:noProof/>
            <w:webHidden/>
          </w:rPr>
          <w:instrText xml:space="preserve"> PAGEREF _Toc204106735 \h </w:instrText>
        </w:r>
        <w:r>
          <w:rPr>
            <w:noProof/>
            <w:webHidden/>
          </w:rPr>
        </w:r>
        <w:r>
          <w:rPr>
            <w:noProof/>
            <w:webHidden/>
          </w:rPr>
          <w:fldChar w:fldCharType="separate"/>
        </w:r>
        <w:r w:rsidR="008549FC">
          <w:rPr>
            <w:noProof/>
            <w:webHidden/>
          </w:rPr>
          <w:t>146</w:t>
        </w:r>
        <w:r>
          <w:rPr>
            <w:noProof/>
            <w:webHidden/>
          </w:rPr>
          <w:fldChar w:fldCharType="end"/>
        </w:r>
      </w:hyperlink>
    </w:p>
    <w:p w14:paraId="2B2E9324" w14:textId="4A1205B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6" w:history="1">
        <w:r w:rsidRPr="00535F9D">
          <w:rPr>
            <w:rStyle w:val="Hyperlink"/>
            <w:rFonts w:eastAsiaTheme="majorEastAsia"/>
            <w:b/>
            <w:noProof/>
          </w:rPr>
          <w:t>Figure 3.12</w:t>
        </w:r>
        <w:r w:rsidRPr="00535F9D">
          <w:rPr>
            <w:rStyle w:val="Hyperlink"/>
            <w:rFonts w:eastAsiaTheme="majorEastAsia"/>
            <w:noProof/>
          </w:rPr>
          <w:t xml:space="preserve"> Significant genera (p-value&lt;0.01) observed in the gut microbiota between </w:t>
        </w:r>
        <w:r w:rsidRPr="00535F9D">
          <w:rPr>
            <w:rStyle w:val="Hyperlink"/>
            <w:rFonts w:eastAsiaTheme="majorEastAsia"/>
            <w:i/>
            <w:noProof/>
          </w:rPr>
          <w:t>‘Hematodinium</w:t>
        </w:r>
        <w:r w:rsidRPr="00535F9D">
          <w:rPr>
            <w:rStyle w:val="Hyperlink"/>
            <w:rFonts w:eastAsiaTheme="majorEastAsia"/>
            <w:noProof/>
          </w:rPr>
          <w:t>-free</w:t>
        </w:r>
        <w:r w:rsidRPr="00535F9D">
          <w:rPr>
            <w:rStyle w:val="Hyperlink"/>
            <w:rFonts w:eastAsiaTheme="majorEastAsia"/>
            <w:i/>
            <w:noProof/>
          </w:rPr>
          <w:t xml:space="preserve">’ </w:t>
        </w:r>
        <w:r w:rsidRPr="00535F9D">
          <w:rPr>
            <w:rStyle w:val="Hyperlink"/>
            <w:rFonts w:eastAsiaTheme="majorEastAsia"/>
            <w:noProof/>
          </w:rPr>
          <w:t xml:space="preserve">(NEG) and BCM and PM stages 3-4 positive (POS) </w:t>
        </w:r>
        <w:r w:rsidRPr="00535F9D">
          <w:rPr>
            <w:rStyle w:val="Hyperlink"/>
            <w:rFonts w:eastAsiaTheme="majorEastAsia"/>
            <w:i/>
            <w:noProof/>
          </w:rPr>
          <w:t>Nephrops</w:t>
        </w:r>
        <w:r w:rsidRPr="00535F9D">
          <w:rPr>
            <w:rStyle w:val="Hyperlink"/>
            <w:rFonts w:eastAsiaTheme="majorEastAsia"/>
            <w:noProof/>
          </w:rPr>
          <w:t xml:space="preserve"> (n=22). Unclassified or uncultured bacterial genera include </w:t>
        </w:r>
        <w:r w:rsidRPr="00535F9D">
          <w:rPr>
            <w:rStyle w:val="Hyperlink"/>
            <w:rFonts w:eastAsiaTheme="majorEastAsia"/>
            <w:i/>
            <w:noProof/>
          </w:rPr>
          <w:t>Clostridia UCG-014 and  NK4A214.</w:t>
        </w:r>
        <w:r>
          <w:rPr>
            <w:noProof/>
            <w:webHidden/>
          </w:rPr>
          <w:tab/>
        </w:r>
        <w:r>
          <w:rPr>
            <w:noProof/>
            <w:webHidden/>
          </w:rPr>
          <w:fldChar w:fldCharType="begin"/>
        </w:r>
        <w:r>
          <w:rPr>
            <w:noProof/>
            <w:webHidden/>
          </w:rPr>
          <w:instrText xml:space="preserve"> PAGEREF _Toc204106736 \h </w:instrText>
        </w:r>
        <w:r>
          <w:rPr>
            <w:noProof/>
            <w:webHidden/>
          </w:rPr>
        </w:r>
        <w:r>
          <w:rPr>
            <w:noProof/>
            <w:webHidden/>
          </w:rPr>
          <w:fldChar w:fldCharType="separate"/>
        </w:r>
        <w:r w:rsidR="008549FC">
          <w:rPr>
            <w:noProof/>
            <w:webHidden/>
          </w:rPr>
          <w:t>147</w:t>
        </w:r>
        <w:r>
          <w:rPr>
            <w:noProof/>
            <w:webHidden/>
          </w:rPr>
          <w:fldChar w:fldCharType="end"/>
        </w:r>
      </w:hyperlink>
    </w:p>
    <w:p w14:paraId="34CF912A" w14:textId="18AF784F"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7" w:history="1">
        <w:r w:rsidRPr="00535F9D">
          <w:rPr>
            <w:rStyle w:val="Hyperlink"/>
            <w:rFonts w:eastAsiaTheme="majorEastAsia"/>
            <w:b/>
            <w:bCs/>
            <w:noProof/>
          </w:rPr>
          <w:t>Figure 3.13</w:t>
        </w:r>
        <w:r w:rsidRPr="00535F9D">
          <w:rPr>
            <w:rStyle w:val="Hyperlink"/>
            <w:rFonts w:eastAsiaTheme="majorEastAsia"/>
            <w:noProof/>
          </w:rPr>
          <w:t xml:space="preserve"> Comparison of haemolymph and gut microbial communities of </w:t>
        </w:r>
        <w:r w:rsidRPr="00535F9D">
          <w:rPr>
            <w:rStyle w:val="Hyperlink"/>
            <w:rFonts w:eastAsiaTheme="majorEastAsia"/>
            <w:i/>
            <w:noProof/>
          </w:rPr>
          <w:t>Nephrops</w:t>
        </w:r>
        <w:r w:rsidRPr="00535F9D">
          <w:rPr>
            <w:rStyle w:val="Hyperlink"/>
            <w:rFonts w:eastAsiaTheme="majorEastAsia"/>
            <w:noProof/>
          </w:rPr>
          <w:t xml:space="preserve"> norvegicus through the progression of </w:t>
        </w:r>
        <w:r w:rsidRPr="00535F9D">
          <w:rPr>
            <w:rStyle w:val="Hyperlink"/>
            <w:rFonts w:eastAsiaTheme="majorEastAsia"/>
            <w:i/>
            <w:noProof/>
          </w:rPr>
          <w:t>Hematodinium</w:t>
        </w:r>
        <w:r w:rsidRPr="00535F9D">
          <w:rPr>
            <w:rStyle w:val="Hyperlink"/>
            <w:rFonts w:eastAsiaTheme="majorEastAsia"/>
            <w:noProof/>
          </w:rPr>
          <w:t xml:space="preserve"> sp. infection, based on the pleopod method scoring system (stages 1-4; n=10). Alpha-diversity metrics for the haemolymph (A-B) and gut (D-E) comparisons are depicted. Principal Coordinate Analysis (PCoA) plots based on Bray-Curtis similarity matrix are shown for the haemolymph (C) and gut (F) microbial communities. The ellipses represent the spread of samples around the centroid of each infection stage group and are coloured to indicate the corresponding infection stage.</w:t>
        </w:r>
        <w:r>
          <w:rPr>
            <w:noProof/>
            <w:webHidden/>
          </w:rPr>
          <w:tab/>
        </w:r>
        <w:r>
          <w:rPr>
            <w:noProof/>
            <w:webHidden/>
          </w:rPr>
          <w:fldChar w:fldCharType="begin"/>
        </w:r>
        <w:r>
          <w:rPr>
            <w:noProof/>
            <w:webHidden/>
          </w:rPr>
          <w:instrText xml:space="preserve"> PAGEREF _Toc204106737 \h </w:instrText>
        </w:r>
        <w:r>
          <w:rPr>
            <w:noProof/>
            <w:webHidden/>
          </w:rPr>
        </w:r>
        <w:r>
          <w:rPr>
            <w:noProof/>
            <w:webHidden/>
          </w:rPr>
          <w:fldChar w:fldCharType="separate"/>
        </w:r>
        <w:r w:rsidR="008549FC">
          <w:rPr>
            <w:noProof/>
            <w:webHidden/>
          </w:rPr>
          <w:t>149</w:t>
        </w:r>
        <w:r>
          <w:rPr>
            <w:noProof/>
            <w:webHidden/>
          </w:rPr>
          <w:fldChar w:fldCharType="end"/>
        </w:r>
      </w:hyperlink>
    </w:p>
    <w:p w14:paraId="1A00BDDE" w14:textId="0BEB34A1"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8" w:history="1">
        <w:r w:rsidRPr="00535F9D">
          <w:rPr>
            <w:rStyle w:val="Hyperlink"/>
            <w:rFonts w:eastAsiaTheme="majorEastAsia"/>
            <w:b/>
            <w:bCs/>
            <w:noProof/>
          </w:rPr>
          <w:t>Figure 3.14</w:t>
        </w:r>
        <w:r w:rsidRPr="00535F9D">
          <w:rPr>
            <w:rStyle w:val="Hyperlink"/>
            <w:rFonts w:eastAsiaTheme="majorEastAsia"/>
            <w:noProof/>
          </w:rPr>
          <w:t xml:space="preserve"> Comparison of</w:t>
        </w:r>
        <w:r w:rsidRPr="00535F9D">
          <w:rPr>
            <w:rStyle w:val="Hyperlink"/>
            <w:rFonts w:eastAsiaTheme="majorEastAsia"/>
            <w:i/>
            <w:iCs/>
            <w:noProof/>
          </w:rPr>
          <w:t xml:space="preserve"> </w:t>
        </w:r>
        <w:r w:rsidRPr="00535F9D">
          <w:rPr>
            <w:rStyle w:val="Hyperlink"/>
            <w:rFonts w:eastAsiaTheme="majorEastAsia"/>
            <w:noProof/>
          </w:rPr>
          <w:t xml:space="preserve">haemolymph and gut microbial communities of </w:t>
        </w:r>
        <w:r w:rsidRPr="00535F9D">
          <w:rPr>
            <w:rStyle w:val="Hyperlink"/>
            <w:rFonts w:eastAsiaTheme="majorEastAsia"/>
            <w:i/>
            <w:iCs/>
            <w:noProof/>
          </w:rPr>
          <w:t>Hematodinium-</w:t>
        </w:r>
        <w:r w:rsidRPr="00535F9D">
          <w:rPr>
            <w:rStyle w:val="Hyperlink"/>
            <w:rFonts w:eastAsiaTheme="majorEastAsia"/>
            <w:noProof/>
          </w:rPr>
          <w:t xml:space="preserve">free </w:t>
        </w:r>
        <w:r w:rsidRPr="00535F9D">
          <w:rPr>
            <w:rStyle w:val="Hyperlink"/>
            <w:rFonts w:eastAsiaTheme="majorEastAsia"/>
            <w:i/>
            <w:iCs/>
            <w:noProof/>
          </w:rPr>
          <w:t>Nephrops norvegicus</w:t>
        </w:r>
        <w:r w:rsidRPr="00535F9D">
          <w:rPr>
            <w:rStyle w:val="Hyperlink"/>
            <w:rFonts w:eastAsiaTheme="majorEastAsia"/>
            <w:noProof/>
          </w:rPr>
          <w:t xml:space="preserve"> (confirmed negative by BCM, PM, PCR, histology; n=18) and subpatent-infected </w:t>
        </w:r>
        <w:r w:rsidRPr="00535F9D">
          <w:rPr>
            <w:rStyle w:val="Hyperlink"/>
            <w:rFonts w:eastAsiaTheme="majorEastAsia"/>
            <w:i/>
            <w:iCs/>
            <w:noProof/>
          </w:rPr>
          <w:t>Nephrops</w:t>
        </w:r>
        <w:r w:rsidRPr="00535F9D">
          <w:rPr>
            <w:rStyle w:val="Hyperlink"/>
            <w:rFonts w:eastAsiaTheme="majorEastAsia"/>
            <w:noProof/>
          </w:rPr>
          <w:t xml:space="preserve"> (confirmed positive by PCR and histology but negative according to BCM and PM;  n=18). Alpha-diversity metrics for the haemolymph (A-B) and gut (D-E) comparisons are depicted. Principal Coordinate Analysis (PCoA) plots based on Bray-Curtis similarity matrix are shown for the haemolymph (C) and gut (F) microbial communities. The ellipses represent the distribution of samples around the group centroid and illustrate the variation within each group. Colours correspond to the respective group classification (green: negative; red: positive).</w:t>
        </w:r>
        <w:r>
          <w:rPr>
            <w:noProof/>
            <w:webHidden/>
          </w:rPr>
          <w:tab/>
        </w:r>
        <w:r>
          <w:rPr>
            <w:noProof/>
            <w:webHidden/>
          </w:rPr>
          <w:fldChar w:fldCharType="begin"/>
        </w:r>
        <w:r>
          <w:rPr>
            <w:noProof/>
            <w:webHidden/>
          </w:rPr>
          <w:instrText xml:space="preserve"> PAGEREF _Toc204106738 \h </w:instrText>
        </w:r>
        <w:r>
          <w:rPr>
            <w:noProof/>
            <w:webHidden/>
          </w:rPr>
        </w:r>
        <w:r>
          <w:rPr>
            <w:noProof/>
            <w:webHidden/>
          </w:rPr>
          <w:fldChar w:fldCharType="separate"/>
        </w:r>
        <w:r w:rsidR="008549FC">
          <w:rPr>
            <w:noProof/>
            <w:webHidden/>
          </w:rPr>
          <w:t>152</w:t>
        </w:r>
        <w:r>
          <w:rPr>
            <w:noProof/>
            <w:webHidden/>
          </w:rPr>
          <w:fldChar w:fldCharType="end"/>
        </w:r>
      </w:hyperlink>
    </w:p>
    <w:p w14:paraId="2980BDAC" w14:textId="3AC95DDA"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39" w:history="1">
        <w:r w:rsidRPr="00535F9D">
          <w:rPr>
            <w:rStyle w:val="Hyperlink"/>
            <w:rFonts w:eastAsiaTheme="majorEastAsia"/>
            <w:b/>
            <w:bCs/>
            <w:noProof/>
          </w:rPr>
          <w:t>Figure 4.1</w:t>
        </w:r>
        <w:r w:rsidRPr="00535F9D">
          <w:rPr>
            <w:rStyle w:val="Hyperlink"/>
            <w:rFonts w:eastAsiaTheme="majorEastAsia"/>
            <w:noProof/>
          </w:rPr>
          <w:t xml:space="preserve"> A) </w:t>
        </w:r>
        <w:r w:rsidRPr="00535F9D">
          <w:rPr>
            <w:rStyle w:val="Hyperlink"/>
            <w:rFonts w:eastAsiaTheme="majorEastAsia"/>
            <w:i/>
            <w:iCs/>
            <w:noProof/>
          </w:rPr>
          <w:t>Nephrops</w:t>
        </w:r>
        <w:r w:rsidRPr="00535F9D">
          <w:rPr>
            <w:rStyle w:val="Hyperlink"/>
            <w:rFonts w:eastAsiaTheme="majorEastAsia"/>
            <w:noProof/>
          </w:rPr>
          <w:t xml:space="preserve"> with high infection levels kept in individual sporulation tanks (28 cm (L) x 11 cm (W)), each containing 1.5 L of artificial seawater. B) Control holding tank (50 L) with non-infected </w:t>
        </w:r>
        <w:r w:rsidRPr="00535F9D">
          <w:rPr>
            <w:rStyle w:val="Hyperlink"/>
            <w:rFonts w:eastAsiaTheme="majorEastAsia"/>
            <w:i/>
            <w:iCs/>
            <w:noProof/>
          </w:rPr>
          <w:t>Nephrops</w:t>
        </w:r>
        <w:r w:rsidRPr="00535F9D">
          <w:rPr>
            <w:rStyle w:val="Hyperlink"/>
            <w:rFonts w:eastAsiaTheme="majorEastAsia"/>
            <w:noProof/>
          </w:rPr>
          <w:t>.</w:t>
        </w:r>
        <w:r>
          <w:rPr>
            <w:noProof/>
            <w:webHidden/>
          </w:rPr>
          <w:tab/>
        </w:r>
        <w:r>
          <w:rPr>
            <w:noProof/>
            <w:webHidden/>
          </w:rPr>
          <w:fldChar w:fldCharType="begin"/>
        </w:r>
        <w:r>
          <w:rPr>
            <w:noProof/>
            <w:webHidden/>
          </w:rPr>
          <w:instrText xml:space="preserve"> PAGEREF _Toc204106739 \h </w:instrText>
        </w:r>
        <w:r>
          <w:rPr>
            <w:noProof/>
            <w:webHidden/>
          </w:rPr>
        </w:r>
        <w:r>
          <w:rPr>
            <w:noProof/>
            <w:webHidden/>
          </w:rPr>
          <w:fldChar w:fldCharType="separate"/>
        </w:r>
        <w:r w:rsidR="008549FC">
          <w:rPr>
            <w:noProof/>
            <w:webHidden/>
          </w:rPr>
          <w:t>167</w:t>
        </w:r>
        <w:r>
          <w:rPr>
            <w:noProof/>
            <w:webHidden/>
          </w:rPr>
          <w:fldChar w:fldCharType="end"/>
        </w:r>
      </w:hyperlink>
    </w:p>
    <w:p w14:paraId="4AF94906" w14:textId="7204365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0" w:history="1">
        <w:r w:rsidRPr="00535F9D">
          <w:rPr>
            <w:rStyle w:val="Hyperlink"/>
            <w:rFonts w:eastAsiaTheme="majorEastAsia"/>
            <w:b/>
            <w:bCs/>
            <w:noProof/>
          </w:rPr>
          <w:t>Figure 4.2</w:t>
        </w:r>
        <w:r w:rsidRPr="00535F9D">
          <w:rPr>
            <w:rStyle w:val="Hyperlink"/>
            <w:rFonts w:eastAsiaTheme="majorEastAsia"/>
            <w:noProof/>
          </w:rPr>
          <w:t xml:space="preserve"> </w:t>
        </w:r>
        <w:r w:rsidRPr="00535F9D">
          <w:rPr>
            <w:rStyle w:val="Hyperlink"/>
            <w:rFonts w:eastAsiaTheme="majorEastAsia"/>
            <w:i/>
            <w:iCs/>
            <w:noProof/>
          </w:rPr>
          <w:t>Hematodinium</w:t>
        </w:r>
        <w:r w:rsidRPr="00535F9D">
          <w:rPr>
            <w:rStyle w:val="Hyperlink"/>
            <w:rFonts w:eastAsiaTheme="majorEastAsia"/>
            <w:noProof/>
          </w:rPr>
          <w:t xml:space="preserve"> sp. macrospores observed under light microscopy. </w:t>
        </w:r>
        <w:r w:rsidRPr="00535F9D">
          <w:rPr>
            <w:rStyle w:val="Hyperlink"/>
            <w:rFonts w:eastAsiaTheme="majorEastAsia"/>
            <w:b/>
            <w:bCs/>
            <w:noProof/>
          </w:rPr>
          <w:t>A)</w:t>
        </w:r>
        <w:r w:rsidRPr="00535F9D">
          <w:rPr>
            <w:rStyle w:val="Hyperlink"/>
            <w:rFonts w:eastAsiaTheme="majorEastAsia"/>
            <w:noProof/>
          </w:rPr>
          <w:t xml:space="preserve"> Living macrospores obtained from </w:t>
        </w:r>
        <w:r w:rsidRPr="00535F9D">
          <w:rPr>
            <w:rStyle w:val="Hyperlink"/>
            <w:rFonts w:eastAsiaTheme="majorEastAsia"/>
            <w:i/>
            <w:iCs/>
            <w:noProof/>
          </w:rPr>
          <w:t>in vivo</w:t>
        </w:r>
        <w:r w:rsidRPr="00535F9D">
          <w:rPr>
            <w:rStyle w:val="Hyperlink"/>
            <w:rFonts w:eastAsiaTheme="majorEastAsia"/>
            <w:noProof/>
          </w:rPr>
          <w:t xml:space="preserve"> sporulation in </w:t>
        </w:r>
        <w:r w:rsidRPr="00535F9D">
          <w:rPr>
            <w:rStyle w:val="Hyperlink"/>
            <w:rFonts w:eastAsiaTheme="majorEastAsia"/>
            <w:i/>
            <w:iCs/>
            <w:noProof/>
          </w:rPr>
          <w:t>Nephrops norvegicus</w:t>
        </w:r>
        <w:r w:rsidRPr="00535F9D">
          <w:rPr>
            <w:rStyle w:val="Hyperlink"/>
            <w:rFonts w:eastAsiaTheme="majorEastAsia"/>
            <w:noProof/>
          </w:rPr>
          <w:t xml:space="preserve">, with some showing a long anterior flagellum (white arrows) and a pronounced keel (black arrows), characteristic of mature macrospores. sb: sporoblast debris. </w:t>
        </w:r>
        <w:r w:rsidRPr="00535F9D">
          <w:rPr>
            <w:rStyle w:val="Hyperlink"/>
            <w:rFonts w:eastAsiaTheme="majorEastAsia"/>
            <w:b/>
            <w:bCs/>
            <w:noProof/>
          </w:rPr>
          <w:t>B)</w:t>
        </w:r>
        <w:r w:rsidRPr="00535F9D">
          <w:rPr>
            <w:rStyle w:val="Hyperlink"/>
            <w:rFonts w:eastAsiaTheme="majorEastAsia"/>
            <w:noProof/>
          </w:rPr>
          <w:t xml:space="preserve"> Additional view of in vivo-derived macrospores using light microscopy. </w:t>
        </w:r>
        <w:r w:rsidRPr="00535F9D">
          <w:rPr>
            <w:rStyle w:val="Hyperlink"/>
            <w:rFonts w:eastAsiaTheme="majorEastAsia"/>
            <w:b/>
            <w:bCs/>
            <w:noProof/>
          </w:rPr>
          <w:t>C)</w:t>
        </w:r>
        <w:r w:rsidRPr="00535F9D">
          <w:rPr>
            <w:rStyle w:val="Hyperlink"/>
            <w:rFonts w:eastAsiaTheme="majorEastAsia"/>
            <w:noProof/>
          </w:rPr>
          <w:t xml:space="preserve"> Living macrospores from </w:t>
        </w:r>
        <w:r w:rsidRPr="00535F9D">
          <w:rPr>
            <w:rStyle w:val="Hyperlink"/>
            <w:rFonts w:eastAsiaTheme="majorEastAsia"/>
            <w:i/>
            <w:iCs/>
            <w:noProof/>
          </w:rPr>
          <w:t>in vitro</w:t>
        </w:r>
        <w:r w:rsidRPr="00535F9D">
          <w:rPr>
            <w:rStyle w:val="Hyperlink"/>
            <w:rFonts w:eastAsiaTheme="majorEastAsia"/>
            <w:noProof/>
          </w:rPr>
          <w:t xml:space="preserve"> sporulation. Morphological features, including the anterior flagellum (white arrows) and keel (black arrows), are consistent with </w:t>
        </w:r>
        <w:r w:rsidRPr="00535F9D">
          <w:rPr>
            <w:rStyle w:val="Hyperlink"/>
            <w:rFonts w:eastAsiaTheme="majorEastAsia"/>
            <w:i/>
            <w:iCs/>
            <w:noProof/>
          </w:rPr>
          <w:t>in vivo</w:t>
        </w:r>
        <w:r w:rsidRPr="00535F9D">
          <w:rPr>
            <w:rStyle w:val="Hyperlink"/>
            <w:rFonts w:eastAsiaTheme="majorEastAsia"/>
            <w:noProof/>
          </w:rPr>
          <w:t xml:space="preserve"> observations.Source: Appleton and Vickerman (1998)</w:t>
        </w:r>
        <w:r>
          <w:rPr>
            <w:noProof/>
            <w:webHidden/>
          </w:rPr>
          <w:tab/>
        </w:r>
        <w:r>
          <w:rPr>
            <w:noProof/>
            <w:webHidden/>
          </w:rPr>
          <w:fldChar w:fldCharType="begin"/>
        </w:r>
        <w:r>
          <w:rPr>
            <w:noProof/>
            <w:webHidden/>
          </w:rPr>
          <w:instrText xml:space="preserve"> PAGEREF _Toc204106740 \h </w:instrText>
        </w:r>
        <w:r>
          <w:rPr>
            <w:noProof/>
            <w:webHidden/>
          </w:rPr>
        </w:r>
        <w:r>
          <w:rPr>
            <w:noProof/>
            <w:webHidden/>
          </w:rPr>
          <w:fldChar w:fldCharType="separate"/>
        </w:r>
        <w:r w:rsidR="008549FC">
          <w:rPr>
            <w:noProof/>
            <w:webHidden/>
          </w:rPr>
          <w:t>177</w:t>
        </w:r>
        <w:r>
          <w:rPr>
            <w:noProof/>
            <w:webHidden/>
          </w:rPr>
          <w:fldChar w:fldCharType="end"/>
        </w:r>
      </w:hyperlink>
    </w:p>
    <w:p w14:paraId="58734757" w14:textId="31AC7A7B"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1" w:history="1">
        <w:r w:rsidRPr="00535F9D">
          <w:rPr>
            <w:rStyle w:val="Hyperlink"/>
            <w:rFonts w:eastAsiaTheme="majorEastAsia"/>
            <w:b/>
            <w:bCs/>
            <w:noProof/>
          </w:rPr>
          <w:t>Figure 4.3</w:t>
        </w:r>
        <w:r w:rsidRPr="00535F9D">
          <w:rPr>
            <w:rStyle w:val="Hyperlink"/>
            <w:rFonts w:eastAsiaTheme="majorEastAsia"/>
            <w:noProof/>
          </w:rPr>
          <w:t xml:space="preserve"> Electron microscopy of Hematodinium sp. macrospores obtained from in vivo sporulation events. </w:t>
        </w:r>
        <w:r w:rsidRPr="00535F9D">
          <w:rPr>
            <w:rStyle w:val="Hyperlink"/>
            <w:rFonts w:eastAsiaTheme="majorEastAsia"/>
            <w:b/>
            <w:bCs/>
            <w:noProof/>
          </w:rPr>
          <w:t>A–B</w:t>
        </w:r>
        <w:r w:rsidRPr="00535F9D">
          <w:rPr>
            <w:rStyle w:val="Hyperlink"/>
            <w:rFonts w:eastAsiaTheme="majorEastAsia"/>
            <w:noProof/>
          </w:rPr>
          <w:t>) Ultrastructural features include nucleus (n), chromosomes (chr), vacuoles (v), flagellar hair vesicles (fhv), trichocysts (tr), lipid droplets (l), and electron-dense deposits within vacuoles (vd). Autophagosome-like structures (ap) are also present and may indicate early degenerative changes.</w:t>
        </w:r>
        <w:r>
          <w:rPr>
            <w:noProof/>
            <w:webHidden/>
          </w:rPr>
          <w:tab/>
        </w:r>
        <w:r>
          <w:rPr>
            <w:noProof/>
            <w:webHidden/>
          </w:rPr>
          <w:fldChar w:fldCharType="begin"/>
        </w:r>
        <w:r>
          <w:rPr>
            <w:noProof/>
            <w:webHidden/>
          </w:rPr>
          <w:instrText xml:space="preserve"> PAGEREF _Toc204106741 \h </w:instrText>
        </w:r>
        <w:r>
          <w:rPr>
            <w:noProof/>
            <w:webHidden/>
          </w:rPr>
        </w:r>
        <w:r>
          <w:rPr>
            <w:noProof/>
            <w:webHidden/>
          </w:rPr>
          <w:fldChar w:fldCharType="separate"/>
        </w:r>
        <w:r w:rsidR="008549FC">
          <w:rPr>
            <w:noProof/>
            <w:webHidden/>
          </w:rPr>
          <w:t>178</w:t>
        </w:r>
        <w:r>
          <w:rPr>
            <w:noProof/>
            <w:webHidden/>
          </w:rPr>
          <w:fldChar w:fldCharType="end"/>
        </w:r>
      </w:hyperlink>
    </w:p>
    <w:p w14:paraId="5984BE7A" w14:textId="7292A78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2" w:history="1">
        <w:r w:rsidRPr="00535F9D">
          <w:rPr>
            <w:rStyle w:val="Hyperlink"/>
            <w:rFonts w:eastAsiaTheme="majorEastAsia"/>
            <w:b/>
            <w:bCs/>
            <w:noProof/>
          </w:rPr>
          <w:t>Figure 4.4</w:t>
        </w:r>
        <w:r w:rsidRPr="00535F9D">
          <w:rPr>
            <w:rStyle w:val="Hyperlink"/>
            <w:rFonts w:eastAsiaTheme="majorEastAsia"/>
            <w:noProof/>
          </w:rPr>
          <w:t xml:space="preserve">Electron microscopy of </w:t>
        </w:r>
        <w:r w:rsidRPr="00535F9D">
          <w:rPr>
            <w:rStyle w:val="Hyperlink"/>
            <w:rFonts w:eastAsiaTheme="majorEastAsia"/>
            <w:i/>
            <w:iCs/>
            <w:noProof/>
          </w:rPr>
          <w:t>Hematodinium</w:t>
        </w:r>
        <w:r w:rsidRPr="00535F9D">
          <w:rPr>
            <w:rStyle w:val="Hyperlink"/>
            <w:rFonts w:eastAsiaTheme="majorEastAsia"/>
            <w:noProof/>
          </w:rPr>
          <w:t xml:space="preserve"> sp. trophonts within the hepatopancreas tissue of </w:t>
        </w:r>
        <w:r w:rsidRPr="00535F9D">
          <w:rPr>
            <w:rStyle w:val="Hyperlink"/>
            <w:rFonts w:eastAsiaTheme="majorEastAsia"/>
            <w:i/>
            <w:iCs/>
            <w:noProof/>
          </w:rPr>
          <w:t>Nephrops norvegicus</w:t>
        </w:r>
        <w:r w:rsidRPr="00535F9D">
          <w:rPr>
            <w:rStyle w:val="Hyperlink"/>
            <w:rFonts w:eastAsiaTheme="majorEastAsia"/>
            <w:noProof/>
          </w:rPr>
          <w:t xml:space="preserve">. </w:t>
        </w:r>
        <w:r w:rsidRPr="00535F9D">
          <w:rPr>
            <w:rStyle w:val="Hyperlink"/>
            <w:rFonts w:eastAsiaTheme="majorEastAsia"/>
            <w:b/>
            <w:bCs/>
            <w:noProof/>
          </w:rPr>
          <w:t>A)</w:t>
        </w:r>
        <w:r w:rsidRPr="00535F9D">
          <w:rPr>
            <w:rStyle w:val="Hyperlink"/>
            <w:rFonts w:eastAsiaTheme="majorEastAsia"/>
            <w:noProof/>
          </w:rPr>
          <w:t xml:space="preserve"> mononucleated, </w:t>
        </w:r>
        <w:r w:rsidRPr="00535F9D">
          <w:rPr>
            <w:rStyle w:val="Hyperlink"/>
            <w:rFonts w:eastAsiaTheme="majorEastAsia"/>
            <w:b/>
            <w:bCs/>
            <w:noProof/>
          </w:rPr>
          <w:t>B)</w:t>
        </w:r>
        <w:r w:rsidRPr="00535F9D">
          <w:rPr>
            <w:rStyle w:val="Hyperlink"/>
            <w:rFonts w:eastAsiaTheme="majorEastAsia"/>
            <w:noProof/>
          </w:rPr>
          <w:t xml:space="preserve"> binucleated, </w:t>
        </w:r>
        <w:r w:rsidRPr="00535F9D">
          <w:rPr>
            <w:rStyle w:val="Hyperlink"/>
            <w:rFonts w:eastAsiaTheme="majorEastAsia"/>
            <w:b/>
            <w:bCs/>
            <w:noProof/>
          </w:rPr>
          <w:t>C)</w:t>
        </w:r>
        <w:r w:rsidRPr="00535F9D">
          <w:rPr>
            <w:rStyle w:val="Hyperlink"/>
            <w:rFonts w:eastAsiaTheme="majorEastAsia"/>
            <w:noProof/>
          </w:rPr>
          <w:t xml:space="preserve"> trinucleated, and </w:t>
        </w:r>
        <w:r w:rsidRPr="00535F9D">
          <w:rPr>
            <w:rStyle w:val="Hyperlink"/>
            <w:rFonts w:eastAsiaTheme="majorEastAsia"/>
            <w:b/>
            <w:bCs/>
            <w:noProof/>
          </w:rPr>
          <w:t>D)</w:t>
        </w:r>
        <w:r w:rsidRPr="00535F9D">
          <w:rPr>
            <w:rStyle w:val="Hyperlink"/>
            <w:rFonts w:eastAsiaTheme="majorEastAsia"/>
            <w:noProof/>
          </w:rPr>
          <w:t xml:space="preserve"> multinucleated trophont cells. An alveolate surface (al) delineates the outer structure of each cell. Visible cellular components include the nucleus (n), chromosomes (chr), trichocysts (tr), autophagosome-like structures (ap) indicative of potential early degenerative changes, lipid droplets (l), and vacuoles (v).</w:t>
        </w:r>
        <w:r>
          <w:rPr>
            <w:noProof/>
            <w:webHidden/>
          </w:rPr>
          <w:tab/>
        </w:r>
        <w:r>
          <w:rPr>
            <w:noProof/>
            <w:webHidden/>
          </w:rPr>
          <w:fldChar w:fldCharType="begin"/>
        </w:r>
        <w:r>
          <w:rPr>
            <w:noProof/>
            <w:webHidden/>
          </w:rPr>
          <w:instrText xml:space="preserve"> PAGEREF _Toc204106742 \h </w:instrText>
        </w:r>
        <w:r>
          <w:rPr>
            <w:noProof/>
            <w:webHidden/>
          </w:rPr>
        </w:r>
        <w:r>
          <w:rPr>
            <w:noProof/>
            <w:webHidden/>
          </w:rPr>
          <w:fldChar w:fldCharType="separate"/>
        </w:r>
        <w:r w:rsidR="008549FC">
          <w:rPr>
            <w:noProof/>
            <w:webHidden/>
          </w:rPr>
          <w:t>179</w:t>
        </w:r>
        <w:r>
          <w:rPr>
            <w:noProof/>
            <w:webHidden/>
          </w:rPr>
          <w:fldChar w:fldCharType="end"/>
        </w:r>
      </w:hyperlink>
    </w:p>
    <w:p w14:paraId="548C4169" w14:textId="5BFB963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3" w:history="1">
        <w:r w:rsidRPr="00535F9D">
          <w:rPr>
            <w:rStyle w:val="Hyperlink"/>
            <w:rFonts w:eastAsiaTheme="majorEastAsia"/>
            <w:b/>
            <w:bCs/>
            <w:noProof/>
          </w:rPr>
          <w:t>Figure 4.5</w:t>
        </w:r>
        <w:r w:rsidRPr="00535F9D">
          <w:rPr>
            <w:rStyle w:val="Hyperlink"/>
            <w:rFonts w:eastAsiaTheme="majorEastAsia"/>
            <w:noProof/>
          </w:rPr>
          <w:t xml:space="preserve"> Hepatopancreas tissue of a </w:t>
        </w:r>
        <w:r w:rsidRPr="00535F9D">
          <w:rPr>
            <w:rStyle w:val="Hyperlink"/>
            <w:rFonts w:eastAsiaTheme="majorEastAsia"/>
            <w:i/>
            <w:iCs/>
            <w:noProof/>
          </w:rPr>
          <w:t>Nephrops norvegicus</w:t>
        </w:r>
        <w:r w:rsidRPr="00535F9D">
          <w:rPr>
            <w:rStyle w:val="Hyperlink"/>
            <w:rFonts w:eastAsiaTheme="majorEastAsia"/>
            <w:noProof/>
          </w:rPr>
          <w:t xml:space="preserve"> individual (SP56) following sporulation of </w:t>
        </w:r>
        <w:r w:rsidRPr="00535F9D">
          <w:rPr>
            <w:rStyle w:val="Hyperlink"/>
            <w:rFonts w:eastAsiaTheme="majorEastAsia"/>
            <w:i/>
            <w:iCs/>
            <w:noProof/>
          </w:rPr>
          <w:t>Hematodinium</w:t>
        </w:r>
        <w:r w:rsidRPr="00535F9D">
          <w:rPr>
            <w:rStyle w:val="Hyperlink"/>
            <w:rFonts w:eastAsiaTheme="majorEastAsia"/>
            <w:noProof/>
          </w:rPr>
          <w:t xml:space="preserve"> sp. parasites. </w:t>
        </w:r>
        <w:r w:rsidRPr="00535F9D">
          <w:rPr>
            <w:rStyle w:val="Hyperlink"/>
            <w:rFonts w:eastAsiaTheme="majorEastAsia"/>
            <w:b/>
            <w:bCs/>
            <w:noProof/>
          </w:rPr>
          <w:t>A)</w:t>
        </w:r>
        <w:r w:rsidRPr="00535F9D">
          <w:rPr>
            <w:rStyle w:val="Hyperlink"/>
            <w:rFonts w:eastAsiaTheme="majorEastAsia"/>
            <w:noProof/>
          </w:rPr>
          <w:t xml:space="preserve"> Overview showing disruption of hepatopancreatic ducts and surrounding connective tissue. </w:t>
        </w:r>
        <w:r w:rsidRPr="00535F9D">
          <w:rPr>
            <w:rStyle w:val="Hyperlink"/>
            <w:rFonts w:eastAsiaTheme="majorEastAsia"/>
            <w:b/>
            <w:bCs/>
            <w:noProof/>
          </w:rPr>
          <w:t>B)</w:t>
        </w:r>
        <w:r w:rsidRPr="00535F9D">
          <w:rPr>
            <w:rStyle w:val="Hyperlink"/>
            <w:rFonts w:eastAsiaTheme="majorEastAsia"/>
            <w:noProof/>
          </w:rPr>
          <w:t xml:space="preserve"> Higher magnification of the same tissue highlighting the presence of mononucleated </w:t>
        </w:r>
        <w:r w:rsidRPr="00535F9D">
          <w:rPr>
            <w:rStyle w:val="Hyperlink"/>
            <w:rFonts w:eastAsiaTheme="majorEastAsia"/>
            <w:i/>
            <w:iCs/>
            <w:noProof/>
          </w:rPr>
          <w:t>Hematodinium</w:t>
        </w:r>
        <w:r w:rsidRPr="00535F9D">
          <w:rPr>
            <w:rStyle w:val="Hyperlink"/>
            <w:rFonts w:eastAsiaTheme="majorEastAsia"/>
            <w:noProof/>
          </w:rPr>
          <w:t xml:space="preserve"> trophonts (black arrow). </w:t>
        </w:r>
        <w:r w:rsidRPr="00535F9D">
          <w:rPr>
            <w:rStyle w:val="Hyperlink"/>
            <w:rFonts w:eastAsiaTheme="majorEastAsia"/>
            <w:i/>
            <w:iCs/>
            <w:noProof/>
          </w:rPr>
          <w:t>Note: No residual macrospores are observed.</w:t>
        </w:r>
        <w:r>
          <w:rPr>
            <w:noProof/>
            <w:webHidden/>
          </w:rPr>
          <w:tab/>
        </w:r>
        <w:r>
          <w:rPr>
            <w:noProof/>
            <w:webHidden/>
          </w:rPr>
          <w:fldChar w:fldCharType="begin"/>
        </w:r>
        <w:r>
          <w:rPr>
            <w:noProof/>
            <w:webHidden/>
          </w:rPr>
          <w:instrText xml:space="preserve"> PAGEREF _Toc204106743 \h </w:instrText>
        </w:r>
        <w:r>
          <w:rPr>
            <w:noProof/>
            <w:webHidden/>
          </w:rPr>
        </w:r>
        <w:r>
          <w:rPr>
            <w:noProof/>
            <w:webHidden/>
          </w:rPr>
          <w:fldChar w:fldCharType="separate"/>
        </w:r>
        <w:r w:rsidR="008549FC">
          <w:rPr>
            <w:noProof/>
            <w:webHidden/>
          </w:rPr>
          <w:t>180</w:t>
        </w:r>
        <w:r>
          <w:rPr>
            <w:noProof/>
            <w:webHidden/>
          </w:rPr>
          <w:fldChar w:fldCharType="end"/>
        </w:r>
      </w:hyperlink>
    </w:p>
    <w:p w14:paraId="23B632FC" w14:textId="68D5E614"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4" w:history="1">
        <w:r w:rsidRPr="00535F9D">
          <w:rPr>
            <w:rStyle w:val="Hyperlink"/>
            <w:rFonts w:eastAsiaTheme="majorEastAsia"/>
            <w:b/>
            <w:bCs/>
            <w:noProof/>
          </w:rPr>
          <w:t>Figure 4.6</w:t>
        </w:r>
        <w:r w:rsidRPr="00535F9D">
          <w:rPr>
            <w:rStyle w:val="Hyperlink"/>
            <w:rFonts w:eastAsiaTheme="majorEastAsia"/>
            <w:noProof/>
          </w:rPr>
          <w:t xml:space="preserve"> Male gonad tissue of a </w:t>
        </w:r>
        <w:r w:rsidRPr="00535F9D">
          <w:rPr>
            <w:rStyle w:val="Hyperlink"/>
            <w:rFonts w:eastAsiaTheme="majorEastAsia"/>
            <w:i/>
            <w:iCs/>
            <w:noProof/>
          </w:rPr>
          <w:t>Nephrops norvegicus</w:t>
        </w:r>
        <w:r w:rsidRPr="00535F9D">
          <w:rPr>
            <w:rStyle w:val="Hyperlink"/>
            <w:rFonts w:eastAsiaTheme="majorEastAsia"/>
            <w:noProof/>
          </w:rPr>
          <w:t xml:space="preserve"> individual (SP56) following sporulation of </w:t>
        </w:r>
        <w:r w:rsidRPr="00535F9D">
          <w:rPr>
            <w:rStyle w:val="Hyperlink"/>
            <w:rFonts w:eastAsiaTheme="majorEastAsia"/>
            <w:i/>
            <w:iCs/>
            <w:noProof/>
          </w:rPr>
          <w:t>Hematodinium</w:t>
        </w:r>
        <w:r w:rsidRPr="00535F9D">
          <w:rPr>
            <w:rStyle w:val="Hyperlink"/>
            <w:rFonts w:eastAsiaTheme="majorEastAsia"/>
            <w:noProof/>
          </w:rPr>
          <w:t xml:space="preserve"> sp. parasites. </w:t>
        </w:r>
        <w:r w:rsidRPr="00535F9D">
          <w:rPr>
            <w:rStyle w:val="Hyperlink"/>
            <w:rFonts w:eastAsiaTheme="majorEastAsia"/>
            <w:b/>
            <w:bCs/>
            <w:noProof/>
          </w:rPr>
          <w:t>A)</w:t>
        </w:r>
        <w:r w:rsidRPr="00535F9D">
          <w:rPr>
            <w:rStyle w:val="Hyperlink"/>
            <w:rFonts w:eastAsiaTheme="majorEastAsia"/>
            <w:noProof/>
          </w:rPr>
          <w:t xml:space="preserve"> Overview showing disruption of connective tissue within the gonad, while the </w:t>
        </w:r>
        <w:r w:rsidRPr="00535F9D">
          <w:rPr>
            <w:rStyle w:val="Hyperlink"/>
            <w:rFonts w:eastAsiaTheme="majorEastAsia"/>
            <w:i/>
            <w:iCs/>
            <w:noProof/>
          </w:rPr>
          <w:t>vas deferens</w:t>
        </w:r>
        <w:r w:rsidRPr="00535F9D">
          <w:rPr>
            <w:rStyle w:val="Hyperlink"/>
            <w:rFonts w:eastAsiaTheme="majorEastAsia"/>
            <w:noProof/>
          </w:rPr>
          <w:t xml:space="preserve"> appears comparatively less affected. </w:t>
        </w:r>
        <w:r w:rsidRPr="00535F9D">
          <w:rPr>
            <w:rStyle w:val="Hyperlink"/>
            <w:rFonts w:eastAsiaTheme="majorEastAsia"/>
            <w:b/>
            <w:bCs/>
            <w:noProof/>
          </w:rPr>
          <w:t>B)</w:t>
        </w:r>
        <w:r w:rsidRPr="00535F9D">
          <w:rPr>
            <w:rStyle w:val="Hyperlink"/>
            <w:rFonts w:eastAsiaTheme="majorEastAsia"/>
            <w:noProof/>
          </w:rPr>
          <w:t xml:space="preserve"> Higher magnification of the same tissue highlighting the presence of mononucleated </w:t>
        </w:r>
        <w:r w:rsidRPr="00535F9D">
          <w:rPr>
            <w:rStyle w:val="Hyperlink"/>
            <w:rFonts w:eastAsiaTheme="majorEastAsia"/>
            <w:i/>
            <w:iCs/>
            <w:noProof/>
          </w:rPr>
          <w:t>Hematodinium</w:t>
        </w:r>
        <w:r w:rsidRPr="00535F9D">
          <w:rPr>
            <w:rStyle w:val="Hyperlink"/>
            <w:rFonts w:eastAsiaTheme="majorEastAsia"/>
            <w:noProof/>
          </w:rPr>
          <w:t xml:space="preserve"> trophonts (black arrow). </w:t>
        </w:r>
        <w:r w:rsidRPr="00535F9D">
          <w:rPr>
            <w:rStyle w:val="Hyperlink"/>
            <w:rFonts w:eastAsiaTheme="majorEastAsia"/>
            <w:i/>
            <w:iCs/>
            <w:noProof/>
          </w:rPr>
          <w:t>Note: No residual macrospores are observed.</w:t>
        </w:r>
        <w:r>
          <w:rPr>
            <w:noProof/>
            <w:webHidden/>
          </w:rPr>
          <w:tab/>
        </w:r>
        <w:r>
          <w:rPr>
            <w:noProof/>
            <w:webHidden/>
          </w:rPr>
          <w:fldChar w:fldCharType="begin"/>
        </w:r>
        <w:r>
          <w:rPr>
            <w:noProof/>
            <w:webHidden/>
          </w:rPr>
          <w:instrText xml:space="preserve"> PAGEREF _Toc204106744 \h </w:instrText>
        </w:r>
        <w:r>
          <w:rPr>
            <w:noProof/>
            <w:webHidden/>
          </w:rPr>
        </w:r>
        <w:r>
          <w:rPr>
            <w:noProof/>
            <w:webHidden/>
          </w:rPr>
          <w:fldChar w:fldCharType="separate"/>
        </w:r>
        <w:r w:rsidR="008549FC">
          <w:rPr>
            <w:noProof/>
            <w:webHidden/>
          </w:rPr>
          <w:t>181</w:t>
        </w:r>
        <w:r>
          <w:rPr>
            <w:noProof/>
            <w:webHidden/>
          </w:rPr>
          <w:fldChar w:fldCharType="end"/>
        </w:r>
      </w:hyperlink>
    </w:p>
    <w:p w14:paraId="1FCEBF39" w14:textId="203DF7AC"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5" w:history="1">
        <w:r w:rsidRPr="00535F9D">
          <w:rPr>
            <w:rStyle w:val="Hyperlink"/>
            <w:rFonts w:eastAsiaTheme="majorEastAsia"/>
            <w:b/>
            <w:bCs/>
            <w:noProof/>
          </w:rPr>
          <w:t>Figure 4.7</w:t>
        </w:r>
        <w:r w:rsidRPr="00535F9D">
          <w:rPr>
            <w:rStyle w:val="Hyperlink"/>
            <w:rFonts w:eastAsiaTheme="majorEastAsia"/>
            <w:noProof/>
          </w:rPr>
          <w:t xml:space="preserve"> Muscle tissue of a </w:t>
        </w:r>
        <w:r w:rsidRPr="00535F9D">
          <w:rPr>
            <w:rStyle w:val="Hyperlink"/>
            <w:rFonts w:eastAsiaTheme="majorEastAsia"/>
            <w:i/>
            <w:iCs/>
            <w:noProof/>
          </w:rPr>
          <w:t>Nephrops norvegicus</w:t>
        </w:r>
        <w:r w:rsidRPr="00535F9D">
          <w:rPr>
            <w:rStyle w:val="Hyperlink"/>
            <w:rFonts w:eastAsiaTheme="majorEastAsia"/>
            <w:noProof/>
          </w:rPr>
          <w:t xml:space="preserve"> individual (SP56) following sporulation of </w:t>
        </w:r>
        <w:r w:rsidRPr="00535F9D">
          <w:rPr>
            <w:rStyle w:val="Hyperlink"/>
            <w:rFonts w:eastAsiaTheme="majorEastAsia"/>
            <w:i/>
            <w:iCs/>
            <w:noProof/>
          </w:rPr>
          <w:t>Hematodinium</w:t>
        </w:r>
        <w:r w:rsidRPr="00535F9D">
          <w:rPr>
            <w:rStyle w:val="Hyperlink"/>
            <w:rFonts w:eastAsiaTheme="majorEastAsia"/>
            <w:noProof/>
          </w:rPr>
          <w:t xml:space="preserve"> sp. parasites. </w:t>
        </w:r>
        <w:r w:rsidRPr="00535F9D">
          <w:rPr>
            <w:rStyle w:val="Hyperlink"/>
            <w:rFonts w:eastAsiaTheme="majorEastAsia"/>
            <w:b/>
            <w:bCs/>
            <w:noProof/>
          </w:rPr>
          <w:t>A)</w:t>
        </w:r>
        <w:r w:rsidRPr="00535F9D">
          <w:rPr>
            <w:rStyle w:val="Hyperlink"/>
            <w:rFonts w:eastAsiaTheme="majorEastAsia"/>
            <w:noProof/>
          </w:rPr>
          <w:t xml:space="preserve"> Overview showing disruption of connective tissue between muscle fibres and infiltration by </w:t>
        </w:r>
        <w:r w:rsidRPr="00535F9D">
          <w:rPr>
            <w:rStyle w:val="Hyperlink"/>
            <w:rFonts w:eastAsiaTheme="majorEastAsia"/>
            <w:i/>
            <w:iCs/>
            <w:noProof/>
          </w:rPr>
          <w:t>Hematodinium</w:t>
        </w:r>
        <w:r w:rsidRPr="00535F9D">
          <w:rPr>
            <w:rStyle w:val="Hyperlink"/>
            <w:rFonts w:eastAsiaTheme="majorEastAsia"/>
            <w:noProof/>
          </w:rPr>
          <w:t xml:space="preserve"> parasites. </w:t>
        </w:r>
        <w:r w:rsidRPr="00535F9D">
          <w:rPr>
            <w:rStyle w:val="Hyperlink"/>
            <w:rFonts w:eastAsiaTheme="majorEastAsia"/>
            <w:b/>
            <w:bCs/>
            <w:noProof/>
          </w:rPr>
          <w:t>B)</w:t>
        </w:r>
        <w:r w:rsidRPr="00535F9D">
          <w:rPr>
            <w:rStyle w:val="Hyperlink"/>
            <w:rFonts w:eastAsiaTheme="majorEastAsia"/>
            <w:noProof/>
          </w:rPr>
          <w:t xml:space="preserve"> Higher magnification of the same tissue highlighting the presence of mononucleated trophonts (black arrow). </w:t>
        </w:r>
        <w:r w:rsidRPr="00535F9D">
          <w:rPr>
            <w:rStyle w:val="Hyperlink"/>
            <w:rFonts w:eastAsiaTheme="majorEastAsia"/>
            <w:i/>
            <w:iCs/>
            <w:noProof/>
          </w:rPr>
          <w:t>Note: No residual macrospores are observed in the tissue.</w:t>
        </w:r>
        <w:r>
          <w:rPr>
            <w:noProof/>
            <w:webHidden/>
          </w:rPr>
          <w:tab/>
        </w:r>
        <w:r>
          <w:rPr>
            <w:noProof/>
            <w:webHidden/>
          </w:rPr>
          <w:fldChar w:fldCharType="begin"/>
        </w:r>
        <w:r>
          <w:rPr>
            <w:noProof/>
            <w:webHidden/>
          </w:rPr>
          <w:instrText xml:space="preserve"> PAGEREF _Toc204106745 \h </w:instrText>
        </w:r>
        <w:r>
          <w:rPr>
            <w:noProof/>
            <w:webHidden/>
          </w:rPr>
        </w:r>
        <w:r>
          <w:rPr>
            <w:noProof/>
            <w:webHidden/>
          </w:rPr>
          <w:fldChar w:fldCharType="separate"/>
        </w:r>
        <w:r w:rsidR="008549FC">
          <w:rPr>
            <w:noProof/>
            <w:webHidden/>
          </w:rPr>
          <w:t>182</w:t>
        </w:r>
        <w:r>
          <w:rPr>
            <w:noProof/>
            <w:webHidden/>
          </w:rPr>
          <w:fldChar w:fldCharType="end"/>
        </w:r>
      </w:hyperlink>
    </w:p>
    <w:p w14:paraId="598AA0BB" w14:textId="0746117E"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6" w:history="1">
        <w:r w:rsidRPr="00535F9D">
          <w:rPr>
            <w:rStyle w:val="Hyperlink"/>
            <w:rFonts w:eastAsiaTheme="majorEastAsia"/>
            <w:b/>
            <w:bCs/>
            <w:noProof/>
          </w:rPr>
          <w:t>Figure 4.8</w:t>
        </w:r>
        <w:r w:rsidRPr="00535F9D">
          <w:rPr>
            <w:rStyle w:val="Hyperlink"/>
            <w:rFonts w:eastAsiaTheme="majorEastAsia"/>
            <w:noProof/>
          </w:rPr>
          <w:t xml:space="preserve"> Hepatosomatic index (HSI, %) in </w:t>
        </w:r>
        <w:r w:rsidRPr="00535F9D">
          <w:rPr>
            <w:rStyle w:val="Hyperlink"/>
            <w:rFonts w:eastAsiaTheme="majorEastAsia"/>
            <w:i/>
            <w:iCs/>
            <w:noProof/>
          </w:rPr>
          <w:t>Nephrops norvegicus</w:t>
        </w:r>
        <w:r w:rsidRPr="00535F9D">
          <w:rPr>
            <w:rStyle w:val="Hyperlink"/>
            <w:rFonts w:eastAsiaTheme="majorEastAsia"/>
            <w:noProof/>
          </w:rPr>
          <w:t xml:space="preserve"> infected with </w:t>
        </w:r>
        <w:r w:rsidRPr="00535F9D">
          <w:rPr>
            <w:rStyle w:val="Hyperlink"/>
            <w:rFonts w:eastAsiaTheme="majorEastAsia"/>
            <w:i/>
            <w:iCs/>
            <w:noProof/>
          </w:rPr>
          <w:t>Hematodinium</w:t>
        </w:r>
        <w:r w:rsidRPr="00535F9D">
          <w:rPr>
            <w:rStyle w:val="Hyperlink"/>
            <w:rFonts w:eastAsiaTheme="majorEastAsia"/>
            <w:noProof/>
          </w:rPr>
          <w:t xml:space="preserve"> sp. </w:t>
        </w:r>
        <w:r w:rsidRPr="00535F9D">
          <w:rPr>
            <w:rStyle w:val="Hyperlink"/>
            <w:rFonts w:eastAsiaTheme="majorEastAsia"/>
            <w:b/>
            <w:bCs/>
            <w:noProof/>
          </w:rPr>
          <w:t>A)</w:t>
        </w:r>
        <w:r w:rsidRPr="00535F9D">
          <w:rPr>
            <w:rStyle w:val="Hyperlink"/>
            <w:rFonts w:eastAsiaTheme="majorEastAsia"/>
            <w:noProof/>
          </w:rPr>
          <w:t xml:space="preserve"> HSI in individuals classified as BCM-positive (POS, n = 29), BCM-negative (NEG, n = 3), and sporulated (n = 3). </w:t>
        </w:r>
        <w:r w:rsidRPr="00535F9D">
          <w:rPr>
            <w:rStyle w:val="Hyperlink"/>
            <w:rFonts w:eastAsiaTheme="majorEastAsia"/>
            <w:b/>
            <w:bCs/>
            <w:noProof/>
          </w:rPr>
          <w:t xml:space="preserve">B) </w:t>
        </w:r>
        <w:r w:rsidRPr="00535F9D">
          <w:rPr>
            <w:rStyle w:val="Hyperlink"/>
            <w:rFonts w:eastAsiaTheme="majorEastAsia"/>
            <w:noProof/>
          </w:rPr>
          <w:t>HSI based on pleopod method (PM) classification: stage 0 (n = 2), stage 1 (n = 5), stage 2 (n = 5), stage 3 (n = 11), stage 4 (n = 9), and sporulated (PM stages 3 and 4; n = 3)</w:t>
        </w:r>
        <w:r>
          <w:rPr>
            <w:noProof/>
            <w:webHidden/>
          </w:rPr>
          <w:tab/>
        </w:r>
        <w:r>
          <w:rPr>
            <w:noProof/>
            <w:webHidden/>
          </w:rPr>
          <w:fldChar w:fldCharType="begin"/>
        </w:r>
        <w:r>
          <w:rPr>
            <w:noProof/>
            <w:webHidden/>
          </w:rPr>
          <w:instrText xml:space="preserve"> PAGEREF _Toc204106746 \h </w:instrText>
        </w:r>
        <w:r>
          <w:rPr>
            <w:noProof/>
            <w:webHidden/>
          </w:rPr>
        </w:r>
        <w:r>
          <w:rPr>
            <w:noProof/>
            <w:webHidden/>
          </w:rPr>
          <w:fldChar w:fldCharType="separate"/>
        </w:r>
        <w:r w:rsidR="008549FC">
          <w:rPr>
            <w:noProof/>
            <w:webHidden/>
          </w:rPr>
          <w:t>184</w:t>
        </w:r>
        <w:r>
          <w:rPr>
            <w:noProof/>
            <w:webHidden/>
          </w:rPr>
          <w:fldChar w:fldCharType="end"/>
        </w:r>
      </w:hyperlink>
    </w:p>
    <w:p w14:paraId="36451A86" w14:textId="438336D7"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7" w:history="1">
        <w:r w:rsidRPr="00535F9D">
          <w:rPr>
            <w:rStyle w:val="Hyperlink"/>
            <w:rFonts w:eastAsiaTheme="majorEastAsia"/>
            <w:b/>
            <w:bCs/>
            <w:noProof/>
          </w:rPr>
          <w:t>Figure 4.9</w:t>
        </w:r>
        <w:r w:rsidRPr="00535F9D">
          <w:rPr>
            <w:rStyle w:val="Hyperlink"/>
            <w:rFonts w:eastAsiaTheme="majorEastAsia"/>
            <w:noProof/>
          </w:rPr>
          <w:t xml:space="preserve"> Lipid percentage (%) in </w:t>
        </w:r>
        <w:r w:rsidRPr="00535F9D">
          <w:rPr>
            <w:rStyle w:val="Hyperlink"/>
            <w:rFonts w:eastAsiaTheme="majorEastAsia"/>
            <w:i/>
            <w:iCs/>
            <w:noProof/>
          </w:rPr>
          <w:t>Nephrops norvegicus</w:t>
        </w:r>
        <w:r w:rsidRPr="00535F9D">
          <w:rPr>
            <w:rStyle w:val="Hyperlink"/>
            <w:rFonts w:eastAsiaTheme="majorEastAsia"/>
            <w:noProof/>
          </w:rPr>
          <w:t xml:space="preserve"> according to infection classification. </w:t>
        </w:r>
        <w:r w:rsidRPr="00535F9D">
          <w:rPr>
            <w:rStyle w:val="Hyperlink"/>
            <w:rFonts w:eastAsiaTheme="majorEastAsia"/>
            <w:b/>
            <w:bCs/>
            <w:noProof/>
          </w:rPr>
          <w:t>A)</w:t>
        </w:r>
        <w:r w:rsidRPr="00535F9D">
          <w:rPr>
            <w:rStyle w:val="Hyperlink"/>
            <w:rFonts w:eastAsiaTheme="majorEastAsia"/>
            <w:noProof/>
          </w:rPr>
          <w:t xml:space="preserve"> Body colour method (BCM): BCM-positive (POS, </w:t>
        </w:r>
        <w:r w:rsidRPr="00535F9D">
          <w:rPr>
            <w:rStyle w:val="Hyperlink"/>
            <w:rFonts w:eastAsiaTheme="majorEastAsia"/>
            <w:i/>
            <w:iCs/>
            <w:noProof/>
          </w:rPr>
          <w:t>n</w:t>
        </w:r>
        <w:r w:rsidRPr="00535F9D">
          <w:rPr>
            <w:rStyle w:val="Hyperlink"/>
            <w:rFonts w:eastAsiaTheme="majorEastAsia"/>
            <w:noProof/>
          </w:rPr>
          <w:t xml:space="preserve"> = 32) and BCM-negative (NEG, </w:t>
        </w:r>
        <w:r w:rsidRPr="00535F9D">
          <w:rPr>
            <w:rStyle w:val="Hyperlink"/>
            <w:rFonts w:eastAsiaTheme="majorEastAsia"/>
            <w:i/>
            <w:iCs/>
            <w:noProof/>
          </w:rPr>
          <w:t>n</w:t>
        </w:r>
        <w:r w:rsidRPr="00535F9D">
          <w:rPr>
            <w:rStyle w:val="Hyperlink"/>
            <w:rFonts w:eastAsiaTheme="majorEastAsia"/>
            <w:noProof/>
          </w:rPr>
          <w:t xml:space="preserve"> = 11). </w:t>
        </w:r>
        <w:r w:rsidRPr="00535F9D">
          <w:rPr>
            <w:rStyle w:val="Hyperlink"/>
            <w:rFonts w:eastAsiaTheme="majorEastAsia"/>
            <w:b/>
            <w:bCs/>
            <w:noProof/>
          </w:rPr>
          <w:t>B)</w:t>
        </w:r>
        <w:r w:rsidRPr="00535F9D">
          <w:rPr>
            <w:rStyle w:val="Hyperlink"/>
            <w:rFonts w:eastAsiaTheme="majorEastAsia"/>
            <w:noProof/>
          </w:rPr>
          <w:t xml:space="preserve"> Pleopod method (PM) classification: stage 0 (</w:t>
        </w:r>
        <w:r w:rsidRPr="00535F9D">
          <w:rPr>
            <w:rStyle w:val="Hyperlink"/>
            <w:rFonts w:eastAsiaTheme="majorEastAsia"/>
            <w:i/>
            <w:iCs/>
            <w:noProof/>
          </w:rPr>
          <w:t>n</w:t>
        </w:r>
        <w:r w:rsidRPr="00535F9D">
          <w:rPr>
            <w:rStyle w:val="Hyperlink"/>
            <w:rFonts w:eastAsiaTheme="majorEastAsia"/>
            <w:noProof/>
          </w:rPr>
          <w:t xml:space="preserve"> = 6), stage 1 (S1, </w:t>
        </w:r>
        <w:r w:rsidRPr="00535F9D">
          <w:rPr>
            <w:rStyle w:val="Hyperlink"/>
            <w:rFonts w:eastAsiaTheme="majorEastAsia"/>
            <w:i/>
            <w:iCs/>
            <w:noProof/>
          </w:rPr>
          <w:t>n</w:t>
        </w:r>
        <w:r w:rsidRPr="00535F9D">
          <w:rPr>
            <w:rStyle w:val="Hyperlink"/>
            <w:rFonts w:eastAsiaTheme="majorEastAsia"/>
            <w:noProof/>
          </w:rPr>
          <w:t xml:space="preserve"> = 10), stage 2 (S2, </w:t>
        </w:r>
        <w:r w:rsidRPr="00535F9D">
          <w:rPr>
            <w:rStyle w:val="Hyperlink"/>
            <w:rFonts w:eastAsiaTheme="majorEastAsia"/>
            <w:i/>
            <w:iCs/>
            <w:noProof/>
          </w:rPr>
          <w:t>n</w:t>
        </w:r>
        <w:r w:rsidRPr="00535F9D">
          <w:rPr>
            <w:rStyle w:val="Hyperlink"/>
            <w:rFonts w:eastAsiaTheme="majorEastAsia"/>
            <w:noProof/>
          </w:rPr>
          <w:t xml:space="preserve"> = 6), stage 3 (S3, </w:t>
        </w:r>
        <w:r w:rsidRPr="00535F9D">
          <w:rPr>
            <w:rStyle w:val="Hyperlink"/>
            <w:rFonts w:eastAsiaTheme="majorEastAsia"/>
            <w:i/>
            <w:iCs/>
            <w:noProof/>
          </w:rPr>
          <w:t>n</w:t>
        </w:r>
        <w:r w:rsidRPr="00535F9D">
          <w:rPr>
            <w:rStyle w:val="Hyperlink"/>
            <w:rFonts w:eastAsiaTheme="majorEastAsia"/>
            <w:noProof/>
          </w:rPr>
          <w:t xml:space="preserve"> = 10), stage 4 (S4, </w:t>
        </w:r>
        <w:r w:rsidRPr="00535F9D">
          <w:rPr>
            <w:rStyle w:val="Hyperlink"/>
            <w:rFonts w:eastAsiaTheme="majorEastAsia"/>
            <w:i/>
            <w:iCs/>
            <w:noProof/>
          </w:rPr>
          <w:t>n</w:t>
        </w:r>
        <w:r w:rsidRPr="00535F9D">
          <w:rPr>
            <w:rStyle w:val="Hyperlink"/>
            <w:rFonts w:eastAsiaTheme="majorEastAsia"/>
            <w:noProof/>
          </w:rPr>
          <w:t xml:space="preserve"> = 8), sporulated (PM stages 3 and 4; </w:t>
        </w:r>
        <w:r w:rsidRPr="00535F9D">
          <w:rPr>
            <w:rStyle w:val="Hyperlink"/>
            <w:rFonts w:eastAsiaTheme="majorEastAsia"/>
            <w:i/>
            <w:iCs/>
            <w:noProof/>
          </w:rPr>
          <w:t>n</w:t>
        </w:r>
        <w:r w:rsidRPr="00535F9D">
          <w:rPr>
            <w:rStyle w:val="Hyperlink"/>
            <w:rFonts w:eastAsiaTheme="majorEastAsia"/>
            <w:noProof/>
          </w:rPr>
          <w:t xml:space="preserve"> = 3), and spores (</w:t>
        </w:r>
        <w:r w:rsidRPr="00535F9D">
          <w:rPr>
            <w:rStyle w:val="Hyperlink"/>
            <w:rFonts w:eastAsiaTheme="majorEastAsia"/>
            <w:i/>
            <w:iCs/>
            <w:noProof/>
          </w:rPr>
          <w:t>n</w:t>
        </w:r>
        <w:r w:rsidRPr="00535F9D">
          <w:rPr>
            <w:rStyle w:val="Hyperlink"/>
            <w:rFonts w:eastAsiaTheme="majorEastAsia"/>
            <w:noProof/>
          </w:rPr>
          <w:t xml:space="preserve"> = 3).</w:t>
        </w:r>
        <w:r>
          <w:rPr>
            <w:noProof/>
            <w:webHidden/>
          </w:rPr>
          <w:tab/>
        </w:r>
        <w:r>
          <w:rPr>
            <w:noProof/>
            <w:webHidden/>
          </w:rPr>
          <w:fldChar w:fldCharType="begin"/>
        </w:r>
        <w:r>
          <w:rPr>
            <w:noProof/>
            <w:webHidden/>
          </w:rPr>
          <w:instrText xml:space="preserve"> PAGEREF _Toc204106747 \h </w:instrText>
        </w:r>
        <w:r>
          <w:rPr>
            <w:noProof/>
            <w:webHidden/>
          </w:rPr>
        </w:r>
        <w:r>
          <w:rPr>
            <w:noProof/>
            <w:webHidden/>
          </w:rPr>
          <w:fldChar w:fldCharType="separate"/>
        </w:r>
        <w:r w:rsidR="008549FC">
          <w:rPr>
            <w:noProof/>
            <w:webHidden/>
          </w:rPr>
          <w:t>185</w:t>
        </w:r>
        <w:r>
          <w:rPr>
            <w:noProof/>
            <w:webHidden/>
          </w:rPr>
          <w:fldChar w:fldCharType="end"/>
        </w:r>
      </w:hyperlink>
    </w:p>
    <w:p w14:paraId="1417526F" w14:textId="5347C7A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8" w:history="1">
        <w:r w:rsidRPr="00535F9D">
          <w:rPr>
            <w:rStyle w:val="Hyperlink"/>
            <w:rFonts w:eastAsiaTheme="majorEastAsia"/>
            <w:b/>
            <w:bCs/>
            <w:noProof/>
          </w:rPr>
          <w:t>Figure 4.10</w:t>
        </w:r>
        <w:r w:rsidRPr="00535F9D">
          <w:rPr>
            <w:rStyle w:val="Hyperlink"/>
            <w:rFonts w:eastAsiaTheme="majorEastAsia"/>
            <w:noProof/>
          </w:rPr>
          <w:t xml:space="preserve"> Barplot depicting the average FAMES (%) in total lipids found in the hepatopancreas of </w:t>
        </w:r>
        <w:r w:rsidRPr="00535F9D">
          <w:rPr>
            <w:rStyle w:val="Hyperlink"/>
            <w:rFonts w:eastAsiaTheme="majorEastAsia"/>
            <w:i/>
            <w:iCs/>
            <w:noProof/>
          </w:rPr>
          <w:t xml:space="preserve">Nephrops </w:t>
        </w:r>
        <w:r w:rsidRPr="00535F9D">
          <w:rPr>
            <w:rStyle w:val="Hyperlink"/>
            <w:rFonts w:eastAsiaTheme="majorEastAsia"/>
            <w:noProof/>
          </w:rPr>
          <w:t xml:space="preserve">at different stages of </w:t>
        </w:r>
        <w:r w:rsidRPr="00535F9D">
          <w:rPr>
            <w:rStyle w:val="Hyperlink"/>
            <w:rFonts w:eastAsiaTheme="majorEastAsia"/>
            <w:i/>
            <w:iCs/>
            <w:noProof/>
          </w:rPr>
          <w:t>Hematodinium</w:t>
        </w:r>
        <w:r w:rsidRPr="00535F9D">
          <w:rPr>
            <w:rStyle w:val="Hyperlink"/>
            <w:rFonts w:eastAsiaTheme="majorEastAsia"/>
            <w:noProof/>
          </w:rPr>
          <w:t xml:space="preserve"> sp. infection (stage 0-4) as classified by the PM, along with the hepatopancreas of the host that sporulated and the released spores (macrospores).</w:t>
        </w:r>
        <w:r>
          <w:rPr>
            <w:noProof/>
            <w:webHidden/>
          </w:rPr>
          <w:tab/>
        </w:r>
        <w:r>
          <w:rPr>
            <w:noProof/>
            <w:webHidden/>
          </w:rPr>
          <w:fldChar w:fldCharType="begin"/>
        </w:r>
        <w:r>
          <w:rPr>
            <w:noProof/>
            <w:webHidden/>
          </w:rPr>
          <w:instrText xml:space="preserve"> PAGEREF _Toc204106748 \h </w:instrText>
        </w:r>
        <w:r>
          <w:rPr>
            <w:noProof/>
            <w:webHidden/>
          </w:rPr>
        </w:r>
        <w:r>
          <w:rPr>
            <w:noProof/>
            <w:webHidden/>
          </w:rPr>
          <w:fldChar w:fldCharType="separate"/>
        </w:r>
        <w:r w:rsidR="008549FC">
          <w:rPr>
            <w:noProof/>
            <w:webHidden/>
          </w:rPr>
          <w:t>192</w:t>
        </w:r>
        <w:r>
          <w:rPr>
            <w:noProof/>
            <w:webHidden/>
          </w:rPr>
          <w:fldChar w:fldCharType="end"/>
        </w:r>
      </w:hyperlink>
    </w:p>
    <w:p w14:paraId="5DC2384D" w14:textId="47D78AAA"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49" w:history="1">
        <w:r w:rsidRPr="00535F9D">
          <w:rPr>
            <w:rStyle w:val="Hyperlink"/>
            <w:rFonts w:eastAsiaTheme="majorEastAsia"/>
            <w:b/>
            <w:bCs/>
            <w:noProof/>
          </w:rPr>
          <w:t>Figure 4.11</w:t>
        </w:r>
        <w:r w:rsidRPr="00535F9D">
          <w:rPr>
            <w:rStyle w:val="Hyperlink"/>
            <w:rFonts w:eastAsiaTheme="majorEastAsia"/>
            <w:noProof/>
          </w:rPr>
          <w:t xml:space="preserve"> Fatty acid composition (in total lipid) in </w:t>
        </w:r>
        <w:r w:rsidRPr="00535F9D">
          <w:rPr>
            <w:rStyle w:val="Hyperlink"/>
            <w:rFonts w:eastAsiaTheme="majorEastAsia"/>
            <w:i/>
            <w:iCs/>
            <w:noProof/>
          </w:rPr>
          <w:t>Nephrops</w:t>
        </w:r>
        <w:r w:rsidRPr="00535F9D">
          <w:rPr>
            <w:rStyle w:val="Hyperlink"/>
            <w:rFonts w:eastAsiaTheme="majorEastAsia"/>
            <w:noProof/>
          </w:rPr>
          <w:t xml:space="preserve"> hepatopancreas at different stages of infection (stages 0-4) and after sporulation and in spores released from sporulated animals. Limit of detection: 0.16.</w:t>
        </w:r>
        <w:r>
          <w:rPr>
            <w:noProof/>
            <w:webHidden/>
          </w:rPr>
          <w:tab/>
        </w:r>
        <w:r>
          <w:rPr>
            <w:noProof/>
            <w:webHidden/>
          </w:rPr>
          <w:fldChar w:fldCharType="begin"/>
        </w:r>
        <w:r>
          <w:rPr>
            <w:noProof/>
            <w:webHidden/>
          </w:rPr>
          <w:instrText xml:space="preserve"> PAGEREF _Toc204106749 \h </w:instrText>
        </w:r>
        <w:r>
          <w:rPr>
            <w:noProof/>
            <w:webHidden/>
          </w:rPr>
        </w:r>
        <w:r>
          <w:rPr>
            <w:noProof/>
            <w:webHidden/>
          </w:rPr>
          <w:fldChar w:fldCharType="separate"/>
        </w:r>
        <w:r w:rsidR="008549FC">
          <w:rPr>
            <w:noProof/>
            <w:webHidden/>
          </w:rPr>
          <w:t>193</w:t>
        </w:r>
        <w:r>
          <w:rPr>
            <w:noProof/>
            <w:webHidden/>
          </w:rPr>
          <w:fldChar w:fldCharType="end"/>
        </w:r>
      </w:hyperlink>
    </w:p>
    <w:p w14:paraId="7EF6C2DA" w14:textId="2590D68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0" w:history="1">
        <w:r w:rsidRPr="00535F9D">
          <w:rPr>
            <w:rStyle w:val="Hyperlink"/>
            <w:rFonts w:eastAsiaTheme="majorEastAsia"/>
            <w:b/>
            <w:bCs/>
            <w:noProof/>
          </w:rPr>
          <w:t>Figure 4.12</w:t>
        </w:r>
        <w:r w:rsidRPr="00535F9D">
          <w:rPr>
            <w:rStyle w:val="Hyperlink"/>
            <w:rFonts w:eastAsiaTheme="majorEastAsia"/>
            <w:noProof/>
          </w:rPr>
          <w:t xml:space="preserve"> Barplot depicting the mean lipid classes (%) in total lipids found in the hepatopancreas with different levels of </w:t>
        </w:r>
        <w:r w:rsidRPr="00535F9D">
          <w:rPr>
            <w:rStyle w:val="Hyperlink"/>
            <w:rFonts w:eastAsiaTheme="majorEastAsia"/>
            <w:i/>
            <w:iCs/>
            <w:noProof/>
          </w:rPr>
          <w:t>Hematodinium</w:t>
        </w:r>
        <w:r w:rsidRPr="00535F9D">
          <w:rPr>
            <w:rStyle w:val="Hyperlink"/>
            <w:rFonts w:eastAsiaTheme="majorEastAsia"/>
            <w:noProof/>
          </w:rPr>
          <w:t xml:space="preserve"> sp. infection (stage 0-4) as classified by the PM, along with the hepatopancreas of the host that sporulated and the released spores (macrospores).</w:t>
        </w:r>
        <w:r>
          <w:rPr>
            <w:noProof/>
            <w:webHidden/>
          </w:rPr>
          <w:tab/>
        </w:r>
        <w:r>
          <w:rPr>
            <w:noProof/>
            <w:webHidden/>
          </w:rPr>
          <w:fldChar w:fldCharType="begin"/>
        </w:r>
        <w:r>
          <w:rPr>
            <w:noProof/>
            <w:webHidden/>
          </w:rPr>
          <w:instrText xml:space="preserve"> PAGEREF _Toc204106750 \h </w:instrText>
        </w:r>
        <w:r>
          <w:rPr>
            <w:noProof/>
            <w:webHidden/>
          </w:rPr>
        </w:r>
        <w:r>
          <w:rPr>
            <w:noProof/>
            <w:webHidden/>
          </w:rPr>
          <w:fldChar w:fldCharType="separate"/>
        </w:r>
        <w:r w:rsidR="008549FC">
          <w:rPr>
            <w:noProof/>
            <w:webHidden/>
          </w:rPr>
          <w:t>197</w:t>
        </w:r>
        <w:r>
          <w:rPr>
            <w:noProof/>
            <w:webHidden/>
          </w:rPr>
          <w:fldChar w:fldCharType="end"/>
        </w:r>
      </w:hyperlink>
    </w:p>
    <w:p w14:paraId="5B9E2014" w14:textId="4A8F2CB6"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1" w:history="1">
        <w:r w:rsidRPr="00535F9D">
          <w:rPr>
            <w:rStyle w:val="Hyperlink"/>
            <w:rFonts w:eastAsiaTheme="majorEastAsia"/>
            <w:b/>
            <w:bCs/>
            <w:noProof/>
          </w:rPr>
          <w:t>Figure 4.13</w:t>
        </w:r>
        <w:r w:rsidRPr="00535F9D">
          <w:rPr>
            <w:rStyle w:val="Hyperlink"/>
            <w:rFonts w:eastAsiaTheme="majorEastAsia"/>
            <w:noProof/>
          </w:rPr>
          <w:t xml:space="preserve"> Barplot depicting the mean FAMES (%) in the polar fraction of the total lipids found in the hepatopancreas with different levels of </w:t>
        </w:r>
        <w:r w:rsidRPr="00535F9D">
          <w:rPr>
            <w:rStyle w:val="Hyperlink"/>
            <w:rFonts w:eastAsiaTheme="majorEastAsia"/>
            <w:i/>
            <w:iCs/>
            <w:noProof/>
          </w:rPr>
          <w:t>Hematodinium</w:t>
        </w:r>
        <w:r w:rsidRPr="00535F9D">
          <w:rPr>
            <w:rStyle w:val="Hyperlink"/>
            <w:rFonts w:eastAsiaTheme="majorEastAsia"/>
            <w:noProof/>
          </w:rPr>
          <w:t xml:space="preserve"> sp. infection (stage 0-4) as classified by the PM, along with the hepatopancreas of the host that sporulated and the released spores (macrospores).</w:t>
        </w:r>
        <w:r>
          <w:rPr>
            <w:noProof/>
            <w:webHidden/>
          </w:rPr>
          <w:tab/>
        </w:r>
        <w:r>
          <w:rPr>
            <w:noProof/>
            <w:webHidden/>
          </w:rPr>
          <w:fldChar w:fldCharType="begin"/>
        </w:r>
        <w:r>
          <w:rPr>
            <w:noProof/>
            <w:webHidden/>
          </w:rPr>
          <w:instrText xml:space="preserve"> PAGEREF _Toc204106751 \h </w:instrText>
        </w:r>
        <w:r>
          <w:rPr>
            <w:noProof/>
            <w:webHidden/>
          </w:rPr>
        </w:r>
        <w:r>
          <w:rPr>
            <w:noProof/>
            <w:webHidden/>
          </w:rPr>
          <w:fldChar w:fldCharType="separate"/>
        </w:r>
        <w:r w:rsidR="008549FC">
          <w:rPr>
            <w:noProof/>
            <w:webHidden/>
          </w:rPr>
          <w:t>205</w:t>
        </w:r>
        <w:r>
          <w:rPr>
            <w:noProof/>
            <w:webHidden/>
          </w:rPr>
          <w:fldChar w:fldCharType="end"/>
        </w:r>
      </w:hyperlink>
    </w:p>
    <w:p w14:paraId="5C4174E8" w14:textId="01B13BBF"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2" w:history="1">
        <w:r w:rsidRPr="00535F9D">
          <w:rPr>
            <w:rStyle w:val="Hyperlink"/>
            <w:rFonts w:eastAsiaTheme="majorEastAsia"/>
            <w:b/>
            <w:bCs/>
            <w:noProof/>
          </w:rPr>
          <w:t>Figure 4.14</w:t>
        </w:r>
        <w:r w:rsidRPr="00535F9D">
          <w:rPr>
            <w:rStyle w:val="Hyperlink"/>
            <w:rFonts w:eastAsiaTheme="majorEastAsia"/>
            <w:noProof/>
          </w:rPr>
          <w:t xml:space="preserve"> Fatty acid composition (according to the polar fraction of the total lipid) in </w:t>
        </w:r>
        <w:r w:rsidRPr="00535F9D">
          <w:rPr>
            <w:rStyle w:val="Hyperlink"/>
            <w:rFonts w:eastAsiaTheme="majorEastAsia"/>
            <w:i/>
            <w:noProof/>
          </w:rPr>
          <w:t>Nephrops</w:t>
        </w:r>
        <w:r w:rsidRPr="00535F9D">
          <w:rPr>
            <w:rStyle w:val="Hyperlink"/>
            <w:rFonts w:eastAsiaTheme="majorEastAsia"/>
            <w:noProof/>
          </w:rPr>
          <w:t xml:space="preserve"> hepatopancreas at different stages of infection (stages 0-4) and after sporulation and in spores released from sporulated animals. Hepatopancreas: Comparing </w:t>
        </w:r>
        <w:r w:rsidRPr="00535F9D">
          <w:rPr>
            <w:rStyle w:val="Hyperlink"/>
            <w:rFonts w:eastAsiaTheme="majorEastAsia"/>
            <w:i/>
            <w:noProof/>
          </w:rPr>
          <w:t>Hematodinium</w:t>
        </w:r>
        <w:r w:rsidRPr="00535F9D">
          <w:rPr>
            <w:rStyle w:val="Hyperlink"/>
            <w:rFonts w:eastAsiaTheme="majorEastAsia"/>
            <w:noProof/>
          </w:rPr>
          <w:t xml:space="preserve"> sp. Infection (stages 0-4) as classified by the PM, Sporulated Individuals, and released macrospores. Limit of detection: 0.16.</w:t>
        </w:r>
        <w:r>
          <w:rPr>
            <w:noProof/>
            <w:webHidden/>
          </w:rPr>
          <w:tab/>
        </w:r>
        <w:r>
          <w:rPr>
            <w:noProof/>
            <w:webHidden/>
          </w:rPr>
          <w:fldChar w:fldCharType="begin"/>
        </w:r>
        <w:r>
          <w:rPr>
            <w:noProof/>
            <w:webHidden/>
          </w:rPr>
          <w:instrText xml:space="preserve"> PAGEREF _Toc204106752 \h </w:instrText>
        </w:r>
        <w:r>
          <w:rPr>
            <w:noProof/>
            <w:webHidden/>
          </w:rPr>
        </w:r>
        <w:r>
          <w:rPr>
            <w:noProof/>
            <w:webHidden/>
          </w:rPr>
          <w:fldChar w:fldCharType="separate"/>
        </w:r>
        <w:r w:rsidR="008549FC">
          <w:rPr>
            <w:noProof/>
            <w:webHidden/>
          </w:rPr>
          <w:t>206</w:t>
        </w:r>
        <w:r>
          <w:rPr>
            <w:noProof/>
            <w:webHidden/>
          </w:rPr>
          <w:fldChar w:fldCharType="end"/>
        </w:r>
      </w:hyperlink>
    </w:p>
    <w:p w14:paraId="562ED9B9" w14:textId="4BDC9AE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3" w:history="1">
        <w:r w:rsidRPr="00535F9D">
          <w:rPr>
            <w:rStyle w:val="Hyperlink"/>
            <w:rFonts w:eastAsiaTheme="majorEastAsia"/>
            <w:b/>
            <w:bCs/>
            <w:noProof/>
          </w:rPr>
          <w:t>Figure 4.15</w:t>
        </w:r>
        <w:r w:rsidRPr="00535F9D">
          <w:rPr>
            <w:rStyle w:val="Hyperlink"/>
            <w:rFonts w:eastAsiaTheme="majorEastAsia"/>
            <w:noProof/>
          </w:rPr>
          <w:t xml:space="preserve"> Barplot depicting the average FAMES (%) in the neutral fraction of the total lipids found in the hepatopancreas with different levels of </w:t>
        </w:r>
        <w:r w:rsidRPr="00535F9D">
          <w:rPr>
            <w:rStyle w:val="Hyperlink"/>
            <w:rFonts w:eastAsiaTheme="majorEastAsia"/>
            <w:i/>
            <w:iCs/>
            <w:noProof/>
          </w:rPr>
          <w:t>Hematodinium</w:t>
        </w:r>
        <w:r w:rsidRPr="00535F9D">
          <w:rPr>
            <w:rStyle w:val="Hyperlink"/>
            <w:rFonts w:eastAsiaTheme="majorEastAsia"/>
            <w:noProof/>
          </w:rPr>
          <w:t xml:space="preserve"> sp. infection (stage 0-4) as classified by the PM, along with the hepatopancreas of the host that sporulated and the released spores (macrospores).</w:t>
        </w:r>
        <w:r>
          <w:rPr>
            <w:noProof/>
            <w:webHidden/>
          </w:rPr>
          <w:tab/>
        </w:r>
        <w:r>
          <w:rPr>
            <w:noProof/>
            <w:webHidden/>
          </w:rPr>
          <w:fldChar w:fldCharType="begin"/>
        </w:r>
        <w:r>
          <w:rPr>
            <w:noProof/>
            <w:webHidden/>
          </w:rPr>
          <w:instrText xml:space="preserve"> PAGEREF _Toc204106753 \h </w:instrText>
        </w:r>
        <w:r>
          <w:rPr>
            <w:noProof/>
            <w:webHidden/>
          </w:rPr>
        </w:r>
        <w:r>
          <w:rPr>
            <w:noProof/>
            <w:webHidden/>
          </w:rPr>
          <w:fldChar w:fldCharType="separate"/>
        </w:r>
        <w:r w:rsidR="008549FC">
          <w:rPr>
            <w:noProof/>
            <w:webHidden/>
          </w:rPr>
          <w:t>212</w:t>
        </w:r>
        <w:r>
          <w:rPr>
            <w:noProof/>
            <w:webHidden/>
          </w:rPr>
          <w:fldChar w:fldCharType="end"/>
        </w:r>
      </w:hyperlink>
    </w:p>
    <w:p w14:paraId="5E636832" w14:textId="7E8DF34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4" w:history="1">
        <w:r w:rsidRPr="00535F9D">
          <w:rPr>
            <w:rStyle w:val="Hyperlink"/>
            <w:rFonts w:eastAsiaTheme="majorEastAsia"/>
            <w:b/>
            <w:bCs/>
            <w:noProof/>
          </w:rPr>
          <w:t>Figure 4.16</w:t>
        </w:r>
        <w:r w:rsidRPr="00535F9D">
          <w:rPr>
            <w:rStyle w:val="Hyperlink"/>
            <w:rFonts w:eastAsiaTheme="majorEastAsia"/>
            <w:noProof/>
          </w:rPr>
          <w:t xml:space="preserve"> Fatty Acid Composition (according to the neutral fraction of the total lipid) in </w:t>
        </w:r>
        <w:r w:rsidRPr="00535F9D">
          <w:rPr>
            <w:rStyle w:val="Hyperlink"/>
            <w:rFonts w:eastAsiaTheme="majorEastAsia"/>
            <w:i/>
            <w:noProof/>
          </w:rPr>
          <w:t>Nephrops</w:t>
        </w:r>
        <w:r w:rsidRPr="00535F9D">
          <w:rPr>
            <w:rStyle w:val="Hyperlink"/>
            <w:rFonts w:eastAsiaTheme="majorEastAsia"/>
            <w:noProof/>
          </w:rPr>
          <w:t xml:space="preserve"> hepatopancreas at different stages of infection (stages S 0-4) and after sporulation and in spores released from sporulated animals. Hepatopancreas: Comparing </w:t>
        </w:r>
        <w:r w:rsidRPr="00535F9D">
          <w:rPr>
            <w:rStyle w:val="Hyperlink"/>
            <w:rFonts w:eastAsiaTheme="majorEastAsia"/>
            <w:i/>
            <w:noProof/>
          </w:rPr>
          <w:t>Hematodinium</w:t>
        </w:r>
        <w:r w:rsidRPr="00535F9D">
          <w:rPr>
            <w:rStyle w:val="Hyperlink"/>
            <w:rFonts w:eastAsiaTheme="majorEastAsia"/>
            <w:noProof/>
          </w:rPr>
          <w:t xml:space="preserve"> sp. Infection (Stages 0-4) as classified by the PM, Sporulated Individuals, and released macrospores. Limit of detection: 0.16.</w:t>
        </w:r>
        <w:r>
          <w:rPr>
            <w:noProof/>
            <w:webHidden/>
          </w:rPr>
          <w:tab/>
        </w:r>
        <w:r>
          <w:rPr>
            <w:noProof/>
            <w:webHidden/>
          </w:rPr>
          <w:fldChar w:fldCharType="begin"/>
        </w:r>
        <w:r>
          <w:rPr>
            <w:noProof/>
            <w:webHidden/>
          </w:rPr>
          <w:instrText xml:space="preserve"> PAGEREF _Toc204106754 \h </w:instrText>
        </w:r>
        <w:r>
          <w:rPr>
            <w:noProof/>
            <w:webHidden/>
          </w:rPr>
        </w:r>
        <w:r>
          <w:rPr>
            <w:noProof/>
            <w:webHidden/>
          </w:rPr>
          <w:fldChar w:fldCharType="separate"/>
        </w:r>
        <w:r w:rsidR="008549FC">
          <w:rPr>
            <w:noProof/>
            <w:webHidden/>
          </w:rPr>
          <w:t>213</w:t>
        </w:r>
        <w:r>
          <w:rPr>
            <w:noProof/>
            <w:webHidden/>
          </w:rPr>
          <w:fldChar w:fldCharType="end"/>
        </w:r>
      </w:hyperlink>
    </w:p>
    <w:p w14:paraId="663B3012" w14:textId="26A125C6" w:rsidR="00920FA7" w:rsidRDefault="00FB3578" w:rsidP="00DA29AB">
      <w:pPr>
        <w:spacing w:before="0" w:after="0"/>
        <w:rPr>
          <w:rFonts w:cstheme="minorBidi"/>
          <w:color w:val="000000" w:themeColor="text1"/>
        </w:rPr>
        <w:sectPr w:rsidR="00920FA7" w:rsidSect="00EE0C2F">
          <w:headerReference w:type="default" r:id="rId25"/>
          <w:pgSz w:w="11900" w:h="16840" w:code="9"/>
          <w:pgMar w:top="1440" w:right="1440" w:bottom="1440" w:left="1440" w:header="720" w:footer="720" w:gutter="0"/>
          <w:cols w:space="720"/>
          <w:docGrid w:linePitch="360"/>
        </w:sectPr>
      </w:pPr>
      <w:r w:rsidRPr="009819CE">
        <w:rPr>
          <w:rFonts w:cstheme="minorBidi"/>
          <w:color w:val="000000" w:themeColor="text1"/>
        </w:rPr>
        <w:fldChar w:fldCharType="end"/>
      </w:r>
    </w:p>
    <w:p w14:paraId="1ACE7C5B" w14:textId="61F52AC2" w:rsidR="00C0781C" w:rsidRPr="009819CE" w:rsidRDefault="00C0781C" w:rsidP="00E22ACF">
      <w:pPr>
        <w:pStyle w:val="Heading1"/>
        <w:numPr>
          <w:ilvl w:val="0"/>
          <w:numId w:val="6"/>
        </w:numPr>
      </w:pPr>
      <w:bookmarkStart w:id="17" w:name="_Toc204106588"/>
      <w:r w:rsidRPr="009819CE">
        <w:t xml:space="preserve">List of </w:t>
      </w:r>
      <w:r w:rsidR="008E565E">
        <w:t>t</w:t>
      </w:r>
      <w:r w:rsidRPr="009819CE">
        <w:t>ables</w:t>
      </w:r>
      <w:bookmarkEnd w:id="17"/>
    </w:p>
    <w:p w14:paraId="1C0A7C08" w14:textId="0B88BD60" w:rsidR="002F3A99" w:rsidRDefault="00AC22C2">
      <w:pPr>
        <w:pStyle w:val="TableofFigures"/>
        <w:tabs>
          <w:tab w:val="right" w:leader="dot" w:pos="9010"/>
        </w:tabs>
        <w:rPr>
          <w:rFonts w:asciiTheme="minorHAnsi" w:eastAsiaTheme="minorEastAsia" w:hAnsiTheme="minorHAnsi" w:cstheme="minorBidi"/>
          <w:noProof/>
          <w:kern w:val="2"/>
          <w:szCs w:val="24"/>
          <w14:ligatures w14:val="standardContextual"/>
        </w:rPr>
      </w:pPr>
      <w:r>
        <w:rPr>
          <w:rFonts w:cstheme="minorBidi"/>
          <w:color w:val="000000" w:themeColor="text1"/>
        </w:rPr>
        <w:fldChar w:fldCharType="begin"/>
      </w:r>
      <w:r>
        <w:rPr>
          <w:rFonts w:cstheme="minorBidi"/>
          <w:color w:val="000000" w:themeColor="text1"/>
        </w:rPr>
        <w:instrText xml:space="preserve"> TOC \h \z \c "Table" </w:instrText>
      </w:r>
      <w:r>
        <w:rPr>
          <w:rFonts w:cstheme="minorBidi"/>
          <w:color w:val="000000" w:themeColor="text1"/>
        </w:rPr>
        <w:fldChar w:fldCharType="separate"/>
      </w:r>
      <w:hyperlink w:anchor="_Toc204106755" w:history="1">
        <w:r w:rsidR="002F3A99" w:rsidRPr="00612D09">
          <w:rPr>
            <w:rStyle w:val="Hyperlink"/>
            <w:rFonts w:eastAsia="Calibri"/>
            <w:b/>
            <w:iCs/>
            <w:noProof/>
          </w:rPr>
          <w:t>Table 1.1</w:t>
        </w:r>
        <w:r w:rsidR="002F3A99" w:rsidRPr="00612D09">
          <w:rPr>
            <w:rStyle w:val="Hyperlink"/>
            <w:rFonts w:eastAsia="Calibri"/>
            <w:iCs/>
            <w:noProof/>
          </w:rPr>
          <w:t xml:space="preserve"> Diagram showing the timing of key events in the reproductive cycle of female </w:t>
        </w:r>
        <w:r w:rsidR="002F3A99" w:rsidRPr="00612D09">
          <w:rPr>
            <w:rStyle w:val="Hyperlink"/>
            <w:rFonts w:eastAsia="Calibri"/>
            <w:i/>
            <w:iCs/>
            <w:noProof/>
          </w:rPr>
          <w:t>Nephrops</w:t>
        </w:r>
        <w:r w:rsidR="002F3A99" w:rsidRPr="00612D09">
          <w:rPr>
            <w:rStyle w:val="Hyperlink"/>
            <w:rFonts w:eastAsia="Calibri"/>
            <w:iCs/>
            <w:noProof/>
          </w:rPr>
          <w:t xml:space="preserve"> in the Clyde Sea Area (CSA) (adapted from (Smith, 2021)).</w:t>
        </w:r>
        <w:r w:rsidR="002F3A99">
          <w:rPr>
            <w:noProof/>
            <w:webHidden/>
          </w:rPr>
          <w:tab/>
        </w:r>
        <w:r w:rsidR="002F3A99">
          <w:rPr>
            <w:noProof/>
            <w:webHidden/>
          </w:rPr>
          <w:fldChar w:fldCharType="begin"/>
        </w:r>
        <w:r w:rsidR="002F3A99">
          <w:rPr>
            <w:noProof/>
            <w:webHidden/>
          </w:rPr>
          <w:instrText xml:space="preserve"> PAGEREF _Toc204106755 \h </w:instrText>
        </w:r>
        <w:r w:rsidR="002F3A99">
          <w:rPr>
            <w:noProof/>
            <w:webHidden/>
          </w:rPr>
        </w:r>
        <w:r w:rsidR="002F3A99">
          <w:rPr>
            <w:noProof/>
            <w:webHidden/>
          </w:rPr>
          <w:fldChar w:fldCharType="separate"/>
        </w:r>
        <w:r w:rsidR="008549FC">
          <w:rPr>
            <w:noProof/>
            <w:webHidden/>
          </w:rPr>
          <w:t>41</w:t>
        </w:r>
        <w:r w:rsidR="002F3A99">
          <w:rPr>
            <w:noProof/>
            <w:webHidden/>
          </w:rPr>
          <w:fldChar w:fldCharType="end"/>
        </w:r>
      </w:hyperlink>
    </w:p>
    <w:p w14:paraId="5944F7DA" w14:textId="7EAD4AC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6" w:history="1">
        <w:r w:rsidRPr="00612D09">
          <w:rPr>
            <w:rStyle w:val="Hyperlink"/>
            <w:rFonts w:eastAsiaTheme="majorEastAsia"/>
            <w:b/>
            <w:noProof/>
          </w:rPr>
          <w:t>Table 1.2</w:t>
        </w:r>
        <w:r w:rsidRPr="00612D09">
          <w:rPr>
            <w:rStyle w:val="Hyperlink"/>
            <w:rFonts w:eastAsiaTheme="majorEastAsia"/>
            <w:noProof/>
          </w:rPr>
          <w:t xml:space="preserve"> The detection thresholds (number of parasites per mL of haemolymph) of the main tests used to diagnose </w:t>
        </w:r>
        <w:r w:rsidRPr="00612D09">
          <w:rPr>
            <w:rStyle w:val="Hyperlink"/>
            <w:rFonts w:eastAsiaTheme="majorEastAsia"/>
            <w:i/>
            <w:noProof/>
          </w:rPr>
          <w:t>Hematodinium</w:t>
        </w:r>
        <w:r w:rsidRPr="00612D09">
          <w:rPr>
            <w:rStyle w:val="Hyperlink"/>
            <w:rFonts w:eastAsiaTheme="majorEastAsia"/>
            <w:noProof/>
          </w:rPr>
          <w:t xml:space="preserve"> infection in </w:t>
        </w:r>
        <w:r w:rsidRPr="00612D09">
          <w:rPr>
            <w:rStyle w:val="Hyperlink"/>
            <w:rFonts w:eastAsiaTheme="majorEastAsia"/>
            <w:i/>
            <w:noProof/>
          </w:rPr>
          <w:t>Nephrops</w:t>
        </w:r>
        <w:r w:rsidRPr="00612D09">
          <w:rPr>
            <w:rStyle w:val="Hyperlink"/>
            <w:rFonts w:eastAsiaTheme="majorEastAsia"/>
            <w:noProof/>
          </w:rPr>
          <w:t>.</w:t>
        </w:r>
        <w:r>
          <w:rPr>
            <w:noProof/>
            <w:webHidden/>
          </w:rPr>
          <w:tab/>
        </w:r>
        <w:r>
          <w:rPr>
            <w:noProof/>
            <w:webHidden/>
          </w:rPr>
          <w:fldChar w:fldCharType="begin"/>
        </w:r>
        <w:r>
          <w:rPr>
            <w:noProof/>
            <w:webHidden/>
          </w:rPr>
          <w:instrText xml:space="preserve"> PAGEREF _Toc204106756 \h </w:instrText>
        </w:r>
        <w:r>
          <w:rPr>
            <w:noProof/>
            <w:webHidden/>
          </w:rPr>
        </w:r>
        <w:r>
          <w:rPr>
            <w:noProof/>
            <w:webHidden/>
          </w:rPr>
          <w:fldChar w:fldCharType="separate"/>
        </w:r>
        <w:r w:rsidR="008549FC">
          <w:rPr>
            <w:noProof/>
            <w:webHidden/>
          </w:rPr>
          <w:t>60</w:t>
        </w:r>
        <w:r>
          <w:rPr>
            <w:noProof/>
            <w:webHidden/>
          </w:rPr>
          <w:fldChar w:fldCharType="end"/>
        </w:r>
      </w:hyperlink>
    </w:p>
    <w:p w14:paraId="45E541D5" w14:textId="623A42B3"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7" w:history="1">
        <w:r w:rsidRPr="00612D09">
          <w:rPr>
            <w:rStyle w:val="Hyperlink"/>
            <w:rFonts w:eastAsiaTheme="majorEastAsia"/>
            <w:b/>
            <w:noProof/>
          </w:rPr>
          <w:t>Table 2.1</w:t>
        </w:r>
        <w:r w:rsidRPr="00612D09">
          <w:rPr>
            <w:rStyle w:val="Hyperlink"/>
            <w:rFonts w:eastAsiaTheme="majorEastAsia"/>
            <w:noProof/>
          </w:rPr>
          <w:t xml:space="preserve"> </w:t>
        </w:r>
        <w:r w:rsidRPr="00612D09">
          <w:rPr>
            <w:rStyle w:val="Hyperlink"/>
            <w:rFonts w:eastAsiaTheme="majorEastAsia"/>
            <w:bCs/>
            <w:noProof/>
          </w:rPr>
          <w:t>Binomial Generalised Linear Models applied to BCM prevalence levels.</w:t>
        </w:r>
        <w:r>
          <w:rPr>
            <w:noProof/>
            <w:webHidden/>
          </w:rPr>
          <w:tab/>
        </w:r>
        <w:r>
          <w:rPr>
            <w:noProof/>
            <w:webHidden/>
          </w:rPr>
          <w:fldChar w:fldCharType="begin"/>
        </w:r>
        <w:r>
          <w:rPr>
            <w:noProof/>
            <w:webHidden/>
          </w:rPr>
          <w:instrText xml:space="preserve"> PAGEREF _Toc204106757 \h </w:instrText>
        </w:r>
        <w:r>
          <w:rPr>
            <w:noProof/>
            <w:webHidden/>
          </w:rPr>
        </w:r>
        <w:r>
          <w:rPr>
            <w:noProof/>
            <w:webHidden/>
          </w:rPr>
          <w:fldChar w:fldCharType="separate"/>
        </w:r>
        <w:r w:rsidR="008549FC">
          <w:rPr>
            <w:noProof/>
            <w:webHidden/>
          </w:rPr>
          <w:t>98</w:t>
        </w:r>
        <w:r>
          <w:rPr>
            <w:noProof/>
            <w:webHidden/>
          </w:rPr>
          <w:fldChar w:fldCharType="end"/>
        </w:r>
      </w:hyperlink>
    </w:p>
    <w:p w14:paraId="071B67D7" w14:textId="3C4F878E"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8" w:history="1">
        <w:r w:rsidRPr="00612D09">
          <w:rPr>
            <w:rStyle w:val="Hyperlink"/>
            <w:rFonts w:eastAsiaTheme="majorEastAsia"/>
            <w:b/>
            <w:noProof/>
          </w:rPr>
          <w:t>Table 2.2</w:t>
        </w:r>
        <w:r w:rsidRPr="00612D09">
          <w:rPr>
            <w:rStyle w:val="Hyperlink"/>
            <w:rFonts w:eastAsiaTheme="majorEastAsia"/>
            <w:noProof/>
          </w:rPr>
          <w:t xml:space="preserve"> Binomial Generalised Linear Models applied to positive pleopod stages 1-4 (ʻps2ʼ).</w:t>
        </w:r>
        <w:r>
          <w:rPr>
            <w:noProof/>
            <w:webHidden/>
          </w:rPr>
          <w:tab/>
        </w:r>
        <w:r>
          <w:rPr>
            <w:noProof/>
            <w:webHidden/>
          </w:rPr>
          <w:fldChar w:fldCharType="begin"/>
        </w:r>
        <w:r>
          <w:rPr>
            <w:noProof/>
            <w:webHidden/>
          </w:rPr>
          <w:instrText xml:space="preserve"> PAGEREF _Toc204106758 \h </w:instrText>
        </w:r>
        <w:r>
          <w:rPr>
            <w:noProof/>
            <w:webHidden/>
          </w:rPr>
        </w:r>
        <w:r>
          <w:rPr>
            <w:noProof/>
            <w:webHidden/>
          </w:rPr>
          <w:fldChar w:fldCharType="separate"/>
        </w:r>
        <w:r w:rsidR="008549FC">
          <w:rPr>
            <w:noProof/>
            <w:webHidden/>
          </w:rPr>
          <w:t>98</w:t>
        </w:r>
        <w:r>
          <w:rPr>
            <w:noProof/>
            <w:webHidden/>
          </w:rPr>
          <w:fldChar w:fldCharType="end"/>
        </w:r>
      </w:hyperlink>
    </w:p>
    <w:p w14:paraId="416B6651" w14:textId="4FA7F8B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59" w:history="1">
        <w:r w:rsidRPr="00612D09">
          <w:rPr>
            <w:rStyle w:val="Hyperlink"/>
            <w:rFonts w:eastAsiaTheme="majorEastAsia"/>
            <w:b/>
            <w:bCs/>
            <w:noProof/>
          </w:rPr>
          <w:t>Table 3.1</w:t>
        </w:r>
        <w:r w:rsidRPr="00612D09">
          <w:rPr>
            <w:rStyle w:val="Hyperlink"/>
            <w:rFonts w:eastAsiaTheme="majorEastAsia"/>
            <w:noProof/>
          </w:rPr>
          <w:t xml:space="preserve"> Summary data for the ‘prevalence-set’ of </w:t>
        </w:r>
        <w:r w:rsidRPr="00612D09">
          <w:rPr>
            <w:rStyle w:val="Hyperlink"/>
            <w:rFonts w:eastAsiaTheme="majorEastAsia"/>
            <w:i/>
            <w:noProof/>
          </w:rPr>
          <w:t xml:space="preserve">Nephrops norvegicus </w:t>
        </w:r>
        <w:r w:rsidRPr="00612D09">
          <w:rPr>
            <w:rStyle w:val="Hyperlink"/>
            <w:rFonts w:eastAsiaTheme="majorEastAsia"/>
            <w:noProof/>
          </w:rPr>
          <w:t>collected from the Clyde Sea Area.</w:t>
        </w:r>
        <w:r>
          <w:rPr>
            <w:noProof/>
            <w:webHidden/>
          </w:rPr>
          <w:tab/>
        </w:r>
        <w:r>
          <w:rPr>
            <w:noProof/>
            <w:webHidden/>
          </w:rPr>
          <w:fldChar w:fldCharType="begin"/>
        </w:r>
        <w:r>
          <w:rPr>
            <w:noProof/>
            <w:webHidden/>
          </w:rPr>
          <w:instrText xml:space="preserve"> PAGEREF _Toc204106759 \h </w:instrText>
        </w:r>
        <w:r>
          <w:rPr>
            <w:noProof/>
            <w:webHidden/>
          </w:rPr>
        </w:r>
        <w:r>
          <w:rPr>
            <w:noProof/>
            <w:webHidden/>
          </w:rPr>
          <w:fldChar w:fldCharType="separate"/>
        </w:r>
        <w:r w:rsidR="008549FC">
          <w:rPr>
            <w:noProof/>
            <w:webHidden/>
          </w:rPr>
          <w:t>128</w:t>
        </w:r>
        <w:r>
          <w:rPr>
            <w:noProof/>
            <w:webHidden/>
          </w:rPr>
          <w:fldChar w:fldCharType="end"/>
        </w:r>
      </w:hyperlink>
    </w:p>
    <w:p w14:paraId="504108A4" w14:textId="298E4012"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0" w:history="1">
        <w:r w:rsidRPr="00612D09">
          <w:rPr>
            <w:rStyle w:val="Hyperlink"/>
            <w:rFonts w:eastAsiaTheme="majorEastAsia"/>
            <w:b/>
            <w:noProof/>
          </w:rPr>
          <w:t>Table 3.2</w:t>
        </w:r>
        <w:r w:rsidRPr="00612D09">
          <w:rPr>
            <w:rStyle w:val="Hyperlink"/>
            <w:rFonts w:eastAsiaTheme="majorEastAsia"/>
            <w:noProof/>
          </w:rPr>
          <w:t xml:space="preserve"> Summary data for the ‘pathobiome-set’ of </w:t>
        </w:r>
        <w:r w:rsidRPr="00612D09">
          <w:rPr>
            <w:rStyle w:val="Hyperlink"/>
            <w:rFonts w:eastAsiaTheme="majorEastAsia"/>
            <w:i/>
            <w:noProof/>
          </w:rPr>
          <w:t>Nephrops</w:t>
        </w:r>
        <w:r w:rsidRPr="00612D09">
          <w:rPr>
            <w:rStyle w:val="Hyperlink"/>
            <w:rFonts w:eastAsiaTheme="majorEastAsia"/>
            <w:noProof/>
          </w:rPr>
          <w:t xml:space="preserve"> norvegicus collected from the Clyde Sea Area.</w:t>
        </w:r>
        <w:r>
          <w:rPr>
            <w:noProof/>
            <w:webHidden/>
          </w:rPr>
          <w:tab/>
        </w:r>
        <w:r>
          <w:rPr>
            <w:noProof/>
            <w:webHidden/>
          </w:rPr>
          <w:fldChar w:fldCharType="begin"/>
        </w:r>
        <w:r>
          <w:rPr>
            <w:noProof/>
            <w:webHidden/>
          </w:rPr>
          <w:instrText xml:space="preserve"> PAGEREF _Toc204106760 \h </w:instrText>
        </w:r>
        <w:r>
          <w:rPr>
            <w:noProof/>
            <w:webHidden/>
          </w:rPr>
        </w:r>
        <w:r>
          <w:rPr>
            <w:noProof/>
            <w:webHidden/>
          </w:rPr>
          <w:fldChar w:fldCharType="separate"/>
        </w:r>
        <w:r w:rsidR="008549FC">
          <w:rPr>
            <w:noProof/>
            <w:webHidden/>
          </w:rPr>
          <w:t>132</w:t>
        </w:r>
        <w:r>
          <w:rPr>
            <w:noProof/>
            <w:webHidden/>
          </w:rPr>
          <w:fldChar w:fldCharType="end"/>
        </w:r>
      </w:hyperlink>
    </w:p>
    <w:p w14:paraId="69F565E6" w14:textId="23C17F3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1" w:history="1">
        <w:r w:rsidRPr="00612D09">
          <w:rPr>
            <w:rStyle w:val="Hyperlink"/>
            <w:rFonts w:eastAsiaTheme="majorEastAsia"/>
            <w:b/>
            <w:bCs/>
            <w:noProof/>
          </w:rPr>
          <w:t>Table 4.1</w:t>
        </w:r>
        <w:r w:rsidRPr="00612D09">
          <w:rPr>
            <w:rStyle w:val="Hyperlink"/>
            <w:rFonts w:eastAsiaTheme="majorEastAsia"/>
            <w:noProof/>
          </w:rPr>
          <w:t>.</w:t>
        </w:r>
        <w:r w:rsidRPr="00612D09">
          <w:rPr>
            <w:rStyle w:val="Hyperlink"/>
            <w:rFonts w:eastAsiaTheme="majorEastAsia" w:cstheme="majorBidi"/>
            <w:b/>
            <w:noProof/>
          </w:rPr>
          <w:t xml:space="preserve"> </w:t>
        </w:r>
        <w:r w:rsidRPr="00612D09">
          <w:rPr>
            <w:rStyle w:val="Hyperlink"/>
            <w:rFonts w:eastAsiaTheme="majorEastAsia"/>
            <w:noProof/>
          </w:rPr>
          <w:t xml:space="preserve">Summary of </w:t>
        </w:r>
        <w:r w:rsidRPr="00612D09">
          <w:rPr>
            <w:rStyle w:val="Hyperlink"/>
            <w:rFonts w:eastAsiaTheme="majorEastAsia"/>
            <w:i/>
            <w:noProof/>
          </w:rPr>
          <w:t>Nephrops norvegicus</w:t>
        </w:r>
        <w:r w:rsidRPr="00612D09">
          <w:rPr>
            <w:rStyle w:val="Hyperlink"/>
            <w:rFonts w:eastAsiaTheme="majorEastAsia"/>
            <w:noProof/>
          </w:rPr>
          <w:t xml:space="preserve"> used in the study and lipid analysis subsets. Overview of experimental animals held in tanks, showing sex distribution, infection status based on body colour method (BCM) and pleopod method (PM), moult stage, and size class. The table also details the subsets selected for total fatty acid methyl ester (FAME) and lipid class analyses, as well as for neutral and polar lipid fraction analyses. Percentages are calculated relative to totals within each subgroup</w:t>
        </w:r>
        <w:r>
          <w:rPr>
            <w:noProof/>
            <w:webHidden/>
          </w:rPr>
          <w:tab/>
        </w:r>
        <w:r>
          <w:rPr>
            <w:noProof/>
            <w:webHidden/>
          </w:rPr>
          <w:fldChar w:fldCharType="begin"/>
        </w:r>
        <w:r>
          <w:rPr>
            <w:noProof/>
            <w:webHidden/>
          </w:rPr>
          <w:instrText xml:space="preserve"> PAGEREF _Toc204106761 \h </w:instrText>
        </w:r>
        <w:r>
          <w:rPr>
            <w:noProof/>
            <w:webHidden/>
          </w:rPr>
        </w:r>
        <w:r>
          <w:rPr>
            <w:noProof/>
            <w:webHidden/>
          </w:rPr>
          <w:fldChar w:fldCharType="separate"/>
        </w:r>
        <w:r w:rsidR="008549FC">
          <w:rPr>
            <w:noProof/>
            <w:webHidden/>
          </w:rPr>
          <w:t>172</w:t>
        </w:r>
        <w:r>
          <w:rPr>
            <w:noProof/>
            <w:webHidden/>
          </w:rPr>
          <w:fldChar w:fldCharType="end"/>
        </w:r>
      </w:hyperlink>
    </w:p>
    <w:p w14:paraId="06531F18" w14:textId="18E7F48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2" w:history="1">
        <w:r w:rsidRPr="00612D09">
          <w:rPr>
            <w:rStyle w:val="Hyperlink"/>
            <w:rFonts w:eastAsiaTheme="majorEastAsia"/>
            <w:b/>
            <w:bCs/>
            <w:noProof/>
          </w:rPr>
          <w:t>Table 4.2</w:t>
        </w:r>
        <w:r w:rsidRPr="00612D09">
          <w:rPr>
            <w:rStyle w:val="Hyperlink"/>
            <w:rFonts w:eastAsiaTheme="majorEastAsia"/>
            <w:noProof/>
          </w:rPr>
          <w:t xml:space="preserve"> Table showing the four sporulated </w:t>
        </w:r>
        <w:r w:rsidRPr="00612D09">
          <w:rPr>
            <w:rStyle w:val="Hyperlink"/>
            <w:rFonts w:eastAsiaTheme="majorEastAsia"/>
            <w:i/>
            <w:noProof/>
          </w:rPr>
          <w:t>Nephrops</w:t>
        </w:r>
        <w:r w:rsidRPr="00612D09">
          <w:rPr>
            <w:rStyle w:val="Hyperlink"/>
            <w:rFonts w:eastAsiaTheme="majorEastAsia"/>
            <w:noProof/>
          </w:rPr>
          <w:t>. (ms=moult stage, EG=empty gut; BCM= body colour method; PM=pleopod method; CL=carapace length, NA= not available).</w:t>
        </w:r>
        <w:r>
          <w:rPr>
            <w:noProof/>
            <w:webHidden/>
          </w:rPr>
          <w:tab/>
        </w:r>
        <w:r>
          <w:rPr>
            <w:noProof/>
            <w:webHidden/>
          </w:rPr>
          <w:fldChar w:fldCharType="begin"/>
        </w:r>
        <w:r>
          <w:rPr>
            <w:noProof/>
            <w:webHidden/>
          </w:rPr>
          <w:instrText xml:space="preserve"> PAGEREF _Toc204106762 \h </w:instrText>
        </w:r>
        <w:r>
          <w:rPr>
            <w:noProof/>
            <w:webHidden/>
          </w:rPr>
        </w:r>
        <w:r>
          <w:rPr>
            <w:noProof/>
            <w:webHidden/>
          </w:rPr>
          <w:fldChar w:fldCharType="separate"/>
        </w:r>
        <w:r w:rsidR="008549FC">
          <w:rPr>
            <w:noProof/>
            <w:webHidden/>
          </w:rPr>
          <w:t>175</w:t>
        </w:r>
        <w:r>
          <w:rPr>
            <w:noProof/>
            <w:webHidden/>
          </w:rPr>
          <w:fldChar w:fldCharType="end"/>
        </w:r>
      </w:hyperlink>
    </w:p>
    <w:p w14:paraId="3DDC9CD5" w14:textId="2A19ACCB"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3" w:history="1">
        <w:r w:rsidRPr="00612D09">
          <w:rPr>
            <w:rStyle w:val="Hyperlink"/>
            <w:rFonts w:eastAsiaTheme="majorEastAsia"/>
            <w:b/>
            <w:bCs/>
            <w:noProof/>
          </w:rPr>
          <w:t>Table 4.3</w:t>
        </w:r>
        <w:r w:rsidRPr="00612D09">
          <w:rPr>
            <w:rStyle w:val="Hyperlink"/>
            <w:rFonts w:eastAsiaTheme="majorEastAsia"/>
            <w:noProof/>
          </w:rPr>
          <w:t xml:space="preserve"> Fatty acid composition in total lipids (% of total fatty acids) in oil extracted from </w:t>
        </w:r>
        <w:r w:rsidRPr="00612D09">
          <w:rPr>
            <w:rStyle w:val="Hyperlink"/>
            <w:rFonts w:eastAsiaTheme="majorEastAsia"/>
            <w:i/>
            <w:noProof/>
          </w:rPr>
          <w:t>N. norvegicus</w:t>
        </w:r>
        <w:r w:rsidRPr="00612D09">
          <w:rPr>
            <w:rStyle w:val="Hyperlink"/>
            <w:rFonts w:eastAsiaTheme="majorEastAsia"/>
            <w:noProof/>
          </w:rPr>
          <w:t xml:space="preserve"> hepatopancreas with different levels of </w:t>
        </w:r>
        <w:r w:rsidRPr="00612D09">
          <w:rPr>
            <w:rStyle w:val="Hyperlink"/>
            <w:rFonts w:eastAsiaTheme="majorEastAsia"/>
            <w:i/>
            <w:noProof/>
          </w:rPr>
          <w:t>Hematodinium</w:t>
        </w:r>
        <w:r w:rsidRPr="00612D09">
          <w:rPr>
            <w:rStyle w:val="Hyperlink"/>
            <w:rFonts w:eastAsiaTheme="majorEastAsia"/>
            <w:noProof/>
          </w:rPr>
          <w:t xml:space="preserve"> sp. infection sampled from the Clyde Sea area. Macrospores (n=3).</w:t>
        </w:r>
        <w:r>
          <w:rPr>
            <w:noProof/>
            <w:webHidden/>
          </w:rPr>
          <w:tab/>
        </w:r>
        <w:r>
          <w:rPr>
            <w:noProof/>
            <w:webHidden/>
          </w:rPr>
          <w:fldChar w:fldCharType="begin"/>
        </w:r>
        <w:r>
          <w:rPr>
            <w:noProof/>
            <w:webHidden/>
          </w:rPr>
          <w:instrText xml:space="preserve"> PAGEREF _Toc204106763 \h </w:instrText>
        </w:r>
        <w:r>
          <w:rPr>
            <w:noProof/>
            <w:webHidden/>
          </w:rPr>
        </w:r>
        <w:r>
          <w:rPr>
            <w:noProof/>
            <w:webHidden/>
          </w:rPr>
          <w:fldChar w:fldCharType="separate"/>
        </w:r>
        <w:r w:rsidR="008549FC">
          <w:rPr>
            <w:noProof/>
            <w:webHidden/>
          </w:rPr>
          <w:t>188</w:t>
        </w:r>
        <w:r>
          <w:rPr>
            <w:noProof/>
            <w:webHidden/>
          </w:rPr>
          <w:fldChar w:fldCharType="end"/>
        </w:r>
      </w:hyperlink>
    </w:p>
    <w:p w14:paraId="53796B4C" w14:textId="3C93A549"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4" w:history="1">
        <w:r w:rsidRPr="00612D09">
          <w:rPr>
            <w:rStyle w:val="Hyperlink"/>
            <w:rFonts w:eastAsiaTheme="majorEastAsia"/>
            <w:b/>
            <w:bCs/>
            <w:noProof/>
          </w:rPr>
          <w:t>Table 4.4</w:t>
        </w:r>
        <w:r w:rsidRPr="00612D09">
          <w:rPr>
            <w:rStyle w:val="Hyperlink"/>
            <w:rFonts w:eastAsiaTheme="majorEastAsia"/>
            <w:noProof/>
          </w:rPr>
          <w:t xml:space="preserve"> Lipid class (% of total lipid) in oil extracted from </w:t>
        </w:r>
        <w:r w:rsidRPr="00612D09">
          <w:rPr>
            <w:rStyle w:val="Hyperlink"/>
            <w:rFonts w:eastAsiaTheme="majorEastAsia"/>
            <w:i/>
            <w:noProof/>
          </w:rPr>
          <w:t>N.norvegicus</w:t>
        </w:r>
        <w:r w:rsidRPr="00612D09">
          <w:rPr>
            <w:rStyle w:val="Hyperlink"/>
            <w:rFonts w:eastAsiaTheme="majorEastAsia"/>
            <w:noProof/>
          </w:rPr>
          <w:t xml:space="preserve"> hepatopancreas and from </w:t>
        </w:r>
        <w:r w:rsidRPr="00612D09">
          <w:rPr>
            <w:rStyle w:val="Hyperlink"/>
            <w:rFonts w:eastAsiaTheme="majorEastAsia"/>
            <w:i/>
            <w:noProof/>
          </w:rPr>
          <w:t>Hematodinium</w:t>
        </w:r>
        <w:r w:rsidRPr="00612D09">
          <w:rPr>
            <w:rStyle w:val="Hyperlink"/>
            <w:rFonts w:eastAsiaTheme="majorEastAsia"/>
            <w:noProof/>
          </w:rPr>
          <w:t xml:space="preserve"> macrospores. Samples were obtained from the hepatopancreas of </w:t>
        </w:r>
        <w:r w:rsidRPr="00612D09">
          <w:rPr>
            <w:rStyle w:val="Hyperlink"/>
            <w:rFonts w:eastAsiaTheme="majorEastAsia"/>
            <w:i/>
            <w:noProof/>
          </w:rPr>
          <w:t>N. norvegicus</w:t>
        </w:r>
        <w:r w:rsidRPr="00612D09">
          <w:rPr>
            <w:rStyle w:val="Hyperlink"/>
            <w:rFonts w:eastAsiaTheme="majorEastAsia"/>
            <w:noProof/>
          </w:rPr>
          <w:t xml:space="preserve"> individuals showing varying levels of </w:t>
        </w:r>
        <w:r w:rsidRPr="00612D09">
          <w:rPr>
            <w:rStyle w:val="Hyperlink"/>
            <w:rFonts w:eastAsiaTheme="majorEastAsia"/>
            <w:i/>
            <w:noProof/>
          </w:rPr>
          <w:t>Hematodinium</w:t>
        </w:r>
        <w:r w:rsidRPr="00612D09">
          <w:rPr>
            <w:rStyle w:val="Hyperlink"/>
            <w:rFonts w:eastAsiaTheme="majorEastAsia"/>
            <w:noProof/>
          </w:rPr>
          <w:t xml:space="preserve"> sp. infection (stages S0–S4), classified according to the pleopod method (PM). These individuals had not reached sporulation (non-sporulated). Additional samples were collected from the hepatopancreas of three individuals that had undergone sporulation (sporulated group, n = 3, PM stage 3-4). During these sporulation events, </w:t>
        </w:r>
        <w:r w:rsidRPr="00612D09">
          <w:rPr>
            <w:rStyle w:val="Hyperlink"/>
            <w:rFonts w:eastAsiaTheme="majorEastAsia"/>
            <w:i/>
            <w:noProof/>
          </w:rPr>
          <w:t>Hematodinium</w:t>
        </w:r>
        <w:r w:rsidRPr="00612D09">
          <w:rPr>
            <w:rStyle w:val="Hyperlink"/>
            <w:rFonts w:eastAsiaTheme="majorEastAsia"/>
            <w:noProof/>
          </w:rPr>
          <w:t xml:space="preserve"> sp. macrospores were evacuated through the gills of the host and subsequently isolated and analysed. All </w:t>
        </w:r>
        <w:r w:rsidRPr="00612D09">
          <w:rPr>
            <w:rStyle w:val="Hyperlink"/>
            <w:rFonts w:eastAsiaTheme="majorEastAsia"/>
            <w:i/>
            <w:noProof/>
          </w:rPr>
          <w:t>Nephrops</w:t>
        </w:r>
        <w:r w:rsidRPr="00612D09">
          <w:rPr>
            <w:rStyle w:val="Hyperlink"/>
            <w:rFonts w:eastAsiaTheme="majorEastAsia"/>
            <w:noProof/>
          </w:rPr>
          <w:t xml:space="preserve"> were collected from the Clyde Sea area. SD=standard deviation; n.d=not detected.</w:t>
        </w:r>
        <w:r>
          <w:rPr>
            <w:noProof/>
            <w:webHidden/>
          </w:rPr>
          <w:tab/>
        </w:r>
        <w:r>
          <w:rPr>
            <w:noProof/>
            <w:webHidden/>
          </w:rPr>
          <w:fldChar w:fldCharType="begin"/>
        </w:r>
        <w:r>
          <w:rPr>
            <w:noProof/>
            <w:webHidden/>
          </w:rPr>
          <w:instrText xml:space="preserve"> PAGEREF _Toc204106764 \h </w:instrText>
        </w:r>
        <w:r>
          <w:rPr>
            <w:noProof/>
            <w:webHidden/>
          </w:rPr>
        </w:r>
        <w:r>
          <w:rPr>
            <w:noProof/>
            <w:webHidden/>
          </w:rPr>
          <w:fldChar w:fldCharType="separate"/>
        </w:r>
        <w:r w:rsidR="008549FC">
          <w:rPr>
            <w:noProof/>
            <w:webHidden/>
          </w:rPr>
          <w:t>195</w:t>
        </w:r>
        <w:r>
          <w:rPr>
            <w:noProof/>
            <w:webHidden/>
          </w:rPr>
          <w:fldChar w:fldCharType="end"/>
        </w:r>
      </w:hyperlink>
    </w:p>
    <w:p w14:paraId="74162D3B" w14:textId="251F999D"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5" w:history="1">
        <w:r w:rsidRPr="00612D09">
          <w:rPr>
            <w:rStyle w:val="Hyperlink"/>
            <w:rFonts w:eastAsiaTheme="majorEastAsia"/>
            <w:b/>
            <w:bCs/>
            <w:noProof/>
          </w:rPr>
          <w:t xml:space="preserve">Table 4.5  </w:t>
        </w:r>
        <w:r w:rsidRPr="00612D09">
          <w:rPr>
            <w:rStyle w:val="Hyperlink"/>
            <w:rFonts w:eastAsiaTheme="majorEastAsia"/>
            <w:noProof/>
          </w:rPr>
          <w:t xml:space="preserve">Anova comparison of lipid class composition of macrospores compared to host hepatopancreas and the hepatopancreas of </w:t>
        </w:r>
        <w:r w:rsidRPr="00612D09">
          <w:rPr>
            <w:rStyle w:val="Hyperlink"/>
            <w:rFonts w:eastAsiaTheme="majorEastAsia"/>
            <w:i/>
            <w:noProof/>
          </w:rPr>
          <w:t>Nephrops</w:t>
        </w:r>
        <w:r w:rsidRPr="00612D09">
          <w:rPr>
            <w:rStyle w:val="Hyperlink"/>
            <w:rFonts w:eastAsiaTheme="majorEastAsia"/>
            <w:noProof/>
          </w:rPr>
          <w:t xml:space="preserve"> with different levels of </w:t>
        </w:r>
        <w:r w:rsidRPr="00612D09">
          <w:rPr>
            <w:rStyle w:val="Hyperlink"/>
            <w:rFonts w:eastAsiaTheme="majorEastAsia"/>
            <w:i/>
            <w:noProof/>
          </w:rPr>
          <w:t>Hematodinium</w:t>
        </w:r>
        <w:r w:rsidRPr="00612D09">
          <w:rPr>
            <w:rStyle w:val="Hyperlink"/>
            <w:rFonts w:eastAsiaTheme="majorEastAsia"/>
            <w:noProof/>
          </w:rPr>
          <w:t xml:space="preserve"> sp. infection according to the pleopod method.</w:t>
        </w:r>
        <w:r>
          <w:rPr>
            <w:noProof/>
            <w:webHidden/>
          </w:rPr>
          <w:tab/>
        </w:r>
        <w:r>
          <w:rPr>
            <w:noProof/>
            <w:webHidden/>
          </w:rPr>
          <w:fldChar w:fldCharType="begin"/>
        </w:r>
        <w:r>
          <w:rPr>
            <w:noProof/>
            <w:webHidden/>
          </w:rPr>
          <w:instrText xml:space="preserve"> PAGEREF _Toc204106765 \h </w:instrText>
        </w:r>
        <w:r>
          <w:rPr>
            <w:noProof/>
            <w:webHidden/>
          </w:rPr>
        </w:r>
        <w:r>
          <w:rPr>
            <w:noProof/>
            <w:webHidden/>
          </w:rPr>
          <w:fldChar w:fldCharType="separate"/>
        </w:r>
        <w:r w:rsidR="008549FC">
          <w:rPr>
            <w:noProof/>
            <w:webHidden/>
          </w:rPr>
          <w:t>198</w:t>
        </w:r>
        <w:r>
          <w:rPr>
            <w:noProof/>
            <w:webHidden/>
          </w:rPr>
          <w:fldChar w:fldCharType="end"/>
        </w:r>
      </w:hyperlink>
    </w:p>
    <w:p w14:paraId="11D21C7C" w14:textId="7DB72C1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6" w:history="1">
        <w:r w:rsidRPr="00612D09">
          <w:rPr>
            <w:rStyle w:val="Hyperlink"/>
            <w:rFonts w:eastAsiaTheme="majorEastAsia"/>
            <w:b/>
            <w:bCs/>
            <w:noProof/>
          </w:rPr>
          <w:t>Table 4.6</w:t>
        </w:r>
        <w:r w:rsidRPr="00612D09">
          <w:rPr>
            <w:rStyle w:val="Hyperlink"/>
            <w:rFonts w:eastAsiaTheme="majorEastAsia"/>
            <w:noProof/>
          </w:rPr>
          <w:t xml:space="preserve"> Fatty acid composition according to the polar fraction of the total lipids (% of total fatty acids) in oil extracted from </w:t>
        </w:r>
        <w:r w:rsidRPr="00612D09">
          <w:rPr>
            <w:rStyle w:val="Hyperlink"/>
            <w:rFonts w:eastAsiaTheme="majorEastAsia"/>
            <w:i/>
            <w:noProof/>
          </w:rPr>
          <w:t>N.norvegicus</w:t>
        </w:r>
        <w:r w:rsidRPr="00612D09">
          <w:rPr>
            <w:rStyle w:val="Hyperlink"/>
            <w:rFonts w:eastAsiaTheme="majorEastAsia"/>
            <w:noProof/>
          </w:rPr>
          <w:t xml:space="preserve"> hepatopancreas and from </w:t>
        </w:r>
        <w:r w:rsidRPr="00612D09">
          <w:rPr>
            <w:rStyle w:val="Hyperlink"/>
            <w:rFonts w:eastAsiaTheme="majorEastAsia"/>
            <w:i/>
            <w:noProof/>
          </w:rPr>
          <w:t>Hematodinium</w:t>
        </w:r>
        <w:r w:rsidRPr="00612D09">
          <w:rPr>
            <w:rStyle w:val="Hyperlink"/>
            <w:rFonts w:eastAsiaTheme="majorEastAsia"/>
            <w:noProof/>
          </w:rPr>
          <w:t xml:space="preserve"> macrospores. Samples were obtained from the hepatopancreas of </w:t>
        </w:r>
        <w:r w:rsidRPr="00612D09">
          <w:rPr>
            <w:rStyle w:val="Hyperlink"/>
            <w:rFonts w:eastAsiaTheme="majorEastAsia"/>
            <w:i/>
            <w:noProof/>
          </w:rPr>
          <w:t>N. norvegicus</w:t>
        </w:r>
        <w:r w:rsidRPr="00612D09">
          <w:rPr>
            <w:rStyle w:val="Hyperlink"/>
            <w:rFonts w:eastAsiaTheme="majorEastAsia"/>
            <w:noProof/>
          </w:rPr>
          <w:t xml:space="preserve"> individuals showing varying levels of </w:t>
        </w:r>
        <w:r w:rsidRPr="00612D09">
          <w:rPr>
            <w:rStyle w:val="Hyperlink"/>
            <w:rFonts w:eastAsiaTheme="majorEastAsia"/>
            <w:i/>
            <w:noProof/>
          </w:rPr>
          <w:t>Hematodinium</w:t>
        </w:r>
        <w:r w:rsidRPr="00612D09">
          <w:rPr>
            <w:rStyle w:val="Hyperlink"/>
            <w:rFonts w:eastAsiaTheme="majorEastAsia"/>
            <w:noProof/>
          </w:rPr>
          <w:t xml:space="preserve"> sp. infection (stages S0–S4), classified according to the pleopod method (PM). These individuals had not reached sporulation (non-sporulated). Additional samples were collected from the hepatopancreas of three individuals that had undergone sporulation (sporulated group, n = 3, PM stage 3-4). During these sporulation events, </w:t>
        </w:r>
        <w:r w:rsidRPr="00612D09">
          <w:rPr>
            <w:rStyle w:val="Hyperlink"/>
            <w:rFonts w:eastAsiaTheme="majorEastAsia"/>
            <w:i/>
            <w:noProof/>
          </w:rPr>
          <w:t>Hematodinium</w:t>
        </w:r>
        <w:r w:rsidRPr="00612D09">
          <w:rPr>
            <w:rStyle w:val="Hyperlink"/>
            <w:rFonts w:eastAsiaTheme="majorEastAsia"/>
            <w:noProof/>
          </w:rPr>
          <w:t xml:space="preserve"> sp. macrospores were evacuated through the gills of the host and subsequently isolated and analysed. All </w:t>
        </w:r>
        <w:r w:rsidRPr="00612D09">
          <w:rPr>
            <w:rStyle w:val="Hyperlink"/>
            <w:rFonts w:eastAsiaTheme="majorEastAsia"/>
            <w:i/>
            <w:noProof/>
          </w:rPr>
          <w:t>Nephrops</w:t>
        </w:r>
        <w:r w:rsidRPr="00612D09">
          <w:rPr>
            <w:rStyle w:val="Hyperlink"/>
            <w:rFonts w:eastAsiaTheme="majorEastAsia"/>
            <w:noProof/>
          </w:rPr>
          <w:t xml:space="preserve"> were collected from the Clyde Sea area. SD=standard deviation; n.d=not detected.</w:t>
        </w:r>
        <w:r>
          <w:rPr>
            <w:noProof/>
            <w:webHidden/>
          </w:rPr>
          <w:tab/>
        </w:r>
        <w:r>
          <w:rPr>
            <w:noProof/>
            <w:webHidden/>
          </w:rPr>
          <w:fldChar w:fldCharType="begin"/>
        </w:r>
        <w:r>
          <w:rPr>
            <w:noProof/>
            <w:webHidden/>
          </w:rPr>
          <w:instrText xml:space="preserve"> PAGEREF _Toc204106766 \h </w:instrText>
        </w:r>
        <w:r>
          <w:rPr>
            <w:noProof/>
            <w:webHidden/>
          </w:rPr>
        </w:r>
        <w:r>
          <w:rPr>
            <w:noProof/>
            <w:webHidden/>
          </w:rPr>
          <w:fldChar w:fldCharType="separate"/>
        </w:r>
        <w:r w:rsidR="008549FC">
          <w:rPr>
            <w:noProof/>
            <w:webHidden/>
          </w:rPr>
          <w:t>201</w:t>
        </w:r>
        <w:r>
          <w:rPr>
            <w:noProof/>
            <w:webHidden/>
          </w:rPr>
          <w:fldChar w:fldCharType="end"/>
        </w:r>
      </w:hyperlink>
    </w:p>
    <w:p w14:paraId="449B71D3" w14:textId="7B119C7A"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7" w:history="1">
        <w:r w:rsidRPr="00612D09">
          <w:rPr>
            <w:rStyle w:val="Hyperlink"/>
            <w:rFonts w:eastAsiaTheme="majorEastAsia"/>
            <w:b/>
            <w:bCs/>
            <w:noProof/>
          </w:rPr>
          <w:t>Table 4.7</w:t>
        </w:r>
        <w:r w:rsidRPr="00612D09">
          <w:rPr>
            <w:rStyle w:val="Hyperlink"/>
            <w:rFonts w:eastAsiaTheme="majorEastAsia"/>
            <w:noProof/>
          </w:rPr>
          <w:t xml:space="preserve"> Fatty acid composition according to the neutral fraction of the total lipids (% of total fatty acids) in oil extracted from </w:t>
        </w:r>
        <w:r w:rsidRPr="00612D09">
          <w:rPr>
            <w:rStyle w:val="Hyperlink"/>
            <w:rFonts w:eastAsiaTheme="majorEastAsia"/>
            <w:i/>
            <w:noProof/>
          </w:rPr>
          <w:t>N.norvegicus</w:t>
        </w:r>
        <w:r w:rsidRPr="00612D09">
          <w:rPr>
            <w:rStyle w:val="Hyperlink"/>
            <w:rFonts w:eastAsiaTheme="majorEastAsia"/>
            <w:noProof/>
          </w:rPr>
          <w:t xml:space="preserve"> hepatopancreas and from </w:t>
        </w:r>
        <w:r w:rsidRPr="00612D09">
          <w:rPr>
            <w:rStyle w:val="Hyperlink"/>
            <w:rFonts w:eastAsiaTheme="majorEastAsia"/>
            <w:i/>
            <w:noProof/>
          </w:rPr>
          <w:t>Hematodinium</w:t>
        </w:r>
        <w:r w:rsidRPr="00612D09">
          <w:rPr>
            <w:rStyle w:val="Hyperlink"/>
            <w:rFonts w:eastAsiaTheme="majorEastAsia"/>
            <w:noProof/>
          </w:rPr>
          <w:t xml:space="preserve"> macrospores. Samples were obtained from the hepatopancreas of </w:t>
        </w:r>
        <w:r w:rsidRPr="00612D09">
          <w:rPr>
            <w:rStyle w:val="Hyperlink"/>
            <w:rFonts w:eastAsiaTheme="majorEastAsia"/>
            <w:i/>
            <w:noProof/>
          </w:rPr>
          <w:t>N. norvegicus</w:t>
        </w:r>
        <w:r w:rsidRPr="00612D09">
          <w:rPr>
            <w:rStyle w:val="Hyperlink"/>
            <w:rFonts w:eastAsiaTheme="majorEastAsia"/>
            <w:noProof/>
          </w:rPr>
          <w:t xml:space="preserve"> individuals showing varying levels of </w:t>
        </w:r>
        <w:r w:rsidRPr="00612D09">
          <w:rPr>
            <w:rStyle w:val="Hyperlink"/>
            <w:rFonts w:eastAsiaTheme="majorEastAsia"/>
            <w:i/>
            <w:noProof/>
          </w:rPr>
          <w:t>Hematodinium</w:t>
        </w:r>
        <w:r w:rsidRPr="00612D09">
          <w:rPr>
            <w:rStyle w:val="Hyperlink"/>
            <w:rFonts w:eastAsiaTheme="majorEastAsia"/>
            <w:noProof/>
          </w:rPr>
          <w:t xml:space="preserve"> sp. infection (stages S0–S4), classified according to the pleopod method (PM). These individuals had not reached sporulation (non-sporulated). Additional samples were collected from the hepatopancreas of three individuals that had undergone sporulation (sporulated group, n = 3, PM stage 3-4). During these sporulation events, </w:t>
        </w:r>
        <w:r w:rsidRPr="00612D09">
          <w:rPr>
            <w:rStyle w:val="Hyperlink"/>
            <w:rFonts w:eastAsiaTheme="majorEastAsia"/>
            <w:i/>
            <w:noProof/>
          </w:rPr>
          <w:t>Hematodinium</w:t>
        </w:r>
        <w:r w:rsidRPr="00612D09">
          <w:rPr>
            <w:rStyle w:val="Hyperlink"/>
            <w:rFonts w:eastAsiaTheme="majorEastAsia"/>
            <w:noProof/>
          </w:rPr>
          <w:t xml:space="preserve"> sp. macrospores were evacuated through the gills of the host and subsequently isolated and analysed. All </w:t>
        </w:r>
        <w:r w:rsidRPr="00612D09">
          <w:rPr>
            <w:rStyle w:val="Hyperlink"/>
            <w:rFonts w:eastAsiaTheme="majorEastAsia"/>
            <w:i/>
            <w:noProof/>
          </w:rPr>
          <w:t>Nephrops</w:t>
        </w:r>
        <w:r w:rsidRPr="00612D09">
          <w:rPr>
            <w:rStyle w:val="Hyperlink"/>
            <w:rFonts w:eastAsiaTheme="majorEastAsia"/>
            <w:noProof/>
          </w:rPr>
          <w:t xml:space="preserve"> were collected from the Clyde Sea area. SD=standard deviation; n.d=not detected.</w:t>
        </w:r>
        <w:r>
          <w:rPr>
            <w:noProof/>
            <w:webHidden/>
          </w:rPr>
          <w:tab/>
        </w:r>
        <w:r>
          <w:rPr>
            <w:noProof/>
            <w:webHidden/>
          </w:rPr>
          <w:fldChar w:fldCharType="begin"/>
        </w:r>
        <w:r>
          <w:rPr>
            <w:noProof/>
            <w:webHidden/>
          </w:rPr>
          <w:instrText xml:space="preserve"> PAGEREF _Toc204106767 \h </w:instrText>
        </w:r>
        <w:r>
          <w:rPr>
            <w:noProof/>
            <w:webHidden/>
          </w:rPr>
        </w:r>
        <w:r>
          <w:rPr>
            <w:noProof/>
            <w:webHidden/>
          </w:rPr>
          <w:fldChar w:fldCharType="separate"/>
        </w:r>
        <w:r w:rsidR="008549FC">
          <w:rPr>
            <w:noProof/>
            <w:webHidden/>
          </w:rPr>
          <w:t>208</w:t>
        </w:r>
        <w:r>
          <w:rPr>
            <w:noProof/>
            <w:webHidden/>
          </w:rPr>
          <w:fldChar w:fldCharType="end"/>
        </w:r>
      </w:hyperlink>
    </w:p>
    <w:p w14:paraId="1A6A8F03" w14:textId="1C592B05"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8" w:history="1">
        <w:r w:rsidRPr="00612D09">
          <w:rPr>
            <w:rStyle w:val="Hyperlink"/>
            <w:rFonts w:eastAsiaTheme="majorEastAsia"/>
            <w:b/>
            <w:bCs/>
            <w:noProof/>
          </w:rPr>
          <w:t>Table 4.8</w:t>
        </w:r>
        <w:r w:rsidRPr="00612D09">
          <w:rPr>
            <w:rStyle w:val="Hyperlink"/>
            <w:rFonts w:eastAsiaTheme="majorEastAsia"/>
            <w:noProof/>
          </w:rPr>
          <w:t xml:space="preserve"> Anova comparison of fatty acid composition of macrospores compared to host hepatopancreas and the hepatopancreas of </w:t>
        </w:r>
        <w:r w:rsidRPr="00612D09">
          <w:rPr>
            <w:rStyle w:val="Hyperlink"/>
            <w:rFonts w:eastAsiaTheme="majorEastAsia"/>
            <w:i/>
            <w:noProof/>
          </w:rPr>
          <w:t>Nephrops</w:t>
        </w:r>
        <w:r w:rsidRPr="00612D09">
          <w:rPr>
            <w:rStyle w:val="Hyperlink"/>
            <w:rFonts w:eastAsiaTheme="majorEastAsia"/>
            <w:noProof/>
          </w:rPr>
          <w:t xml:space="preserve"> with different levels of </w:t>
        </w:r>
        <w:r w:rsidRPr="00612D09">
          <w:rPr>
            <w:rStyle w:val="Hyperlink"/>
            <w:rFonts w:eastAsiaTheme="majorEastAsia"/>
            <w:i/>
            <w:noProof/>
          </w:rPr>
          <w:t>Hematodinium</w:t>
        </w:r>
        <w:r w:rsidRPr="00612D09">
          <w:rPr>
            <w:rStyle w:val="Hyperlink"/>
            <w:rFonts w:eastAsiaTheme="majorEastAsia"/>
            <w:noProof/>
          </w:rPr>
          <w:t xml:space="preserve"> sp. infection according to the pleopod method: analysis of total fatty acid composition, and fatty acid composition in neutral and polar fraction of the total lipid. ns=no significant.</w:t>
        </w:r>
        <w:r>
          <w:rPr>
            <w:noProof/>
            <w:webHidden/>
          </w:rPr>
          <w:tab/>
        </w:r>
        <w:r>
          <w:rPr>
            <w:noProof/>
            <w:webHidden/>
          </w:rPr>
          <w:fldChar w:fldCharType="begin"/>
        </w:r>
        <w:r>
          <w:rPr>
            <w:noProof/>
            <w:webHidden/>
          </w:rPr>
          <w:instrText xml:space="preserve"> PAGEREF _Toc204106768 \h </w:instrText>
        </w:r>
        <w:r>
          <w:rPr>
            <w:noProof/>
            <w:webHidden/>
          </w:rPr>
        </w:r>
        <w:r>
          <w:rPr>
            <w:noProof/>
            <w:webHidden/>
          </w:rPr>
          <w:fldChar w:fldCharType="separate"/>
        </w:r>
        <w:r w:rsidR="008549FC">
          <w:rPr>
            <w:noProof/>
            <w:webHidden/>
          </w:rPr>
          <w:t>214</w:t>
        </w:r>
        <w:r>
          <w:rPr>
            <w:noProof/>
            <w:webHidden/>
          </w:rPr>
          <w:fldChar w:fldCharType="end"/>
        </w:r>
      </w:hyperlink>
    </w:p>
    <w:p w14:paraId="04FD1406" w14:textId="1B3308E2"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69" w:history="1">
        <w:r w:rsidRPr="00612D09">
          <w:rPr>
            <w:rStyle w:val="Hyperlink"/>
            <w:rFonts w:eastAsiaTheme="majorEastAsia"/>
            <w:b/>
            <w:bCs/>
            <w:noProof/>
          </w:rPr>
          <w:t>Table 4.9</w:t>
        </w:r>
        <w:r w:rsidRPr="00612D09">
          <w:rPr>
            <w:rStyle w:val="Hyperlink"/>
            <w:rFonts w:eastAsiaTheme="majorEastAsia"/>
            <w:noProof/>
          </w:rPr>
          <w:t xml:space="preserve"> Anova comparison of fatty acid composition of hepatopancreas with different levels of </w:t>
        </w:r>
        <w:r w:rsidRPr="00612D09">
          <w:rPr>
            <w:rStyle w:val="Hyperlink"/>
            <w:rFonts w:eastAsiaTheme="majorEastAsia"/>
            <w:i/>
            <w:noProof/>
          </w:rPr>
          <w:t>Hematodinium</w:t>
        </w:r>
        <w:r w:rsidRPr="00612D09">
          <w:rPr>
            <w:rStyle w:val="Hyperlink"/>
            <w:rFonts w:eastAsiaTheme="majorEastAsia"/>
            <w:noProof/>
          </w:rPr>
          <w:t xml:space="preserve"> sp. infection. according to the pleopod method vs the hepatopancreas of sporulated animals: analysis of total fatty acid composition, and fatty acid composition in neutral and polar fraction of the total lipid.</w:t>
        </w:r>
        <w:r>
          <w:rPr>
            <w:noProof/>
            <w:webHidden/>
          </w:rPr>
          <w:tab/>
        </w:r>
        <w:r>
          <w:rPr>
            <w:noProof/>
            <w:webHidden/>
          </w:rPr>
          <w:fldChar w:fldCharType="begin"/>
        </w:r>
        <w:r>
          <w:rPr>
            <w:noProof/>
            <w:webHidden/>
          </w:rPr>
          <w:instrText xml:space="preserve"> PAGEREF _Toc204106769 \h </w:instrText>
        </w:r>
        <w:r>
          <w:rPr>
            <w:noProof/>
            <w:webHidden/>
          </w:rPr>
        </w:r>
        <w:r>
          <w:rPr>
            <w:noProof/>
            <w:webHidden/>
          </w:rPr>
          <w:fldChar w:fldCharType="separate"/>
        </w:r>
        <w:r w:rsidR="008549FC">
          <w:rPr>
            <w:noProof/>
            <w:webHidden/>
          </w:rPr>
          <w:t>217</w:t>
        </w:r>
        <w:r>
          <w:rPr>
            <w:noProof/>
            <w:webHidden/>
          </w:rPr>
          <w:fldChar w:fldCharType="end"/>
        </w:r>
      </w:hyperlink>
    </w:p>
    <w:p w14:paraId="7A9CF88E" w14:textId="7BF5EAEA" w:rsidR="004E2609" w:rsidRPr="009819CE" w:rsidRDefault="00AC22C2" w:rsidP="00DA29AB">
      <w:pPr>
        <w:spacing w:before="0" w:after="0"/>
        <w:rPr>
          <w:rFonts w:eastAsiaTheme="minorHAnsi" w:cstheme="minorBidi"/>
          <w:b/>
          <w:color w:val="000000" w:themeColor="text1"/>
          <w:sz w:val="32"/>
          <w:szCs w:val="32"/>
        </w:rPr>
      </w:pPr>
      <w:r>
        <w:rPr>
          <w:rFonts w:cstheme="minorBidi"/>
          <w:color w:val="000000" w:themeColor="text1"/>
        </w:rPr>
        <w:fldChar w:fldCharType="end"/>
      </w:r>
      <w:r w:rsidR="00B61E82" w:rsidRPr="009819CE">
        <w:rPr>
          <w:rFonts w:eastAsiaTheme="minorHAnsi" w:cstheme="minorBidi"/>
          <w:b/>
          <w:color w:val="000000" w:themeColor="text1"/>
          <w:sz w:val="32"/>
          <w:szCs w:val="32"/>
        </w:rPr>
        <w:t>List of supplementary tables</w:t>
      </w:r>
    </w:p>
    <w:p w14:paraId="03FEF1AA" w14:textId="68640835" w:rsidR="002F3A99" w:rsidRDefault="00E74E00">
      <w:pPr>
        <w:pStyle w:val="TableofFigures"/>
        <w:tabs>
          <w:tab w:val="right" w:leader="dot" w:pos="9010"/>
        </w:tabs>
        <w:rPr>
          <w:rFonts w:asciiTheme="minorHAnsi" w:eastAsiaTheme="minorEastAsia" w:hAnsiTheme="minorHAnsi" w:cstheme="minorBidi"/>
          <w:noProof/>
          <w:kern w:val="2"/>
          <w:szCs w:val="24"/>
          <w14:ligatures w14:val="standardContextual"/>
        </w:rPr>
      </w:pPr>
      <w:r w:rsidRPr="009819CE">
        <w:rPr>
          <w:rFonts w:cstheme="minorBidi"/>
          <w:color w:val="000000" w:themeColor="text1"/>
        </w:rPr>
        <w:fldChar w:fldCharType="begin"/>
      </w:r>
      <w:r w:rsidRPr="009819CE">
        <w:rPr>
          <w:rFonts w:cstheme="minorBidi"/>
          <w:color w:val="000000" w:themeColor="text1"/>
        </w:rPr>
        <w:instrText xml:space="preserve"> TOC \h \z \c "Table S2." </w:instrText>
      </w:r>
      <w:r w:rsidRPr="009819CE">
        <w:rPr>
          <w:rFonts w:cstheme="minorBidi"/>
          <w:color w:val="000000" w:themeColor="text1"/>
        </w:rPr>
        <w:fldChar w:fldCharType="separate"/>
      </w:r>
      <w:hyperlink w:anchor="_Toc204106770" w:history="1">
        <w:r w:rsidR="002F3A99" w:rsidRPr="00C104C0">
          <w:rPr>
            <w:rStyle w:val="Hyperlink"/>
            <w:rFonts w:eastAsiaTheme="majorEastAsia"/>
            <w:b/>
            <w:noProof/>
          </w:rPr>
          <w:t>Table S2. 1</w:t>
        </w:r>
        <w:r w:rsidR="002F3A99" w:rsidRPr="00C104C0">
          <w:rPr>
            <w:rStyle w:val="Hyperlink"/>
            <w:rFonts w:eastAsiaTheme="majorEastAsia"/>
            <w:noProof/>
          </w:rPr>
          <w:t xml:space="preserve"> Sampling dates, trawl start and end times, coordinates (decimal degrees) for the start and end of each trawling transect, and corresponding start and end depths. Rows marked with an asterisk (*) indicate a second trawl conducted on the same date due to an insufficient number of </w:t>
        </w:r>
        <w:r w:rsidR="002F3A99" w:rsidRPr="00C104C0">
          <w:rPr>
            <w:rStyle w:val="Hyperlink"/>
            <w:rFonts w:eastAsiaTheme="majorEastAsia"/>
            <w:i/>
            <w:noProof/>
          </w:rPr>
          <w:t>Nephrops norvegicus</w:t>
        </w:r>
        <w:r w:rsidR="002F3A99" w:rsidRPr="00C104C0">
          <w:rPr>
            <w:rStyle w:val="Hyperlink"/>
            <w:rFonts w:eastAsiaTheme="majorEastAsia"/>
            <w:noProof/>
          </w:rPr>
          <w:t xml:space="preserve"> collected during the initial trawl.</w:t>
        </w:r>
        <w:r w:rsidR="002F3A99">
          <w:rPr>
            <w:noProof/>
            <w:webHidden/>
          </w:rPr>
          <w:tab/>
        </w:r>
        <w:r w:rsidR="002F3A99">
          <w:rPr>
            <w:noProof/>
            <w:webHidden/>
          </w:rPr>
          <w:fldChar w:fldCharType="begin"/>
        </w:r>
        <w:r w:rsidR="002F3A99">
          <w:rPr>
            <w:noProof/>
            <w:webHidden/>
          </w:rPr>
          <w:instrText xml:space="preserve"> PAGEREF _Toc204106770 \h </w:instrText>
        </w:r>
        <w:r w:rsidR="002F3A99">
          <w:rPr>
            <w:noProof/>
            <w:webHidden/>
          </w:rPr>
        </w:r>
        <w:r w:rsidR="002F3A99">
          <w:rPr>
            <w:noProof/>
            <w:webHidden/>
          </w:rPr>
          <w:fldChar w:fldCharType="separate"/>
        </w:r>
        <w:r w:rsidR="008549FC">
          <w:rPr>
            <w:noProof/>
            <w:webHidden/>
          </w:rPr>
          <w:t>279</w:t>
        </w:r>
        <w:r w:rsidR="002F3A99">
          <w:rPr>
            <w:noProof/>
            <w:webHidden/>
          </w:rPr>
          <w:fldChar w:fldCharType="end"/>
        </w:r>
      </w:hyperlink>
    </w:p>
    <w:p w14:paraId="6689B9DB" w14:textId="51A260D6"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1" w:history="1">
        <w:r w:rsidRPr="00C104C0">
          <w:rPr>
            <w:rStyle w:val="Hyperlink"/>
            <w:rFonts w:eastAsiaTheme="majorEastAsia"/>
            <w:b/>
            <w:bCs/>
            <w:noProof/>
          </w:rPr>
          <w:t>Table S2. 2</w:t>
        </w:r>
        <w:r w:rsidRPr="00C104C0">
          <w:rPr>
            <w:rStyle w:val="Hyperlink"/>
            <w:rFonts w:eastAsiaTheme="majorEastAsia"/>
            <w:noProof/>
          </w:rPr>
          <w:t xml:space="preserve"> Summary data of prevalence dataset from the Clyde Sea Area November 2018 - October 2019</w:t>
        </w:r>
        <w:r>
          <w:rPr>
            <w:noProof/>
            <w:webHidden/>
          </w:rPr>
          <w:tab/>
        </w:r>
        <w:r>
          <w:rPr>
            <w:noProof/>
            <w:webHidden/>
          </w:rPr>
          <w:fldChar w:fldCharType="begin"/>
        </w:r>
        <w:r>
          <w:rPr>
            <w:noProof/>
            <w:webHidden/>
          </w:rPr>
          <w:instrText xml:space="preserve"> PAGEREF _Toc204106771 \h </w:instrText>
        </w:r>
        <w:r>
          <w:rPr>
            <w:noProof/>
            <w:webHidden/>
          </w:rPr>
        </w:r>
        <w:r>
          <w:rPr>
            <w:noProof/>
            <w:webHidden/>
          </w:rPr>
          <w:fldChar w:fldCharType="separate"/>
        </w:r>
        <w:r w:rsidR="008549FC">
          <w:rPr>
            <w:noProof/>
            <w:webHidden/>
          </w:rPr>
          <w:t>280</w:t>
        </w:r>
        <w:r>
          <w:rPr>
            <w:noProof/>
            <w:webHidden/>
          </w:rPr>
          <w:fldChar w:fldCharType="end"/>
        </w:r>
      </w:hyperlink>
    </w:p>
    <w:p w14:paraId="4CAC021D" w14:textId="40129506"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2" w:history="1">
        <w:r w:rsidRPr="00C104C0">
          <w:rPr>
            <w:rStyle w:val="Hyperlink"/>
            <w:rFonts w:eastAsiaTheme="majorEastAsia"/>
            <w:b/>
            <w:bCs/>
            <w:noProof/>
          </w:rPr>
          <w:t>Table S2. 3</w:t>
        </w:r>
        <w:r w:rsidRPr="00C104C0">
          <w:rPr>
            <w:rStyle w:val="Hyperlink"/>
            <w:rFonts w:eastAsiaTheme="majorEastAsia"/>
            <w:noProof/>
          </w:rPr>
          <w:t xml:space="preserve"> Other regression models used in this study. Binomial Generalised Linear Models and cumulative link mixed models.</w:t>
        </w:r>
        <w:r>
          <w:rPr>
            <w:noProof/>
            <w:webHidden/>
          </w:rPr>
          <w:tab/>
        </w:r>
        <w:r>
          <w:rPr>
            <w:noProof/>
            <w:webHidden/>
          </w:rPr>
          <w:fldChar w:fldCharType="begin"/>
        </w:r>
        <w:r>
          <w:rPr>
            <w:noProof/>
            <w:webHidden/>
          </w:rPr>
          <w:instrText xml:space="preserve"> PAGEREF _Toc204106772 \h </w:instrText>
        </w:r>
        <w:r>
          <w:rPr>
            <w:noProof/>
            <w:webHidden/>
          </w:rPr>
        </w:r>
        <w:r>
          <w:rPr>
            <w:noProof/>
            <w:webHidden/>
          </w:rPr>
          <w:fldChar w:fldCharType="separate"/>
        </w:r>
        <w:r w:rsidR="008549FC">
          <w:rPr>
            <w:noProof/>
            <w:webHidden/>
          </w:rPr>
          <w:t>284</w:t>
        </w:r>
        <w:r>
          <w:rPr>
            <w:noProof/>
            <w:webHidden/>
          </w:rPr>
          <w:fldChar w:fldCharType="end"/>
        </w:r>
      </w:hyperlink>
    </w:p>
    <w:p w14:paraId="0663AE02" w14:textId="77777777" w:rsidR="002F3A99" w:rsidRDefault="00E74E00" w:rsidP="00DA29AB">
      <w:pPr>
        <w:spacing w:before="0" w:after="0"/>
        <w:rPr>
          <w:noProof/>
        </w:rPr>
      </w:pPr>
      <w:r w:rsidRPr="009819CE">
        <w:rPr>
          <w:rFonts w:cstheme="minorBidi"/>
          <w:color w:val="000000" w:themeColor="text1"/>
        </w:rPr>
        <w:fldChar w:fldCharType="end"/>
      </w:r>
      <w:r w:rsidRPr="009819CE">
        <w:rPr>
          <w:rFonts w:cstheme="minorBidi"/>
          <w:color w:val="000000" w:themeColor="text1"/>
        </w:rPr>
        <w:fldChar w:fldCharType="begin"/>
      </w:r>
      <w:r w:rsidRPr="009819CE">
        <w:rPr>
          <w:rFonts w:cstheme="minorBidi"/>
          <w:color w:val="000000" w:themeColor="text1"/>
        </w:rPr>
        <w:instrText xml:space="preserve"> TOC \h \z \c "Table S3." </w:instrText>
      </w:r>
      <w:r w:rsidRPr="009819CE">
        <w:rPr>
          <w:rFonts w:cstheme="minorBidi"/>
          <w:color w:val="000000" w:themeColor="text1"/>
        </w:rPr>
        <w:fldChar w:fldCharType="separate"/>
      </w:r>
    </w:p>
    <w:p w14:paraId="3917415E" w14:textId="2A77D64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3" w:history="1">
        <w:r w:rsidRPr="0032758C">
          <w:rPr>
            <w:rStyle w:val="Hyperlink"/>
            <w:rFonts w:eastAsiaTheme="majorEastAsia"/>
            <w:b/>
            <w:bCs/>
            <w:noProof/>
          </w:rPr>
          <w:t>Table S3. 1</w:t>
        </w:r>
        <w:r w:rsidRPr="0032758C">
          <w:rPr>
            <w:rStyle w:val="Hyperlink"/>
            <w:rFonts w:eastAsiaTheme="majorEastAsia"/>
            <w:noProof/>
          </w:rPr>
          <w:t xml:space="preserve"> </w:t>
        </w:r>
        <w:r w:rsidRPr="0032758C">
          <w:rPr>
            <w:rStyle w:val="Hyperlink"/>
            <w:rFonts w:eastAsiaTheme="majorEastAsia"/>
            <w:bCs/>
            <w:noProof/>
          </w:rPr>
          <w:t xml:space="preserve">The core microbiome of haemolymph of apparent “healthy” </w:t>
        </w:r>
        <w:r w:rsidRPr="0032758C">
          <w:rPr>
            <w:rStyle w:val="Hyperlink"/>
            <w:rFonts w:eastAsiaTheme="majorEastAsia"/>
            <w:bCs/>
            <w:i/>
            <w:noProof/>
          </w:rPr>
          <w:t>Nephrops norvegicus</w:t>
        </w:r>
        <w:r w:rsidRPr="0032758C">
          <w:rPr>
            <w:rStyle w:val="Hyperlink"/>
            <w:rFonts w:eastAsiaTheme="majorEastAsia"/>
            <w:bCs/>
            <w:noProof/>
          </w:rPr>
          <w:t xml:space="preserve"> (tested negative for </w:t>
        </w:r>
        <w:r w:rsidRPr="0032758C">
          <w:rPr>
            <w:rStyle w:val="Hyperlink"/>
            <w:rFonts w:eastAsiaTheme="majorEastAsia"/>
            <w:bCs/>
            <w:i/>
            <w:noProof/>
          </w:rPr>
          <w:t>Hematodinium</w:t>
        </w:r>
        <w:r w:rsidRPr="0032758C">
          <w:rPr>
            <w:rStyle w:val="Hyperlink"/>
            <w:rFonts w:eastAsiaTheme="majorEastAsia"/>
            <w:bCs/>
            <w:noProof/>
          </w:rPr>
          <w:t xml:space="preserve"> sp. by BCM, PM, PCR, histology, n=45).</w:t>
        </w:r>
        <w:r>
          <w:rPr>
            <w:noProof/>
            <w:webHidden/>
          </w:rPr>
          <w:tab/>
        </w:r>
        <w:r>
          <w:rPr>
            <w:noProof/>
            <w:webHidden/>
          </w:rPr>
          <w:fldChar w:fldCharType="begin"/>
        </w:r>
        <w:r>
          <w:rPr>
            <w:noProof/>
            <w:webHidden/>
          </w:rPr>
          <w:instrText xml:space="preserve"> PAGEREF _Toc204106773 \h </w:instrText>
        </w:r>
        <w:r>
          <w:rPr>
            <w:noProof/>
            <w:webHidden/>
          </w:rPr>
        </w:r>
        <w:r>
          <w:rPr>
            <w:noProof/>
            <w:webHidden/>
          </w:rPr>
          <w:fldChar w:fldCharType="separate"/>
        </w:r>
        <w:r w:rsidR="008549FC">
          <w:rPr>
            <w:noProof/>
            <w:webHidden/>
          </w:rPr>
          <w:t>285</w:t>
        </w:r>
        <w:r>
          <w:rPr>
            <w:noProof/>
            <w:webHidden/>
          </w:rPr>
          <w:fldChar w:fldCharType="end"/>
        </w:r>
      </w:hyperlink>
    </w:p>
    <w:p w14:paraId="4C33874B" w14:textId="3ED0BC88"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4" w:history="1">
        <w:r w:rsidRPr="0032758C">
          <w:rPr>
            <w:rStyle w:val="Hyperlink"/>
            <w:rFonts w:eastAsiaTheme="majorEastAsia"/>
            <w:b/>
            <w:bCs/>
            <w:noProof/>
          </w:rPr>
          <w:t>Table S3. 2</w:t>
        </w:r>
        <w:r w:rsidRPr="0032758C">
          <w:rPr>
            <w:rStyle w:val="Hyperlink"/>
            <w:rFonts w:eastAsiaTheme="majorEastAsia"/>
            <w:noProof/>
          </w:rPr>
          <w:t xml:space="preserve"> </w:t>
        </w:r>
        <w:r w:rsidRPr="0032758C">
          <w:rPr>
            <w:rStyle w:val="Hyperlink"/>
            <w:rFonts w:eastAsiaTheme="majorEastAsia"/>
            <w:bCs/>
            <w:noProof/>
          </w:rPr>
          <w:t xml:space="preserve">The core microbiome of gut of apparent “healthy” </w:t>
        </w:r>
        <w:r w:rsidRPr="0032758C">
          <w:rPr>
            <w:rStyle w:val="Hyperlink"/>
            <w:rFonts w:eastAsiaTheme="majorEastAsia"/>
            <w:bCs/>
            <w:i/>
            <w:noProof/>
          </w:rPr>
          <w:t>Nephrops</w:t>
        </w:r>
        <w:r w:rsidRPr="0032758C">
          <w:rPr>
            <w:rStyle w:val="Hyperlink"/>
            <w:rFonts w:eastAsiaTheme="majorEastAsia"/>
            <w:bCs/>
            <w:noProof/>
          </w:rPr>
          <w:t xml:space="preserve"> norvegicus (tested negative for </w:t>
        </w:r>
        <w:r w:rsidRPr="0032758C">
          <w:rPr>
            <w:rStyle w:val="Hyperlink"/>
            <w:rFonts w:eastAsiaTheme="majorEastAsia"/>
            <w:bCs/>
            <w:i/>
            <w:noProof/>
          </w:rPr>
          <w:t>Hematodinium</w:t>
        </w:r>
        <w:r w:rsidRPr="0032758C">
          <w:rPr>
            <w:rStyle w:val="Hyperlink"/>
            <w:rFonts w:eastAsiaTheme="majorEastAsia"/>
            <w:bCs/>
            <w:noProof/>
          </w:rPr>
          <w:t xml:space="preserve"> sp. by BCM, PM, PCR, histology, n=45).</w:t>
        </w:r>
        <w:r>
          <w:rPr>
            <w:noProof/>
            <w:webHidden/>
          </w:rPr>
          <w:tab/>
        </w:r>
        <w:r>
          <w:rPr>
            <w:noProof/>
            <w:webHidden/>
          </w:rPr>
          <w:fldChar w:fldCharType="begin"/>
        </w:r>
        <w:r>
          <w:rPr>
            <w:noProof/>
            <w:webHidden/>
          </w:rPr>
          <w:instrText xml:space="preserve"> PAGEREF _Toc204106774 \h </w:instrText>
        </w:r>
        <w:r>
          <w:rPr>
            <w:noProof/>
            <w:webHidden/>
          </w:rPr>
        </w:r>
        <w:r>
          <w:rPr>
            <w:noProof/>
            <w:webHidden/>
          </w:rPr>
          <w:fldChar w:fldCharType="separate"/>
        </w:r>
        <w:r w:rsidR="008549FC">
          <w:rPr>
            <w:noProof/>
            <w:webHidden/>
          </w:rPr>
          <w:t>288</w:t>
        </w:r>
        <w:r>
          <w:rPr>
            <w:noProof/>
            <w:webHidden/>
          </w:rPr>
          <w:fldChar w:fldCharType="end"/>
        </w:r>
      </w:hyperlink>
    </w:p>
    <w:p w14:paraId="6FDA2168" w14:textId="16694440"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5" w:history="1">
        <w:r w:rsidRPr="0032758C">
          <w:rPr>
            <w:rStyle w:val="Hyperlink"/>
            <w:rFonts w:eastAsiaTheme="majorEastAsia"/>
            <w:b/>
            <w:bCs/>
            <w:noProof/>
          </w:rPr>
          <w:t>Table S3. 3</w:t>
        </w:r>
        <w:r w:rsidRPr="0032758C">
          <w:rPr>
            <w:rStyle w:val="Hyperlink"/>
            <w:rFonts w:eastAsiaTheme="majorEastAsia"/>
            <w:noProof/>
          </w:rPr>
          <w:t xml:space="preserve"> </w:t>
        </w:r>
        <w:r w:rsidRPr="0032758C">
          <w:rPr>
            <w:rStyle w:val="Hyperlink"/>
            <w:rFonts w:eastAsiaTheme="majorEastAsia"/>
            <w:bCs/>
            <w:noProof/>
          </w:rPr>
          <w:t xml:space="preserve">List of significantly different genera in the haemolymph microbiome of </w:t>
        </w:r>
        <w:r w:rsidRPr="0032758C">
          <w:rPr>
            <w:rStyle w:val="Hyperlink"/>
            <w:rFonts w:eastAsiaTheme="majorEastAsia"/>
            <w:bCs/>
            <w:i/>
            <w:noProof/>
          </w:rPr>
          <w:t>Nephrops</w:t>
        </w:r>
        <w:r w:rsidRPr="0032758C">
          <w:rPr>
            <w:rStyle w:val="Hyperlink"/>
            <w:rFonts w:eastAsiaTheme="majorEastAsia"/>
            <w:bCs/>
            <w:noProof/>
          </w:rPr>
          <w:t xml:space="preserve"> norvegicus between '</w:t>
        </w:r>
        <w:r w:rsidRPr="0032758C">
          <w:rPr>
            <w:rStyle w:val="Hyperlink"/>
            <w:rFonts w:eastAsiaTheme="majorEastAsia"/>
            <w:bCs/>
            <w:i/>
            <w:noProof/>
          </w:rPr>
          <w:t>Hematodinium</w:t>
        </w:r>
        <w:r w:rsidRPr="0032758C">
          <w:rPr>
            <w:rStyle w:val="Hyperlink"/>
            <w:rFonts w:eastAsiaTheme="majorEastAsia"/>
            <w:bCs/>
            <w:noProof/>
          </w:rPr>
          <w:t xml:space="preserve">-free' (Negative by BCM, PM, PCR, and Histology; n=22) and </w:t>
        </w:r>
        <w:r w:rsidRPr="0032758C">
          <w:rPr>
            <w:rStyle w:val="Hyperlink"/>
            <w:rFonts w:eastAsiaTheme="majorEastAsia"/>
            <w:bCs/>
            <w:i/>
            <w:noProof/>
          </w:rPr>
          <w:t>Hematodinium</w:t>
        </w:r>
        <w:r w:rsidRPr="0032758C">
          <w:rPr>
            <w:rStyle w:val="Hyperlink"/>
            <w:rFonts w:eastAsiaTheme="majorEastAsia"/>
            <w:bCs/>
            <w:noProof/>
          </w:rPr>
          <w:t xml:space="preserve"> positive (Positive by BCM, Pleopod Stages 3 and 4; n=22) (Wilcox rank-sum, p &lt; 0.05).</w:t>
        </w:r>
        <w:r>
          <w:rPr>
            <w:noProof/>
            <w:webHidden/>
          </w:rPr>
          <w:tab/>
        </w:r>
        <w:r>
          <w:rPr>
            <w:noProof/>
            <w:webHidden/>
          </w:rPr>
          <w:fldChar w:fldCharType="begin"/>
        </w:r>
        <w:r>
          <w:rPr>
            <w:noProof/>
            <w:webHidden/>
          </w:rPr>
          <w:instrText xml:space="preserve"> PAGEREF _Toc204106775 \h </w:instrText>
        </w:r>
        <w:r>
          <w:rPr>
            <w:noProof/>
            <w:webHidden/>
          </w:rPr>
        </w:r>
        <w:r>
          <w:rPr>
            <w:noProof/>
            <w:webHidden/>
          </w:rPr>
          <w:fldChar w:fldCharType="separate"/>
        </w:r>
        <w:r w:rsidR="008549FC">
          <w:rPr>
            <w:noProof/>
            <w:webHidden/>
          </w:rPr>
          <w:t>289</w:t>
        </w:r>
        <w:r>
          <w:rPr>
            <w:noProof/>
            <w:webHidden/>
          </w:rPr>
          <w:fldChar w:fldCharType="end"/>
        </w:r>
      </w:hyperlink>
    </w:p>
    <w:p w14:paraId="1E4098D5" w14:textId="4E8DA66E"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6" w:history="1">
        <w:r w:rsidRPr="0032758C">
          <w:rPr>
            <w:rStyle w:val="Hyperlink"/>
            <w:rFonts w:eastAsiaTheme="majorEastAsia"/>
            <w:b/>
            <w:bCs/>
            <w:noProof/>
          </w:rPr>
          <w:t>Table S3. 4</w:t>
        </w:r>
        <w:r w:rsidRPr="0032758C">
          <w:rPr>
            <w:rStyle w:val="Hyperlink"/>
            <w:rFonts w:eastAsiaTheme="majorEastAsia"/>
            <w:noProof/>
          </w:rPr>
          <w:t xml:space="preserve"> </w:t>
        </w:r>
        <w:r w:rsidRPr="0032758C">
          <w:rPr>
            <w:rStyle w:val="Hyperlink"/>
            <w:rFonts w:eastAsiaTheme="majorEastAsia"/>
            <w:bCs/>
            <w:noProof/>
          </w:rPr>
          <w:t xml:space="preserve">List of significantly different genera in the gut microbiome of </w:t>
        </w:r>
        <w:r w:rsidRPr="0032758C">
          <w:rPr>
            <w:rStyle w:val="Hyperlink"/>
            <w:rFonts w:eastAsiaTheme="majorEastAsia"/>
            <w:bCs/>
            <w:i/>
            <w:noProof/>
          </w:rPr>
          <w:t>Nephrops</w:t>
        </w:r>
        <w:r w:rsidRPr="0032758C">
          <w:rPr>
            <w:rStyle w:val="Hyperlink"/>
            <w:rFonts w:eastAsiaTheme="majorEastAsia"/>
            <w:bCs/>
            <w:noProof/>
          </w:rPr>
          <w:t xml:space="preserve"> norvegicus between '</w:t>
        </w:r>
        <w:r w:rsidRPr="0032758C">
          <w:rPr>
            <w:rStyle w:val="Hyperlink"/>
            <w:rFonts w:eastAsiaTheme="majorEastAsia"/>
            <w:bCs/>
            <w:i/>
            <w:noProof/>
          </w:rPr>
          <w:t>Hematodinium</w:t>
        </w:r>
        <w:r w:rsidRPr="0032758C">
          <w:rPr>
            <w:rStyle w:val="Hyperlink"/>
            <w:rFonts w:eastAsiaTheme="majorEastAsia"/>
            <w:bCs/>
            <w:noProof/>
          </w:rPr>
          <w:t xml:space="preserve">-free' (Negative by BCM, PM, PCR, and Histology; n=22) and </w:t>
        </w:r>
        <w:r w:rsidRPr="0032758C">
          <w:rPr>
            <w:rStyle w:val="Hyperlink"/>
            <w:rFonts w:eastAsiaTheme="majorEastAsia"/>
            <w:bCs/>
            <w:i/>
            <w:noProof/>
          </w:rPr>
          <w:t>Hematodinium</w:t>
        </w:r>
        <w:r w:rsidRPr="0032758C">
          <w:rPr>
            <w:rStyle w:val="Hyperlink"/>
            <w:rFonts w:eastAsiaTheme="majorEastAsia"/>
            <w:bCs/>
            <w:noProof/>
          </w:rPr>
          <w:t xml:space="preserve"> positive (Positive by BCM, Pleopod Stages 3 and 4; n=22) (Wilcox rank-sum, p &lt; 0.05).</w:t>
        </w:r>
        <w:r>
          <w:rPr>
            <w:noProof/>
            <w:webHidden/>
          </w:rPr>
          <w:tab/>
        </w:r>
        <w:r>
          <w:rPr>
            <w:noProof/>
            <w:webHidden/>
          </w:rPr>
          <w:fldChar w:fldCharType="begin"/>
        </w:r>
        <w:r>
          <w:rPr>
            <w:noProof/>
            <w:webHidden/>
          </w:rPr>
          <w:instrText xml:space="preserve"> PAGEREF _Toc204106776 \h </w:instrText>
        </w:r>
        <w:r>
          <w:rPr>
            <w:noProof/>
            <w:webHidden/>
          </w:rPr>
        </w:r>
        <w:r>
          <w:rPr>
            <w:noProof/>
            <w:webHidden/>
          </w:rPr>
          <w:fldChar w:fldCharType="separate"/>
        </w:r>
        <w:r w:rsidR="008549FC">
          <w:rPr>
            <w:noProof/>
            <w:webHidden/>
          </w:rPr>
          <w:t>298</w:t>
        </w:r>
        <w:r>
          <w:rPr>
            <w:noProof/>
            <w:webHidden/>
          </w:rPr>
          <w:fldChar w:fldCharType="end"/>
        </w:r>
      </w:hyperlink>
    </w:p>
    <w:p w14:paraId="0C32A273" w14:textId="77777777" w:rsidR="002F3A99" w:rsidRDefault="00E74E00" w:rsidP="00DA29AB">
      <w:pPr>
        <w:spacing w:before="0" w:after="0"/>
        <w:rPr>
          <w:noProof/>
        </w:rPr>
      </w:pPr>
      <w:r w:rsidRPr="009819CE">
        <w:rPr>
          <w:rFonts w:cstheme="minorBidi"/>
          <w:color w:val="000000" w:themeColor="text1"/>
        </w:rPr>
        <w:fldChar w:fldCharType="end"/>
      </w:r>
      <w:r w:rsidRPr="009819CE">
        <w:rPr>
          <w:rFonts w:cstheme="minorBidi"/>
          <w:color w:val="000000" w:themeColor="text1"/>
        </w:rPr>
        <w:fldChar w:fldCharType="begin"/>
      </w:r>
      <w:r w:rsidRPr="009819CE">
        <w:rPr>
          <w:rFonts w:cstheme="minorBidi"/>
          <w:color w:val="000000" w:themeColor="text1"/>
        </w:rPr>
        <w:instrText xml:space="preserve"> TOC \h \z \c "Table S4." </w:instrText>
      </w:r>
      <w:r w:rsidRPr="009819CE">
        <w:rPr>
          <w:rFonts w:cstheme="minorBidi"/>
          <w:color w:val="000000" w:themeColor="text1"/>
        </w:rPr>
        <w:fldChar w:fldCharType="separate"/>
      </w:r>
    </w:p>
    <w:p w14:paraId="0D8EC8A8" w14:textId="6A593F97" w:rsidR="002F3A99" w:rsidRDefault="002F3A99">
      <w:pPr>
        <w:pStyle w:val="TableofFigures"/>
        <w:tabs>
          <w:tab w:val="right" w:leader="dot" w:pos="9010"/>
        </w:tabs>
        <w:rPr>
          <w:rFonts w:asciiTheme="minorHAnsi" w:eastAsiaTheme="minorEastAsia" w:hAnsiTheme="minorHAnsi" w:cstheme="minorBidi"/>
          <w:noProof/>
          <w:kern w:val="2"/>
          <w:szCs w:val="24"/>
          <w14:ligatures w14:val="standardContextual"/>
        </w:rPr>
      </w:pPr>
      <w:hyperlink w:anchor="_Toc204106777" w:history="1">
        <w:r w:rsidRPr="0066323C">
          <w:rPr>
            <w:rStyle w:val="Hyperlink"/>
            <w:rFonts w:eastAsiaTheme="majorEastAsia"/>
            <w:b/>
            <w:bCs/>
            <w:noProof/>
          </w:rPr>
          <w:t>Table S4. 1</w:t>
        </w:r>
        <w:r w:rsidRPr="0066323C">
          <w:rPr>
            <w:rStyle w:val="Hyperlink"/>
            <w:rFonts w:eastAsiaTheme="majorEastAsia"/>
            <w:noProof/>
          </w:rPr>
          <w:t xml:space="preserve"> Sporulation Events in </w:t>
        </w:r>
        <w:r w:rsidRPr="0066323C">
          <w:rPr>
            <w:rStyle w:val="Hyperlink"/>
            <w:rFonts w:eastAsiaTheme="majorEastAsia"/>
            <w:i/>
            <w:noProof/>
          </w:rPr>
          <w:t>Nephrops norvegicus</w:t>
        </w:r>
        <w:r w:rsidRPr="0066323C">
          <w:rPr>
            <w:rStyle w:val="Hyperlink"/>
            <w:rFonts w:eastAsiaTheme="majorEastAsia"/>
            <w:noProof/>
          </w:rPr>
          <w:t xml:space="preserve"> from the CSA (2020)</w:t>
        </w:r>
        <w:r>
          <w:rPr>
            <w:noProof/>
            <w:webHidden/>
          </w:rPr>
          <w:tab/>
        </w:r>
        <w:r>
          <w:rPr>
            <w:noProof/>
            <w:webHidden/>
          </w:rPr>
          <w:fldChar w:fldCharType="begin"/>
        </w:r>
        <w:r>
          <w:rPr>
            <w:noProof/>
            <w:webHidden/>
          </w:rPr>
          <w:instrText xml:space="preserve"> PAGEREF _Toc204106777 \h </w:instrText>
        </w:r>
        <w:r>
          <w:rPr>
            <w:noProof/>
            <w:webHidden/>
          </w:rPr>
        </w:r>
        <w:r>
          <w:rPr>
            <w:noProof/>
            <w:webHidden/>
          </w:rPr>
          <w:fldChar w:fldCharType="separate"/>
        </w:r>
        <w:r w:rsidR="008549FC">
          <w:rPr>
            <w:noProof/>
            <w:webHidden/>
          </w:rPr>
          <w:t>304</w:t>
        </w:r>
        <w:r>
          <w:rPr>
            <w:noProof/>
            <w:webHidden/>
          </w:rPr>
          <w:fldChar w:fldCharType="end"/>
        </w:r>
      </w:hyperlink>
    </w:p>
    <w:p w14:paraId="5DC5027C" w14:textId="77777777" w:rsidR="00920FA7" w:rsidRDefault="00E74E00" w:rsidP="00DA29AB">
      <w:pPr>
        <w:spacing w:before="0" w:after="0"/>
        <w:rPr>
          <w:rFonts w:cstheme="minorBidi"/>
          <w:color w:val="000000" w:themeColor="text1"/>
        </w:rPr>
        <w:sectPr w:rsidR="00920FA7" w:rsidSect="00920FA7">
          <w:headerReference w:type="default" r:id="rId26"/>
          <w:pgSz w:w="11900" w:h="16840" w:code="9"/>
          <w:pgMar w:top="1440" w:right="1440" w:bottom="1440" w:left="1440" w:header="720" w:footer="720" w:gutter="0"/>
          <w:cols w:space="720"/>
          <w:docGrid w:linePitch="360"/>
        </w:sectPr>
      </w:pPr>
      <w:r w:rsidRPr="009819CE">
        <w:rPr>
          <w:rFonts w:cstheme="minorBidi"/>
          <w:color w:val="000000" w:themeColor="text1"/>
        </w:rPr>
        <w:fldChar w:fldCharType="end"/>
      </w:r>
    </w:p>
    <w:p w14:paraId="41019BBA" w14:textId="248528F9" w:rsidR="00C328BB" w:rsidRPr="009819CE" w:rsidRDefault="00C328BB" w:rsidP="00E22ACF">
      <w:pPr>
        <w:pStyle w:val="Heading1"/>
      </w:pPr>
      <w:bookmarkStart w:id="18" w:name="_Ref39000334"/>
      <w:bookmarkStart w:id="19" w:name="_Toc94799223"/>
      <w:bookmarkStart w:id="20" w:name="_Toc204106589"/>
      <w:bookmarkStart w:id="21" w:name="_Hlk39069322"/>
      <w:bookmarkStart w:id="22" w:name="_Toc488448943"/>
      <w:bookmarkStart w:id="23" w:name="_Toc489274027"/>
      <w:bookmarkStart w:id="24" w:name="_Toc504297520"/>
      <w:bookmarkStart w:id="25" w:name="_Toc504934574"/>
      <w:bookmarkEnd w:id="0"/>
      <w:bookmarkEnd w:id="1"/>
      <w:r w:rsidRPr="009819CE">
        <w:t>General introduction</w:t>
      </w:r>
      <w:bookmarkEnd w:id="18"/>
      <w:bookmarkEnd w:id="19"/>
      <w:bookmarkEnd w:id="20"/>
    </w:p>
    <w:p w14:paraId="5323C52A" w14:textId="14C316FB" w:rsidR="00086BE8" w:rsidRPr="009819CE" w:rsidRDefault="00C31E47" w:rsidP="00D36C3E">
      <w:pPr>
        <w:pStyle w:val="Heading2"/>
        <w:rPr>
          <w:rFonts w:eastAsiaTheme="minorHAnsi" w:cstheme="minorBidi"/>
        </w:rPr>
      </w:pPr>
      <w:bookmarkStart w:id="26" w:name="_Toc94799224"/>
      <w:bookmarkStart w:id="27" w:name="_Toc204106590"/>
      <w:bookmarkStart w:id="28" w:name="_Hlk39069307"/>
      <w:bookmarkEnd w:id="21"/>
      <w:r w:rsidRPr="009819CE">
        <w:rPr>
          <w:rFonts w:cstheme="minorBidi"/>
          <w:i/>
          <w:iCs/>
        </w:rPr>
        <w:t>Nephrops</w:t>
      </w:r>
      <w:r w:rsidR="00C328BB" w:rsidRPr="009819CE">
        <w:rPr>
          <w:rFonts w:eastAsiaTheme="minorHAnsi" w:cstheme="minorBidi"/>
          <w:i/>
          <w:iCs/>
        </w:rPr>
        <w:t xml:space="preserve"> </w:t>
      </w:r>
      <w:r w:rsidR="00C328BB" w:rsidRPr="009819CE">
        <w:rPr>
          <w:rFonts w:cstheme="minorBidi"/>
          <w:i/>
          <w:iCs/>
        </w:rPr>
        <w:t>norvegicus</w:t>
      </w:r>
      <w:r w:rsidR="00C328BB" w:rsidRPr="009819CE">
        <w:rPr>
          <w:rFonts w:eastAsiaTheme="minorHAnsi" w:cstheme="minorBidi"/>
        </w:rPr>
        <w:t xml:space="preserve"> (</w:t>
      </w:r>
      <w:r w:rsidR="004570D3" w:rsidRPr="00FA7D47">
        <w:rPr>
          <w:rFonts w:eastAsiaTheme="minorHAnsi" w:cstheme="minorBidi"/>
        </w:rPr>
        <w:t>Linnaeus</w:t>
      </w:r>
      <w:r w:rsidR="00C328BB" w:rsidRPr="009819CE">
        <w:rPr>
          <w:rFonts w:eastAsiaTheme="minorHAnsi" w:cstheme="minorBidi"/>
        </w:rPr>
        <w:t xml:space="preserve">, </w:t>
      </w:r>
      <w:r w:rsidR="00C328BB" w:rsidRPr="009819CE">
        <w:rPr>
          <w:rFonts w:cstheme="minorBidi"/>
        </w:rPr>
        <w:t>1758</w:t>
      </w:r>
      <w:r w:rsidR="00C328BB" w:rsidRPr="009819CE">
        <w:rPr>
          <w:rFonts w:eastAsiaTheme="minorHAnsi" w:cstheme="minorBidi"/>
        </w:rPr>
        <w:t>)</w:t>
      </w:r>
      <w:bookmarkStart w:id="29" w:name="_Toc94799225"/>
      <w:bookmarkEnd w:id="26"/>
      <w:r w:rsidR="009B15B4" w:rsidRPr="009819CE">
        <w:rPr>
          <w:rFonts w:eastAsiaTheme="minorHAnsi" w:cstheme="minorBidi"/>
        </w:rPr>
        <w:t>: biology, ecology and behaviour</w:t>
      </w:r>
      <w:bookmarkEnd w:id="27"/>
    </w:p>
    <w:p w14:paraId="4D166755" w14:textId="16EF5B65" w:rsidR="009B15B4" w:rsidRPr="009819CE" w:rsidRDefault="001C7AE5" w:rsidP="009C3F77">
      <w:pPr>
        <w:pStyle w:val="Heading3"/>
        <w:numPr>
          <w:ilvl w:val="2"/>
          <w:numId w:val="22"/>
        </w:numPr>
        <w:rPr>
          <w:rFonts w:cstheme="minorBidi"/>
          <w:i/>
        </w:rPr>
      </w:pPr>
      <w:bookmarkStart w:id="30" w:name="_Ref170111324"/>
      <w:bookmarkStart w:id="31" w:name="_Toc204106591"/>
      <w:bookmarkEnd w:id="29"/>
      <w:r w:rsidRPr="009819CE">
        <w:rPr>
          <w:rFonts w:cstheme="minorBidi"/>
          <w:iCs/>
        </w:rPr>
        <w:t xml:space="preserve">An introduction to the species </w:t>
      </w:r>
      <w:r w:rsidR="00C31E47" w:rsidRPr="009819CE">
        <w:rPr>
          <w:rFonts w:cstheme="minorBidi"/>
          <w:i/>
          <w:iCs/>
        </w:rPr>
        <w:t>Nephrops</w:t>
      </w:r>
      <w:r w:rsidR="00725BEA" w:rsidRPr="009819CE">
        <w:rPr>
          <w:rFonts w:cstheme="minorBidi"/>
          <w:i/>
          <w:iCs/>
        </w:rPr>
        <w:t xml:space="preserve"> norvegicus</w:t>
      </w:r>
      <w:bookmarkEnd w:id="30"/>
      <w:bookmarkEnd w:id="31"/>
    </w:p>
    <w:p w14:paraId="427D6AE3" w14:textId="0CEC81DD" w:rsidR="00BA0258" w:rsidRPr="009819CE" w:rsidRDefault="009B15B4" w:rsidP="00BA0258">
      <w:pPr>
        <w:rPr>
          <w:rFonts w:cstheme="minorBidi"/>
        </w:rPr>
      </w:pPr>
      <w:r w:rsidRPr="009819CE">
        <w:rPr>
          <w:rFonts w:cstheme="minorBidi"/>
        </w:rPr>
        <w:t xml:space="preserve"> </w:t>
      </w:r>
      <w:r w:rsidR="00BA0258" w:rsidRPr="009819CE">
        <w:rPr>
          <w:rFonts w:cstheme="minorBidi"/>
        </w:rPr>
        <w:t xml:space="preserve">The Norway lobster, </w:t>
      </w:r>
      <w:r w:rsidR="00C31E47" w:rsidRPr="009819CE">
        <w:rPr>
          <w:rFonts w:cstheme="minorBidi"/>
          <w:i/>
          <w:iCs/>
        </w:rPr>
        <w:t>Nephrops</w:t>
      </w:r>
      <w:r w:rsidR="00BA0258" w:rsidRPr="009819CE">
        <w:rPr>
          <w:rFonts w:cstheme="minorBidi"/>
          <w:i/>
          <w:iCs/>
        </w:rPr>
        <w:t xml:space="preserve"> norvegicus </w:t>
      </w:r>
      <w:r w:rsidR="00BA0258" w:rsidRPr="009819CE">
        <w:rPr>
          <w:rFonts w:cstheme="minorBidi"/>
        </w:rPr>
        <w:fldChar w:fldCharType="begin"/>
      </w:r>
      <w:r w:rsidR="00D50EFF" w:rsidRPr="009819CE">
        <w:rPr>
          <w:rFonts w:cstheme="minorBidi"/>
        </w:rPr>
        <w:instrText xml:space="preserve"> ADDIN EN.CITE &lt;EndNote&gt;&lt;Cite&gt;&lt;Author&gt;Linnaeus&lt;/Author&gt;&lt;Year&gt;1758&lt;/Year&gt;&lt;RecNum&gt;1666&lt;/RecNum&gt;&lt;DisplayText&gt;(Linnaeus, 1758)&lt;/DisplayText&gt;&lt;record&gt;&lt;rec-number&gt;1666&lt;/rec-number&gt;&lt;foreign-keys&gt;&lt;key app="EN" db-id="sd9wrx9fj09rx3erprsx999o0r5aprvp2zse" timestamp="1687870187" guid="87556d5f-5799-43cc-9f50-bef5eaba1804"&gt;1666&lt;/key&gt;&lt;/foreign-keys&gt;&lt;ref-type name="Book"&gt;6&lt;/ref-type&gt;&lt;contributors&gt;&lt;authors&gt;&lt;author&gt;Linnaeus, C.&lt;/author&gt;&lt;/authors&gt;&lt;/contributors&gt;&lt;titles&gt;&lt;title&gt;Systema Naturae&lt;/title&gt;&lt;/titles&gt;&lt;volume&gt;10&lt;/volume&gt;&lt;edition&gt;1&lt;/edition&gt;&lt;dates&gt;&lt;year&gt;1758&lt;/year&gt;&lt;/dates&gt;&lt;accession-num&gt;1e824&lt;/accession-num&gt;&lt;urls&gt;&lt;/urls&gt;&lt;/record&gt;&lt;/Cite&gt;&lt;/EndNote&gt;</w:instrText>
      </w:r>
      <w:r w:rsidR="00BA0258" w:rsidRPr="009819CE">
        <w:rPr>
          <w:rFonts w:cstheme="minorBidi"/>
        </w:rPr>
        <w:fldChar w:fldCharType="separate"/>
      </w:r>
      <w:r w:rsidR="00D50EFF" w:rsidRPr="009819CE">
        <w:rPr>
          <w:rFonts w:cstheme="minorBidi"/>
        </w:rPr>
        <w:t>(</w:t>
      </w:r>
      <w:hyperlink w:anchor="_ENREF_192" w:tooltip="Linnaeus, 1758 #1666" w:history="1">
        <w:r w:rsidR="00950097" w:rsidRPr="009819CE">
          <w:rPr>
            <w:rFonts w:cstheme="minorBidi"/>
          </w:rPr>
          <w:t>Linnaeus, 1758</w:t>
        </w:r>
      </w:hyperlink>
      <w:r w:rsidR="00D50EFF" w:rsidRPr="009819CE">
        <w:rPr>
          <w:rFonts w:cstheme="minorBidi"/>
        </w:rPr>
        <w:t>)</w:t>
      </w:r>
      <w:r w:rsidR="00BA0258" w:rsidRPr="009819CE">
        <w:rPr>
          <w:rFonts w:cstheme="minorBidi"/>
        </w:rPr>
        <w:fldChar w:fldCharType="end"/>
      </w:r>
      <w:r w:rsidR="00BA0258" w:rsidRPr="009819CE">
        <w:rPr>
          <w:rFonts w:cstheme="minorBidi"/>
        </w:rPr>
        <w:t xml:space="preserve">, is a benthic crustacean </w:t>
      </w:r>
      <w:r w:rsidR="002C1023" w:rsidRPr="009819CE">
        <w:rPr>
          <w:rFonts w:cstheme="minorBidi"/>
        </w:rPr>
        <w:t xml:space="preserve">that belongs </w:t>
      </w:r>
      <w:r w:rsidR="00BA0258" w:rsidRPr="009819CE">
        <w:rPr>
          <w:rFonts w:cstheme="minorBidi"/>
        </w:rPr>
        <w:t xml:space="preserve">to the order Decapoda in the class Malacostraca. Also known as the Dublin Bay prawn, scampi, or langoustine, </w:t>
      </w:r>
      <w:r w:rsidR="00C31E47" w:rsidRPr="009819CE">
        <w:rPr>
          <w:rFonts w:cstheme="minorBidi"/>
          <w:i/>
          <w:iCs/>
        </w:rPr>
        <w:t>Nephrops</w:t>
      </w:r>
      <w:r w:rsidR="00BA0258" w:rsidRPr="009819CE">
        <w:rPr>
          <w:rFonts w:cstheme="minorBidi"/>
        </w:rPr>
        <w:t xml:space="preserve"> stands out with its elongated body, vibrant orange colour, </w:t>
      </w:r>
      <w:r w:rsidR="00B21863" w:rsidRPr="009819CE">
        <w:rPr>
          <w:rFonts w:cstheme="minorBidi"/>
        </w:rPr>
        <w:t xml:space="preserve">slender </w:t>
      </w:r>
      <w:r w:rsidR="00BA0258" w:rsidRPr="009819CE">
        <w:rPr>
          <w:rFonts w:cstheme="minorBidi"/>
        </w:rPr>
        <w:t>claws, and distinct black kidney-shaped eyes (</w:t>
      </w:r>
      <w:r w:rsidR="00135115" w:rsidRPr="009819CE">
        <w:rPr>
          <w:rFonts w:cstheme="minorBidi"/>
        </w:rPr>
        <w:fldChar w:fldCharType="begin"/>
      </w:r>
      <w:r w:rsidR="00135115" w:rsidRPr="009819CE">
        <w:rPr>
          <w:rFonts w:cstheme="minorBidi"/>
        </w:rPr>
        <w:instrText xml:space="preserve"> REF _Ref171325524 \h </w:instrText>
      </w:r>
      <w:r w:rsidR="008B0BF3" w:rsidRPr="009819CE">
        <w:rPr>
          <w:rFonts w:cstheme="minorBidi"/>
        </w:rPr>
        <w:instrText xml:space="preserve"> \* MERGEFORMAT </w:instrText>
      </w:r>
      <w:r w:rsidR="00135115" w:rsidRPr="009819CE">
        <w:rPr>
          <w:rFonts w:cstheme="minorBidi"/>
        </w:rPr>
      </w:r>
      <w:r w:rsidR="00135115" w:rsidRPr="009819CE">
        <w:rPr>
          <w:rFonts w:cstheme="minorBidi"/>
        </w:rPr>
        <w:fldChar w:fldCharType="separate"/>
      </w:r>
      <w:r w:rsidR="008549FC" w:rsidRPr="009819CE">
        <w:rPr>
          <w:rFonts w:eastAsia="Calibri" w:cstheme="minorBidi"/>
          <w:b/>
          <w:iCs/>
          <w:color w:val="000000"/>
          <w:sz w:val="22"/>
          <w:szCs w:val="22"/>
        </w:rPr>
        <w:t xml:space="preserve">Figure </w:t>
      </w:r>
      <w:r w:rsidR="008549FC">
        <w:rPr>
          <w:rFonts w:eastAsia="Calibri" w:cstheme="minorBidi"/>
          <w:b/>
          <w:iCs/>
          <w:color w:val="000000"/>
          <w:sz w:val="22"/>
          <w:szCs w:val="22"/>
        </w:rPr>
        <w:t>1</w:t>
      </w:r>
      <w:r w:rsidR="008549FC" w:rsidRPr="009819CE">
        <w:rPr>
          <w:rFonts w:eastAsia="Calibri" w:cstheme="minorBidi"/>
          <w:b/>
          <w:iCs/>
          <w:color w:val="000000"/>
          <w:sz w:val="22"/>
          <w:szCs w:val="22"/>
        </w:rPr>
        <w:t>.</w:t>
      </w:r>
      <w:r w:rsidR="008549FC">
        <w:rPr>
          <w:rFonts w:eastAsia="Calibri" w:cstheme="minorBidi"/>
          <w:b/>
          <w:iCs/>
          <w:color w:val="000000"/>
          <w:sz w:val="22"/>
          <w:szCs w:val="22"/>
        </w:rPr>
        <w:t>1</w:t>
      </w:r>
      <w:r w:rsidR="00135115" w:rsidRPr="009819CE">
        <w:rPr>
          <w:rFonts w:cstheme="minorBidi"/>
        </w:rPr>
        <w:fldChar w:fldCharType="end"/>
      </w:r>
      <w:r w:rsidR="00BA0258" w:rsidRPr="009819CE">
        <w:rPr>
          <w:rFonts w:cstheme="minorBidi"/>
        </w:rPr>
        <w:t xml:space="preserve">). </w:t>
      </w:r>
      <w:r w:rsidR="00C31E47" w:rsidRPr="009819CE">
        <w:rPr>
          <w:rFonts w:cstheme="minorBidi"/>
          <w:i/>
          <w:iCs/>
        </w:rPr>
        <w:t>Nephrops</w:t>
      </w:r>
      <w:r w:rsidR="00BA0258" w:rsidRPr="009819CE">
        <w:rPr>
          <w:rFonts w:cstheme="minorBidi"/>
        </w:rPr>
        <w:t xml:space="preserve"> exhibits sexual dimorphism, distinguished by the location of genital apertures (gonopores) and the morphology of the first pair of pleopods (as depicted in</w:t>
      </w:r>
      <w:r w:rsidR="00135115" w:rsidRPr="009819CE">
        <w:rPr>
          <w:rFonts w:cstheme="minorBidi"/>
        </w:rPr>
        <w:t xml:space="preserve"> </w:t>
      </w:r>
      <w:r w:rsidR="00135115" w:rsidRPr="009819CE">
        <w:rPr>
          <w:rFonts w:cstheme="minorBidi"/>
        </w:rPr>
        <w:fldChar w:fldCharType="begin"/>
      </w:r>
      <w:r w:rsidR="00135115" w:rsidRPr="009819CE">
        <w:rPr>
          <w:rFonts w:cstheme="minorBidi"/>
        </w:rPr>
        <w:instrText xml:space="preserve"> REF _Ref171325524 \h </w:instrText>
      </w:r>
      <w:r w:rsidR="008B0BF3" w:rsidRPr="009819CE">
        <w:rPr>
          <w:rFonts w:cstheme="minorBidi"/>
        </w:rPr>
        <w:instrText xml:space="preserve"> \* MERGEFORMAT </w:instrText>
      </w:r>
      <w:r w:rsidR="00135115" w:rsidRPr="009819CE">
        <w:rPr>
          <w:rFonts w:cstheme="minorBidi"/>
        </w:rPr>
      </w:r>
      <w:r w:rsidR="00135115" w:rsidRPr="009819CE">
        <w:rPr>
          <w:rFonts w:cstheme="minorBidi"/>
        </w:rPr>
        <w:fldChar w:fldCharType="separate"/>
      </w:r>
      <w:r w:rsidR="008549FC" w:rsidRPr="009819CE">
        <w:rPr>
          <w:rFonts w:eastAsia="Calibri" w:cstheme="minorBidi"/>
          <w:b/>
          <w:iCs/>
          <w:color w:val="000000"/>
          <w:sz w:val="22"/>
          <w:szCs w:val="22"/>
        </w:rPr>
        <w:t xml:space="preserve">Figure </w:t>
      </w:r>
      <w:r w:rsidR="008549FC">
        <w:rPr>
          <w:rFonts w:eastAsia="Calibri" w:cstheme="minorBidi"/>
          <w:b/>
          <w:iCs/>
          <w:color w:val="000000"/>
          <w:sz w:val="22"/>
          <w:szCs w:val="22"/>
        </w:rPr>
        <w:t>1</w:t>
      </w:r>
      <w:r w:rsidR="008549FC" w:rsidRPr="009819CE">
        <w:rPr>
          <w:rFonts w:eastAsia="Calibri" w:cstheme="minorBidi"/>
          <w:b/>
          <w:iCs/>
          <w:color w:val="000000"/>
          <w:sz w:val="22"/>
          <w:szCs w:val="22"/>
        </w:rPr>
        <w:t>.</w:t>
      </w:r>
      <w:r w:rsidR="008549FC">
        <w:rPr>
          <w:rFonts w:eastAsia="Calibri" w:cstheme="minorBidi"/>
          <w:b/>
          <w:iCs/>
          <w:color w:val="000000"/>
          <w:sz w:val="22"/>
          <w:szCs w:val="22"/>
        </w:rPr>
        <w:t>1</w:t>
      </w:r>
      <w:r w:rsidR="00135115" w:rsidRPr="009819CE">
        <w:rPr>
          <w:rFonts w:cstheme="minorBidi"/>
        </w:rPr>
        <w:fldChar w:fldCharType="end"/>
      </w:r>
      <w:r w:rsidR="00026969" w:rsidRPr="00FA7D47">
        <w:rPr>
          <w:rFonts w:cstheme="minorBidi"/>
        </w:rPr>
        <w:t>C</w:t>
      </w:r>
      <w:r w:rsidR="00BA0258" w:rsidRPr="009819CE">
        <w:rPr>
          <w:rFonts w:cstheme="minorBidi"/>
        </w:rPr>
        <w:t>).</w:t>
      </w:r>
    </w:p>
    <w:p w14:paraId="607A4B8C" w14:textId="528F5A08" w:rsidR="00BA0258" w:rsidRPr="009819CE" w:rsidRDefault="00644A89" w:rsidP="00BA0258">
      <w:pPr>
        <w:rPr>
          <w:rFonts w:cstheme="minorBidi"/>
        </w:rPr>
      </w:pPr>
      <w:r>
        <w:rPr>
          <w:rFonts w:cstheme="minorBidi"/>
        </w:rPr>
        <w:t>T</w:t>
      </w:r>
      <w:r w:rsidR="00BA0258" w:rsidRPr="009819CE">
        <w:rPr>
          <w:rFonts w:cstheme="minorBidi"/>
        </w:rPr>
        <w:t>he digestive system</w:t>
      </w:r>
      <w:r w:rsidR="00BB4A46">
        <w:rPr>
          <w:rFonts w:cstheme="minorBidi"/>
        </w:rPr>
        <w:t xml:space="preserve"> includes</w:t>
      </w:r>
      <w:r w:rsidR="00BA0258" w:rsidRPr="009819CE">
        <w:rPr>
          <w:rFonts w:cstheme="minorBidi"/>
        </w:rPr>
        <w:t xml:space="preserve"> the cardiac and pyloric stomach</w:t>
      </w:r>
      <w:r w:rsidR="00026969" w:rsidRPr="009819CE">
        <w:rPr>
          <w:rFonts w:cstheme="minorBidi"/>
        </w:rPr>
        <w:t xml:space="preserve"> </w:t>
      </w:r>
      <w:r w:rsidR="00BB4A46">
        <w:rPr>
          <w:rFonts w:cstheme="minorBidi"/>
        </w:rPr>
        <w:t>and</w:t>
      </w:r>
      <w:r w:rsidR="00BA0258" w:rsidRPr="009819CE">
        <w:rPr>
          <w:rFonts w:cstheme="minorBidi"/>
        </w:rPr>
        <w:t xml:space="preserve">the hepatopancreas. The decapod crustacean's gut consists of three main sections: foregut, midgut, and hindgut, facilitating efficient processing of diverse diets </w:t>
      </w:r>
      <w:r w:rsidR="00BA0258" w:rsidRPr="009819CE">
        <w:rPr>
          <w:rFonts w:cstheme="minorBidi"/>
        </w:rPr>
        <w:fldChar w:fldCharType="begin">
          <w:fldData xml:space="preserve">PEVuZE5vdGU+PENpdGU+PEF1dGhvcj5DZWNjYWxkaTwvQXV0aG9yPjxZZWFyPjE5ODk8L1llYXI+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</w:fldData>
        </w:fldChar>
      </w:r>
      <w:r w:rsidR="00871B4F">
        <w:rPr>
          <w:rFonts w:cstheme="minorBidi"/>
        </w:rPr>
        <w:instrText xml:space="preserve"> ADDIN EN.CITE </w:instrText>
      </w:r>
      <w:r w:rsidR="00871B4F">
        <w:rPr>
          <w:rFonts w:cstheme="minorBidi"/>
        </w:rPr>
        <w:fldChar w:fldCharType="begin">
          <w:fldData xml:space="preserve">PEVuZE5vdGU+PENpdGU+PEF1dGhvcj5DZWNjYWxkaTwvQXV0aG9yPjxZZWFyPjE5ODk8L1llYXI+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00BA0258" w:rsidRPr="009819CE">
        <w:rPr>
          <w:rFonts w:cstheme="minorBidi"/>
        </w:rPr>
      </w:r>
      <w:r w:rsidR="00BA0258" w:rsidRPr="009819CE">
        <w:rPr>
          <w:rFonts w:cstheme="minorBidi"/>
        </w:rPr>
        <w:fldChar w:fldCharType="separate"/>
      </w:r>
      <w:r w:rsidR="00D50EFF" w:rsidRPr="009819CE">
        <w:rPr>
          <w:rFonts w:cstheme="minorBidi"/>
          <w:noProof/>
        </w:rPr>
        <w:t>(</w:t>
      </w:r>
      <w:hyperlink w:anchor="_ENREF_43" w:tooltip="Ceccaldi, 1989 #467" w:history="1">
        <w:r w:rsidR="00950097" w:rsidRPr="009819CE">
          <w:rPr>
            <w:rFonts w:cstheme="minorBidi"/>
            <w:noProof/>
          </w:rPr>
          <w:t>Ceccaldi, 1989</w:t>
        </w:r>
      </w:hyperlink>
      <w:r w:rsidR="00D50EFF" w:rsidRPr="009819CE">
        <w:rPr>
          <w:rFonts w:cstheme="minorBidi"/>
          <w:noProof/>
        </w:rPr>
        <w:t xml:space="preserve">; </w:t>
      </w:r>
      <w:hyperlink w:anchor="_ENREF_207" w:tooltip="McGaw, 2013 #463" w:history="1">
        <w:r w:rsidR="00950097" w:rsidRPr="009819CE">
          <w:rPr>
            <w:rFonts w:cstheme="minorBidi"/>
            <w:noProof/>
          </w:rPr>
          <w:t>McGaw and Curtis, 2013</w:t>
        </w:r>
      </w:hyperlink>
      <w:r w:rsidR="00D50EFF" w:rsidRPr="009819CE">
        <w:rPr>
          <w:rFonts w:cstheme="minorBidi"/>
          <w:noProof/>
        </w:rPr>
        <w:t>)</w:t>
      </w:r>
      <w:r w:rsidR="00BA0258" w:rsidRPr="009819CE">
        <w:rPr>
          <w:rFonts w:cstheme="minorBidi"/>
        </w:rPr>
        <w:fldChar w:fldCharType="end"/>
      </w:r>
      <w:r w:rsidR="00BA0258" w:rsidRPr="009819CE">
        <w:rPr>
          <w:rFonts w:cstheme="minorBidi"/>
          <w:color w:val="000000"/>
        </w:rPr>
        <w:t>.</w:t>
      </w:r>
      <w:r w:rsidR="00BA0258" w:rsidRPr="009819CE">
        <w:rPr>
          <w:rFonts w:cstheme="minorBidi"/>
        </w:rPr>
        <w:t xml:space="preserve"> The hepatopancreas, a large organ</w:t>
      </w:r>
      <w:r w:rsidR="004255B2" w:rsidRPr="009819CE">
        <w:rPr>
          <w:rFonts w:cstheme="minorBidi"/>
        </w:rPr>
        <w:t xml:space="preserve"> located</w:t>
      </w:r>
      <w:r w:rsidR="00BA0258" w:rsidRPr="009819CE">
        <w:rPr>
          <w:rFonts w:cstheme="minorBidi"/>
        </w:rPr>
        <w:t xml:space="preserve"> in the cephalothorax, acts as both liver and pancreas, producing digestive enzymes and storing nutrients. It plays a pivotal role in breaking down complex molecules for digestion and nutrient absorption </w:t>
      </w:r>
      <w:r w:rsidR="00BA0258" w:rsidRPr="009819CE">
        <w:rPr>
          <w:rFonts w:cstheme="minorBidi"/>
        </w:rPr>
        <w:fldChar w:fldCharType="begin">
          <w:fldData xml:space="preserve">PEVuZE5vdGU+PENpdGU+PEF1dGhvcj5XYW5nPC9BdXRob3I+PFllYXI+MjAxNDwvWWVhcj48UmVj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</w:fldData>
        </w:fldChar>
      </w:r>
      <w:r w:rsidR="00871B4F">
        <w:rPr>
          <w:rFonts w:cstheme="minorBidi"/>
        </w:rPr>
        <w:instrText xml:space="preserve"> ADDIN EN.CITE </w:instrText>
      </w:r>
      <w:r w:rsidR="00871B4F">
        <w:rPr>
          <w:rFonts w:cstheme="minorBidi"/>
        </w:rPr>
        <w:fldChar w:fldCharType="begin">
          <w:fldData xml:space="preserve">PEVuZE5vdGU+PENpdGU+PEF1dGhvcj5XYW5nPC9BdXRob3I+PFllYXI+MjAxNDwvWWVhcj48UmVj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00BA0258" w:rsidRPr="009819CE">
        <w:rPr>
          <w:rFonts w:cstheme="minorBidi"/>
        </w:rPr>
      </w:r>
      <w:r w:rsidR="00BA0258" w:rsidRPr="009819CE">
        <w:rPr>
          <w:rFonts w:cstheme="minorBidi"/>
        </w:rPr>
        <w:fldChar w:fldCharType="separate"/>
      </w:r>
      <w:r w:rsidR="00D50EFF" w:rsidRPr="00871B4F">
        <w:rPr>
          <w:rFonts w:cstheme="minorBidi"/>
          <w:noProof/>
        </w:rPr>
        <w:t>(</w:t>
      </w:r>
      <w:hyperlink w:anchor="_ENREF_346" w:tooltip="Wang, 2014 #1265" w:history="1">
        <w:r w:rsidR="00950097" w:rsidRPr="00871B4F">
          <w:rPr>
            <w:rFonts w:cstheme="minorBidi"/>
            <w:noProof/>
          </w:rPr>
          <w:t>Wang et al., 2014</w:t>
        </w:r>
      </w:hyperlink>
      <w:r w:rsidR="00D50EFF" w:rsidRPr="00871B4F">
        <w:rPr>
          <w:rFonts w:cstheme="minorBidi"/>
          <w:noProof/>
        </w:rPr>
        <w:t xml:space="preserve">; </w:t>
      </w:r>
      <w:hyperlink w:anchor="_ENREF_354" w:tooltip="Welden, 2015 #1871" w:history="1">
        <w:r w:rsidR="00950097" w:rsidRPr="00871B4F">
          <w:rPr>
            <w:rFonts w:cstheme="minorBidi"/>
            <w:noProof/>
          </w:rPr>
          <w:t>Welden et al., 2015</w:t>
        </w:r>
      </w:hyperlink>
      <w:r w:rsidR="00D50EFF" w:rsidRPr="00871B4F">
        <w:rPr>
          <w:rFonts w:cstheme="minorBidi"/>
          <w:noProof/>
        </w:rPr>
        <w:t>)</w:t>
      </w:r>
      <w:r w:rsidR="00BA0258" w:rsidRPr="009819CE">
        <w:rPr>
          <w:rFonts w:cstheme="minorBidi"/>
        </w:rPr>
        <w:fldChar w:fldCharType="end"/>
      </w:r>
      <w:r w:rsidR="00BA0258" w:rsidRPr="009819CE">
        <w:rPr>
          <w:rFonts w:cstheme="minorBidi"/>
        </w:rPr>
        <w:t xml:space="preserve">. Additionally, the hepatopancreas stores excess lipids and glycogen for energy utilization during periods of fasting or low food availability </w:t>
      </w:r>
      <w:r w:rsidR="00BA0258" w:rsidRPr="009819CE">
        <w:rPr>
          <w:rFonts w:cstheme="minorBidi"/>
        </w:rPr>
        <w:fldChar w:fldCharType="begin"/>
      </w:r>
      <w:r w:rsidR="00D50EFF" w:rsidRPr="009819CE">
        <w:rPr>
          <w:rFonts w:cstheme="minorBidi"/>
        </w:rPr>
        <w:instrText xml:space="preserve"> ADDIN EN.CITE &lt;EndNote&gt;&lt;Cite&gt;&lt;Author&gt;Huang&lt;/Author&gt;&lt;Year&gt;2020&lt;/Year&gt;&lt;RecNum&gt;1775&lt;/RecNum&gt;&lt;DisplayText&gt;(Huang et al., 2020b)&lt;/DisplayText&gt;&lt;record&gt;&lt;rec-number&gt;1775&lt;/rec-number&gt;&lt;foreign-keys&gt;&lt;key app="EN" db-id="sd9wrx9fj09rx3erprsx999o0r5aprvp2zse" timestamp="1689502088" guid="89197c55-176c-414d-b531-2393fa784c44"&gt;1775&lt;/key&gt;&lt;/foreign-keys&gt;&lt;ref-type name="Journal Article"&gt;17&lt;/ref-type&gt;&lt;contributors&gt;&lt;authors&gt;&lt;author&gt;Huang, Xiaoli&lt;/author&gt;&lt;author&gt;Feng, Yang&lt;/author&gt;&lt;author&gt;Duan, Jing&lt;/author&gt;&lt;author&gt;Xiong, Guanqing&lt;/author&gt;&lt;author&gt;Fan, Wei&lt;/author&gt;&lt;author&gt;Liu, Sha&lt;/author&gt;&lt;author&gt;Zhong, Liang&lt;/author&gt;&lt;author&gt;Wang, Kaiyu&lt;/author&gt;&lt;author&gt;Geng, Yi&lt;/author&gt;&lt;author&gt;Ouyang, Ping&lt;/author&gt;&lt;author&gt;Chen, Defang&lt;/author&gt;&lt;author&gt;Yang, Shiyong&lt;/author&gt;&lt;author&gt;Yin, Lizi&lt;/author&gt;&lt;/authors&gt;&lt;/contributors&gt;&lt;titles&gt;&lt;title&gt;&lt;style face="normal" font="default" size="100%"&gt;Antistarvation strategies of&lt;/style&gt;&lt;style face="italic" font="default" size="100%"&gt; E. sinensis&lt;/style&gt;&lt;style face="normal" font="default" size="100%"&gt;: Regulatory networks under hepatopancreas consumption&lt;/style&gt;&lt;/title&gt;&lt;secondary-title&gt;Oxidative Medicine and Cellular Longevity&lt;/secondary-title&gt;&lt;/titles&gt;&lt;periodical&gt;&lt;full-title&gt;Oxidative Medicine and Cellular Longevity&lt;/full-title&gt;&lt;/periodical&gt;&lt;pages&gt;1-16&lt;/pages&gt;&lt;volume&gt;2020&lt;/volume&gt;&lt;dates&gt;&lt;year&gt;2020&lt;/year&gt;&lt;/dates&gt;&lt;publisher&gt;Hindawi Limited&lt;/publisher&gt;&lt;isbn&gt;1942-0900&lt;/isbn&gt;&lt;urls&gt;&lt;related-urls&gt;&lt;url&gt;https://dx.doi.org/10.1155/2020/6085343&lt;/url&gt;&lt;/related-urls&gt;&lt;/urls&gt;&lt;electronic-resource-num&gt;10.1155/2020/6085343&lt;/electronic-resource-num&gt;&lt;/record&gt;&lt;/Cite&gt;&lt;/EndNote&gt;</w:instrText>
      </w:r>
      <w:r w:rsidR="00BA0258" w:rsidRPr="009819CE">
        <w:rPr>
          <w:rFonts w:cstheme="minorBidi"/>
        </w:rPr>
        <w:fldChar w:fldCharType="separate"/>
      </w:r>
      <w:r w:rsidR="00D50EFF" w:rsidRPr="009819CE">
        <w:rPr>
          <w:rFonts w:cstheme="minorBidi"/>
        </w:rPr>
        <w:t>(</w:t>
      </w:r>
      <w:hyperlink w:anchor="_ENREF_146" w:tooltip="Huang, 2020 #1775" w:history="1">
        <w:r w:rsidR="00950097" w:rsidRPr="009819CE">
          <w:rPr>
            <w:rFonts w:cstheme="minorBidi"/>
          </w:rPr>
          <w:t>Huang et al., 2020b</w:t>
        </w:r>
      </w:hyperlink>
      <w:r w:rsidR="00D50EFF" w:rsidRPr="009819CE">
        <w:rPr>
          <w:rFonts w:cstheme="minorBidi"/>
        </w:rPr>
        <w:t>)</w:t>
      </w:r>
      <w:r w:rsidR="00BA0258" w:rsidRPr="009819CE">
        <w:rPr>
          <w:rFonts w:cstheme="minorBidi"/>
        </w:rPr>
        <w:fldChar w:fldCharType="end"/>
      </w:r>
      <w:r w:rsidR="00BA0258" w:rsidRPr="009819CE">
        <w:rPr>
          <w:rFonts w:cstheme="minorBidi"/>
        </w:rPr>
        <w:t xml:space="preserve">. </w:t>
      </w:r>
    </w:p>
    <w:p w14:paraId="4EB125D5" w14:textId="66A98C43" w:rsidR="00BA0258" w:rsidRPr="009819CE" w:rsidRDefault="00BB4A46" w:rsidP="00BA0258">
      <w:pPr>
        <w:rPr>
          <w:rFonts w:cstheme="minorBidi"/>
        </w:rPr>
      </w:pPr>
      <w:r>
        <w:rPr>
          <w:rFonts w:cstheme="minorBidi"/>
        </w:rPr>
        <w:t xml:space="preserve">The </w:t>
      </w:r>
      <w:r w:rsidR="00D0382F" w:rsidRPr="00D0382F">
        <w:rPr>
          <w:rFonts w:cstheme="minorBidi"/>
          <w:i/>
          <w:iCs/>
        </w:rPr>
        <w:t>Nephrops</w:t>
      </w:r>
      <w:r w:rsidR="00BA0258" w:rsidRPr="009819CE">
        <w:rPr>
          <w:rFonts w:cstheme="minorBidi"/>
        </w:rPr>
        <w:t xml:space="preserve"> circulatory system, initially categorized as open, is now considered "partially closed". The heart gives rise to seven arteries, forming five arterial systems, branching into capillary-like vessels (~50 mm) distributing haemolymph </w:t>
      </w:r>
      <w:r w:rsidR="00BA0258" w:rsidRPr="009819CE">
        <w:rPr>
          <w:rFonts w:cstheme="minorBidi"/>
        </w:rPr>
        <w:fldChar w:fldCharType="begin"/>
      </w:r>
      <w:r w:rsidR="00ED1A9E" w:rsidRPr="009819CE">
        <w:rPr>
          <w:rFonts w:cstheme="minorBidi"/>
        </w:rPr>
        <w:instrText xml:space="preserve"> ADDIN EN.CITE &lt;EndNote&gt;&lt;Cite&gt;&lt;Author&gt;McMahon&lt;/Author&gt;&lt;Year&gt;1990&lt;/Year&gt;&lt;RecNum&gt;1343&lt;/RecNum&gt;&lt;DisplayText&gt;(McMahon and Burnett, 1990)&lt;/DisplayText&gt;&lt;record&gt;&lt;rec-number&gt;1343&lt;/rec-number&gt;&lt;foreign-keys&gt;&lt;key app="EN" db-id="sd9wrx9fj09rx3erprsx999o0r5aprvp2zse" timestamp="1687855902" guid="5ef6fa9c-27e6-4b83-822e-46b19e5c3eff"&gt;1343&lt;/key&gt;&lt;/foreign-keys&gt;&lt;ref-type name="Journal Article"&gt;17&lt;/ref-type&gt;&lt;contributors&gt;&lt;authors&gt;&lt;author&gt;McMahon, Brian R.&lt;/author&gt;&lt;author&gt;Burnett, Louis E.&lt;/author&gt;&lt;/authors&gt;&lt;/contributors&gt;&lt;titles&gt;&lt;title&gt;The crustacean open circulatory system: a reexamination&lt;/title&gt;&lt;secondary-title&gt;The University of Chicago Press&lt;/secondary-title&gt;&lt;/titles&gt;&lt;periodical&gt;&lt;full-title&gt;The University of Chicago Press&lt;/full-title&gt;&lt;/periodical&gt;&lt;pages&gt;35-71&lt;/pages&gt;&lt;volume&gt;63&lt;/volume&gt;&lt;number&gt;1&lt;/number&gt;&lt;dates&gt;&lt;year&gt;1990&lt;/year&gt;&lt;pub-dates&gt;&lt;date&gt;1990/1//&lt;/date&gt;&lt;/pub-dates&gt;&lt;/dates&gt;&lt;publisher&gt;The University of Chicago Press&lt;/publisher&gt;&lt;urls&gt;&lt;related-urls&gt;&lt;url&gt;https://www.journals.uchicago.edu/doi/10.1086/physzool.63.1.30158153&lt;/url&gt;&lt;/related-urls&gt;&lt;/urls&gt;&lt;electronic-resource-num&gt;10.1086/PHYSZOOL.63.1.30158153&lt;/electronic-resource-num&gt;&lt;/record&gt;&lt;/Cite&gt;&lt;/EndNote&gt;</w:instrText>
      </w:r>
      <w:r w:rsidR="00BA0258" w:rsidRPr="009819CE">
        <w:rPr>
          <w:rFonts w:cstheme="minorBidi"/>
        </w:rPr>
        <w:fldChar w:fldCharType="separate"/>
      </w:r>
      <w:r w:rsidR="00D50EFF" w:rsidRPr="001F4A34">
        <w:rPr>
          <w:rFonts w:cstheme="minorBidi"/>
        </w:rPr>
        <w:t>(</w:t>
      </w:r>
      <w:hyperlink w:anchor="_ENREF_209" w:tooltip="McMahon, 1990 #1343" w:history="1">
        <w:r w:rsidR="00950097" w:rsidRPr="001F4A34">
          <w:rPr>
            <w:rFonts w:cstheme="minorBidi"/>
          </w:rPr>
          <w:t>McMahon and Burnett, 1990</w:t>
        </w:r>
      </w:hyperlink>
      <w:r w:rsidR="00D50EFF" w:rsidRPr="001F4A34">
        <w:rPr>
          <w:rFonts w:cstheme="minorBidi"/>
        </w:rPr>
        <w:t>)</w:t>
      </w:r>
      <w:r w:rsidR="00BA0258" w:rsidRPr="009819CE">
        <w:rPr>
          <w:rFonts w:cstheme="minorBidi"/>
        </w:rPr>
        <w:fldChar w:fldCharType="end"/>
      </w:r>
      <w:r w:rsidR="00BA0258" w:rsidRPr="009819CE">
        <w:rPr>
          <w:rFonts w:cstheme="minorBidi"/>
        </w:rPr>
        <w:t xml:space="preserve">. Sinuses collect haemolymph between tissues, draining into lacunae, and multiple veins return it to the heart (for </w:t>
      </w:r>
      <w:r w:rsidR="00E26C30">
        <w:rPr>
          <w:rFonts w:cstheme="minorBidi"/>
        </w:rPr>
        <w:t xml:space="preserve">a </w:t>
      </w:r>
      <w:r w:rsidR="00BA0258" w:rsidRPr="009819CE">
        <w:rPr>
          <w:rFonts w:cstheme="minorBidi"/>
        </w:rPr>
        <w:t xml:space="preserve">comprehensive review refer to </w:t>
      </w:r>
      <w:hyperlink w:anchor="_ENREF_206" w:tooltip="McGaw, 2005 #474" w:history="1">
        <w:r w:rsidR="00950097" w:rsidRPr="009819CE">
          <w:rPr>
            <w:rFonts w:cstheme="minorBidi"/>
          </w:rPr>
          <w:fldChar w:fldCharType="begin"/>
        </w:r>
        <w:r w:rsidR="00950097">
          <w:rPr>
            <w:rFonts w:cstheme="minorBidi"/>
          </w:rPr>
          <w:instrText xml:space="preserve"> ADDIN EN.CITE &lt;EndNote&gt;&lt;Cite AuthorYear="1"&gt;&lt;Author&gt;McGaw&lt;/Author&gt;&lt;Year&gt;2005&lt;/Year&gt;&lt;RecNum&gt;474&lt;/RecNum&gt;&lt;DisplayText&gt;McGaw (2005)&lt;/DisplayText&gt;&lt;record&gt;&lt;rec-number&gt;474&lt;/rec-number&gt;&lt;foreign-keys&gt;&lt;key app="EN" db-id="sd9wrx9fj09rx3erprsx999o0r5aprvp2zse" timestamp="1687855901" guid="16e8d955-0425-4988-b406-8aeb4a6797b4"&gt;474&lt;/key&gt;&lt;/foreign-keys&gt;&lt;ref-type name="Journal Article"&gt;17&lt;/ref-type&gt;&lt;contributors&gt;&lt;authors&gt;&lt;author&gt;McGaw, Iain J.&lt;/author&gt;&lt;/authors&gt;&lt;/contributors&gt;&lt;titles&gt;&lt;title&gt;The decapod crustacean circulatory system: a case that is neither open nor closed&lt;/title&gt;&lt;secondary-title&gt;Microscopy and Microanalysis&lt;/secondary-title&gt;&lt;/titles&gt;&lt;periodical&gt;&lt;full-title&gt;Microscopy and Microanalysis&lt;/full-title&gt;&lt;/periodical&gt;&lt;pages&gt;18-36&lt;/pages&gt;&lt;volume&gt;11&lt;/volume&gt;&lt;number&gt;1&lt;/number&gt;&lt;keywords&gt;&lt;keyword&gt;Artery&lt;/keyword&gt;&lt;keyword&gt;Cardiovascular&lt;/keyword&gt;&lt;keyword&gt;Circulation&lt;/keyword&gt;&lt;keyword&gt;Corrosion casting&lt;/keyword&gt;&lt;keyword&gt;Crab&lt;/keyword&gt;&lt;keyword&gt;Heart&lt;/keyword&gt;&lt;keyword&gt;Scanning electron microscopy&lt;/keyword&gt;&lt;keyword&gt;Sinus&lt;/keyword&gt;&lt;/keywords&gt;&lt;dates&gt;&lt;year&gt;2005&lt;/year&gt;&lt;pub-dates&gt;&lt;date&gt;2005/2//&lt;/date&gt;&lt;/pub-dates&gt;&lt;/dates&gt;&lt;publisher&gt;University of Stirling&lt;/publisher&gt;&lt;urls&gt;&lt;related-urls&gt;&lt;url&gt;https://www.cambridge.org/core/product/identifier/S1431927605050026/type/journal_article&lt;/url&gt;&lt;/related-urls&gt;&lt;/urls&gt;&lt;electronic-resource-num&gt;10.1017/S1431927605050026&lt;/electronic-resource-num&gt;&lt;/record&gt;&lt;/Cite&gt;&lt;/EndNote&gt;</w:instrText>
        </w:r>
        <w:r w:rsidR="00950097" w:rsidRPr="009819CE">
          <w:rPr>
            <w:rFonts w:cstheme="minorBidi"/>
          </w:rPr>
          <w:fldChar w:fldCharType="separate"/>
        </w:r>
        <w:r w:rsidR="00950097" w:rsidRPr="009819CE">
          <w:rPr>
            <w:rFonts w:cstheme="minorBidi"/>
            <w:noProof/>
          </w:rPr>
          <w:t>McGaw (2005)</w:t>
        </w:r>
        <w:r w:rsidR="00950097" w:rsidRPr="009819CE">
          <w:rPr>
            <w:rFonts w:cstheme="minorBidi"/>
          </w:rPr>
          <w:fldChar w:fldCharType="end"/>
        </w:r>
      </w:hyperlink>
      <w:r w:rsidR="00BA0258" w:rsidRPr="009819CE">
        <w:rPr>
          <w:rFonts w:cstheme="minorBidi"/>
        </w:rPr>
        <w:t xml:space="preserve">). Haemolymph, crucial for crustacean physiology, transports nutrients, gases, and waste products </w:t>
      </w:r>
      <w:r w:rsidR="00BA0258" w:rsidRPr="009819CE">
        <w:rPr>
          <w:rFonts w:eastAsia="Calibri" w:cstheme="minorBidi"/>
        </w:rPr>
        <w:fldChar w:fldCharType="begin"/>
      </w:r>
      <w:r w:rsidR="00D50EFF" w:rsidRPr="009819CE">
        <w:rPr>
          <w:rFonts w:eastAsia="Calibri" w:cstheme="minorBidi"/>
        </w:rPr>
        <w:instrText xml:space="preserve"> ADDIN EN.CITE &lt;EndNote&gt;&lt;Cite&gt;&lt;Author&gt;Fredrick&lt;/Author&gt;&lt;Year&gt;2012&lt;/Year&gt;&lt;RecNum&gt;639&lt;/RecNum&gt;&lt;DisplayText&gt;(Fredrick and Ravichandran, 2012)&lt;/DisplayText&gt;&lt;record&gt;&lt;rec-number&gt;639&lt;/rec-number&gt;&lt;foreign-keys&gt;&lt;key app="EN" db-id="sd9wrx9fj09rx3erprsx999o0r5aprvp2zse" timestamp="1687855901" guid="fe2db884-bdf0-451b-88bd-538b0bbd69fa"&gt;639&lt;/key&gt;&lt;/foreign-keys&gt;&lt;ref-type name="Journal Article"&gt;17&lt;/ref-type&gt;&lt;contributors&gt;&lt;authors&gt;&lt;author&gt;Fredrick, W. Sylvester&lt;/author&gt;&lt;author&gt;Ravichandran, S.&lt;/author&gt;&lt;/authors&gt;&lt;/contributors&gt;&lt;titles&gt;&lt;title&gt;Hemolymph proteins in marine crustaceans&lt;/title&gt;&lt;secondary-title&gt;Asian Pacific Journal of Tropical Biomedicine&lt;/secondary-title&gt;&lt;/titles&gt;&lt;periodical&gt;&lt;full-title&gt;Asian Pacific Journal of Tropical Biomedicine&lt;/full-title&gt;&lt;/periodical&gt;&lt;pages&gt;496-502&lt;/pages&gt;&lt;volume&gt;2&lt;/volume&gt;&lt;number&gt;6&lt;/number&gt;&lt;keywords&gt;&lt;keyword&gt;Antibiotics&lt;/keyword&gt;&lt;keyword&gt;Antimicrobial peptides&lt;/keyword&gt;&lt;keyword&gt;C.&lt;/keyword&gt;&lt;keyword&gt;Crabs&lt;/keyword&gt;&lt;keyword&gt;Immune response&lt;/keyword&gt;&lt;keyword&gt;Protein characterisation&lt;/keyword&gt;&lt;/keywords&gt;&lt;dates&gt;&lt;year&gt;2012&lt;/year&gt;&lt;pub-dates&gt;&lt;date&gt;2012/6//&lt;/date&gt;&lt;/pub-dates&gt;&lt;/dates&gt;&lt;publisher&gt;No longer published by Elsevier&lt;/publisher&gt;&lt;urls&gt;&lt;related-urls&gt;&lt;url&gt;https://www.ncbi.nlm.nih.gov/pmc/articles/PMC3609333/pdf/apjtb-02-06-496.pdf&lt;/url&gt;&lt;/related-urls&gt;&lt;/urls&gt;&lt;electronic-resource-num&gt;10.1016/S2221-1691(12)60084-7&lt;/electronic-resource-num&gt;&lt;/record&gt;&lt;/Cite&gt;&lt;/EndNote&gt;</w:instrText>
      </w:r>
      <w:r w:rsidR="00BA0258" w:rsidRPr="009819CE">
        <w:rPr>
          <w:rFonts w:eastAsia="Calibri" w:cstheme="minorBidi"/>
        </w:rPr>
        <w:fldChar w:fldCharType="separate"/>
      </w:r>
      <w:r w:rsidR="00D50EFF" w:rsidRPr="009819CE">
        <w:rPr>
          <w:rFonts w:eastAsia="Calibri" w:cstheme="minorBidi"/>
        </w:rPr>
        <w:t>(</w:t>
      </w:r>
      <w:hyperlink w:anchor="_ENREF_103" w:tooltip="Fredrick, 2012 #639" w:history="1">
        <w:r w:rsidR="00950097" w:rsidRPr="009819CE">
          <w:rPr>
            <w:rFonts w:eastAsia="Calibri" w:cstheme="minorBidi"/>
          </w:rPr>
          <w:t>Fredrick and Ravichandran, 2012</w:t>
        </w:r>
      </w:hyperlink>
      <w:r w:rsidR="00D50EFF" w:rsidRPr="009819CE">
        <w:rPr>
          <w:rFonts w:eastAsia="Calibri" w:cstheme="minorBidi"/>
        </w:rPr>
        <w:t>)</w:t>
      </w:r>
      <w:r w:rsidR="00BA0258" w:rsidRPr="009819CE">
        <w:rPr>
          <w:rFonts w:eastAsia="Calibri" w:cstheme="minorBidi"/>
        </w:rPr>
        <w:fldChar w:fldCharType="end"/>
      </w:r>
      <w:r w:rsidR="00BA0258" w:rsidRPr="009819CE">
        <w:rPr>
          <w:rFonts w:eastAsia="Calibri" w:cstheme="minorBidi"/>
        </w:rPr>
        <w:t>.</w:t>
      </w:r>
      <w:r w:rsidR="00BA0258" w:rsidRPr="009819CE">
        <w:rPr>
          <w:rFonts w:cstheme="minorBidi"/>
        </w:rPr>
        <w:t xml:space="preserve"> H</w:t>
      </w:r>
      <w:r w:rsidR="00E26C30">
        <w:rPr>
          <w:rFonts w:cstheme="minorBidi"/>
        </w:rPr>
        <w:t>a</w:t>
      </w:r>
      <w:r w:rsidR="00BA0258" w:rsidRPr="009819CE">
        <w:rPr>
          <w:rFonts w:cstheme="minorBidi"/>
        </w:rPr>
        <w:t>emocyanin, a copper-containing protein in haemolymph, binds and transports oxygen, while haemocytes play a vital role in</w:t>
      </w:r>
      <w:r w:rsidR="009A60D1">
        <w:rPr>
          <w:rFonts w:cstheme="minorBidi"/>
        </w:rPr>
        <w:t xml:space="preserve"> the</w:t>
      </w:r>
      <w:r w:rsidR="00BA0258" w:rsidRPr="009819CE">
        <w:rPr>
          <w:rFonts w:cstheme="minorBidi"/>
        </w:rPr>
        <w:t xml:space="preserve"> immune response </w:t>
      </w:r>
      <w:r w:rsidR="00BA0258" w:rsidRPr="009819CE">
        <w:rPr>
          <w:rFonts w:eastAsia="Calibri" w:cstheme="minorBidi"/>
        </w:rPr>
        <w:fldChar w:fldCharType="begin">
          <w:fldData xml:space="preserve">PEVuZE5vdGU+PENpdGU+PEF1dGhvcj5MaXU8L0F1dGhvcj48WWVhcj4yMDIwPC9ZZWFyPjxSZWNO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</w:fldData>
        </w:fldChar>
      </w:r>
      <w:r w:rsidR="00EE7FB9">
        <w:rPr>
          <w:rFonts w:eastAsia="Calibri" w:cstheme="minorBidi"/>
        </w:rPr>
        <w:instrText xml:space="preserve"> ADDIN EN.CITE </w:instrText>
      </w:r>
      <w:r w:rsidR="00EE7FB9">
        <w:rPr>
          <w:rFonts w:eastAsia="Calibri" w:cstheme="minorBidi"/>
        </w:rPr>
        <w:fldChar w:fldCharType="begin">
          <w:fldData xml:space="preserve">PEVuZE5vdGU+PENpdGU+PEF1dGhvcj5MaXU8L0F1dGhvcj48WWVhcj4yMDIwPC9ZZWFyPjxSZWNO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</w:fldData>
        </w:fldChar>
      </w:r>
      <w:r w:rsidR="00EE7FB9">
        <w:rPr>
          <w:rFonts w:eastAsia="Calibri" w:cstheme="minorBidi"/>
        </w:rPr>
        <w:instrText xml:space="preserve"> ADDIN EN.CITE.DATA </w:instrText>
      </w:r>
      <w:r w:rsidR="00EE7FB9">
        <w:rPr>
          <w:rFonts w:eastAsia="Calibri" w:cstheme="minorBidi"/>
        </w:rPr>
      </w:r>
      <w:r w:rsidR="00EE7FB9">
        <w:rPr>
          <w:rFonts w:eastAsia="Calibri" w:cstheme="minorBidi"/>
        </w:rPr>
        <w:fldChar w:fldCharType="end"/>
      </w:r>
      <w:r w:rsidR="00BA0258" w:rsidRPr="009819CE">
        <w:rPr>
          <w:rFonts w:eastAsia="Calibri" w:cstheme="minorBidi"/>
        </w:rPr>
      </w:r>
      <w:r w:rsidR="00BA0258" w:rsidRPr="009819CE">
        <w:rPr>
          <w:rFonts w:eastAsia="Calibri" w:cstheme="minorBidi"/>
        </w:rPr>
        <w:fldChar w:fldCharType="separate"/>
      </w:r>
      <w:r w:rsidR="00D50EFF" w:rsidRPr="00EE7FB9">
        <w:rPr>
          <w:rFonts w:eastAsia="Calibri" w:cstheme="minorBidi"/>
          <w:noProof/>
        </w:rPr>
        <w:t>(</w:t>
      </w:r>
      <w:hyperlink w:anchor="_ENREF_195" w:tooltip="Liu, 2020 #1774" w:history="1">
        <w:r w:rsidR="00950097" w:rsidRPr="00EE7FB9">
          <w:rPr>
            <w:rFonts w:eastAsia="Calibri" w:cstheme="minorBidi"/>
            <w:noProof/>
          </w:rPr>
          <w:t>Liu et al., 2020b</w:t>
        </w:r>
      </w:hyperlink>
      <w:r w:rsidR="00D50EFF" w:rsidRPr="00EE7FB9">
        <w:rPr>
          <w:rFonts w:eastAsia="Calibri" w:cstheme="minorBidi"/>
          <w:noProof/>
        </w:rPr>
        <w:t>)</w:t>
      </w:r>
      <w:r w:rsidR="00BA0258" w:rsidRPr="009819CE">
        <w:rPr>
          <w:rFonts w:eastAsia="Calibri" w:cstheme="minorBidi"/>
        </w:rPr>
        <w:fldChar w:fldCharType="end"/>
      </w:r>
      <w:r w:rsidR="00BA0258" w:rsidRPr="009819CE">
        <w:rPr>
          <w:rFonts w:eastAsia="Calibri" w:cstheme="minorBidi"/>
        </w:rPr>
        <w:t>.</w:t>
      </w:r>
      <w:r w:rsidR="00BA0258" w:rsidRPr="009819CE">
        <w:rPr>
          <w:rFonts w:cstheme="minorBidi"/>
        </w:rPr>
        <w:t xml:space="preserve">  Respiratory structures, the gills, extract oxygen from water and expel carbon dioxide. They also contribute to ion transport, haemolymph osmoregulation, acid-base equilibrium, and ammonia excretion </w:t>
      </w:r>
      <w:r w:rsidR="00BA0258" w:rsidRPr="009819CE">
        <w:rPr>
          <w:rFonts w:cstheme="minorBidi"/>
        </w:rPr>
        <w:fldChar w:fldCharType="begin"/>
      </w:r>
      <w:r w:rsidR="00ED1A9E" w:rsidRPr="009819CE">
        <w:rPr>
          <w:rFonts w:cstheme="minorBidi"/>
        </w:rPr>
        <w:instrText xml:space="preserve"> ADDIN EN.CITE &lt;EndNote&gt;&lt;Cite&gt;&lt;Author&gt;Henry&lt;/Author&gt;&lt;Year&gt;2012&lt;/Year&gt;&lt;RecNum&gt;1872&lt;/RecNum&gt;&lt;DisplayText&gt;(Henry et al., 2012)&lt;/DisplayText&gt;&lt;record&gt;&lt;rec-number&gt;1872&lt;/rec-number&gt;&lt;foreign-keys&gt;&lt;key app="EN" db-id="sd9wrx9fj09rx3erprsx999o0r5aprvp2zse" timestamp="1697444279" guid="05afc98d-6414-4937-a311-fe55b449905b"&gt;1872&lt;/key&gt;&lt;/foreign-keys&gt;&lt;ref-type name="Journal Article"&gt;17&lt;/ref-type&gt;&lt;contributors&gt;&lt;authors&gt;&lt;author&gt;Henry, R. P.&lt;/author&gt;&lt;author&gt;Lucu, C.&lt;/author&gt;&lt;author&gt;Onken, H.&lt;/author&gt;&lt;author&gt;Weihrauch, D.&lt;/author&gt;&lt;/authors&gt;&lt;/contributors&gt;&lt;auth-address&gt;Department of Biological Sciences, Auburn University Auburn, AL, USA.&lt;/auth-address&gt;&lt;titles&gt;&lt;title&gt;Multiple functions of the crustacean gill: osmotic/ionic regulation, acid-base balance, ammonia excretion, and bioaccumulation of toxic metals&lt;/title&gt;&lt;secondary-title&gt;Frontiers in Physiology&lt;/secondary-title&gt;&lt;/titles&gt;&lt;periodical&gt;&lt;full-title&gt;Frontiers in Physiology&lt;/full-title&gt;&lt;/periodical&gt;&lt;pages&gt;431&lt;/pages&gt;&lt;volume&gt;3&lt;/volume&gt;&lt;edition&gt;20121115&lt;/edition&gt;&lt;keywords&gt;&lt;keyword&gt;acid-base balance&lt;/keyword&gt;&lt;keyword&gt;ammonia excretion&lt;/keyword&gt;&lt;keyword&gt;crustaceans&lt;/keyword&gt;&lt;keyword&gt;gills&lt;/keyword&gt;&lt;keyword&gt;ion transport&lt;/keyword&gt;&lt;keyword&gt;osmoregulation&lt;/keyword&gt;&lt;keyword&gt;toxicology&lt;/keyword&gt;&lt;/keywords&gt;&lt;dates&gt;&lt;year&gt;2012&lt;/year&gt;&lt;/dates&gt;&lt;isbn&gt;1664-042X (Electronic)&amp;#xD;1664-042X (Linking)&lt;/isbn&gt;&lt;accession-num&gt;23162474&lt;/accession-num&gt;&lt;urls&gt;&lt;related-urls&gt;&lt;url&gt;https://www.ncbi.nlm.nih.gov/pubmed/23162474&lt;/url&gt;&lt;/related-urls&gt;&lt;/urls&gt;&lt;custom2&gt;PMC3498741&lt;/custom2&gt;&lt;electronic-resource-num&gt;10.3389/fphys.2012.00431&lt;/electronic-resource-num&gt;&lt;remote-database-name&gt;PubMed-not-MEDLINE&lt;/remote-database-name&gt;&lt;remote-database-provider&gt;NLM&lt;/remote-database-provider&gt;&lt;/record&gt;&lt;/Cite&gt;&lt;/EndNote&gt;</w:instrText>
      </w:r>
      <w:r w:rsidR="00BA0258" w:rsidRPr="009819CE">
        <w:rPr>
          <w:rFonts w:cstheme="minorBidi"/>
        </w:rPr>
        <w:fldChar w:fldCharType="separate"/>
      </w:r>
      <w:r w:rsidR="00D50EFF" w:rsidRPr="001F4A34">
        <w:rPr>
          <w:rFonts w:cstheme="minorBidi"/>
        </w:rPr>
        <w:t>(</w:t>
      </w:r>
      <w:hyperlink w:anchor="_ENREF_128" w:tooltip="Henry, 2012 #1872" w:history="1">
        <w:r w:rsidR="00950097" w:rsidRPr="001F4A34">
          <w:rPr>
            <w:rFonts w:cstheme="minorBidi"/>
          </w:rPr>
          <w:t>Henry et al., 2012</w:t>
        </w:r>
      </w:hyperlink>
      <w:r w:rsidR="00D50EFF" w:rsidRPr="001F4A34">
        <w:rPr>
          <w:rFonts w:cstheme="minorBidi"/>
        </w:rPr>
        <w:t>)</w:t>
      </w:r>
      <w:r w:rsidR="00BA0258" w:rsidRPr="009819CE">
        <w:rPr>
          <w:rFonts w:cstheme="minorBidi"/>
        </w:rPr>
        <w:fldChar w:fldCharType="end"/>
      </w:r>
      <w:r w:rsidR="00BA0258" w:rsidRPr="009819CE">
        <w:rPr>
          <w:rFonts w:cstheme="minorBidi"/>
        </w:rPr>
        <w:t xml:space="preserve">. </w:t>
      </w:r>
    </w:p>
    <w:p w14:paraId="4A795564" w14:textId="4276E035" w:rsidR="001C2AAA" w:rsidRPr="009819CE" w:rsidRDefault="00BA0258" w:rsidP="00BA0258">
      <w:pPr>
        <w:rPr>
          <w:rFonts w:cstheme="minorBidi"/>
        </w:rPr>
        <w:sectPr w:rsidR="001C2AAA" w:rsidRPr="009819CE" w:rsidSect="00920FA7">
          <w:headerReference w:type="default" r:id="rId27"/>
          <w:pgSz w:w="11900" w:h="16840" w:code="9"/>
          <w:pgMar w:top="1440" w:right="1440" w:bottom="1440" w:left="1440" w:header="720" w:footer="720" w:gutter="0"/>
          <w:cols w:space="720"/>
          <w:docGrid w:linePitch="360"/>
        </w:sectPr>
      </w:pPr>
      <w:r w:rsidRPr="009819CE">
        <w:rPr>
          <w:rFonts w:cstheme="minorBidi"/>
        </w:rPr>
        <w:t xml:space="preserve">Other essential systems include the nervous system </w:t>
      </w:r>
      <w:r w:rsidRPr="009819CE">
        <w:rPr>
          <w:rFonts w:cstheme="minorBidi"/>
        </w:rPr>
        <w:fldChar w:fldCharType="begin">
          <w:fldData xml:space="preserve">PEVuZE5vdGU+PENpdGU+PEF1dGhvcj5IZXJiZXJob2x6PC9BdXRob3I+PFllYXI+MjAwNzwvWWVh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</w:fldData>
        </w:fldChar>
      </w:r>
      <w:r w:rsidR="00871B4F">
        <w:rPr>
          <w:rFonts w:cstheme="minorBidi"/>
        </w:rPr>
        <w:instrText xml:space="preserve"> ADDIN EN.CITE </w:instrText>
      </w:r>
      <w:r w:rsidR="00871B4F">
        <w:rPr>
          <w:rFonts w:cstheme="minorBidi"/>
        </w:rPr>
        <w:fldChar w:fldCharType="begin">
          <w:fldData xml:space="preserve">PEVuZE5vdGU+PENpdGU+PEF1dGhvcj5IZXJiZXJob2x6PC9BdXRob3I+PFllYXI+MjAwNzwvWWVh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129" w:tooltip="Herberholz, 2007 #1873" w:history="1">
        <w:r w:rsidR="00950097" w:rsidRPr="00EE7FB9">
          <w:rPr>
            <w:rFonts w:cstheme="minorBidi"/>
            <w:noProof/>
          </w:rPr>
          <w:t>Herberholz, 2007</w:t>
        </w:r>
      </w:hyperlink>
      <w:r w:rsidR="00D50EFF" w:rsidRPr="00EE7FB9">
        <w:rPr>
          <w:rFonts w:cstheme="minorBidi"/>
          <w:noProof/>
        </w:rPr>
        <w:t xml:space="preserve">; </w:t>
      </w:r>
      <w:hyperlink w:anchor="_ENREF_227" w:tooltip="Mulloney, 2012 #1874" w:history="1">
        <w:r w:rsidR="00950097" w:rsidRPr="00EE7FB9">
          <w:rPr>
            <w:rFonts w:cstheme="minorBidi"/>
            <w:noProof/>
          </w:rPr>
          <w:t>Mulloney and Smarandache-Wellmann, 2012</w:t>
        </w:r>
      </w:hyperlink>
      <w:r w:rsidR="00D50EFF" w:rsidRPr="00EE7FB9">
        <w:rPr>
          <w:rFonts w:cstheme="minorBidi"/>
          <w:noProof/>
        </w:rPr>
        <w:t>)</w:t>
      </w:r>
      <w:r w:rsidRPr="009819CE">
        <w:rPr>
          <w:rFonts w:cstheme="minorBidi"/>
        </w:rPr>
        <w:fldChar w:fldCharType="end"/>
      </w:r>
      <w:r w:rsidRPr="009819CE">
        <w:rPr>
          <w:rFonts w:cstheme="minorBidi"/>
        </w:rPr>
        <w:t xml:space="preserve">, excretory system (green glands) </w:t>
      </w:r>
      <w:r w:rsidRPr="009819CE">
        <w:rPr>
          <w:rFonts w:cstheme="minorBidi"/>
        </w:rPr>
        <w:fldChar w:fldCharType="begin"/>
      </w:r>
      <w:r w:rsidR="00ED1A9E" w:rsidRPr="009819CE">
        <w:rPr>
          <w:rFonts w:cstheme="minorBidi"/>
        </w:rPr>
        <w:instrText xml:space="preserve"> ADDIN EN.CITE &lt;EndNote&gt;&lt;Cite&gt;&lt;Author&gt;Hobbs&lt;/Author&gt;&lt;Year&gt;2009&lt;/Year&gt;&lt;RecNum&gt;1877&lt;/RecNum&gt;&lt;DisplayText&gt;(Hobbs and Lodge, 2009)&lt;/DisplayText&gt;&lt;record&gt;&lt;rec-number&gt;1877&lt;/rec-number&gt;&lt;foreign-keys&gt;&lt;key app="EN" db-id="sd9wrx9fj09rx3erprsx999o0r5aprvp2zse" timestamp="1697445441" guid="265f96b8-2d5a-478e-bccf-cd5c43483ddc"&gt;1877&lt;/key&gt;&lt;/foreign-keys&gt;&lt;ref-type name="Book Section"&gt;5&lt;/ref-type&gt;&lt;contributors&gt;&lt;authors&gt;&lt;author&gt;Hobbs, H. H.&lt;/author&gt;&lt;author&gt;Lodge, D. M.&lt;/author&gt;&lt;/authors&gt;&lt;secondary-authors&gt;&lt;author&gt;James H. Thorp and Alan P. Covich&lt;/author&gt;&lt;/secondary-authors&gt;&lt;/contributors&gt;&lt;titles&gt;&lt;title&gt;Decapoda&lt;/title&gt;&lt;secondary-title&gt;Ecology and classification of North American freshwater invertebrates&lt;/secondary-title&gt;&lt;/titles&gt;&lt;pages&gt;901-967&lt;/pages&gt;&lt;dates&gt;&lt;year&gt;2009&lt;/year&gt;&lt;/dates&gt;&lt;publisher&gt;Academic Press&lt;/publisher&gt;&lt;isbn&gt;978-0-12-374855-3&lt;/isbn&gt;&lt;urls&gt;&lt;related-urls&gt;&lt;url&gt;https://www.scopus.com/inward/record.uri?eid=2-s2.0-77954690444&amp;amp;doi=10.1016%2fB978-0-12-374855-3.00022-4&amp;amp;partnerID=40&amp;amp;md5=8c019aa2bdf3d58df49f89183592bcac&lt;/url&gt;&lt;/related-urls&gt;&lt;/urls&gt;&lt;electronic-resource-num&gt;https://doi.org/10.1016/C2009-0-02669-5&lt;/electronic-resource-num&gt;&lt;remote-database-name&gt;Scopus&lt;/remote-database-name&gt;&lt;/record&gt;&lt;/Cite&gt;&lt;/EndNote&gt;</w:instrText>
      </w:r>
      <w:r w:rsidRPr="009819CE">
        <w:rPr>
          <w:rFonts w:cstheme="minorBidi"/>
        </w:rPr>
        <w:fldChar w:fldCharType="separate"/>
      </w:r>
      <w:r w:rsidR="00ED1A9E" w:rsidRPr="001F4A34">
        <w:rPr>
          <w:rFonts w:cstheme="minorBidi"/>
        </w:rPr>
        <w:t>(</w:t>
      </w:r>
      <w:hyperlink w:anchor="_ENREF_132" w:tooltip="Hobbs, 2009 #1877" w:history="1">
        <w:r w:rsidR="00950097" w:rsidRPr="001F4A34">
          <w:rPr>
            <w:rFonts w:cstheme="minorBidi"/>
          </w:rPr>
          <w:t>Hobbs and Lodge, 2009</w:t>
        </w:r>
      </w:hyperlink>
      <w:r w:rsidR="00ED1A9E" w:rsidRPr="001F4A34">
        <w:rPr>
          <w:rFonts w:cstheme="minorBidi"/>
        </w:rPr>
        <w:t>)</w:t>
      </w:r>
      <w:r w:rsidRPr="009819CE">
        <w:rPr>
          <w:rFonts w:cstheme="minorBidi"/>
        </w:rPr>
        <w:fldChar w:fldCharType="end"/>
      </w:r>
      <w:r w:rsidRPr="009819CE">
        <w:rPr>
          <w:rFonts w:cstheme="minorBidi"/>
        </w:rPr>
        <w:t xml:space="preserve">, and reproductive system, responsible for producing eggs in females and sperm in males </w:t>
      </w:r>
      <w:r w:rsidRPr="009819CE">
        <w:rPr>
          <w:rFonts w:cstheme="minorBidi"/>
        </w:rPr>
        <w:fldChar w:fldCharType="begin">
          <w:fldData xml:space="preserve">PEVuZE5vdGU+PENpdGU+PEF1dGhvcj5Qb3dlbGw8L0F1dGhvcj48WWVhcj4yMDEzPC9ZZWFyPjxS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</w:fldData>
        </w:fldChar>
      </w:r>
      <w:r w:rsidR="00EE7FB9">
        <w:rPr>
          <w:rFonts w:cstheme="minorBidi"/>
        </w:rPr>
        <w:instrText xml:space="preserve"> ADDIN EN.CITE </w:instrText>
      </w:r>
      <w:r w:rsidR="00EE7FB9">
        <w:rPr>
          <w:rFonts w:cstheme="minorBidi"/>
        </w:rPr>
        <w:fldChar w:fldCharType="begin">
          <w:fldData xml:space="preserve">PEVuZE5vdGU+PENpdGU+PEF1dGhvcj5Qb3dlbGw8L0F1dGhvcj48WWVhcj4yMDEzPC9ZZWFyPjxS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noProof/>
        </w:rPr>
        <w:t>(</w:t>
      </w:r>
      <w:hyperlink w:anchor="_ENREF_226" w:tooltip="Mouat, 2002 #128" w:history="1">
        <w:r w:rsidR="00950097" w:rsidRPr="009819CE">
          <w:rPr>
            <w:rFonts w:cstheme="minorBidi"/>
            <w:noProof/>
          </w:rPr>
          <w:t>Mouat, 2002</w:t>
        </w:r>
      </w:hyperlink>
      <w:r w:rsidR="00D50EFF" w:rsidRPr="009819CE">
        <w:rPr>
          <w:rFonts w:cstheme="minorBidi"/>
          <w:noProof/>
        </w:rPr>
        <w:t xml:space="preserve">; </w:t>
      </w:r>
      <w:hyperlink w:anchor="_ENREF_247" w:tooltip="Powell, 2013 #360" w:history="1">
        <w:r w:rsidR="00950097" w:rsidRPr="009819CE">
          <w:rPr>
            <w:rFonts w:cstheme="minorBidi"/>
            <w:noProof/>
          </w:rPr>
          <w:t>Powell and Eriksson, 2013</w:t>
        </w:r>
      </w:hyperlink>
      <w:r w:rsidR="00D50EFF" w:rsidRPr="009819CE">
        <w:rPr>
          <w:rFonts w:cstheme="minorBidi"/>
          <w:noProof/>
        </w:rPr>
        <w:t>)</w:t>
      </w:r>
      <w:r w:rsidRPr="009819CE">
        <w:rPr>
          <w:rFonts w:cstheme="minorBidi"/>
        </w:rPr>
        <w:fldChar w:fldCharType="end"/>
      </w:r>
      <w:r w:rsidRPr="009819CE">
        <w:rPr>
          <w:rFonts w:cstheme="minorBidi"/>
        </w:rPr>
        <w:t xml:space="preserve">. These anatomical elements, coupled with the muscular system and sensory organs, ensure efficient locomotion and environmental perception </w:t>
      </w:r>
      <w:r w:rsidRPr="009819CE">
        <w:rPr>
          <w:rFonts w:cstheme="minorBidi"/>
        </w:rPr>
        <w:fldChar w:fldCharType="begin"/>
      </w:r>
      <w:r w:rsidR="00231B97" w:rsidRPr="009819CE">
        <w:rPr>
          <w:rFonts w:cstheme="minorBidi"/>
        </w:rPr>
        <w:instrText xml:space="preserve"> ADDIN EN.CITE &lt;EndNote&gt;&lt;Cite&gt;&lt;Author&gt;Gaten&lt;/Author&gt;&lt;Year&gt;2013&lt;/Year&gt;&lt;RecNum&gt;244&lt;/RecNum&gt;&lt;DisplayText&gt;(Gaten et al., 2013)&lt;/DisplayText&gt;&lt;record&gt;&lt;rec-number&gt;244&lt;/rec-number&gt;&lt;foreign-keys&gt;&lt;key app="EN" db-id="sd9wrx9fj09rx3erprsx999o0r5aprvp2zse" timestamp="1687855901" guid="6e5f4ece-4732-4687-a40d-f369dc2cf73e"&gt;244&lt;/key&gt;&lt;/foreign-keys&gt;&lt;ref-type name="Book Section"&gt;5&lt;/ref-type&gt;&lt;contributors&gt;&lt;authors&gt;&lt;author&gt;Gaten, Edward&lt;/author&gt;&lt;author&gt;Moss, Steve&lt;/author&gt;&lt;author&gt;Johnson, Magnus L.&lt;/author&gt;&lt;/authors&gt;&lt;/contributors&gt;&lt;titles&gt;&lt;title&gt;&lt;style face="normal" font="default" size="100%"&gt;Chapter Four - The Reniform Reflecting Superposition Compound Eyes of &lt;/style&gt;&lt;style face="italic" font="default" size="100%"&gt;Nephrops norvegicus&lt;/style&gt;&lt;style face="normal" font="default" size="100%"&gt;: Optics, Susceptibility to Light-Induced Damage, Electrophysiology and a Ray Tracing Model&lt;/style&gt;&lt;/title&gt;&lt;secondary-title&gt;Advances in Marine Biology&lt;/secondary-title&gt;&lt;/titles&gt;&lt;periodical&gt;&lt;full-title&gt;Advances in Marine Biology&lt;/full-title&gt;&lt;/periodical&gt;&lt;pages&gt;107-148&lt;/pages&gt;&lt;volume&gt;64&lt;/volume&gt;&lt;edition&gt;1&lt;/edition&gt;&lt;keywords&gt;&lt;keyword&gt;Dim environments&lt;/keyword&gt;&lt;keyword&gt;Discard injury&lt;/keyword&gt;&lt;keyword&gt;Invertebrate vision&lt;/keyword&gt;&lt;keyword&gt;Visual ecology&lt;/keyword&gt;&lt;keyword&gt;Visual physiology&lt;/keyword&gt;&lt;/keywords&gt;&lt;dates&gt;&lt;year&gt;2013&lt;/year&gt;&lt;/dates&gt;&lt;publisher&gt;Elsevier Ltd.&lt;/publisher&gt;&lt;isbn&gt;9780124104662&lt;/isbn&gt;&lt;urls&gt;&lt;related-urls&gt;&lt;url&gt;http://dx.doi.org/10.1016/B978-0-12-410466-2.00004-2&lt;/url&gt;&lt;/related-urls&gt;&lt;/urls&gt;&lt;electronic-resource-num&gt;10.1016/B978-0-12-410466-2.00004-2&lt;/electronic-resource-num&gt;&lt;/record&gt;&lt;/Cite&gt;&lt;/EndNote&gt;</w:instrText>
      </w:r>
      <w:r w:rsidRPr="009819CE">
        <w:rPr>
          <w:rFonts w:cstheme="minorBidi"/>
        </w:rPr>
        <w:fldChar w:fldCharType="separate"/>
      </w:r>
      <w:r w:rsidR="00D50EFF" w:rsidRPr="001F4A34">
        <w:rPr>
          <w:rFonts w:cstheme="minorBidi"/>
        </w:rPr>
        <w:t>(</w:t>
      </w:r>
      <w:hyperlink w:anchor="_ENREF_106" w:tooltip="Gaten, 2013 #244" w:history="1">
        <w:r w:rsidR="00950097" w:rsidRPr="001F4A34">
          <w:rPr>
            <w:rFonts w:cstheme="minorBidi"/>
          </w:rPr>
          <w:t>Gaten et al., 2013</w:t>
        </w:r>
      </w:hyperlink>
      <w:r w:rsidR="00D50EFF" w:rsidRPr="001F4A34">
        <w:rPr>
          <w:rFonts w:cstheme="minorBidi"/>
        </w:rPr>
        <w:t>)</w:t>
      </w:r>
      <w:r w:rsidRPr="009819CE">
        <w:rPr>
          <w:rFonts w:cstheme="minorBidi"/>
        </w:rPr>
        <w:fldChar w:fldCharType="end"/>
      </w:r>
      <w:r w:rsidRPr="009819CE">
        <w:rPr>
          <w:rFonts w:cstheme="minorBidi"/>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581C5D" w:rsidRPr="00FA7D47" w14:paraId="3D494624" w14:textId="77777777" w:rsidTr="00581C5D">
        <w:tc>
          <w:tcPr>
            <w:tcW w:w="5000" w:type="pct"/>
            <w:hideMark/>
          </w:tcPr>
          <w:p w14:paraId="5BAE002B" w14:textId="2975830F" w:rsidR="00581C5D" w:rsidRPr="009819CE" w:rsidRDefault="00581C5D" w:rsidP="00581C5D">
            <w:pPr>
              <w:spacing w:before="0" w:after="0"/>
              <w:jc w:val="center"/>
              <w:rPr>
                <w:rFonts w:cstheme="minorBidi"/>
                <w:lang w:val="en-GB"/>
                <w14:ligatures w14:val="none"/>
              </w:rPr>
            </w:pPr>
            <w:r w:rsidRPr="00FF34FE">
              <w:rPr>
                <w:rFonts w:cstheme="minorBidi"/>
                <w:noProof/>
              </w:rPr>
              <w:drawing>
                <wp:inline distT="0" distB="0" distL="0" distR="0" wp14:anchorId="1BA7A683" wp14:editId="2A177DF9">
                  <wp:extent cx="5660359" cy="7429500"/>
                  <wp:effectExtent l="0" t="0" r="0" b="0"/>
                  <wp:docPr id="113614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42614"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66247" cy="7437228"/>
                          </a:xfrm>
                          <a:prstGeom prst="rect">
                            <a:avLst/>
                          </a:prstGeom>
                        </pic:spPr>
                      </pic:pic>
                    </a:graphicData>
                  </a:graphic>
                </wp:inline>
              </w:drawing>
            </w:r>
          </w:p>
        </w:tc>
      </w:tr>
      <w:tr w:rsidR="00581C5D" w:rsidRPr="00FA7D47" w14:paraId="16998C4A" w14:textId="77777777" w:rsidTr="00581C5D">
        <w:trPr>
          <w:trHeight w:val="1107"/>
        </w:trPr>
        <w:tc>
          <w:tcPr>
            <w:tcW w:w="5000" w:type="pct"/>
            <w:hideMark/>
          </w:tcPr>
          <w:p w14:paraId="3F14A8B9" w14:textId="7F15181F" w:rsidR="00581C5D" w:rsidRPr="009819CE" w:rsidRDefault="00581C5D" w:rsidP="007D6607">
            <w:pPr>
              <w:spacing w:before="0" w:after="0" w:line="240" w:lineRule="auto"/>
              <w:rPr>
                <w:rFonts w:eastAsia="Calibri" w:cstheme="minorBidi"/>
                <w:iCs/>
                <w:color w:val="000000"/>
                <w:sz w:val="22"/>
                <w:szCs w:val="22"/>
                <w:lang w:val="en-GB"/>
                <w14:ligatures w14:val="none"/>
              </w:rPr>
            </w:pPr>
            <w:bookmarkStart w:id="32" w:name="_Ref171325524"/>
            <w:bookmarkStart w:id="33" w:name="_Toc140068600"/>
            <w:bookmarkStart w:id="34" w:name="_Toc204106691"/>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bookmarkEnd w:id="32"/>
            <w:r w:rsidRPr="009819CE">
              <w:rPr>
                <w:rFonts w:eastAsia="Calibri" w:cstheme="minorBidi"/>
                <w:iCs/>
                <w:color w:val="000000"/>
                <w:sz w:val="22"/>
                <w:szCs w:val="22"/>
                <w:lang w:val="en-GB"/>
                <w14:ligatures w14:val="none"/>
              </w:rPr>
              <w:t xml:space="preserve"> </w:t>
            </w:r>
            <w:r w:rsidR="00351551" w:rsidRPr="00FA7D47">
              <w:rPr>
                <w:rFonts w:eastAsia="Calibri" w:cstheme="minorBidi"/>
                <w:iCs/>
                <w:color w:val="000000"/>
                <w:sz w:val="22"/>
                <w:szCs w:val="22"/>
                <w:lang w:val="en-GB"/>
                <w14:ligatures w14:val="none"/>
              </w:rPr>
              <w:t>A</w:t>
            </w:r>
            <w:r w:rsidRPr="009819CE">
              <w:rPr>
                <w:rFonts w:eastAsia="Calibri" w:cstheme="minorBidi"/>
                <w:iCs/>
                <w:color w:val="000000"/>
                <w:sz w:val="22"/>
                <w:szCs w:val="22"/>
                <w:lang w:val="en-GB"/>
                <w14:ligatures w14:val="none"/>
              </w:rPr>
              <w:t xml:space="preserve">) Dorsal and </w:t>
            </w:r>
            <w:r w:rsidR="00351551" w:rsidRPr="00FA7D47">
              <w:rPr>
                <w:rFonts w:eastAsia="Calibri" w:cstheme="minorBidi"/>
                <w:iCs/>
                <w:color w:val="000000"/>
                <w:sz w:val="22"/>
                <w:szCs w:val="22"/>
                <w:lang w:val="en-GB"/>
                <w14:ligatures w14:val="none"/>
              </w:rPr>
              <w:t>B</w:t>
            </w:r>
            <w:r w:rsidRPr="009819CE">
              <w:rPr>
                <w:rFonts w:eastAsia="Calibri" w:cstheme="minorBidi"/>
                <w:iCs/>
                <w:color w:val="000000"/>
                <w:sz w:val="22"/>
                <w:szCs w:val="22"/>
                <w:lang w:val="en-GB"/>
                <w14:ligatures w14:val="none"/>
              </w:rPr>
              <w:t xml:space="preserve">) lateral view of </w:t>
            </w:r>
            <w:r w:rsidR="00C31E47" w:rsidRPr="009819CE">
              <w:rPr>
                <w:rFonts w:eastAsia="Calibri" w:cstheme="minorBidi"/>
                <w:i/>
                <w:color w:val="000000"/>
                <w:sz w:val="22"/>
                <w:szCs w:val="22"/>
                <w:lang w:val="en-GB"/>
                <w14:ligatures w14:val="none"/>
              </w:rPr>
              <w:t>Nephrops</w:t>
            </w:r>
            <w:r w:rsidRPr="009819CE">
              <w:rPr>
                <w:rFonts w:eastAsia="Calibri" w:cstheme="minorBidi"/>
                <w:i/>
                <w:color w:val="000000"/>
                <w:sz w:val="22"/>
                <w:szCs w:val="22"/>
                <w:lang w:val="en-GB"/>
                <w14:ligatures w14:val="none"/>
              </w:rPr>
              <w:t xml:space="preserve"> norvegicus</w:t>
            </w:r>
            <w:r w:rsidRPr="009819CE">
              <w:rPr>
                <w:rFonts w:eastAsia="Calibri" w:cstheme="minorBidi"/>
                <w:iCs/>
                <w:color w:val="000000"/>
                <w:sz w:val="22"/>
                <w:szCs w:val="22"/>
                <w:lang w:val="en-GB"/>
                <w14:ligatures w14:val="none"/>
              </w:rPr>
              <w:t xml:space="preserve">. </w:t>
            </w:r>
            <w:r w:rsidR="00351551" w:rsidRPr="00FA7D47">
              <w:rPr>
                <w:rFonts w:eastAsia="Calibri" w:cstheme="minorBidi"/>
                <w:iCs/>
                <w:color w:val="000000"/>
                <w:sz w:val="22"/>
                <w:szCs w:val="22"/>
                <w:lang w:val="en-GB"/>
                <w14:ligatures w14:val="none"/>
              </w:rPr>
              <w:t>C</w:t>
            </w:r>
            <w:r w:rsidRPr="009819CE">
              <w:rPr>
                <w:rFonts w:eastAsia="Calibri" w:cstheme="minorBidi"/>
                <w:iCs/>
                <w:color w:val="000000"/>
                <w:sz w:val="22"/>
                <w:szCs w:val="22"/>
                <w:lang w:val="en-GB"/>
                <w14:ligatures w14:val="none"/>
              </w:rPr>
              <w:t xml:space="preserve">) Ventral view of </w:t>
            </w:r>
            <w:r w:rsidR="00C31E47" w:rsidRPr="009819CE">
              <w:rPr>
                <w:rFonts w:eastAsia="Calibri" w:cstheme="minorBidi"/>
                <w:i/>
                <w:color w:val="000000"/>
                <w:sz w:val="22"/>
                <w:szCs w:val="22"/>
                <w:lang w:val="en-GB"/>
                <w14:ligatures w14:val="none"/>
              </w:rPr>
              <w:t>Nephrops</w:t>
            </w:r>
            <w:r w:rsidRPr="009819CE">
              <w:rPr>
                <w:rFonts w:eastAsia="Calibri" w:cstheme="minorBidi"/>
                <w:i/>
                <w:color w:val="000000"/>
                <w:sz w:val="22"/>
                <w:szCs w:val="22"/>
                <w:lang w:val="en-GB"/>
                <w14:ligatures w14:val="none"/>
              </w:rPr>
              <w:t xml:space="preserve"> norvegicus</w:t>
            </w:r>
            <w:r w:rsidRPr="009819CE">
              <w:rPr>
                <w:rFonts w:eastAsia="Calibri" w:cstheme="minorBidi"/>
                <w:iCs/>
                <w:color w:val="000000"/>
                <w:sz w:val="22"/>
                <w:szCs w:val="22"/>
                <w:lang w:val="en-GB"/>
                <w14:ligatures w14:val="none"/>
              </w:rPr>
              <w:t xml:space="preserve"> male and female. Differences between male and female pleopods are labelled. </w:t>
            </w:r>
            <w:bookmarkEnd w:id="33"/>
            <w:r w:rsidRPr="009819CE">
              <w:rPr>
                <w:rFonts w:eastAsia="Calibri" w:cstheme="minorBidi"/>
                <w:iCs/>
                <w:color w:val="000000"/>
                <w:sz w:val="22"/>
                <w:szCs w:val="22"/>
                <w:lang w:val="en-GB"/>
                <w14:ligatures w14:val="none"/>
              </w:rPr>
              <w:t>Artist: Pont-Trullen, I.</w:t>
            </w:r>
            <w:bookmarkEnd w:id="34"/>
          </w:p>
        </w:tc>
      </w:tr>
    </w:tbl>
    <w:p w14:paraId="10E337E2" w14:textId="77777777" w:rsidR="001B0CD2" w:rsidRPr="009819CE" w:rsidRDefault="001B0CD2" w:rsidP="001B0CD2">
      <w:pPr>
        <w:sectPr w:rsidR="001B0CD2" w:rsidRPr="009819CE" w:rsidSect="001C2AAA">
          <w:pgSz w:w="11900" w:h="16840" w:code="9"/>
          <w:pgMar w:top="1440" w:right="1440" w:bottom="1440" w:left="1440" w:header="720" w:footer="720" w:gutter="0"/>
          <w:cols w:space="720"/>
          <w:docGrid w:linePitch="360"/>
        </w:sectPr>
      </w:pPr>
      <w:bookmarkStart w:id="35" w:name="_Toc94799226"/>
    </w:p>
    <w:p w14:paraId="03DF34FE" w14:textId="06A5F737" w:rsidR="00C328BB" w:rsidRPr="009819CE" w:rsidRDefault="00C328BB" w:rsidP="002773A2">
      <w:pPr>
        <w:pStyle w:val="Heading3"/>
        <w:rPr>
          <w:rFonts w:cstheme="minorBidi"/>
          <w:iCs/>
        </w:rPr>
      </w:pPr>
      <w:bookmarkStart w:id="36" w:name="_Toc204106592"/>
      <w:r w:rsidRPr="009819CE">
        <w:rPr>
          <w:rFonts w:cstheme="minorBidi"/>
          <w:iCs/>
        </w:rPr>
        <w:t>Distribution and habitat</w:t>
      </w:r>
      <w:bookmarkEnd w:id="35"/>
      <w:bookmarkEnd w:id="36"/>
    </w:p>
    <w:p w14:paraId="58EC2FDA" w14:textId="0FFCE8B5" w:rsidR="00550FD9" w:rsidRPr="009819CE" w:rsidRDefault="00C31E47" w:rsidP="00550FD9">
      <w:pPr>
        <w:rPr>
          <w:rFonts w:cstheme="minorBidi"/>
        </w:rPr>
      </w:pPr>
      <w:r w:rsidRPr="009819CE">
        <w:rPr>
          <w:rFonts w:cstheme="minorBidi"/>
          <w:i/>
          <w:iCs/>
        </w:rPr>
        <w:t>Nephrops</w:t>
      </w:r>
      <w:r w:rsidR="00917D1B" w:rsidRPr="009819CE">
        <w:rPr>
          <w:rFonts w:cstheme="minorBidi"/>
          <w:i/>
          <w:iCs/>
        </w:rPr>
        <w:t xml:space="preserve"> norvegicus</w:t>
      </w:r>
      <w:r w:rsidR="00550FD9" w:rsidRPr="009819CE">
        <w:rPr>
          <w:rFonts w:cstheme="minorBidi"/>
        </w:rPr>
        <w:t xml:space="preserve"> is found extensively across the continental shelves of the North-East Atlantic, the Mediterranean, and the Adriatic seas (</w:t>
      </w:r>
      <w:r w:rsidR="00AA4C8F" w:rsidRPr="009819CE">
        <w:rPr>
          <w:rFonts w:cstheme="minorBidi"/>
        </w:rPr>
        <w:t>see</w:t>
      </w:r>
      <w:r w:rsidR="00B93B53" w:rsidRPr="009819CE">
        <w:rPr>
          <w:rFonts w:cstheme="minorBidi"/>
        </w:rPr>
        <w:t xml:space="preserve"> </w:t>
      </w:r>
      <w:r w:rsidR="00AF4A17" w:rsidRPr="009819CE">
        <w:rPr>
          <w:rFonts w:cstheme="minorBidi"/>
        </w:rPr>
        <w:fldChar w:fldCharType="begin"/>
      </w:r>
      <w:r w:rsidR="00AF4A17" w:rsidRPr="009819CE">
        <w:rPr>
          <w:rFonts w:cstheme="minorBidi"/>
        </w:rPr>
        <w:instrText xml:space="preserve"> REF _Ref171329903 \h </w:instrText>
      </w:r>
      <w:r w:rsidR="008B0BF3" w:rsidRPr="009819CE">
        <w:rPr>
          <w:rFonts w:cstheme="minorBidi"/>
        </w:rPr>
        <w:instrText xml:space="preserve"> \* MERGEFORMAT </w:instrText>
      </w:r>
      <w:r w:rsidR="00AF4A17" w:rsidRPr="009819CE">
        <w:rPr>
          <w:rFonts w:cstheme="minorBidi"/>
        </w:rPr>
      </w:r>
      <w:r w:rsidR="00AF4A17" w:rsidRPr="009819CE">
        <w:rPr>
          <w:rFonts w:cstheme="minorBidi"/>
        </w:rPr>
        <w:fldChar w:fldCharType="separate"/>
      </w:r>
      <w:r w:rsidR="008549FC" w:rsidRPr="009819CE">
        <w:rPr>
          <w:rFonts w:eastAsia="Calibri" w:cstheme="minorBidi"/>
          <w:b/>
          <w:iCs/>
          <w:color w:val="000000"/>
          <w:sz w:val="22"/>
          <w:szCs w:val="22"/>
        </w:rPr>
        <w:t xml:space="preserve">Figure </w:t>
      </w:r>
      <w:r w:rsidR="008549FC">
        <w:rPr>
          <w:rFonts w:eastAsia="Calibri" w:cstheme="minorBidi"/>
          <w:b/>
          <w:iCs/>
          <w:color w:val="000000"/>
          <w:sz w:val="22"/>
          <w:szCs w:val="22"/>
        </w:rPr>
        <w:t>1</w:t>
      </w:r>
      <w:r w:rsidR="008549FC" w:rsidRPr="009819CE">
        <w:rPr>
          <w:rFonts w:eastAsia="Calibri" w:cstheme="minorBidi"/>
          <w:b/>
          <w:iCs/>
          <w:color w:val="000000"/>
          <w:sz w:val="22"/>
          <w:szCs w:val="22"/>
        </w:rPr>
        <w:t>.</w:t>
      </w:r>
      <w:r w:rsidR="008549FC">
        <w:rPr>
          <w:rFonts w:eastAsia="Calibri" w:cstheme="minorBidi"/>
          <w:b/>
          <w:iCs/>
          <w:color w:val="000000"/>
          <w:sz w:val="22"/>
          <w:szCs w:val="22"/>
        </w:rPr>
        <w:t>2</w:t>
      </w:r>
      <w:r w:rsidR="00AF4A17" w:rsidRPr="009819CE">
        <w:rPr>
          <w:rFonts w:cstheme="minorBidi"/>
        </w:rPr>
        <w:fldChar w:fldCharType="end"/>
      </w:r>
      <w:r w:rsidR="00550FD9" w:rsidRPr="009819CE">
        <w:rPr>
          <w:rFonts w:cstheme="minorBidi"/>
        </w:rPr>
        <w:t xml:space="preserve">) </w:t>
      </w:r>
      <w:r w:rsidR="00550FD9" w:rsidRPr="009819CE">
        <w:rPr>
          <w:rFonts w:cstheme="minorBidi"/>
        </w:rPr>
        <w:fldChar w:fldCharType="begin">
          <w:fldData xml:space="preserve">PEVuZE5vdGU+PENpdGU+PEF1dGhvcj5Kb2huc29uPC9BdXRob3I+PFllYXI+MjAxMzwvWWVhcj48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PEVuZE5vdGU+PENpdGU+PEF1dGhvcj5Kb2huc29uPC9BdXRob3I+PFllYXI+MjAxMzwvWWVhcj48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550FD9" w:rsidRPr="009819CE">
        <w:rPr>
          <w:rFonts w:cstheme="minorBidi"/>
        </w:rPr>
      </w:r>
      <w:r w:rsidR="00550FD9" w:rsidRPr="009819CE">
        <w:rPr>
          <w:rFonts w:cstheme="minorBidi"/>
        </w:rPr>
        <w:fldChar w:fldCharType="separate"/>
      </w:r>
      <w:r w:rsidR="00D50EFF" w:rsidRPr="001F4A34">
        <w:rPr>
          <w:rFonts w:cstheme="minorBidi"/>
        </w:rPr>
        <w:t>(</w:t>
      </w:r>
      <w:hyperlink w:anchor="_ENREF_5" w:tooltip="Aguzzi, 2004 #1883" w:history="1">
        <w:r w:rsidR="00950097" w:rsidRPr="001F4A34">
          <w:rPr>
            <w:rFonts w:cstheme="minorBidi"/>
          </w:rPr>
          <w:t>Aguzzi et al., 2004b</w:t>
        </w:r>
      </w:hyperlink>
      <w:r w:rsidR="00D50EFF" w:rsidRPr="001F4A34">
        <w:rPr>
          <w:rFonts w:cstheme="minorBidi"/>
        </w:rPr>
        <w:t xml:space="preserve">; </w:t>
      </w:r>
      <w:hyperlink w:anchor="_ENREF_31" w:tooltip="Bell, 2013 #454" w:history="1">
        <w:r w:rsidR="00950097" w:rsidRPr="001F4A34">
          <w:rPr>
            <w:rFonts w:cstheme="minorBidi"/>
          </w:rPr>
          <w:t>Bell et al., 2013</w:t>
        </w:r>
      </w:hyperlink>
      <w:r w:rsidR="00D50EFF" w:rsidRPr="001F4A34">
        <w:rPr>
          <w:rFonts w:cstheme="minorBidi"/>
        </w:rPr>
        <w:t xml:space="preserve">; </w:t>
      </w:r>
      <w:hyperlink w:anchor="_ENREF_158" w:tooltip="Johnson, 2013 #246" w:history="1">
        <w:r w:rsidR="00950097" w:rsidRPr="001F4A34">
          <w:rPr>
            <w:rFonts w:cstheme="minorBidi"/>
          </w:rPr>
          <w:t>Johnson et al., 2013</w:t>
        </w:r>
      </w:hyperlink>
      <w:r w:rsidR="00D50EFF" w:rsidRPr="001F4A34">
        <w:rPr>
          <w:rFonts w:cstheme="minorBidi"/>
        </w:rPr>
        <w:t>)</w:t>
      </w:r>
      <w:r w:rsidR="00550FD9" w:rsidRPr="009819CE">
        <w:rPr>
          <w:rFonts w:cstheme="minorBidi"/>
        </w:rPr>
        <w:fldChar w:fldCharType="end"/>
      </w:r>
      <w:r w:rsidR="00550FD9" w:rsidRPr="009819CE">
        <w:rPr>
          <w:rFonts w:cstheme="minorBidi"/>
        </w:rPr>
        <w:t xml:space="preserve">. The distribution of </w:t>
      </w:r>
      <w:r w:rsidRPr="009819CE">
        <w:rPr>
          <w:rFonts w:cstheme="minorBidi"/>
          <w:i/>
          <w:iCs/>
        </w:rPr>
        <w:t>Nephrops</w:t>
      </w:r>
      <w:r w:rsidR="00550FD9" w:rsidRPr="009819CE">
        <w:rPr>
          <w:rFonts w:cstheme="minorBidi"/>
        </w:rPr>
        <w:t xml:space="preserve"> is primarily determined by the availability of suitable muddy sediment (fine cohesive sediments), which serves as the habitat for constructing their burrows</w:t>
      </w:r>
      <w:r w:rsidR="00550FD9" w:rsidRPr="009819CE">
        <w:rPr>
          <w:rFonts w:cstheme="minorBidi"/>
          <w:color w:val="000000"/>
        </w:rPr>
        <w:t xml:space="preserve"> </w:t>
      </w:r>
      <w:r w:rsidR="00550FD9" w:rsidRPr="009819CE">
        <w:rPr>
          <w:rFonts w:cstheme="minorBidi"/>
        </w:rPr>
        <w:fldChar w:fldCharType="begin">
          <w:fldData xml:space="preserve">PEVuZE5vdGU+PENpdGU+PEF1dGhvcj5Kb2huc29uPC9BdXRob3I+PFllYXI+MjAxMzwvWWVhcj48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PEVuZE5vdGU+PENpdGU+PEF1dGhvcj5Kb2huc29uPC9BdXRob3I+PFllYXI+MjAxMzwvWWVhcj48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550FD9" w:rsidRPr="009819CE">
        <w:rPr>
          <w:rFonts w:cstheme="minorBidi"/>
        </w:rPr>
      </w:r>
      <w:r w:rsidR="00550FD9" w:rsidRPr="009819CE">
        <w:rPr>
          <w:rFonts w:cstheme="minorBidi"/>
        </w:rPr>
        <w:fldChar w:fldCharType="separate"/>
      </w:r>
      <w:r w:rsidR="00D50EFF" w:rsidRPr="001F4A34">
        <w:rPr>
          <w:rFonts w:cstheme="minorBidi"/>
        </w:rPr>
        <w:t>(</w:t>
      </w:r>
      <w:hyperlink w:anchor="_ENREF_7" w:tooltip="Aguzzi, 2023 #1638" w:history="1">
        <w:r w:rsidR="00950097" w:rsidRPr="001F4A34">
          <w:rPr>
            <w:rFonts w:cstheme="minorBidi"/>
          </w:rPr>
          <w:t>Aguzzi et al., 2023</w:t>
        </w:r>
      </w:hyperlink>
      <w:r w:rsidR="00D50EFF" w:rsidRPr="001F4A34">
        <w:rPr>
          <w:rFonts w:cstheme="minorBidi"/>
        </w:rPr>
        <w:t xml:space="preserve">; </w:t>
      </w:r>
      <w:hyperlink w:anchor="_ENREF_158" w:tooltip="Johnson, 2013 #246" w:history="1">
        <w:r w:rsidR="00950097" w:rsidRPr="001F4A34">
          <w:rPr>
            <w:rFonts w:cstheme="minorBidi"/>
          </w:rPr>
          <w:t>Johnson et al., 2013</w:t>
        </w:r>
      </w:hyperlink>
      <w:r w:rsidR="00D50EFF" w:rsidRPr="001F4A34">
        <w:rPr>
          <w:rFonts w:cstheme="minorBidi"/>
        </w:rPr>
        <w:t xml:space="preserve">; </w:t>
      </w:r>
      <w:hyperlink w:anchor="_ENREF_213" w:tooltip="Melaku Canu, 2020 #1879" w:history="1">
        <w:r w:rsidR="00950097" w:rsidRPr="001F4A34">
          <w:rPr>
            <w:rFonts w:cstheme="minorBidi"/>
          </w:rPr>
          <w:t>Melaku Canu et al., 2020</w:t>
        </w:r>
      </w:hyperlink>
      <w:r w:rsidR="00D50EFF" w:rsidRPr="001F4A34">
        <w:rPr>
          <w:rFonts w:cstheme="minorBidi"/>
        </w:rPr>
        <w:t>)</w:t>
      </w:r>
      <w:r w:rsidR="00550FD9" w:rsidRPr="009819CE">
        <w:rPr>
          <w:rFonts w:cstheme="minorBidi"/>
        </w:rPr>
        <w:fldChar w:fldCharType="end"/>
      </w:r>
      <w:r w:rsidR="00550FD9" w:rsidRPr="009819CE">
        <w:rPr>
          <w:rFonts w:cstheme="minorBidi"/>
        </w:rPr>
        <w:t xml:space="preserve">. As a result, the overall distribution of </w:t>
      </w:r>
      <w:r w:rsidR="00EB037D" w:rsidRPr="00FA7D47">
        <w:rPr>
          <w:rFonts w:cstheme="minorBidi"/>
          <w:i/>
          <w:iCs/>
        </w:rPr>
        <w:t>N.</w:t>
      </w:r>
      <w:r w:rsidR="005C1568" w:rsidRPr="00FA7D47">
        <w:rPr>
          <w:rFonts w:cstheme="minorBidi"/>
          <w:i/>
          <w:iCs/>
        </w:rPr>
        <w:t xml:space="preserve"> </w:t>
      </w:r>
      <w:r w:rsidR="00EB037D" w:rsidRPr="00FA7D47">
        <w:rPr>
          <w:rFonts w:cstheme="minorBidi"/>
          <w:i/>
          <w:iCs/>
        </w:rPr>
        <w:t xml:space="preserve">norvegicus </w:t>
      </w:r>
      <w:r w:rsidR="00550FD9" w:rsidRPr="009819CE">
        <w:rPr>
          <w:rFonts w:cstheme="minorBidi"/>
        </w:rPr>
        <w:t>exhibits significant fragmentation. European waters are home to over 30</w:t>
      </w:r>
      <w:r w:rsidR="00CA56C2" w:rsidRPr="00FA7D47">
        <w:rPr>
          <w:rFonts w:cstheme="minorBidi"/>
        </w:rPr>
        <w:t xml:space="preserve"> genetically and geographically</w:t>
      </w:r>
      <w:r w:rsidR="00550FD9" w:rsidRPr="009819CE">
        <w:rPr>
          <w:rFonts w:cstheme="minorBidi"/>
        </w:rPr>
        <w:t xml:space="preserve"> distinct populations of </w:t>
      </w:r>
      <w:r w:rsidRPr="009819CE">
        <w:rPr>
          <w:rFonts w:cstheme="minorBidi"/>
          <w:i/>
          <w:iCs/>
        </w:rPr>
        <w:t>N</w:t>
      </w:r>
      <w:r w:rsidR="005C1568" w:rsidRPr="00FA7D47">
        <w:rPr>
          <w:rFonts w:cstheme="minorBidi"/>
          <w:i/>
          <w:iCs/>
        </w:rPr>
        <w:t>. norvegicus</w:t>
      </w:r>
      <w:r w:rsidR="00550FD9" w:rsidRPr="009819CE">
        <w:rPr>
          <w:rFonts w:cstheme="minorBidi"/>
        </w:rPr>
        <w:t xml:space="preserve">, with the majority of these populations being physically isolated due to extensive areas of unsuitable sediment </w:t>
      </w:r>
      <w:r w:rsidR="00550FD9"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00550FD9"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00550FD9" w:rsidRPr="009819CE">
        <w:rPr>
          <w:rFonts w:cstheme="minorBidi"/>
        </w:rPr>
        <w:fldChar w:fldCharType="end"/>
      </w:r>
      <w:r w:rsidR="00550FD9" w:rsidRPr="009819CE">
        <w:rPr>
          <w:rFonts w:cstheme="minorBidi"/>
        </w:rPr>
        <w:t xml:space="preserve">. </w:t>
      </w:r>
      <w:r w:rsidRPr="009819CE">
        <w:rPr>
          <w:rFonts w:cstheme="minorBidi"/>
          <w:i/>
          <w:iCs/>
        </w:rPr>
        <w:t>N</w:t>
      </w:r>
      <w:r w:rsidR="005C1568" w:rsidRPr="00FA7D47">
        <w:rPr>
          <w:rFonts w:cstheme="minorBidi"/>
          <w:i/>
          <w:iCs/>
        </w:rPr>
        <w:t>. norvegicus</w:t>
      </w:r>
      <w:r w:rsidR="00550FD9" w:rsidRPr="009819CE">
        <w:rPr>
          <w:rFonts w:cstheme="minorBidi"/>
        </w:rPr>
        <w:t xml:space="preserve"> has been documented within a depth range of 4 to 754 meters, occurring in waters with temperatures ranging from 6.4 to 17.3°C. Typically, </w:t>
      </w:r>
      <w:r w:rsidRPr="009819CE">
        <w:rPr>
          <w:rFonts w:cstheme="minorBidi"/>
          <w:i/>
          <w:iCs/>
        </w:rPr>
        <w:t>N</w:t>
      </w:r>
      <w:r w:rsidR="00EB037D" w:rsidRPr="00FA7D47">
        <w:rPr>
          <w:rFonts w:cstheme="minorBidi"/>
          <w:i/>
          <w:iCs/>
        </w:rPr>
        <w:t>.</w:t>
      </w:r>
      <w:r w:rsidR="005C1568" w:rsidRPr="00FA7D47">
        <w:rPr>
          <w:rFonts w:cstheme="minorBidi"/>
          <w:i/>
          <w:iCs/>
        </w:rPr>
        <w:t xml:space="preserve"> </w:t>
      </w:r>
      <w:r w:rsidR="00EB037D" w:rsidRPr="00FA7D47">
        <w:rPr>
          <w:rFonts w:cstheme="minorBidi"/>
          <w:i/>
          <w:iCs/>
        </w:rPr>
        <w:t>norvegicus</w:t>
      </w:r>
      <w:r w:rsidR="00550FD9" w:rsidRPr="009819CE">
        <w:rPr>
          <w:rFonts w:cstheme="minorBidi"/>
        </w:rPr>
        <w:t xml:space="preserve"> is found in marine environments with salinities between 31.8</w:t>
      </w:r>
      <w:r w:rsidR="009F50E7">
        <w:rPr>
          <w:rFonts w:cstheme="minorBidi"/>
        </w:rPr>
        <w:t xml:space="preserve"> P</w:t>
      </w:r>
      <w:r w:rsidR="00AE70D8">
        <w:rPr>
          <w:rFonts w:cstheme="minorBidi"/>
        </w:rPr>
        <w:t>SU</w:t>
      </w:r>
      <w:r w:rsidR="009F50E7">
        <w:rPr>
          <w:rFonts w:cstheme="minorBidi"/>
        </w:rPr>
        <w:t xml:space="preserve"> </w:t>
      </w:r>
      <w:r w:rsidR="00550FD9" w:rsidRPr="009819CE">
        <w:rPr>
          <w:rFonts w:cstheme="minorBidi"/>
        </w:rPr>
        <w:t>and 38.8</w:t>
      </w:r>
      <w:r w:rsidR="009F50E7">
        <w:rPr>
          <w:rFonts w:cstheme="minorBidi"/>
        </w:rPr>
        <w:t xml:space="preserve"> PSU</w:t>
      </w:r>
      <w:r w:rsidR="00550FD9" w:rsidRPr="009819CE">
        <w:rPr>
          <w:rFonts w:cstheme="minorBidi"/>
        </w:rPr>
        <w:t>, where dissolved oxygen (DO) concentrations are relatively high, ranging from 5.9 to 9.4 mg O</w:t>
      </w:r>
      <w:r w:rsidR="00550FD9" w:rsidRPr="009819CE">
        <w:rPr>
          <w:rFonts w:cstheme="minorBidi"/>
          <w:vertAlign w:val="subscript"/>
        </w:rPr>
        <w:t>2</w:t>
      </w:r>
      <w:r w:rsidR="00550FD9" w:rsidRPr="009819CE">
        <w:rPr>
          <w:rFonts w:cstheme="minorBidi"/>
        </w:rPr>
        <w:t>/dm</w:t>
      </w:r>
      <w:r w:rsidR="00550FD9" w:rsidRPr="009819CE">
        <w:rPr>
          <w:rFonts w:cstheme="minorBidi"/>
          <w:vertAlign w:val="superscript"/>
        </w:rPr>
        <w:t>3</w:t>
      </w:r>
      <w:r w:rsidR="00550FD9" w:rsidRPr="009819CE">
        <w:rPr>
          <w:rFonts w:cstheme="minorBidi"/>
        </w:rPr>
        <w:t xml:space="preserve"> </w:t>
      </w:r>
      <w:r w:rsidR="00550FD9" w:rsidRPr="009819CE">
        <w:rPr>
          <w:rFonts w:cstheme="minorBidi"/>
        </w:rPr>
        <w:fldChar w:fldCharType="begin"/>
      </w:r>
      <w:r w:rsidR="00D50EFF" w:rsidRPr="009819CE">
        <w:rPr>
          <w:rFonts w:cstheme="minorBidi"/>
        </w:rPr>
        <w:instrText xml:space="preserve"> ADDIN EN.CITE &lt;EndNote&gt;&lt;Cite&gt;&lt;Author&gt;Johnson&lt;/Author&gt;&lt;Year&gt;2013&lt;/Year&gt;&lt;RecNum&gt;246&lt;/RecNum&gt;&lt;DisplayText&gt;(Johnson et al., 2013)&lt;/DisplayText&gt;&lt;record&gt;&lt;rec-number&gt;246&lt;/rec-number&gt;&lt;foreign-keys&gt;&lt;key app="EN" db-id="sd9wrx9fj09rx3erprsx999o0r5aprvp2zse" timestamp="1687855901" guid="1435e6d3-b32f-4895-aa3b-acc752e1a318"&gt;246&lt;/key&gt;&lt;/foreign-keys&gt;&lt;ref-type name="Book Section"&gt;5&lt;/ref-type&gt;&lt;contributors&gt;&lt;authors&gt;&lt;author&gt;Johnson, Mark P.&lt;/author&gt;&lt;author&gt;Lordan, Colm&lt;/author&gt;&lt;author&gt;Power, Anne Marie&lt;/author&gt;&lt;/authors&gt;&lt;/contributors&gt;&lt;titles&gt;&lt;title&gt;&lt;style face="normal" font="default" size="100%"&gt;Chapter Two - Habitat and Ecology of &lt;/style&gt;&lt;style face="italic" font="default" size="100%"&gt;Nephrops norvegicus&lt;/style&gt;&lt;/title&gt;&lt;secondary-title&gt;Advances in Marine Biology&lt;/secondary-title&gt;&lt;/titles&gt;&lt;periodical&gt;&lt;full-title&gt;Advances in Marine Biology&lt;/full-title&gt;&lt;/periodical&gt;&lt;pages&gt;27-63&lt;/pages&gt;&lt;volume&gt;64&lt;/volume&gt;&lt;edition&gt;1&lt;/edition&gt;&lt;keywords&gt;&lt;keyword&gt;Catch&lt;/keyword&gt;&lt;keyword&gt;Density&lt;/keyword&gt;&lt;keyword&gt;Distribution&lt;/keyword&gt;&lt;keyword&gt;Ecosystem functions&lt;/keyword&gt;&lt;keyword&gt;Fishery interactions&lt;/keyword&gt;&lt;keyword&gt;Growth&lt;/keyword&gt;&lt;keyword&gt;Sediment&lt;/keyword&gt;&lt;keyword&gt;Size&lt;/keyword&gt;&lt;/keywords&gt;&lt;dates&gt;&lt;year&gt;2013&lt;/year&gt;&lt;/dates&gt;&lt;publisher&gt;Elsevier Ltd.&lt;/publisher&gt;&lt;isbn&gt;9780124104662&lt;/isbn&gt;&lt;urls&gt;&lt;related-urls&gt;&lt;url&gt;http://dx.doi.org/10.1016/B978-0-12-410466-2.00002-9&lt;/url&gt;&lt;/related-urls&gt;&lt;/urls&gt;&lt;electronic-resource-num&gt;10.1016/B978-0-12-410466-2.00002-9&lt;/electronic-resource-num&gt;&lt;/record&gt;&lt;/Cite&gt;&lt;/EndNote&gt;</w:instrText>
      </w:r>
      <w:r w:rsidR="00550FD9" w:rsidRPr="009819CE">
        <w:rPr>
          <w:rFonts w:cstheme="minorBidi"/>
        </w:rPr>
        <w:fldChar w:fldCharType="separate"/>
      </w:r>
      <w:r w:rsidR="00D50EFF" w:rsidRPr="009819CE">
        <w:rPr>
          <w:rFonts w:cstheme="minorBidi"/>
        </w:rPr>
        <w:t>(</w:t>
      </w:r>
      <w:hyperlink w:anchor="_ENREF_158" w:tooltip="Johnson, 2013 #246" w:history="1">
        <w:r w:rsidR="00950097" w:rsidRPr="009819CE">
          <w:rPr>
            <w:rFonts w:cstheme="minorBidi"/>
          </w:rPr>
          <w:t>Johnson et al., 2013</w:t>
        </w:r>
      </w:hyperlink>
      <w:r w:rsidR="00D50EFF" w:rsidRPr="009819CE">
        <w:rPr>
          <w:rFonts w:cstheme="minorBidi"/>
        </w:rPr>
        <w:t>)</w:t>
      </w:r>
      <w:r w:rsidR="00550FD9" w:rsidRPr="009819CE">
        <w:rPr>
          <w:rFonts w:cstheme="minorBidi"/>
        </w:rPr>
        <w:fldChar w:fldCharType="end"/>
      </w:r>
      <w:r w:rsidR="00550FD9" w:rsidRPr="009819CE">
        <w:rPr>
          <w:rFonts w:cstheme="minorBidi"/>
        </w:rPr>
        <w:t xml:space="preserve">. However, there have been records of </w:t>
      </w:r>
      <w:r w:rsidRPr="009819CE">
        <w:rPr>
          <w:rFonts w:cstheme="minorBidi"/>
          <w:i/>
          <w:iCs/>
        </w:rPr>
        <w:t>N</w:t>
      </w:r>
      <w:r w:rsidR="00EB037D" w:rsidRPr="00FA7D47">
        <w:rPr>
          <w:rFonts w:cstheme="minorBidi"/>
          <w:i/>
          <w:iCs/>
        </w:rPr>
        <w:t>.</w:t>
      </w:r>
      <w:r w:rsidR="005C1568" w:rsidRPr="00FA7D47">
        <w:rPr>
          <w:rFonts w:cstheme="minorBidi"/>
          <w:i/>
          <w:iCs/>
        </w:rPr>
        <w:t xml:space="preserve"> </w:t>
      </w:r>
      <w:r w:rsidR="00EB037D" w:rsidRPr="00FA7D47">
        <w:rPr>
          <w:rFonts w:cstheme="minorBidi"/>
          <w:i/>
          <w:iCs/>
        </w:rPr>
        <w:t>norvegicus</w:t>
      </w:r>
      <w:r w:rsidR="00550FD9" w:rsidRPr="009819CE">
        <w:rPr>
          <w:rFonts w:cstheme="minorBidi"/>
        </w:rPr>
        <w:t xml:space="preserve"> found at greater depths, reaching up to 800 meters, as well as in areas with lower salinities. These observations indicate that </w:t>
      </w:r>
      <w:r w:rsidRPr="009819CE">
        <w:rPr>
          <w:rFonts w:cstheme="minorBidi"/>
          <w:i/>
          <w:iCs/>
        </w:rPr>
        <w:t>N</w:t>
      </w:r>
      <w:r w:rsidR="003851CD" w:rsidRPr="00FA7D47">
        <w:rPr>
          <w:rFonts w:cstheme="minorBidi"/>
          <w:i/>
          <w:iCs/>
        </w:rPr>
        <w:t>.</w:t>
      </w:r>
      <w:r w:rsidR="005C1568" w:rsidRPr="00FA7D47">
        <w:rPr>
          <w:rFonts w:cstheme="minorBidi"/>
          <w:i/>
          <w:iCs/>
        </w:rPr>
        <w:t xml:space="preserve"> </w:t>
      </w:r>
      <w:r w:rsidR="003851CD" w:rsidRPr="00FA7D47">
        <w:rPr>
          <w:rFonts w:cstheme="minorBidi"/>
          <w:i/>
          <w:iCs/>
        </w:rPr>
        <w:t xml:space="preserve">norvegicus </w:t>
      </w:r>
      <w:r w:rsidR="00550FD9" w:rsidRPr="009819CE">
        <w:rPr>
          <w:rFonts w:cstheme="minorBidi"/>
        </w:rPr>
        <w:t xml:space="preserve">exhibits broad environmental tolerances </w:t>
      </w:r>
      <w:r w:rsidR="00550FD9" w:rsidRPr="009819CE">
        <w:rPr>
          <w:rFonts w:cstheme="minorBidi"/>
        </w:rPr>
        <w:fldChar w:fldCharType="begin"/>
      </w:r>
      <w:r w:rsidR="00D50EFF" w:rsidRPr="009819CE">
        <w:rPr>
          <w:rFonts w:cstheme="minorBidi"/>
        </w:rPr>
        <w:instrText xml:space="preserve"> ADDIN EN.CITE &lt;EndNote&gt;&lt;Cite&gt;&lt;Author&gt;Johnson&lt;/Author&gt;&lt;Year&gt;2013&lt;/Year&gt;&lt;RecNum&gt;246&lt;/RecNum&gt;&lt;DisplayText&gt;(Johnson et al., 2013)&lt;/DisplayText&gt;&lt;record&gt;&lt;rec-number&gt;246&lt;/rec-number&gt;&lt;foreign-keys&gt;&lt;key app="EN" db-id="sd9wrx9fj09rx3erprsx999o0r5aprvp2zse" timestamp="1687855901" guid="1435e6d3-b32f-4895-aa3b-acc752e1a318"&gt;246&lt;/key&gt;&lt;/foreign-keys&gt;&lt;ref-type name="Book Section"&gt;5&lt;/ref-type&gt;&lt;contributors&gt;&lt;authors&gt;&lt;author&gt;Johnson, Mark P.&lt;/author&gt;&lt;author&gt;Lordan, Colm&lt;/author&gt;&lt;author&gt;Power, Anne Marie&lt;/author&gt;&lt;/authors&gt;&lt;/contributors&gt;&lt;titles&gt;&lt;title&gt;&lt;style face="normal" font="default" size="100%"&gt;Chapter Two - Habitat and Ecology of &lt;/style&gt;&lt;style face="italic" font="default" size="100%"&gt;Nephrops norvegicus&lt;/style&gt;&lt;/title&gt;&lt;secondary-title&gt;Advances in Marine Biology&lt;/secondary-title&gt;&lt;/titles&gt;&lt;periodical&gt;&lt;full-title&gt;Advances in Marine Biology&lt;/full-title&gt;&lt;/periodical&gt;&lt;pages&gt;27-63&lt;/pages&gt;&lt;volume&gt;64&lt;/volume&gt;&lt;edition&gt;1&lt;/edition&gt;&lt;keywords&gt;&lt;keyword&gt;Catch&lt;/keyword&gt;&lt;keyword&gt;Density&lt;/keyword&gt;&lt;keyword&gt;Distribution&lt;/keyword&gt;&lt;keyword&gt;Ecosystem functions&lt;/keyword&gt;&lt;keyword&gt;Fishery interactions&lt;/keyword&gt;&lt;keyword&gt;Growth&lt;/keyword&gt;&lt;keyword&gt;Sediment&lt;/keyword&gt;&lt;keyword&gt;Size&lt;/keyword&gt;&lt;/keywords&gt;&lt;dates&gt;&lt;year&gt;2013&lt;/year&gt;&lt;/dates&gt;&lt;publisher&gt;Elsevier Ltd.&lt;/publisher&gt;&lt;isbn&gt;9780124104662&lt;/isbn&gt;&lt;urls&gt;&lt;related-urls&gt;&lt;url&gt;http://dx.doi.org/10.1016/B978-0-12-410466-2.00002-9&lt;/url&gt;&lt;/related-urls&gt;&lt;/urls&gt;&lt;electronic-resource-num&gt;10.1016/B978-0-12-410466-2.00002-9&lt;/electronic-resource-num&gt;&lt;/record&gt;&lt;/Cite&gt;&lt;/EndNote&gt;</w:instrText>
      </w:r>
      <w:r w:rsidR="00550FD9" w:rsidRPr="009819CE">
        <w:rPr>
          <w:rFonts w:cstheme="minorBidi"/>
        </w:rPr>
        <w:fldChar w:fldCharType="separate"/>
      </w:r>
      <w:r w:rsidR="00D50EFF" w:rsidRPr="009819CE">
        <w:rPr>
          <w:rFonts w:cstheme="minorBidi"/>
        </w:rPr>
        <w:t>(</w:t>
      </w:r>
      <w:hyperlink w:anchor="_ENREF_158" w:tooltip="Johnson, 2013 #246" w:history="1">
        <w:r w:rsidR="00950097" w:rsidRPr="009819CE">
          <w:rPr>
            <w:rFonts w:cstheme="minorBidi"/>
          </w:rPr>
          <w:t>Johnson et al., 2013</w:t>
        </w:r>
      </w:hyperlink>
      <w:r w:rsidR="00D50EFF" w:rsidRPr="009819CE">
        <w:rPr>
          <w:rFonts w:cstheme="minorBidi"/>
        </w:rPr>
        <w:t>)</w:t>
      </w:r>
      <w:r w:rsidR="00550FD9" w:rsidRPr="009819CE">
        <w:rPr>
          <w:rFonts w:cstheme="minorBidi"/>
        </w:rPr>
        <w:fldChar w:fldCharType="end"/>
      </w:r>
      <w:r w:rsidR="00550FD9" w:rsidRPr="009819CE">
        <w:rPr>
          <w:rFonts w:cstheme="minorBidi"/>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2773A2" w:rsidRPr="00FA7D47" w14:paraId="51F2AB5E" w14:textId="77777777" w:rsidTr="007D6607">
        <w:tc>
          <w:tcPr>
            <w:tcW w:w="5000" w:type="pct"/>
            <w:hideMark/>
          </w:tcPr>
          <w:p w14:paraId="32145AF8" w14:textId="77777777" w:rsidR="002773A2" w:rsidRPr="009819CE" w:rsidRDefault="002773A2" w:rsidP="007D6607">
            <w:pPr>
              <w:spacing w:before="0" w:after="0"/>
              <w:jc w:val="center"/>
              <w:rPr>
                <w:rFonts w:cstheme="minorBidi"/>
                <w:lang w:val="en-GB"/>
                <w14:ligatures w14:val="none"/>
              </w:rPr>
            </w:pPr>
            <w:r w:rsidRPr="00FF34FE">
              <w:rPr>
                <w:rFonts w:cstheme="minorBidi"/>
                <w:noProof/>
              </w:rPr>
              <w:drawing>
                <wp:inline distT="0" distB="0" distL="0" distR="0" wp14:anchorId="0D6E3E01" wp14:editId="1FBC9930">
                  <wp:extent cx="3460282" cy="2543424"/>
                  <wp:effectExtent l="0" t="0" r="6985" b="9525"/>
                  <wp:docPr id="1493204271" name="Picture 1493204271" descr="A map of europe with orange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europe with orange dots&#10;&#10;Description automatically generated with low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89817" cy="2565133"/>
                          </a:xfrm>
                          <a:prstGeom prst="rect">
                            <a:avLst/>
                          </a:prstGeom>
                          <a:noFill/>
                          <a:ln>
                            <a:noFill/>
                          </a:ln>
                        </pic:spPr>
                      </pic:pic>
                    </a:graphicData>
                  </a:graphic>
                </wp:inline>
              </w:drawing>
            </w:r>
          </w:p>
        </w:tc>
      </w:tr>
      <w:tr w:rsidR="002773A2" w:rsidRPr="00FA7D47" w14:paraId="093F85F2" w14:textId="77777777" w:rsidTr="007D6607">
        <w:tc>
          <w:tcPr>
            <w:tcW w:w="5000" w:type="pct"/>
            <w:hideMark/>
          </w:tcPr>
          <w:p w14:paraId="65A515BB" w14:textId="71FEC1B6" w:rsidR="00AF4A17" w:rsidRPr="009819CE" w:rsidRDefault="002773A2" w:rsidP="007D6607">
            <w:pPr>
              <w:spacing w:before="0" w:after="0"/>
              <w:rPr>
                <w:rFonts w:eastAsia="Calibri" w:cstheme="minorBidi"/>
                <w:iCs/>
                <w:color w:val="000000"/>
                <w:sz w:val="22"/>
                <w:szCs w:val="22"/>
                <w:lang w:val="en-GB"/>
                <w14:ligatures w14:val="none"/>
              </w:rPr>
            </w:pPr>
            <w:bookmarkStart w:id="37" w:name="_Ref171329903"/>
            <w:bookmarkStart w:id="38" w:name="_Toc140068599"/>
            <w:bookmarkStart w:id="39" w:name="_Toc204106692"/>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2</w:t>
            </w:r>
            <w:r w:rsidRPr="001F4A34">
              <w:rPr>
                <w:rFonts w:eastAsia="Calibri" w:cstheme="minorBidi"/>
                <w:iCs/>
                <w:color w:val="000000"/>
                <w:sz w:val="22"/>
                <w:szCs w:val="22"/>
              </w:rPr>
              <w:fldChar w:fldCharType="end"/>
            </w:r>
            <w:bookmarkEnd w:id="37"/>
            <w:r w:rsidRPr="009819CE">
              <w:rPr>
                <w:rFonts w:eastAsia="Calibri" w:cstheme="minorBidi"/>
                <w:iCs/>
                <w:color w:val="000000"/>
                <w:sz w:val="22"/>
                <w:szCs w:val="22"/>
                <w:lang w:val="en-GB"/>
                <w14:ligatures w14:val="none"/>
              </w:rPr>
              <w:t xml:space="preserve"> Species records for </w:t>
            </w:r>
            <w:r w:rsidR="00C31E47" w:rsidRPr="009819CE">
              <w:rPr>
                <w:rFonts w:eastAsia="Calibri" w:cstheme="minorBidi"/>
                <w:i/>
                <w:color w:val="000000"/>
                <w:sz w:val="22"/>
                <w:szCs w:val="22"/>
                <w:lang w:val="en-GB"/>
                <w14:ligatures w14:val="none"/>
              </w:rPr>
              <w:t>Nephrops</w:t>
            </w:r>
            <w:r w:rsidRPr="009819CE">
              <w:rPr>
                <w:rFonts w:eastAsia="Calibri" w:cstheme="minorBidi"/>
                <w:i/>
                <w:color w:val="000000"/>
                <w:sz w:val="22"/>
                <w:szCs w:val="22"/>
                <w:lang w:val="en-GB"/>
                <w14:ligatures w14:val="none"/>
              </w:rPr>
              <w:t xml:space="preserve"> norvegicus</w:t>
            </w:r>
            <w:r w:rsidRPr="009819CE">
              <w:rPr>
                <w:rFonts w:eastAsia="Calibri" w:cstheme="minorBidi"/>
                <w:iCs/>
                <w:color w:val="000000"/>
                <w:sz w:val="22"/>
                <w:szCs w:val="22"/>
                <w:lang w:val="en-GB"/>
                <w14:ligatures w14:val="none"/>
              </w:rPr>
              <w:t xml:space="preserve"> in the OBIS database. Source: </w:t>
            </w:r>
            <w:hyperlink w:anchor="_ENREF_158" w:tooltip="Johnson, 2013 #246" w:history="1">
              <w:r w:rsidR="00950097" w:rsidRPr="001F4A34">
                <w:rPr>
                  <w:rFonts w:eastAsia="Calibri" w:cstheme="minorBidi"/>
                  <w:iCs/>
                  <w:color w:val="000000"/>
                  <w:sz w:val="22"/>
                  <w:szCs w:val="22"/>
                </w:rPr>
                <w:fldChar w:fldCharType="begin"/>
              </w:r>
              <w:r w:rsidR="00950097" w:rsidRPr="009819CE">
                <w:rPr>
                  <w:rFonts w:eastAsia="Calibri" w:cstheme="minorBidi"/>
                  <w:iCs/>
                  <w:color w:val="000000"/>
                  <w:sz w:val="22"/>
                  <w:szCs w:val="22"/>
                  <w:lang w:val="en-GB"/>
                </w:rPr>
                <w:instrText xml:space="preserve"> ADDIN EN.CITE &lt;EndNote&gt;&lt;Cite AuthorYear="1"&gt;&lt;Author&gt;Johnson&lt;/Author&gt;&lt;Year&gt;2013&lt;/Year&gt;&lt;RecNum&gt;246&lt;/RecNum&gt;&lt;DisplayText&gt;Johnson et al. (2013)&lt;/DisplayText&gt;&lt;record&gt;&lt;rec-number&gt;246&lt;/rec-number&gt;&lt;foreign-keys&gt;&lt;key app="EN" db-id="sd9wrx9fj09rx3erprsx999o0r5aprvp2zse" timestamp="1687855901" guid="1435e6d3-b32f-4895-aa3b-acc752e1a318"&gt;246&lt;/key&gt;&lt;/foreign-keys&gt;&lt;ref-type name="Book Section"&gt;5&lt;/ref-type&gt;&lt;contributors&gt;&lt;authors&gt;&lt;author&gt;Johnson, Mark P.&lt;/author&gt;&lt;author&gt;Lordan, Colm&lt;/author&gt;&lt;author&gt;Power, Anne Marie&lt;/author&gt;&lt;/authors&gt;&lt;/contributors&gt;&lt;titles&gt;&lt;title&gt;&lt;style face="normal" font="default" size="100%"&gt;Chapter Two - Habitat and Ecology of &lt;/style&gt;&lt;style face="italic" font="default" size="100%"&gt;Nephrops norvegicus&lt;/style&gt;&lt;/title&gt;&lt;secondary-title&gt;Advances in Marine Biology&lt;/secondary-title&gt;&lt;/titles&gt;&lt;periodical&gt;&lt;full-title&gt;Advances in Marine Biology&lt;/full-title&gt;&lt;/periodical&gt;&lt;pages&gt;27-63&lt;/pages&gt;&lt;volume&gt;64&lt;/volume&gt;&lt;edition&gt;1&lt;/edition&gt;&lt;keywords&gt;&lt;keyword&gt;Catch&lt;/keyword&gt;&lt;keyword&gt;Density&lt;/keyword&gt;&lt;keyword&gt;Distribution&lt;/keyword&gt;&lt;keyword&gt;Ecosystem functions&lt;/keyword&gt;&lt;keyword&gt;Fishery interactions&lt;/keyword&gt;&lt;keyword&gt;Growth&lt;/keyword&gt;&lt;keyword&gt;Sediment&lt;/keyword&gt;&lt;keyword&gt;Size&lt;/keyword&gt;&lt;/keywords&gt;&lt;dates&gt;&lt;year&gt;2013&lt;/year&gt;&lt;/dates&gt;&lt;publisher&gt;Elsevier Ltd.&lt;/publisher&gt;&lt;isbn&gt;9780124104662&lt;/isbn&gt;&lt;urls&gt;&lt;related-urls&gt;&lt;url&gt;http://dx.doi.org/10.1016/B978-0-12-410466-2.00002-9&lt;/url&gt;&lt;/related-urls&gt;&lt;/urls&gt;&lt;electronic-resource-num&gt;10.1016/B978-0-12-410466-2.00002-9&lt;/electronic-resource-num&gt;&lt;/record&gt;&lt;/Cite&gt;&lt;/EndNote&gt;</w:instrText>
              </w:r>
              <w:r w:rsidR="00950097" w:rsidRPr="001F4A34">
                <w:rPr>
                  <w:rFonts w:eastAsia="Calibri" w:cstheme="minorBidi"/>
                  <w:iCs/>
                  <w:color w:val="000000"/>
                  <w:sz w:val="22"/>
                  <w:szCs w:val="22"/>
                </w:rPr>
                <w:fldChar w:fldCharType="separate"/>
              </w:r>
              <w:r w:rsidR="00950097" w:rsidRPr="009819CE">
                <w:rPr>
                  <w:rFonts w:eastAsia="Calibri" w:cstheme="minorBidi"/>
                  <w:iCs/>
                  <w:color w:val="000000"/>
                  <w:sz w:val="22"/>
                  <w:szCs w:val="22"/>
                  <w:lang w:val="en-GB"/>
                  <w14:ligatures w14:val="none"/>
                </w:rPr>
                <w:t>Johnson et al. (2013)</w:t>
              </w:r>
              <w:r w:rsidR="00950097" w:rsidRPr="001F4A34">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38"/>
            <w:bookmarkEnd w:id="39"/>
          </w:p>
        </w:tc>
      </w:tr>
    </w:tbl>
    <w:p w14:paraId="513EA0C6" w14:textId="77777777" w:rsidR="001B0CD2" w:rsidRPr="009819CE" w:rsidRDefault="001B0CD2" w:rsidP="001B0CD2">
      <w:pPr>
        <w:sectPr w:rsidR="001B0CD2" w:rsidRPr="009819CE" w:rsidSect="001B0CD2">
          <w:pgSz w:w="11900" w:h="16840" w:code="9"/>
          <w:pgMar w:top="1440" w:right="1440" w:bottom="1440" w:left="1440" w:header="720" w:footer="720" w:gutter="0"/>
          <w:cols w:space="720"/>
          <w:docGrid w:linePitch="360"/>
        </w:sectPr>
      </w:pPr>
      <w:bookmarkStart w:id="40" w:name="_Toc94799227"/>
      <w:bookmarkStart w:id="41" w:name="_Ref157966472"/>
    </w:p>
    <w:p w14:paraId="650254AD" w14:textId="32A30E7F" w:rsidR="002773A2" w:rsidRPr="009819CE" w:rsidRDefault="00C31E47" w:rsidP="009A1A81">
      <w:pPr>
        <w:pStyle w:val="Heading3"/>
        <w:rPr>
          <w:rFonts w:cstheme="minorBidi"/>
          <w:i/>
        </w:rPr>
      </w:pPr>
      <w:bookmarkStart w:id="42" w:name="_Toc204106593"/>
      <w:r w:rsidRPr="009819CE">
        <w:rPr>
          <w:rFonts w:cstheme="minorBidi"/>
          <w:i/>
        </w:rPr>
        <w:t>Nephrops</w:t>
      </w:r>
      <w:r w:rsidR="002773A2" w:rsidRPr="009819CE">
        <w:rPr>
          <w:rFonts w:cstheme="minorBidi"/>
          <w:i/>
        </w:rPr>
        <w:t xml:space="preserve"> </w:t>
      </w:r>
      <w:r w:rsidR="002773A2" w:rsidRPr="009819CE">
        <w:rPr>
          <w:rFonts w:cstheme="minorBidi"/>
          <w:iCs/>
        </w:rPr>
        <w:t>life cycle</w:t>
      </w:r>
      <w:bookmarkEnd w:id="40"/>
      <w:bookmarkEnd w:id="41"/>
      <w:bookmarkEnd w:id="42"/>
    </w:p>
    <w:p w14:paraId="06137A7B" w14:textId="1F13AB6F" w:rsidR="005354BE" w:rsidRPr="009819CE" w:rsidRDefault="005354BE" w:rsidP="005354BE">
      <w:pPr>
        <w:rPr>
          <w:rFonts w:cstheme="minorBidi"/>
        </w:rPr>
      </w:pPr>
      <w:bookmarkStart w:id="43" w:name="_Ref81491981"/>
      <w:bookmarkStart w:id="44" w:name="_Toc94709944"/>
      <w:bookmarkStart w:id="45" w:name="_Toc140068666"/>
      <w:r w:rsidRPr="009819CE">
        <w:rPr>
          <w:rFonts w:cstheme="minorBidi"/>
        </w:rPr>
        <w:t xml:space="preserve">The life cycle of </w:t>
      </w:r>
      <w:r w:rsidR="00C31E47" w:rsidRPr="009819CE">
        <w:rPr>
          <w:rFonts w:cstheme="minorBidi"/>
          <w:i/>
          <w:iCs/>
        </w:rPr>
        <w:t>Nephrops</w:t>
      </w:r>
      <w:r w:rsidRPr="009819CE">
        <w:rPr>
          <w:rFonts w:cstheme="minorBidi"/>
        </w:rPr>
        <w:t xml:space="preserve"> exhibits notable variations across its geographical range. In areas such as the Clyde Sea Area (CSA), the Mediterranean, the Iberian Peninsula, the Bay of Biscay, the Irish Sea, and the majority of the North Sea, populations adhere to an annual breeding cycle. Key events in the reproductive cycle of</w:t>
      </w:r>
      <w:r w:rsidR="0059672E" w:rsidRPr="00FA7D47">
        <w:rPr>
          <w:rFonts w:cstheme="minorBidi"/>
        </w:rPr>
        <w:t xml:space="preserve"> female</w:t>
      </w:r>
      <w:r w:rsidRPr="009819CE">
        <w:rPr>
          <w:rFonts w:cstheme="minorBidi"/>
        </w:rPr>
        <w:t xml:space="preserve"> </w:t>
      </w:r>
      <w:r w:rsidR="00C31E47" w:rsidRPr="009819CE">
        <w:rPr>
          <w:rFonts w:cstheme="minorBidi"/>
          <w:i/>
          <w:iCs/>
        </w:rPr>
        <w:t>Nephrops</w:t>
      </w:r>
      <w:r w:rsidRPr="009819CE">
        <w:rPr>
          <w:rFonts w:cstheme="minorBidi"/>
        </w:rPr>
        <w:t xml:space="preserve"> are outlined in</w:t>
      </w:r>
      <w:r w:rsidR="00B93B53" w:rsidRPr="009819CE">
        <w:rPr>
          <w:rFonts w:cstheme="minorBidi"/>
        </w:rPr>
        <w:t xml:space="preserve"> </w:t>
      </w:r>
      <w:r w:rsidR="00B93B53" w:rsidRPr="009819CE">
        <w:rPr>
          <w:rFonts w:cstheme="minorBidi"/>
        </w:rPr>
        <w:fldChar w:fldCharType="begin"/>
      </w:r>
      <w:r w:rsidR="00B93B53" w:rsidRPr="009819CE">
        <w:rPr>
          <w:rFonts w:cstheme="minorBidi"/>
        </w:rPr>
        <w:instrText xml:space="preserve"> REF _Ref171330315 \h </w:instrText>
      </w:r>
      <w:r w:rsidR="008B0BF3" w:rsidRPr="009819CE">
        <w:rPr>
          <w:rFonts w:cstheme="minorBidi"/>
        </w:rPr>
        <w:instrText xml:space="preserve"> \* MERGEFORMAT </w:instrText>
      </w:r>
      <w:r w:rsidR="00B93B53" w:rsidRPr="009819CE">
        <w:rPr>
          <w:rFonts w:cstheme="minorBidi"/>
        </w:rPr>
      </w:r>
      <w:r w:rsidR="00B93B53" w:rsidRPr="009819CE">
        <w:rPr>
          <w:rFonts w:cstheme="minorBidi"/>
        </w:rPr>
        <w:fldChar w:fldCharType="separate"/>
      </w:r>
      <w:r w:rsidR="008549FC" w:rsidRPr="009819CE">
        <w:rPr>
          <w:rFonts w:eastAsia="Calibri" w:cstheme="minorBidi"/>
          <w:b/>
          <w:iCs/>
          <w:color w:val="000000"/>
          <w:sz w:val="22"/>
        </w:rPr>
        <w:t xml:space="preserve">Table </w:t>
      </w:r>
      <w:r w:rsidR="008549FC">
        <w:rPr>
          <w:rFonts w:eastAsia="Calibri" w:cstheme="minorBidi"/>
          <w:b/>
          <w:iCs/>
          <w:color w:val="000000"/>
          <w:sz w:val="22"/>
        </w:rPr>
        <w:t>1.1</w:t>
      </w:r>
      <w:r w:rsidR="00B93B53" w:rsidRPr="009819CE">
        <w:rPr>
          <w:rFonts w:cstheme="minorBidi"/>
        </w:rPr>
        <w:fldChar w:fldCharType="end"/>
      </w:r>
      <w:r w:rsidRPr="009819CE">
        <w:rPr>
          <w:rFonts w:cstheme="minorBidi"/>
        </w:rPr>
        <w:t xml:space="preserve">. However, in regions around Iceland and the Faroe Islands, where water temperatures are lower, </w:t>
      </w:r>
      <w:r w:rsidR="00C31E47" w:rsidRPr="009819CE">
        <w:rPr>
          <w:rFonts w:cstheme="minorBidi"/>
          <w:i/>
          <w:iCs/>
        </w:rPr>
        <w:t>Nephrops</w:t>
      </w:r>
      <w:r w:rsidRPr="009819CE">
        <w:rPr>
          <w:rFonts w:cstheme="minorBidi"/>
        </w:rPr>
        <w:t xml:space="preserve"> populations follow a biennial breeding cycle </w:t>
      </w:r>
      <w:r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Pr="009819CE">
        <w:rPr>
          <w:rFonts w:cstheme="minorBidi"/>
        </w:rPr>
        <w:fldChar w:fldCharType="end"/>
      </w:r>
      <w:r w:rsidRPr="009819CE">
        <w:rPr>
          <w:rFonts w:cstheme="minorBidi"/>
        </w:rPr>
        <w:t xml:space="preserve">. Lower temperatures result in a significantly longer incubation period, leading to a delay in the hatching season, which overlaps with the spawning season. As a result, females inhabiting colder regions are unable to complete the reproductive cycle within a single year. </w:t>
      </w:r>
    </w:p>
    <w:p w14:paraId="344E7F66" w14:textId="441D001A" w:rsidR="005354BE" w:rsidRPr="009819CE" w:rsidRDefault="00C31E47" w:rsidP="005354BE">
      <w:pPr>
        <w:spacing w:before="0" w:after="0"/>
        <w:rPr>
          <w:rFonts w:cstheme="minorBidi"/>
        </w:rPr>
      </w:pPr>
      <w:r w:rsidRPr="009819CE">
        <w:rPr>
          <w:rFonts w:cstheme="minorBidi"/>
          <w:i/>
          <w:iCs/>
        </w:rPr>
        <w:t>Nephrops</w:t>
      </w:r>
      <w:r w:rsidR="005354BE" w:rsidRPr="009819CE">
        <w:rPr>
          <w:rFonts w:cstheme="minorBidi"/>
        </w:rPr>
        <w:t xml:space="preserve"> reaches sexual maturity between 2 to 3 years of age. </w:t>
      </w:r>
      <w:r w:rsidR="00BD75BD" w:rsidRPr="00FA7D47">
        <w:rPr>
          <w:rFonts w:cstheme="minorBidi"/>
        </w:rPr>
        <w:t>Size at o</w:t>
      </w:r>
      <w:r w:rsidR="005354BE" w:rsidRPr="009819CE">
        <w:rPr>
          <w:rFonts w:cstheme="minorBidi"/>
        </w:rPr>
        <w:t xml:space="preserve">nset of sexual maturity </w:t>
      </w:r>
      <w:r w:rsidR="00BD75BD" w:rsidRPr="00FA7D47">
        <w:rPr>
          <w:rFonts w:cstheme="minorBidi"/>
        </w:rPr>
        <w:t>(SOM)</w:t>
      </w:r>
      <w:r w:rsidR="005354BE" w:rsidRPr="009819CE">
        <w:rPr>
          <w:rFonts w:cstheme="minorBidi"/>
        </w:rPr>
        <w:t xml:space="preserve"> can be reached by males, typically measuring ≥29 mm in carapace length, as well as females with a carapace length of approximately ≥26 mm </w:t>
      </w:r>
      <w:r w:rsidR="005354BE" w:rsidRPr="009819CE">
        <w:rPr>
          <w:rFonts w:cstheme="minorBidi"/>
        </w:rPr>
        <w:fldChar w:fldCharType="begin">
          <w:fldData xml:space="preserve">PEVuZE5vdGU+PENpdGU+PEF1dGhvcj5RdWVpcsOzczwvQXV0aG9yPjxZZWFyPjIwMTM8L1llYXI+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</w:fldData>
        </w:fldChar>
      </w:r>
      <w:r w:rsidR="00E11994" w:rsidRPr="009819CE">
        <w:rPr>
          <w:rFonts w:cstheme="minorBidi"/>
        </w:rPr>
        <w:instrText xml:space="preserve"> ADDIN EN.CITE </w:instrText>
      </w:r>
      <w:r w:rsidR="00E11994" w:rsidRPr="009819CE">
        <w:rPr>
          <w:rFonts w:cstheme="minorBidi"/>
        </w:rPr>
        <w:fldChar w:fldCharType="begin">
          <w:fldData xml:space="preserve">PEVuZE5vdGU+PENpdGU+PEF1dGhvcj5RdWVpcsOzczwvQXV0aG9yPjxZZWFyPjIwMTM8L1llYXI+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</w:fldData>
        </w:fldChar>
      </w:r>
      <w:r w:rsidR="00E11994" w:rsidRPr="009819CE">
        <w:rPr>
          <w:rFonts w:cstheme="minorBidi"/>
        </w:rPr>
        <w:instrText xml:space="preserve"> ADDIN EN.CITE.DATA </w:instrText>
      </w:r>
      <w:r w:rsidR="00E11994" w:rsidRPr="009819CE">
        <w:rPr>
          <w:rFonts w:cstheme="minorBidi"/>
        </w:rPr>
      </w:r>
      <w:r w:rsidR="00E11994" w:rsidRPr="009819CE">
        <w:rPr>
          <w:rFonts w:cstheme="minorBidi"/>
        </w:rPr>
        <w:fldChar w:fldCharType="end"/>
      </w:r>
      <w:r w:rsidR="005354BE" w:rsidRPr="009819CE">
        <w:rPr>
          <w:rFonts w:cstheme="minorBidi"/>
        </w:rPr>
      </w:r>
      <w:r w:rsidR="005354BE" w:rsidRPr="009819CE">
        <w:rPr>
          <w:rFonts w:cstheme="minorBidi"/>
        </w:rPr>
        <w:fldChar w:fldCharType="separate"/>
      </w:r>
      <w:r w:rsidR="00D50EFF" w:rsidRPr="001F4A34">
        <w:rPr>
          <w:rFonts w:cstheme="minorBidi"/>
        </w:rPr>
        <w:t>(</w:t>
      </w:r>
      <w:hyperlink w:anchor="_ENREF_250" w:tooltip="Queirós, 2013 #859" w:history="1">
        <w:r w:rsidR="00950097" w:rsidRPr="001F4A34">
          <w:rPr>
            <w:rFonts w:cstheme="minorBidi"/>
          </w:rPr>
          <w:t>Queirós et al., 2013</w:t>
        </w:r>
      </w:hyperlink>
      <w:r w:rsidR="00D50EFF" w:rsidRPr="001F4A34">
        <w:rPr>
          <w:rFonts w:cstheme="minorBidi"/>
        </w:rPr>
        <w:t xml:space="preserve">; </w:t>
      </w:r>
      <w:hyperlink w:anchor="_ENREF_330" w:tooltip="Tuck, 2000 #860" w:history="1">
        <w:r w:rsidR="00950097" w:rsidRPr="001F4A34">
          <w:rPr>
            <w:rFonts w:cstheme="minorBidi"/>
          </w:rPr>
          <w:t>Tuck et al., 2000</w:t>
        </w:r>
      </w:hyperlink>
      <w:r w:rsidR="00D50EFF" w:rsidRPr="001F4A34">
        <w:rPr>
          <w:rFonts w:cstheme="minorBidi"/>
        </w:rPr>
        <w:t xml:space="preserve">; </w:t>
      </w:r>
      <w:hyperlink w:anchor="_ENREF_352" w:tooltip="Watts, 2016 #199" w:history="1">
        <w:r w:rsidR="00950097" w:rsidRPr="001F4A34">
          <w:rPr>
            <w:rFonts w:cstheme="minorBidi"/>
          </w:rPr>
          <w:t>Watts et al., 2016</w:t>
        </w:r>
      </w:hyperlink>
      <w:r w:rsidR="00D50EFF" w:rsidRPr="001F4A34">
        <w:rPr>
          <w:rFonts w:cstheme="minorBidi"/>
        </w:rPr>
        <w:t>)</w:t>
      </w:r>
      <w:r w:rsidR="005354BE" w:rsidRPr="009819CE">
        <w:rPr>
          <w:rFonts w:cstheme="minorBidi"/>
        </w:rPr>
        <w:fldChar w:fldCharType="end"/>
      </w:r>
      <w:r w:rsidR="005354BE" w:rsidRPr="009819CE">
        <w:rPr>
          <w:rFonts w:cstheme="minorBidi"/>
        </w:rPr>
        <w:t xml:space="preserve">. During late spring, sexually mature individuals undergo moulting, followed by mating shortly after the moulting process </w:t>
      </w:r>
      <w:r w:rsidR="005354BE" w:rsidRPr="009819CE">
        <w:rPr>
          <w:rFonts w:cstheme="minorBidi"/>
        </w:rPr>
        <w:fldChar w:fldCharType="begin"/>
      </w:r>
      <w:r w:rsidR="00D50EFF" w:rsidRPr="009819CE">
        <w:rPr>
          <w:rFonts w:cstheme="minorBidi"/>
        </w:rPr>
        <w:instrText xml:space="preserve"> ADDIN EN.CITE &lt;EndNote&gt;&lt;Cite&gt;&lt;Author&gt;Farmer&lt;/Author&gt;&lt;Year&gt;1974&lt;/Year&gt;&lt;RecNum&gt;571&lt;/RecNum&gt;&lt;DisplayText&gt;(Farmer, 1974)&lt;/DisplayText&gt;&lt;record&gt;&lt;rec-number&gt;571&lt;/rec-number&gt;&lt;foreign-keys&gt;&lt;key app="EN" db-id="sd9wrx9fj09rx3erprsx999o0r5aprvp2zse" timestamp="1687855901" guid="04fc3025-f0af-4744-9aed-0c5e1ab43b95"&gt;571&lt;/key&gt;&lt;/foreign-keys&gt;&lt;ref-type name="Journal Article"&gt;17&lt;/ref-type&gt;&lt;contributors&gt;&lt;authors&gt;&lt;author&gt;Farmer, A. S&lt;/author&gt;&lt;/authors&gt;&lt;/contributors&gt;&lt;titles&gt;&lt;title&gt;&lt;style face="normal" font="default" size="100%"&gt;The development of the external sexual characters of &lt;/style&gt;&lt;style face="italic" font="default" size="100%"&gt;Nephrops norvegicus&lt;/style&gt;&lt;style face="normal" font="default" size="100%"&gt; (L.) (Decapoda: &lt;/style&gt;&lt;style face="italic" font="default" size="100%"&gt;Nephropidae&lt;/style&gt;&lt;style face="normal" font="default" size="100%"&gt;)&lt;/style&gt;&lt;/title&gt;&lt;secondary-title&gt;Journal of Natural History&lt;/secondary-title&gt;&lt;/titles&gt;&lt;periodical&gt;&lt;full-title&gt;Journal of Natural History&lt;/full-title&gt;&lt;/periodical&gt;&lt;pages&gt;241-255&lt;/pages&gt;&lt;volume&gt;8&lt;/volume&gt;&lt;number&gt;3&lt;/number&gt;&lt;dates&gt;&lt;year&gt;1974&lt;/year&gt;&lt;pub-dates&gt;&lt;date&gt;1974/6//&lt;/date&gt;&lt;/pub-dates&gt;&lt;/dates&gt;&lt;publisher&gt;Taylor &amp;amp; Francis Group&lt;/publisher&gt;&lt;urls&gt;&lt;related-urls&gt;&lt;url&gt;http://www.tandfonline.com/doi/abs/10.1080/00222937400770231&lt;/url&gt;&lt;/related-urls&gt;&lt;/urls&gt;&lt;electronic-resource-num&gt;10.1080/00222937400770231&lt;/electronic-resource-num&gt;&lt;/record&gt;&lt;/Cite&gt;&lt;/EndNote&gt;</w:instrText>
      </w:r>
      <w:r w:rsidR="005354BE" w:rsidRPr="009819CE">
        <w:rPr>
          <w:rFonts w:cstheme="minorBidi"/>
        </w:rPr>
        <w:fldChar w:fldCharType="separate"/>
      </w:r>
      <w:r w:rsidR="00D50EFF" w:rsidRPr="009819CE">
        <w:rPr>
          <w:rFonts w:cstheme="minorBidi"/>
        </w:rPr>
        <w:t>(</w:t>
      </w:r>
      <w:hyperlink w:anchor="_ENREF_87" w:tooltip="Farmer, 1974 #571" w:history="1">
        <w:r w:rsidR="00950097" w:rsidRPr="009819CE">
          <w:rPr>
            <w:rFonts w:cstheme="minorBidi"/>
          </w:rPr>
          <w:t>Farmer, 1974</w:t>
        </w:r>
      </w:hyperlink>
      <w:r w:rsidR="00D50EFF" w:rsidRPr="009819CE">
        <w:rPr>
          <w:rFonts w:cstheme="minorBidi"/>
        </w:rPr>
        <w:t>)</w:t>
      </w:r>
      <w:r w:rsidR="005354BE" w:rsidRPr="009819CE">
        <w:rPr>
          <w:rFonts w:cstheme="minorBidi"/>
        </w:rPr>
        <w:fldChar w:fldCharType="end"/>
      </w:r>
      <w:r w:rsidR="005354BE" w:rsidRPr="009819CE">
        <w:rPr>
          <w:rFonts w:cstheme="minorBidi"/>
        </w:rPr>
        <w:t xml:space="preserve">. Copulation typically takes place at night, within 24 to 48 hours after the female's moulting.  </w:t>
      </w:r>
      <w:r w:rsidR="007F06C9" w:rsidRPr="00FA7D47">
        <w:rPr>
          <w:rFonts w:cstheme="minorBidi"/>
        </w:rPr>
        <w:t>S</w:t>
      </w:r>
      <w:r w:rsidR="005354BE" w:rsidRPr="009819CE">
        <w:rPr>
          <w:rFonts w:cstheme="minorBidi"/>
        </w:rPr>
        <w:t xml:space="preserve">perm </w:t>
      </w:r>
      <w:r w:rsidR="007F06C9" w:rsidRPr="00FA7D47">
        <w:rPr>
          <w:rFonts w:cstheme="minorBidi"/>
        </w:rPr>
        <w:t xml:space="preserve">are </w:t>
      </w:r>
      <w:r w:rsidR="005354BE" w:rsidRPr="009819CE">
        <w:rPr>
          <w:rFonts w:cstheme="minorBidi"/>
        </w:rPr>
        <w:t xml:space="preserve">shed along with the cuticle of the spermatheca during moulting. Consequently, females need to engage in re-mating with each ovarian cycle </w:t>
      </w:r>
      <w:r w:rsidR="005354BE" w:rsidRPr="009819CE">
        <w:rPr>
          <w:rFonts w:cstheme="minorBidi"/>
        </w:rPr>
        <w:fldChar w:fldCharType="begin"/>
      </w:r>
      <w:r w:rsidR="00A8698B" w:rsidRPr="009819CE">
        <w:rPr>
          <w:rFonts w:cstheme="minorBidi"/>
        </w:rPr>
        <w:instrText xml:space="preserve"> ADDIN EN.CITE &lt;EndNote&gt;&lt;Cite&gt;&lt;Author&gt;Becker&lt;/Author&gt;&lt;Year&gt;2020&lt;/Year&gt;&lt;RecNum&gt;414&lt;/RecNum&gt;&lt;DisplayText&gt;(Becker et al., 2020)&lt;/DisplayText&gt;&lt;record&gt;&lt;rec-number&gt;414&lt;/rec-number&gt;&lt;foreign-keys&gt;&lt;key app="EN" db-id="sd9wrx9fj09rx3erprsx999o0r5aprvp2zse" timestamp="1687855901" guid="39d2120c-c9c9-4746-8b9b-b422d9bc570b"&gt;414&lt;/key&gt;&lt;/foreign-keys&gt;&lt;ref-type name="Journal Article"&gt;17&lt;/ref-type&gt;&lt;contributors&gt;&lt;authors&gt;&lt;author&gt;Becker, Carola&lt;/author&gt;&lt;author&gt;Dick, Jaimie T. A. A.&lt;/author&gt;&lt;author&gt;Mánus Cunningham, E.&lt;/author&gt;&lt;author&gt;Lundy, Mathieu&lt;/author&gt;&lt;author&gt;Bell, Ewen&lt;/author&gt;&lt;author&gt;Eagling, Lawrence&lt;/author&gt;&lt;author&gt;Sigwart, Julia D.&lt;/author&gt;&lt;/authors&gt;&lt;/contributors&gt;&lt;titles&gt;&lt;title&gt;&lt;style face="normal" font="default" size="100%"&gt;Ovary resorption in the Norway lobster (&lt;/style&gt;&lt;style face="italic" font="default" size="100%"&gt;Nephrops norvegicus&lt;/style&gt;&lt;style face="normal" font="default" size="100%"&gt;) and its possible causes with special reference to sperm storage&lt;/style&gt;&lt;/title&gt;&lt;secondary-title&gt;Helgoland Marine Research&lt;/secondary-title&gt;&lt;/titles&gt;&lt;periodical&gt;&lt;full-title&gt;Helgoland Marine Research&lt;/full-title&gt;&lt;/periodical&gt;&lt;pages&gt;12-12&lt;/pages&gt;&lt;volume&gt;74&lt;/volume&gt;&lt;number&gt;1&lt;/number&gt;&lt;dates&gt;&lt;year&gt;2020&lt;/year&gt;&lt;pub-dates&gt;&lt;date&gt;2020/12//&lt;/date&gt;&lt;/pub-dates&gt;&lt;/dates&gt;&lt;publisher&gt;BioMed Central&lt;/publisher&gt;&lt;isbn&gt;4926480336&lt;/isbn&gt;&lt;urls&gt;&lt;related-urls&gt;&lt;url&gt;https://doi.org/10.1186/s10152-020-00543-8&lt;/url&gt;&lt;url&gt;https://hmr.biomedcentral.com/articles/10.1186/s10152-020-00543-8&lt;/url&gt;&lt;/related-urls&gt;&lt;/urls&gt;&lt;electronic-resource-num&gt;10.1186/s10152-020-00543-8&lt;/electronic-resource-num&gt;&lt;/record&gt;&lt;/Cite&gt;&lt;/EndNote&gt;</w:instrText>
      </w:r>
      <w:r w:rsidR="005354BE" w:rsidRPr="009819CE">
        <w:rPr>
          <w:rFonts w:cstheme="minorBidi"/>
        </w:rPr>
        <w:fldChar w:fldCharType="separate"/>
      </w:r>
      <w:r w:rsidR="00A8698B" w:rsidRPr="009819CE">
        <w:rPr>
          <w:rFonts w:cstheme="minorBidi"/>
        </w:rPr>
        <w:t>(</w:t>
      </w:r>
      <w:hyperlink w:anchor="_ENREF_27" w:tooltip="Becker, 2020 #414" w:history="1">
        <w:r w:rsidR="00950097" w:rsidRPr="009819CE">
          <w:rPr>
            <w:rFonts w:cstheme="minorBidi"/>
          </w:rPr>
          <w:t>Becker et al., 2020</w:t>
        </w:r>
      </w:hyperlink>
      <w:r w:rsidR="00A8698B" w:rsidRPr="009819CE">
        <w:rPr>
          <w:rFonts w:cstheme="minorBidi"/>
        </w:rPr>
        <w:t>)</w:t>
      </w:r>
      <w:r w:rsidR="005354BE" w:rsidRPr="009819CE">
        <w:rPr>
          <w:rFonts w:cstheme="minorBidi"/>
        </w:rPr>
        <w:fldChar w:fldCharType="end"/>
      </w:r>
      <w:r w:rsidR="005354BE" w:rsidRPr="009819CE">
        <w:rPr>
          <w:rFonts w:cstheme="minorBidi"/>
        </w:rPr>
        <w:t xml:space="preserve">. Fertilized eggs are carried by the female on her abdomen for a period of 8 to 9 months until they hatch the following year. The specific process of fertilization in </w:t>
      </w:r>
      <w:r w:rsidRPr="009819CE">
        <w:rPr>
          <w:rFonts w:cstheme="minorBidi"/>
          <w:i/>
          <w:iCs/>
        </w:rPr>
        <w:t>Nephrops</w:t>
      </w:r>
      <w:r w:rsidR="005354BE" w:rsidRPr="009819CE">
        <w:rPr>
          <w:rFonts w:cstheme="minorBidi"/>
        </w:rPr>
        <w:t xml:space="preserve"> has not been extensively studied; however, it occurs externally in a similar manner to </w:t>
      </w:r>
      <w:r w:rsidR="005354BE" w:rsidRPr="009819CE">
        <w:rPr>
          <w:rFonts w:cstheme="minorBidi"/>
          <w:i/>
          <w:iCs/>
        </w:rPr>
        <w:t>Homarus americanus</w:t>
      </w:r>
      <w:r w:rsidR="008D1BAF" w:rsidRPr="00FA7D47">
        <w:rPr>
          <w:rFonts w:cstheme="minorBidi"/>
          <w:i/>
          <w:iCs/>
        </w:rPr>
        <w:t xml:space="preserve"> </w:t>
      </w:r>
      <w:r w:rsidR="008D1BAF" w:rsidRPr="00FA7D47">
        <w:t>H. Milne Edwards, 1837</w:t>
      </w:r>
      <w:r w:rsidR="005354BE" w:rsidRPr="009819CE">
        <w:rPr>
          <w:rFonts w:cstheme="minorBidi"/>
        </w:rPr>
        <w:t xml:space="preserve"> </w:t>
      </w:r>
      <w:r w:rsidR="005354BE" w:rsidRPr="009819CE">
        <w:rPr>
          <w:rFonts w:cstheme="minorBidi"/>
        </w:rPr>
        <w:fldChar w:fldCharType="begin"/>
      </w:r>
      <w:r w:rsidR="00A8698B" w:rsidRPr="009819CE">
        <w:rPr>
          <w:rFonts w:cstheme="minorBidi"/>
        </w:rPr>
        <w:instrText xml:space="preserve"> ADDIN EN.CITE &lt;EndNote&gt;&lt;Cite&gt;&lt;Author&gt;Becker&lt;/Author&gt;&lt;Year&gt;2020&lt;/Year&gt;&lt;RecNum&gt;414&lt;/RecNum&gt;&lt;DisplayText&gt;(Becker et al., 2020)&lt;/DisplayText&gt;&lt;record&gt;&lt;rec-number&gt;414&lt;/rec-number&gt;&lt;foreign-keys&gt;&lt;key app="EN" db-id="sd9wrx9fj09rx3erprsx999o0r5aprvp2zse" timestamp="1687855901" guid="39d2120c-c9c9-4746-8b9b-b422d9bc570b"&gt;414&lt;/key&gt;&lt;/foreign-keys&gt;&lt;ref-type name="Journal Article"&gt;17&lt;/ref-type&gt;&lt;contributors&gt;&lt;authors&gt;&lt;author&gt;Becker, Carola&lt;/author&gt;&lt;author&gt;Dick, Jaimie T. A. A.&lt;/author&gt;&lt;author&gt;Mánus Cunningham, E.&lt;/author&gt;&lt;author&gt;Lundy, Mathieu&lt;/author&gt;&lt;author&gt;Bell, Ewen&lt;/author&gt;&lt;author&gt;Eagling, Lawrence&lt;/author&gt;&lt;author&gt;Sigwart, Julia D.&lt;/author&gt;&lt;/authors&gt;&lt;/contributors&gt;&lt;titles&gt;&lt;title&gt;&lt;style face="normal" font="default" size="100%"&gt;Ovary resorption in the Norway lobster (&lt;/style&gt;&lt;style face="italic" font="default" size="100%"&gt;Nephrops norvegicus&lt;/style&gt;&lt;style face="normal" font="default" size="100%"&gt;) and its possible causes with special reference to sperm storage&lt;/style&gt;&lt;/title&gt;&lt;secondary-title&gt;Helgoland Marine Research&lt;/secondary-title&gt;&lt;/titles&gt;&lt;periodical&gt;&lt;full-title&gt;Helgoland Marine Research&lt;/full-title&gt;&lt;/periodical&gt;&lt;pages&gt;12-12&lt;/pages&gt;&lt;volume&gt;74&lt;/volume&gt;&lt;number&gt;1&lt;/number&gt;&lt;dates&gt;&lt;year&gt;2020&lt;/year&gt;&lt;pub-dates&gt;&lt;date&gt;2020/12//&lt;/date&gt;&lt;/pub-dates&gt;&lt;/dates&gt;&lt;publisher&gt;BioMed Central&lt;/publisher&gt;&lt;isbn&gt;4926480336&lt;/isbn&gt;&lt;urls&gt;&lt;related-urls&gt;&lt;url&gt;https://doi.org/10.1186/s10152-020-00543-8&lt;/url&gt;&lt;url&gt;https://hmr.biomedcentral.com/articles/10.1186/s10152-020-00543-8&lt;/url&gt;&lt;/related-urls&gt;&lt;/urls&gt;&lt;electronic-resource-num&gt;10.1186/s10152-020-00543-8&lt;/electronic-resource-num&gt;&lt;/record&gt;&lt;/Cite&gt;&lt;/EndNote&gt;</w:instrText>
      </w:r>
      <w:r w:rsidR="005354BE" w:rsidRPr="009819CE">
        <w:rPr>
          <w:rFonts w:cstheme="minorBidi"/>
        </w:rPr>
        <w:fldChar w:fldCharType="separate"/>
      </w:r>
      <w:r w:rsidR="00A8698B" w:rsidRPr="009819CE">
        <w:rPr>
          <w:rFonts w:cstheme="minorBidi"/>
        </w:rPr>
        <w:t>(</w:t>
      </w:r>
      <w:hyperlink w:anchor="_ENREF_27" w:tooltip="Becker, 2020 #414" w:history="1">
        <w:r w:rsidR="00950097" w:rsidRPr="009819CE">
          <w:rPr>
            <w:rFonts w:cstheme="minorBidi"/>
          </w:rPr>
          <w:t>Becker et al., 2020</w:t>
        </w:r>
      </w:hyperlink>
      <w:r w:rsidR="00A8698B" w:rsidRPr="009819CE">
        <w:rPr>
          <w:rFonts w:cstheme="minorBidi"/>
        </w:rPr>
        <w:t>)</w:t>
      </w:r>
      <w:r w:rsidR="005354BE" w:rsidRPr="009819CE">
        <w:rPr>
          <w:rFonts w:cstheme="minorBidi"/>
        </w:rPr>
        <w:fldChar w:fldCharType="end"/>
      </w:r>
      <w:r w:rsidR="005354BE" w:rsidRPr="009819CE">
        <w:rPr>
          <w:rFonts w:cstheme="minorBidi"/>
          <w:i/>
          <w:iCs/>
        </w:rPr>
        <w:t xml:space="preserve">. </w:t>
      </w:r>
      <w:r w:rsidR="005354BE" w:rsidRPr="009819CE">
        <w:rPr>
          <w:rFonts w:cstheme="minorBidi"/>
        </w:rPr>
        <w:t xml:space="preserve">It has been observed that multiple paternity can occur, particularly in highly exploited populations </w:t>
      </w:r>
      <w:r w:rsidR="005354BE" w:rsidRPr="009819CE">
        <w:rPr>
          <w:rFonts w:cstheme="minorBidi"/>
        </w:rPr>
        <w:fldChar w:fldCharType="begin"/>
      </w:r>
      <w:r w:rsidR="00A8698B" w:rsidRPr="009819CE">
        <w:rPr>
          <w:rFonts w:cstheme="minorBidi"/>
        </w:rPr>
        <w:instrText xml:space="preserve"> ADDIN EN.CITE &lt;EndNote&gt;&lt;Cite&gt;&lt;Author&gt;Becker&lt;/Author&gt;&lt;Year&gt;2020&lt;/Year&gt;&lt;RecNum&gt;414&lt;/RecNum&gt;&lt;DisplayText&gt;(Becker et al., 2020)&lt;/DisplayText&gt;&lt;record&gt;&lt;rec-number&gt;414&lt;/rec-number&gt;&lt;foreign-keys&gt;&lt;key app="EN" db-id="sd9wrx9fj09rx3erprsx999o0r5aprvp2zse" timestamp="1687855901" guid="39d2120c-c9c9-4746-8b9b-b422d9bc570b"&gt;414&lt;/key&gt;&lt;/foreign-keys&gt;&lt;ref-type name="Journal Article"&gt;17&lt;/ref-type&gt;&lt;contributors&gt;&lt;authors&gt;&lt;author&gt;Becker, Carola&lt;/author&gt;&lt;author&gt;Dick, Jaimie T. A. A.&lt;/author&gt;&lt;author&gt;Mánus Cunningham, E.&lt;/author&gt;&lt;author&gt;Lundy, Mathieu&lt;/author&gt;&lt;author&gt;Bell, Ewen&lt;/author&gt;&lt;author&gt;Eagling, Lawrence&lt;/author&gt;&lt;author&gt;Sigwart, Julia D.&lt;/author&gt;&lt;/authors&gt;&lt;/contributors&gt;&lt;titles&gt;&lt;title&gt;&lt;style face="normal" font="default" size="100%"&gt;Ovary resorption in the Norway lobster (&lt;/style&gt;&lt;style face="italic" font="default" size="100%"&gt;Nephrops norvegicus&lt;/style&gt;&lt;style face="normal" font="default" size="100%"&gt;) and its possible causes with special reference to sperm storage&lt;/style&gt;&lt;/title&gt;&lt;secondary-title&gt;Helgoland Marine Research&lt;/secondary-title&gt;&lt;/titles&gt;&lt;periodical&gt;&lt;full-title&gt;Helgoland Marine Research&lt;/full-title&gt;&lt;/periodical&gt;&lt;pages&gt;12-12&lt;/pages&gt;&lt;volume&gt;74&lt;/volume&gt;&lt;number&gt;1&lt;/number&gt;&lt;dates&gt;&lt;year&gt;2020&lt;/year&gt;&lt;pub-dates&gt;&lt;date&gt;2020/12//&lt;/date&gt;&lt;/pub-dates&gt;&lt;/dates&gt;&lt;publisher&gt;BioMed Central&lt;/publisher&gt;&lt;isbn&gt;4926480336&lt;/isbn&gt;&lt;urls&gt;&lt;related-urls&gt;&lt;url&gt;https://doi.org/10.1186/s10152-020-00543-8&lt;/url&gt;&lt;url&gt;https://hmr.biomedcentral.com/articles/10.1186/s10152-020-00543-8&lt;/url&gt;&lt;/related-urls&gt;&lt;/urls&gt;&lt;electronic-resource-num&gt;10.1186/s10152-020-00543-8&lt;/electronic-resource-num&gt;&lt;/record&gt;&lt;/Cite&gt;&lt;/EndNote&gt;</w:instrText>
      </w:r>
      <w:r w:rsidR="005354BE" w:rsidRPr="009819CE">
        <w:rPr>
          <w:rFonts w:cstheme="minorBidi"/>
        </w:rPr>
        <w:fldChar w:fldCharType="separate"/>
      </w:r>
      <w:r w:rsidR="00A8698B" w:rsidRPr="009819CE">
        <w:rPr>
          <w:rFonts w:cstheme="minorBidi"/>
        </w:rPr>
        <w:t>(</w:t>
      </w:r>
      <w:hyperlink w:anchor="_ENREF_27" w:tooltip="Becker, 2020 #414" w:history="1">
        <w:r w:rsidR="00950097" w:rsidRPr="009819CE">
          <w:rPr>
            <w:rFonts w:cstheme="minorBidi"/>
          </w:rPr>
          <w:t>Becker et al., 2020</w:t>
        </w:r>
      </w:hyperlink>
      <w:r w:rsidR="00A8698B" w:rsidRPr="009819CE">
        <w:rPr>
          <w:rFonts w:cstheme="minorBidi"/>
        </w:rPr>
        <w:t>)</w:t>
      </w:r>
      <w:r w:rsidR="005354BE" w:rsidRPr="009819CE">
        <w:rPr>
          <w:rFonts w:cstheme="minorBidi"/>
        </w:rPr>
        <w:fldChar w:fldCharType="end"/>
      </w:r>
      <w:r w:rsidR="005354BE" w:rsidRPr="009819CE">
        <w:rPr>
          <w:rFonts w:cstheme="minorBidi"/>
        </w:rPr>
        <w:t>. During the embryonic development phase, females tend to remain within their burrows. Shortly after releasing their eggs, females moult and mate, marking the initiation of a new reproductive cycle.</w:t>
      </w:r>
    </w:p>
    <w:p w14:paraId="427A472B" w14:textId="6340932F" w:rsidR="005354BE" w:rsidRPr="009819CE" w:rsidRDefault="005354BE" w:rsidP="005354BE">
      <w:pPr>
        <w:rPr>
          <w:rFonts w:cstheme="minorBidi"/>
        </w:rPr>
      </w:pPr>
      <w:r w:rsidRPr="009819CE">
        <w:rPr>
          <w:rFonts w:cstheme="minorBidi"/>
        </w:rPr>
        <w:t xml:space="preserve">After hatching, newly born larvae, known as </w:t>
      </w:r>
      <w:r w:rsidR="00060170" w:rsidRPr="009819CE">
        <w:rPr>
          <w:rFonts w:cstheme="minorBidi"/>
        </w:rPr>
        <w:t>zoea</w:t>
      </w:r>
      <w:r w:rsidRPr="009819CE">
        <w:rPr>
          <w:rFonts w:cstheme="minorBidi"/>
        </w:rPr>
        <w:t xml:space="preserve">, spend several weeks as planktonic drifters, progressing through three larval stages before undergoing metamorphosis into benthic post larvae </w:t>
      </w:r>
      <w:r w:rsidRPr="009819CE">
        <w:rPr>
          <w:rFonts w:cstheme="minorBidi"/>
        </w:rPr>
        <w:fldChar w:fldCharType="begin"/>
      </w:r>
      <w:r w:rsidR="00EE7FB9">
        <w:rPr>
          <w:rFonts w:cstheme="minorBidi"/>
        </w:rPr>
        <w:instrText xml:space="preserve"> ADDIN EN.CITE &lt;EndNote&gt;&lt;Cite&gt;&lt;Author&gt;Powell&lt;/Author&gt;&lt;Year&gt;2013&lt;/Year&gt;&lt;RecNum&gt;360&lt;/RecNum&gt;&lt;DisplayText&gt;(Powell and Eriksson, 2013)&lt;/DisplayText&gt;&lt;record&gt;&lt;rec-number&gt;360&lt;/rec-number&gt;&lt;foreign-keys&gt;&lt;key app="EN" db-id="sd9wrx9fj09rx3erprsx999o0r5aprvp2zse" timestamp="1687855901" guid="fb64fd6d-5b33-434c-9955-9636ac5da5aa"&gt;360&lt;/key&gt;&lt;/foreign-keys&gt;&lt;ref-type name="Book Section"&gt;5&lt;/ref-type&gt;&lt;contributors&gt;&lt;authors&gt;&lt;author&gt;Powell, Adam&lt;/author&gt;&lt;author&gt;Eriksson, Susanne P.&lt;/author&gt;&lt;/authors&gt;&lt;secondary-authors&gt;&lt;author&gt;Johnson, Magnus L.&lt;/author&gt;&lt;author&gt;Johnson, Mark P.&lt;/author&gt;&lt;/secondary-authors&gt;&lt;/contributors&gt;&lt;titles&gt;&lt;title&gt;Chapter six - reproduction: life cycle, larvae and larviculture&lt;/title&gt;&lt;secondary-title&gt;Advances in Marine Biology&lt;/secondary-title&gt;&lt;/titles&gt;&lt;periodical&gt;&lt;full-title&gt;Advances in Marine Biology&lt;/full-title&gt;&lt;/periodical&gt;&lt;pages&gt;201-245&lt;/pages&gt;&lt;volume&gt;64&lt;/volume&gt;&lt;edition&gt;1&lt;/edition&gt;&lt;keywords&gt;&lt;keyword&gt;Development&lt;/keyword&gt;&lt;keyword&gt;Eggs&lt;/keyword&gt;&lt;keyword&gt;Embryo&lt;/keyword&gt;&lt;keyword&gt;Hatchery&lt;/keyword&gt;&lt;keyword&gt;Langoustine&lt;/keyword&gt;&lt;keyword&gt;Nephrops norvegicus&lt;/keyword&gt;&lt;keyword&gt;Norway lobster&lt;/keyword&gt;&lt;keyword&gt;Scampi&lt;/keyword&gt;&lt;keyword&gt;Zoea&lt;/keyword&gt;&lt;/keywords&gt;&lt;dates&gt;&lt;year&gt;2013&lt;/year&gt;&lt;/dates&gt;&lt;publisher&gt;Elsevier Ltd.&lt;/publisher&gt;&lt;isbn&gt;9780124104662&lt;/isbn&gt;&lt;urls&gt;&lt;related-urls&gt;&lt;url&gt;https://www.sciencedirect.com/science/article/pii/B9780124104662000066&lt;/url&gt;&lt;/related-urls&gt;&lt;/urls&gt;&lt;electronic-resource-num&gt;10.1016/B978-0-12-410466-2.00006-6&lt;/electronic-resource-num&gt;&lt;/record&gt;&lt;/Cite&gt;&lt;/EndNote&gt;</w:instrText>
      </w:r>
      <w:r w:rsidRPr="009819CE">
        <w:rPr>
          <w:rFonts w:cstheme="minorBidi"/>
        </w:rPr>
        <w:fldChar w:fldCharType="separate"/>
      </w:r>
      <w:r w:rsidR="00D50EFF" w:rsidRPr="009819CE">
        <w:rPr>
          <w:rFonts w:cstheme="minorBidi"/>
          <w:noProof/>
        </w:rPr>
        <w:t>(</w:t>
      </w:r>
      <w:hyperlink w:anchor="_ENREF_247" w:tooltip="Powell, 2013 #360" w:history="1">
        <w:r w:rsidR="00950097" w:rsidRPr="009819CE">
          <w:rPr>
            <w:rFonts w:cstheme="minorBidi"/>
            <w:noProof/>
          </w:rPr>
          <w:t>Powell and Eriksson, 2013</w:t>
        </w:r>
      </w:hyperlink>
      <w:r w:rsidR="00D50EFF" w:rsidRPr="009819CE">
        <w:rPr>
          <w:rFonts w:cstheme="minorBidi"/>
          <w:noProof/>
        </w:rPr>
        <w:t>)</w:t>
      </w:r>
      <w:r w:rsidRPr="009819CE">
        <w:rPr>
          <w:rFonts w:cstheme="minorBidi"/>
        </w:rPr>
        <w:fldChar w:fldCharType="end"/>
      </w:r>
      <w:r w:rsidRPr="009819CE">
        <w:rPr>
          <w:rFonts w:cstheme="minorBidi"/>
        </w:rPr>
        <w:t>, as depicted in</w:t>
      </w:r>
      <w:r w:rsidRPr="009819CE">
        <w:rPr>
          <w:rFonts w:cstheme="minorBidi"/>
          <w:b/>
          <w:bCs/>
        </w:rPr>
        <w:t xml:space="preserve"> </w:t>
      </w:r>
      <w:r w:rsidRPr="009819CE">
        <w:rPr>
          <w:rFonts w:cstheme="minorBidi"/>
        </w:rPr>
        <w:fldChar w:fldCharType="begin"/>
      </w:r>
      <w:r w:rsidRPr="009819CE">
        <w:rPr>
          <w:rFonts w:cstheme="minorBidi"/>
          <w:b/>
          <w:bCs/>
        </w:rPr>
        <w:instrText xml:space="preserve"> REF _Ref81506726 \h  \* MERGEFORMAT </w:instrText>
      </w:r>
      <w:r w:rsidRPr="009819CE">
        <w:rPr>
          <w:rFonts w:cstheme="minorBidi"/>
        </w:rPr>
      </w:r>
      <w:r w:rsidRPr="009819CE">
        <w:rPr>
          <w:rFonts w:cstheme="minorBidi"/>
        </w:rPr>
        <w:fldChar w:fldCharType="separate"/>
      </w:r>
      <w:r w:rsidR="008549FC" w:rsidRPr="008549FC">
        <w:rPr>
          <w:rFonts w:cstheme="minorBidi"/>
          <w:b/>
          <w:bCs/>
        </w:rPr>
        <w:t>Figure 1.3</w:t>
      </w:r>
      <w:r w:rsidRPr="009819CE">
        <w:rPr>
          <w:rFonts w:cstheme="minorBidi"/>
        </w:rPr>
        <w:fldChar w:fldCharType="end"/>
      </w:r>
      <w:r w:rsidRPr="009819CE">
        <w:rPr>
          <w:rFonts w:cstheme="minorBidi"/>
        </w:rPr>
        <w:t xml:space="preserve">. The pelagic stages of </w:t>
      </w:r>
      <w:r w:rsidR="00C31E47" w:rsidRPr="009819CE">
        <w:rPr>
          <w:rFonts w:cstheme="minorBidi"/>
          <w:i/>
          <w:iCs/>
        </w:rPr>
        <w:t>Nephrops</w:t>
      </w:r>
      <w:r w:rsidRPr="009819CE">
        <w:rPr>
          <w:rFonts w:cstheme="minorBidi"/>
        </w:rPr>
        <w:t xml:space="preserve"> larvae, specifically stages I to III, have a duration of around 50 days, which can vary depending on the temperature conditions </w:t>
      </w:r>
      <w:r w:rsidRPr="009819CE">
        <w:rPr>
          <w:rFonts w:cstheme="minorBidi"/>
          <w:color w:val="000000"/>
        </w:rPr>
        <w:t xml:space="preserve"> </w:t>
      </w:r>
      <w:r w:rsidRPr="009819CE">
        <w:rPr>
          <w:rFonts w:cstheme="minorBidi"/>
        </w:rPr>
        <w:fldChar w:fldCharType="begin">
          <w:fldData xml:space="preserve">PEVuZE5vdGU+PENpdGU+PEF1dGhvcj5kZSBGaWd1ZWlyZWRvPC9BdXRob3I+PFllYXI+MTk3Mjwv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</w:fldData>
        </w:fldChar>
      </w:r>
      <w:r w:rsidR="00E348BC" w:rsidRPr="009819CE">
        <w:rPr>
          <w:rFonts w:cstheme="minorBidi"/>
        </w:rPr>
        <w:instrText xml:space="preserve"> ADDIN EN.CITE </w:instrText>
      </w:r>
      <w:r w:rsidR="00E348BC" w:rsidRPr="009819CE">
        <w:rPr>
          <w:rFonts w:cstheme="minorBidi"/>
        </w:rPr>
        <w:fldChar w:fldCharType="begin">
          <w:fldData xml:space="preserve">PEVuZE5vdGU+PENpdGU+PEF1dGhvcj5kZSBGaWd1ZWlyZWRvPC9BdXRob3I+PFllYXI+MTk3Mjwv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</w:fldData>
        </w:fldChar>
      </w:r>
      <w:r w:rsidR="00E348BC" w:rsidRPr="009819CE">
        <w:rPr>
          <w:rFonts w:cstheme="minorBidi"/>
        </w:rPr>
        <w:instrText xml:space="preserve"> ADDIN EN.CITE.DATA </w:instrText>
      </w:r>
      <w:r w:rsidR="00E348BC" w:rsidRPr="009819CE">
        <w:rPr>
          <w:rFonts w:cstheme="minorBidi"/>
        </w:rPr>
      </w:r>
      <w:r w:rsidR="00E348BC"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65" w:tooltip="de Figueiredo, 1972 #1307" w:history="1">
        <w:r w:rsidR="00950097" w:rsidRPr="001F4A34">
          <w:rPr>
            <w:rFonts w:cstheme="minorBidi"/>
          </w:rPr>
          <w:t>de Figueiredo and Vilela, 1972</w:t>
        </w:r>
      </w:hyperlink>
      <w:r w:rsidR="00D50EFF" w:rsidRPr="001F4A34">
        <w:rPr>
          <w:rFonts w:cstheme="minorBidi"/>
        </w:rPr>
        <w:t xml:space="preserve">; </w:t>
      </w:r>
      <w:hyperlink w:anchor="_ENREF_70" w:tooltip="Dickey-Collas, 2000 #1308" w:history="1">
        <w:r w:rsidR="00950097" w:rsidRPr="001F4A34">
          <w:rPr>
            <w:rFonts w:cstheme="minorBidi"/>
          </w:rPr>
          <w:t>Dickey-Collas et al., 2000</w:t>
        </w:r>
      </w:hyperlink>
      <w:r w:rsidR="00D50EFF" w:rsidRPr="001F4A34">
        <w:rPr>
          <w:rFonts w:cstheme="minorBidi"/>
        </w:rPr>
        <w:t xml:space="preserve">; </w:t>
      </w:r>
      <w:hyperlink w:anchor="_ENREF_157" w:tooltip="Johnson, 2013 #254" w:history="1">
        <w:r w:rsidR="00950097" w:rsidRPr="001F4A34">
          <w:rPr>
            <w:rFonts w:cstheme="minorBidi"/>
          </w:rPr>
          <w:t>Johnson and Johnson, 2013</w:t>
        </w:r>
      </w:hyperlink>
      <w:r w:rsidR="00D50EFF" w:rsidRPr="001F4A34">
        <w:rPr>
          <w:rFonts w:cstheme="minorBidi"/>
        </w:rPr>
        <w:t>)</w:t>
      </w:r>
      <w:r w:rsidRPr="009819CE">
        <w:rPr>
          <w:rFonts w:cstheme="minorBidi"/>
        </w:rPr>
        <w:fldChar w:fldCharType="end"/>
      </w:r>
      <w:r w:rsidRPr="009819CE">
        <w:rPr>
          <w:rFonts w:cstheme="minorBidi"/>
          <w:color w:val="000000"/>
        </w:rPr>
        <w:t xml:space="preserve">. </w:t>
      </w:r>
      <w:r w:rsidRPr="009819CE">
        <w:rPr>
          <w:rFonts w:cstheme="minorBidi"/>
        </w:rPr>
        <w:t xml:space="preserve">Larvae that are dispersed to unsuitable sediment patches are unable to reach adulthood. On the other hand, individuals that disperse to suitable </w:t>
      </w:r>
      <w:r w:rsidR="00C31E47" w:rsidRPr="009819CE">
        <w:rPr>
          <w:rFonts w:cstheme="minorBidi"/>
          <w:i/>
          <w:iCs/>
        </w:rPr>
        <w:t>Nephrops</w:t>
      </w:r>
      <w:r w:rsidRPr="009819CE">
        <w:rPr>
          <w:rFonts w:cstheme="minorBidi"/>
        </w:rPr>
        <w:t xml:space="preserve"> habitats encounter various density-dependent factors, including direct competition for space and cannibalism. However, those individuals who manage to survive and successfully transition into adulthood adopt a relatively sedentary lifestyle.</w:t>
      </w:r>
    </w:p>
    <w:p w14:paraId="680911AA" w14:textId="0E200BCF" w:rsidR="005354BE" w:rsidRPr="009819CE" w:rsidRDefault="005354BE" w:rsidP="005354BE">
      <w:pPr>
        <w:spacing w:before="0" w:after="0"/>
        <w:rPr>
          <w:rFonts w:eastAsia="Calibri" w:cstheme="minorBidi"/>
          <w:iCs/>
          <w:color w:val="000000"/>
          <w:sz w:val="22"/>
        </w:rPr>
      </w:pPr>
      <w:bookmarkStart w:id="46" w:name="_Ref171330315"/>
      <w:bookmarkStart w:id="47" w:name="_Toc202273056"/>
      <w:bookmarkStart w:id="48" w:name="_Toc204106755"/>
      <w:r w:rsidRPr="009819CE">
        <w:rPr>
          <w:rFonts w:eastAsia="Calibri" w:cstheme="minorBidi"/>
          <w:b/>
          <w:iCs/>
          <w:color w:val="000000"/>
          <w:sz w:val="22"/>
        </w:rPr>
        <w:t xml:space="preserve">Table </w:t>
      </w:r>
      <w:r w:rsidR="0095522A">
        <w:rPr>
          <w:rFonts w:eastAsia="Calibri" w:cstheme="minorBidi"/>
          <w:b/>
          <w:iCs/>
          <w:color w:val="000000"/>
          <w:sz w:val="22"/>
        </w:rPr>
        <w:fldChar w:fldCharType="begin"/>
      </w:r>
      <w:r w:rsidR="0095522A">
        <w:rPr>
          <w:rFonts w:eastAsia="Calibri" w:cstheme="minorBidi"/>
          <w:b/>
          <w:iCs/>
          <w:color w:val="000000"/>
          <w:sz w:val="22"/>
        </w:rPr>
        <w:instrText xml:space="preserve"> STYLEREF 1 \s </w:instrText>
      </w:r>
      <w:r w:rsidR="0095522A">
        <w:rPr>
          <w:rFonts w:eastAsia="Calibri" w:cstheme="minorBidi"/>
          <w:b/>
          <w:iCs/>
          <w:color w:val="000000"/>
          <w:sz w:val="22"/>
        </w:rPr>
        <w:fldChar w:fldCharType="separate"/>
      </w:r>
      <w:r w:rsidR="008549FC">
        <w:rPr>
          <w:rFonts w:eastAsia="Calibri" w:cstheme="minorBidi"/>
          <w:b/>
          <w:iCs/>
          <w:noProof/>
          <w:color w:val="000000"/>
          <w:sz w:val="22"/>
        </w:rPr>
        <w:t>1</w:t>
      </w:r>
      <w:r w:rsidR="0095522A">
        <w:rPr>
          <w:rFonts w:eastAsia="Calibri" w:cstheme="minorBidi"/>
          <w:b/>
          <w:iCs/>
          <w:color w:val="000000"/>
          <w:sz w:val="22"/>
        </w:rPr>
        <w:fldChar w:fldCharType="end"/>
      </w:r>
      <w:r w:rsidR="0095522A">
        <w:rPr>
          <w:rFonts w:eastAsia="Calibri" w:cstheme="minorBidi"/>
          <w:b/>
          <w:iCs/>
          <w:color w:val="000000"/>
          <w:sz w:val="22"/>
        </w:rPr>
        <w:t>.</w:t>
      </w:r>
      <w:r w:rsidR="0095522A">
        <w:rPr>
          <w:rFonts w:eastAsia="Calibri" w:cstheme="minorBidi"/>
          <w:b/>
          <w:iCs/>
          <w:color w:val="000000"/>
          <w:sz w:val="22"/>
        </w:rPr>
        <w:fldChar w:fldCharType="begin"/>
      </w:r>
      <w:r w:rsidR="0095522A">
        <w:rPr>
          <w:rFonts w:eastAsia="Calibri" w:cstheme="minorBidi"/>
          <w:b/>
          <w:iCs/>
          <w:color w:val="000000"/>
          <w:sz w:val="22"/>
        </w:rPr>
        <w:instrText xml:space="preserve"> SEQ Table \* ARABIC \s 1 </w:instrText>
      </w:r>
      <w:r w:rsidR="0095522A">
        <w:rPr>
          <w:rFonts w:eastAsia="Calibri" w:cstheme="minorBidi"/>
          <w:b/>
          <w:iCs/>
          <w:color w:val="000000"/>
          <w:sz w:val="22"/>
        </w:rPr>
        <w:fldChar w:fldCharType="separate"/>
      </w:r>
      <w:r w:rsidR="008549FC">
        <w:rPr>
          <w:rFonts w:eastAsia="Calibri" w:cstheme="minorBidi"/>
          <w:b/>
          <w:iCs/>
          <w:noProof/>
          <w:color w:val="000000"/>
          <w:sz w:val="22"/>
        </w:rPr>
        <w:t>1</w:t>
      </w:r>
      <w:r w:rsidR="0095522A">
        <w:rPr>
          <w:rFonts w:eastAsia="Calibri" w:cstheme="minorBidi"/>
          <w:b/>
          <w:iCs/>
          <w:color w:val="000000"/>
          <w:sz w:val="22"/>
        </w:rPr>
        <w:fldChar w:fldCharType="end"/>
      </w:r>
      <w:bookmarkEnd w:id="46"/>
      <w:r w:rsidRPr="009819CE">
        <w:rPr>
          <w:rFonts w:eastAsia="Calibri" w:cstheme="minorBidi"/>
          <w:iCs/>
          <w:color w:val="000000"/>
          <w:sz w:val="22"/>
        </w:rPr>
        <w:t xml:space="preserve"> Diagram showing the timing of key events in the reproductive cycle of </w:t>
      </w:r>
      <w:r w:rsidR="0059672E" w:rsidRPr="00FA7D47">
        <w:rPr>
          <w:rFonts w:eastAsia="Calibri" w:cstheme="minorBidi"/>
          <w:iCs/>
          <w:color w:val="000000"/>
          <w:sz w:val="22"/>
        </w:rPr>
        <w:t xml:space="preserve">female </w:t>
      </w:r>
      <w:r w:rsidR="00C31E47" w:rsidRPr="009819CE">
        <w:rPr>
          <w:rFonts w:eastAsia="Calibri" w:cstheme="minorBidi"/>
          <w:i/>
          <w:iCs/>
          <w:color w:val="000000"/>
          <w:sz w:val="22"/>
        </w:rPr>
        <w:t>Nephrops</w:t>
      </w:r>
      <w:r w:rsidRPr="009819CE">
        <w:rPr>
          <w:rFonts w:eastAsia="Calibri" w:cstheme="minorBidi"/>
          <w:iCs/>
          <w:color w:val="000000"/>
          <w:sz w:val="22"/>
        </w:rPr>
        <w:t xml:space="preserve"> in the </w:t>
      </w:r>
      <w:r w:rsidR="00FC7BA4" w:rsidRPr="00FA7D47">
        <w:rPr>
          <w:rFonts w:eastAsia="Calibri" w:cstheme="minorBidi"/>
          <w:iCs/>
          <w:color w:val="000000"/>
          <w:sz w:val="22"/>
        </w:rPr>
        <w:t>Clyde Sea Area (</w:t>
      </w:r>
      <w:r w:rsidRPr="009819CE">
        <w:rPr>
          <w:rFonts w:eastAsia="Calibri" w:cstheme="minorBidi"/>
          <w:iCs/>
          <w:color w:val="000000"/>
          <w:sz w:val="22"/>
        </w:rPr>
        <w:t>CSA</w:t>
      </w:r>
      <w:r w:rsidR="00FC7BA4" w:rsidRPr="00FA7D47">
        <w:rPr>
          <w:rFonts w:eastAsia="Calibri" w:cstheme="minorBidi"/>
          <w:iCs/>
          <w:color w:val="000000"/>
          <w:sz w:val="22"/>
        </w:rPr>
        <w:t>)</w:t>
      </w:r>
      <w:r w:rsidRPr="009819CE">
        <w:rPr>
          <w:rFonts w:eastAsia="Calibri" w:cstheme="minorBidi"/>
          <w:iCs/>
          <w:color w:val="000000"/>
          <w:sz w:val="22"/>
        </w:rPr>
        <w:t xml:space="preserve"> (adapted from </w:t>
      </w:r>
      <w:r w:rsidRPr="009819CE">
        <w:rPr>
          <w:rFonts w:eastAsia="Calibri" w:cstheme="minorBidi"/>
          <w:iCs/>
          <w:color w:val="000000"/>
          <w:sz w:val="22"/>
        </w:rPr>
        <w:fldChar w:fldCharType="begin"/>
      </w:r>
      <w:r w:rsidR="00871B4F">
        <w:rPr>
          <w:rFonts w:eastAsia="Calibri" w:cstheme="minorBidi"/>
          <w:iCs/>
          <w:color w:val="000000"/>
          <w:sz w:val="22"/>
        </w:rPr>
        <w:instrText xml:space="preserve"> ADDIN EN.CITE &lt;EndNote&gt;&lt;Cite&gt;&lt;Author&gt;Smith&lt;/Author&gt;&lt;Year&gt;2021&lt;/Year&gt;&lt;RecNum&gt;451&lt;/RecNum&gt;&lt;DisplayText&gt;(Smith, 2021)&lt;/DisplayText&gt;&lt;record&gt;&lt;rec-number&gt;451&lt;/rec-number&gt;&lt;foreign-keys&gt;&lt;key app="EN" db-id="sd9wrx9fj09rx3erprsx999o0r5aprvp2zse" timestamp="1687855901" guid="85a593e7-bd40-4333-b175-f638ca278e45"&gt;451&lt;/key&gt;&lt;/foreign-keys&gt;&lt;ref-type name="Thesis"&gt;32&lt;/ref-type&gt;&lt;contributors&gt;&lt;authors&gt;&lt;author&gt;Smith, Hazel&lt;/author&gt;&lt;/authors&gt;&lt;/contributors&gt;&lt;titles&gt;&lt;title&gt;&lt;style face="normal" font="default" size="100%"&gt;Norway lobster and &lt;/style&gt;&lt;style face="italic" font="default" size="100%"&gt;Hematodinium&lt;/style&gt;&lt;style face="normal" font="default" size="100%"&gt; sp. in the Clyde: modelling the population dynamics of a commercially important host-parasite system&lt;/style&gt;&lt;/title&gt;&lt;secondary-title&gt;Department of Mathematics and Statistics&lt;/secondary-title&gt;&lt;/titles&gt;&lt;pages&gt;1-197&lt;/pages&gt;&lt;volume&gt;PhD thesis&lt;/volume&gt;&lt;number&gt;T15833&lt;/number&gt;&lt;dates&gt;&lt;year&gt;2021&lt;/year&gt;&lt;/dates&gt;&lt;publisher&gt;University of Glasgow&lt;/publisher&gt;&lt;urls&gt;&lt;related-urls&gt;&lt;url&gt;https://stax.strath.ac.uk/concern/theses/cr56n0995&lt;/url&gt;&lt;/related-urls&gt;&lt;/urls&gt;&lt;electronic-resource-num&gt;10.48730/4mce-kf56&lt;/electronic-resource-num&gt;&lt;/record&gt;&lt;/Cite&gt;&lt;/EndNote&gt;</w:instrText>
      </w:r>
      <w:r w:rsidRPr="009819CE">
        <w:rPr>
          <w:rFonts w:eastAsia="Calibri" w:cstheme="minorBidi"/>
          <w:iCs/>
          <w:color w:val="000000"/>
          <w:sz w:val="22"/>
        </w:rPr>
        <w:fldChar w:fldCharType="separate"/>
      </w:r>
      <w:r w:rsidR="00D50EFF" w:rsidRPr="00871B4F">
        <w:rPr>
          <w:rFonts w:eastAsia="Calibri" w:cstheme="minorBidi"/>
          <w:iCs/>
          <w:noProof/>
          <w:color w:val="000000"/>
          <w:sz w:val="22"/>
        </w:rPr>
        <w:t>(</w:t>
      </w:r>
      <w:hyperlink w:anchor="_ENREF_294" w:tooltip="Smith, 2021 #451" w:history="1">
        <w:r w:rsidR="00950097" w:rsidRPr="00871B4F">
          <w:rPr>
            <w:rFonts w:eastAsia="Calibri" w:cstheme="minorBidi"/>
            <w:iCs/>
            <w:noProof/>
            <w:color w:val="000000"/>
            <w:sz w:val="22"/>
          </w:rPr>
          <w:t>Smith, 2021</w:t>
        </w:r>
      </w:hyperlink>
      <w:r w:rsidR="00D50EFF" w:rsidRPr="00871B4F">
        <w:rPr>
          <w:rFonts w:eastAsia="Calibri" w:cstheme="minorBidi"/>
          <w:iCs/>
          <w:noProof/>
          <w:color w:val="000000"/>
          <w:sz w:val="22"/>
        </w:rPr>
        <w:t>)</w:t>
      </w:r>
      <w:r w:rsidRPr="009819CE">
        <w:rPr>
          <w:rFonts w:eastAsia="Calibri" w:cstheme="minorBidi"/>
          <w:iCs/>
          <w:color w:val="000000"/>
          <w:sz w:val="22"/>
        </w:rPr>
        <w:fldChar w:fldCharType="end"/>
      </w:r>
      <w:r w:rsidRPr="009819CE">
        <w:rPr>
          <w:rFonts w:eastAsia="Calibri" w:cstheme="minorBidi"/>
          <w:iCs/>
          <w:color w:val="000000"/>
          <w:sz w:val="22"/>
        </w:rPr>
        <w:t>).</w:t>
      </w:r>
      <w:bookmarkEnd w:id="47"/>
      <w:bookmarkEnd w:id="48"/>
    </w:p>
    <w:bookmarkEnd w:id="43"/>
    <w:bookmarkEnd w:id="44"/>
    <w:bookmarkEnd w:id="45"/>
    <w:p w14:paraId="15BF07A8" w14:textId="77777777" w:rsidR="00F9731A" w:rsidRDefault="00F9731A" w:rsidP="00A92F1A">
      <w:pPr>
        <w:spacing w:before="0" w:after="0"/>
        <w:jc w:val="center"/>
        <w:rPr>
          <w:rFonts w:cstheme="minorBidi"/>
        </w:rPr>
      </w:pPr>
    </w:p>
    <w:p w14:paraId="071D463E" w14:textId="71CB0D02" w:rsidR="002773A2" w:rsidRPr="009819CE" w:rsidRDefault="002773A2" w:rsidP="00A92F1A">
      <w:pPr>
        <w:spacing w:before="0" w:after="0"/>
        <w:jc w:val="center"/>
        <w:rPr>
          <w:rFonts w:cstheme="minorBidi"/>
        </w:rPr>
      </w:pPr>
      <w:r w:rsidRPr="00FF34FE">
        <w:rPr>
          <w:rFonts w:cstheme="minorBidi"/>
          <w:noProof/>
        </w:rPr>
        <w:drawing>
          <wp:inline distT="0" distB="0" distL="0" distR="0" wp14:anchorId="08964A74" wp14:editId="74F87065">
            <wp:extent cx="5563955" cy="2165131"/>
            <wp:effectExtent l="0" t="0" r="0" b="6985"/>
            <wp:docPr id="1304277652" name="Picture 130427765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hart, bar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09177" cy="2182728"/>
                    </a:xfrm>
                    <a:prstGeom prst="rect">
                      <a:avLst/>
                    </a:prstGeom>
                    <a:noFill/>
                    <a:ln>
                      <a:noFill/>
                    </a:ln>
                  </pic:spPr>
                </pic:pic>
              </a:graphicData>
            </a:graphic>
          </wp:inline>
        </w:drawing>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A92F1A" w:rsidRPr="00FA7D47" w14:paraId="17B381E0" w14:textId="77777777" w:rsidTr="001B0CD2">
        <w:trPr>
          <w:trHeight w:val="5159"/>
        </w:trPr>
        <w:tc>
          <w:tcPr>
            <w:tcW w:w="5000" w:type="pct"/>
            <w:hideMark/>
          </w:tcPr>
          <w:p w14:paraId="607F88E4" w14:textId="4FB61E6C" w:rsidR="00A92F1A" w:rsidRPr="009819CE" w:rsidRDefault="0059672E" w:rsidP="007D6607">
            <w:pPr>
              <w:spacing w:before="0" w:after="0"/>
              <w:jc w:val="center"/>
              <w:rPr>
                <w:rFonts w:eastAsia="Calibri" w:cstheme="minorBidi"/>
                <w:iCs/>
                <w:color w:val="000000"/>
                <w:lang w:val="en-GB"/>
                <w14:ligatures w14:val="none"/>
              </w:rPr>
            </w:pPr>
            <w:bookmarkStart w:id="49" w:name="_Ref81567036"/>
            <w:bookmarkStart w:id="50" w:name="_Toc81994834"/>
            <w:bookmarkStart w:id="51" w:name="_Toc81994903"/>
            <w:bookmarkStart w:id="52" w:name="_Toc94799228"/>
            <w:r w:rsidRPr="00FF34FE">
              <w:rPr>
                <w:noProof/>
              </w:rPr>
              <w:drawing>
                <wp:inline distT="0" distB="0" distL="0" distR="0" wp14:anchorId="6709F8C7" wp14:editId="5608D0FA">
                  <wp:extent cx="5671241" cy="4702976"/>
                  <wp:effectExtent l="0" t="0" r="5715" b="2540"/>
                  <wp:docPr id="158823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23363" name=""/>
                          <pic:cNvPicPr/>
                        </pic:nvPicPr>
                        <pic:blipFill>
                          <a:blip r:embed="rId31"/>
                          <a:stretch>
                            <a:fillRect/>
                          </a:stretch>
                        </pic:blipFill>
                        <pic:spPr>
                          <a:xfrm>
                            <a:off x="0" y="0"/>
                            <a:ext cx="5724500" cy="4747142"/>
                          </a:xfrm>
                          <a:prstGeom prst="rect">
                            <a:avLst/>
                          </a:prstGeom>
                        </pic:spPr>
                      </pic:pic>
                    </a:graphicData>
                  </a:graphic>
                </wp:inline>
              </w:drawing>
            </w:r>
          </w:p>
        </w:tc>
      </w:tr>
      <w:tr w:rsidR="00A92F1A" w:rsidRPr="00FA7D47" w14:paraId="3B5B2D32" w14:textId="77777777" w:rsidTr="007D6607">
        <w:trPr>
          <w:trHeight w:val="340"/>
        </w:trPr>
        <w:tc>
          <w:tcPr>
            <w:tcW w:w="5000" w:type="pct"/>
            <w:hideMark/>
          </w:tcPr>
          <w:p w14:paraId="5C8A2931" w14:textId="56795FA6" w:rsidR="00A92F1A" w:rsidRPr="009819CE" w:rsidRDefault="00A92F1A" w:rsidP="007D6607">
            <w:pPr>
              <w:spacing w:before="0" w:after="0"/>
              <w:rPr>
                <w:rFonts w:eastAsia="Calibri" w:cstheme="minorBidi"/>
                <w:iCs/>
                <w:color w:val="000000"/>
                <w:sz w:val="22"/>
                <w:szCs w:val="22"/>
                <w:lang w:val="en-GB"/>
                <w14:ligatures w14:val="none"/>
              </w:rPr>
            </w:pPr>
            <w:bookmarkStart w:id="53" w:name="_Ref81506726"/>
            <w:bookmarkStart w:id="54" w:name="_Toc84492437"/>
            <w:bookmarkStart w:id="55" w:name="_Toc140068602"/>
            <w:bookmarkStart w:id="56" w:name="_Toc204106693"/>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3</w:t>
            </w:r>
            <w:r w:rsidRPr="001F4A34">
              <w:rPr>
                <w:rFonts w:eastAsia="Calibri" w:cstheme="minorBidi"/>
                <w:iCs/>
                <w:color w:val="000000"/>
                <w:sz w:val="22"/>
                <w:szCs w:val="22"/>
              </w:rPr>
              <w:fldChar w:fldCharType="end"/>
            </w:r>
            <w:bookmarkEnd w:id="53"/>
            <w:r w:rsidRPr="009819CE">
              <w:rPr>
                <w:rFonts w:eastAsia="Calibri" w:cstheme="minorBidi"/>
                <w:iCs/>
                <w:color w:val="000000"/>
                <w:sz w:val="22"/>
                <w:szCs w:val="22"/>
                <w:lang w:val="en-GB"/>
                <w14:ligatures w14:val="none"/>
              </w:rPr>
              <w:t xml:space="preserve"> Life cycle of </w:t>
            </w:r>
            <w:r w:rsidR="00C31E47" w:rsidRPr="009819CE">
              <w:rPr>
                <w:rFonts w:eastAsia="Calibri" w:cstheme="minorBidi"/>
                <w:i/>
                <w:iCs/>
                <w:color w:val="000000"/>
                <w:sz w:val="22"/>
                <w:szCs w:val="22"/>
                <w:lang w:val="en-GB"/>
                <w14:ligatures w14:val="none"/>
              </w:rPr>
              <w:t>Nephrops</w:t>
            </w:r>
            <w:r w:rsidRPr="009819CE">
              <w:rPr>
                <w:rFonts w:eastAsia="Calibri" w:cstheme="minorBidi"/>
                <w:i/>
                <w:iCs/>
                <w:color w:val="000000"/>
                <w:sz w:val="22"/>
                <w:szCs w:val="22"/>
                <w:lang w:val="en-GB"/>
                <w14:ligatures w14:val="none"/>
              </w:rPr>
              <w:t xml:space="preserve"> norvegicus</w:t>
            </w:r>
            <w:r w:rsidRPr="009819CE">
              <w:rPr>
                <w:rFonts w:eastAsia="Calibri" w:cstheme="minorBidi"/>
                <w:iCs/>
                <w:color w:val="000000"/>
                <w:sz w:val="22"/>
                <w:szCs w:val="22"/>
                <w:lang w:val="en-GB"/>
                <w14:ligatures w14:val="none"/>
              </w:rPr>
              <w:t xml:space="preserve">. Source: </w:t>
            </w:r>
            <w:hyperlink w:anchor="_ENREF_247" w:tooltip="Powell, 2013 #360" w:history="1">
              <w:r w:rsidR="00950097" w:rsidRPr="001F4A34">
                <w:rPr>
                  <w:rFonts w:eastAsia="Calibri" w:cstheme="minorBidi"/>
                  <w:iCs/>
                  <w:color w:val="000000"/>
                  <w:sz w:val="22"/>
                  <w:szCs w:val="22"/>
                </w:rPr>
                <w:fldChar w:fldCharType="begin"/>
              </w:r>
              <w:r w:rsidR="00950097">
                <w:rPr>
                  <w:rFonts w:eastAsia="Calibri" w:cstheme="minorBidi"/>
                  <w:iCs/>
                  <w:color w:val="000000"/>
                  <w:sz w:val="22"/>
                  <w:szCs w:val="22"/>
                  <w:lang w:val="en-GB"/>
                  <w14:ligatures w14:val="none"/>
                </w:rPr>
                <w:instrText xml:space="preserve"> ADDIN EN.CITE &lt;EndNote&gt;&lt;Cite AuthorYear="1"&gt;&lt;Author&gt;Powell&lt;/Author&gt;&lt;Year&gt;2013&lt;/Year&gt;&lt;RecNum&gt;360&lt;/RecNum&gt;&lt;DisplayText&gt;Powell and Eriksson (2013)&lt;/DisplayText&gt;&lt;record&gt;&lt;rec-number&gt;360&lt;/rec-number&gt;&lt;foreign-keys&gt;&lt;key app="EN" db-id="sd9wrx9fj09rx3erprsx999o0r5aprvp2zse" timestamp="1687855901" guid="fb64fd6d-5b33-434c-9955-9636ac5da5aa"&gt;360&lt;/key&gt;&lt;/foreign-keys&gt;&lt;ref-type name="Book Section"&gt;5&lt;/ref-type&gt;&lt;contributors&gt;&lt;authors&gt;&lt;author&gt;Powell, Adam&lt;/author&gt;&lt;author&gt;Eriksson, Susanne P.&lt;/author&gt;&lt;/authors&gt;&lt;secondary-authors&gt;&lt;author&gt;Johnson, Magnus L.&lt;/author&gt;&lt;author&gt;Johnson, Mark P.&lt;/author&gt;&lt;/secondary-authors&gt;&lt;/contributors&gt;&lt;titles&gt;&lt;title&gt;Chapter six - reproduction: life cycle, larvae and larviculture&lt;/title&gt;&lt;secondary-title&gt;Advances in Marine Biology&lt;/secondary-title&gt;&lt;/titles&gt;&lt;periodical&gt;&lt;full-title&gt;Advances in Marine Biology&lt;/full-title&gt;&lt;/periodical&gt;&lt;pages&gt;201-245&lt;/pages&gt;&lt;volume&gt;64&lt;/volume&gt;&lt;edition&gt;1&lt;/edition&gt;&lt;keywords&gt;&lt;keyword&gt;Development&lt;/keyword&gt;&lt;keyword&gt;Eggs&lt;/keyword&gt;&lt;keyword&gt;Embryo&lt;/keyword&gt;&lt;keyword&gt;Hatchery&lt;/keyword&gt;&lt;keyword&gt;Langoustine&lt;/keyword&gt;&lt;keyword&gt;Nephrops norvegicus&lt;/keyword&gt;&lt;keyword&gt;Norway lobster&lt;/keyword&gt;&lt;keyword&gt;Scampi&lt;/keyword&gt;&lt;keyword&gt;Zoea&lt;/keyword&gt;&lt;/keywords&gt;&lt;dates&gt;&lt;year&gt;2013&lt;/year&gt;&lt;/dates&gt;&lt;publisher&gt;Elsevier Ltd.&lt;/publisher&gt;&lt;isbn&gt;9780124104662&lt;/isbn&gt;&lt;urls&gt;&lt;related-urls&gt;&lt;url&gt;https://www.sciencedirect.com/science/article/pii/B9780124104662000066&lt;/url&gt;&lt;/related-urls&gt;&lt;/urls&gt;&lt;electronic-resource-num&gt;10.1016/B978-0-12-410466-2.00006-6&lt;/electronic-resource-num&gt;&lt;/record&gt;&lt;/Cite&gt;&lt;/EndNote&gt;</w:instrText>
              </w:r>
              <w:r w:rsidR="00950097" w:rsidRPr="001F4A34">
                <w:rPr>
                  <w:rFonts w:eastAsia="Calibri" w:cstheme="minorBidi"/>
                  <w:iCs/>
                  <w:color w:val="000000"/>
                  <w:sz w:val="22"/>
                  <w:szCs w:val="22"/>
                </w:rPr>
                <w:fldChar w:fldCharType="separate"/>
              </w:r>
              <w:r w:rsidR="00950097" w:rsidRPr="009819CE">
                <w:rPr>
                  <w:rFonts w:eastAsia="Calibri" w:cstheme="minorBidi"/>
                  <w:iCs/>
                  <w:noProof/>
                  <w:color w:val="000000"/>
                  <w:sz w:val="22"/>
                  <w:szCs w:val="22"/>
                  <w:lang w:val="en-GB"/>
                  <w14:ligatures w14:val="none"/>
                </w:rPr>
                <w:t>Powell and Eriksson (2013)</w:t>
              </w:r>
              <w:r w:rsidR="00950097" w:rsidRPr="001F4A34">
                <w:rPr>
                  <w:rFonts w:eastAsia="Calibri" w:cstheme="minorBidi"/>
                  <w:iCs/>
                  <w:color w:val="000000"/>
                  <w:sz w:val="22"/>
                  <w:szCs w:val="22"/>
                </w:rPr>
                <w:fldChar w:fldCharType="end"/>
              </w:r>
            </w:hyperlink>
            <w:bookmarkEnd w:id="54"/>
            <w:r w:rsidR="00674D29" w:rsidRPr="00FA7D47">
              <w:rPr>
                <w:rFonts w:eastAsia="Calibri" w:cstheme="minorBidi"/>
                <w:iCs/>
                <w:color w:val="000000"/>
                <w:sz w:val="22"/>
                <w:szCs w:val="22"/>
                <w:lang w:val="en-GB"/>
                <w14:ligatures w14:val="none"/>
              </w:rPr>
              <w:t xml:space="preserve"> after</w:t>
            </w:r>
            <w:r w:rsidR="00754F48" w:rsidRPr="00FA7D47">
              <w:rPr>
                <w:rFonts w:eastAsia="Calibri" w:cstheme="minorBidi"/>
                <w:iCs/>
                <w:color w:val="000000"/>
                <w:sz w:val="22"/>
                <w:szCs w:val="22"/>
                <w:lang w:val="en-GB"/>
                <w14:ligatures w14:val="none"/>
              </w:rPr>
              <w:t xml:space="preserve"> </w:t>
            </w:r>
            <w:r w:rsidR="00754F48" w:rsidRPr="001F4A34">
              <w:rPr>
                <w:rFonts w:eastAsia="Calibri" w:cstheme="minorBidi"/>
                <w:iCs/>
                <w:color w:val="000000"/>
                <w:sz w:val="22"/>
                <w:szCs w:val="22"/>
              </w:rPr>
              <w:fldChar w:fldCharType="begin"/>
            </w:r>
            <w:r w:rsidR="00E510D6" w:rsidRPr="009819CE">
              <w:rPr>
                <w:rFonts w:eastAsia="Calibri" w:cstheme="minorBidi"/>
                <w:iCs/>
                <w:color w:val="000000"/>
                <w:sz w:val="22"/>
                <w:szCs w:val="22"/>
                <w:lang w:val="en-GB"/>
                <w14:ligatures w14:val="none"/>
              </w:rPr>
              <w:instrText xml:space="preserve"> ADDIN EN.CITE &lt;EndNote&gt;&lt;Cite&gt;&lt;Author&gt;Santucci&lt;/Author&gt;&lt;Year&gt;1926&lt;/Year&gt;&lt;RecNum&gt;1961&lt;/RecNum&gt;&lt;DisplayText&gt;(Santucci, 1926)&lt;/DisplayText&gt;&lt;record&gt;&lt;rec-number&gt;1961&lt;/rec-number&gt;&lt;foreign-keys&gt;&lt;key app="EN" db-id="sd9wrx9fj09rx3erprsx999o0r5aprvp2zse" timestamp="1750579952" guid="a37890fc-1e74-4754-8e2c-733c3bd910e3"&gt;1961&lt;/key&gt;&lt;/foreign-keys&gt;&lt;ref-type name="Journal Article"&gt;17&lt;/ref-type&gt;&lt;contributors&gt;&lt;authors&gt;&lt;author&gt;Santucci, R. &lt;/author&gt;&lt;/authors&gt;&lt;/contributors&gt;&lt;titles&gt;&lt;title&gt;&lt;style face="normal" font="default" size="100%"&gt;Lo sviluppo e l&amp;apos;ecologia post-embrionali dello &amp;apos;scampo&amp;apos; (&lt;/style&gt;&lt;style face="italic" font="default" size="100%"&gt;Nephrops norvegicus&lt;/style&gt;&lt;style face="normal" font="default" size="100%"&gt; (L.)) nel Tirreno e nei Mari Nordici&lt;/style&gt;&lt;/title&gt;&lt;secondary-title&gt;Memoria Regio Comitato Talassografico Italiano&lt;/secondary-title&gt;&lt;/titles&gt;&lt;periodical&gt;&lt;full-title&gt;Memoria Regio Comitato Talassografico Italiano&lt;/full-title&gt;&lt;/periodical&gt;&lt;volume&gt;125&lt;/volume&gt;&lt;dates&gt;&lt;year&gt;1926&lt;/year&gt;&lt;/dates&gt;&lt;urls&gt;&lt;/urls&gt;&lt;/record&gt;&lt;/Cite&gt;&lt;/EndNote&gt;</w:instrText>
            </w:r>
            <w:r w:rsidR="00754F48" w:rsidRPr="001F4A34">
              <w:rPr>
                <w:rFonts w:eastAsia="Calibri" w:cstheme="minorBidi"/>
                <w:iCs/>
                <w:color w:val="000000"/>
                <w:sz w:val="22"/>
                <w:szCs w:val="22"/>
              </w:rPr>
              <w:fldChar w:fldCharType="separate"/>
            </w:r>
            <w:r w:rsidR="00754F48" w:rsidRPr="001F4A34">
              <w:rPr>
                <w:rFonts w:eastAsia="Calibri" w:cstheme="minorBidi"/>
                <w:iCs/>
                <w:color w:val="000000"/>
                <w:sz w:val="22"/>
                <w:szCs w:val="22"/>
              </w:rPr>
              <w:t>(</w:t>
            </w:r>
            <w:hyperlink w:anchor="_ENREF_266" w:tooltip="Santucci, 1926 #1961" w:history="1">
              <w:r w:rsidR="00950097" w:rsidRPr="001F4A34">
                <w:rPr>
                  <w:rFonts w:eastAsia="Calibri" w:cstheme="minorBidi"/>
                  <w:iCs/>
                  <w:color w:val="000000"/>
                  <w:sz w:val="22"/>
                  <w:szCs w:val="22"/>
                </w:rPr>
                <w:t>Santucci, 1926</w:t>
              </w:r>
            </w:hyperlink>
            <w:r w:rsidR="00754F48" w:rsidRPr="001F4A34">
              <w:rPr>
                <w:rFonts w:eastAsia="Calibri" w:cstheme="minorBidi"/>
                <w:iCs/>
                <w:color w:val="000000"/>
                <w:sz w:val="22"/>
                <w:szCs w:val="22"/>
              </w:rPr>
              <w:t>)</w:t>
            </w:r>
            <w:r w:rsidR="00754F48" w:rsidRPr="001F4A34">
              <w:rPr>
                <w:rFonts w:eastAsia="Calibri" w:cstheme="minorBidi"/>
                <w:iCs/>
                <w:color w:val="000000"/>
                <w:sz w:val="22"/>
                <w:szCs w:val="22"/>
              </w:rPr>
              <w:fldChar w:fldCharType="end"/>
            </w:r>
            <w:r w:rsidR="009E0EC5" w:rsidRPr="00FA7D47">
              <w:rPr>
                <w:rFonts w:eastAsia="Calibri" w:cstheme="minorBidi"/>
                <w:iCs/>
                <w:color w:val="000000"/>
                <w:sz w:val="22"/>
                <w:szCs w:val="22"/>
                <w:lang w:val="en-GB"/>
                <w14:ligatures w14:val="none"/>
              </w:rPr>
              <w:t>.</w:t>
            </w:r>
            <w:bookmarkEnd w:id="55"/>
            <w:bookmarkEnd w:id="56"/>
          </w:p>
        </w:tc>
      </w:tr>
    </w:tbl>
    <w:p w14:paraId="6AF40BEF" w14:textId="77777777" w:rsidR="001B0CD2" w:rsidRPr="009819CE" w:rsidRDefault="001B0CD2" w:rsidP="001B0CD2">
      <w:pPr>
        <w:sectPr w:rsidR="001B0CD2" w:rsidRPr="009819CE" w:rsidSect="001B0CD2">
          <w:pgSz w:w="11900" w:h="16840" w:code="9"/>
          <w:pgMar w:top="1440" w:right="1440" w:bottom="1440" w:left="1440" w:header="720" w:footer="720" w:gutter="0"/>
          <w:cols w:space="720"/>
          <w:docGrid w:linePitch="360"/>
        </w:sectPr>
      </w:pPr>
      <w:bookmarkStart w:id="57" w:name="_Toc94799229"/>
      <w:bookmarkStart w:id="58" w:name="_Ref157718784"/>
      <w:bookmarkStart w:id="59" w:name="_Hlk61530555"/>
    </w:p>
    <w:p w14:paraId="4B218DE9" w14:textId="13FCEFFF" w:rsidR="002773A2" w:rsidRPr="009819CE" w:rsidRDefault="002773A2" w:rsidP="009C3F77">
      <w:pPr>
        <w:pStyle w:val="Heading3"/>
        <w:numPr>
          <w:ilvl w:val="2"/>
          <w:numId w:val="22"/>
        </w:numPr>
        <w:rPr>
          <w:rFonts w:cstheme="minorBidi"/>
          <w:iCs/>
        </w:rPr>
      </w:pPr>
      <w:bookmarkStart w:id="60" w:name="_Ref193538265"/>
      <w:bookmarkStart w:id="61" w:name="_Toc204106594"/>
      <w:r w:rsidRPr="009819CE">
        <w:rPr>
          <w:rFonts w:cstheme="minorBidi"/>
          <w:iCs/>
        </w:rPr>
        <w:t>Feeding ecology</w:t>
      </w:r>
      <w:bookmarkEnd w:id="57"/>
      <w:bookmarkEnd w:id="58"/>
      <w:bookmarkEnd w:id="60"/>
      <w:bookmarkEnd w:id="61"/>
    </w:p>
    <w:bookmarkEnd w:id="59"/>
    <w:p w14:paraId="7F48A3C1" w14:textId="395BFA75" w:rsidR="002F7BDB" w:rsidRPr="009819CE" w:rsidRDefault="002F7BDB" w:rsidP="001F4A34">
      <w:pPr>
        <w:pStyle w:val="NormalWeb"/>
        <w:rPr>
          <w:rFonts w:cstheme="minorBidi"/>
        </w:rPr>
      </w:pPr>
      <w:r w:rsidRPr="009819CE">
        <w:rPr>
          <w:rFonts w:cstheme="minorBidi"/>
        </w:rPr>
        <w:t xml:space="preserve">The feeding ecology of </w:t>
      </w:r>
      <w:r w:rsidR="00C31E47" w:rsidRPr="009819CE">
        <w:rPr>
          <w:rFonts w:cstheme="minorBidi"/>
          <w:i/>
          <w:iCs/>
        </w:rPr>
        <w:t>Nephrops</w:t>
      </w:r>
      <w:r w:rsidRPr="009819CE">
        <w:rPr>
          <w:rFonts w:cstheme="minorBidi"/>
          <w:i/>
          <w:iCs/>
        </w:rPr>
        <w:t xml:space="preserve"> norvegicus</w:t>
      </w:r>
      <w:r w:rsidRPr="009819CE">
        <w:rPr>
          <w:rFonts w:cstheme="minorBidi"/>
        </w:rPr>
        <w:t xml:space="preserve"> is linked to its biological rhythms, encompassing behavioural and physiological patterns influenced by various factors such as environmental conditions and its own activity cycle </w:t>
      </w:r>
      <w:r w:rsidRPr="009819CE">
        <w:rPr>
          <w:rFonts w:cstheme="minorBidi"/>
          <w:iCs/>
        </w:rPr>
        <w:t xml:space="preserve"> </w:t>
      </w:r>
      <w:r w:rsidRPr="009819CE">
        <w:rPr>
          <w:rFonts w:cstheme="minorBidi"/>
          <w:iCs/>
        </w:rPr>
        <w:fldChar w:fldCharType="begin">
          <w:fldData xml:space="preserve">PEVuZE5vdGU+PENpdGU+PEF1dGhvcj5BZ3V6emk8L0F1dGhvcj48WWVhcj4yMDA0PC9ZZWFyPjxS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</w:fldData>
        </w:fldChar>
      </w:r>
      <w:r w:rsidR="00481961" w:rsidRPr="009819CE">
        <w:rPr>
          <w:rFonts w:cstheme="minorBidi"/>
          <w:iCs/>
        </w:rPr>
        <w:instrText xml:space="preserve"> ADDIN EN.CITE </w:instrText>
      </w:r>
      <w:r w:rsidR="00481961" w:rsidRPr="009819CE">
        <w:rPr>
          <w:rFonts w:cstheme="minorBidi"/>
          <w:iCs/>
        </w:rPr>
        <w:fldChar w:fldCharType="begin">
          <w:fldData xml:space="preserve">PEVuZE5vdGU+PENpdGU+PEF1dGhvcj5BZ3V6emk8L0F1dGhvcj48WWVhcj4yMDA0PC9ZZWFyPjxS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</w:fldData>
        </w:fldChar>
      </w:r>
      <w:r w:rsidR="00481961" w:rsidRPr="009819CE">
        <w:rPr>
          <w:rFonts w:cstheme="minorBidi"/>
          <w:iCs/>
        </w:rPr>
        <w:instrText xml:space="preserve"> ADDIN EN.CITE.DATA </w:instrText>
      </w:r>
      <w:r w:rsidR="00481961" w:rsidRPr="009819CE">
        <w:rPr>
          <w:rFonts w:cstheme="minorBidi"/>
          <w:iCs/>
        </w:rPr>
      </w:r>
      <w:r w:rsidR="00481961" w:rsidRPr="009819CE">
        <w:rPr>
          <w:rFonts w:cstheme="minorBidi"/>
          <w:iCs/>
        </w:rPr>
        <w:fldChar w:fldCharType="end"/>
      </w:r>
      <w:r w:rsidRPr="009819CE">
        <w:rPr>
          <w:rFonts w:cstheme="minorBidi"/>
          <w:iCs/>
        </w:rPr>
      </w:r>
      <w:r w:rsidRPr="009819CE">
        <w:rPr>
          <w:rFonts w:cstheme="minorBidi"/>
          <w:iCs/>
        </w:rPr>
        <w:fldChar w:fldCharType="separate"/>
      </w:r>
      <w:r w:rsidR="00A8698B" w:rsidRPr="001F4A34">
        <w:rPr>
          <w:rFonts w:cstheme="minorBidi"/>
          <w:iCs/>
        </w:rPr>
        <w:t>(</w:t>
      </w:r>
      <w:hyperlink w:anchor="_ENREF_4" w:tooltip="Aguzzi, 2004 #1882" w:history="1">
        <w:r w:rsidR="00950097" w:rsidRPr="001F4A34">
          <w:rPr>
            <w:rFonts w:cstheme="minorBidi"/>
            <w:iCs/>
          </w:rPr>
          <w:t>Aguzzi et al., 2004a</w:t>
        </w:r>
      </w:hyperlink>
      <w:r w:rsidR="00A8698B" w:rsidRPr="001F4A34">
        <w:rPr>
          <w:rFonts w:cstheme="minorBidi"/>
          <w:iCs/>
        </w:rPr>
        <w:t xml:space="preserve">; </w:t>
      </w:r>
      <w:hyperlink w:anchor="_ENREF_6" w:tooltip="Aguzzi, 2008 #163" w:history="1">
        <w:r w:rsidR="00950097" w:rsidRPr="001F4A34">
          <w:rPr>
            <w:rFonts w:cstheme="minorBidi"/>
            <w:iCs/>
          </w:rPr>
          <w:t>Aguzzi and Sardà, 2008</w:t>
        </w:r>
      </w:hyperlink>
      <w:r w:rsidR="00A8698B" w:rsidRPr="001F4A34">
        <w:rPr>
          <w:rFonts w:cstheme="minorBidi"/>
          <w:iCs/>
        </w:rPr>
        <w:t>)</w:t>
      </w:r>
      <w:r w:rsidRPr="009819CE">
        <w:rPr>
          <w:rFonts w:cstheme="minorBidi"/>
          <w:iCs/>
        </w:rPr>
        <w:fldChar w:fldCharType="end"/>
      </w:r>
      <w:r w:rsidRPr="009819CE">
        <w:rPr>
          <w:rFonts w:cstheme="minorBidi"/>
          <w:iCs/>
        </w:rPr>
        <w:t xml:space="preserve">. </w:t>
      </w:r>
      <w:r w:rsidRPr="009819CE">
        <w:rPr>
          <w:rFonts w:cstheme="minorBidi"/>
        </w:rPr>
        <w:t xml:space="preserve">This opportunistic predator or scavenger exhibits non-selective and euryphagous feeding habits </w:t>
      </w:r>
      <w:r w:rsidRPr="009819CE">
        <w:rPr>
          <w:rFonts w:cstheme="minorBidi"/>
        </w:rPr>
        <w:fldChar w:fldCharType="begin"/>
      </w:r>
      <w:r w:rsidR="00D50EFF" w:rsidRPr="009819CE">
        <w:rPr>
          <w:rFonts w:cstheme="minorBidi"/>
        </w:rPr>
        <w:instrText xml:space="preserve"> ADDIN EN.CITE &lt;EndNote&gt;&lt;Cite&gt;&lt;Author&gt;Cristo&lt;/Author&gt;&lt;Year&gt;1998&lt;/Year&gt;&lt;RecNum&gt;1881&lt;/RecNum&gt;&lt;DisplayText&gt;(Cristo and Cartes, 1998)&lt;/DisplayText&gt;&lt;record&gt;&lt;rec-number&gt;1881&lt;/rec-number&gt;&lt;foreign-keys&gt;&lt;key app="EN" db-id="sd9wrx9fj09rx3erprsx999o0r5aprvp2zse" timestamp="1705162468" guid="9a34f73b-897c-4948-9528-a67427069b8c"&gt;1881&lt;/key&gt;&lt;/foreign-keys&gt;&lt;ref-type name="Journal Article"&gt;17&lt;/ref-type&gt;&lt;contributors&gt;&lt;authors&gt;&lt;author&gt;Cristo, M.&lt;/author&gt;&lt;author&gt;Cartes, J. E.&lt;/author&gt;&lt;/authors&gt;&lt;/contributors&gt;&lt;titles&gt;&lt;title&gt;&lt;style face="normal" font="default" size="100%"&gt;A comparative study of the feeding ecology of &lt;/style&gt;&lt;style face="italic" font="default" size="100%"&gt;Nephrops norvegicus&lt;/style&gt;&lt;style face="normal" font="default" size="100%"&gt;(L.), (Decapoda: &lt;/style&gt;&lt;style face="italic" font="default" size="100%"&gt;Nephropidae&lt;/style&gt;&lt;style face="normal" font="default" size="100%"&gt;) in the bathyal Mediterranean and the adjacent Atlantic&lt;/style&gt;&lt;/title&gt;&lt;secondary-title&gt;Scientia Marina&lt;/secondary-title&gt;&lt;/titles&gt;&lt;periodical&gt;&lt;full-title&gt;Scientia Marina&lt;/full-title&gt;&lt;/periodical&gt;&lt;pages&gt;81-90&lt;/pages&gt;&lt;volume&gt;62&lt;/volume&gt;&lt;dates&gt;&lt;year&gt;1998&lt;/year&gt;&lt;/dates&gt;&lt;urls&gt;&lt;/urls&gt;&lt;electronic-resource-num&gt;https://doi.org/10.3989/scimar.1998.62s181&lt;/electronic-resource-num&gt;&lt;/record&gt;&lt;/Cite&gt;&lt;/EndNote&gt;</w:instrText>
      </w:r>
      <w:r w:rsidRPr="009819CE">
        <w:rPr>
          <w:rFonts w:cstheme="minorBidi"/>
        </w:rPr>
        <w:fldChar w:fldCharType="separate"/>
      </w:r>
      <w:r w:rsidR="00D50EFF" w:rsidRPr="009819CE">
        <w:rPr>
          <w:rFonts w:cstheme="minorBidi"/>
        </w:rPr>
        <w:t>(</w:t>
      </w:r>
      <w:hyperlink w:anchor="_ENREF_60" w:tooltip="Cristo, 1998 #1881" w:history="1">
        <w:r w:rsidR="00950097" w:rsidRPr="009819CE">
          <w:rPr>
            <w:rFonts w:cstheme="minorBidi"/>
          </w:rPr>
          <w:t>Cristo and Cartes, 1998</w:t>
        </w:r>
      </w:hyperlink>
      <w:r w:rsidR="00D50EFF" w:rsidRPr="009819CE">
        <w:rPr>
          <w:rFonts w:cstheme="minorBidi"/>
        </w:rPr>
        <w:t>)</w:t>
      </w:r>
      <w:r w:rsidRPr="009819CE">
        <w:rPr>
          <w:rFonts w:cstheme="minorBidi"/>
        </w:rPr>
        <w:fldChar w:fldCharType="end"/>
      </w:r>
      <w:r w:rsidRPr="009819CE">
        <w:rPr>
          <w:rFonts w:cstheme="minorBidi"/>
          <w:iCs/>
        </w:rPr>
        <w:t xml:space="preserve">, </w:t>
      </w:r>
      <w:r w:rsidRPr="009819CE">
        <w:rPr>
          <w:rFonts w:cstheme="minorBidi"/>
        </w:rPr>
        <w:t xml:space="preserve">with a diverse diet including other crustaceans, fish, and molluscs </w:t>
      </w:r>
      <w:r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Pr="009819CE">
        <w:rPr>
          <w:rFonts w:cstheme="minorBidi"/>
        </w:rPr>
        <w:fldChar w:fldCharType="end"/>
      </w:r>
      <w:r w:rsidRPr="009819CE">
        <w:rPr>
          <w:rFonts w:cstheme="minorBidi"/>
        </w:rPr>
        <w:t>.</w:t>
      </w:r>
      <w:r w:rsidR="00BA7457" w:rsidRPr="00FA7D47">
        <w:rPr>
          <w:rFonts w:cstheme="minorBidi"/>
        </w:rPr>
        <w:t xml:space="preserve"> </w:t>
      </w:r>
      <w:r w:rsidR="00BA7457" w:rsidRPr="001F4A34">
        <w:rPr>
          <w:rFonts w:cstheme="minorBidi"/>
        </w:rPr>
        <w:t xml:space="preserve">Recent DNA metabarcoding studies have revealed that </w:t>
      </w:r>
      <w:r w:rsidR="00BA7457" w:rsidRPr="001F4A34">
        <w:rPr>
          <w:rFonts w:cstheme="minorBidi"/>
          <w:i/>
          <w:iCs/>
        </w:rPr>
        <w:t>Dinoflagellata</w:t>
      </w:r>
      <w:r w:rsidR="00BA7457" w:rsidRPr="001F4A34">
        <w:rPr>
          <w:rFonts w:cstheme="minorBidi"/>
        </w:rPr>
        <w:t xml:space="preserve">, </w:t>
      </w:r>
      <w:r w:rsidR="00BA7457" w:rsidRPr="001F4A34">
        <w:rPr>
          <w:rFonts w:cstheme="minorBidi"/>
          <w:i/>
          <w:iCs/>
        </w:rPr>
        <w:t>Chlorophyta</w:t>
      </w:r>
      <w:r w:rsidR="00BA7457" w:rsidRPr="001F4A34">
        <w:rPr>
          <w:rFonts w:cstheme="minorBidi"/>
        </w:rPr>
        <w:t xml:space="preserve">, and </w:t>
      </w:r>
      <w:r w:rsidR="00BA7457" w:rsidRPr="001F4A34">
        <w:rPr>
          <w:rFonts w:cstheme="minorBidi"/>
          <w:i/>
          <w:iCs/>
        </w:rPr>
        <w:t>Bacillariophyta</w:t>
      </w:r>
      <w:r w:rsidR="00BA7457" w:rsidRPr="001F4A34">
        <w:rPr>
          <w:rFonts w:cstheme="minorBidi"/>
        </w:rPr>
        <w:t xml:space="preserve"> constitute nearly 50% of the identified prey items, indicating a strong association with suspension feeding. Additionally, the detection of fish species with high fisheries discard rates suggests a significant reliance on active foraging strategies</w:t>
      </w:r>
      <w:r w:rsidR="00362BA9" w:rsidRPr="00FA7D47">
        <w:rPr>
          <w:rFonts w:cstheme="minorBidi"/>
        </w:rPr>
        <w:t xml:space="preserve"> </w:t>
      </w:r>
      <w:r w:rsidR="00362BA9" w:rsidRPr="009819CE">
        <w:rPr>
          <w:rFonts w:cstheme="minorBidi"/>
        </w:rPr>
        <w:fldChar w:fldCharType="begin"/>
      </w:r>
      <w:r w:rsidR="00362BA9" w:rsidRPr="009819CE">
        <w:rPr>
          <w:rFonts w:cstheme="minorBidi"/>
        </w:rPr>
        <w:instrText xml:space="preserve"> ADDIN EN.CITE &lt;EndNote&gt;&lt;Cite&gt;&lt;Author&gt;Shum&lt;/Author&gt;&lt;Year&gt;2023&lt;/Year&gt;&lt;RecNum&gt;1189&lt;/RecNum&gt;&lt;DisplayText&gt;(Shum et al., 2023)&lt;/DisplayText&gt;&lt;record&gt;&lt;rec-number&gt;1189&lt;/rec-number&gt;&lt;foreign-keys&gt;&lt;key app="EN" db-id="sd9wrx9fj09rx3erprsx999o0r5aprvp2zse" timestamp="1687855902" guid="1361dc60-eeb1-4a60-bcca-8d34954c5e10"&gt;1189&lt;/key&gt;&lt;/foreign-keys&gt;&lt;ref-type name="Journal Article"&gt;17&lt;/ref-type&gt;&lt;contributors&gt;&lt;authors&gt;&lt;author&gt;Shum, Peter&lt;/author&gt;&lt;author&gt;Wäge-Recchioni, Janine&lt;/author&gt;&lt;author&gt;Sellers, Graham S.&lt;/author&gt;&lt;author&gt;Johnson, Magnus L.&lt;/author&gt;&lt;author&gt;Joyce, Domino A.&lt;/author&gt;&lt;/authors&gt;&lt;/contributors&gt;&lt;titles&gt;&lt;title&gt;DNA metabarcoding reveals the dietary profiles of a benthic marine crustacean, Nephrops norvegicus&lt;/title&gt;&lt;secondary-title&gt;bioRxiv&lt;/secondary-title&gt;&lt;/titles&gt;&lt;periodical&gt;&lt;full-title&gt;bioRxiv&lt;/full-title&gt;&lt;/periodical&gt;&lt;pages&gt;2022.12.14.520264-2022.12.14.520264&lt;/pages&gt;&lt;dates&gt;&lt;year&gt;2023&lt;/year&gt;&lt;pub-dates&gt;&lt;date&gt;2023/1//&lt;/date&gt;&lt;/pub-dates&gt;&lt;/dates&gt;&lt;publisher&gt;Cold Spring Harbor Laboratory&lt;/publisher&gt;&lt;urls&gt;&lt;related-urls&gt;&lt;url&gt;https://www.biorxiv.org/content/10.1101/2022.12.14.520264v2&lt;/url&gt;&lt;url&gt;https://www.biorxiv.org/content/10.1101/2022.12.14.520264v2.abstract&lt;/url&gt;&lt;/related-urls&gt;&lt;/urls&gt;&lt;electronic-resource-num&gt;10.1101/2022.12.14.520264&lt;/electronic-resource-num&gt;&lt;/record&gt;&lt;/Cite&gt;&lt;/EndNote&gt;</w:instrText>
      </w:r>
      <w:r w:rsidR="00362BA9" w:rsidRPr="009819CE">
        <w:rPr>
          <w:rFonts w:cstheme="minorBidi"/>
        </w:rPr>
        <w:fldChar w:fldCharType="separate"/>
      </w:r>
      <w:r w:rsidR="00362BA9" w:rsidRPr="001F4A34">
        <w:rPr>
          <w:rFonts w:cstheme="minorBidi"/>
        </w:rPr>
        <w:t>(</w:t>
      </w:r>
      <w:hyperlink w:anchor="_ENREF_284" w:tooltip="Shum, 2023 #1189" w:history="1">
        <w:r w:rsidR="00950097" w:rsidRPr="001F4A34">
          <w:rPr>
            <w:rFonts w:cstheme="minorBidi"/>
          </w:rPr>
          <w:t>Shum et al., 2023</w:t>
        </w:r>
      </w:hyperlink>
      <w:r w:rsidR="00362BA9" w:rsidRPr="001F4A34">
        <w:rPr>
          <w:rFonts w:cstheme="minorBidi"/>
        </w:rPr>
        <w:t>)</w:t>
      </w:r>
      <w:r w:rsidR="00362BA9" w:rsidRPr="009819CE">
        <w:rPr>
          <w:rFonts w:cstheme="minorBidi"/>
        </w:rPr>
        <w:fldChar w:fldCharType="end"/>
      </w:r>
      <w:r w:rsidR="00BA7457" w:rsidRPr="007E6468">
        <w:rPr>
          <w:rFonts w:cstheme="minorBidi"/>
        </w:rPr>
        <w:t>.</w:t>
      </w:r>
      <w:r w:rsidRPr="009819CE">
        <w:rPr>
          <w:rFonts w:cstheme="minorBidi"/>
        </w:rPr>
        <w:t xml:space="preserve">The photoperiod directly modulates emergence duration, likely synergizing with seasonal changes in food inputs driven by fluctuations in primary production </w:t>
      </w:r>
      <w:r w:rsidRPr="009819CE">
        <w:rPr>
          <w:rFonts w:cstheme="minorBidi"/>
        </w:rPr>
        <w:fldChar w:fldCharType="begin">
          <w:fldData xml:space="preserve">PEVuZE5vdGU+PENpdGU+PEF1dGhvcj5Sb3RsbGFudDwvQXV0aG9yPjxZZWFyPjIwMTQ8L1llYXI+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</w:fldData>
        </w:fldChar>
      </w:r>
      <w:r w:rsidR="00E11994" w:rsidRPr="009819CE">
        <w:rPr>
          <w:rFonts w:cstheme="minorBidi"/>
        </w:rPr>
        <w:instrText xml:space="preserve"> ADDIN EN.CITE </w:instrText>
      </w:r>
      <w:r w:rsidR="00E11994" w:rsidRPr="009819CE">
        <w:rPr>
          <w:rFonts w:cstheme="minorBidi"/>
        </w:rPr>
        <w:fldChar w:fldCharType="begin">
          <w:fldData xml:space="preserve">PEVuZE5vdGU+PENpdGU+PEF1dGhvcj5Sb3RsbGFudDwvQXV0aG9yPjxZZWFyPjIwMTQ8L1llYXI+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</w:fldData>
        </w:fldChar>
      </w:r>
      <w:r w:rsidR="00E11994" w:rsidRPr="009819CE">
        <w:rPr>
          <w:rFonts w:cstheme="minorBidi"/>
        </w:rPr>
        <w:instrText xml:space="preserve"> ADDIN EN.CITE.DATA </w:instrText>
      </w:r>
      <w:r w:rsidR="00E11994" w:rsidRPr="009819CE">
        <w:rPr>
          <w:rFonts w:cstheme="minorBidi"/>
        </w:rPr>
      </w:r>
      <w:r w:rsidR="00E11994"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31" w:tooltip="Heussner, 2006 #1885" w:history="1">
        <w:r w:rsidR="00950097" w:rsidRPr="001F4A34">
          <w:rPr>
            <w:rFonts w:cstheme="minorBidi"/>
          </w:rPr>
          <w:t>Heussner et al., 2006</w:t>
        </w:r>
      </w:hyperlink>
      <w:r w:rsidR="00D50EFF" w:rsidRPr="001F4A34">
        <w:rPr>
          <w:rFonts w:cstheme="minorBidi"/>
        </w:rPr>
        <w:t xml:space="preserve">; </w:t>
      </w:r>
      <w:hyperlink w:anchor="_ENREF_259" w:tooltip="Rotllant, 2014 #978" w:history="1">
        <w:r w:rsidR="00950097" w:rsidRPr="001F4A34">
          <w:rPr>
            <w:rFonts w:cstheme="minorBidi"/>
          </w:rPr>
          <w:t>Rotllant et al., 2014</w:t>
        </w:r>
      </w:hyperlink>
      <w:r w:rsidR="00D50EFF" w:rsidRPr="001F4A34">
        <w:rPr>
          <w:rFonts w:cstheme="minorBidi"/>
        </w:rPr>
        <w:t>)</w:t>
      </w:r>
      <w:r w:rsidRPr="009819CE">
        <w:rPr>
          <w:rFonts w:cstheme="minorBidi"/>
        </w:rPr>
        <w:fldChar w:fldCharType="end"/>
      </w:r>
      <w:r w:rsidRPr="009819CE">
        <w:rPr>
          <w:rFonts w:cstheme="minorBidi"/>
        </w:rPr>
        <w:t xml:space="preserve">. </w:t>
      </w:r>
      <w:r w:rsidR="00D0382F" w:rsidRPr="00D0382F">
        <w:rPr>
          <w:rFonts w:cstheme="minorBidi"/>
          <w:i/>
          <w:iCs/>
        </w:rPr>
        <w:t>Nephrops</w:t>
      </w:r>
      <w:r w:rsidRPr="009819CE">
        <w:rPr>
          <w:rFonts w:cstheme="minorBidi"/>
        </w:rPr>
        <w:t xml:space="preserve"> alter their feeding patterns in response to light levels, with increased foraging at dawn and dusk </w:t>
      </w:r>
      <w:r w:rsidRPr="009819CE">
        <w:rPr>
          <w:rFonts w:cstheme="minorBidi"/>
        </w:rPr>
        <w:fldChar w:fldCharType="begin"/>
      </w:r>
      <w:r w:rsidR="00E11994" w:rsidRPr="009819CE">
        <w:rPr>
          <w:rFonts w:cstheme="minorBidi"/>
        </w:rPr>
        <w:instrText xml:space="preserve"> ADDIN EN.CITE &lt;EndNote&gt;&lt;Cite&gt;&lt;Author&gt;Power&lt;/Author&gt;&lt;Year&gt;2019&lt;/Year&gt;&lt;RecNum&gt;1878&lt;/RecNum&gt;&lt;DisplayText&gt;(Power et al., 2019)&lt;/DisplayText&gt;&lt;record&gt;&lt;rec-number&gt;1878&lt;/rec-number&gt;&lt;foreign-keys&gt;&lt;key app="EN" db-id="sd9wrx9fj09rx3erprsx999o0r5aprvp2zse" timestamp="1705161023" guid="df45bb6d-25ca-4454-8a04-104461ff1cf1"&gt;1878&lt;/key&gt;&lt;/foreign-keys&gt;&lt;ref-type name="Journal Article"&gt;17&lt;/ref-type&gt;&lt;contributors&gt;&lt;authors&gt;&lt;author&gt;Power, Anne Marie&lt;/author&gt;&lt;author&gt;Merder, Julian&lt;/author&gt;&lt;author&gt;Browne, Patricia&lt;/author&gt;&lt;author&gt;Freund, Jan A.&lt;/author&gt;&lt;author&gt;Fullbrook, Liam&lt;/author&gt;&lt;author&gt;Graham, Conor&lt;/author&gt;&lt;author&gt;Kennedy, Robert J.&lt;/author&gt;&lt;author&gt;O’Carroll, Jack P. J.&lt;/author&gt;&lt;author&gt;Wieczorek, Alina M.&lt;/author&gt;&lt;author&gt;Johnson, Mark P.&lt;/author&gt;&lt;/authors&gt;&lt;/contributors&gt;&lt;titles&gt;&lt;title&gt;&lt;style face="normal" font="default" size="100%"&gt;Field-recorded data on habitat, density, growth and movement of &lt;/style&gt;&lt;style face="italic" font="default" size="100%"&gt;Nephrops norvegicus&lt;/style&gt;&lt;/title&gt;&lt;secondary-title&gt;Scientific Data&lt;/secondary-title&gt;&lt;/titles&gt;&lt;periodical&gt;&lt;full-title&gt;Scientific Data&lt;/full-title&gt;&lt;/periodical&gt;&lt;pages&gt;7&lt;/pages&gt;&lt;volume&gt;6&lt;/volume&gt;&lt;number&gt;1&lt;/number&gt;&lt;dates&gt;&lt;year&gt;2019&lt;/year&gt;&lt;pub-dates&gt;&lt;date&gt;2019/03/26&lt;/date&gt;&lt;/pub-dates&gt;&lt;/dates&gt;&lt;isbn&gt;2052-4463&lt;/isbn&gt;&lt;urls&gt;&lt;related-urls&gt;&lt;url&gt;https://doi.org/10.1038/s41597-019-0013-x&lt;/url&gt;&lt;/related-urls&gt;&lt;/urls&gt;&lt;electronic-resource-num&gt;10.1038/s41597-019-0013-x&lt;/electronic-resource-num&gt;&lt;/record&gt;&lt;/Cite&gt;&lt;/EndNote&gt;</w:instrText>
      </w:r>
      <w:r w:rsidRPr="009819CE">
        <w:rPr>
          <w:rFonts w:cstheme="minorBidi"/>
        </w:rPr>
        <w:fldChar w:fldCharType="separate"/>
      </w:r>
      <w:r w:rsidR="00D50EFF" w:rsidRPr="001F4A34">
        <w:rPr>
          <w:rFonts w:cstheme="minorBidi"/>
        </w:rPr>
        <w:t>(</w:t>
      </w:r>
      <w:hyperlink w:anchor="_ENREF_248" w:tooltip="Power, 2019 #1878" w:history="1">
        <w:r w:rsidR="00950097" w:rsidRPr="001F4A34">
          <w:rPr>
            <w:rFonts w:cstheme="minorBidi"/>
          </w:rPr>
          <w:t>Power et al., 2019</w:t>
        </w:r>
      </w:hyperlink>
      <w:r w:rsidR="00D50EFF" w:rsidRPr="001F4A34">
        <w:rPr>
          <w:rFonts w:cstheme="minorBidi"/>
        </w:rPr>
        <w:t>)</w:t>
      </w:r>
      <w:r w:rsidRPr="009819CE">
        <w:rPr>
          <w:rFonts w:cstheme="minorBidi"/>
        </w:rPr>
        <w:fldChar w:fldCharType="end"/>
      </w:r>
      <w:r w:rsidRPr="009819CE">
        <w:rPr>
          <w:rFonts w:cstheme="minorBidi"/>
        </w:rPr>
        <w:t xml:space="preserve">. Larger individuals emerge more frequently, presumably due to higher food requirements and better defence against predators </w:t>
      </w:r>
      <w:r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Pr="009819CE">
        <w:rPr>
          <w:rFonts w:cstheme="minorBidi"/>
        </w:rPr>
        <w:fldChar w:fldCharType="end"/>
      </w:r>
      <w:r w:rsidRPr="009819CE">
        <w:rPr>
          <w:rFonts w:cstheme="minorBidi"/>
        </w:rPr>
        <w:t xml:space="preserve">. Abiotic factors such as tidal movements and cloud cover also play a role in influencing emergence patterns </w:t>
      </w:r>
      <w:r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Pr="009819CE">
        <w:rPr>
          <w:rFonts w:cstheme="minorBidi"/>
        </w:rPr>
        <w:fldChar w:fldCharType="end"/>
      </w:r>
      <w:r w:rsidRPr="009819CE">
        <w:rPr>
          <w:rFonts w:cstheme="minorBidi"/>
        </w:rPr>
        <w:t>.</w:t>
      </w:r>
    </w:p>
    <w:p w14:paraId="20BF2411" w14:textId="520651F2" w:rsidR="002F7BDB" w:rsidRPr="009819CE" w:rsidRDefault="002F7BDB" w:rsidP="002F7BDB">
      <w:pPr>
        <w:rPr>
          <w:rFonts w:cstheme="minorBidi"/>
        </w:rPr>
      </w:pPr>
      <w:r w:rsidRPr="009819CE">
        <w:rPr>
          <w:rFonts w:cstheme="minorBidi"/>
        </w:rPr>
        <w:t xml:space="preserve">Sex-related differences in emergence rhythmicity impact the catchability of ovigerous or berried females, particularly during egg-carrying seasons </w:t>
      </w:r>
      <w:r w:rsidRPr="009819CE">
        <w:rPr>
          <w:rFonts w:cstheme="minorBidi"/>
        </w:rPr>
        <w:fldChar w:fldCharType="begin">
          <w:fldData xml:space="preserve">PEVuZE5vdGU+PENpdGU+PEF1dGhvcj5UaG9tYXM8L0F1dGhvcj48WWVhcj4xOTY1PC9ZZWFyPjxS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</w:fldData>
        </w:fldChar>
      </w:r>
      <w:r w:rsidR="00871B4F">
        <w:rPr>
          <w:rFonts w:cstheme="minorBidi"/>
        </w:rPr>
        <w:instrText xml:space="preserve"> ADDIN EN.CITE </w:instrText>
      </w:r>
      <w:r w:rsidR="00871B4F">
        <w:rPr>
          <w:rFonts w:cstheme="minorBidi"/>
        </w:rPr>
        <w:fldChar w:fldCharType="begin">
          <w:fldData xml:space="preserve">PEVuZE5vdGU+PENpdGU+PEF1dGhvcj5UaG9tYXM8L0F1dGhvcj48WWVhcj4xOTY1PC9ZZWFyPjxS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871B4F">
        <w:rPr>
          <w:rFonts w:cstheme="minorBidi"/>
          <w:noProof/>
        </w:rPr>
        <w:t>(</w:t>
      </w:r>
      <w:hyperlink w:anchor="_ENREF_246" w:tooltip="Poulsen, 1946 #1886" w:history="1">
        <w:r w:rsidR="00950097" w:rsidRPr="00871B4F">
          <w:rPr>
            <w:rFonts w:cstheme="minorBidi"/>
            <w:noProof/>
          </w:rPr>
          <w:t>Poulsen, 1946</w:t>
        </w:r>
      </w:hyperlink>
      <w:r w:rsidR="00D50EFF" w:rsidRPr="00871B4F">
        <w:rPr>
          <w:rFonts w:cstheme="minorBidi"/>
          <w:noProof/>
        </w:rPr>
        <w:t xml:space="preserve">; </w:t>
      </w:r>
      <w:hyperlink w:anchor="_ENREF_267" w:tooltip="Sardà, 1995 #98" w:history="1">
        <w:r w:rsidR="00950097" w:rsidRPr="00871B4F">
          <w:rPr>
            <w:rFonts w:cstheme="minorBidi"/>
            <w:noProof/>
          </w:rPr>
          <w:t>Sardà, 1995</w:t>
        </w:r>
      </w:hyperlink>
      <w:r w:rsidR="00D50EFF" w:rsidRPr="00871B4F">
        <w:rPr>
          <w:rFonts w:cstheme="minorBidi"/>
          <w:noProof/>
        </w:rPr>
        <w:t xml:space="preserve">; </w:t>
      </w:r>
      <w:hyperlink w:anchor="_ENREF_325" w:tooltip="Thomas, 1965 #384" w:history="1">
        <w:r w:rsidR="00950097" w:rsidRPr="00871B4F">
          <w:rPr>
            <w:rFonts w:cstheme="minorBidi"/>
            <w:noProof/>
          </w:rPr>
          <w:t>Thomas and Figueiredo, 1965</w:t>
        </w:r>
      </w:hyperlink>
      <w:r w:rsidR="00D50EFF" w:rsidRPr="00871B4F">
        <w:rPr>
          <w:rFonts w:cstheme="minorBidi"/>
          <w:noProof/>
        </w:rPr>
        <w:t>)</w:t>
      </w:r>
      <w:r w:rsidRPr="009819CE">
        <w:rPr>
          <w:rFonts w:cstheme="minorBidi"/>
        </w:rPr>
        <w:fldChar w:fldCharType="end"/>
      </w:r>
      <w:r w:rsidRPr="009819CE">
        <w:rPr>
          <w:rFonts w:cstheme="minorBidi"/>
        </w:rPr>
        <w:t xml:space="preserve">. Ovigerous females tend to remain inside their burrows, protecting their offspring </w:t>
      </w:r>
      <w:r w:rsidRPr="009819CE">
        <w:rPr>
          <w:rFonts w:cstheme="minorBidi"/>
          <w:iCs/>
        </w:rPr>
        <w:fldChar w:fldCharType="begin">
          <w:fldData xml:space="preserve">PEVuZE5vdGU+PENpdGU+PEF1dGhvcj5BZ3V6emk8L0F1dGhvcj48WWVhcj4yMDIzPC9ZZWFyPjxS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</w:fldData>
        </w:fldChar>
      </w:r>
      <w:r w:rsidR="00ED1A9E" w:rsidRPr="009819CE">
        <w:rPr>
          <w:rFonts w:cstheme="minorBidi"/>
          <w:iCs/>
        </w:rPr>
        <w:instrText xml:space="preserve"> ADDIN EN.CITE </w:instrText>
      </w:r>
      <w:r w:rsidR="00ED1A9E" w:rsidRPr="009819CE">
        <w:rPr>
          <w:rFonts w:cstheme="minorBidi"/>
          <w:iCs/>
        </w:rPr>
        <w:fldChar w:fldCharType="begin">
          <w:fldData xml:space="preserve">PEVuZE5vdGU+PENpdGU+PEF1dGhvcj5BZ3V6emk8L0F1dGhvcj48WWVhcj4yMDIzPC9ZZWFyPjxS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</w:fldData>
        </w:fldChar>
      </w:r>
      <w:r w:rsidR="00ED1A9E" w:rsidRPr="009819CE">
        <w:rPr>
          <w:rFonts w:cstheme="minorBidi"/>
          <w:iCs/>
        </w:rPr>
        <w:instrText xml:space="preserve"> ADDIN EN.CITE.DATA </w:instrText>
      </w:r>
      <w:r w:rsidR="00ED1A9E" w:rsidRPr="009819CE">
        <w:rPr>
          <w:rFonts w:cstheme="minorBidi"/>
          <w:iCs/>
        </w:rPr>
      </w:r>
      <w:r w:rsidR="00ED1A9E" w:rsidRPr="009819CE">
        <w:rPr>
          <w:rFonts w:cstheme="minorBidi"/>
          <w:iCs/>
        </w:rPr>
        <w:fldChar w:fldCharType="end"/>
      </w:r>
      <w:r w:rsidRPr="009819CE">
        <w:rPr>
          <w:rFonts w:cstheme="minorBidi"/>
          <w:iCs/>
        </w:rPr>
      </w:r>
      <w:r w:rsidRPr="009819CE">
        <w:rPr>
          <w:rFonts w:cstheme="minorBidi"/>
          <w:iCs/>
        </w:rPr>
        <w:fldChar w:fldCharType="separate"/>
      </w:r>
      <w:r w:rsidR="00A8698B" w:rsidRPr="001F4A34">
        <w:rPr>
          <w:rFonts w:cstheme="minorBidi"/>
          <w:iCs/>
        </w:rPr>
        <w:t>(</w:t>
      </w:r>
      <w:hyperlink w:anchor="_ENREF_7" w:tooltip="Aguzzi, 2023 #1638" w:history="1">
        <w:r w:rsidR="00950097" w:rsidRPr="001F4A34">
          <w:rPr>
            <w:rFonts w:cstheme="minorBidi"/>
            <w:iCs/>
          </w:rPr>
          <w:t>Aguzzi et al., 2023</w:t>
        </w:r>
      </w:hyperlink>
      <w:r w:rsidR="00A8698B" w:rsidRPr="001F4A34">
        <w:rPr>
          <w:rFonts w:cstheme="minorBidi"/>
          <w:iCs/>
        </w:rPr>
        <w:t>)</w:t>
      </w:r>
      <w:r w:rsidRPr="009819CE">
        <w:rPr>
          <w:rFonts w:cstheme="minorBidi"/>
          <w:iCs/>
        </w:rPr>
        <w:fldChar w:fldCharType="end"/>
      </w:r>
      <w:r w:rsidRPr="009819CE">
        <w:rPr>
          <w:rFonts w:cstheme="minorBidi"/>
        </w:rPr>
        <w:t xml:space="preserve">, and forage less, providing natural protection against trawlers. As a result, male </w:t>
      </w:r>
      <w:r w:rsidR="00C31E47" w:rsidRPr="009819CE">
        <w:rPr>
          <w:rFonts w:cstheme="minorBidi"/>
          <w:i/>
          <w:iCs/>
        </w:rPr>
        <w:t>Nephrops</w:t>
      </w:r>
      <w:r w:rsidRPr="009819CE">
        <w:rPr>
          <w:rFonts w:cstheme="minorBidi"/>
        </w:rPr>
        <w:t xml:space="preserve"> dominate trawler catches for the majority of the year and experience greater exploitation compared to females </w:t>
      </w:r>
      <w:r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Pr="009819CE">
        <w:rPr>
          <w:rFonts w:cstheme="minorBidi"/>
        </w:rPr>
        <w:fldChar w:fldCharType="end"/>
      </w:r>
      <w:r w:rsidRPr="009819CE">
        <w:rPr>
          <w:rFonts w:cstheme="minorBidi"/>
        </w:rPr>
        <w:t xml:space="preserve">. </w:t>
      </w:r>
      <w:r w:rsidR="00C31E47" w:rsidRPr="009819CE">
        <w:rPr>
          <w:rFonts w:cstheme="minorBidi"/>
          <w:i/>
          <w:iCs/>
        </w:rPr>
        <w:t>Nephrops</w:t>
      </w:r>
      <w:r w:rsidRPr="009819CE">
        <w:rPr>
          <w:rFonts w:cstheme="minorBidi"/>
        </w:rPr>
        <w:t xml:space="preserve"> actively protects near-burrow areas from intruding conspecifics. Territorial behaviour in </w:t>
      </w:r>
      <w:r w:rsidR="00C31E47" w:rsidRPr="009819CE">
        <w:rPr>
          <w:rFonts w:cstheme="minorBidi"/>
          <w:i/>
          <w:iCs/>
        </w:rPr>
        <w:t>Nephrops</w:t>
      </w:r>
      <w:r w:rsidRPr="009819CE">
        <w:rPr>
          <w:rFonts w:cstheme="minorBidi"/>
        </w:rPr>
        <w:t xml:space="preserve">, influenced by high-density areas, significantly impacts feeding opportunities near burrows, with the distance from the burrow to the food source being a crucial determinant in feeding behaviour </w:t>
      </w:r>
      <w:r w:rsidRPr="009819CE">
        <w:rPr>
          <w:rFonts w:cstheme="minorBidi"/>
        </w:rPr>
        <w:fldChar w:fldCharType="begin">
          <w:fldData xml:space="preserve">PEVuZE5vdGU+PENpdGU+PEF1dGhvcj5BZ3V6emk8L0F1dGhvcj48WWVhcj4yMDA0PC9ZZWFyPjxS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</w:fldData>
        </w:fldChar>
      </w:r>
      <w:r w:rsidR="0038026A" w:rsidRPr="009819CE">
        <w:rPr>
          <w:rFonts w:cstheme="minorBidi"/>
        </w:rPr>
        <w:instrText xml:space="preserve"> ADDIN EN.CITE </w:instrText>
      </w:r>
      <w:r w:rsidR="0038026A" w:rsidRPr="009819CE">
        <w:rPr>
          <w:rFonts w:cstheme="minorBidi"/>
        </w:rPr>
        <w:fldChar w:fldCharType="begin">
          <w:fldData xml:space="preserve">PEVuZE5vdGU+PENpdGU+PEF1dGhvcj5BZ3V6emk8L0F1dGhvcj48WWVhcj4yMDA0PC9ZZWFyPjxS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</w:fldData>
        </w:fldChar>
      </w:r>
      <w:r w:rsidR="0038026A" w:rsidRPr="009819CE">
        <w:rPr>
          <w:rFonts w:cstheme="minorBidi"/>
        </w:rPr>
        <w:instrText xml:space="preserve"> ADDIN EN.CITE.DATA </w:instrText>
      </w:r>
      <w:r w:rsidR="0038026A" w:rsidRPr="009819CE">
        <w:rPr>
          <w:rFonts w:cstheme="minorBidi"/>
        </w:rPr>
      </w:r>
      <w:r w:rsidR="0038026A" w:rsidRPr="009819CE">
        <w:rPr>
          <w:rFonts w:cstheme="minorBidi"/>
        </w:rPr>
        <w:fldChar w:fldCharType="end"/>
      </w:r>
      <w:r w:rsidRPr="009819CE">
        <w:rPr>
          <w:rFonts w:cstheme="minorBidi"/>
        </w:rPr>
      </w:r>
      <w:r w:rsidRPr="009819CE">
        <w:rPr>
          <w:rFonts w:cstheme="minorBidi"/>
        </w:rPr>
        <w:fldChar w:fldCharType="separate"/>
      </w:r>
      <w:r w:rsidR="0038026A" w:rsidRPr="001F4A34">
        <w:rPr>
          <w:rFonts w:cstheme="minorBidi"/>
        </w:rPr>
        <w:t>(</w:t>
      </w:r>
      <w:hyperlink w:anchor="_ENREF_4" w:tooltip="Aguzzi, 2004 #1882" w:history="1">
        <w:r w:rsidR="00950097" w:rsidRPr="001F4A34">
          <w:rPr>
            <w:rFonts w:cstheme="minorBidi"/>
          </w:rPr>
          <w:t>Aguzzi et al., 2004a</w:t>
        </w:r>
      </w:hyperlink>
      <w:r w:rsidR="0038026A" w:rsidRPr="001F4A34">
        <w:rPr>
          <w:rFonts w:cstheme="minorBidi"/>
        </w:rPr>
        <w:t xml:space="preserve">; </w:t>
      </w:r>
      <w:hyperlink w:anchor="_ENREF_265" w:tooltip="Santana, 2020 #658" w:history="1">
        <w:r w:rsidR="00950097" w:rsidRPr="001F4A34">
          <w:rPr>
            <w:rFonts w:cstheme="minorBidi"/>
          </w:rPr>
          <w:t>Santana et al., 2020</w:t>
        </w:r>
      </w:hyperlink>
      <w:r w:rsidR="0038026A" w:rsidRPr="001F4A34">
        <w:rPr>
          <w:rFonts w:cstheme="minorBidi"/>
        </w:rPr>
        <w:t xml:space="preserve">; </w:t>
      </w:r>
      <w:hyperlink w:anchor="_ENREF_284" w:tooltip="Shum, 2023 #1189" w:history="1">
        <w:r w:rsidR="00950097" w:rsidRPr="001F4A34">
          <w:rPr>
            <w:rFonts w:cstheme="minorBidi"/>
          </w:rPr>
          <w:t>Shum et al., 2023</w:t>
        </w:r>
      </w:hyperlink>
      <w:r w:rsidR="0038026A" w:rsidRPr="001F4A34">
        <w:rPr>
          <w:rFonts w:cstheme="minorBidi"/>
        </w:rPr>
        <w:t>)</w:t>
      </w:r>
      <w:r w:rsidRPr="009819CE">
        <w:rPr>
          <w:rFonts w:cstheme="minorBidi"/>
        </w:rPr>
        <w:fldChar w:fldCharType="end"/>
      </w:r>
      <w:r w:rsidRPr="009819CE">
        <w:rPr>
          <w:rFonts w:cstheme="minorBidi"/>
        </w:rPr>
        <w:t xml:space="preserve">. </w:t>
      </w:r>
      <w:r w:rsidR="00092AD9">
        <w:t>Norway l</w:t>
      </w:r>
      <w:r w:rsidR="00092AD9" w:rsidRPr="00356D00">
        <w:rPr>
          <w:b/>
          <w:bCs/>
        </w:rPr>
        <w:t xml:space="preserve">obsters rely on both </w:t>
      </w:r>
      <w:r w:rsidR="00092AD9" w:rsidRPr="00356D00">
        <w:rPr>
          <w:rStyle w:val="Strong"/>
          <w:rFonts w:eastAsiaTheme="majorEastAsia"/>
          <w:b w:val="0"/>
          <w:bCs w:val="0"/>
        </w:rPr>
        <w:t>physical combat</w:t>
      </w:r>
      <w:r w:rsidR="00092AD9" w:rsidRPr="00356D00">
        <w:rPr>
          <w:b/>
          <w:bCs/>
        </w:rPr>
        <w:t xml:space="preserve"> </w:t>
      </w:r>
      <w:r w:rsidR="00092AD9" w:rsidRPr="00356D00">
        <w:t xml:space="preserve">and </w:t>
      </w:r>
      <w:r w:rsidR="00092AD9" w:rsidRPr="00356D00">
        <w:rPr>
          <w:rStyle w:val="Strong"/>
          <w:rFonts w:eastAsiaTheme="majorEastAsia"/>
          <w:b w:val="0"/>
          <w:bCs w:val="0"/>
        </w:rPr>
        <w:t xml:space="preserve">urinary </w:t>
      </w:r>
      <w:r w:rsidR="00356D00" w:rsidRPr="00356D00">
        <w:rPr>
          <w:rStyle w:val="Strong"/>
          <w:rFonts w:eastAsiaTheme="majorEastAsia"/>
          <w:b w:val="0"/>
          <w:bCs w:val="0"/>
        </w:rPr>
        <w:t>chemo signals</w:t>
      </w:r>
      <w:r w:rsidR="00092AD9" w:rsidRPr="00356D00">
        <w:t xml:space="preserve"> to navigate</w:t>
      </w:r>
      <w:r w:rsidR="00092AD9">
        <w:t xml:space="preserve"> dominance relationships. Dominant males emit urine during fights, which subordinates detect and use to adjust their </w:t>
      </w:r>
      <w:r w:rsidR="00356D00">
        <w:t>behaviour</w:t>
      </w:r>
      <w:r w:rsidR="00092AD9">
        <w:t>, promoting more peaceful resolution in repeated encounters</w:t>
      </w:r>
      <w:r w:rsidR="00356D00">
        <w:t xml:space="preserve"> </w:t>
      </w:r>
      <w:r w:rsidR="00C575D2">
        <w:fldChar w:fldCharType="begin"/>
      </w:r>
      <w:r w:rsidR="00771893">
        <w:instrText xml:space="preserve"> ADDIN EN.CITE &lt;EndNote&gt;&lt;Cite&gt;&lt;Author&gt;Katoh&lt;/Author&gt;&lt;Year&gt;2008&lt;/Year&gt;&lt;RecNum&gt;1971&lt;/RecNum&gt;&lt;DisplayText&gt;(Katoh et al., 2008)&lt;/DisplayText&gt;&lt;record&gt;&lt;rec-number&gt;1971&lt;/rec-number&gt;&lt;foreign-keys&gt;&lt;key app="EN" db-id="sd9wrx9fj09rx3erprsx999o0r5aprvp2zse" timestamp="1751365744" guid="035cf72a-cc32-4fe0-ad75-8bd548efaafa"&gt;1971&lt;/key&gt;&lt;/foreign-keys&gt;&lt;ref-type name="Journal Article"&gt;17&lt;/ref-type&gt;&lt;contributors&gt;&lt;authors&gt;&lt;author&gt;Katoh, Emi&lt;/author&gt;&lt;author&gt;Johnson, Magnus&lt;/author&gt;&lt;author&gt;Breithaupt, Thomas&lt;/author&gt;&lt;/authors&gt;&lt;/contributors&gt;&lt;titles&gt;&lt;title&gt;&lt;style face="normal" font="default" size="100%"&gt;Fighting behaviour and the role of urinary signals in dominance assessment of Norway lobsters, &lt;/style&gt;&lt;style face="italic" font="default" size="100%"&gt;Nephrops norvegicus&lt;/style&gt;&lt;/title&gt;&lt;secondary-title&gt;Behaviour&lt;/secondary-title&gt;&lt;/titles&gt;&lt;periodical&gt;&lt;full-title&gt;Behaviour&lt;/full-title&gt;&lt;/periodical&gt;&lt;pages&gt;1447-1464&lt;/pages&gt;&lt;volume&gt;145&lt;/volume&gt;&lt;number&gt;10&lt;/number&gt;&lt;dates&gt;&lt;year&gt;2008&lt;/year&gt;&lt;pub-dates&gt;&lt;date&gt;01 Jan. 2008&lt;/date&gt;&lt;/pub-dates&gt;&lt;/dates&gt;&lt;isbn&gt;0005-7959&lt;/isbn&gt;&lt;urls&gt;&lt;related-urls&gt;&lt;url&gt;https://brill.com/view/journals/beh/145/10/article-p1447_11.xml&lt;/url&gt;&lt;/related-urls&gt;&lt;/urls&gt;&lt;electronic-resource-num&gt;https://doi.org/10.1163/156853908785765917&lt;/electronic-resource-num&gt;&lt;language&gt;English&lt;/language&gt;&lt;/record&gt;&lt;/Cite&gt;&lt;/EndNote&gt;</w:instrText>
      </w:r>
      <w:r w:rsidR="00C575D2">
        <w:fldChar w:fldCharType="separate"/>
      </w:r>
      <w:r w:rsidR="00C575D2">
        <w:rPr>
          <w:noProof/>
        </w:rPr>
        <w:t>(</w:t>
      </w:r>
      <w:hyperlink w:anchor="_ENREF_163" w:tooltip="Katoh, 2008 #1971" w:history="1">
        <w:r w:rsidR="00950097">
          <w:rPr>
            <w:noProof/>
          </w:rPr>
          <w:t>Katoh et al., 2008</w:t>
        </w:r>
      </w:hyperlink>
      <w:r w:rsidR="00C575D2">
        <w:rPr>
          <w:noProof/>
        </w:rPr>
        <w:t>)</w:t>
      </w:r>
      <w:r w:rsidR="00C575D2">
        <w:fldChar w:fldCharType="end"/>
      </w:r>
      <w:r w:rsidR="00092AD9">
        <w:t>.</w:t>
      </w:r>
    </w:p>
    <w:p w14:paraId="662C173F" w14:textId="61D9B68D" w:rsidR="002F7BDB" w:rsidRPr="009819CE" w:rsidRDefault="002F7BDB" w:rsidP="002F7BDB">
      <w:pPr>
        <w:rPr>
          <w:rFonts w:cstheme="minorBidi"/>
        </w:rPr>
      </w:pPr>
    </w:p>
    <w:p w14:paraId="08DFA5C4" w14:textId="77777777" w:rsidR="002773A2" w:rsidRPr="009819CE" w:rsidRDefault="002773A2" w:rsidP="009C3F77">
      <w:pPr>
        <w:pStyle w:val="Heading3"/>
        <w:numPr>
          <w:ilvl w:val="2"/>
          <w:numId w:val="22"/>
        </w:numPr>
        <w:rPr>
          <w:rFonts w:cstheme="minorBidi"/>
          <w:i/>
        </w:rPr>
      </w:pPr>
      <w:bookmarkStart w:id="62" w:name="_Toc204106595"/>
      <w:r w:rsidRPr="009819CE">
        <w:rPr>
          <w:rFonts w:cstheme="minorBidi"/>
          <w:iCs/>
        </w:rPr>
        <w:t>Moulting</w:t>
      </w:r>
      <w:bookmarkEnd w:id="49"/>
      <w:bookmarkEnd w:id="50"/>
      <w:bookmarkEnd w:id="51"/>
      <w:bookmarkEnd w:id="52"/>
      <w:bookmarkEnd w:id="62"/>
    </w:p>
    <w:p w14:paraId="474A7C14" w14:textId="49FFCB0E" w:rsidR="009216CE" w:rsidRPr="009819CE" w:rsidRDefault="009216CE" w:rsidP="009216CE">
      <w:pPr>
        <w:rPr>
          <w:rFonts w:cstheme="minorBidi"/>
        </w:rPr>
      </w:pPr>
      <w:bookmarkStart w:id="63" w:name="_Toc94799230"/>
      <w:r w:rsidRPr="009819CE">
        <w:rPr>
          <w:rFonts w:cstheme="minorBidi"/>
        </w:rPr>
        <w:t xml:space="preserve">The moult cycle, which governs the life of crustaceans, involves a series of changes in both physiology and behaviour that enable their growth </w:t>
      </w:r>
      <w:r w:rsidRPr="009819CE">
        <w:rPr>
          <w:rFonts w:cstheme="minorBidi"/>
        </w:rPr>
        <w:fldChar w:fldCharType="begin"/>
      </w:r>
      <w:r w:rsidR="001976BB" w:rsidRPr="009819CE">
        <w:rPr>
          <w:rFonts w:cstheme="minorBidi"/>
        </w:rPr>
        <w:instrText xml:space="preserve"> ADDIN EN.CITE &lt;EndNote&gt;&lt;Cite&gt;&lt;Author&gt;Castro&lt;/Author&gt;&lt;Year&gt;2003&lt;/Year&gt;&lt;RecNum&gt;419&lt;/RecNum&gt;&lt;DisplayText&gt;(Castro et al., 2003)&lt;/DisplayText&gt;&lt;record&gt;&lt;rec-number&gt;419&lt;/rec-number&gt;&lt;foreign-keys&gt;&lt;key app="EN" db-id="sd9wrx9fj09rx3erprsx999o0r5aprvp2zse" timestamp="1687855901" guid="9dcc7227-d5a2-4b5a-a634-2d38eec6663a"&gt;419&lt;/key&gt;&lt;/foreign-keys&gt;&lt;ref-type name="Journal Article"&gt;17&lt;/ref-type&gt;&lt;contributors&gt;&lt;authors&gt;&lt;author&gt;Castro, M.&lt;/author&gt;&lt;author&gt;Encarnação, P.&lt;/author&gt;&lt;author&gt;Henriques, P.&lt;/author&gt;&lt;/authors&gt;&lt;/contributors&gt;&lt;titles&gt;&lt;title&gt;&lt;style face="normal" font="default" size="100%"&gt;Increment at molt for the Norway lobster (&lt;/style&gt;&lt;style face="italic" font="default" size="100%"&gt;Nephrops norvegicus&lt;/style&gt;&lt;style face="normal" font="default" size="100%"&gt;) from the south coast of Portugal&lt;/style&gt;&lt;/title&gt;&lt;secondary-title&gt;ICES Journal of Marine Science&lt;/secondary-title&gt;&lt;/titles&gt;&lt;periodical&gt;&lt;full-title&gt;ICES Journal of Marine Science&lt;/full-title&gt;&lt;/periodical&gt;&lt;pages&gt;1159-1164&lt;/pages&gt;&lt;volume&gt;60&lt;/volume&gt;&lt;number&gt;5&lt;/number&gt;&lt;keywords&gt;&lt;keyword&gt;Growth&lt;/keyword&gt;&lt;keyword&gt;Increment at molt&lt;/keyword&gt;&lt;keyword&gt;Modeling&lt;/keyword&gt;&lt;keyword&gt;Nephrops norvegicus&lt;/keyword&gt;&lt;keyword&gt;Norway lobster&lt;/keyword&gt;&lt;keyword&gt;Portugal&lt;/keyword&gt;&lt;/keywords&gt;&lt;dates&gt;&lt;year&gt;2003&lt;/year&gt;&lt;pub-dates&gt;&lt;date&gt;2003/1//&lt;/date&gt;&lt;/pub-dates&gt;&lt;/dates&gt;&lt;urls&gt;&lt;related-urls&gt;&lt;url&gt;https://academic.oup.com/icesjms/article/60/5/1159/768692&lt;/url&gt;&lt;/related-urls&gt;&lt;/urls&gt;&lt;electronic-resource-num&gt;10.1016/S1054-3139(03)00119-X&lt;/electronic-resource-num&gt;&lt;/record&gt;&lt;/Cite&gt;&lt;/EndNote&gt;</w:instrText>
      </w:r>
      <w:r w:rsidRPr="009819CE">
        <w:rPr>
          <w:rFonts w:cstheme="minorBidi"/>
        </w:rPr>
        <w:fldChar w:fldCharType="separate"/>
      </w:r>
      <w:r w:rsidR="00A8698B" w:rsidRPr="001F4A34">
        <w:rPr>
          <w:rFonts w:cstheme="minorBidi"/>
        </w:rPr>
        <w:t>(</w:t>
      </w:r>
      <w:hyperlink w:anchor="_ENREF_41" w:tooltip="Castro, 2003 #419" w:history="1">
        <w:r w:rsidR="00950097" w:rsidRPr="001F4A34">
          <w:rPr>
            <w:rFonts w:cstheme="minorBidi"/>
          </w:rPr>
          <w:t>Castro et al., 2003</w:t>
        </w:r>
      </w:hyperlink>
      <w:r w:rsidR="00A8698B" w:rsidRPr="001F4A34">
        <w:rPr>
          <w:rFonts w:cstheme="minorBidi"/>
        </w:rPr>
        <w:t>)</w:t>
      </w:r>
      <w:r w:rsidRPr="009819CE">
        <w:rPr>
          <w:rFonts w:cstheme="minorBidi"/>
        </w:rPr>
        <w:fldChar w:fldCharType="end"/>
      </w:r>
      <w:r w:rsidRPr="009819CE">
        <w:rPr>
          <w:rFonts w:cstheme="minorBidi"/>
        </w:rPr>
        <w:t xml:space="preserve">. In a study by </w:t>
      </w:r>
      <w:hyperlink w:anchor="_ENREF_244" w:tooltip="Philp, 2013 #54" w:history="1">
        <w:r w:rsidR="00950097" w:rsidRPr="009819CE">
          <w:rPr>
            <w:rFonts w:cstheme="minorBidi"/>
          </w:rPr>
          <w:fldChar w:fldCharType="begin"/>
        </w:r>
        <w:r w:rsidR="00950097" w:rsidRPr="009819CE">
          <w:rPr>
            <w:rFonts w:cstheme="minorBidi"/>
          </w:rPr>
          <w:instrText xml:space="preserve"> ADDIN EN.CITE &lt;EndNote&gt;&lt;Cite AuthorYear="1"&gt;&lt;Author&gt;Philp&lt;/Author&gt;&lt;Year&gt;2013&lt;/Year&gt;&lt;RecNum&gt;54&lt;/RecNum&gt;&lt;DisplayText&gt;Philp and Marteinsdottír (2013)&lt;/DisplayText&gt;&lt;record&gt;&lt;rec-number&gt;54&lt;/rec-number&gt;&lt;foreign-keys&gt;&lt;key app="EN" db-id="sd9wrx9fj09rx3erprsx999o0r5aprvp2zse" timestamp="1687855901" guid="68ec341d-29dc-4782-951f-0623eee24ac5"&gt;54&lt;/key&gt;&lt;/foreign-keys&gt;&lt;ref-type name="Journal Article"&gt;17&lt;/ref-type&gt;&lt;contributors&gt;&lt;authors&gt;&lt;author&gt;Philp, Heather&lt;/author&gt;&lt;author&gt;Marteinsdottír, Guđrun&lt;/author&gt;&lt;/authors&gt;&lt;/contributors&gt;&lt;titles&gt;&lt;title&gt;&lt;style face="normal" font="default" size="100%"&gt;Moult cycle of the decapod &lt;/style&gt;&lt;style face="italic" font="default" size="100%"&gt;Nephrops norvegicus &lt;/style&gt;&lt;style face="normal" font="default" size="100%"&gt;(Linnaeus, 1758): Description of stages and sequential changes in haemolymph protein and haemocyanin&lt;/style&gt;&lt;/title&gt;&lt;secondary-title&gt;Marine Biology Research&lt;/secondary-title&gt;&lt;/titles&gt;&lt;periodical&gt;&lt;full-title&gt;Marine Biology Research&lt;/full-title&gt;&lt;/periodical&gt;&lt;pages&gt;7-18&lt;/pages&gt;&lt;volume&gt;9&lt;/volume&gt;&lt;number&gt;1&lt;/number&gt;&lt;keywords&gt;&lt;keyword&gt;Nephrops norvegicus&lt;/keyword&gt;&lt;keyword&gt;haemocyanin&lt;/keyword&gt;&lt;keyword&gt;moult stages&lt;/keyword&gt;&lt;keyword&gt;protein&lt;/keyword&gt;&lt;keyword&gt;setogenesis&lt;/keyword&gt;&lt;/keywords&gt;&lt;dates&gt;&lt;year&gt;2013&lt;/year&gt;&lt;pub-dates&gt;&lt;date&gt;2013/1//&lt;/date&gt;&lt;/pub-dates&gt;&lt;/dates&gt;&lt;urls&gt;&lt;related-urls&gt;&lt;url&gt;http://www.tandfonline.com/doi/abs/10.1080/17451000.2012.727435&lt;/url&gt;&lt;/related-urls&gt;&lt;/urls&gt;&lt;electronic-resource-num&gt;10.1080/17451000.2012.727435&lt;/electronic-resource-num&gt;&lt;/record&gt;&lt;/Cite&gt;&lt;/EndNote&gt;</w:instrText>
        </w:r>
        <w:r w:rsidR="00950097" w:rsidRPr="009819CE">
          <w:rPr>
            <w:rFonts w:cstheme="minorBidi"/>
          </w:rPr>
          <w:fldChar w:fldCharType="separate"/>
        </w:r>
        <w:r w:rsidR="00950097" w:rsidRPr="009819CE">
          <w:rPr>
            <w:rFonts w:cstheme="minorBidi"/>
          </w:rPr>
          <w:t>Philp and Marteinsdottír (2013)</w:t>
        </w:r>
        <w:r w:rsidR="00950097" w:rsidRPr="009819CE">
          <w:rPr>
            <w:rFonts w:cstheme="minorBidi"/>
          </w:rPr>
          <w:fldChar w:fldCharType="end"/>
        </w:r>
      </w:hyperlink>
      <w:r w:rsidRPr="009819CE">
        <w:rPr>
          <w:rFonts w:cstheme="minorBidi"/>
        </w:rPr>
        <w:t xml:space="preserve"> focused on </w:t>
      </w:r>
      <w:r w:rsidR="00C31E47" w:rsidRPr="009819CE">
        <w:rPr>
          <w:rFonts w:cstheme="minorBidi"/>
          <w:i/>
          <w:iCs/>
        </w:rPr>
        <w:t>Nephrops</w:t>
      </w:r>
      <w:r w:rsidRPr="009819CE">
        <w:rPr>
          <w:rFonts w:cstheme="minorBidi"/>
        </w:rPr>
        <w:t xml:space="preserve">, the moulting process was examined in detail. The process of moulting involves two primary factors: the increase in size known as moult increment, and the length of time between consecutive moults, referred to as the intermoult period. Temperature, light, and to some extent, salinity are the main factors influencing the frequency of moulting  </w:t>
      </w:r>
      <w:r w:rsidRPr="009819CE">
        <w:rPr>
          <w:rFonts w:cstheme="minorBidi"/>
        </w:rPr>
        <w:fldChar w:fldCharType="begin"/>
      </w:r>
      <w:r w:rsidR="00D50EFF" w:rsidRPr="009819CE">
        <w:rPr>
          <w:rFonts w:cstheme="minorBidi"/>
        </w:rPr>
        <w:instrText xml:space="preserve"> ADDIN EN.CITE &lt;EndNote&gt;&lt;Cite&gt;&lt;Author&gt;Farmer&lt;/Author&gt;&lt;Year&gt;1973&lt;/Year&gt;&lt;RecNum&gt;338&lt;/RecNum&gt;&lt;DisplayText&gt;(Farmer, 1973)&lt;/DisplayText&gt;&lt;record&gt;&lt;rec-number&gt;338&lt;/rec-number&gt;&lt;foreign-keys&gt;&lt;key app="EN" db-id="sd9wrx9fj09rx3erprsx999o0r5aprvp2zse" timestamp="1687855901" guid="9a6d7570-280c-49c5-ba42-98bf2c9062e5"&gt;338&lt;/key&gt;&lt;/foreign-keys&gt;&lt;ref-type name="Journal Article"&gt;17&lt;/ref-type&gt;&lt;contributors&gt;&lt;authors&gt;&lt;author&gt;Farmer, A. S&lt;/author&gt;&lt;/authors&gt;&lt;/contributors&gt;&lt;titles&gt;&lt;title&gt;&lt;style face="normal" font="default" size="100%"&gt;Age and growth in &lt;/style&gt;&lt;style face="italic" font="default" size="100%"&gt;Nephrops norvegicus&lt;/style&gt;&lt;style face="normal" font="default" size="100%"&gt; (Decapoda: &lt;/style&gt;&lt;style face="italic" font="default" size="100%"&gt;Nephropidae&lt;/style&gt;&lt;style face="normal" font="default" size="100%"&gt;)&lt;/style&gt;&lt;/title&gt;&lt;secondary-title&gt;Marine Biology&lt;/secondary-title&gt;&lt;/titles&gt;&lt;periodical&gt;&lt;full-title&gt;Marine Biology&lt;/full-title&gt;&lt;/periodical&gt;&lt;pages&gt;315-325&lt;/pages&gt;&lt;volume&gt;23&lt;/volume&gt;&lt;number&gt;4&lt;/number&gt;&lt;dates&gt;&lt;year&gt;1973&lt;/year&gt;&lt;/dates&gt;&lt;urls&gt;&lt;related-urls&gt;&lt;url&gt;http://link.springer.com/10.1007/BF00389339&lt;/url&gt;&lt;url&gt;https://link.springer.com/article/10.1007/BF00389339&lt;/url&gt;&lt;/related-urls&gt;&lt;/urls&gt;&lt;electronic-resource-num&gt;10.1007/BF00389339&lt;/electronic-resource-num&gt;&lt;/record&gt;&lt;/Cite&gt;&lt;/EndNote&gt;</w:instrText>
      </w:r>
      <w:r w:rsidRPr="009819CE">
        <w:rPr>
          <w:rFonts w:cstheme="minorBidi"/>
        </w:rPr>
        <w:fldChar w:fldCharType="separate"/>
      </w:r>
      <w:r w:rsidR="00D50EFF" w:rsidRPr="009819CE">
        <w:rPr>
          <w:rFonts w:cstheme="minorBidi"/>
        </w:rPr>
        <w:t>(</w:t>
      </w:r>
      <w:hyperlink w:anchor="_ENREF_86" w:tooltip="Farmer, 1973 #338" w:history="1">
        <w:r w:rsidR="00950097" w:rsidRPr="009819CE">
          <w:rPr>
            <w:rFonts w:cstheme="minorBidi"/>
          </w:rPr>
          <w:t>Farmer, 1973</w:t>
        </w:r>
      </w:hyperlink>
      <w:r w:rsidR="00D50EFF" w:rsidRPr="009819CE">
        <w:rPr>
          <w:rFonts w:cstheme="minorBidi"/>
        </w:rPr>
        <w:t>)</w:t>
      </w:r>
      <w:r w:rsidRPr="009819CE">
        <w:rPr>
          <w:rFonts w:cstheme="minorBidi"/>
        </w:rPr>
        <w:fldChar w:fldCharType="end"/>
      </w:r>
      <w:r w:rsidRPr="009819CE">
        <w:rPr>
          <w:rFonts w:cstheme="minorBidi"/>
        </w:rPr>
        <w:t xml:space="preserve">. The moulting, mating, and burrowing behaviours of </w:t>
      </w:r>
      <w:r w:rsidR="00C31E47" w:rsidRPr="009819CE">
        <w:rPr>
          <w:rFonts w:cstheme="minorBidi"/>
          <w:i/>
          <w:iCs/>
        </w:rPr>
        <w:t>Nephrops</w:t>
      </w:r>
      <w:r w:rsidRPr="009819CE">
        <w:rPr>
          <w:rFonts w:cstheme="minorBidi"/>
        </w:rPr>
        <w:t xml:space="preserve"> are closely interconnected. </w:t>
      </w:r>
      <w:r w:rsidR="007333A0" w:rsidRPr="009819CE">
        <w:rPr>
          <w:rFonts w:cstheme="minorBidi"/>
        </w:rPr>
        <w:t>T</w:t>
      </w:r>
      <w:r w:rsidRPr="009819CE">
        <w:rPr>
          <w:rFonts w:cstheme="minorBidi"/>
        </w:rPr>
        <w:t>here is a noticeable peak in female emergence between March and July. During this period, females emerge from their burrows to engage in activities such as feeding, moulting, and mating after the completion of the egg-brooding period (Milligan et al., 2013).</w:t>
      </w:r>
      <w:r w:rsidR="000A6ACF" w:rsidRPr="009819CE">
        <w:t xml:space="preserve"> </w:t>
      </w:r>
      <w:r w:rsidR="00265A77" w:rsidRPr="009819CE">
        <w:t xml:space="preserve">Adult male </w:t>
      </w:r>
      <w:r w:rsidR="00C31E47" w:rsidRPr="009819CE">
        <w:rPr>
          <w:i/>
          <w:iCs/>
        </w:rPr>
        <w:t>Nephrops</w:t>
      </w:r>
      <w:r w:rsidR="00265A77" w:rsidRPr="009819CE">
        <w:t xml:space="preserve"> typically moult once or twice a year, usually in late winter or spring. </w:t>
      </w:r>
      <w:r w:rsidR="007B7350" w:rsidRPr="009819CE">
        <w:t>Recently moulted males can be found throughout the year, indicating that the moulting season in males is less synchronous than in females</w:t>
      </w:r>
      <w:r w:rsidR="00103804" w:rsidRPr="009819CE">
        <w:rPr>
          <w:rFonts w:cstheme="minorBidi"/>
        </w:rPr>
        <w:t xml:space="preserve"> (Milligan et al., 2013).</w:t>
      </w:r>
    </w:p>
    <w:p w14:paraId="45C0D099" w14:textId="2E0DACB2" w:rsidR="002773A2" w:rsidRPr="009819CE" w:rsidRDefault="00C31E47" w:rsidP="009C3F77">
      <w:pPr>
        <w:pStyle w:val="Heading2"/>
        <w:numPr>
          <w:ilvl w:val="1"/>
          <w:numId w:val="22"/>
        </w:numPr>
        <w:rPr>
          <w:rFonts w:cstheme="minorBidi"/>
        </w:rPr>
      </w:pPr>
      <w:bookmarkStart w:id="64" w:name="_Toc204106596"/>
      <w:r w:rsidRPr="009819CE">
        <w:rPr>
          <w:rFonts w:cstheme="minorBidi"/>
          <w:i/>
          <w:iCs/>
        </w:rPr>
        <w:t>Nephrops</w:t>
      </w:r>
      <w:r w:rsidR="002773A2" w:rsidRPr="009819CE">
        <w:rPr>
          <w:rFonts w:cstheme="minorBidi"/>
        </w:rPr>
        <w:t xml:space="preserve"> Fishery</w:t>
      </w:r>
      <w:bookmarkEnd w:id="63"/>
      <w:bookmarkEnd w:id="64"/>
    </w:p>
    <w:p w14:paraId="77E336AC" w14:textId="4FAEF02D" w:rsidR="00F504BB" w:rsidRPr="00FA7D47" w:rsidRDefault="00C31E47" w:rsidP="00F504BB">
      <w:pPr>
        <w:pStyle w:val="NormalWeb"/>
        <w:rPr>
          <w:rFonts w:ascii="Times New Roman" w:hAnsi="Times New Roman"/>
        </w:rPr>
      </w:pPr>
      <w:r w:rsidRPr="009819CE">
        <w:rPr>
          <w:rFonts w:cstheme="minorBidi"/>
          <w:i/>
        </w:rPr>
        <w:t>Nephrops</w:t>
      </w:r>
      <w:r w:rsidR="005303A8" w:rsidRPr="009819CE">
        <w:rPr>
          <w:rFonts w:cstheme="minorBidi"/>
        </w:rPr>
        <w:t xml:space="preserve"> are subject to extensive fishing efforts across their geographical distribution. Fisheries targeting </w:t>
      </w:r>
      <w:r w:rsidRPr="009819CE">
        <w:rPr>
          <w:rFonts w:cstheme="minorBidi"/>
          <w:i/>
        </w:rPr>
        <w:t>Nephrops</w:t>
      </w:r>
      <w:r w:rsidR="005303A8" w:rsidRPr="009819CE">
        <w:rPr>
          <w:rFonts w:cstheme="minorBidi"/>
        </w:rPr>
        <w:t xml:space="preserve"> can be found in various regions, including the North Sea, the Irish Sea, the Mediterranean, the Bay of Biscay, the Skagerrak, and the Kattegat </w:t>
      </w:r>
      <w:r w:rsidR="005303A8"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005303A8" w:rsidRPr="009819CE">
        <w:rPr>
          <w:rFonts w:cstheme="minorBidi"/>
        </w:rPr>
        <w:fldChar w:fldCharType="separate"/>
      </w:r>
      <w:r w:rsidR="00A8698B" w:rsidRPr="001F4A34">
        <w:rPr>
          <w:rFonts w:cstheme="minorBidi"/>
        </w:rPr>
        <w:t>(</w:t>
      </w:r>
      <w:hyperlink w:anchor="_ENREF_31" w:tooltip="Bell, 2013 #454" w:history="1">
        <w:r w:rsidR="00950097" w:rsidRPr="001F4A34">
          <w:rPr>
            <w:rFonts w:cstheme="minorBidi"/>
          </w:rPr>
          <w:t>Bell et al., 2013</w:t>
        </w:r>
      </w:hyperlink>
      <w:r w:rsidR="00A8698B" w:rsidRPr="001F4A34">
        <w:rPr>
          <w:rFonts w:cstheme="minorBidi"/>
        </w:rPr>
        <w:t>)</w:t>
      </w:r>
      <w:r w:rsidR="005303A8" w:rsidRPr="009819CE">
        <w:rPr>
          <w:rFonts w:cstheme="minorBidi"/>
        </w:rPr>
        <w:fldChar w:fldCharType="end"/>
      </w:r>
      <w:r w:rsidR="005303A8" w:rsidRPr="009819CE">
        <w:rPr>
          <w:rFonts w:cstheme="minorBidi"/>
        </w:rPr>
        <w:t xml:space="preserve">. One notable fishing ground is located in the Clyde Sea Area (CSA) on the western coast of Scotland. </w:t>
      </w:r>
      <w:r w:rsidRPr="009819CE">
        <w:rPr>
          <w:rFonts w:cstheme="minorBidi"/>
          <w:i/>
        </w:rPr>
        <w:t>Nephrops</w:t>
      </w:r>
      <w:r w:rsidR="005303A8" w:rsidRPr="009819CE">
        <w:rPr>
          <w:rFonts w:cstheme="minorBidi"/>
        </w:rPr>
        <w:t xml:space="preserve"> captured from the CSA contribute approximately 20% of the total catch in Scotland and over 7% of the overall European catch </w:t>
      </w:r>
      <w:r w:rsidR="005303A8" w:rsidRPr="009819CE">
        <w:rPr>
          <w:rFonts w:cstheme="minorBidi"/>
        </w:rPr>
        <w:fldChar w:fldCharType="begin"/>
      </w:r>
      <w:r w:rsidR="00EE7FB9">
        <w:rPr>
          <w:rFonts w:cstheme="minorBidi"/>
        </w:rPr>
        <w:instrText xml:space="preserve"> ADDIN EN.CITE &lt;EndNote&gt;&lt;Cite&gt;&lt;Author&gt;McIntyre&lt;/Author&gt;&lt;Year&gt;2012&lt;/Year&gt;&lt;RecNum&gt;334&lt;/RecNum&gt;&lt;DisplayText&gt;(McIntyre et al., 2012)&lt;/DisplayText&gt;&lt;record&gt;&lt;rec-number&gt;334&lt;/rec-number&gt;&lt;foreign-keys&gt;&lt;key app="EN" db-id="sd9wrx9fj09rx3erprsx999o0r5aprvp2zse" timestamp="1687855901" guid="b33c5808-dd62-4321-931a-ce93d8ef7a99"&gt;334&lt;/key&gt;&lt;/foreign-keys&gt;&lt;ref-type name="Report"&gt;27&lt;/ref-type&gt;&lt;contributors&gt;&lt;authors&gt;&lt;author&gt;McIntyre, F.&lt;/author&gt;&lt;author&gt;Fernandes, P. G.&lt;/author&gt;&lt;author&gt;Turrell, W. R.&lt;/author&gt;&lt;/authors&gt;&lt;/contributors&gt;&lt;titles&gt;&lt;title&gt;Clyde ecosystem review&lt;/title&gt;&lt;secondary-title&gt;Scottish Marine and Freshwater Science Report&lt;/secondary-title&gt;&lt;/titles&gt;&lt;pages&gt;1-123&lt;/pages&gt;&lt;volume&gt;3&lt;/volume&gt;&lt;dates&gt;&lt;year&gt;2012&lt;/year&gt;&lt;/dates&gt;&lt;pub-location&gt;Edinburgh&lt;/pub-location&gt;&lt;isbn&gt;9781780458779&lt;/isbn&gt;&lt;urls&gt;&lt;related-urls&gt;&lt;url&gt;https://www.gov.scot/publications/scottish-marine-freshwater-science-volume-3-number-3-clyde-ecosystem/&lt;/url&gt;&lt;/related-urls&gt;&lt;/urls&gt;&lt;/record&gt;&lt;/Cite&gt;&lt;/EndNote&gt;</w:instrText>
      </w:r>
      <w:r w:rsidR="005303A8" w:rsidRPr="009819CE">
        <w:rPr>
          <w:rFonts w:cstheme="minorBidi"/>
        </w:rPr>
        <w:fldChar w:fldCharType="separate"/>
      </w:r>
      <w:r w:rsidR="00D50EFF" w:rsidRPr="009819CE">
        <w:rPr>
          <w:rFonts w:cstheme="minorBidi"/>
          <w:noProof/>
        </w:rPr>
        <w:t>(</w:t>
      </w:r>
      <w:hyperlink w:anchor="_ENREF_208" w:tooltip="McIntyre, 2012 #334" w:history="1">
        <w:r w:rsidR="00950097" w:rsidRPr="009819CE">
          <w:rPr>
            <w:rFonts w:cstheme="minorBidi"/>
            <w:noProof/>
          </w:rPr>
          <w:t>McIntyre et al., 2012</w:t>
        </w:r>
      </w:hyperlink>
      <w:r w:rsidR="00D50EFF" w:rsidRPr="009819CE">
        <w:rPr>
          <w:rFonts w:cstheme="minorBidi"/>
          <w:noProof/>
        </w:rPr>
        <w:t>)</w:t>
      </w:r>
      <w:r w:rsidR="005303A8" w:rsidRPr="009819CE">
        <w:rPr>
          <w:rFonts w:cstheme="minorBidi"/>
        </w:rPr>
        <w:fldChar w:fldCharType="end"/>
      </w:r>
      <w:r w:rsidR="005303A8" w:rsidRPr="009819CE">
        <w:rPr>
          <w:rFonts w:cstheme="minorBidi"/>
          <w:color w:val="000000"/>
        </w:rPr>
        <w:t>.</w:t>
      </w:r>
    </w:p>
    <w:p w14:paraId="52AF5110" w14:textId="5716A989" w:rsidR="005303A8" w:rsidRPr="009819CE" w:rsidRDefault="005303A8" w:rsidP="005303A8">
      <w:pPr>
        <w:rPr>
          <w:rFonts w:cstheme="minorBidi"/>
        </w:rPr>
      </w:pPr>
      <w:r w:rsidRPr="009819CE">
        <w:rPr>
          <w:rFonts w:cstheme="minorBidi"/>
        </w:rPr>
        <w:t>The CSA, encompasses an approximate area of 3600 km</w:t>
      </w:r>
      <w:r w:rsidRPr="009819CE">
        <w:rPr>
          <w:rFonts w:cstheme="minorBidi"/>
          <w:vertAlign w:val="superscript"/>
        </w:rPr>
        <w:t>2</w:t>
      </w:r>
      <w:r w:rsidRPr="009819CE">
        <w:rPr>
          <w:rFonts w:cstheme="minorBidi"/>
        </w:rPr>
        <w:t xml:space="preserve"> </w:t>
      </w:r>
      <w:r w:rsidRPr="009819CE">
        <w:rPr>
          <w:rFonts w:cstheme="minorBidi"/>
        </w:rPr>
        <w:fldChar w:fldCharType="begin"/>
      </w:r>
      <w:r w:rsidR="00EE7FB9">
        <w:rPr>
          <w:rFonts w:cstheme="minorBidi"/>
        </w:rPr>
        <w:instrText xml:space="preserve"> ADDIN EN.CITE &lt;EndNote&gt;&lt;Cite&gt;&lt;Author&gt;McIntyre&lt;/Author&gt;&lt;Year&gt;2012&lt;/Year&gt;&lt;RecNum&gt;334&lt;/RecNum&gt;&lt;DisplayText&gt;(McIntyre et al., 2012)&lt;/DisplayText&gt;&lt;record&gt;&lt;rec-number&gt;334&lt;/rec-number&gt;&lt;foreign-keys&gt;&lt;key app="EN" db-id="sd9wrx9fj09rx3erprsx999o0r5aprvp2zse" timestamp="1687855901" guid="b33c5808-dd62-4321-931a-ce93d8ef7a99"&gt;334&lt;/key&gt;&lt;/foreign-keys&gt;&lt;ref-type name="Report"&gt;27&lt;/ref-type&gt;&lt;contributors&gt;&lt;authors&gt;&lt;author&gt;McIntyre, F.&lt;/author&gt;&lt;author&gt;Fernandes, P. G.&lt;/author&gt;&lt;author&gt;Turrell, W. R.&lt;/author&gt;&lt;/authors&gt;&lt;/contributors&gt;&lt;titles&gt;&lt;title&gt;Clyde ecosystem review&lt;/title&gt;&lt;secondary-title&gt;Scottish Marine and Freshwater Science Report&lt;/secondary-title&gt;&lt;/titles&gt;&lt;pages&gt;1-123&lt;/pages&gt;&lt;volume&gt;3&lt;/volume&gt;&lt;dates&gt;&lt;year&gt;2012&lt;/year&gt;&lt;/dates&gt;&lt;pub-location&gt;Edinburgh&lt;/pub-location&gt;&lt;isbn&gt;9781780458779&lt;/isbn&gt;&lt;urls&gt;&lt;related-urls&gt;&lt;url&gt;https://www.gov.scot/publications/scottish-marine-freshwater-science-volume-3-number-3-clyde-ecosystem/&lt;/url&gt;&lt;/related-urls&gt;&lt;/urls&gt;&lt;/record&gt;&lt;/Cite&gt;&lt;/EndNote&gt;</w:instrText>
      </w:r>
      <w:r w:rsidRPr="009819CE">
        <w:rPr>
          <w:rFonts w:cstheme="minorBidi"/>
        </w:rPr>
        <w:fldChar w:fldCharType="separate"/>
      </w:r>
      <w:r w:rsidR="00D50EFF" w:rsidRPr="009819CE">
        <w:rPr>
          <w:rFonts w:cstheme="minorBidi"/>
          <w:noProof/>
        </w:rPr>
        <w:t>(</w:t>
      </w:r>
      <w:hyperlink w:anchor="_ENREF_208" w:tooltip="McIntyre, 2012 #334" w:history="1">
        <w:r w:rsidR="00950097" w:rsidRPr="009819CE">
          <w:rPr>
            <w:rFonts w:cstheme="minorBidi"/>
            <w:noProof/>
          </w:rPr>
          <w:t>McIntyre et al., 2012</w:t>
        </w:r>
      </w:hyperlink>
      <w:r w:rsidR="00D50EFF" w:rsidRPr="009819CE">
        <w:rPr>
          <w:rFonts w:cstheme="minorBidi"/>
          <w:noProof/>
        </w:rPr>
        <w:t>)</w:t>
      </w:r>
      <w:r w:rsidRPr="009819CE">
        <w:rPr>
          <w:rFonts w:cstheme="minorBidi"/>
        </w:rPr>
        <w:fldChar w:fldCharType="end"/>
      </w:r>
      <w:r w:rsidRPr="009819CE">
        <w:rPr>
          <w:rFonts w:cstheme="minorBidi"/>
          <w:color w:val="000000"/>
        </w:rPr>
        <w:t xml:space="preserve">. </w:t>
      </w:r>
      <w:r w:rsidRPr="009819CE">
        <w:rPr>
          <w:rFonts w:cstheme="minorBidi"/>
        </w:rPr>
        <w:t xml:space="preserve">This region comprises the Firth of Clyde, the Clyde Estuary, and various fjordic sea lochs. The boundary of the CSA extends from the Mull of Kintyre to Corsewall Point, as depicted in </w:t>
      </w:r>
      <w:r w:rsidRPr="009819CE">
        <w:rPr>
          <w:rFonts w:cstheme="minorBidi"/>
          <w:b/>
          <w:bCs/>
        </w:rPr>
        <w:fldChar w:fldCharType="begin"/>
      </w:r>
      <w:r w:rsidRPr="009819CE">
        <w:rPr>
          <w:rFonts w:cstheme="minorBidi"/>
          <w:b/>
          <w:bCs/>
        </w:rPr>
        <w:instrText xml:space="preserve"> REF _Ref81507804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1.4</w:t>
      </w:r>
      <w:r w:rsidRPr="009819CE">
        <w:rPr>
          <w:rFonts w:cstheme="minorBidi"/>
          <w:b/>
          <w:bCs/>
        </w:rPr>
        <w:fldChar w:fldCharType="end"/>
      </w:r>
      <w:r w:rsidRPr="009819CE">
        <w:rPr>
          <w:rFonts w:cstheme="minorBidi"/>
        </w:rPr>
        <w:t xml:space="preserve">. The CSA </w:t>
      </w:r>
      <w:r w:rsidR="00EE5DB7" w:rsidRPr="009819CE">
        <w:rPr>
          <w:rFonts w:cstheme="minorBidi"/>
        </w:rPr>
        <w:t xml:space="preserve">is characterised by </w:t>
      </w:r>
      <w:r w:rsidRPr="009819CE">
        <w:rPr>
          <w:rFonts w:cstheme="minorBidi"/>
        </w:rPr>
        <w:t xml:space="preserve">a diverse range of habitats that provide a </w:t>
      </w:r>
      <w:r w:rsidR="00EE5DB7" w:rsidRPr="009819CE">
        <w:rPr>
          <w:rFonts w:cstheme="minorBidi"/>
        </w:rPr>
        <w:t xml:space="preserve">suitable </w:t>
      </w:r>
      <w:r w:rsidRPr="009819CE">
        <w:rPr>
          <w:rFonts w:cstheme="minorBidi"/>
        </w:rPr>
        <w:t xml:space="preserve">environment for a wide array of animal species. Notably, populations of megafauna such as seals, dolphins, whales, and basking sharks are found in this area. Many of these species and habitats hold national or international significance and are protected under legislation aimed at conserving marine biodiversity </w:t>
      </w:r>
      <w:r w:rsidRPr="009819CE">
        <w:rPr>
          <w:rFonts w:cstheme="minorBidi"/>
        </w:rPr>
        <w:fldChar w:fldCharType="begin"/>
      </w:r>
      <w:r w:rsidR="00EE7FB9">
        <w:rPr>
          <w:rFonts w:cstheme="minorBidi"/>
        </w:rPr>
        <w:instrText xml:space="preserve"> ADDIN EN.CITE &lt;EndNote&gt;&lt;Cite&gt;&lt;Author&gt;McIntyre&lt;/Author&gt;&lt;Year&gt;2012&lt;/Year&gt;&lt;RecNum&gt;334&lt;/RecNum&gt;&lt;DisplayText&gt;(McIntyre et al., 2012)&lt;/DisplayText&gt;&lt;record&gt;&lt;rec-number&gt;334&lt;/rec-number&gt;&lt;foreign-keys&gt;&lt;key app="EN" db-id="sd9wrx9fj09rx3erprsx999o0r5aprvp2zse" timestamp="1687855901" guid="b33c5808-dd62-4321-931a-ce93d8ef7a99"&gt;334&lt;/key&gt;&lt;/foreign-keys&gt;&lt;ref-type name="Report"&gt;27&lt;/ref-type&gt;&lt;contributors&gt;&lt;authors&gt;&lt;author&gt;McIntyre, F.&lt;/author&gt;&lt;author&gt;Fernandes, P. G.&lt;/author&gt;&lt;author&gt;Turrell, W. R.&lt;/author&gt;&lt;/authors&gt;&lt;/contributors&gt;&lt;titles&gt;&lt;title&gt;Clyde ecosystem review&lt;/title&gt;&lt;secondary-title&gt;Scottish Marine and Freshwater Science Report&lt;/secondary-title&gt;&lt;/titles&gt;&lt;pages&gt;1-123&lt;/pages&gt;&lt;volume&gt;3&lt;/volume&gt;&lt;dates&gt;&lt;year&gt;2012&lt;/year&gt;&lt;/dates&gt;&lt;pub-location&gt;Edinburgh&lt;/pub-location&gt;&lt;isbn&gt;9781780458779&lt;/isbn&gt;&lt;urls&gt;&lt;related-urls&gt;&lt;url&gt;https://www.gov.scot/publications/scottish-marine-freshwater-science-volume-3-number-3-clyde-ecosystem/&lt;/url&gt;&lt;/related-urls&gt;&lt;/urls&gt;&lt;/record&gt;&lt;/Cite&gt;&lt;/EndNote&gt;</w:instrText>
      </w:r>
      <w:r w:rsidRPr="009819CE">
        <w:rPr>
          <w:rFonts w:cstheme="minorBidi"/>
        </w:rPr>
        <w:fldChar w:fldCharType="separate"/>
      </w:r>
      <w:r w:rsidR="00D50EFF" w:rsidRPr="009819CE">
        <w:rPr>
          <w:rFonts w:cstheme="minorBidi"/>
          <w:noProof/>
        </w:rPr>
        <w:t>(</w:t>
      </w:r>
      <w:hyperlink w:anchor="_ENREF_208" w:tooltip="McIntyre, 2012 #334" w:history="1">
        <w:r w:rsidR="00950097" w:rsidRPr="009819CE">
          <w:rPr>
            <w:rFonts w:cstheme="minorBidi"/>
            <w:noProof/>
          </w:rPr>
          <w:t>McIntyre et al., 2012</w:t>
        </w:r>
      </w:hyperlink>
      <w:r w:rsidR="00D50EFF" w:rsidRPr="009819CE">
        <w:rPr>
          <w:rFonts w:cstheme="minorBidi"/>
          <w:noProof/>
        </w:rPr>
        <w:t>)</w:t>
      </w:r>
      <w:r w:rsidRPr="009819CE">
        <w:rPr>
          <w:rFonts w:cstheme="minorBidi"/>
        </w:rPr>
        <w:fldChar w:fldCharType="end"/>
      </w:r>
      <w:r w:rsidRPr="009819CE">
        <w:rPr>
          <w:rFonts w:cstheme="minorBidi"/>
        </w:rPr>
        <w:t>.</w:t>
      </w:r>
    </w:p>
    <w:p w14:paraId="43EF938A" w14:textId="21235B35" w:rsidR="002773A2" w:rsidRPr="009819CE" w:rsidRDefault="005303A8" w:rsidP="00213AF7">
      <w:pPr>
        <w:rPr>
          <w:rFonts w:cstheme="minorBidi"/>
        </w:rPr>
      </w:pPr>
      <w:r w:rsidRPr="009819CE">
        <w:rPr>
          <w:rFonts w:cstheme="minorBidi"/>
        </w:rPr>
        <w:t xml:space="preserve">The primary method of capturing </w:t>
      </w:r>
      <w:r w:rsidR="00C31E47" w:rsidRPr="009819CE">
        <w:rPr>
          <w:rFonts w:cstheme="minorBidi"/>
          <w:i/>
          <w:iCs/>
        </w:rPr>
        <w:t>Nephrops</w:t>
      </w:r>
      <w:r w:rsidRPr="009819CE">
        <w:rPr>
          <w:rFonts w:cstheme="minorBidi"/>
        </w:rPr>
        <w:t xml:space="preserve"> is through trawlers </w:t>
      </w:r>
      <w:r w:rsidRPr="009819CE">
        <w:rPr>
          <w:rFonts w:cstheme="minorBidi"/>
        </w:rPr>
        <w:fldChar w:fldCharType="begin"/>
      </w:r>
      <w:r w:rsidR="00ED1A9E" w:rsidRPr="009819CE">
        <w:rPr>
          <w:rFonts w:cstheme="minorBidi"/>
        </w:rPr>
        <w:instrText xml:space="preserve"> ADDIN EN.CITE &lt;EndNote&gt;&lt;Cite&gt;&lt;Author&gt;Marine Scotland&lt;/Author&gt;&lt;Year&gt;2020&lt;/Year&gt;&lt;RecNum&gt;508&lt;/RecNum&gt;&lt;DisplayText&gt;(Marine Scotland, 2020)&lt;/DisplayText&gt;&lt;record&gt;&lt;rec-number&gt;508&lt;/rec-number&gt;&lt;foreign-keys&gt;&lt;key app="EN" db-id="sd9wrx9fj09rx3erprsx999o0r5aprvp2zse" timestamp="1687855901" guid="92a0934f-6d90-440d-a673-ac813dcadfa9"&gt;508&lt;/key&gt;&lt;/foreign-keys&gt;&lt;ref-type name="Report"&gt;27&lt;/ref-type&gt;&lt;contributors&gt;&lt;authors&gt;&lt;author&gt;Marine Scotland, &lt;/author&gt;&lt;/authors&gt;&lt;/contributors&gt;&lt;titles&gt;&lt;title&gt;Scottish Sea fisheries&lt;/title&gt;&lt;secondary-title&gt;The Scottish Government&lt;/secondary-title&gt;&lt;/titles&gt;&lt;pages&gt;5-112&lt;/pages&gt;&lt;dates&gt;&lt;year&gt;2020&lt;/year&gt;&lt;/dates&gt;&lt;pub-location&gt;Scotland&lt;/pub-location&gt;&lt;urls&gt;&lt;related-urls&gt;&lt;url&gt;https://www.gov.scot/publications/scottish-sea-fisheries-statistics-2019/pages/6/&lt;/url&gt;&lt;/related-urls&gt;&lt;/urls&gt;&lt;/record&gt;&lt;/Cite&gt;&lt;/EndNote&gt;</w:instrText>
      </w:r>
      <w:r w:rsidRPr="009819CE">
        <w:rPr>
          <w:rFonts w:cstheme="minorBidi"/>
        </w:rPr>
        <w:fldChar w:fldCharType="separate"/>
      </w:r>
      <w:r w:rsidR="00D50EFF" w:rsidRPr="001F4A34">
        <w:rPr>
          <w:rFonts w:cstheme="minorBidi"/>
        </w:rPr>
        <w:t>(</w:t>
      </w:r>
      <w:hyperlink w:anchor="_ENREF_204" w:tooltip="Marine Scotland, 2020 #508" w:history="1">
        <w:r w:rsidR="00950097" w:rsidRPr="001F4A34">
          <w:rPr>
            <w:rFonts w:cstheme="minorBidi"/>
          </w:rPr>
          <w:t>Marine Scotland, 2020</w:t>
        </w:r>
      </w:hyperlink>
      <w:r w:rsidR="00D50EFF" w:rsidRPr="001F4A34">
        <w:rPr>
          <w:rFonts w:cstheme="minorBidi"/>
        </w:rPr>
        <w:t>)</w:t>
      </w:r>
      <w:r w:rsidRPr="009819CE">
        <w:rPr>
          <w:rFonts w:cstheme="minorBidi"/>
        </w:rPr>
        <w:fldChar w:fldCharType="end"/>
      </w:r>
      <w:r w:rsidRPr="009819CE">
        <w:rPr>
          <w:rFonts w:cstheme="minorBidi"/>
          <w:color w:val="000000"/>
        </w:rPr>
        <w:t xml:space="preserve">. </w:t>
      </w:r>
      <w:r w:rsidRPr="009819CE">
        <w:rPr>
          <w:rFonts w:cstheme="minorBidi"/>
        </w:rPr>
        <w:t xml:space="preserve">However, creel fisheries </w:t>
      </w:r>
      <w:r w:rsidR="00BD74B6" w:rsidRPr="009819CE">
        <w:rPr>
          <w:rFonts w:cstheme="minorBidi"/>
        </w:rPr>
        <w:t xml:space="preserve">using </w:t>
      </w:r>
      <w:r w:rsidRPr="009819CE">
        <w:rPr>
          <w:rFonts w:cstheme="minorBidi"/>
        </w:rPr>
        <w:t xml:space="preserve">baited traps also play a significant role, particularly along the west coast of Scotland. </w:t>
      </w:r>
      <w:r w:rsidR="00512878" w:rsidRPr="009819CE">
        <w:rPr>
          <w:rFonts w:cstheme="minorBidi"/>
        </w:rPr>
        <w:t>In the CSA</w:t>
      </w:r>
      <w:r w:rsidRPr="009819CE">
        <w:rPr>
          <w:rFonts w:cstheme="minorBidi"/>
        </w:rPr>
        <w:t xml:space="preserve">, creeling is limited to the upper sea-lochs of the CSA, and as a result, creel-caught </w:t>
      </w:r>
      <w:r w:rsidR="00C31E47" w:rsidRPr="009819CE">
        <w:rPr>
          <w:rFonts w:cstheme="minorBidi"/>
          <w:i/>
        </w:rPr>
        <w:t>Nephrops</w:t>
      </w:r>
      <w:r w:rsidRPr="009819CE">
        <w:rPr>
          <w:rFonts w:cstheme="minorBidi"/>
        </w:rPr>
        <w:t xml:space="preserve"> constitute only a small fraction of the overall catch, amounting to less than 5% </w:t>
      </w:r>
      <w:r w:rsidRPr="009819CE">
        <w:rPr>
          <w:rFonts w:cstheme="minorBidi"/>
        </w:rPr>
        <w:fldChar w:fldCharType="begin"/>
      </w:r>
      <w:r w:rsidR="00CE4372" w:rsidRPr="009819CE">
        <w:rPr>
          <w:rFonts w:cstheme="minorBidi"/>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Pr="009819CE">
        <w:rPr>
          <w:rFonts w:cstheme="minorBidi"/>
        </w:rPr>
        <w:fldChar w:fldCharType="separate"/>
      </w:r>
      <w:r w:rsidR="00A8698B" w:rsidRPr="001F4A34">
        <w:rPr>
          <w:rFonts w:cstheme="minorBidi"/>
        </w:rPr>
        <w:t>(</w:t>
      </w:r>
      <w:hyperlink w:anchor="_ENREF_28" w:tooltip="Beevers, 2010 #247" w:history="1">
        <w:r w:rsidR="00950097" w:rsidRPr="001F4A34">
          <w:rPr>
            <w:rFonts w:cstheme="minorBidi"/>
          </w:rPr>
          <w:t>Beevers, 2010</w:t>
        </w:r>
      </w:hyperlink>
      <w:r w:rsidR="00A8698B" w:rsidRPr="001F4A34">
        <w:rPr>
          <w:rFonts w:cstheme="minorBidi"/>
        </w:rPr>
        <w:t>)</w:t>
      </w:r>
      <w:r w:rsidRPr="009819CE">
        <w:rPr>
          <w:rFonts w:cstheme="minorBidi"/>
        </w:rPr>
        <w:fldChar w:fldCharType="end"/>
      </w:r>
      <w:r w:rsidRPr="009819CE">
        <w:rPr>
          <w:rFonts w:cstheme="minorBidi"/>
        </w:rPr>
        <w:t xml:space="preserve">. </w:t>
      </w:r>
      <w:r w:rsidR="00F504BB" w:rsidRPr="00FA7D47">
        <w:rPr>
          <w:rFonts w:cstheme="minorBidi"/>
        </w:rPr>
        <w:t xml:space="preserve">In 2023, Scottish vessels landed approximately 20,515 tonnes of </w:t>
      </w:r>
      <w:r w:rsidR="00F504BB" w:rsidRPr="00FA7D47">
        <w:rPr>
          <w:rFonts w:cstheme="minorBidi"/>
          <w:i/>
          <w:iCs/>
        </w:rPr>
        <w:t>Nephrops</w:t>
      </w:r>
      <w:r w:rsidR="00F504BB" w:rsidRPr="00FA7D47">
        <w:rPr>
          <w:rFonts w:cstheme="minorBidi"/>
        </w:rPr>
        <w:t>, generating a total revenue of £80.7 million. Trawling accounted for the majority of the catch, with 19,000 tonnes valued at £64 million, while creeling contributed 1,474 tonnes, amounting to £16 million.</w:t>
      </w:r>
    </w:p>
    <w:tbl>
      <w:tblPr>
        <w:tblStyle w:val="TableGrid1"/>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9"/>
      </w:tblGrid>
      <w:tr w:rsidR="002773A2" w:rsidRPr="00FA7D47" w14:paraId="52314D78" w14:textId="77777777" w:rsidTr="00213AF7">
        <w:trPr>
          <w:trHeight w:val="6092"/>
        </w:trPr>
        <w:tc>
          <w:tcPr>
            <w:tcW w:w="9019" w:type="dxa"/>
            <w:hideMark/>
          </w:tcPr>
          <w:p w14:paraId="58FBE29C" w14:textId="77777777" w:rsidR="002773A2" w:rsidRPr="009819CE" w:rsidRDefault="002773A2" w:rsidP="007D6607">
            <w:pPr>
              <w:spacing w:before="0" w:after="0"/>
              <w:jc w:val="center"/>
              <w:rPr>
                <w:rFonts w:cstheme="minorBidi"/>
                <w:lang w:val="en-GB"/>
                <w14:ligatures w14:val="none"/>
              </w:rPr>
            </w:pPr>
            <w:r w:rsidRPr="00FF34FE">
              <w:rPr>
                <w:rFonts w:cstheme="minorBidi"/>
                <w:noProof/>
              </w:rPr>
              <w:drawing>
                <wp:inline distT="0" distB="0" distL="0" distR="0" wp14:anchorId="2EB2475D" wp14:editId="23519B99">
                  <wp:extent cx="2622550" cy="3770444"/>
                  <wp:effectExtent l="0" t="0" r="6350" b="1905"/>
                  <wp:docPr id="1586758142" name="Picture 1586758142" descr="Figure 3.1 The Clyde Sea - defined by the boundary from the Mull of Kintyre to Corsewall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3.1 The Clyde Sea - defined by the boundary from the Mull of Kintyre to Corsewall Point."/>
                          <pic:cNvPicPr>
                            <a:picLocks noChangeAspect="1" noChangeArrowheads="1"/>
                          </pic:cNvPicPr>
                        </pic:nvPicPr>
                        <pic:blipFill>
                          <a:blip r:embed="rId32">
                            <a:extLst>
                              <a:ext uri="{BEBA8EAE-BF5A-486C-A8C5-ECC9F3942E4B}">
                                <a14:imgProps xmlns:a14="http://schemas.microsoft.com/office/drawing/2010/main">
                                  <a14:imgLayer r:embed="rId33">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2630925" cy="3782485"/>
                          </a:xfrm>
                          <a:prstGeom prst="rect">
                            <a:avLst/>
                          </a:prstGeom>
                          <a:noFill/>
                          <a:ln>
                            <a:noFill/>
                          </a:ln>
                        </pic:spPr>
                      </pic:pic>
                    </a:graphicData>
                  </a:graphic>
                </wp:inline>
              </w:drawing>
            </w:r>
          </w:p>
        </w:tc>
      </w:tr>
      <w:tr w:rsidR="002773A2" w:rsidRPr="00FA7D47" w14:paraId="68D6BD01" w14:textId="77777777" w:rsidTr="007D6607">
        <w:tc>
          <w:tcPr>
            <w:tcW w:w="9019" w:type="dxa"/>
            <w:hideMark/>
          </w:tcPr>
          <w:p w14:paraId="4875C36B" w14:textId="5396E5BE" w:rsidR="002773A2" w:rsidRPr="009819CE" w:rsidRDefault="002773A2" w:rsidP="007D6607">
            <w:pPr>
              <w:spacing w:before="0" w:after="0" w:line="240" w:lineRule="auto"/>
              <w:rPr>
                <w:rFonts w:eastAsia="Calibri" w:cstheme="minorBidi"/>
                <w:iCs/>
                <w:color w:val="000000"/>
                <w:sz w:val="22"/>
                <w:szCs w:val="22"/>
                <w:lang w:val="en-GB"/>
                <w14:ligatures w14:val="none"/>
              </w:rPr>
            </w:pPr>
            <w:bookmarkStart w:id="65" w:name="_Ref81507804"/>
            <w:bookmarkStart w:id="66" w:name="_Toc84492439"/>
            <w:bookmarkStart w:id="67" w:name="_Toc140068604"/>
            <w:bookmarkStart w:id="68" w:name="_Toc204106694"/>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4</w:t>
            </w:r>
            <w:r w:rsidRPr="001F4A34">
              <w:rPr>
                <w:rFonts w:eastAsia="Calibri" w:cstheme="minorBidi"/>
                <w:iCs/>
                <w:color w:val="000000"/>
                <w:sz w:val="22"/>
                <w:szCs w:val="22"/>
              </w:rPr>
              <w:fldChar w:fldCharType="end"/>
            </w:r>
            <w:bookmarkEnd w:id="65"/>
            <w:r w:rsidRPr="009819CE">
              <w:rPr>
                <w:rFonts w:eastAsia="Calibri" w:cstheme="minorBidi"/>
                <w:iCs/>
                <w:color w:val="000000"/>
                <w:sz w:val="22"/>
                <w:szCs w:val="22"/>
                <w:lang w:val="en-GB"/>
                <w14:ligatures w14:val="none"/>
              </w:rPr>
              <w:t xml:space="preserve"> Map of the Clyde Sea Area (CSA) on the west coast of Scotland.  The boundary of the CSA is depicted by a black line running from the southern end of the Mull of Kintyre to Corsewall Point</w:t>
            </w:r>
            <w:bookmarkEnd w:id="66"/>
            <w:r w:rsidRPr="009819CE">
              <w:rPr>
                <w:rFonts w:eastAsia="Calibri" w:cstheme="minorBidi"/>
                <w:iCs/>
                <w:color w:val="000000"/>
                <w:sz w:val="22"/>
                <w:szCs w:val="22"/>
                <w:lang w:val="en-GB"/>
                <w14:ligatures w14:val="none"/>
              </w:rPr>
              <w:t xml:space="preserve">. Source: </w:t>
            </w:r>
            <w:hyperlink w:anchor="_ENREF_273" w:tooltip="Scottish Government, 2021 #1668" w:history="1">
              <w:r w:rsidR="00950097" w:rsidRPr="001F4A34">
                <w:rPr>
                  <w:rFonts w:eastAsia="Calibri" w:cstheme="minorBidi"/>
                  <w:iCs/>
                  <w:color w:val="000000"/>
                  <w:sz w:val="22"/>
                  <w:szCs w:val="22"/>
                </w:rPr>
                <w:fldChar w:fldCharType="begin"/>
              </w:r>
              <w:r w:rsidR="00950097" w:rsidRPr="009819CE">
                <w:rPr>
                  <w:rFonts w:eastAsia="Calibri" w:cstheme="minorBidi"/>
                  <w:iCs/>
                  <w:color w:val="000000"/>
                  <w:sz w:val="22"/>
                  <w:szCs w:val="22"/>
                </w:rPr>
                <w:instrText xml:space="preserve"> ADDIN EN.CITE &lt;EndNote&gt;&lt;Cite AuthorYear="1"&gt;&lt;Author&gt;Scottish Government&lt;/Author&gt;&lt;Year&gt;2021&lt;/Year&gt;&lt;RecNum&gt;1668&lt;/RecNum&gt;&lt;DisplayText&gt;Scottish Government (2021)&lt;/DisplayText&gt;&lt;record&gt;&lt;rec-number&gt;1668&lt;/rec-number&gt;&lt;foreign-keys&gt;&lt;key app="EN" db-id="sd9wrx9fj09rx3erprsx999o0r5aprvp2zse" timestamp="1687874177" guid="1abd92fc-ce9a-4649-b0a3-b4a6487718cb"&gt;1668&lt;/key&gt;&lt;/foreign-keys&gt;&lt;ref-type name="Web Page"&gt;12&lt;/ref-type&gt;&lt;contributors&gt;&lt;authors&gt;&lt;author&gt;Scottish Government, &lt;/author&gt;&lt;/authors&gt;&lt;/contributors&gt;&lt;titles&gt;&lt;title&gt;Scottish marine and freshwater science volume 3 number 3: Clyde ecosystem review&lt;/title&gt;&lt;/titles&gt;&lt;dates&gt;&lt;year&gt;2021&lt;/year&gt;&lt;/dates&gt;&lt;publisher&gt;Scottish Government&lt;/publisher&gt;&lt;isbn&gt;9781780458779&lt;/isbn&gt;&lt;urls&gt;&lt;related-urls&gt;&lt;url&gt;https://www.gov.scot/publications/scottish-marine-freshwater-science-volume-3-number-3-clyde-ecosystem/pages/3/#fig3.1&lt;/url&gt;&lt;/related-urls&gt;&lt;/urls&gt;&lt;/record&gt;&lt;/Cite&gt;&lt;/EndNote&gt;</w:instrText>
              </w:r>
              <w:r w:rsidR="00950097" w:rsidRPr="001F4A34">
                <w:rPr>
                  <w:rFonts w:eastAsia="Calibri" w:cstheme="minorBidi"/>
                  <w:iCs/>
                  <w:color w:val="000000"/>
                  <w:sz w:val="22"/>
                  <w:szCs w:val="22"/>
                </w:rPr>
                <w:fldChar w:fldCharType="separate"/>
              </w:r>
              <w:r w:rsidR="00950097" w:rsidRPr="001F4A34">
                <w:rPr>
                  <w:rFonts w:eastAsia="Calibri" w:cstheme="minorBidi"/>
                  <w:iCs/>
                  <w:color w:val="000000"/>
                  <w:sz w:val="22"/>
                  <w:szCs w:val="22"/>
                </w:rPr>
                <w:t>Scottish Government (2021)</w:t>
              </w:r>
              <w:r w:rsidR="00950097" w:rsidRPr="001F4A34">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67"/>
            <w:bookmarkEnd w:id="68"/>
            <w:r w:rsidRPr="009819CE">
              <w:rPr>
                <w:rFonts w:eastAsia="Calibri" w:cstheme="minorBidi"/>
                <w:iCs/>
                <w:color w:val="000000"/>
                <w:sz w:val="22"/>
                <w:szCs w:val="22"/>
                <w:lang w:val="en-GB"/>
                <w14:ligatures w14:val="none"/>
              </w:rPr>
              <w:t xml:space="preserve"> </w:t>
            </w:r>
          </w:p>
        </w:tc>
      </w:tr>
    </w:tbl>
    <w:p w14:paraId="111DC71A" w14:textId="77777777" w:rsidR="002773A2" w:rsidRPr="009819CE" w:rsidRDefault="002773A2" w:rsidP="002773A2">
      <w:pPr>
        <w:spacing w:before="0" w:after="0"/>
        <w:rPr>
          <w:rFonts w:cstheme="minorBidi"/>
          <w:lang w:eastAsia="en-US"/>
        </w:rPr>
      </w:pPr>
    </w:p>
    <w:p w14:paraId="7173C6E6" w14:textId="5D6E50A7" w:rsidR="003C59D9" w:rsidRDefault="003C59D9" w:rsidP="003C59D9">
      <w:pPr>
        <w:rPr>
          <w:rFonts w:cstheme="minorBidi"/>
        </w:rPr>
      </w:pPr>
      <w:r w:rsidRPr="009819CE">
        <w:rPr>
          <w:rFonts w:cstheme="minorBidi"/>
        </w:rPr>
        <w:t xml:space="preserve">In the past, the CSA has played a significant role in sustaining important fisheries, such as herring, haddock, and cod. However, </w:t>
      </w:r>
      <w:r w:rsidR="000D1245" w:rsidRPr="009819CE">
        <w:rPr>
          <w:rFonts w:cstheme="minorBidi"/>
        </w:rPr>
        <w:t>since 1990s</w:t>
      </w:r>
      <w:r w:rsidRPr="009819CE">
        <w:rPr>
          <w:rFonts w:cstheme="minorBidi"/>
        </w:rPr>
        <w:t xml:space="preserve"> there has been a significant shift in the species composition of the catch. The decline in landings of demersal species like haddock, cod, saithe, and whiting in the CSA, as illustrated in </w:t>
      </w:r>
      <w:r w:rsidRPr="009819CE">
        <w:rPr>
          <w:rFonts w:cstheme="minorBidi"/>
          <w:b/>
          <w:bCs/>
        </w:rPr>
        <w:fldChar w:fldCharType="begin"/>
      </w:r>
      <w:r w:rsidRPr="009819CE">
        <w:rPr>
          <w:rFonts w:cstheme="minorBidi"/>
          <w:b/>
          <w:bCs/>
        </w:rPr>
        <w:instrText xml:space="preserve"> REF _Ref81508906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1.5</w:t>
      </w:r>
      <w:r w:rsidRPr="009819CE">
        <w:rPr>
          <w:rFonts w:cstheme="minorBidi"/>
          <w:b/>
          <w:bCs/>
        </w:rPr>
        <w:fldChar w:fldCharType="end"/>
      </w:r>
      <w:r w:rsidRPr="009819CE">
        <w:rPr>
          <w:rFonts w:cstheme="minorBidi"/>
        </w:rPr>
        <w:t xml:space="preserve">, </w:t>
      </w:r>
      <w:r w:rsidR="001C6EA7" w:rsidRPr="009819CE">
        <w:rPr>
          <w:rFonts w:cstheme="minorBidi"/>
        </w:rPr>
        <w:t>has been</w:t>
      </w:r>
      <w:r w:rsidRPr="009819CE">
        <w:rPr>
          <w:rFonts w:cstheme="minorBidi"/>
        </w:rPr>
        <w:t xml:space="preserve"> attributed to overfishing. This overfishing </w:t>
      </w:r>
      <w:r w:rsidR="00432CD4" w:rsidRPr="009819CE">
        <w:rPr>
          <w:rFonts w:cstheme="minorBidi"/>
        </w:rPr>
        <w:t>transformed</w:t>
      </w:r>
      <w:r w:rsidRPr="009819CE">
        <w:rPr>
          <w:rFonts w:cstheme="minorBidi"/>
        </w:rPr>
        <w:t xml:space="preserve"> the </w:t>
      </w:r>
      <w:r w:rsidR="00F029E5" w:rsidRPr="009819CE">
        <w:rPr>
          <w:rFonts w:cstheme="minorBidi"/>
        </w:rPr>
        <w:t xml:space="preserve">CSA </w:t>
      </w:r>
      <w:r w:rsidRPr="009819CE">
        <w:rPr>
          <w:rFonts w:cstheme="minorBidi"/>
        </w:rPr>
        <w:t>into what was described as a "marine desert"</w:t>
      </w:r>
      <w:r w:rsidR="00F504BB" w:rsidRPr="00FA7D47">
        <w:rPr>
          <w:rFonts w:cstheme="minorBidi"/>
        </w:rPr>
        <w:t xml:space="preserve"> by</w:t>
      </w:r>
      <w:r w:rsidR="00F504BB" w:rsidRPr="009819CE">
        <w:rPr>
          <w:rFonts w:cstheme="minorBidi"/>
        </w:rPr>
        <w:t xml:space="preserve"> </w:t>
      </w:r>
      <w:hyperlink w:anchor="_ENREF_141" w:tooltip="Howarth, 2014 #450" w:history="1">
        <w:r w:rsidR="00950097" w:rsidRPr="009819CE">
          <w:rPr>
            <w:rFonts w:cstheme="minorBidi"/>
          </w:rPr>
          <w:fldChar w:fldCharType="begin"/>
        </w:r>
        <w:r w:rsidR="00950097" w:rsidRPr="009819CE">
          <w:rPr>
            <w:rFonts w:cstheme="minorBidi"/>
          </w:rPr>
          <w:instrText xml:space="preserve"> ADDIN EN.CITE &lt;EndNote&gt;&lt;Cite AuthorYear="1"&gt;&lt;Author&gt;Howarth&lt;/Author&gt;&lt;Year&gt;2014&lt;/Year&gt;&lt;RecNum&gt;450&lt;/RecNum&gt;&lt;DisplayText&gt;Howarth et al. (2014)&lt;/DisplayText&gt;&lt;record&gt;&lt;rec-number&gt;450&lt;/rec-number&gt;&lt;foreign-keys&gt;&lt;key app="EN" db-id="sd9wrx9fj09rx3erprsx999o0r5aprvp2zse" timestamp="1687855901" guid="aa9bd981-781f-464d-89b7-9e6fef2ccf31"&gt;450&lt;/key&gt;&lt;/foreign-keys&gt;&lt;ref-type name="Journal Article"&gt;17&lt;/ref-type&gt;&lt;contributors&gt;&lt;authors&gt;&lt;author&gt;Howarth, Leigh M.&lt;/author&gt;&lt;author&gt;Roberts, Callum M.&lt;/author&gt;&lt;author&gt;Thurstan, Ruth H.&lt;/author&gt;&lt;author&gt;Stewart, Bryce D.&lt;/author&gt;&lt;/authors&gt;&lt;/contributors&gt;&lt;titles&gt;&lt;title&gt;The unintended consequences of simplifying the sea: making the case for complexity&lt;/title&gt;&lt;secondary-title&gt;Fish and Fisheries&lt;/secondary-title&gt;&lt;/titles&gt;&lt;periodical&gt;&lt;full-title&gt;Fish and Fisheries&lt;/full-title&gt;&lt;/periodical&gt;&lt;pages&gt;690-711&lt;/pages&gt;&lt;volume&gt;15&lt;/volume&gt;&lt;number&gt;4&lt;/number&gt;&lt;keywords&gt;&lt;keyword&gt;Ecosystem change&lt;/keyword&gt;&lt;keyword&gt;Fisheries&lt;/keyword&gt;&lt;keyword&gt;Invertebrates&lt;/keyword&gt;&lt;keyword&gt;Phase shift&lt;/keyword&gt;&lt;keyword&gt;Resilience&lt;/keyword&gt;&lt;keyword&gt;Simplification&lt;/keyword&gt;&lt;/keywords&gt;&lt;dates&gt;&lt;year&gt;2014&lt;/year&gt;&lt;pub-dates&gt;&lt;date&gt;2014/12//&lt;/date&gt;&lt;/pub-dates&gt;&lt;/dates&gt;&lt;urls&gt;&lt;related-urls&gt;&lt;url&gt;http://doi.wiley.com/10.1111/faf.12041&lt;/url&gt;&lt;/related-urls&gt;&lt;/urls&gt;&lt;electronic-resource-num&gt;10.1111/faf.12041&lt;/electronic-resource-num&gt;&lt;/record&gt;&lt;/Cite&gt;&lt;/EndNote&gt;</w:instrText>
        </w:r>
        <w:r w:rsidR="00950097" w:rsidRPr="009819CE">
          <w:rPr>
            <w:rFonts w:cstheme="minorBidi"/>
          </w:rPr>
          <w:fldChar w:fldCharType="separate"/>
        </w:r>
        <w:r w:rsidR="00950097" w:rsidRPr="001F4A34">
          <w:rPr>
            <w:rFonts w:cstheme="minorBidi"/>
          </w:rPr>
          <w:t>Howarth et al. (2014)</w:t>
        </w:r>
        <w:r w:rsidR="00950097" w:rsidRPr="009819CE">
          <w:rPr>
            <w:rFonts w:cstheme="minorBidi"/>
          </w:rPr>
          <w:fldChar w:fldCharType="end"/>
        </w:r>
      </w:hyperlink>
      <w:r w:rsidRPr="009819CE">
        <w:rPr>
          <w:rFonts w:cstheme="minorBidi"/>
        </w:rPr>
        <w:t>. However, the overall biomass of fish in the CSA has remained relatively stable over time</w:t>
      </w:r>
      <w:r w:rsidR="00FD2078" w:rsidRPr="009819CE">
        <w:rPr>
          <w:rFonts w:cstheme="minorBidi"/>
        </w:rPr>
        <w:t xml:space="preserve"> </w:t>
      </w:r>
      <w:r w:rsidR="000E6C4E" w:rsidRPr="009819CE">
        <w:rPr>
          <w:rFonts w:cstheme="minorBidi"/>
        </w:rPr>
        <w:fldChar w:fldCharType="begin"/>
      </w:r>
      <w:r w:rsidR="00EE7FB9">
        <w:rPr>
          <w:rFonts w:cstheme="minorBidi"/>
        </w:rPr>
        <w:instrText xml:space="preserve"> ADDIN EN.CITE &lt;EndNote&gt;&lt;Cite&gt;&lt;Author&gt;McIntyre&lt;/Author&gt;&lt;Year&gt;2012&lt;/Year&gt;&lt;RecNum&gt;334&lt;/RecNum&gt;&lt;DisplayText&gt;(McIntyre et al., 2012)&lt;/DisplayText&gt;&lt;record&gt;&lt;rec-number&gt;334&lt;/rec-number&gt;&lt;foreign-keys&gt;&lt;key app="EN" db-id="sd9wrx9fj09rx3erprsx999o0r5aprvp2zse" timestamp="1687855901" guid="b33c5808-dd62-4321-931a-ce93d8ef7a99"&gt;334&lt;/key&gt;&lt;/foreign-keys&gt;&lt;ref-type name="Report"&gt;27&lt;/ref-type&gt;&lt;contributors&gt;&lt;authors&gt;&lt;author&gt;McIntyre, F.&lt;/author&gt;&lt;author&gt;Fernandes, P. G.&lt;/author&gt;&lt;author&gt;Turrell, W. R.&lt;/author&gt;&lt;/authors&gt;&lt;/contributors&gt;&lt;titles&gt;&lt;title&gt;Clyde ecosystem review&lt;/title&gt;&lt;secondary-title&gt;Scottish Marine and Freshwater Science Report&lt;/secondary-title&gt;&lt;/titles&gt;&lt;pages&gt;1-123&lt;/pages&gt;&lt;volume&gt;3&lt;/volume&gt;&lt;dates&gt;&lt;year&gt;2012&lt;/year&gt;&lt;/dates&gt;&lt;pub-location&gt;Edinburgh&lt;/pub-location&gt;&lt;isbn&gt;9781780458779&lt;/isbn&gt;&lt;urls&gt;&lt;related-urls&gt;&lt;url&gt;https://www.gov.scot/publications/scottish-marine-freshwater-science-volume-3-number-3-clyde-ecosystem/&lt;/url&gt;&lt;/related-urls&gt;&lt;/urls&gt;&lt;/record&gt;&lt;/Cite&gt;&lt;/EndNote&gt;</w:instrText>
      </w:r>
      <w:r w:rsidR="000E6C4E" w:rsidRPr="009819CE">
        <w:rPr>
          <w:rFonts w:cstheme="minorBidi"/>
        </w:rPr>
        <w:fldChar w:fldCharType="separate"/>
      </w:r>
      <w:r w:rsidR="00D50EFF" w:rsidRPr="009819CE">
        <w:rPr>
          <w:rFonts w:cstheme="minorBidi"/>
          <w:noProof/>
        </w:rPr>
        <w:t>(</w:t>
      </w:r>
      <w:hyperlink w:anchor="_ENREF_208" w:tooltip="McIntyre, 2012 #334" w:history="1">
        <w:r w:rsidR="00950097" w:rsidRPr="009819CE">
          <w:rPr>
            <w:rFonts w:cstheme="minorBidi"/>
            <w:noProof/>
          </w:rPr>
          <w:t>McIntyre et al., 2012</w:t>
        </w:r>
      </w:hyperlink>
      <w:r w:rsidR="00D50EFF" w:rsidRPr="009819CE">
        <w:rPr>
          <w:rFonts w:cstheme="minorBidi"/>
          <w:noProof/>
        </w:rPr>
        <w:t>)</w:t>
      </w:r>
      <w:r w:rsidR="000E6C4E" w:rsidRPr="009819CE">
        <w:rPr>
          <w:rFonts w:cstheme="minorBidi"/>
        </w:rPr>
        <w:fldChar w:fldCharType="end"/>
      </w:r>
      <w:r w:rsidRPr="009819CE">
        <w:rPr>
          <w:rFonts w:cstheme="minorBidi"/>
        </w:rPr>
        <w:t xml:space="preserve">. Nonetheless, overfishing has resulted in a significant decrease in the average size of demersal fish </w:t>
      </w:r>
      <w:r w:rsidRPr="009819CE">
        <w:rPr>
          <w:rFonts w:cstheme="minorBidi"/>
        </w:rPr>
        <w:fldChar w:fldCharType="begin">
          <w:fldData xml:space="preserve">PEVuZE5vdGU+PENpdGU+PEF1dGhvcj5IZWF0aDwvQXV0aG9yPjxZZWFyPjIwMTI8L1llYXI+PFJl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</w:fldData>
        </w:fldChar>
      </w:r>
      <w:r w:rsidR="00EE7FB9">
        <w:rPr>
          <w:rFonts w:cstheme="minorBidi"/>
        </w:rPr>
        <w:instrText xml:space="preserve"> ADDIN EN.CITE </w:instrText>
      </w:r>
      <w:r w:rsidR="00EE7FB9">
        <w:rPr>
          <w:rFonts w:cstheme="minorBidi"/>
        </w:rPr>
        <w:fldChar w:fldCharType="begin">
          <w:fldData xml:space="preserve">PEVuZE5vdGU+PENpdGU+PEF1dGhvcj5IZWF0aDwvQXV0aG9yPjxZZWFyPjIwMTI8L1llYXI+PFJl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127" w:tooltip="Heath, 2012 #389" w:history="1">
        <w:r w:rsidR="00950097" w:rsidRPr="00EE7FB9">
          <w:rPr>
            <w:rFonts w:cstheme="minorBidi"/>
            <w:noProof/>
          </w:rPr>
          <w:t>Heath and Speirs, 2012</w:t>
        </w:r>
      </w:hyperlink>
      <w:r w:rsidR="00D50EFF" w:rsidRPr="00EE7FB9">
        <w:rPr>
          <w:rFonts w:cstheme="minorBidi"/>
          <w:noProof/>
        </w:rPr>
        <w:t xml:space="preserve">; </w:t>
      </w:r>
      <w:hyperlink w:anchor="_ENREF_152" w:tooltip="Hunter, 2016 #1310" w:history="1">
        <w:r w:rsidR="00950097" w:rsidRPr="00EE7FB9">
          <w:rPr>
            <w:rFonts w:cstheme="minorBidi"/>
            <w:noProof/>
          </w:rPr>
          <w:t>Hunter et al., 2016</w:t>
        </w:r>
      </w:hyperlink>
      <w:r w:rsidR="00D50EFF" w:rsidRPr="00EE7FB9">
        <w:rPr>
          <w:rFonts w:cstheme="minorBidi"/>
          <w:noProof/>
        </w:rPr>
        <w:t xml:space="preserve">; </w:t>
      </w:r>
      <w:hyperlink w:anchor="_ENREF_222" w:tooltip="Molfese, 2014 #1309" w:history="1">
        <w:r w:rsidR="00950097" w:rsidRPr="00EE7FB9">
          <w:rPr>
            <w:rFonts w:cstheme="minorBidi"/>
            <w:noProof/>
          </w:rPr>
          <w:t>Molfese et al., 2014</w:t>
        </w:r>
      </w:hyperlink>
      <w:r w:rsidR="00D50EFF" w:rsidRPr="00EE7FB9">
        <w:rPr>
          <w:rFonts w:cstheme="minorBidi"/>
          <w:noProof/>
        </w:rPr>
        <w:t>)</w:t>
      </w:r>
      <w:r w:rsidRPr="009819CE">
        <w:rPr>
          <w:rFonts w:cstheme="minorBidi"/>
        </w:rPr>
        <w:fldChar w:fldCharType="end"/>
      </w:r>
      <w:r w:rsidRPr="009819CE">
        <w:rPr>
          <w:rFonts w:cstheme="minorBidi"/>
        </w:rPr>
        <w:t xml:space="preserve">. Consequently, the demersal fish stocks in the CSA are presently unable to sustain commercial catches due to the scarcity of large marketable individuals within the population. Furthermore, the decline in the size of these large predatory species may have also reduced their influence as predators over </w:t>
      </w:r>
      <w:r w:rsidR="00C31E47" w:rsidRPr="009819CE">
        <w:rPr>
          <w:rFonts w:cstheme="minorBidi"/>
          <w:i/>
          <w:iCs/>
        </w:rPr>
        <w:t>Nephrops</w:t>
      </w:r>
      <w:r w:rsidRPr="009819CE">
        <w:rPr>
          <w:rFonts w:cstheme="minorBidi"/>
        </w:rPr>
        <w:t xml:space="preserve"> populations.</w:t>
      </w:r>
    </w:p>
    <w:p w14:paraId="77EF1BEE" w14:textId="77777777" w:rsidR="009503A6" w:rsidRPr="009819CE" w:rsidRDefault="009503A6" w:rsidP="003C59D9">
      <w:pPr>
        <w:rPr>
          <w:rFonts w:cstheme="minorBidi"/>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9"/>
      </w:tblGrid>
      <w:tr w:rsidR="002773A2" w:rsidRPr="00FA7D47" w14:paraId="61BF2A85" w14:textId="77777777" w:rsidTr="007D6607">
        <w:tc>
          <w:tcPr>
            <w:tcW w:w="9019" w:type="dxa"/>
            <w:hideMark/>
          </w:tcPr>
          <w:p w14:paraId="4D94D513" w14:textId="77777777" w:rsidR="002773A2" w:rsidRPr="009819CE" w:rsidRDefault="002773A2" w:rsidP="007D6607">
            <w:pPr>
              <w:spacing w:before="0" w:after="0"/>
              <w:jc w:val="center"/>
              <w:rPr>
                <w:rFonts w:cstheme="minorBidi"/>
                <w:lang w:val="en-GB"/>
                <w14:ligatures w14:val="none"/>
              </w:rPr>
            </w:pPr>
            <w:r w:rsidRPr="00FF34FE">
              <w:rPr>
                <w:rFonts w:cstheme="minorBidi"/>
                <w:noProof/>
              </w:rPr>
              <w:drawing>
                <wp:inline distT="0" distB="0" distL="0" distR="0" wp14:anchorId="2F768BA9" wp14:editId="18BACE15">
                  <wp:extent cx="4415742" cy="3257354"/>
                  <wp:effectExtent l="0" t="0" r="4445" b="635"/>
                  <wp:docPr id="1692128897" name="Picture 169212889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hart, histogram&#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39052" cy="3274549"/>
                          </a:xfrm>
                          <a:prstGeom prst="rect">
                            <a:avLst/>
                          </a:prstGeom>
                          <a:noFill/>
                          <a:ln>
                            <a:noFill/>
                          </a:ln>
                        </pic:spPr>
                      </pic:pic>
                    </a:graphicData>
                  </a:graphic>
                </wp:inline>
              </w:drawing>
            </w:r>
          </w:p>
        </w:tc>
      </w:tr>
      <w:tr w:rsidR="002773A2" w:rsidRPr="00FA7D47" w14:paraId="0ACE11D2" w14:textId="77777777" w:rsidTr="007D6607">
        <w:tc>
          <w:tcPr>
            <w:tcW w:w="9019" w:type="dxa"/>
            <w:hideMark/>
          </w:tcPr>
          <w:p w14:paraId="7DCF0A60" w14:textId="69F8F410" w:rsidR="002773A2" w:rsidRPr="009819CE" w:rsidRDefault="002773A2" w:rsidP="007D6607">
            <w:pPr>
              <w:spacing w:before="0" w:after="0"/>
              <w:rPr>
                <w:rFonts w:eastAsia="Calibri" w:cstheme="minorBidi"/>
                <w:iCs/>
                <w:color w:val="000000"/>
                <w:sz w:val="22"/>
                <w:szCs w:val="22"/>
                <w:lang w:val="en-GB"/>
                <w14:ligatures w14:val="none"/>
              </w:rPr>
            </w:pPr>
            <w:bookmarkStart w:id="69" w:name="_Ref81508906"/>
            <w:bookmarkStart w:id="70" w:name="_Toc84492440"/>
            <w:bookmarkStart w:id="71" w:name="_Toc140068605"/>
            <w:bookmarkStart w:id="72" w:name="_Toc204106695"/>
            <w:r w:rsidRPr="009819CE">
              <w:rPr>
                <w:rFonts w:eastAsia="Calibri" w:cstheme="minorBidi"/>
                <w:b/>
                <w:bCs/>
                <w:iCs/>
                <w:color w:val="000000"/>
                <w:sz w:val="22"/>
                <w:szCs w:val="22"/>
                <w:lang w:val="en-GB"/>
                <w14:ligatures w14:val="none"/>
              </w:rPr>
              <w:t xml:space="preserve">Figure </w:t>
            </w:r>
            <w:r w:rsidRPr="001F4A34">
              <w:rPr>
                <w:rFonts w:eastAsia="Calibri" w:cstheme="minorBidi"/>
                <w:b/>
                <w:bCs/>
                <w:iCs/>
                <w:color w:val="000000"/>
                <w:sz w:val="22"/>
                <w:szCs w:val="22"/>
              </w:rPr>
              <w:fldChar w:fldCharType="begin"/>
            </w:r>
            <w:r w:rsidRPr="009819CE">
              <w:rPr>
                <w:rFonts w:eastAsia="Calibri" w:cstheme="minorBidi"/>
                <w:b/>
                <w:bCs/>
                <w:iCs/>
                <w:color w:val="000000"/>
                <w:sz w:val="22"/>
                <w:szCs w:val="22"/>
                <w:lang w:val="en-GB"/>
                <w14:ligatures w14:val="none"/>
              </w:rPr>
              <w:instrText xml:space="preserve"> STYLEREF 1 \s </w:instrText>
            </w:r>
            <w:r w:rsidRPr="001F4A34">
              <w:rPr>
                <w:rFonts w:eastAsia="Calibri" w:cstheme="minorBidi"/>
                <w:b/>
                <w:bCs/>
                <w:iCs/>
                <w:color w:val="000000"/>
                <w:sz w:val="22"/>
                <w:szCs w:val="22"/>
              </w:rPr>
              <w:fldChar w:fldCharType="separate"/>
            </w:r>
            <w:r w:rsidR="008549FC">
              <w:rPr>
                <w:rFonts w:eastAsia="Calibri" w:cstheme="minorBidi"/>
                <w:b/>
                <w:bCs/>
                <w:iCs/>
                <w:noProof/>
                <w:color w:val="000000"/>
                <w:sz w:val="22"/>
                <w:szCs w:val="22"/>
                <w:lang w:val="en-GB"/>
                <w14:ligatures w14:val="none"/>
              </w:rPr>
              <w:t>1</w:t>
            </w:r>
            <w:r w:rsidRPr="001F4A34">
              <w:rPr>
                <w:rFonts w:eastAsia="Calibri" w:cstheme="minorBidi"/>
                <w:b/>
                <w:bCs/>
                <w:iCs/>
                <w:color w:val="000000"/>
                <w:sz w:val="22"/>
                <w:szCs w:val="22"/>
              </w:rPr>
              <w:fldChar w:fldCharType="end"/>
            </w:r>
            <w:r w:rsidRPr="009819CE">
              <w:rPr>
                <w:rFonts w:eastAsia="Calibri" w:cstheme="minorBidi"/>
                <w:b/>
                <w:bCs/>
                <w:iCs/>
                <w:color w:val="000000"/>
                <w:sz w:val="22"/>
                <w:szCs w:val="22"/>
                <w:lang w:val="en-GB"/>
                <w14:ligatures w14:val="none"/>
              </w:rPr>
              <w:t>.</w:t>
            </w:r>
            <w:r w:rsidRPr="001F4A34">
              <w:rPr>
                <w:rFonts w:eastAsia="Calibri" w:cstheme="minorBidi"/>
                <w:b/>
                <w:bCs/>
                <w:iCs/>
                <w:color w:val="000000"/>
                <w:sz w:val="22"/>
                <w:szCs w:val="22"/>
              </w:rPr>
              <w:fldChar w:fldCharType="begin"/>
            </w:r>
            <w:r w:rsidRPr="009819CE">
              <w:rPr>
                <w:rFonts w:eastAsia="Calibri" w:cstheme="minorBidi"/>
                <w:b/>
                <w:bCs/>
                <w:iCs/>
                <w:color w:val="000000"/>
                <w:sz w:val="22"/>
                <w:szCs w:val="22"/>
                <w:lang w:val="en-GB"/>
                <w14:ligatures w14:val="none"/>
              </w:rPr>
              <w:instrText xml:space="preserve"> SEQ Figure \* ARABIC \s 1 </w:instrText>
            </w:r>
            <w:r w:rsidRPr="001F4A34">
              <w:rPr>
                <w:rFonts w:eastAsia="Calibri" w:cstheme="minorBidi"/>
                <w:b/>
                <w:bCs/>
                <w:iCs/>
                <w:color w:val="000000"/>
                <w:sz w:val="22"/>
                <w:szCs w:val="22"/>
              </w:rPr>
              <w:fldChar w:fldCharType="separate"/>
            </w:r>
            <w:r w:rsidR="008549FC">
              <w:rPr>
                <w:rFonts w:eastAsia="Calibri" w:cstheme="minorBidi"/>
                <w:b/>
                <w:bCs/>
                <w:iCs/>
                <w:noProof/>
                <w:color w:val="000000"/>
                <w:sz w:val="22"/>
                <w:szCs w:val="22"/>
                <w:lang w:val="en-GB"/>
                <w14:ligatures w14:val="none"/>
              </w:rPr>
              <w:t>5</w:t>
            </w:r>
            <w:r w:rsidRPr="001F4A34">
              <w:rPr>
                <w:rFonts w:eastAsia="Calibri" w:cstheme="minorBidi"/>
                <w:b/>
                <w:bCs/>
                <w:iCs/>
                <w:color w:val="000000"/>
                <w:sz w:val="22"/>
                <w:szCs w:val="22"/>
              </w:rPr>
              <w:fldChar w:fldCharType="end"/>
            </w:r>
            <w:bookmarkEnd w:id="69"/>
            <w:r w:rsidRPr="009819CE">
              <w:rPr>
                <w:rFonts w:eastAsia="Calibri" w:cstheme="minorBidi"/>
                <w:iCs/>
                <w:color w:val="000000"/>
                <w:sz w:val="22"/>
                <w:szCs w:val="22"/>
                <w:lang w:val="en-GB"/>
                <w14:ligatures w14:val="none"/>
              </w:rPr>
              <w:t xml:space="preserve"> Landings of the main demersal fish species and </w:t>
            </w:r>
            <w:r w:rsidR="00C31E47" w:rsidRPr="009819CE">
              <w:rPr>
                <w:rFonts w:eastAsia="Calibri" w:cstheme="minorBidi"/>
                <w:i/>
                <w:iCs/>
                <w:color w:val="000000"/>
                <w:sz w:val="22"/>
                <w:szCs w:val="22"/>
                <w:lang w:val="en-GB"/>
                <w14:ligatures w14:val="none"/>
              </w:rPr>
              <w:t>Nephrops</w:t>
            </w:r>
            <w:r w:rsidRPr="009819CE">
              <w:rPr>
                <w:rFonts w:eastAsia="Calibri" w:cstheme="minorBidi"/>
                <w:iCs/>
                <w:color w:val="000000"/>
                <w:sz w:val="22"/>
                <w:szCs w:val="22"/>
                <w:lang w:val="en-GB"/>
                <w14:ligatures w14:val="none"/>
              </w:rPr>
              <w:t xml:space="preserve"> in the CSA since 1960.</w:t>
            </w:r>
            <w:bookmarkEnd w:id="70"/>
            <w:r w:rsidRPr="009819CE">
              <w:rPr>
                <w:rFonts w:eastAsia="Calibri" w:cstheme="minorBidi"/>
                <w:iCs/>
                <w:color w:val="000000"/>
                <w:sz w:val="22"/>
                <w:szCs w:val="22"/>
                <w:lang w:val="en-GB"/>
                <w14:ligatures w14:val="none"/>
              </w:rPr>
              <w:t xml:space="preserve"> Source: </w:t>
            </w:r>
            <w:hyperlink w:anchor="_ENREF_208" w:tooltip="McIntyre, 2012 #334" w:history="1">
              <w:r w:rsidR="00950097" w:rsidRPr="001F4A34">
                <w:rPr>
                  <w:rFonts w:eastAsia="Calibri" w:cstheme="minorBidi"/>
                  <w:iCs/>
                  <w:color w:val="000000"/>
                  <w:sz w:val="22"/>
                  <w:szCs w:val="22"/>
                </w:rPr>
                <w:fldChar w:fldCharType="begin"/>
              </w:r>
              <w:r w:rsidR="00950097">
                <w:rPr>
                  <w:rFonts w:eastAsia="Calibri" w:cstheme="minorBidi"/>
                  <w:iCs/>
                  <w:color w:val="000000"/>
                  <w:sz w:val="22"/>
                  <w:szCs w:val="22"/>
                  <w:lang w:val="en-GB"/>
                  <w14:ligatures w14:val="none"/>
                </w:rPr>
                <w:instrText xml:space="preserve"> ADDIN EN.CITE &lt;EndNote&gt;&lt;Cite AuthorYear="1"&gt;&lt;Author&gt;McIntyre&lt;/Author&gt;&lt;Year&gt;2012&lt;/Year&gt;&lt;RecNum&gt;334&lt;/RecNum&gt;&lt;DisplayText&gt;McIntyre et al. (2012)&lt;/DisplayText&gt;&lt;record&gt;&lt;rec-number&gt;334&lt;/rec-number&gt;&lt;foreign-keys&gt;&lt;key app="EN" db-id="sd9wrx9fj09rx3erprsx999o0r5aprvp2zse" timestamp="1687855901" guid="b33c5808-dd62-4321-931a-ce93d8ef7a99"&gt;334&lt;/key&gt;&lt;/foreign-keys&gt;&lt;ref-type name="Report"&gt;27&lt;/ref-type&gt;&lt;contributors&gt;&lt;authors&gt;&lt;author&gt;McIntyre, F.&lt;/author&gt;&lt;author&gt;Fernandes, P. G.&lt;/author&gt;&lt;author&gt;Turrell, W. R.&lt;/author&gt;&lt;/authors&gt;&lt;/contributors&gt;&lt;titles&gt;&lt;title&gt;Clyde ecosystem review&lt;/title&gt;&lt;secondary-title&gt;Scottish Marine and Freshwater Science Report&lt;/secondary-title&gt;&lt;/titles&gt;&lt;pages&gt;1-123&lt;/pages&gt;&lt;volume&gt;3&lt;/volume&gt;&lt;dates&gt;&lt;year&gt;2012&lt;/year&gt;&lt;/dates&gt;&lt;pub-location&gt;Edinburgh&lt;/pub-location&gt;&lt;isbn&gt;9781780458779&lt;/isbn&gt;&lt;urls&gt;&lt;related-urls&gt;&lt;url&gt;https://www.gov.scot/publications/scottish-marine-freshwater-science-volume-3-number-3-clyde-ecosystem/&lt;/url&gt;&lt;/related-urls&gt;&lt;/urls&gt;&lt;/record&gt;&lt;/Cite&gt;&lt;/EndNote&gt;</w:instrText>
              </w:r>
              <w:r w:rsidR="00950097" w:rsidRPr="001F4A34">
                <w:rPr>
                  <w:rFonts w:eastAsia="Calibri" w:cstheme="minorBidi"/>
                  <w:iCs/>
                  <w:color w:val="000000"/>
                  <w:sz w:val="22"/>
                  <w:szCs w:val="22"/>
                </w:rPr>
                <w:fldChar w:fldCharType="separate"/>
              </w:r>
              <w:r w:rsidR="00950097" w:rsidRPr="009819CE">
                <w:rPr>
                  <w:rFonts w:eastAsia="Calibri" w:cstheme="minorBidi"/>
                  <w:iCs/>
                  <w:noProof/>
                  <w:color w:val="000000"/>
                  <w:sz w:val="22"/>
                  <w:szCs w:val="22"/>
                  <w:lang w:val="en-GB"/>
                  <w14:ligatures w14:val="none"/>
                </w:rPr>
                <w:t>McIntyre et al. (2012)</w:t>
              </w:r>
              <w:r w:rsidR="00950097" w:rsidRPr="001F4A34">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71"/>
            <w:bookmarkEnd w:id="72"/>
          </w:p>
        </w:tc>
      </w:tr>
    </w:tbl>
    <w:p w14:paraId="26F138F4" w14:textId="12A7EB98" w:rsidR="00D80995" w:rsidRPr="009819CE" w:rsidRDefault="00D80995" w:rsidP="00A21F07">
      <w:pPr>
        <w:rPr>
          <w:rFonts w:cstheme="minorBidi"/>
        </w:rPr>
      </w:pPr>
      <w:r w:rsidRPr="009819CE">
        <w:rPr>
          <w:rFonts w:cstheme="minorBidi"/>
        </w:rPr>
        <w:t xml:space="preserve">A noticeable decline in landings of larger predatory fish species has coincided with a consistent increase in landings of </w:t>
      </w:r>
      <w:r w:rsidR="00C31E47" w:rsidRPr="009819CE">
        <w:rPr>
          <w:rFonts w:cstheme="minorBidi"/>
          <w:i/>
          <w:iCs/>
        </w:rPr>
        <w:t>Nephrops</w:t>
      </w:r>
      <w:r w:rsidRPr="009819CE">
        <w:rPr>
          <w:rFonts w:cstheme="minorBidi"/>
        </w:rPr>
        <w:t xml:space="preserve"> and other shellfish species. This shift in targeted species is a common pattern observed in heavily exploited marine ecosystems </w:t>
      </w:r>
      <w:r w:rsidRPr="009819CE">
        <w:rPr>
          <w:rFonts w:cstheme="minorBidi"/>
        </w:rPr>
        <w:fldChar w:fldCharType="begin"/>
      </w:r>
      <w:r w:rsidR="00D50EFF" w:rsidRPr="009819CE">
        <w:rPr>
          <w:rFonts w:cstheme="minorBidi"/>
        </w:rPr>
        <w:instrText xml:space="preserve"> ADDIN EN.CITE &lt;EndNote&gt;&lt;Cite&gt;&lt;Author&gt;Howarth&lt;/Author&gt;&lt;Year&gt;2014&lt;/Year&gt;&lt;RecNum&gt;450&lt;/RecNum&gt;&lt;DisplayText&gt;(Howarth et al., 2014)&lt;/DisplayText&gt;&lt;record&gt;&lt;rec-number&gt;450&lt;/rec-number&gt;&lt;foreign-keys&gt;&lt;key app="EN" db-id="sd9wrx9fj09rx3erprsx999o0r5aprvp2zse" timestamp="1687855901" guid="aa9bd981-781f-464d-89b7-9e6fef2ccf31"&gt;450&lt;/key&gt;&lt;/foreign-keys&gt;&lt;ref-type name="Journal Article"&gt;17&lt;/ref-type&gt;&lt;contributors&gt;&lt;authors&gt;&lt;author&gt;Howarth, Leigh M.&lt;/author&gt;&lt;author&gt;Roberts, Callum M.&lt;/author&gt;&lt;author&gt;Thurstan, Ruth H.&lt;/author&gt;&lt;author&gt;Stewart, Bryce D.&lt;/author&gt;&lt;/authors&gt;&lt;/contributors&gt;&lt;titles&gt;&lt;title&gt;The unintended consequences of simplifying the sea: making the case for complexity&lt;/title&gt;&lt;secondary-title&gt;Fish and Fisheries&lt;/secondary-title&gt;&lt;/titles&gt;&lt;periodical&gt;&lt;full-title&gt;Fish and Fisheries&lt;/full-title&gt;&lt;/periodical&gt;&lt;pages&gt;690-711&lt;/pages&gt;&lt;volume&gt;15&lt;/volume&gt;&lt;number&gt;4&lt;/number&gt;&lt;keywords&gt;&lt;keyword&gt;Ecosystem change&lt;/keyword&gt;&lt;keyword&gt;Fisheries&lt;/keyword&gt;&lt;keyword&gt;Invertebrates&lt;/keyword&gt;&lt;keyword&gt;Phase shift&lt;/keyword&gt;&lt;keyword&gt;Resilience&lt;/keyword&gt;&lt;keyword&gt;Simplification&lt;/keyword&gt;&lt;/keywords&gt;&lt;dates&gt;&lt;year&gt;2014&lt;/year&gt;&lt;pub-dates&gt;&lt;date&gt;2014/12//&lt;/date&gt;&lt;/pub-dates&gt;&lt;/dates&gt;&lt;urls&gt;&lt;related-urls&gt;&lt;url&gt;http://doi.wiley.com/10.1111/faf.12041&lt;/url&gt;&lt;/related-urls&gt;&lt;/urls&gt;&lt;electronic-resource-num&gt;10.1111/faf.12041&lt;/electronic-resource-num&gt;&lt;/record&gt;&lt;/Cite&gt;&lt;/EndNote&gt;</w:instrText>
      </w:r>
      <w:r w:rsidRPr="009819CE">
        <w:rPr>
          <w:rFonts w:cstheme="minorBidi"/>
        </w:rPr>
        <w:fldChar w:fldCharType="separate"/>
      </w:r>
      <w:r w:rsidR="00D50EFF" w:rsidRPr="009819CE">
        <w:rPr>
          <w:rFonts w:cstheme="minorBidi"/>
        </w:rPr>
        <w:t>(</w:t>
      </w:r>
      <w:hyperlink w:anchor="_ENREF_141" w:tooltip="Howarth, 2014 #450" w:history="1">
        <w:r w:rsidR="00950097" w:rsidRPr="009819CE">
          <w:rPr>
            <w:rFonts w:cstheme="minorBidi"/>
          </w:rPr>
          <w:t>Howarth et al., 2014</w:t>
        </w:r>
      </w:hyperlink>
      <w:r w:rsidR="00D50EFF" w:rsidRPr="009819CE">
        <w:rPr>
          <w:rFonts w:cstheme="minorBidi"/>
        </w:rPr>
        <w:t>)</w:t>
      </w:r>
      <w:r w:rsidRPr="009819CE">
        <w:rPr>
          <w:rFonts w:cstheme="minorBidi"/>
        </w:rPr>
        <w:fldChar w:fldCharType="end"/>
      </w:r>
      <w:r w:rsidRPr="009819CE">
        <w:rPr>
          <w:rFonts w:cstheme="minorBidi"/>
        </w:rPr>
        <w:t xml:space="preserve">. Presently, </w:t>
      </w:r>
      <w:r w:rsidR="00C31E47" w:rsidRPr="009819CE">
        <w:rPr>
          <w:rFonts w:cstheme="minorBidi"/>
          <w:i/>
          <w:iCs/>
        </w:rPr>
        <w:t>Nephrops</w:t>
      </w:r>
      <w:r w:rsidRPr="009819CE">
        <w:rPr>
          <w:rFonts w:cstheme="minorBidi"/>
        </w:rPr>
        <w:t xml:space="preserve"> has become the most valuable species landed in Scotland, with the CSA contributing to approximately 84% of the total weight and 87% of the total value </w:t>
      </w:r>
      <w:r w:rsidRPr="009819CE">
        <w:rPr>
          <w:rFonts w:cstheme="minorBidi"/>
        </w:rPr>
        <w:fldChar w:fldCharType="begin"/>
      </w:r>
      <w:r w:rsidR="00D50EFF" w:rsidRPr="009819CE">
        <w:rPr>
          <w:rFonts w:cstheme="minorBidi"/>
        </w:rPr>
        <w:instrText xml:space="preserve"> ADDIN EN.CITE &lt;EndNote&gt;&lt;Cite&gt;&lt;Author&gt;Howarth&lt;/Author&gt;&lt;Year&gt;2014&lt;/Year&gt;&lt;RecNum&gt;450&lt;/RecNum&gt;&lt;DisplayText&gt;(Howarth et al., 2014)&lt;/DisplayText&gt;&lt;record&gt;&lt;rec-number&gt;450&lt;/rec-number&gt;&lt;foreign-keys&gt;&lt;key app="EN" db-id="sd9wrx9fj09rx3erprsx999o0r5aprvp2zse" timestamp="1687855901" guid="aa9bd981-781f-464d-89b7-9e6fef2ccf31"&gt;450&lt;/key&gt;&lt;/foreign-keys&gt;&lt;ref-type name="Journal Article"&gt;17&lt;/ref-type&gt;&lt;contributors&gt;&lt;authors&gt;&lt;author&gt;Howarth, Leigh M.&lt;/author&gt;&lt;author&gt;Roberts, Callum M.&lt;/author&gt;&lt;author&gt;Thurstan, Ruth H.&lt;/author&gt;&lt;author&gt;Stewart, Bryce D.&lt;/author&gt;&lt;/authors&gt;&lt;/contributors&gt;&lt;titles&gt;&lt;title&gt;The unintended consequences of simplifying the sea: making the case for complexity&lt;/title&gt;&lt;secondary-title&gt;Fish and Fisheries&lt;/secondary-title&gt;&lt;/titles&gt;&lt;periodical&gt;&lt;full-title&gt;Fish and Fisheries&lt;/full-title&gt;&lt;/periodical&gt;&lt;pages&gt;690-711&lt;/pages&gt;&lt;volume&gt;15&lt;/volume&gt;&lt;number&gt;4&lt;/number&gt;&lt;keywords&gt;&lt;keyword&gt;Ecosystem change&lt;/keyword&gt;&lt;keyword&gt;Fisheries&lt;/keyword&gt;&lt;keyword&gt;Invertebrates&lt;/keyword&gt;&lt;keyword&gt;Phase shift&lt;/keyword&gt;&lt;keyword&gt;Resilience&lt;/keyword&gt;&lt;keyword&gt;Simplification&lt;/keyword&gt;&lt;/keywords&gt;&lt;dates&gt;&lt;year&gt;2014&lt;/year&gt;&lt;pub-dates&gt;&lt;date&gt;2014/12//&lt;/date&gt;&lt;/pub-dates&gt;&lt;/dates&gt;&lt;urls&gt;&lt;related-urls&gt;&lt;url&gt;http://doi.wiley.com/10.1111/faf.12041&lt;/url&gt;&lt;/related-urls&gt;&lt;/urls&gt;&lt;electronic-resource-num&gt;10.1111/faf.12041&lt;/electronic-resource-num&gt;&lt;/record&gt;&lt;/Cite&gt;&lt;/EndNote&gt;</w:instrText>
      </w:r>
      <w:r w:rsidRPr="009819CE">
        <w:rPr>
          <w:rFonts w:cstheme="minorBidi"/>
        </w:rPr>
        <w:fldChar w:fldCharType="separate"/>
      </w:r>
      <w:r w:rsidR="00D50EFF" w:rsidRPr="009819CE">
        <w:rPr>
          <w:rFonts w:cstheme="minorBidi"/>
        </w:rPr>
        <w:t>(</w:t>
      </w:r>
      <w:hyperlink w:anchor="_ENREF_141" w:tooltip="Howarth, 2014 #450" w:history="1">
        <w:r w:rsidR="00950097" w:rsidRPr="009819CE">
          <w:rPr>
            <w:rFonts w:cstheme="minorBidi"/>
          </w:rPr>
          <w:t>Howarth et al., 2014</w:t>
        </w:r>
      </w:hyperlink>
      <w:r w:rsidR="00D50EFF" w:rsidRPr="009819CE">
        <w:rPr>
          <w:rFonts w:cstheme="minorBidi"/>
        </w:rPr>
        <w:t>)</w:t>
      </w:r>
      <w:r w:rsidRPr="009819CE">
        <w:rPr>
          <w:rFonts w:cstheme="minorBidi"/>
        </w:rPr>
        <w:fldChar w:fldCharType="end"/>
      </w:r>
      <w:r w:rsidRPr="009819CE">
        <w:rPr>
          <w:rFonts w:cstheme="minorBidi"/>
        </w:rPr>
        <w:t xml:space="preserve">. The remaining percentage comprises other invertebrates like scallops, crabs, and lobsters. Since 2003, the only demersal fish landings in the CSA have been incidental catches from the </w:t>
      </w:r>
      <w:r w:rsidR="00C31E47" w:rsidRPr="009819CE">
        <w:rPr>
          <w:rFonts w:cstheme="minorBidi"/>
          <w:i/>
          <w:iCs/>
        </w:rPr>
        <w:t>Nephrops</w:t>
      </w:r>
      <w:r w:rsidRPr="009819CE">
        <w:rPr>
          <w:rFonts w:cstheme="minorBidi"/>
        </w:rPr>
        <w:t xml:space="preserve"> fishery </w:t>
      </w:r>
      <w:r w:rsidRPr="009819CE">
        <w:rPr>
          <w:rFonts w:cstheme="minorBidi"/>
        </w:rPr>
        <w:fldChar w:fldCharType="begin"/>
      </w:r>
      <w:r w:rsidR="00D50EFF" w:rsidRPr="009819CE">
        <w:rPr>
          <w:rFonts w:cstheme="minorBidi"/>
        </w:rPr>
        <w:instrText xml:space="preserve"> ADDIN EN.CITE &lt;EndNote&gt;&lt;Cite&gt;&lt;Author&gt;Heath&lt;/Author&gt;&lt;Year&gt;2012&lt;/Year&gt;&lt;RecNum&gt;389&lt;/RecNum&gt;&lt;DisplayText&gt;(Heath and Speirs, 2012)&lt;/DisplayText&gt;&lt;record&gt;&lt;rec-number&gt;389&lt;/rec-number&gt;&lt;foreign-keys&gt;&lt;key app="EN" db-id="sd9wrx9fj09rx3erprsx999o0r5aprvp2zse" timestamp="1687855901" guid="5be05385-8547-4368-b11a-9944c078452c"&gt;389&lt;/key&gt;&lt;/foreign-keys&gt;&lt;ref-type name="Journal Article"&gt;17&lt;/ref-type&gt;&lt;contributors&gt;&lt;authors&gt;&lt;author&gt;Heath, M. R.&lt;/author&gt;&lt;author&gt;Speirs, D. C.&lt;/author&gt;&lt;/authors&gt;&lt;/contributors&gt;&lt;titles&gt;&lt;title&gt;Changes in species diversity and size composition in the Firth of Clyde demersal fish community (1927–2009)&lt;/title&gt;&lt;secondary-title&gt;Proceedings of the Royal Society B: Biological Sciences&lt;/secondary-title&gt;&lt;/titles&gt;&lt;periodical&gt;&lt;full-title&gt;Proceedings of the Royal Society B: Biological Sciences&lt;/full-title&gt;&lt;/periodical&gt;&lt;pages&gt;543-552&lt;/pages&gt;&lt;volume&gt;279&lt;/volume&gt;&lt;number&gt;1728&lt;/number&gt;&lt;keywords&gt;&lt;keyword&gt;Demersal community&lt;/keyword&gt;&lt;keyword&gt;Ecosystem state&lt;/keyword&gt;&lt;keyword&gt;Marine fisheries&lt;/keyword&gt;&lt;/keywords&gt;&lt;dates&gt;&lt;year&gt;2012&lt;/year&gt;&lt;pub-dates&gt;&lt;date&gt;2012/2//&lt;/date&gt;&lt;/pub-dates&gt;&lt;/dates&gt;&lt;urls&gt;&lt;related-urls&gt;&lt;url&gt;https://royalsocietypublishing.org/doi/10.1098/rspb.2011.1015&lt;/url&gt;&lt;/related-urls&gt;&lt;/urls&gt;&lt;electronic-resource-num&gt;10.1098/rspb.2011.1015&lt;/electronic-resource-num&gt;&lt;/record&gt;&lt;/Cite&gt;&lt;/EndNote&gt;</w:instrText>
      </w:r>
      <w:r w:rsidRPr="009819CE">
        <w:rPr>
          <w:rFonts w:cstheme="minorBidi"/>
        </w:rPr>
        <w:fldChar w:fldCharType="separate"/>
      </w:r>
      <w:r w:rsidR="00D50EFF" w:rsidRPr="009819CE">
        <w:rPr>
          <w:rFonts w:cstheme="minorBidi"/>
        </w:rPr>
        <w:t>(</w:t>
      </w:r>
      <w:hyperlink w:anchor="_ENREF_127" w:tooltip="Heath, 2012 #389" w:history="1">
        <w:r w:rsidR="00950097" w:rsidRPr="009819CE">
          <w:rPr>
            <w:rFonts w:cstheme="minorBidi"/>
          </w:rPr>
          <w:t>Heath and Speirs, 2012</w:t>
        </w:r>
      </w:hyperlink>
      <w:r w:rsidR="00D50EFF" w:rsidRPr="009819CE">
        <w:rPr>
          <w:rFonts w:cstheme="minorBidi"/>
        </w:rPr>
        <w:t>)</w:t>
      </w:r>
      <w:r w:rsidRPr="009819CE">
        <w:rPr>
          <w:rFonts w:cstheme="minorBidi"/>
        </w:rPr>
        <w:fldChar w:fldCharType="end"/>
      </w:r>
      <w:r w:rsidRPr="009819CE">
        <w:rPr>
          <w:rFonts w:cstheme="minorBidi"/>
        </w:rPr>
        <w:t xml:space="preserve">. </w:t>
      </w:r>
    </w:p>
    <w:p w14:paraId="77DCEDDD" w14:textId="11A58D2C" w:rsidR="001B0CD2" w:rsidRPr="009819CE" w:rsidRDefault="009E3573" w:rsidP="00B00405">
      <w:pPr>
        <w:rPr>
          <w:rFonts w:cstheme="minorBidi"/>
        </w:rPr>
        <w:sectPr w:rsidR="001B0CD2" w:rsidRPr="009819CE" w:rsidSect="001B0CD2">
          <w:pgSz w:w="11900" w:h="16840" w:code="9"/>
          <w:pgMar w:top="1440" w:right="1440" w:bottom="1440" w:left="1440" w:header="720" w:footer="720" w:gutter="0"/>
          <w:cols w:space="720"/>
          <w:docGrid w:linePitch="360"/>
        </w:sectPr>
      </w:pPr>
      <w:r>
        <w:t xml:space="preserve">Recent studies highlight the continued ecological significance and management challenges in the Clyde Sea Area (CSA). </w:t>
      </w:r>
      <w:hyperlink w:anchor="_ENREF_311" w:tooltip="Stewart, 2020 #1965" w:history="1">
        <w:r w:rsidR="00950097">
          <w:fldChar w:fldCharType="begin"/>
        </w:r>
        <w:r w:rsidR="00950097">
          <w:instrText xml:space="preserve"> ADDIN EN.CITE &lt;EndNote&gt;&lt;Cite AuthorYear="1"&gt;&lt;Author&gt;Stewart&lt;/Author&gt;&lt;Year&gt;2020&lt;/Year&gt;&lt;RecNum&gt;1965&lt;/RecNum&gt;&lt;DisplayText&gt;Stewart et al. (2020)&lt;/DisplayText&gt;&lt;record&gt;&lt;rec-number&gt;1965&lt;/rec-number&gt;&lt;foreign-keys&gt;&lt;key app="EN" db-id="sd9wrx9fj09rx3erprsx999o0r5aprvp2zse" timestamp="1751206868" guid="7b6fd79d-c102-4e0f-ba71-01004af17989"&gt;1965&lt;/key&gt;&lt;/foreign-keys&gt;&lt;ref-type name="Journal Article"&gt;17&lt;/ref-type&gt;&lt;contributors&gt;&lt;authors&gt;&lt;author&gt;Stewart, Bryce D.&lt;/author&gt;&lt;author&gt;Howarth, Leigh M.&lt;/author&gt;&lt;author&gt;Wood, Howard&lt;/author&gt;&lt;author&gt;Whiteside, Kerri&lt;/author&gt;&lt;author&gt;Carney, William&lt;/author&gt;&lt;author&gt;Crimmins, Éilís&lt;/author&gt;&lt;author&gt;O’Leary, Bethan C.&lt;/author&gt;&lt;author&gt;Hawkins, Julie P.&lt;/author&gt;&lt;author&gt;Roberts, Callum M.&lt;/author&gt;&lt;/authors&gt;&lt;/contributors&gt;&lt;titles&gt;&lt;title&gt;Marine conservation begins at home: how a local community and protection of a small bay sent waves of change around the UK and beyond&lt;/title&gt;&lt;secondary-title&gt;Frontiers in Marine Science&lt;/secondary-title&gt;&lt;/titles&gt;&lt;periodical&gt;&lt;full-title&gt;Frontiers in Marine Science&lt;/full-title&gt;&lt;/periodical&gt;&lt;volume&gt;7&lt;/volume&gt;&lt;dates&gt;&lt;year&gt;2020&lt;/year&gt;&lt;/dates&gt;&lt;publisher&gt;Frontiers in Marine Science&lt;/publisher&gt;&lt;isbn&gt;2296-7745&lt;/isbn&gt;&lt;urls&gt;&lt;related-urls&gt;&lt;url&gt;https://dx.doi.org/10.3389/fmars.2020.00076&lt;/url&gt;&lt;/related-urls&gt;&lt;/urls&gt;&lt;electronic-resource-num&gt;10.3389/fmars.2020.00076&lt;/electronic-resource-num&gt;&lt;/record&gt;&lt;/Cite&gt;&lt;/EndNote&gt;</w:instrText>
        </w:r>
        <w:r w:rsidR="00950097">
          <w:fldChar w:fldCharType="separate"/>
        </w:r>
        <w:r w:rsidR="00950097">
          <w:rPr>
            <w:noProof/>
          </w:rPr>
          <w:t>Stewart et al. (2020)</w:t>
        </w:r>
        <w:r w:rsidR="00950097">
          <w:fldChar w:fldCharType="end"/>
        </w:r>
      </w:hyperlink>
      <w:r w:rsidR="00CE14AF">
        <w:t xml:space="preserve"> </w:t>
      </w:r>
      <w:r w:rsidR="00E56DFF">
        <w:t>discussed</w:t>
      </w:r>
      <w:r>
        <w:t xml:space="preserve"> the historical degradation of benthic habitats due to intensive bottom trawling and scallop dredging, emphasizing the need for spatial protection to support demersal fish recovery.</w:t>
      </w:r>
      <w:r w:rsidR="00CE14AF">
        <w:t xml:space="preserve"> </w:t>
      </w:r>
      <w:hyperlink w:anchor="_ENREF_171" w:tooltip="Lawrence, 2021 #1964" w:history="1">
        <w:r w:rsidR="00950097">
          <w:fldChar w:fldCharType="begin"/>
        </w:r>
        <w:r w:rsidR="00950097">
          <w:instrText xml:space="preserve"> ADDIN EN.CITE &lt;EndNote&gt;&lt;Cite AuthorYear="1"&gt;&lt;Author&gt;Lawrence&lt;/Author&gt;&lt;Year&gt;2021&lt;/Year&gt;&lt;RecNum&gt;1964&lt;/RecNum&gt;&lt;DisplayText&gt;Lawrence and Fernandes (2021)&lt;/DisplayText&gt;&lt;record&gt;&lt;rec-number&gt;1964&lt;/rec-number&gt;&lt;foreign-keys&gt;&lt;key app="EN" db-id="sd9wrx9fj09rx3erprsx999o0r5aprvp2zse" timestamp="1751206481" guid="9781b7b4-48a7-4a79-8978-583bdd4eaabc"&gt;1964&lt;/key&gt;&lt;/foreign-keys&gt;&lt;ref-type name="Journal Article"&gt;17&lt;/ref-type&gt;&lt;contributors&gt;&lt;authors&gt;&lt;author&gt;Lawrence, Joshua M.&lt;/author&gt;&lt;author&gt;Fernandes, Paul G.&lt;/author&gt;&lt;/authors&gt;&lt;/contributors&gt;&lt;titles&gt;&lt;title&gt;A switch in species dominance of a recovering pelagic ecosystem&lt;/title&gt;&lt;secondary-title&gt;Current Biology&lt;/secondary-title&gt;&lt;/titles&gt;&lt;periodical&gt;&lt;full-title&gt;Current Biology&lt;/full-title&gt;&lt;/periodical&gt;&lt;pages&gt;4354-4360.e3&lt;/pages&gt;&lt;volume&gt;31&lt;/volume&gt;&lt;number&gt;19&lt;/number&gt;&lt;keywords&gt;&lt;keyword&gt;marine ecology&lt;/keyword&gt;&lt;keyword&gt;forage fish&lt;/keyword&gt;&lt;keyword&gt;ecosystem recovery&lt;/keyword&gt;&lt;keyword&gt;anthropogenic impacts&lt;/keyword&gt;&lt;keyword&gt;fishery acoustics&lt;/keyword&gt;&lt;keyword&gt;geostatistics&lt;/keyword&gt;&lt;keyword&gt;fishery management&lt;/keyword&gt;&lt;/keywords&gt;&lt;dates&gt;&lt;year&gt;2021&lt;/year&gt;&lt;pub-dates&gt;&lt;date&gt;2021/10/11/&lt;/date&gt;&lt;/pub-dates&gt;&lt;/dates&gt;&lt;isbn&gt;0960-9822&lt;/isbn&gt;&lt;urls&gt;&lt;related-urls&gt;&lt;url&gt;https://www.sciencedirect.com/science/article/pii/S0960982221009751&lt;/url&gt;&lt;/related-urls&gt;&lt;/urls&gt;&lt;electronic-resource-num&gt;https://doi.org/10.1016/j.cub.2021.07.020&lt;/electronic-resource-num&gt;&lt;/record&gt;&lt;/Cite&gt;&lt;/EndNote&gt;</w:instrText>
        </w:r>
        <w:r w:rsidR="00950097">
          <w:fldChar w:fldCharType="separate"/>
        </w:r>
        <w:r w:rsidR="00950097">
          <w:rPr>
            <w:noProof/>
          </w:rPr>
          <w:t>Lawrence and Fernandes (2021)</w:t>
        </w:r>
        <w:r w:rsidR="00950097">
          <w:fldChar w:fldCharType="end"/>
        </w:r>
      </w:hyperlink>
      <w:r>
        <w:t xml:space="preserve"> further documented limited recovery in the size and age structure of key demersal species, such as cod and haddock, despite reduced fishing pressure, suggesting that ecosystem resilience remains constrained by habitat quality and historical overexploitation. Complementing these findings, </w:t>
      </w:r>
      <w:hyperlink w:anchor="_ENREF_57" w:tooltip="Coram, 2022 #1966" w:history="1">
        <w:r w:rsidR="00950097">
          <w:fldChar w:fldCharType="begin"/>
        </w:r>
        <w:r w:rsidR="00950097">
          <w:instrText xml:space="preserve"> ADDIN EN.CITE &lt;EndNote&gt;&lt;Cite AuthorYear="1"&gt;&lt;Author&gt;Coram&lt;/Author&gt;&lt;Year&gt;2022&lt;/Year&gt;&lt;RecNum&gt;1966&lt;/RecNum&gt;&lt;DisplayText&gt;Coram et al. (2022)&lt;/DisplayText&gt;&lt;record&gt;&lt;rec-number&gt;1966&lt;/rec-number&gt;&lt;foreign-keys&gt;&lt;key app="EN" db-id="sd9wrx9fj09rx3erprsx999o0r5aprvp2zse" timestamp="1751207137" guid="56cfbdee-4d52-4bfa-99e5-5068412c0adc"&gt;1966&lt;/key&gt;&lt;/foreign-keys&gt;&lt;ref-type name="Report"&gt;27&lt;/ref-type&gt;&lt;contributors&gt;&lt;authors&gt;&lt;author&gt;Coram, A., &lt;/author&gt;&lt;author&gt;Kingston, A.&lt;/author&gt;&lt;author&gt;Northridge, S.&lt;/author&gt;&lt;/authors&gt;&lt;secondary-authors&gt;&lt;author&gt;Marine Alliance for Science and Technology for Scotland (MASTS)&lt;/author&gt;&lt;/secondary-authors&gt;&lt;tertiary-authors&gt;&lt;author&gt;Marine Alliance for Science and Technology for Scotland (MASTS)&lt;/author&gt;&lt;/tertiary-authors&gt;&lt;/contributors&gt;&lt;titles&gt;&lt;title&gt;Cod catches from demersal and pelagic trawl gears in the Clyde estuary: results from an industry-led survey in 2016: a report on behalf of the Clyde Fishermen’s Association.&lt;/title&gt;&lt;/titles&gt;&lt;pages&gt;21&lt;/pages&gt;&lt;dates&gt;&lt;year&gt;2022&lt;/year&gt;&lt;/dates&gt;&lt;publisher&gt;Marine Alliance for Science and Technology for Scotland (MASTS)&lt;/publisher&gt;&lt;urls&gt;&lt;related-urls&gt;&lt;url&gt;https://hdl.handle.net/10023/26247&lt;/url&gt;&lt;/related-urls&gt;&lt;/urls&gt;&lt;electronic-resource-num&gt;https://doi.org/10.15664/10023.26247&lt;/electronic-resource-num&gt;&lt;/record&gt;&lt;/Cite&gt;&lt;/EndNote&gt;</w:instrText>
        </w:r>
        <w:r w:rsidR="00950097">
          <w:fldChar w:fldCharType="separate"/>
        </w:r>
        <w:r w:rsidR="00950097">
          <w:rPr>
            <w:noProof/>
          </w:rPr>
          <w:t>Coram et al. (2022)</w:t>
        </w:r>
        <w:r w:rsidR="00950097">
          <w:fldChar w:fldCharType="end"/>
        </w:r>
      </w:hyperlink>
      <w:r w:rsidR="00BB4D53">
        <w:t xml:space="preserve"> </w:t>
      </w:r>
      <w:r>
        <w:t>evaluated community-led marine protection efforts, including no-take zones and locally managed areas, demonstrating their potential to enhance biodiversity and rebuild ecological functions within the CSA. Together, these studies reaffirm the ecological importance of the CSA while advocating for more ambitious, ecosystem-based management strategies.</w:t>
      </w:r>
    </w:p>
    <w:p w14:paraId="4B8EA42F" w14:textId="081D1A19" w:rsidR="002773A2" w:rsidRPr="009819CE" w:rsidRDefault="008C127C" w:rsidP="009C3F77">
      <w:pPr>
        <w:pStyle w:val="Heading2"/>
        <w:numPr>
          <w:ilvl w:val="1"/>
          <w:numId w:val="22"/>
        </w:numPr>
        <w:rPr>
          <w:rFonts w:cstheme="minorBidi"/>
        </w:rPr>
      </w:pPr>
      <w:bookmarkStart w:id="73" w:name="_Ref81512118"/>
      <w:bookmarkStart w:id="74" w:name="_Toc94799244"/>
      <w:bookmarkStart w:id="75" w:name="_Ref81566293"/>
      <w:bookmarkStart w:id="76" w:name="_Toc94799235"/>
      <w:r>
        <w:t xml:space="preserve"> </w:t>
      </w:r>
      <w:bookmarkStart w:id="77" w:name="_Toc204106597"/>
      <w:r w:rsidR="009D03F4" w:rsidRPr="009819CE">
        <w:rPr>
          <w:rFonts w:cstheme="minorBidi"/>
          <w:i/>
          <w:iCs/>
        </w:rPr>
        <w:t>Hematodinium</w:t>
      </w:r>
      <w:bookmarkEnd w:id="77"/>
    </w:p>
    <w:p w14:paraId="3D438558" w14:textId="21814E13" w:rsidR="00DD3C14" w:rsidRPr="009819CE" w:rsidRDefault="009D03F4" w:rsidP="00DD3C14">
      <w:pPr>
        <w:rPr>
          <w:rFonts w:eastAsia="Calibri" w:cstheme="minorBidi"/>
          <w:i/>
        </w:rPr>
      </w:pPr>
      <w:r w:rsidRPr="009819CE">
        <w:rPr>
          <w:rFonts w:cstheme="minorBidi"/>
          <w:i/>
        </w:rPr>
        <w:t>Hematodinium</w:t>
      </w:r>
      <w:r w:rsidR="00DD3C14" w:rsidRPr="009819CE">
        <w:rPr>
          <w:rFonts w:cstheme="minorBidi"/>
        </w:rPr>
        <w:t xml:space="preserve"> is an endoparasitic dinoflagellate that belongs to the family </w:t>
      </w:r>
      <w:r w:rsidR="00DD3C14" w:rsidRPr="009819CE">
        <w:rPr>
          <w:rFonts w:cstheme="minorBidi"/>
          <w:i/>
        </w:rPr>
        <w:t>Syndiniceae</w:t>
      </w:r>
      <w:r w:rsidR="00DD3C14" w:rsidRPr="009819CE">
        <w:rPr>
          <w:rFonts w:cstheme="minorBidi"/>
        </w:rPr>
        <w:t xml:space="preserve">, order </w:t>
      </w:r>
      <w:r w:rsidR="00DD3C14" w:rsidRPr="009819CE">
        <w:rPr>
          <w:rFonts w:cstheme="minorBidi"/>
          <w:i/>
        </w:rPr>
        <w:t>Syndinida</w:t>
      </w:r>
      <w:r w:rsidR="00DD3C14" w:rsidRPr="009819CE">
        <w:rPr>
          <w:rFonts w:cstheme="minorBidi"/>
        </w:rPr>
        <w:t xml:space="preserve">, and class </w:t>
      </w:r>
      <w:r w:rsidR="00DD3C14" w:rsidRPr="009819CE">
        <w:rPr>
          <w:rFonts w:cstheme="minorBidi"/>
          <w:i/>
        </w:rPr>
        <w:t>Dinophyceae</w:t>
      </w:r>
      <w:r w:rsidR="00DD3C14" w:rsidRPr="009819CE">
        <w:rPr>
          <w:rFonts w:cstheme="minorBidi"/>
        </w:rPr>
        <w:t xml:space="preserve">. </w:t>
      </w:r>
      <w:r w:rsidR="00CE2EA8" w:rsidRPr="00FA7D47">
        <w:t xml:space="preserve">Dinoflagellates are a diverse group of mostly marine, single-celled protists, typically characterized by two flagella and complex cell coverings. While many are free-living and contribute to primary production in marine ecosystems, others, like </w:t>
      </w:r>
      <w:r w:rsidR="00CE2EA8" w:rsidRPr="00FA7D47">
        <w:rPr>
          <w:rStyle w:val="Emphasis"/>
          <w:rFonts w:eastAsiaTheme="majorEastAsia"/>
        </w:rPr>
        <w:t>Hematodinium</w:t>
      </w:r>
      <w:r w:rsidR="00CE2EA8" w:rsidRPr="00FA7D47">
        <w:t xml:space="preserve">, are parasitic. </w:t>
      </w:r>
      <w:r w:rsidR="00A20D1B" w:rsidRPr="00FA7D47">
        <w:rPr>
          <w:rStyle w:val="Emphasis"/>
          <w:rFonts w:eastAsiaTheme="majorEastAsia"/>
        </w:rPr>
        <w:t>Hematodinium</w:t>
      </w:r>
      <w:r w:rsidR="00A20D1B" w:rsidRPr="00FA7D47">
        <w:t xml:space="preserve"> </w:t>
      </w:r>
      <w:r w:rsidR="00DD3C14" w:rsidRPr="009819CE">
        <w:rPr>
          <w:rFonts w:cstheme="minorBidi"/>
        </w:rPr>
        <w:t xml:space="preserve"> is exclusively found infecting marine crustaceans </w:t>
      </w:r>
      <w:r w:rsidR="00DD3C14" w:rsidRPr="009819CE">
        <w:rPr>
          <w:rFonts w:cstheme="minorBidi"/>
        </w:rPr>
        <w:fldChar w:fldCharType="begin"/>
      </w:r>
      <w:r w:rsidR="00D50EFF" w:rsidRPr="009819CE">
        <w:rPr>
          <w:rFonts w:cstheme="minorBidi"/>
        </w:rPr>
        <w:instrText xml:space="preserve"> ADDIN EN.CITE &lt;EndNote&gt;&lt;Cite&gt;&lt;Author&gt;Shields&lt;/Author&gt;&lt;Year&gt;1994&lt;/Year&gt;&lt;RecNum&gt;100&lt;/RecNum&gt;&lt;DisplayText&gt;(Shields, 1994)&lt;/DisplayText&gt;&lt;record&gt;&lt;rec-number&gt;100&lt;/rec-number&gt;&lt;foreign-keys&gt;&lt;key app="EN" db-id="sd9wrx9fj09rx3erprsx999o0r5aprvp2zse" timestamp="1687855901" guid="e7949e2d-78a2-4920-aa7e-b3655adbb6b5"&gt;100&lt;/key&gt;&lt;/foreign-keys&gt;&lt;ref-type name="Journal Article"&gt;17&lt;/ref-type&gt;&lt;contributors&gt;&lt;authors&gt;&lt;author&gt;Shields, Jeffrey D.&lt;/author&gt;&lt;/authors&gt;&lt;/contributors&gt;&lt;titles&gt;&lt;title&gt;The parasitic dinoflagellates of marine crustaceans&lt;/title&gt;&lt;secondary-title&gt;Annual Review of Fish Diseases&lt;/secondary-title&gt;&lt;/titles&gt;&lt;periodical&gt;&lt;full-title&gt;Annual Review of Fish Diseases&lt;/full-title&gt;&lt;/periodical&gt;&lt;pages&gt;241-271&lt;/pages&gt;&lt;volume&gt;4&lt;/volume&gt;&lt;keywords&gt;&lt;keyword&gt;Actinodinium&lt;/keyword&gt;&lt;keyword&gt;Atelodinium&lt;/keyword&gt;&lt;keyword&gt;Blastodinium&lt;/keyword&gt;&lt;keyword&gt;Chytriodinium&lt;/keyword&gt;&lt;keyword&gt;Dissodinium&lt;/keyword&gt;&lt;keyword&gt;Ellobiocystis&lt;/keyword&gt;&lt;keyword&gt;Ellobiopsis&lt;/keyword&gt;&lt;keyword&gt;Epizootiology&lt;/keyword&gt;&lt;keyword&gt;Hematodinium&lt;/keyword&gt;&lt;keyword&gt;Life cycle&lt;/keyword&gt;&lt;keyword&gt;Paradinium&lt;/keyword&gt;&lt;keyword&gt;Parallobiopsis&lt;/keyword&gt;&lt;keyword&gt;Pathology&lt;/keyword&gt;&lt;keyword&gt;Rhizellobiopsis&lt;/keyword&gt;&lt;keyword&gt;Schizochytriodinium&lt;/keyword&gt;&lt;keyword&gt;Syltodinium&lt;/keyword&gt;&lt;keyword&gt;Syndinium&lt;/keyword&gt;&lt;keyword&gt;Taxonomy&lt;/keyword&gt;&lt;keyword&gt;Thalassomyces&lt;/keyword&gt;&lt;keyword&gt;Trypanodinium&lt;/keyword&gt;&lt;/keywords&gt;&lt;dates&gt;&lt;year&gt;1994&lt;/year&gt;&lt;pub-dates&gt;&lt;date&gt;1994/1//&lt;/date&gt;&lt;/pub-dates&gt;&lt;/dates&gt;&lt;urls&gt;&lt;related-urls&gt;&lt;url&gt;https://linkinghub.elsevier.com/retrieve/pii/0959803094900310&lt;/url&gt;&lt;url&gt;https://www.sciencedirect.com/science/article/abs/pii/0959803094900310?via%3Dihub&lt;/url&gt;&lt;/related-urls&gt;&lt;/urls&gt;&lt;electronic-resource-num&gt;10.1016/0959-8030(94)90031-0&lt;/electronic-resource-num&gt;&lt;/record&gt;&lt;/Cite&gt;&lt;/EndNote&gt;</w:instrText>
      </w:r>
      <w:r w:rsidR="00DD3C14" w:rsidRPr="009819CE">
        <w:rPr>
          <w:rFonts w:cstheme="minorBidi"/>
        </w:rPr>
        <w:fldChar w:fldCharType="separate"/>
      </w:r>
      <w:r w:rsidR="00D50EFF" w:rsidRPr="009819CE">
        <w:rPr>
          <w:rFonts w:cstheme="minorBidi"/>
        </w:rPr>
        <w:t>(</w:t>
      </w:r>
      <w:hyperlink w:anchor="_ENREF_278" w:tooltip="Shields, 1994 #100" w:history="1">
        <w:r w:rsidR="00950097" w:rsidRPr="009819CE">
          <w:rPr>
            <w:rFonts w:cstheme="minorBidi"/>
          </w:rPr>
          <w:t>Shields, 1994</w:t>
        </w:r>
      </w:hyperlink>
      <w:r w:rsidR="00D50EFF" w:rsidRPr="009819CE">
        <w:rPr>
          <w:rFonts w:cstheme="minorBidi"/>
        </w:rPr>
        <w:t>)</w:t>
      </w:r>
      <w:r w:rsidR="00DD3C14" w:rsidRPr="009819CE">
        <w:rPr>
          <w:rFonts w:cstheme="minorBidi"/>
        </w:rPr>
        <w:fldChar w:fldCharType="end"/>
      </w:r>
      <w:r w:rsidR="00DD3C14" w:rsidRPr="009819CE">
        <w:rPr>
          <w:rFonts w:cstheme="minorBidi"/>
        </w:rPr>
        <w:t xml:space="preserve">. The discovery of </w:t>
      </w:r>
      <w:r w:rsidRPr="009819CE">
        <w:rPr>
          <w:rFonts w:cstheme="minorBidi"/>
          <w:i/>
        </w:rPr>
        <w:t>Hematodinium</w:t>
      </w:r>
      <w:r w:rsidR="00DD3C14" w:rsidRPr="009819CE">
        <w:rPr>
          <w:rFonts w:cstheme="minorBidi"/>
        </w:rPr>
        <w:t xml:space="preserve"> </w:t>
      </w:r>
      <w:r w:rsidR="00843F60" w:rsidRPr="009819CE">
        <w:rPr>
          <w:rFonts w:cstheme="minorBidi"/>
        </w:rPr>
        <w:t>was firstly reported by</w:t>
      </w:r>
      <w:r w:rsidR="00DD3C14" w:rsidRPr="009819CE">
        <w:rPr>
          <w:rFonts w:cstheme="minorBidi"/>
        </w:rPr>
        <w:t xml:space="preserve"> </w:t>
      </w:r>
      <w:hyperlink w:anchor="_ENREF_45" w:tooltip="Chatton, 1930 #185" w:history="1">
        <w:r w:rsidR="00950097" w:rsidRPr="009819CE">
          <w:rPr>
            <w:rFonts w:cstheme="minorBidi"/>
          </w:rPr>
          <w:fldChar w:fldCharType="begin"/>
        </w:r>
        <w:r w:rsidR="00950097" w:rsidRPr="009819CE">
          <w:rPr>
            <w:rFonts w:cstheme="minorBidi"/>
          </w:rPr>
          <w:instrText xml:space="preserve"> ADDIN EN.CITE &lt;EndNote&gt;&lt;Cite AuthorYear="1"&gt;&lt;Author&gt;Chatton&lt;/Author&gt;&lt;Year&gt;1930&lt;/Year&gt;&lt;RecNum&gt;185&lt;/RecNum&gt;&lt;DisplayText&gt;Chatton and Poisson (1930)&lt;/DisplayText&gt;&lt;record&gt;&lt;rec-number&gt;185&lt;/rec-number&gt;&lt;foreign-keys&gt;&lt;key app="EN" db-id="sd9wrx9fj09rx3erprsx999o0r5aprvp2zse" timestamp="1687855901" guid="7eb96e25-48d1-4215-aa87-a7dd6d795309"&gt;185&lt;/key&gt;&lt;/foreign-keys&gt;&lt;ref-type name="Book"&gt;6&lt;/ref-type&gt;&lt;contributors&gt;&lt;authors&gt;&lt;author&gt;Chatton, E.&lt;/author&gt;&lt;author&gt;Poisson, R.&lt;/author&gt;&lt;/authors&gt;&lt;/contributors&gt;&lt;titles&gt;&lt;title&gt;&lt;style face="normal" font="default" size="100%"&gt;The existence, in blood of crabs, dinoflagellate parasite: &lt;/style&gt;&lt;style face="italic" font="default" size="100%"&gt;Hematodinium perezi &lt;/style&gt;&lt;style face="normal" font="default" size="100%"&gt;n.g. s.sp. (&lt;/style&gt;&lt;style face="italic" font="default" size="100%"&gt;Syndinidae&lt;/style&gt;&lt;style face="normal" font="default" size="100%"&gt;)&lt;/style&gt;&lt;/title&gt;&lt;secondary-title&gt;Comptes Rendus des Seances de la Societe de Biologie et de Ses Filiales&lt;/secondary-title&gt;&lt;/titles&gt;&lt;pages&gt;553-557&lt;/pages&gt;&lt;volume&gt;105&lt;/volume&gt;&lt;dates&gt;&lt;year&gt;1930&lt;/year&gt;&lt;/dates&gt;&lt;publisher&gt;La Societe De Biologie Et De Ses Filiales&lt;/publisher&gt;&lt;urls&gt;&lt;/urls&gt;&lt;/record&gt;&lt;/Cite&gt;&lt;/EndNote&gt;</w:instrText>
        </w:r>
        <w:r w:rsidR="00950097" w:rsidRPr="009819CE">
          <w:rPr>
            <w:rFonts w:cstheme="minorBidi"/>
          </w:rPr>
          <w:fldChar w:fldCharType="separate"/>
        </w:r>
        <w:r w:rsidR="00950097" w:rsidRPr="001F4A34">
          <w:rPr>
            <w:rFonts w:cstheme="minorBidi"/>
          </w:rPr>
          <w:t>Chatton and Poisson (1930)</w:t>
        </w:r>
        <w:r w:rsidR="00950097" w:rsidRPr="009819CE">
          <w:rPr>
            <w:rFonts w:cstheme="minorBidi"/>
          </w:rPr>
          <w:fldChar w:fldCharType="end"/>
        </w:r>
      </w:hyperlink>
      <w:r w:rsidR="00DD3C14" w:rsidRPr="009819CE">
        <w:rPr>
          <w:rFonts w:cstheme="minorBidi"/>
        </w:rPr>
        <w:t>, who described its presence in green shore crabs (</w:t>
      </w:r>
      <w:r w:rsidR="00DD3C14" w:rsidRPr="009819CE">
        <w:rPr>
          <w:rFonts w:cstheme="minorBidi"/>
          <w:i/>
        </w:rPr>
        <w:t>Carcinus maenas</w:t>
      </w:r>
      <w:r w:rsidR="00DD3C14" w:rsidRPr="009819CE">
        <w:rPr>
          <w:rFonts w:cstheme="minorBidi"/>
        </w:rPr>
        <w:t>) and harbour crabs (</w:t>
      </w:r>
      <w:r w:rsidR="00DD3C14" w:rsidRPr="009819CE">
        <w:rPr>
          <w:rFonts w:cstheme="minorBidi"/>
          <w:i/>
        </w:rPr>
        <w:t>Liocarcinus depurator)</w:t>
      </w:r>
      <w:r w:rsidR="00843F60" w:rsidRPr="009819CE">
        <w:rPr>
          <w:rFonts w:cstheme="minorBidi"/>
          <w:i/>
        </w:rPr>
        <w:t xml:space="preserve"> </w:t>
      </w:r>
      <w:r w:rsidR="00DD3C14" w:rsidRPr="009819CE">
        <w:rPr>
          <w:rFonts w:cstheme="minorBidi"/>
        </w:rPr>
        <w:t xml:space="preserve">along the coasts of Normandy and France. Since then, similar </w:t>
      </w:r>
      <w:r w:rsidRPr="009819CE">
        <w:rPr>
          <w:rFonts w:cstheme="minorBidi"/>
          <w:i/>
          <w:iCs/>
        </w:rPr>
        <w:t>Hematodinium</w:t>
      </w:r>
      <w:r w:rsidR="00F504BB" w:rsidRPr="00FA7D47">
        <w:rPr>
          <w:rFonts w:cstheme="minorBidi"/>
          <w:i/>
          <w:iCs/>
        </w:rPr>
        <w:t xml:space="preserve"> </w:t>
      </w:r>
      <w:r w:rsidR="00F504BB" w:rsidRPr="001F4A34">
        <w:rPr>
          <w:rFonts w:cstheme="minorBidi"/>
        </w:rPr>
        <w:t>spp.</w:t>
      </w:r>
      <w:r w:rsidR="00DD3C14" w:rsidRPr="009819CE">
        <w:rPr>
          <w:rFonts w:cstheme="minorBidi"/>
        </w:rPr>
        <w:t xml:space="preserve"> parasites have been identified in over 40 crustacean species, both commercially and non-commercially important, across various regions worldwide </w:t>
      </w:r>
      <w:r w:rsidR="00DD3C14" w:rsidRPr="009819CE">
        <w:rPr>
          <w:rFonts w:cstheme="minorBidi"/>
          <w:shd w:val="clear" w:color="auto" w:fill="FFFFFF"/>
        </w:rPr>
        <w:t>(</w:t>
      </w:r>
      <w:r w:rsidR="00DD3C14" w:rsidRPr="009819CE">
        <w:rPr>
          <w:rFonts w:cstheme="minorBidi"/>
        </w:rPr>
        <w:t xml:space="preserve">see </w:t>
      </w:r>
      <w:r w:rsidR="00DD3C14" w:rsidRPr="009819CE">
        <w:rPr>
          <w:rFonts w:cstheme="minorBidi"/>
          <w:b/>
          <w:bCs/>
        </w:rPr>
        <w:fldChar w:fldCharType="begin"/>
      </w:r>
      <w:r w:rsidR="00DD3C14" w:rsidRPr="009819CE">
        <w:rPr>
          <w:rFonts w:cstheme="minorBidi"/>
          <w:b/>
          <w:bCs/>
        </w:rPr>
        <w:instrText xml:space="preserve"> REF _Ref81511849 \h  \* MERGEFORMAT </w:instrText>
      </w:r>
      <w:r w:rsidR="00DD3C14" w:rsidRPr="009819CE">
        <w:rPr>
          <w:rFonts w:cstheme="minorBidi"/>
          <w:b/>
          <w:bCs/>
        </w:rPr>
      </w:r>
      <w:r w:rsidR="00DD3C14" w:rsidRPr="009819CE">
        <w:rPr>
          <w:rFonts w:cstheme="minorBidi"/>
          <w:b/>
          <w:bCs/>
        </w:rPr>
        <w:fldChar w:fldCharType="separate"/>
      </w:r>
      <w:r w:rsidR="008549FC" w:rsidRPr="008549FC">
        <w:rPr>
          <w:rFonts w:cstheme="minorBidi"/>
          <w:b/>
          <w:bCs/>
        </w:rPr>
        <w:t>Figure 1.6</w:t>
      </w:r>
      <w:r w:rsidR="00DD3C14" w:rsidRPr="009819CE">
        <w:rPr>
          <w:rFonts w:cstheme="minorBidi"/>
          <w:b/>
          <w:bCs/>
        </w:rPr>
        <w:fldChar w:fldCharType="end"/>
      </w:r>
      <w:r w:rsidR="00DD3C14" w:rsidRPr="009819CE">
        <w:rPr>
          <w:rFonts w:cstheme="minorBidi"/>
        </w:rPr>
        <w:t xml:space="preserve">) </w:t>
      </w:r>
      <w:r w:rsidR="00DD3C14" w:rsidRPr="009819CE">
        <w:rPr>
          <w:rFonts w:cstheme="minorBidi"/>
        </w:rPr>
        <w:fldChar w:fldCharType="begin">
          <w:fldData xml:space="preserve">PEVuZE5vdGU+PENpdGU+PEF1dGhvcj5MaTwvQXV0aG9yPjxZZWFyPjIwMjE8L1llYXI+PFJlY051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PEVuZE5vdGU+PENpdGU+PEF1dGhvcj5MaTwvQXV0aG9yPjxZZWFyPjIwMjE8L1llYXI+PFJlY051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DD3C14" w:rsidRPr="009819CE">
        <w:rPr>
          <w:rFonts w:cstheme="minorBidi"/>
        </w:rPr>
      </w:r>
      <w:r w:rsidR="00DD3C14" w:rsidRPr="009819CE">
        <w:rPr>
          <w:rFonts w:cstheme="minorBidi"/>
        </w:rPr>
        <w:fldChar w:fldCharType="separate"/>
      </w:r>
      <w:r w:rsidR="00D50EFF" w:rsidRPr="001F4A34">
        <w:rPr>
          <w:rFonts w:cstheme="minorBidi"/>
        </w:rPr>
        <w:t>(</w:t>
      </w:r>
      <w:hyperlink w:anchor="_ENREF_175" w:tooltip="Li, 2021 #453" w:history="1">
        <w:r w:rsidR="00950097" w:rsidRPr="001F4A34">
          <w:rPr>
            <w:rFonts w:cstheme="minorBidi"/>
          </w:rPr>
          <w:t>Li et al., 2021a</w:t>
        </w:r>
      </w:hyperlink>
      <w:r w:rsidR="00D50EFF" w:rsidRPr="001F4A34">
        <w:rPr>
          <w:rFonts w:cstheme="minorBidi"/>
        </w:rPr>
        <w:t xml:space="preserve">; </w:t>
      </w:r>
      <w:hyperlink w:anchor="_ENREF_310" w:tooltip="Stentiford, 2005 #156" w:history="1">
        <w:r w:rsidR="00950097" w:rsidRPr="001F4A34">
          <w:rPr>
            <w:rFonts w:cstheme="minorBidi"/>
          </w:rPr>
          <w:t>Stentiford and Shields, 2005</w:t>
        </w:r>
      </w:hyperlink>
      <w:r w:rsidR="00D50EFF" w:rsidRPr="001F4A34">
        <w:rPr>
          <w:rFonts w:cstheme="minorBidi"/>
        </w:rPr>
        <w:t>)</w:t>
      </w:r>
      <w:r w:rsidR="00DD3C14" w:rsidRPr="009819CE">
        <w:rPr>
          <w:rFonts w:cstheme="minorBidi"/>
        </w:rPr>
        <w:fldChar w:fldCharType="end"/>
      </w:r>
      <w:r w:rsidR="00DD3C14" w:rsidRPr="009819CE">
        <w:rPr>
          <w:rFonts w:cstheme="minorBidi"/>
        </w:rPr>
        <w:t>.</w:t>
      </w:r>
      <w:r w:rsidR="00DD3C14" w:rsidRPr="009819CE">
        <w:rPr>
          <w:rFonts w:cstheme="minorBidi"/>
          <w:i/>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2773A2" w:rsidRPr="00FA7D47" w14:paraId="01F8B426" w14:textId="77777777" w:rsidTr="007D6607">
        <w:tc>
          <w:tcPr>
            <w:tcW w:w="5000" w:type="pct"/>
            <w:hideMark/>
          </w:tcPr>
          <w:p w14:paraId="628E239A" w14:textId="77777777" w:rsidR="002773A2" w:rsidRPr="009819CE" w:rsidRDefault="002773A2" w:rsidP="007D6607">
            <w:pPr>
              <w:spacing w:before="0" w:after="0"/>
              <w:rPr>
                <w:rFonts w:cstheme="minorBidi"/>
                <w:lang w:val="en-GB"/>
                <w14:ligatures w14:val="none"/>
              </w:rPr>
            </w:pPr>
            <w:r w:rsidRPr="00FF34FE">
              <w:rPr>
                <w:rFonts w:cstheme="minorBidi"/>
                <w:noProof/>
              </w:rPr>
              <w:drawing>
                <wp:inline distT="0" distB="0" distL="0" distR="0" wp14:anchorId="1DBF2937" wp14:editId="103A69C3">
                  <wp:extent cx="5479525" cy="2427515"/>
                  <wp:effectExtent l="0" t="0" r="6985" b="0"/>
                  <wp:docPr id="1471529703" name="Picture 147152970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p&#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44458" cy="2456281"/>
                          </a:xfrm>
                          <a:prstGeom prst="rect">
                            <a:avLst/>
                          </a:prstGeom>
                          <a:noFill/>
                          <a:ln>
                            <a:noFill/>
                          </a:ln>
                        </pic:spPr>
                      </pic:pic>
                    </a:graphicData>
                  </a:graphic>
                </wp:inline>
              </w:drawing>
            </w:r>
          </w:p>
        </w:tc>
      </w:tr>
      <w:tr w:rsidR="002773A2" w:rsidRPr="00FA7D47" w14:paraId="21101F48" w14:textId="77777777" w:rsidTr="007D6607">
        <w:tc>
          <w:tcPr>
            <w:tcW w:w="5000" w:type="pct"/>
            <w:hideMark/>
          </w:tcPr>
          <w:p w14:paraId="3D23CA2E" w14:textId="3C29F7F1" w:rsidR="002773A2" w:rsidRPr="009819CE" w:rsidRDefault="002773A2" w:rsidP="007D6607">
            <w:pPr>
              <w:spacing w:before="0" w:after="0"/>
              <w:rPr>
                <w:rFonts w:eastAsia="Calibri" w:cstheme="minorBidi"/>
                <w:iCs/>
                <w:color w:val="000000"/>
                <w:sz w:val="22"/>
                <w:szCs w:val="22"/>
                <w:lang w:val="en-GB"/>
                <w14:ligatures w14:val="none"/>
              </w:rPr>
            </w:pPr>
            <w:bookmarkStart w:id="78" w:name="_Ref81511849"/>
            <w:bookmarkStart w:id="79" w:name="_Toc84492441"/>
            <w:bookmarkStart w:id="80" w:name="_Ref81485214"/>
            <w:bookmarkStart w:id="81" w:name="_Toc140068610"/>
            <w:bookmarkStart w:id="82" w:name="_Toc204106696"/>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6</w:t>
            </w:r>
            <w:r w:rsidRPr="001F4A34">
              <w:rPr>
                <w:rFonts w:eastAsia="Calibri" w:cstheme="minorBidi"/>
                <w:iCs/>
                <w:color w:val="000000"/>
                <w:sz w:val="22"/>
                <w:szCs w:val="22"/>
              </w:rPr>
              <w:fldChar w:fldCharType="end"/>
            </w:r>
            <w:bookmarkEnd w:id="78"/>
            <w:r w:rsidRPr="009819CE">
              <w:rPr>
                <w:rFonts w:eastAsia="Calibri" w:cstheme="minorBidi"/>
                <w:iCs/>
                <w:color w:val="000000"/>
                <w:sz w:val="22"/>
                <w:szCs w:val="22"/>
                <w:lang w:val="en-GB"/>
                <w14:ligatures w14:val="none"/>
              </w:rPr>
              <w:t xml:space="preserve"> </w:t>
            </w:r>
            <w:bookmarkEnd w:id="79"/>
            <w:bookmarkEnd w:id="80"/>
            <w:bookmarkEnd w:id="81"/>
            <w:r w:rsidR="00111DB7" w:rsidRPr="009819CE">
              <w:rPr>
                <w:rFonts w:eastAsia="Calibri" w:cstheme="minorBidi"/>
                <w:iCs/>
                <w:color w:val="000000"/>
                <w:sz w:val="22"/>
                <w:szCs w:val="22"/>
                <w:lang w:val="en-GB"/>
                <w14:ligatures w14:val="none"/>
              </w:rPr>
              <w:t xml:space="preserve">The global distribution and diversity of the parasitic dinoflagellate </w:t>
            </w:r>
            <w:r w:rsidR="009D03F4" w:rsidRPr="009819CE">
              <w:rPr>
                <w:rFonts w:eastAsia="Calibri" w:cstheme="minorBidi"/>
                <w:i/>
                <w:iCs/>
                <w:color w:val="000000"/>
                <w:sz w:val="22"/>
                <w:szCs w:val="22"/>
                <w:lang w:val="en-GB"/>
                <w14:ligatures w14:val="none"/>
              </w:rPr>
              <w:t>Hematodinium</w:t>
            </w:r>
            <w:r w:rsidR="00111DB7" w:rsidRPr="009819CE">
              <w:rPr>
                <w:rFonts w:eastAsia="Calibri" w:cstheme="minorBidi"/>
                <w:iCs/>
                <w:color w:val="000000"/>
                <w:sz w:val="22"/>
                <w:szCs w:val="22"/>
                <w:lang w:val="en-GB"/>
                <w14:ligatures w14:val="none"/>
              </w:rPr>
              <w:t>. Note blue dots (</w:t>
            </w:r>
            <w:r w:rsidR="009D03F4" w:rsidRPr="009819CE">
              <w:rPr>
                <w:rFonts w:eastAsia="Calibri" w:cstheme="minorBidi"/>
                <w:i/>
                <w:iCs/>
                <w:color w:val="000000"/>
                <w:sz w:val="22"/>
                <w:szCs w:val="22"/>
                <w:lang w:val="en-GB"/>
                <w14:ligatures w14:val="none"/>
              </w:rPr>
              <w:t>Hematodinium</w:t>
            </w:r>
            <w:r w:rsidR="00111DB7" w:rsidRPr="009819CE">
              <w:rPr>
                <w:rFonts w:eastAsia="Calibri" w:cstheme="minorBidi"/>
                <w:i/>
                <w:iCs/>
                <w:color w:val="000000"/>
                <w:sz w:val="22"/>
                <w:szCs w:val="22"/>
                <w:lang w:val="en-GB"/>
                <w14:ligatures w14:val="none"/>
              </w:rPr>
              <w:t xml:space="preserve"> perezi</w:t>
            </w:r>
            <w:r w:rsidR="00111DB7" w:rsidRPr="009819CE">
              <w:rPr>
                <w:rFonts w:eastAsia="Calibri" w:cstheme="minorBidi"/>
                <w:iCs/>
                <w:color w:val="000000"/>
                <w:sz w:val="22"/>
                <w:szCs w:val="22"/>
                <w:lang w:val="en-GB"/>
                <w14:ligatures w14:val="none"/>
              </w:rPr>
              <w:t>); red dots (</w:t>
            </w:r>
            <w:r w:rsidR="009D03F4" w:rsidRPr="009819CE">
              <w:rPr>
                <w:rFonts w:eastAsia="Calibri" w:cstheme="minorBidi"/>
                <w:i/>
                <w:iCs/>
                <w:color w:val="000000"/>
                <w:sz w:val="22"/>
                <w:szCs w:val="22"/>
                <w:lang w:val="en-GB"/>
                <w14:ligatures w14:val="none"/>
              </w:rPr>
              <w:t>Hematodinium</w:t>
            </w:r>
            <w:r w:rsidR="00111DB7" w:rsidRPr="009819CE">
              <w:rPr>
                <w:rFonts w:eastAsia="Calibri" w:cstheme="minorBidi"/>
                <w:i/>
                <w:iCs/>
                <w:color w:val="000000"/>
                <w:sz w:val="22"/>
                <w:szCs w:val="22"/>
                <w:lang w:val="en-GB"/>
                <w14:ligatures w14:val="none"/>
              </w:rPr>
              <w:t xml:space="preserve"> australis</w:t>
            </w:r>
            <w:r w:rsidR="00111DB7" w:rsidRPr="009819CE">
              <w:rPr>
                <w:rFonts w:eastAsia="Calibri" w:cstheme="minorBidi"/>
                <w:iCs/>
                <w:color w:val="000000"/>
                <w:sz w:val="22"/>
                <w:szCs w:val="22"/>
                <w:lang w:val="en-GB"/>
                <w14:ligatures w14:val="none"/>
              </w:rPr>
              <w:t xml:space="preserve">); pink dots (other unclassified </w:t>
            </w:r>
            <w:r w:rsidR="009D03F4" w:rsidRPr="009819CE">
              <w:rPr>
                <w:rFonts w:eastAsia="Calibri" w:cstheme="minorBidi"/>
                <w:i/>
                <w:iCs/>
                <w:color w:val="000000"/>
                <w:sz w:val="22"/>
                <w:szCs w:val="22"/>
                <w:lang w:val="en-GB"/>
                <w14:ligatures w14:val="none"/>
              </w:rPr>
              <w:t>Hematodinium</w:t>
            </w:r>
            <w:r w:rsidR="00111DB7" w:rsidRPr="009819CE">
              <w:rPr>
                <w:rFonts w:eastAsia="Calibri" w:cstheme="minorBidi"/>
                <w:iCs/>
                <w:color w:val="000000"/>
                <w:sz w:val="22"/>
                <w:szCs w:val="22"/>
                <w:lang w:val="en-GB"/>
                <w14:ligatures w14:val="none"/>
              </w:rPr>
              <w:t xml:space="preserve"> species). Source: </w:t>
            </w:r>
            <w:hyperlink w:anchor="_ENREF_175" w:tooltip="Li, 2021 #453" w:history="1">
              <w:r w:rsidR="00950097" w:rsidRPr="001F4A34">
                <w:rPr>
                  <w:rFonts w:eastAsia="Calibri" w:cstheme="minorBidi"/>
                  <w:iCs/>
                  <w:color w:val="000000"/>
                  <w:sz w:val="22"/>
                  <w:szCs w:val="22"/>
                </w:rPr>
                <w:fldChar w:fldCharType="begin">
                  <w:fldData xml:space="preserve">PEVuZE5vdGU+PENpdGUgQXV0aG9yWWVhcj0iMSI+PEF1dGhvcj5MaTwvQXV0aG9yPjxZZWFyPjIw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</w:fldData>
                </w:fldChar>
              </w:r>
              <w:r w:rsidR="00950097" w:rsidRPr="009819CE">
                <w:rPr>
                  <w:rFonts w:eastAsia="Calibri" w:cstheme="minorBidi"/>
                  <w:iCs/>
                  <w:color w:val="000000"/>
                  <w:sz w:val="22"/>
                  <w:szCs w:val="22"/>
                </w:rPr>
                <w:instrText xml:space="preserve"> ADDIN EN.CITE </w:instrText>
              </w:r>
              <w:r w:rsidR="00950097" w:rsidRPr="001F4A34">
                <w:rPr>
                  <w:rFonts w:eastAsia="Calibri" w:cstheme="minorBidi"/>
                  <w:iCs/>
                  <w:color w:val="000000"/>
                  <w:sz w:val="22"/>
                  <w:szCs w:val="22"/>
                </w:rPr>
                <w:fldChar w:fldCharType="begin">
                  <w:fldData xml:space="preserve">PEVuZE5vdGU+PENpdGUgQXV0aG9yWWVhcj0iMSI+PEF1dGhvcj5MaTwvQXV0aG9yPjxZZWFyPjIw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</w:fldData>
                </w:fldChar>
              </w:r>
              <w:r w:rsidR="00950097" w:rsidRPr="009819CE">
                <w:rPr>
                  <w:rFonts w:eastAsia="Calibri" w:cstheme="minorBidi"/>
                  <w:iCs/>
                  <w:color w:val="000000"/>
                  <w:sz w:val="22"/>
                  <w:szCs w:val="22"/>
                </w:rPr>
                <w:instrText xml:space="preserve"> ADDIN EN.CITE.DATA </w:instrText>
              </w:r>
              <w:r w:rsidR="00950097" w:rsidRPr="001F4A34">
                <w:rPr>
                  <w:rFonts w:eastAsia="Calibri" w:cstheme="minorBidi"/>
                  <w:iCs/>
                  <w:color w:val="000000"/>
                  <w:sz w:val="22"/>
                  <w:szCs w:val="22"/>
                </w:rPr>
              </w:r>
              <w:r w:rsidR="00950097" w:rsidRPr="001F4A34">
                <w:rPr>
                  <w:rFonts w:eastAsia="Calibri" w:cstheme="minorBidi"/>
                  <w:iCs/>
                  <w:color w:val="000000"/>
                  <w:sz w:val="22"/>
                  <w:szCs w:val="22"/>
                </w:rPr>
                <w:fldChar w:fldCharType="end"/>
              </w:r>
              <w:r w:rsidR="00950097" w:rsidRPr="001F4A34">
                <w:rPr>
                  <w:rFonts w:eastAsia="Calibri" w:cstheme="minorBidi"/>
                  <w:iCs/>
                  <w:color w:val="000000"/>
                  <w:sz w:val="22"/>
                  <w:szCs w:val="22"/>
                </w:rPr>
              </w:r>
              <w:r w:rsidR="00950097" w:rsidRPr="001F4A34">
                <w:rPr>
                  <w:rFonts w:eastAsia="Calibri" w:cstheme="minorBidi"/>
                  <w:iCs/>
                  <w:color w:val="000000"/>
                  <w:sz w:val="22"/>
                  <w:szCs w:val="22"/>
                </w:rPr>
                <w:fldChar w:fldCharType="separate"/>
              </w:r>
              <w:r w:rsidR="00950097" w:rsidRPr="001F4A34">
                <w:rPr>
                  <w:rFonts w:eastAsia="Calibri" w:cstheme="minorBidi"/>
                  <w:iCs/>
                  <w:color w:val="000000"/>
                  <w:sz w:val="22"/>
                  <w:szCs w:val="22"/>
                </w:rPr>
                <w:t>Li et al. (2021a)</w:t>
              </w:r>
              <w:r w:rsidR="00950097" w:rsidRPr="001F4A34">
                <w:rPr>
                  <w:rFonts w:eastAsia="Calibri" w:cstheme="minorBidi"/>
                  <w:iCs/>
                  <w:color w:val="000000"/>
                  <w:sz w:val="22"/>
                  <w:szCs w:val="22"/>
                </w:rPr>
                <w:fldChar w:fldCharType="end"/>
              </w:r>
            </w:hyperlink>
            <w:r w:rsidR="00111DB7" w:rsidRPr="009819CE">
              <w:rPr>
                <w:rFonts w:eastAsia="Calibri" w:cstheme="minorBidi"/>
                <w:iCs/>
                <w:color w:val="000000"/>
                <w:sz w:val="22"/>
                <w:szCs w:val="22"/>
                <w:lang w:val="en-GB"/>
                <w14:ligatures w14:val="none"/>
              </w:rPr>
              <w:t>.</w:t>
            </w:r>
            <w:bookmarkEnd w:id="82"/>
          </w:p>
        </w:tc>
      </w:tr>
    </w:tbl>
    <w:p w14:paraId="79FCB7FE" w14:textId="77777777" w:rsidR="00757F54" w:rsidRPr="009819CE" w:rsidRDefault="00757F54" w:rsidP="002773A2">
      <w:pPr>
        <w:spacing w:before="0" w:after="0"/>
        <w:rPr>
          <w:rFonts w:cstheme="minorBidi"/>
          <w:lang w:eastAsia="en-US"/>
        </w:rPr>
        <w:sectPr w:rsidR="00757F54" w:rsidRPr="009819CE" w:rsidSect="001B0CD2">
          <w:pgSz w:w="11900" w:h="16840" w:code="9"/>
          <w:pgMar w:top="1440" w:right="1440" w:bottom="1440" w:left="1440" w:header="720" w:footer="720" w:gutter="0"/>
          <w:cols w:space="720"/>
          <w:docGrid w:linePitch="360"/>
        </w:sectPr>
      </w:pPr>
      <w:bookmarkStart w:id="83" w:name="_Ref81567733"/>
      <w:bookmarkStart w:id="84" w:name="_Toc94799233"/>
    </w:p>
    <w:p w14:paraId="6E7EA4BC" w14:textId="2F32E3FC" w:rsidR="002773A2" w:rsidRPr="009819CE" w:rsidRDefault="002773A2" w:rsidP="009C3F77">
      <w:pPr>
        <w:pStyle w:val="Heading3"/>
        <w:numPr>
          <w:ilvl w:val="2"/>
          <w:numId w:val="22"/>
        </w:numPr>
        <w:rPr>
          <w:rFonts w:cstheme="minorBidi"/>
          <w:iCs/>
        </w:rPr>
      </w:pPr>
      <w:bookmarkStart w:id="85" w:name="_Toc204106598"/>
      <w:r w:rsidRPr="009819CE">
        <w:rPr>
          <w:rFonts w:cstheme="minorBidi"/>
          <w:iCs/>
        </w:rPr>
        <w:t xml:space="preserve">Genetic diversity of </w:t>
      </w:r>
      <w:r w:rsidR="009D03F4" w:rsidRPr="009819CE">
        <w:rPr>
          <w:rFonts w:cstheme="minorBidi"/>
          <w:i/>
          <w:iCs/>
        </w:rPr>
        <w:t>Hematodinium</w:t>
      </w:r>
      <w:bookmarkEnd w:id="83"/>
      <w:bookmarkEnd w:id="84"/>
      <w:bookmarkEnd w:id="85"/>
    </w:p>
    <w:p w14:paraId="5F953907" w14:textId="339EEF43" w:rsidR="00A442DD" w:rsidRPr="009819CE" w:rsidRDefault="00A442DD" w:rsidP="00A442DD">
      <w:pPr>
        <w:rPr>
          <w:rFonts w:cstheme="minorBidi"/>
          <w:shd w:val="clear" w:color="auto" w:fill="FFFFFF"/>
        </w:rPr>
      </w:pPr>
      <w:r w:rsidRPr="009819CE">
        <w:rPr>
          <w:rFonts w:cstheme="minorBidi"/>
        </w:rPr>
        <w:t xml:space="preserve">At present, there are only two defined species of this genus: </w:t>
      </w:r>
      <w:r w:rsidR="009D03F4" w:rsidRPr="009819CE">
        <w:rPr>
          <w:rFonts w:cstheme="minorBidi"/>
          <w:i/>
        </w:rPr>
        <w:t>Hematodinium</w:t>
      </w:r>
      <w:r w:rsidRPr="009819CE">
        <w:rPr>
          <w:rFonts w:cstheme="minorBidi"/>
          <w:i/>
        </w:rPr>
        <w:t xml:space="preserve"> perezi</w:t>
      </w:r>
      <w:r w:rsidRPr="009819CE">
        <w:rPr>
          <w:rFonts w:cstheme="minorBidi"/>
        </w:rPr>
        <w:t xml:space="preserve"> and </w:t>
      </w:r>
      <w:r w:rsidR="009D03F4" w:rsidRPr="009819CE">
        <w:rPr>
          <w:rFonts w:cstheme="minorBidi"/>
          <w:i/>
        </w:rPr>
        <w:t>Hematodinium</w:t>
      </w:r>
      <w:r w:rsidRPr="009819CE">
        <w:rPr>
          <w:rFonts w:cstheme="minorBidi"/>
        </w:rPr>
        <w:t xml:space="preserve"> </w:t>
      </w:r>
      <w:r w:rsidRPr="009819CE">
        <w:rPr>
          <w:rFonts w:cstheme="minorBidi"/>
          <w:i/>
          <w:iCs/>
        </w:rPr>
        <w:t>australis</w:t>
      </w:r>
      <w:r w:rsidRPr="009819CE">
        <w:rPr>
          <w:rFonts w:cstheme="minorBidi"/>
        </w:rPr>
        <w:t xml:space="preserve"> and one undefined species (</w:t>
      </w:r>
      <w:r w:rsidR="009D03F4" w:rsidRPr="009819CE">
        <w:rPr>
          <w:rFonts w:cstheme="minorBidi"/>
          <w:i/>
          <w:iCs/>
        </w:rPr>
        <w:t>Hematodinium</w:t>
      </w:r>
      <w:r w:rsidRPr="009819CE">
        <w:rPr>
          <w:rFonts w:cstheme="minorBidi"/>
          <w:i/>
          <w:iCs/>
        </w:rPr>
        <w:t xml:space="preserve"> </w:t>
      </w:r>
      <w:r w:rsidRPr="009819CE">
        <w:rPr>
          <w:rFonts w:cstheme="minorBidi"/>
        </w:rPr>
        <w:t xml:space="preserve">sp.) </w:t>
      </w:r>
      <w:r w:rsidRPr="009819CE">
        <w:rPr>
          <w:rFonts w:cstheme="minorBidi"/>
        </w:rPr>
        <w:fldChar w:fldCharType="begin">
          <w:fldData xml:space="preserve">PEVuZE5vdGU+PENpdGU+PEF1dGhvcj5MaTwvQXV0aG9yPjxZZWFyPjIwMjE8L1llYXI+PFJlY051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PEVuZE5vdGU+PENpdGU+PEF1dGhvcj5MaTwvQXV0aG9yPjxZZWFyPjIwMjE8L1llYXI+PFJlY051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75" w:tooltip="Li, 2021 #453" w:history="1">
        <w:r w:rsidR="00950097" w:rsidRPr="001F4A34">
          <w:rPr>
            <w:rFonts w:cstheme="minorBidi"/>
          </w:rPr>
          <w:t>Li et al., 2021a</w:t>
        </w:r>
      </w:hyperlink>
      <w:r w:rsidR="00D50EFF" w:rsidRPr="001F4A34">
        <w:rPr>
          <w:rFonts w:cstheme="minorBidi"/>
        </w:rPr>
        <w:t>)</w:t>
      </w:r>
      <w:r w:rsidRPr="009819CE">
        <w:rPr>
          <w:rFonts w:cstheme="minorBidi"/>
        </w:rPr>
        <w:fldChar w:fldCharType="end"/>
      </w:r>
      <w:r w:rsidRPr="009819CE">
        <w:rPr>
          <w:rFonts w:cstheme="minorBidi"/>
        </w:rPr>
        <w:t xml:space="preserve">. </w:t>
      </w:r>
      <w:r w:rsidR="00E32E0D" w:rsidRPr="00E32E0D">
        <w:rPr>
          <w:rFonts w:cstheme="minorBidi"/>
        </w:rPr>
        <w:t xml:space="preserve">The species </w:t>
      </w:r>
      <w:r w:rsidR="00E32E0D">
        <w:rPr>
          <w:rFonts w:cstheme="minorBidi"/>
        </w:rPr>
        <w:t>“</w:t>
      </w:r>
      <w:r w:rsidR="00E32E0D" w:rsidRPr="00E32E0D">
        <w:rPr>
          <w:rFonts w:cstheme="minorBidi"/>
        </w:rPr>
        <w:t>australis</w:t>
      </w:r>
      <w:r w:rsidR="00E32E0D">
        <w:rPr>
          <w:rFonts w:cstheme="minorBidi"/>
        </w:rPr>
        <w:t>”</w:t>
      </w:r>
      <w:r w:rsidR="00E32E0D" w:rsidRPr="00E32E0D">
        <w:rPr>
          <w:rFonts w:cstheme="minorBidi"/>
        </w:rPr>
        <w:t xml:space="preserve"> is distinguished from its counterparts by distinct morphological traits—such as a larger trophont and ovoid plasmodium—as well as by its geographic isolation, being primarily found in Australian waters. In contrast, other species like </w:t>
      </w:r>
      <w:r w:rsidR="00E32E0D" w:rsidRPr="001F4A34">
        <w:rPr>
          <w:rFonts w:cstheme="minorBidi"/>
          <w:i/>
          <w:iCs/>
        </w:rPr>
        <w:t>H. perezi</w:t>
      </w:r>
      <w:r w:rsidR="00E32E0D" w:rsidRPr="00E32E0D">
        <w:rPr>
          <w:rFonts w:cstheme="minorBidi"/>
        </w:rPr>
        <w:t xml:space="preserve"> have a broader global distribution</w:t>
      </w:r>
      <w:r w:rsidR="004A410F">
        <w:rPr>
          <w:rFonts w:cstheme="minorBidi"/>
        </w:rPr>
        <w:t xml:space="preserve"> </w:t>
      </w:r>
      <w:r w:rsidR="00BC058D">
        <w:rPr>
          <w:rFonts w:cstheme="minorBidi"/>
        </w:rPr>
        <w:fldChar w:fldCharType="begin"/>
      </w:r>
      <w:r w:rsidR="00BC058D">
        <w:rPr>
          <w:rFonts w:cstheme="minorBidi"/>
        </w:rPr>
        <w:instrText xml:space="preserve"> ADDIN EN.CITE &lt;EndNote&gt;&lt;Cite&gt;&lt;Author&gt;Hudson&lt;/Author&gt;&lt;Year&gt;1994&lt;/Year&gt;&lt;RecNum&gt;425&lt;/RecNum&gt;&lt;DisplayText&gt;(Hudson and Shields, 1994)&lt;/DisplayText&gt;&lt;record&gt;&lt;rec-number&gt;425&lt;/rec-number&gt;&lt;foreign-keys&gt;&lt;key app="EN" db-id="sd9wrx9fj09rx3erprsx999o0r5aprvp2zse" timestamp="1687855901" guid="57f20daa-cfca-4884-842a-d056bc004bb9"&gt;425&lt;/key&gt;&lt;/foreign-keys&gt;&lt;ref-type name="Journal Article"&gt;17&lt;/ref-type&gt;&lt;contributors&gt;&lt;authors&gt;&lt;author&gt;Hudson, Darryl A.&lt;/author&gt;&lt;author&gt;Shields, Jeffery D.&lt;/author&gt;&lt;/authors&gt;&lt;/contributors&gt;&lt;titles&gt;&lt;title&gt;&lt;style face="italic" font="default" size="100%"&gt;Hematodinium australis &lt;/style&gt;&lt;style face="normal" font="default" size="100%"&gt;n. sp., a parasitic dinoflagellate of the sand crab &lt;/style&gt;&lt;style face="italic" font="default" size="100%"&gt;Portunus pelagicus&lt;/style&gt;&lt;style face="normal" font="default" size="100%"&gt; from Moreton Bay, Australia&lt;/style&gt;&lt;/title&gt;&lt;secondary-title&gt;Diseases of Aquatic Organisms&lt;/secondary-title&gt;&lt;/titles&gt;&lt;periodical&gt;&lt;full-title&gt;Diseases of Aquatic Organisms&lt;/full-title&gt;&lt;/periodical&gt;&lt;pages&gt;109-119&lt;/pages&gt;&lt;volume&gt;19&lt;/volume&gt;&lt;number&gt;2&lt;/number&gt;&lt;keywords&gt;&lt;keyword&gt;hematodinium austrahs&lt;/keyword&gt;&lt;keyword&gt;parasitic dinoflagellate&lt;/keyword&gt;&lt;keyword&gt;portunus pelagicus&lt;/keyword&gt;&lt;/keywords&gt;&lt;dates&gt;&lt;year&gt;1994&lt;/year&gt;&lt;/dates&gt;&lt;urls&gt;&lt;/urls&gt;&lt;electronic-resource-num&gt;10.3354/dao019109&lt;/electronic-resource-num&gt;&lt;/record&gt;&lt;/Cite&gt;&lt;/EndNote&gt;</w:instrText>
      </w:r>
      <w:r w:rsidR="00BC058D">
        <w:rPr>
          <w:rFonts w:cstheme="minorBidi"/>
        </w:rPr>
        <w:fldChar w:fldCharType="separate"/>
      </w:r>
      <w:r w:rsidR="00BC058D">
        <w:rPr>
          <w:rFonts w:cstheme="minorBidi"/>
          <w:noProof/>
        </w:rPr>
        <w:t>(</w:t>
      </w:r>
      <w:hyperlink w:anchor="_ENREF_151" w:tooltip="Hudson, 1994 #425" w:history="1">
        <w:r w:rsidR="00950097">
          <w:rPr>
            <w:rFonts w:cstheme="minorBidi"/>
            <w:noProof/>
          </w:rPr>
          <w:t>Hudson and Shields, 1994</w:t>
        </w:r>
      </w:hyperlink>
      <w:r w:rsidR="00BC058D">
        <w:rPr>
          <w:rFonts w:cstheme="minorBidi"/>
          <w:noProof/>
        </w:rPr>
        <w:t>)</w:t>
      </w:r>
      <w:r w:rsidR="00BC058D">
        <w:rPr>
          <w:rFonts w:cstheme="minorBidi"/>
        </w:rPr>
        <w:fldChar w:fldCharType="end"/>
      </w:r>
      <w:r w:rsidR="004A410F">
        <w:rPr>
          <w:rFonts w:cstheme="minorBidi"/>
        </w:rPr>
        <w:t xml:space="preserve"> </w:t>
      </w:r>
      <w:r w:rsidR="00E32E0D" w:rsidRPr="00E32E0D">
        <w:rPr>
          <w:rFonts w:cstheme="minorBidi"/>
        </w:rPr>
        <w:t xml:space="preserve"> </w:t>
      </w:r>
      <w:r w:rsidRPr="009819CE">
        <w:rPr>
          <w:rFonts w:cstheme="minorBidi"/>
        </w:rPr>
        <w:t xml:space="preserve">(see </w:t>
      </w:r>
      <w:r w:rsidRPr="009819CE">
        <w:rPr>
          <w:rFonts w:cstheme="minorBidi"/>
        </w:rPr>
        <w:fldChar w:fldCharType="begin"/>
      </w:r>
      <w:r w:rsidRPr="009819CE">
        <w:rPr>
          <w:rFonts w:cstheme="minorBidi"/>
        </w:rPr>
        <w:instrText xml:space="preserve"> REF _Ref81511849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8549FC">
        <w:rPr>
          <w:rFonts w:eastAsia="Calibri" w:cstheme="minorBidi"/>
          <w:b/>
          <w:iCs/>
          <w:color w:val="000000"/>
        </w:rPr>
        <w:t>Figure 1.6</w:t>
      </w:r>
      <w:r w:rsidRPr="009819CE">
        <w:rPr>
          <w:rFonts w:cstheme="minorBidi"/>
        </w:rPr>
        <w:fldChar w:fldCharType="end"/>
      </w:r>
      <w:r w:rsidRPr="009819CE">
        <w:rPr>
          <w:rFonts w:cstheme="minorBidi"/>
        </w:rPr>
        <w:t xml:space="preserve">). Host species that are commonly affected by </w:t>
      </w:r>
      <w:r w:rsidR="009D03F4" w:rsidRPr="009819CE">
        <w:rPr>
          <w:rFonts w:cstheme="minorBidi"/>
          <w:i/>
        </w:rPr>
        <w:t>Hematodinium</w:t>
      </w:r>
      <w:r w:rsidRPr="009819CE">
        <w:rPr>
          <w:rFonts w:cstheme="minorBidi"/>
        </w:rPr>
        <w:t xml:space="preserve"> include various crab species, such as snow crabs</w:t>
      </w:r>
      <w:r w:rsidR="00C263AE" w:rsidRPr="009819CE">
        <w:rPr>
          <w:rFonts w:cstheme="minorBidi"/>
        </w:rPr>
        <w:t xml:space="preserve"> </w:t>
      </w:r>
      <w:r w:rsidR="00C263AE" w:rsidRPr="009819CE">
        <w:rPr>
          <w:rFonts w:cstheme="minorBidi"/>
          <w:shd w:val="clear" w:color="auto" w:fill="FFFFFF"/>
        </w:rPr>
        <w:t>(</w:t>
      </w:r>
      <w:r w:rsidR="00C263AE" w:rsidRPr="009819CE">
        <w:rPr>
          <w:rFonts w:cstheme="minorBidi"/>
          <w:i/>
          <w:iCs/>
          <w:shd w:val="clear" w:color="auto" w:fill="FFFFFF"/>
        </w:rPr>
        <w:t>Chionoecetes opilio</w:t>
      </w:r>
      <w:r w:rsidR="00C263AE" w:rsidRPr="009819CE">
        <w:rPr>
          <w:rFonts w:cstheme="minorBidi"/>
          <w:shd w:val="clear" w:color="auto" w:fill="FFFFFF"/>
        </w:rPr>
        <w:t>)</w:t>
      </w:r>
      <w:r w:rsidR="00C263AE" w:rsidRPr="009819CE">
        <w:rPr>
          <w:rFonts w:cstheme="minorBidi"/>
          <w:i/>
          <w:iCs/>
          <w:shd w:val="clear" w:color="auto" w:fill="FFFFFF"/>
        </w:rPr>
        <w:t>,</w:t>
      </w:r>
      <w:r w:rsidRPr="009819CE">
        <w:rPr>
          <w:rFonts w:cstheme="minorBidi"/>
        </w:rPr>
        <w:t xml:space="preserve"> blue crabs</w:t>
      </w:r>
      <w:r w:rsidR="00C263AE" w:rsidRPr="009819CE">
        <w:rPr>
          <w:rFonts w:cstheme="minorBidi"/>
        </w:rPr>
        <w:t xml:space="preserve"> </w:t>
      </w:r>
      <w:r w:rsidR="00C263AE" w:rsidRPr="009819CE">
        <w:rPr>
          <w:rFonts w:cstheme="minorBidi"/>
          <w:shd w:val="clear" w:color="auto" w:fill="FFFFFF"/>
        </w:rPr>
        <w:t>(</w:t>
      </w:r>
      <w:r w:rsidR="00C263AE" w:rsidRPr="009819CE">
        <w:rPr>
          <w:rFonts w:cstheme="minorBidi"/>
          <w:i/>
          <w:iCs/>
          <w:shd w:val="clear" w:color="auto" w:fill="FFFFFF"/>
        </w:rPr>
        <w:t>Callinectes sapidus</w:t>
      </w:r>
      <w:r w:rsidR="00C263AE" w:rsidRPr="009819CE">
        <w:rPr>
          <w:rFonts w:cstheme="minorBidi"/>
          <w:shd w:val="clear" w:color="auto" w:fill="FFFFFF"/>
        </w:rPr>
        <w:t>)</w:t>
      </w:r>
      <w:r w:rsidRPr="009819CE">
        <w:rPr>
          <w:rFonts w:cstheme="minorBidi"/>
        </w:rPr>
        <w:t>, and king crabs</w:t>
      </w:r>
      <w:r w:rsidR="009A25F4" w:rsidRPr="009819CE">
        <w:rPr>
          <w:rFonts w:cstheme="minorBidi"/>
        </w:rPr>
        <w:t xml:space="preserve"> </w:t>
      </w:r>
      <w:r w:rsidR="00C263AE" w:rsidRPr="009819CE">
        <w:rPr>
          <w:rFonts w:cstheme="minorBidi"/>
        </w:rPr>
        <w:t>(</w:t>
      </w:r>
      <w:r w:rsidR="00C263AE" w:rsidRPr="009819CE">
        <w:rPr>
          <w:rFonts w:cstheme="minorBidi"/>
          <w:i/>
          <w:iCs/>
          <w:color w:val="000000"/>
        </w:rPr>
        <w:t xml:space="preserve">Paralithodes </w:t>
      </w:r>
      <w:r w:rsidR="00C263AE" w:rsidRPr="009819CE">
        <w:rPr>
          <w:rFonts w:cstheme="minorBidi"/>
          <w:color w:val="000000"/>
        </w:rPr>
        <w:t>spp.</w:t>
      </w:r>
      <w:r w:rsidR="00C263AE" w:rsidRPr="001F4A34">
        <w:rPr>
          <w:rFonts w:cstheme="minorBidi"/>
          <w:color w:val="000000"/>
        </w:rPr>
        <w:t>)</w:t>
      </w:r>
      <w:r w:rsidRPr="009819CE">
        <w:rPr>
          <w:rFonts w:cstheme="minorBidi"/>
        </w:rPr>
        <w:t xml:space="preserve">. For </w:t>
      </w:r>
      <w:r w:rsidRPr="009819CE">
        <w:rPr>
          <w:rFonts w:cstheme="minorBidi"/>
          <w:i/>
          <w:iCs/>
        </w:rPr>
        <w:t>H</w:t>
      </w:r>
      <w:r w:rsidR="000D68AD" w:rsidRPr="009819CE">
        <w:rPr>
          <w:rFonts w:cstheme="minorBidi"/>
          <w:i/>
          <w:iCs/>
        </w:rPr>
        <w:t>.</w:t>
      </w:r>
      <w:r w:rsidRPr="009819CE">
        <w:rPr>
          <w:rFonts w:cstheme="minorBidi"/>
          <w:i/>
          <w:iCs/>
        </w:rPr>
        <w:t>perezi</w:t>
      </w:r>
      <w:r w:rsidRPr="009819CE">
        <w:rPr>
          <w:rFonts w:cstheme="minorBidi"/>
        </w:rPr>
        <w:t>, at least three genotypes (I, II, III) have been identified based on the ITS1 sequences</w:t>
      </w:r>
      <w:r w:rsidRPr="009819CE">
        <w:rPr>
          <w:rFonts w:cstheme="minorBidi"/>
          <w:color w:val="000000"/>
        </w:rPr>
        <w:t xml:space="preserve"> </w:t>
      </w:r>
      <w:r w:rsidRPr="009819CE">
        <w:rPr>
          <w:rFonts w:cstheme="minorBidi"/>
          <w:color w:val="000000"/>
        </w:rPr>
        <w:fldChar w:fldCharType="begin"/>
      </w:r>
      <w:r w:rsidR="00D50EFF" w:rsidRPr="009819CE">
        <w:rPr>
          <w:rFonts w:cstheme="minorBidi"/>
          <w:color w:val="000000"/>
        </w:rPr>
        <w:instrText xml:space="preserve"> ADDIN EN.CITE &lt;EndNote&gt;&lt;Cite&gt;&lt;Author&gt;Small&lt;/Author&gt;&lt;Year&gt;2012&lt;/Year&gt;&lt;RecNum&gt;1259&lt;/RecNum&gt;&lt;DisplayText&gt;(Small, 2012)&lt;/DisplayText&gt;&lt;record&gt;&lt;rec-number&gt;1259&lt;/rec-number&gt;&lt;foreign-keys&gt;&lt;key app="EN" db-id="sd9wrx9fj09rx3erprsx999o0r5aprvp2zse" timestamp="1687855902" guid="22f1a5a4-9c02-4a53-a741-9d1b63feca55"&gt;1259&lt;/key&gt;&lt;/foreign-keys&gt;&lt;ref-type name="Journal Article"&gt;17&lt;/ref-type&gt;&lt;contributors&gt;&lt;authors&gt;&lt;author&gt;Small, Hamish J.&lt;/author&gt;&lt;/authors&gt;&lt;/contributors&gt;&lt;titles&gt;&lt;title&gt;&lt;style face="normal" font="default" size="100%"&gt;Advances in our understanding of the global diversity and distribution of &lt;/style&gt;&lt;style face="italic" font="default" size="100%"&gt;Hematodinium&lt;/style&gt;&lt;style face="normal" font="default" size="100%"&gt; spp. – Significant pathogens of commercially exploited crustaceans&lt;/style&gt;&lt;/title&gt;&lt;secondary-title&gt;Journal of Invertebrate Pathology&lt;/secondary-title&gt;&lt;/titles&gt;&lt;periodical&gt;&lt;full-title&gt;Journal of Invertebrate Pathology&lt;/full-title&gt;&lt;/periodical&gt;&lt;pages&gt;234-246&lt;/pages&gt;&lt;volume&gt;110&lt;/volume&gt;&lt;number&gt;2&lt;/number&gt;&lt;keywords&gt;&lt;keyword&gt;Crustacean&lt;/keyword&gt;&lt;keyword&gt;Disease&lt;/keyword&gt;&lt;keyword&gt;Global&lt;/keyword&gt;&lt;keyword&gt;Hematodinium&lt;/keyword&gt;&lt;keyword&gt;Parasite&lt;/keyword&gt;&lt;/keywords&gt;&lt;dates&gt;&lt;year&gt;2012&lt;/year&gt;&lt;pub-dates&gt;&lt;date&gt;2012/6//&lt;/date&gt;&lt;/pub-dates&gt;&lt;/dates&gt;&lt;publisher&gt;Academic Press&lt;/publisher&gt;&lt;urls&gt;&lt;/urls&gt;&lt;electronic-resource-num&gt;10.1016/J.JIP.2012.03.012&lt;/electronic-resource-num&gt;&lt;/record&gt;&lt;/Cite&gt;&lt;/EndNote&gt;</w:instrText>
      </w:r>
      <w:r w:rsidRPr="009819CE">
        <w:rPr>
          <w:rFonts w:cstheme="minorBidi"/>
          <w:color w:val="000000"/>
        </w:rPr>
        <w:fldChar w:fldCharType="separate"/>
      </w:r>
      <w:r w:rsidR="00D50EFF" w:rsidRPr="009819CE">
        <w:rPr>
          <w:rFonts w:cstheme="minorBidi"/>
          <w:color w:val="000000"/>
        </w:rPr>
        <w:t>(</w:t>
      </w:r>
      <w:hyperlink w:anchor="_ENREF_289" w:tooltip="Small, 2012 #1259" w:history="1">
        <w:r w:rsidR="00950097" w:rsidRPr="009819CE">
          <w:rPr>
            <w:rFonts w:cstheme="minorBidi"/>
            <w:color w:val="000000"/>
          </w:rPr>
          <w:t>Small, 2012</w:t>
        </w:r>
      </w:hyperlink>
      <w:r w:rsidR="00D50EFF" w:rsidRPr="009819CE">
        <w:rPr>
          <w:rFonts w:cstheme="minorBidi"/>
          <w:color w:val="000000"/>
        </w:rPr>
        <w:t>)</w:t>
      </w:r>
      <w:r w:rsidRPr="009819CE">
        <w:rPr>
          <w:rFonts w:cstheme="minorBidi"/>
          <w:color w:val="000000"/>
        </w:rPr>
        <w:fldChar w:fldCharType="end"/>
      </w:r>
      <w:r w:rsidRPr="009819CE">
        <w:rPr>
          <w:rFonts w:cstheme="minorBidi"/>
        </w:rPr>
        <w:t xml:space="preserve">. </w:t>
      </w:r>
      <w:r w:rsidRPr="009819CE">
        <w:rPr>
          <w:rFonts w:cstheme="minorBidi"/>
          <w:shd w:val="clear" w:color="auto" w:fill="FFFFFF"/>
        </w:rPr>
        <w:t xml:space="preserve">Genotype I was found to infect </w:t>
      </w:r>
      <w:r w:rsidR="00C230A5" w:rsidRPr="009819CE">
        <w:rPr>
          <w:rFonts w:cstheme="minorBidi"/>
          <w:shd w:val="clear" w:color="auto" w:fill="FFFFFF"/>
        </w:rPr>
        <w:t>harbour crab (</w:t>
      </w:r>
      <w:r w:rsidRPr="009819CE">
        <w:rPr>
          <w:rFonts w:cstheme="minorBidi"/>
          <w:i/>
          <w:iCs/>
          <w:shd w:val="clear" w:color="auto" w:fill="FFFFFF"/>
        </w:rPr>
        <w:t>Liocarcinus depurator</w:t>
      </w:r>
      <w:r w:rsidR="00C230A5" w:rsidRPr="009819CE">
        <w:rPr>
          <w:rFonts w:cstheme="minorBidi"/>
          <w:shd w:val="clear" w:color="auto" w:fill="FFFFFF"/>
        </w:rPr>
        <w:t>)</w:t>
      </w:r>
      <w:r w:rsidRPr="009819CE">
        <w:rPr>
          <w:rFonts w:cstheme="minorBidi"/>
          <w:shd w:val="clear" w:color="auto" w:fill="FFFFFF"/>
        </w:rPr>
        <w:t xml:space="preserve">  in the English Channel, Genotype II reported in</w:t>
      </w:r>
      <w:r w:rsidR="002D28A9" w:rsidRPr="009819CE">
        <w:rPr>
          <w:rFonts w:cstheme="minorBidi"/>
          <w:shd w:val="clear" w:color="auto" w:fill="FFFFFF"/>
        </w:rPr>
        <w:t xml:space="preserve"> Chinese swimming crab</w:t>
      </w:r>
      <w:r w:rsidR="008C5AF8" w:rsidRPr="009819CE">
        <w:rPr>
          <w:rFonts w:cstheme="minorBidi"/>
          <w:shd w:val="clear" w:color="auto" w:fill="FFFFFF"/>
        </w:rPr>
        <w:t xml:space="preserve"> </w:t>
      </w:r>
      <w:r w:rsidRPr="009819CE">
        <w:rPr>
          <w:rFonts w:cstheme="minorBidi"/>
          <w:shd w:val="clear" w:color="auto" w:fill="FFFFFF"/>
        </w:rPr>
        <w:t xml:space="preserve"> </w:t>
      </w:r>
      <w:r w:rsidR="002D28A9" w:rsidRPr="009819CE">
        <w:rPr>
          <w:rFonts w:cstheme="minorBidi"/>
          <w:shd w:val="clear" w:color="auto" w:fill="FFFFFF"/>
        </w:rPr>
        <w:t>(</w:t>
      </w:r>
      <w:r w:rsidRPr="009819CE">
        <w:rPr>
          <w:rFonts w:cstheme="minorBidi"/>
          <w:i/>
          <w:iCs/>
          <w:shd w:val="clear" w:color="auto" w:fill="FFFFFF"/>
        </w:rPr>
        <w:t>Portunus trituberculatus</w:t>
      </w:r>
      <w:r w:rsidR="002D28A9" w:rsidRPr="009819CE">
        <w:rPr>
          <w:rFonts w:cstheme="minorBidi"/>
          <w:shd w:val="clear" w:color="auto" w:fill="FFFFFF"/>
        </w:rPr>
        <w:t xml:space="preserve">) </w:t>
      </w:r>
      <w:r w:rsidRPr="009819CE">
        <w:rPr>
          <w:rFonts w:cstheme="minorBidi"/>
          <w:shd w:val="clear" w:color="auto" w:fill="FFFFFF"/>
        </w:rPr>
        <w:t>and</w:t>
      </w:r>
      <w:r w:rsidR="002D28A9" w:rsidRPr="009819CE">
        <w:rPr>
          <w:rFonts w:cstheme="minorBidi"/>
          <w:shd w:val="clear" w:color="auto" w:fill="FFFFFF"/>
        </w:rPr>
        <w:t xml:space="preserve"> mud crab</w:t>
      </w:r>
      <w:r w:rsidRPr="009819CE">
        <w:rPr>
          <w:rFonts w:cstheme="minorBidi"/>
          <w:shd w:val="clear" w:color="auto" w:fill="FFFFFF"/>
        </w:rPr>
        <w:t xml:space="preserve"> </w:t>
      </w:r>
      <w:r w:rsidR="002D28A9" w:rsidRPr="009819CE">
        <w:rPr>
          <w:rFonts w:cstheme="minorBidi"/>
          <w:shd w:val="clear" w:color="auto" w:fill="FFFFFF"/>
        </w:rPr>
        <w:t>(</w:t>
      </w:r>
      <w:r w:rsidRPr="009819CE">
        <w:rPr>
          <w:rFonts w:cstheme="minorBidi"/>
          <w:i/>
          <w:iCs/>
          <w:shd w:val="clear" w:color="auto" w:fill="FFFFFF"/>
        </w:rPr>
        <w:t>Scylla paramamosain</w:t>
      </w:r>
      <w:r w:rsidR="002D28A9" w:rsidRPr="009819CE">
        <w:rPr>
          <w:rFonts w:cstheme="minorBidi"/>
          <w:shd w:val="clear" w:color="auto" w:fill="FFFFFF"/>
        </w:rPr>
        <w:t>)</w:t>
      </w:r>
      <w:r w:rsidRPr="009819CE">
        <w:rPr>
          <w:rFonts w:cstheme="minorBidi"/>
          <w:i/>
          <w:iCs/>
          <w:shd w:val="clear" w:color="auto" w:fill="FFFFFF"/>
        </w:rPr>
        <w:t xml:space="preserve"> </w:t>
      </w:r>
      <w:r w:rsidRPr="009819CE">
        <w:rPr>
          <w:rFonts w:cstheme="minorBidi"/>
          <w:shd w:val="clear" w:color="auto" w:fill="FFFFFF"/>
        </w:rPr>
        <w:t xml:space="preserve">of the east coast of China </w:t>
      </w:r>
      <w:r w:rsidRPr="009819CE">
        <w:rPr>
          <w:rFonts w:cstheme="minorBidi"/>
          <w:shd w:val="clear" w:color="auto" w:fill="FFFFFF"/>
        </w:rPr>
        <w:fldChar w:fldCharType="begin">
          <w:fldData xml:space="preserve">PEVuZE5vdGU+PENpdGU+PEF1dGhvcj5MaTwvQXV0aG9yPjxZZWFyPjIwMTM8L1llYXI+PFJlY051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</w:fldData>
        </w:fldChar>
      </w:r>
      <w:r w:rsidR="00EE7FB9">
        <w:rPr>
          <w:rFonts w:cstheme="minorBidi"/>
          <w:shd w:val="clear" w:color="auto" w:fill="FFFFFF"/>
        </w:rPr>
        <w:instrText xml:space="preserve"> ADDIN EN.CITE </w:instrText>
      </w:r>
      <w:r w:rsidR="00EE7FB9">
        <w:rPr>
          <w:rFonts w:cstheme="minorBidi"/>
          <w:shd w:val="clear" w:color="auto" w:fill="FFFFFF"/>
        </w:rPr>
        <w:fldChar w:fldCharType="begin">
          <w:fldData xml:space="preserve">PEVuZE5vdGU+PENpdGU+PEF1dGhvcj5MaTwvQXV0aG9yPjxZZWFyPjIwMTM8L1llYXI+PFJlY051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</w:fldData>
        </w:fldChar>
      </w:r>
      <w:r w:rsidR="00EE7FB9">
        <w:rPr>
          <w:rFonts w:cstheme="minorBidi"/>
          <w:shd w:val="clear" w:color="auto" w:fill="FFFFFF"/>
        </w:rPr>
        <w:instrText xml:space="preserve"> ADDIN EN.CITE.DATA </w:instrText>
      </w:r>
      <w:r w:rsidR="00EE7FB9">
        <w:rPr>
          <w:rFonts w:cstheme="minorBidi"/>
          <w:shd w:val="clear" w:color="auto" w:fill="FFFFFF"/>
        </w:rPr>
      </w:r>
      <w:r w:rsidR="00EE7FB9">
        <w:rPr>
          <w:rFonts w:cstheme="minorBidi"/>
          <w:shd w:val="clear" w:color="auto" w:fill="FFFFFF"/>
        </w:rPr>
        <w:fldChar w:fldCharType="end"/>
      </w:r>
      <w:r w:rsidRPr="009819CE">
        <w:rPr>
          <w:rFonts w:cstheme="minorBidi"/>
          <w:shd w:val="clear" w:color="auto" w:fill="FFFFFF"/>
        </w:rPr>
      </w:r>
      <w:r w:rsidRPr="009819CE">
        <w:rPr>
          <w:rFonts w:cstheme="minorBidi"/>
          <w:shd w:val="clear" w:color="auto" w:fill="FFFFFF"/>
        </w:rPr>
        <w:fldChar w:fldCharType="separate"/>
      </w:r>
      <w:r w:rsidR="00D50EFF" w:rsidRPr="009819CE">
        <w:rPr>
          <w:rFonts w:cstheme="minorBidi"/>
          <w:noProof/>
          <w:shd w:val="clear" w:color="auto" w:fill="FFFFFF"/>
        </w:rPr>
        <w:t>(</w:t>
      </w:r>
      <w:hyperlink w:anchor="_ENREF_177" w:tooltip="Li, 2013 #341" w:history="1">
        <w:r w:rsidR="00950097" w:rsidRPr="009819CE">
          <w:rPr>
            <w:rFonts w:cstheme="minorBidi"/>
            <w:noProof/>
            <w:shd w:val="clear" w:color="auto" w:fill="FFFFFF"/>
          </w:rPr>
          <w:t>Li et al., 2013</w:t>
        </w:r>
      </w:hyperlink>
      <w:r w:rsidR="00D50EFF" w:rsidRPr="009819CE">
        <w:rPr>
          <w:rFonts w:cstheme="minorBidi"/>
          <w:noProof/>
          <w:shd w:val="clear" w:color="auto" w:fill="FFFFFF"/>
        </w:rPr>
        <w:t xml:space="preserve">; </w:t>
      </w:r>
      <w:hyperlink w:anchor="_ENREF_289" w:tooltip="Small, 2012 #1259" w:history="1">
        <w:r w:rsidR="00950097" w:rsidRPr="009819CE">
          <w:rPr>
            <w:rFonts w:cstheme="minorBidi"/>
            <w:noProof/>
            <w:shd w:val="clear" w:color="auto" w:fill="FFFFFF"/>
          </w:rPr>
          <w:t>Small, 2012</w:t>
        </w:r>
      </w:hyperlink>
      <w:r w:rsidR="00D50EFF" w:rsidRPr="009819CE">
        <w:rPr>
          <w:rFonts w:cstheme="minorBidi"/>
          <w:noProof/>
          <w:shd w:val="clear" w:color="auto" w:fill="FFFFFF"/>
        </w:rPr>
        <w:t xml:space="preserve">; </w:t>
      </w:r>
      <w:hyperlink w:anchor="_ENREF_365" w:tooltip="Xu, 2010 #23" w:history="1">
        <w:r w:rsidR="00950097" w:rsidRPr="009819CE">
          <w:rPr>
            <w:rFonts w:cstheme="minorBidi"/>
            <w:noProof/>
            <w:shd w:val="clear" w:color="auto" w:fill="FFFFFF"/>
          </w:rPr>
          <w:t>Xu et al., 2010</w:t>
        </w:r>
      </w:hyperlink>
      <w:r w:rsidR="00D50EFF" w:rsidRPr="009819CE">
        <w:rPr>
          <w:rFonts w:cstheme="minorBidi"/>
          <w:noProof/>
          <w:shd w:val="clear" w:color="auto" w:fill="FFFFFF"/>
        </w:rPr>
        <w:t>)</w:t>
      </w:r>
      <w:r w:rsidRPr="009819CE">
        <w:rPr>
          <w:rFonts w:cstheme="minorBidi"/>
          <w:shd w:val="clear" w:color="auto" w:fill="FFFFFF"/>
        </w:rPr>
        <w:fldChar w:fldCharType="end"/>
      </w:r>
      <w:r w:rsidRPr="009819CE">
        <w:rPr>
          <w:rFonts w:cstheme="minorBidi"/>
          <w:shd w:val="clear" w:color="auto" w:fill="FFFFFF"/>
        </w:rPr>
        <w:t xml:space="preserve">, and Genotype III reported in </w:t>
      </w:r>
      <w:r w:rsidR="00DF6E16" w:rsidRPr="009819CE">
        <w:rPr>
          <w:rFonts w:cstheme="minorBidi"/>
          <w:shd w:val="clear" w:color="auto" w:fill="FFFFFF"/>
        </w:rPr>
        <w:t>b</w:t>
      </w:r>
      <w:r w:rsidR="00134E2F" w:rsidRPr="009819CE">
        <w:rPr>
          <w:rFonts w:cstheme="minorBidi"/>
          <w:shd w:val="clear" w:color="auto" w:fill="FFFFFF"/>
        </w:rPr>
        <w:t>lue crab (</w:t>
      </w:r>
      <w:r w:rsidRPr="009819CE">
        <w:rPr>
          <w:rFonts w:cstheme="minorBidi"/>
          <w:i/>
          <w:iCs/>
          <w:shd w:val="clear" w:color="auto" w:fill="FFFFFF"/>
        </w:rPr>
        <w:t>Callinectes sapidus</w:t>
      </w:r>
      <w:r w:rsidR="00134E2F" w:rsidRPr="009819CE">
        <w:rPr>
          <w:rFonts w:cstheme="minorBidi"/>
          <w:shd w:val="clear" w:color="auto" w:fill="FFFFFF"/>
        </w:rPr>
        <w:t>)</w:t>
      </w:r>
      <w:r w:rsidRPr="009819CE">
        <w:rPr>
          <w:rFonts w:cstheme="minorBidi"/>
          <w:i/>
          <w:iCs/>
          <w:shd w:val="clear" w:color="auto" w:fill="FFFFFF"/>
        </w:rPr>
        <w:t xml:space="preserve"> </w:t>
      </w:r>
      <w:r w:rsidRPr="009819CE">
        <w:rPr>
          <w:rFonts w:cstheme="minorBidi"/>
          <w:shd w:val="clear" w:color="auto" w:fill="FFFFFF"/>
        </w:rPr>
        <w:t xml:space="preserve">and other crustacean hosts in the east coast of the U.S. </w:t>
      </w:r>
      <w:r w:rsidRPr="009819CE">
        <w:rPr>
          <w:rFonts w:cstheme="minorBidi"/>
          <w:shd w:val="clear" w:color="auto" w:fill="FFFFFF"/>
        </w:rPr>
        <w:fldChar w:fldCharType="begin"/>
      </w:r>
      <w:r w:rsidR="00ED1A9E" w:rsidRPr="009819CE">
        <w:rPr>
          <w:rFonts w:cstheme="minorBidi"/>
          <w:shd w:val="clear" w:color="auto" w:fill="FFFFFF"/>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shd w:val="clear" w:color="auto" w:fill="FFFFFF"/>
        </w:rPr>
        <w:fldChar w:fldCharType="separate"/>
      </w:r>
      <w:r w:rsidR="00D50EFF" w:rsidRPr="001F4A34">
        <w:rPr>
          <w:rFonts w:cstheme="minorBidi"/>
          <w:shd w:val="clear" w:color="auto" w:fill="FFFFFF"/>
        </w:rPr>
        <w:t>(</w:t>
      </w:r>
      <w:hyperlink w:anchor="_ENREF_241" w:tooltip="Pagenkopp Lohan, 2012 #25" w:history="1">
        <w:r w:rsidR="00950097" w:rsidRPr="001F4A34">
          <w:rPr>
            <w:rFonts w:cstheme="minorBidi"/>
            <w:shd w:val="clear" w:color="auto" w:fill="FFFFFF"/>
          </w:rPr>
          <w:t>Pagenkopp Lohan et al., 2012</w:t>
        </w:r>
      </w:hyperlink>
      <w:r w:rsidR="00D50EFF" w:rsidRPr="001F4A34">
        <w:rPr>
          <w:rFonts w:cstheme="minorBidi"/>
          <w:shd w:val="clear" w:color="auto" w:fill="FFFFFF"/>
        </w:rPr>
        <w:t>)</w:t>
      </w:r>
      <w:r w:rsidRPr="009819CE">
        <w:rPr>
          <w:rFonts w:cstheme="minorBidi"/>
          <w:shd w:val="clear" w:color="auto" w:fill="FFFFFF"/>
        </w:rPr>
        <w:fldChar w:fldCharType="end"/>
      </w:r>
      <w:r w:rsidRPr="009819CE">
        <w:rPr>
          <w:rFonts w:cstheme="minorBidi"/>
          <w:color w:val="000000"/>
        </w:rPr>
        <w:t xml:space="preserve">. </w:t>
      </w:r>
      <w:hyperlink w:anchor="_ENREF_361" w:tooltip="Xiao, 2016 #350" w:history="1">
        <w:r w:rsidR="00950097" w:rsidRPr="009819CE">
          <w:rPr>
            <w:rFonts w:cstheme="minorBidi"/>
          </w:rPr>
          <w:fldChar w:fldCharType="begin"/>
        </w:r>
        <w:r w:rsidR="00950097" w:rsidRPr="009819CE">
          <w:rPr>
            <w:rFonts w:cstheme="minorBidi"/>
          </w:rPr>
          <w:instrText xml:space="preserve"> ADDIN EN.CITE &lt;EndNote&gt;&lt;Cite AuthorYear="1"&gt;&lt;Author&gt;Xiao&lt;/Author&gt;&lt;Year&gt;2016&lt;/Year&gt;&lt;RecNum&gt;350&lt;/RecNum&gt;&lt;DisplayText&gt;Xiao et al. (2016)&lt;/DisplayText&gt;&lt;record&gt;&lt;rec-number&gt;350&lt;/rec-number&gt;&lt;foreign-keys&gt;&lt;key app="EN" db-id="sd9wrx9fj09rx3erprsx999o0r5aprvp2zse" timestamp="1687855901" guid="6c9320b5-dff6-4423-9911-54cbf971fd46"&gt;350&lt;/key&gt;&lt;/foreign-keys&gt;&lt;ref-type name="Journal Article"&gt;17&lt;/ref-type&gt;&lt;contributors&gt;&lt;authors&gt;&lt;author&gt;Xiao, Jie&lt;/author&gt;&lt;author&gt;Miao, Xiaoxiang&lt;/author&gt;&lt;author&gt;Li, Caiwen&lt;/author&gt;&lt;author&gt;Xu, Wenjun&lt;/author&gt;&lt;author&gt;Zhang, Xuelei&lt;/author&gt;&lt;author&gt;Wang, Zongling&lt;/author&gt;&lt;/authors&gt;&lt;/contributors&gt;&lt;titles&gt;&lt;title&gt;&lt;style face="normal" font="default" size="100%"&gt;Genetic variations of the parasitic dinoflagellate &lt;/style&gt;&lt;style face="italic" font="default" size="100%"&gt;Hematodinium&lt;/style&gt;&lt;style face="normal" font="default" size="100%"&gt; infecting cultured marine crustaceans in China&lt;/style&gt;&lt;/title&gt;&lt;secondary-title&gt;Protist&lt;/secondary-title&gt;&lt;/titles&gt;&lt;periodical&gt;&lt;full-title&gt;Protist&lt;/full-title&gt;&lt;/periodical&gt;&lt;pages&gt;597-609&lt;/pages&gt;&lt;volume&gt;167&lt;/volume&gt;&lt;number&gt;6&lt;/number&gt;&lt;keywords&gt;&lt;keyword&gt;Crustacean&lt;/keyword&gt;&lt;keyword&gt;haplotype.&lt;/keyword&gt;&lt;keyword&gt;molecular diversity&lt;/keyword&gt;&lt;keyword&gt;parasitic dinoflagellate&lt;/keyword&gt;&lt;keyword&gt;phylogenetic structure&lt;/keyword&gt;&lt;keyword&gt;ribosome RNA&lt;/keyword&gt;&lt;/keywords&gt;&lt;dates&gt;&lt;year&gt;2016&lt;/year&gt;&lt;pub-dates&gt;&lt;date&gt;2016/12//&lt;/date&gt;&lt;/pub-dates&gt;&lt;/dates&gt;&lt;publisher&gt;Elsevier GmbH.&lt;/publisher&gt;&lt;urls&gt;&lt;related-urls&gt;&lt;url&gt;http://dx.doi.org/10.1016/j.protis.2016.10.003&lt;/url&gt;&lt;url&gt;https://linkinghub.elsevier.com/retrieve/pii/S1434461016300645&lt;/url&gt;&lt;/related-urls&gt;&lt;/urls&gt;&lt;electronic-resource-num&gt;10.1016/j.protis.2016.10.003&lt;/electronic-resource-num&gt;&lt;/record&gt;&lt;/Cite&gt;&lt;/EndNote&gt;</w:instrText>
        </w:r>
        <w:r w:rsidR="00950097" w:rsidRPr="009819CE">
          <w:rPr>
            <w:rFonts w:cstheme="minorBidi"/>
          </w:rPr>
          <w:fldChar w:fldCharType="separate"/>
        </w:r>
        <w:r w:rsidR="00950097" w:rsidRPr="009819CE">
          <w:rPr>
            <w:rFonts w:cstheme="minorBidi"/>
          </w:rPr>
          <w:t>Xiao et al. (2016)</w:t>
        </w:r>
        <w:r w:rsidR="00950097" w:rsidRPr="009819CE">
          <w:rPr>
            <w:rFonts w:cstheme="minorBidi"/>
          </w:rPr>
          <w:fldChar w:fldCharType="end"/>
        </w:r>
      </w:hyperlink>
      <w:r w:rsidRPr="009819CE">
        <w:rPr>
          <w:rFonts w:cstheme="minorBidi"/>
          <w:shd w:val="clear" w:color="auto" w:fill="FFFFFF"/>
        </w:rPr>
        <w:t xml:space="preserve"> </w:t>
      </w:r>
      <w:r w:rsidR="00D22C74" w:rsidRPr="009819CE">
        <w:rPr>
          <w:rFonts w:cstheme="minorBidi"/>
          <w:shd w:val="clear" w:color="auto" w:fill="FFFFFF"/>
        </w:rPr>
        <w:t xml:space="preserve">reported </w:t>
      </w:r>
      <w:r w:rsidRPr="009819CE">
        <w:rPr>
          <w:rFonts w:cstheme="minorBidi"/>
          <w:shd w:val="clear" w:color="auto" w:fill="FFFFFF"/>
        </w:rPr>
        <w:t xml:space="preserve">a novel strain of </w:t>
      </w:r>
      <w:r w:rsidRPr="009819CE">
        <w:rPr>
          <w:rFonts w:cstheme="minorBidi"/>
          <w:i/>
          <w:iCs/>
          <w:shd w:val="clear" w:color="auto" w:fill="FFFFFF"/>
        </w:rPr>
        <w:t xml:space="preserve">H. perezi </w:t>
      </w:r>
      <w:r w:rsidRPr="009819CE">
        <w:rPr>
          <w:rFonts w:cstheme="minorBidi"/>
          <w:shd w:val="clear" w:color="auto" w:fill="FFFFFF"/>
        </w:rPr>
        <w:t>in</w:t>
      </w:r>
      <w:r w:rsidR="00DF6E16" w:rsidRPr="009819CE">
        <w:rPr>
          <w:rFonts w:cstheme="minorBidi"/>
          <w:color w:val="000000"/>
        </w:rPr>
        <w:t xml:space="preserve"> </w:t>
      </w:r>
      <w:r w:rsidR="00FE7D9B" w:rsidRPr="00FA7D47">
        <w:rPr>
          <w:rFonts w:cstheme="minorBidi"/>
          <w:color w:val="000000"/>
        </w:rPr>
        <w:t>r</w:t>
      </w:r>
      <w:r w:rsidR="00DF6E16" w:rsidRPr="009819CE">
        <w:rPr>
          <w:rFonts w:cstheme="minorBidi"/>
          <w:color w:val="000000"/>
        </w:rPr>
        <w:t>idgetail white prawns</w:t>
      </w:r>
      <w:r w:rsidRPr="009819CE">
        <w:rPr>
          <w:rFonts w:cstheme="minorBidi"/>
          <w:shd w:val="clear" w:color="auto" w:fill="FFFFFF"/>
        </w:rPr>
        <w:t xml:space="preserve"> </w:t>
      </w:r>
      <w:r w:rsidR="00DF6E16" w:rsidRPr="009819CE">
        <w:rPr>
          <w:rFonts w:cstheme="minorBidi"/>
          <w:shd w:val="clear" w:color="auto" w:fill="FFFFFF"/>
        </w:rPr>
        <w:t>(</w:t>
      </w:r>
      <w:r w:rsidRPr="009819CE">
        <w:rPr>
          <w:rFonts w:cstheme="minorBidi"/>
          <w:i/>
          <w:iCs/>
          <w:shd w:val="clear" w:color="auto" w:fill="FFFFFF"/>
        </w:rPr>
        <w:t>Exopalaemon carinicauda</w:t>
      </w:r>
      <w:r w:rsidR="00DF6E16" w:rsidRPr="009819CE">
        <w:rPr>
          <w:rFonts w:cstheme="minorBidi"/>
          <w:shd w:val="clear" w:color="auto" w:fill="FFFFFF"/>
        </w:rPr>
        <w:t xml:space="preserve">) </w:t>
      </w:r>
      <w:r w:rsidRPr="009819CE">
        <w:rPr>
          <w:rFonts w:cstheme="minorBidi"/>
          <w:shd w:val="clear" w:color="auto" w:fill="FFFFFF"/>
        </w:rPr>
        <w:t xml:space="preserve">from Zhejiang province, which diverged from the three known genotypes. This study also revealed the presence of up to 8 ITS haplotypes within populations of </w:t>
      </w:r>
      <w:r w:rsidRPr="009819CE">
        <w:rPr>
          <w:rFonts w:cstheme="minorBidi"/>
          <w:i/>
          <w:iCs/>
          <w:shd w:val="clear" w:color="auto" w:fill="FFFFFF"/>
        </w:rPr>
        <w:t>H. perezi</w:t>
      </w:r>
      <w:r w:rsidRPr="009819CE">
        <w:rPr>
          <w:rFonts w:cstheme="minorBidi"/>
          <w:shd w:val="clear" w:color="auto" w:fill="FFFFFF"/>
        </w:rPr>
        <w:t xml:space="preserve"> (genotype II) along the coast of China.</w:t>
      </w:r>
    </w:p>
    <w:p w14:paraId="7AB9AA84" w14:textId="1EC73B19" w:rsidR="00A442DD" w:rsidRPr="009819CE" w:rsidRDefault="00A442DD" w:rsidP="000A2C4B">
      <w:pPr>
        <w:rPr>
          <w:rFonts w:cstheme="minorBidi"/>
        </w:rPr>
      </w:pPr>
      <w:r w:rsidRPr="009819CE">
        <w:rPr>
          <w:rFonts w:cstheme="minorBidi"/>
          <w:shd w:val="clear" w:color="auto" w:fill="FFFFFF"/>
        </w:rPr>
        <w:t>Crustaceans residing in deep, stenohaline waters, such as </w:t>
      </w:r>
      <w:r w:rsidR="004A74DD" w:rsidRPr="009819CE">
        <w:rPr>
          <w:rFonts w:cstheme="minorBidi"/>
          <w:shd w:val="clear" w:color="auto" w:fill="FFFFFF"/>
        </w:rPr>
        <w:t>snow crab (</w:t>
      </w:r>
      <w:r w:rsidRPr="009819CE">
        <w:rPr>
          <w:rFonts w:cstheme="minorBidi"/>
          <w:i/>
          <w:iCs/>
          <w:shd w:val="clear" w:color="auto" w:fill="FFFFFF"/>
        </w:rPr>
        <w:t>Chionoecetes opilio</w:t>
      </w:r>
      <w:r w:rsidR="004A74DD" w:rsidRPr="009819CE">
        <w:rPr>
          <w:rFonts w:cstheme="minorBidi"/>
          <w:shd w:val="clear" w:color="auto" w:fill="FFFFFF"/>
        </w:rPr>
        <w:t>)</w:t>
      </w:r>
      <w:r w:rsidRPr="009819CE">
        <w:rPr>
          <w:rFonts w:cstheme="minorBidi"/>
          <w:i/>
          <w:iCs/>
          <w:shd w:val="clear" w:color="auto" w:fill="FFFFFF"/>
        </w:rPr>
        <w:t xml:space="preserve">, </w:t>
      </w:r>
      <w:r w:rsidR="00FE7D9B" w:rsidRPr="00FA7D47">
        <w:rPr>
          <w:rFonts w:cstheme="minorBidi"/>
          <w:color w:val="000000"/>
        </w:rPr>
        <w:t xml:space="preserve">tanner </w:t>
      </w:r>
      <w:r w:rsidR="004A74DD" w:rsidRPr="009819CE">
        <w:rPr>
          <w:rFonts w:cstheme="minorBidi"/>
          <w:color w:val="000000"/>
        </w:rPr>
        <w:t>crab</w:t>
      </w:r>
      <w:r w:rsidR="004A74DD" w:rsidRPr="009819CE">
        <w:rPr>
          <w:rFonts w:cstheme="minorBidi"/>
          <w:i/>
          <w:iCs/>
          <w:shd w:val="clear" w:color="auto" w:fill="FFFFFF"/>
        </w:rPr>
        <w:t xml:space="preserve"> </w:t>
      </w:r>
      <w:r w:rsidR="004A74DD" w:rsidRPr="009819CE">
        <w:rPr>
          <w:rFonts w:cstheme="minorBidi"/>
          <w:shd w:val="clear" w:color="auto" w:fill="FFFFFF"/>
        </w:rPr>
        <w:t>(</w:t>
      </w:r>
      <w:r w:rsidRPr="009819CE">
        <w:rPr>
          <w:rFonts w:cstheme="minorBidi"/>
          <w:i/>
          <w:iCs/>
          <w:shd w:val="clear" w:color="auto" w:fill="FFFFFF"/>
        </w:rPr>
        <w:t>Chionoecetes bairdi</w:t>
      </w:r>
      <w:r w:rsidR="004A74DD" w:rsidRPr="009819CE">
        <w:rPr>
          <w:rFonts w:cstheme="minorBidi"/>
          <w:shd w:val="clear" w:color="auto" w:fill="FFFFFF"/>
        </w:rPr>
        <w:t>)</w:t>
      </w:r>
      <w:r w:rsidRPr="009819CE">
        <w:rPr>
          <w:rFonts w:cstheme="minorBidi"/>
          <w:i/>
          <w:iCs/>
          <w:shd w:val="clear" w:color="auto" w:fill="FFFFFF"/>
        </w:rPr>
        <w:t>,</w:t>
      </w:r>
      <w:r w:rsidR="004A74DD" w:rsidRPr="009819CE">
        <w:rPr>
          <w:rFonts w:cstheme="minorBidi"/>
          <w:color w:val="000000"/>
        </w:rPr>
        <w:t xml:space="preserve"> </w:t>
      </w:r>
      <w:r w:rsidR="00FE7D9B" w:rsidRPr="00FA7D47">
        <w:rPr>
          <w:rFonts w:cstheme="minorBidi"/>
          <w:color w:val="000000"/>
        </w:rPr>
        <w:t xml:space="preserve">grooved </w:t>
      </w:r>
      <w:r w:rsidR="004A74DD" w:rsidRPr="009819CE">
        <w:rPr>
          <w:rFonts w:cstheme="minorBidi"/>
          <w:color w:val="000000"/>
        </w:rPr>
        <w:t>tanner crab (</w:t>
      </w:r>
      <w:r w:rsidR="004A74DD" w:rsidRPr="009819CE">
        <w:rPr>
          <w:rFonts w:cstheme="minorBidi"/>
          <w:i/>
          <w:iCs/>
          <w:shd w:val="clear" w:color="auto" w:fill="FFFFFF"/>
        </w:rPr>
        <w:t>Chionoecetes tanneri</w:t>
      </w:r>
      <w:r w:rsidR="004A74DD" w:rsidRPr="009819CE">
        <w:rPr>
          <w:rFonts w:cstheme="minorBidi"/>
          <w:color w:val="000000"/>
        </w:rPr>
        <w:t>)</w:t>
      </w:r>
      <w:r w:rsidR="00480BC1" w:rsidRPr="009819CE">
        <w:rPr>
          <w:rFonts w:cstheme="minorBidi"/>
          <w:color w:val="000000"/>
        </w:rPr>
        <w:t xml:space="preserve"> </w:t>
      </w:r>
      <w:r w:rsidRPr="009819CE">
        <w:rPr>
          <w:rFonts w:cstheme="minorBidi"/>
          <w:shd w:val="clear" w:color="auto" w:fill="FFFFFF"/>
        </w:rPr>
        <w:t>and</w:t>
      </w:r>
      <w:r w:rsidR="00480BC1" w:rsidRPr="009819CE">
        <w:rPr>
          <w:rFonts w:cstheme="minorBidi"/>
          <w:shd w:val="clear" w:color="auto" w:fill="FFFFFF"/>
        </w:rPr>
        <w:t xml:space="preserve"> Norway lobster</w:t>
      </w:r>
      <w:r w:rsidR="00773B51" w:rsidRPr="009819CE">
        <w:rPr>
          <w:rFonts w:cstheme="minorBidi"/>
          <w:shd w:val="clear" w:color="auto" w:fill="FFFFFF"/>
        </w:rPr>
        <w:t>s</w:t>
      </w:r>
      <w:r w:rsidR="00480BC1" w:rsidRPr="009819CE">
        <w:rPr>
          <w:rFonts w:cstheme="minorBidi"/>
          <w:shd w:val="clear" w:color="auto" w:fill="FFFFFF"/>
        </w:rPr>
        <w:t xml:space="preserve"> (</w:t>
      </w:r>
      <w:r w:rsidR="00C31E47" w:rsidRPr="009819CE">
        <w:rPr>
          <w:rFonts w:cstheme="minorBidi"/>
          <w:i/>
          <w:iCs/>
          <w:shd w:val="clear" w:color="auto" w:fill="FFFFFF"/>
        </w:rPr>
        <w:t>Nephrops</w:t>
      </w:r>
      <w:r w:rsidRPr="009819CE">
        <w:rPr>
          <w:rFonts w:cstheme="minorBidi"/>
          <w:i/>
          <w:iCs/>
          <w:shd w:val="clear" w:color="auto" w:fill="FFFFFF"/>
        </w:rPr>
        <w:t xml:space="preserve"> norvegicus</w:t>
      </w:r>
      <w:r w:rsidR="00480BC1" w:rsidRPr="009819CE">
        <w:rPr>
          <w:rFonts w:cstheme="minorBidi"/>
          <w:shd w:val="clear" w:color="auto" w:fill="FFFFFF"/>
        </w:rPr>
        <w:t>)</w:t>
      </w:r>
      <w:r w:rsidRPr="009819CE">
        <w:rPr>
          <w:rFonts w:cstheme="minorBidi"/>
          <w:shd w:val="clear" w:color="auto" w:fill="FFFFFF"/>
        </w:rPr>
        <w:t>, are infected by yet another genotype of </w:t>
      </w:r>
      <w:r w:rsidR="009D03F4" w:rsidRPr="009819CE">
        <w:rPr>
          <w:rFonts w:cstheme="minorBidi"/>
          <w:i/>
          <w:iCs/>
          <w:shd w:val="clear" w:color="auto" w:fill="FFFFFF"/>
        </w:rPr>
        <w:t>Hematodinium</w:t>
      </w:r>
      <w:r w:rsidRPr="009819CE">
        <w:rPr>
          <w:rFonts w:cstheme="minorBidi"/>
          <w:shd w:val="clear" w:color="auto" w:fill="FFFFFF"/>
        </w:rPr>
        <w:t> distinct</w:t>
      </w:r>
      <w:r w:rsidR="000A2C4B" w:rsidRPr="009819CE">
        <w:rPr>
          <w:rFonts w:cstheme="minorBidi"/>
          <w:shd w:val="clear" w:color="auto" w:fill="FFFFFF"/>
        </w:rPr>
        <w:t xml:space="preserve"> </w:t>
      </w:r>
      <w:r w:rsidRPr="009819CE">
        <w:rPr>
          <w:rFonts w:cstheme="minorBidi"/>
          <w:shd w:val="clear" w:color="auto" w:fill="FFFFFF"/>
        </w:rPr>
        <w:t>from </w:t>
      </w:r>
      <w:r w:rsidR="00237B91" w:rsidRPr="009819CE">
        <w:rPr>
          <w:rFonts w:cstheme="minorBidi"/>
          <w:i/>
          <w:iCs/>
          <w:shd w:val="clear" w:color="auto" w:fill="FFFFFF"/>
        </w:rPr>
        <w:t>H</w:t>
      </w:r>
      <w:r w:rsidR="00302A62" w:rsidRPr="009819CE">
        <w:rPr>
          <w:rFonts w:cstheme="minorBidi"/>
          <w:i/>
          <w:iCs/>
          <w:shd w:val="clear" w:color="auto" w:fill="FFFFFF"/>
        </w:rPr>
        <w:t xml:space="preserve">. </w:t>
      </w:r>
      <w:r w:rsidRPr="009819CE">
        <w:rPr>
          <w:rFonts w:cstheme="minorBidi"/>
          <w:i/>
          <w:iCs/>
          <w:shd w:val="clear" w:color="auto" w:fill="FFFFFF"/>
        </w:rPr>
        <w:t>perezi</w:t>
      </w:r>
      <w:r w:rsidRPr="009819CE">
        <w:rPr>
          <w:rFonts w:cstheme="minorBidi"/>
          <w:shd w:val="clear" w:color="auto" w:fill="FFFFFF"/>
        </w:rPr>
        <w:t> and </w:t>
      </w:r>
      <w:r w:rsidR="00237B91" w:rsidRPr="009819CE">
        <w:rPr>
          <w:rFonts w:cstheme="minorBidi"/>
          <w:i/>
          <w:iCs/>
          <w:shd w:val="clear" w:color="auto" w:fill="FFFFFF"/>
        </w:rPr>
        <w:t>H</w:t>
      </w:r>
      <w:r w:rsidR="00302A62" w:rsidRPr="009819CE">
        <w:rPr>
          <w:rFonts w:cstheme="minorBidi"/>
          <w:i/>
          <w:iCs/>
          <w:shd w:val="clear" w:color="auto" w:fill="FFFFFF"/>
        </w:rPr>
        <w:t xml:space="preserve">. </w:t>
      </w:r>
      <w:r w:rsidRPr="009819CE">
        <w:rPr>
          <w:rFonts w:cstheme="minorBidi"/>
          <w:i/>
          <w:iCs/>
          <w:shd w:val="clear" w:color="auto" w:fill="FFFFFF"/>
        </w:rPr>
        <w:t>australis</w:t>
      </w:r>
      <w:r w:rsidRPr="009819CE">
        <w:rPr>
          <w:rFonts w:cstheme="minorBidi"/>
          <w:shd w:val="clear" w:color="auto" w:fill="FFFFFF"/>
        </w:rPr>
        <w:t xml:space="preserve"> </w:t>
      </w:r>
      <w:r w:rsidRPr="009819CE">
        <w:rPr>
          <w:rFonts w:cstheme="minorBidi"/>
          <w:color w:val="000000"/>
          <w:shd w:val="clear" w:color="auto" w:fill="FFFFFF"/>
        </w:rPr>
        <w:fldChar w:fldCharType="begin">
          <w:fldData xml:space="preserve">PEVuZE5vdGU+PENpdGU+PEF1dGhvcj5IYW5pZjwvQXV0aG9yPjxZZWFyPjIwMTM8L1llYXI+PFJl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</w:fldData>
        </w:fldChar>
      </w:r>
      <w:r w:rsidR="00D50EFF" w:rsidRPr="009819CE">
        <w:rPr>
          <w:rFonts w:cstheme="minorBidi"/>
          <w:color w:val="000000"/>
          <w:shd w:val="clear" w:color="auto" w:fill="FFFFFF"/>
        </w:rPr>
        <w:instrText xml:space="preserve"> ADDIN EN.CITE </w:instrText>
      </w:r>
      <w:r w:rsidR="00D50EFF" w:rsidRPr="009819CE">
        <w:rPr>
          <w:rFonts w:cstheme="minorBidi"/>
          <w:color w:val="000000"/>
          <w:shd w:val="clear" w:color="auto" w:fill="FFFFFF"/>
        </w:rPr>
        <w:fldChar w:fldCharType="begin">
          <w:fldData xml:space="preserve">PEVuZE5vdGU+PENpdGU+PEF1dGhvcj5IYW5pZjwvQXV0aG9yPjxZZWFyPjIwMTM8L1llYXI+PFJl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</w:fldData>
        </w:fldChar>
      </w:r>
      <w:r w:rsidR="00D50EFF" w:rsidRPr="009819CE">
        <w:rPr>
          <w:rFonts w:cstheme="minorBidi"/>
          <w:color w:val="000000"/>
          <w:shd w:val="clear" w:color="auto" w:fill="FFFFFF"/>
        </w:rPr>
        <w:instrText xml:space="preserve"> ADDIN EN.CITE.DATA </w:instrText>
      </w:r>
      <w:r w:rsidR="00D50EFF" w:rsidRPr="009819CE">
        <w:rPr>
          <w:rFonts w:cstheme="minorBidi"/>
          <w:color w:val="000000"/>
          <w:shd w:val="clear" w:color="auto" w:fill="FFFFFF"/>
        </w:rPr>
      </w:r>
      <w:r w:rsidR="00D50EFF" w:rsidRPr="009819CE">
        <w:rPr>
          <w:rFonts w:cstheme="minorBidi"/>
          <w:color w:val="000000"/>
          <w:shd w:val="clear" w:color="auto" w:fill="FFFFFF"/>
        </w:rPr>
        <w:fldChar w:fldCharType="end"/>
      </w:r>
      <w:r w:rsidRPr="009819CE">
        <w:rPr>
          <w:rFonts w:cstheme="minorBidi"/>
          <w:color w:val="000000"/>
          <w:shd w:val="clear" w:color="auto" w:fill="FFFFFF"/>
        </w:rPr>
      </w:r>
      <w:r w:rsidRPr="009819CE">
        <w:rPr>
          <w:rFonts w:cstheme="minorBidi"/>
          <w:color w:val="000000"/>
          <w:shd w:val="clear" w:color="auto" w:fill="FFFFFF"/>
        </w:rPr>
        <w:fldChar w:fldCharType="separate"/>
      </w:r>
      <w:r w:rsidR="00D50EFF" w:rsidRPr="009819CE">
        <w:rPr>
          <w:rFonts w:cstheme="minorBidi"/>
          <w:color w:val="000000"/>
          <w:shd w:val="clear" w:color="auto" w:fill="FFFFFF"/>
        </w:rPr>
        <w:t>(</w:t>
      </w:r>
      <w:hyperlink w:anchor="_ENREF_125" w:tooltip="Hanif, 2013 #351" w:history="1">
        <w:r w:rsidR="00950097" w:rsidRPr="009819CE">
          <w:rPr>
            <w:rFonts w:cstheme="minorBidi"/>
            <w:color w:val="000000"/>
            <w:shd w:val="clear" w:color="auto" w:fill="FFFFFF"/>
          </w:rPr>
          <w:t>Hanif et al., 2013</w:t>
        </w:r>
      </w:hyperlink>
      <w:r w:rsidR="00D50EFF" w:rsidRPr="009819CE">
        <w:rPr>
          <w:rFonts w:cstheme="minorBidi"/>
          <w:color w:val="000000"/>
          <w:shd w:val="clear" w:color="auto" w:fill="FFFFFF"/>
        </w:rPr>
        <w:t xml:space="preserve">; </w:t>
      </w:r>
      <w:hyperlink w:anchor="_ENREF_156" w:tooltip="Jensen, 2010 #16" w:history="1">
        <w:r w:rsidR="00950097" w:rsidRPr="009819CE">
          <w:rPr>
            <w:rFonts w:cstheme="minorBidi"/>
            <w:color w:val="000000"/>
            <w:shd w:val="clear" w:color="auto" w:fill="FFFFFF"/>
          </w:rPr>
          <w:t>Jensen et al., 2010</w:t>
        </w:r>
      </w:hyperlink>
      <w:r w:rsidR="00D50EFF" w:rsidRPr="009819CE">
        <w:rPr>
          <w:rFonts w:cstheme="minorBidi"/>
          <w:color w:val="000000"/>
          <w:shd w:val="clear" w:color="auto" w:fill="FFFFFF"/>
        </w:rPr>
        <w:t>)</w:t>
      </w:r>
      <w:r w:rsidRPr="009819CE">
        <w:rPr>
          <w:rFonts w:cstheme="minorBidi"/>
          <w:color w:val="000000"/>
          <w:shd w:val="clear" w:color="auto" w:fill="FFFFFF"/>
        </w:rPr>
        <w:fldChar w:fldCharType="end"/>
      </w:r>
      <w:r w:rsidRPr="009819CE">
        <w:rPr>
          <w:rFonts w:cstheme="minorBidi"/>
          <w:i/>
          <w:iCs/>
          <w:color w:val="000000"/>
          <w:shd w:val="clear" w:color="auto" w:fill="FFFFFF"/>
        </w:rPr>
        <w:t xml:space="preserve"> </w:t>
      </w:r>
      <w:r w:rsidRPr="009819CE">
        <w:rPr>
          <w:rFonts w:cstheme="minorBidi"/>
          <w:shd w:val="clear" w:color="auto" w:fill="FFFFFF"/>
        </w:rPr>
        <w:t>(</w:t>
      </w:r>
      <w:r w:rsidR="00AA4C8F" w:rsidRPr="009819CE">
        <w:rPr>
          <w:rFonts w:cstheme="minorBidi"/>
        </w:rPr>
        <w:t>see</w:t>
      </w:r>
      <w:r w:rsidRPr="009819CE">
        <w:rPr>
          <w:rFonts w:cstheme="minorBidi"/>
        </w:rPr>
        <w:t xml:space="preserve"> </w:t>
      </w:r>
      <w:r w:rsidRPr="009819CE">
        <w:rPr>
          <w:rFonts w:cstheme="minorBidi"/>
          <w:b/>
          <w:bCs/>
        </w:rPr>
        <w:fldChar w:fldCharType="begin"/>
      </w:r>
      <w:r w:rsidRPr="009819CE">
        <w:rPr>
          <w:rFonts w:cstheme="minorBidi"/>
          <w:b/>
          <w:bCs/>
        </w:rPr>
        <w:instrText xml:space="preserve"> REF _Ref81511849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1.6</w:t>
      </w:r>
      <w:r w:rsidRPr="009819CE">
        <w:rPr>
          <w:rFonts w:cstheme="minorBidi"/>
          <w:b/>
          <w:bCs/>
        </w:rPr>
        <w:fldChar w:fldCharType="end"/>
      </w:r>
      <w:r w:rsidRPr="009819CE">
        <w:rPr>
          <w:rFonts w:cstheme="minorBidi"/>
        </w:rPr>
        <w:t xml:space="preserve">). This species, however, is yet to be formally identified and is therefore referred to as </w:t>
      </w:r>
      <w:r w:rsidR="009D03F4" w:rsidRPr="009819CE">
        <w:rPr>
          <w:rFonts w:cstheme="minorBidi"/>
          <w:i/>
        </w:rPr>
        <w:t>Hematodinium</w:t>
      </w:r>
      <w:r w:rsidRPr="009819CE">
        <w:rPr>
          <w:rFonts w:cstheme="minorBidi"/>
        </w:rPr>
        <w:t xml:space="preserve"> sp. </w:t>
      </w:r>
    </w:p>
    <w:p w14:paraId="3FCF7626" w14:textId="740C6C12" w:rsidR="00A442DD" w:rsidRPr="009819CE" w:rsidRDefault="00A442DD" w:rsidP="00A442DD">
      <w:pPr>
        <w:rPr>
          <w:rFonts w:cstheme="minorBidi"/>
          <w:shd w:val="clear" w:color="auto" w:fill="FFFFFF"/>
        </w:rPr>
      </w:pPr>
      <w:r w:rsidRPr="009819CE">
        <w:rPr>
          <w:rFonts w:cstheme="minorBidi"/>
          <w:shd w:val="clear" w:color="auto" w:fill="FFFFFF"/>
        </w:rPr>
        <w:t xml:space="preserve">The genetic diversity and detailed genetic variation within </w:t>
      </w:r>
      <w:r w:rsidR="009D03F4" w:rsidRPr="009819CE">
        <w:rPr>
          <w:rFonts w:cstheme="minorBidi"/>
          <w:i/>
          <w:iCs/>
          <w:shd w:val="clear" w:color="auto" w:fill="FFFFFF"/>
        </w:rPr>
        <w:t>Hematodinium</w:t>
      </w:r>
      <w:r w:rsidRPr="009819CE">
        <w:rPr>
          <w:rFonts w:cstheme="minorBidi"/>
          <w:shd w:val="clear" w:color="auto" w:fill="FFFFFF"/>
        </w:rPr>
        <w:t xml:space="preserve"> sp. are not yet fully understood. </w:t>
      </w:r>
      <w:r w:rsidR="002424C3" w:rsidRPr="009819CE">
        <w:rPr>
          <w:rFonts w:cstheme="minorBidi"/>
          <w:shd w:val="clear" w:color="auto" w:fill="FFFFFF"/>
        </w:rPr>
        <w:t xml:space="preserve">Molecular studies of ITS1 region sequences from </w:t>
      </w:r>
      <w:r w:rsidR="009D03F4" w:rsidRPr="009819CE">
        <w:rPr>
          <w:rFonts w:cstheme="minorBidi"/>
          <w:i/>
          <w:iCs/>
          <w:shd w:val="clear" w:color="auto" w:fill="FFFFFF"/>
        </w:rPr>
        <w:t>Hematodinium</w:t>
      </w:r>
      <w:r w:rsidR="002424C3" w:rsidRPr="009819CE">
        <w:rPr>
          <w:rFonts w:cstheme="minorBidi"/>
          <w:shd w:val="clear" w:color="auto" w:fill="FFFFFF"/>
        </w:rPr>
        <w:t xml:space="preserve"> sp. infecting Norway lobsters (</w:t>
      </w:r>
      <w:r w:rsidR="00C31E47" w:rsidRPr="009819CE">
        <w:rPr>
          <w:rFonts w:cstheme="minorBidi"/>
          <w:i/>
          <w:iCs/>
          <w:shd w:val="clear" w:color="auto" w:fill="FFFFFF"/>
        </w:rPr>
        <w:t>Nephrops</w:t>
      </w:r>
      <w:r w:rsidR="002424C3" w:rsidRPr="009819CE">
        <w:rPr>
          <w:rFonts w:cstheme="minorBidi"/>
          <w:i/>
          <w:iCs/>
          <w:shd w:val="clear" w:color="auto" w:fill="FFFFFF"/>
        </w:rPr>
        <w:t xml:space="preserve"> norvegicus),</w:t>
      </w:r>
      <w:r w:rsidR="002424C3" w:rsidRPr="009819CE">
        <w:rPr>
          <w:rFonts w:cstheme="minorBidi"/>
          <w:shd w:val="clear" w:color="auto" w:fill="FFFFFF"/>
        </w:rPr>
        <w:t xml:space="preserve"> edible crabs (</w:t>
      </w:r>
      <w:r w:rsidR="002424C3" w:rsidRPr="009819CE">
        <w:rPr>
          <w:rFonts w:cstheme="minorBidi"/>
          <w:i/>
          <w:iCs/>
          <w:shd w:val="clear" w:color="auto" w:fill="FFFFFF"/>
        </w:rPr>
        <w:t>Cancer pagurus</w:t>
      </w:r>
      <w:r w:rsidR="002424C3" w:rsidRPr="009819CE">
        <w:rPr>
          <w:rFonts w:cstheme="minorBidi"/>
          <w:shd w:val="clear" w:color="auto" w:fill="FFFFFF"/>
        </w:rPr>
        <w:t>), hermit crabs (</w:t>
      </w:r>
      <w:r w:rsidR="002424C3" w:rsidRPr="009819CE">
        <w:rPr>
          <w:rFonts w:cstheme="minorBidi"/>
          <w:i/>
          <w:iCs/>
          <w:shd w:val="clear" w:color="auto" w:fill="FFFFFF"/>
        </w:rPr>
        <w:t>Pagurus bernhardus</w:t>
      </w:r>
      <w:r w:rsidR="002424C3" w:rsidRPr="009819CE">
        <w:rPr>
          <w:rFonts w:cstheme="minorBidi"/>
          <w:shd w:val="clear" w:color="auto" w:fill="FFFFFF"/>
        </w:rPr>
        <w:t>), and snow crabs (</w:t>
      </w:r>
      <w:r w:rsidR="002424C3" w:rsidRPr="009819CE">
        <w:rPr>
          <w:rFonts w:cstheme="minorBidi"/>
          <w:i/>
          <w:iCs/>
          <w:shd w:val="clear" w:color="auto" w:fill="FFFFFF"/>
        </w:rPr>
        <w:t>Chionoecetes opilio</w:t>
      </w:r>
      <w:r w:rsidR="002424C3" w:rsidRPr="009819CE">
        <w:rPr>
          <w:rFonts w:cstheme="minorBidi"/>
          <w:shd w:val="clear" w:color="auto" w:fill="FFFFFF"/>
        </w:rPr>
        <w:t xml:space="preserve">) suggest that these hosts are all infected by the same species of </w:t>
      </w:r>
      <w:r w:rsidR="009D03F4" w:rsidRPr="009819CE">
        <w:rPr>
          <w:rFonts w:cstheme="minorBidi"/>
          <w:i/>
          <w:shd w:val="clear" w:color="auto" w:fill="FFFFFF"/>
        </w:rPr>
        <w:t>Hematodinium</w:t>
      </w:r>
      <w:r w:rsidR="002424C3" w:rsidRPr="009819CE">
        <w:rPr>
          <w:rFonts w:cstheme="minorBidi"/>
          <w:shd w:val="clear" w:color="auto" w:fill="FFFFFF"/>
        </w:rPr>
        <w:t xml:space="preserve"> </w:t>
      </w:r>
      <w:r w:rsidR="00C5591B" w:rsidRPr="009819CE">
        <w:rPr>
          <w:rFonts w:cstheme="minorBidi"/>
          <w:shd w:val="clear" w:color="auto" w:fill="FFFFFF"/>
        </w:rPr>
        <w:t xml:space="preserve">sp. </w:t>
      </w:r>
      <w:r w:rsidRPr="009819CE">
        <w:rPr>
          <w:rFonts w:cstheme="minorBidi"/>
          <w:shd w:val="clear" w:color="auto" w:fill="FFFFFF"/>
        </w:rPr>
        <w:fldChar w:fldCharType="begin"/>
      </w:r>
      <w:r w:rsidR="00865D62" w:rsidRPr="009819CE">
        <w:rPr>
          <w:rFonts w:cstheme="minorBidi"/>
          <w:shd w:val="clear" w:color="auto" w:fill="FFFFFF"/>
        </w:rPr>
        <w:instrText xml:space="preserve"> ADDIN EN.CITE &lt;EndNote&gt;&lt;Cite&gt;&lt;Author&gt;Small&lt;/Author&gt;&lt;Year&gt;2007&lt;/Year&gt;&lt;RecNum&gt;167&lt;/RecNum&gt;&lt;DisplayText&gt;(Small et al., 2007b)&lt;/DisplayText&gt;&lt;record&gt;&lt;rec-number&gt;167&lt;/rec-number&gt;&lt;foreign-keys&gt;&lt;key app="EN" db-id="sd9wrx9fj09rx3erprsx999o0r5aprvp2zse" timestamp="1687855901" guid="08becde0-2d4e-4e7f-8f24-21062aae0494"&gt;167&lt;/key&gt;&lt;/foreign-keys&gt;&lt;ref-type name="Journal Article"&gt;17&lt;/ref-type&gt;&lt;contributors&gt;&lt;authors&gt;&lt;author&gt;Small, Hamish J.&lt;/author&gt;&lt;author&gt;Shields, Jeffrey D.&lt;/author&gt;&lt;author&gt;Moss, J. A.&lt;/author&gt;&lt;author&gt;Reece, Kimberly S.&lt;/author&gt;&lt;/authors&gt;&lt;/contributors&gt;&lt;titles&gt;&lt;title&gt;&lt;style face="normal" font="default" size="100%"&gt;Conservation in the first internal transcribed spacer region (ITS1) in &lt;/style&gt;&lt;style face="italic" font="default" size="100%"&gt;Hematodinium &lt;/style&gt;&lt;style face="normal" font="default" size="100%"&gt;species infecting crustacean hosts found in the UK and Newfoundland&lt;/style&gt;&lt;/title&gt;&lt;secondary-title&gt;Diseases of Aquatic Organisms&lt;/secondary-title&gt;&lt;/titles&gt;&lt;periodical&gt;&lt;full-title&gt;Diseases of Aquatic Organisms&lt;/full-title&gt;&lt;/periodical&gt;&lt;pages&gt;251-258&lt;/pages&gt;&lt;volume&gt;75&lt;/volume&gt;&lt;number&gt;3&lt;/number&gt;&lt;keywords&gt;&lt;keyword&gt;Conservation of ITS1&lt;/keyword&gt;&lt;keyword&gt;Crustacean hosts&lt;/keyword&gt;&lt;keyword&gt;Hematodinium&lt;/keyword&gt;&lt;keyword&gt;Parasite&lt;/keyword&gt;&lt;/keywords&gt;&lt;dates&gt;&lt;year&gt;2007&lt;/year&gt;&lt;pub-dates&gt;&lt;date&gt;2007/5//&lt;/date&gt;&lt;/pub-dates&gt;&lt;/dates&gt;&lt;urls&gt;&lt;related-urls&gt;&lt;url&gt;http://www.int-res.com/abstracts/dao/v75/n3/p251-258/&lt;/url&gt;&lt;url&gt;https://www.int-res.com/articles/dao2006/75/d075p251.pdf&lt;/url&gt;&lt;/related-urls&gt;&lt;/urls&gt;&lt;electronic-resource-num&gt;10.3354/dao075251&lt;/electronic-resource-num&gt;&lt;/record&gt;&lt;/Cite&gt;&lt;/EndNote&gt;</w:instrText>
      </w:r>
      <w:r w:rsidRPr="009819CE">
        <w:rPr>
          <w:rFonts w:cstheme="minorBidi"/>
          <w:shd w:val="clear" w:color="auto" w:fill="FFFFFF"/>
        </w:rPr>
        <w:fldChar w:fldCharType="separate"/>
      </w:r>
      <w:r w:rsidR="00865D62" w:rsidRPr="001F4A34">
        <w:rPr>
          <w:rFonts w:cstheme="minorBidi"/>
          <w:shd w:val="clear" w:color="auto" w:fill="FFFFFF"/>
        </w:rPr>
        <w:t>(</w:t>
      </w:r>
      <w:hyperlink w:anchor="_ENREF_292" w:tooltip="Small, 2007 #167" w:history="1">
        <w:r w:rsidR="00950097" w:rsidRPr="001F4A34">
          <w:rPr>
            <w:rFonts w:cstheme="minorBidi"/>
            <w:shd w:val="clear" w:color="auto" w:fill="FFFFFF"/>
          </w:rPr>
          <w:t>Small et al., 2007b</w:t>
        </w:r>
      </w:hyperlink>
      <w:r w:rsidR="00865D62" w:rsidRPr="001F4A34">
        <w:rPr>
          <w:rFonts w:cstheme="minorBidi"/>
          <w:shd w:val="clear" w:color="auto" w:fill="FFFFFF"/>
        </w:rPr>
        <w:t>)</w:t>
      </w:r>
      <w:r w:rsidRPr="009819CE">
        <w:rPr>
          <w:rFonts w:cstheme="minorBidi"/>
          <w:shd w:val="clear" w:color="auto" w:fill="FFFFFF"/>
        </w:rPr>
        <w:fldChar w:fldCharType="end"/>
      </w:r>
      <w:r w:rsidR="002424C3" w:rsidRPr="009819CE">
        <w:rPr>
          <w:rFonts w:cstheme="minorBidi"/>
          <w:shd w:val="clear" w:color="auto" w:fill="FFFFFF"/>
        </w:rPr>
        <w:t>.</w:t>
      </w:r>
    </w:p>
    <w:p w14:paraId="73CD870D" w14:textId="71BACC13" w:rsidR="00A5377C" w:rsidRPr="009819CE" w:rsidRDefault="00A442DD" w:rsidP="00A442DD">
      <w:pPr>
        <w:rPr>
          <w:rFonts w:cstheme="minorBidi"/>
          <w:shd w:val="clear" w:color="auto" w:fill="FFFFFF"/>
        </w:rPr>
      </w:pPr>
      <w:r w:rsidRPr="009819CE">
        <w:rPr>
          <w:rFonts w:cstheme="minorBidi"/>
          <w:shd w:val="clear" w:color="auto" w:fill="FFFFFF"/>
        </w:rPr>
        <w:t xml:space="preserve">Various authors have </w:t>
      </w:r>
      <w:r w:rsidR="00DC4B70" w:rsidRPr="009819CE">
        <w:rPr>
          <w:rFonts w:cstheme="minorBidi"/>
          <w:shd w:val="clear" w:color="auto" w:fill="FFFFFF"/>
        </w:rPr>
        <w:t>suggested</w:t>
      </w:r>
      <w:r w:rsidR="002945B3" w:rsidRPr="009819CE">
        <w:rPr>
          <w:rFonts w:cstheme="minorBidi"/>
          <w:shd w:val="clear" w:color="auto" w:fill="FFFFFF"/>
        </w:rPr>
        <w:t xml:space="preserve"> </w:t>
      </w:r>
      <w:r w:rsidRPr="009819CE">
        <w:rPr>
          <w:rFonts w:cstheme="minorBidi"/>
          <w:shd w:val="clear" w:color="auto" w:fill="FFFFFF"/>
        </w:rPr>
        <w:t>intra-host genotypic diversity, indicating the presence of multiple</w:t>
      </w:r>
      <w:r w:rsidR="005C06D1" w:rsidRPr="009819CE">
        <w:rPr>
          <w:rFonts w:cstheme="minorBidi"/>
          <w:shd w:val="clear" w:color="auto" w:fill="FFFFFF"/>
        </w:rPr>
        <w:t xml:space="preserve"> genetic </w:t>
      </w:r>
      <w:r w:rsidR="00DF2428" w:rsidRPr="009819CE">
        <w:rPr>
          <w:rFonts w:cstheme="minorBidi"/>
          <w:shd w:val="clear" w:color="auto" w:fill="FFFFFF"/>
        </w:rPr>
        <w:t xml:space="preserve">types </w:t>
      </w:r>
      <w:r w:rsidR="002945B3" w:rsidRPr="009819CE">
        <w:rPr>
          <w:rFonts w:cstheme="minorBidi"/>
          <w:shd w:val="clear" w:color="auto" w:fill="FFFFFF"/>
        </w:rPr>
        <w:t xml:space="preserve">or </w:t>
      </w:r>
      <w:r w:rsidR="00E826B9" w:rsidRPr="009819CE">
        <w:rPr>
          <w:rFonts w:cstheme="minorBidi"/>
          <w:shd w:val="clear" w:color="auto" w:fill="FFFFFF"/>
        </w:rPr>
        <w:t xml:space="preserve">phylogroups </w:t>
      </w:r>
      <w:r w:rsidR="00DF2428" w:rsidRPr="009819CE">
        <w:rPr>
          <w:rFonts w:cstheme="minorBidi"/>
          <w:shd w:val="clear" w:color="auto" w:fill="FFFFFF"/>
        </w:rPr>
        <w:t xml:space="preserve">of </w:t>
      </w:r>
      <w:r w:rsidR="009D03F4" w:rsidRPr="009819CE">
        <w:rPr>
          <w:rFonts w:cstheme="minorBidi"/>
          <w:i/>
          <w:iCs/>
          <w:shd w:val="clear" w:color="auto" w:fill="FFFFFF"/>
        </w:rPr>
        <w:t>Hematodinium</w:t>
      </w:r>
      <w:r w:rsidR="00DF2428" w:rsidRPr="009819CE">
        <w:rPr>
          <w:rFonts w:cstheme="minorBidi"/>
          <w:shd w:val="clear" w:color="auto" w:fill="FFFFFF"/>
        </w:rPr>
        <w:t xml:space="preserve"> </w:t>
      </w:r>
      <w:r w:rsidR="00DC4B70" w:rsidRPr="009819CE">
        <w:rPr>
          <w:rFonts w:cstheme="minorBidi"/>
          <w:shd w:val="clear" w:color="auto" w:fill="FFFFFF"/>
        </w:rPr>
        <w:t xml:space="preserve">sp. </w:t>
      </w:r>
      <w:r w:rsidR="00DF2428" w:rsidRPr="009819CE">
        <w:rPr>
          <w:rFonts w:cstheme="minorBidi"/>
          <w:shd w:val="clear" w:color="auto" w:fill="FFFFFF"/>
        </w:rPr>
        <w:t xml:space="preserve">in an individual host </w:t>
      </w:r>
      <w:r w:rsidR="0060618E" w:rsidRPr="009819CE">
        <w:rPr>
          <w:rFonts w:cstheme="minorBidi"/>
          <w:shd w:val="clear" w:color="auto" w:fill="FFFFFF"/>
        </w:rPr>
        <w:t>animal</w:t>
      </w:r>
      <w:r w:rsidRPr="009819CE">
        <w:rPr>
          <w:rFonts w:cstheme="minorBidi"/>
          <w:shd w:val="clear" w:color="auto" w:fill="FFFFFF"/>
        </w:rPr>
        <w:t xml:space="preserve">  </w:t>
      </w:r>
      <w:r w:rsidRPr="009819CE">
        <w:rPr>
          <w:rFonts w:cstheme="minorBidi"/>
          <w:shd w:val="clear" w:color="auto" w:fill="FFFFFF"/>
        </w:rPr>
        <w:fldChar w:fldCharType="begin">
          <w:fldData xml:space="preserve">PEVuZE5vdGU+PENpdGU+PEF1dGhvcj5FaWdlbWFubjwvQXV0aG9yPjxZZWFyPjIwMTA8L1llYXI+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</w:fldData>
        </w:fldChar>
      </w:r>
      <w:r w:rsidR="00D6567D" w:rsidRPr="009819CE">
        <w:rPr>
          <w:rFonts w:cstheme="minorBidi"/>
          <w:shd w:val="clear" w:color="auto" w:fill="FFFFFF"/>
        </w:rPr>
        <w:instrText xml:space="preserve"> ADDIN EN.CITE </w:instrText>
      </w:r>
      <w:r w:rsidR="00D6567D" w:rsidRPr="009819CE">
        <w:rPr>
          <w:rFonts w:cstheme="minorBidi"/>
          <w:shd w:val="clear" w:color="auto" w:fill="FFFFFF"/>
        </w:rPr>
        <w:fldChar w:fldCharType="begin">
          <w:fldData xml:space="preserve">PEVuZE5vdGU+PENpdGU+PEF1dGhvcj5FaWdlbWFubjwvQXV0aG9yPjxZZWFyPjIwMTA8L1llYXI+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</w:fldData>
        </w:fldChar>
      </w:r>
      <w:r w:rsidR="00D6567D" w:rsidRPr="009819CE">
        <w:rPr>
          <w:rFonts w:cstheme="minorBidi"/>
          <w:shd w:val="clear" w:color="auto" w:fill="FFFFFF"/>
        </w:rPr>
        <w:instrText xml:space="preserve"> ADDIN EN.CITE.DATA </w:instrText>
      </w:r>
      <w:r w:rsidR="00D6567D" w:rsidRPr="009819CE">
        <w:rPr>
          <w:rFonts w:cstheme="minorBidi"/>
          <w:shd w:val="clear" w:color="auto" w:fill="FFFFFF"/>
        </w:rPr>
      </w:r>
      <w:r w:rsidR="00D6567D" w:rsidRPr="009819CE">
        <w:rPr>
          <w:rFonts w:cstheme="minorBidi"/>
          <w:shd w:val="clear" w:color="auto" w:fill="FFFFFF"/>
        </w:rPr>
        <w:fldChar w:fldCharType="end"/>
      </w:r>
      <w:r w:rsidRPr="009819CE">
        <w:rPr>
          <w:rFonts w:cstheme="minorBidi"/>
          <w:shd w:val="clear" w:color="auto" w:fill="FFFFFF"/>
        </w:rPr>
      </w:r>
      <w:r w:rsidRPr="009819CE">
        <w:rPr>
          <w:rFonts w:cstheme="minorBidi"/>
          <w:shd w:val="clear" w:color="auto" w:fill="FFFFFF"/>
        </w:rPr>
        <w:fldChar w:fldCharType="separate"/>
      </w:r>
      <w:r w:rsidR="00DC4B70" w:rsidRPr="001F4A34">
        <w:rPr>
          <w:rFonts w:cstheme="minorBidi"/>
          <w:shd w:val="clear" w:color="auto" w:fill="FFFFFF"/>
        </w:rPr>
        <w:t>(</w:t>
      </w:r>
      <w:hyperlink w:anchor="_ENREF_82" w:tooltip="Eigemann, 2010 #358" w:history="1">
        <w:r w:rsidR="00950097" w:rsidRPr="001F4A34">
          <w:rPr>
            <w:rFonts w:cstheme="minorBidi"/>
            <w:shd w:val="clear" w:color="auto" w:fill="FFFFFF"/>
          </w:rPr>
          <w:t>Eigemann et al., 2010</w:t>
        </w:r>
      </w:hyperlink>
      <w:r w:rsidR="00DC4B70" w:rsidRPr="001F4A34">
        <w:rPr>
          <w:rFonts w:cstheme="minorBidi"/>
          <w:shd w:val="clear" w:color="auto" w:fill="FFFFFF"/>
        </w:rPr>
        <w:t xml:space="preserve">; </w:t>
      </w:r>
      <w:hyperlink w:anchor="_ENREF_156" w:tooltip="Jensen, 2010 #16" w:history="1">
        <w:r w:rsidR="00950097" w:rsidRPr="001F4A34">
          <w:rPr>
            <w:rFonts w:cstheme="minorBidi"/>
            <w:shd w:val="clear" w:color="auto" w:fill="FFFFFF"/>
          </w:rPr>
          <w:t>Jensen et al., 2010</w:t>
        </w:r>
      </w:hyperlink>
      <w:r w:rsidR="00DC4B70" w:rsidRPr="001F4A34">
        <w:rPr>
          <w:rFonts w:cstheme="minorBidi"/>
          <w:shd w:val="clear" w:color="auto" w:fill="FFFFFF"/>
        </w:rPr>
        <w:t xml:space="preserve">; </w:t>
      </w:r>
      <w:hyperlink w:anchor="_ENREF_240" w:tooltip="Pagenkopp Lohan, 2014 #357" w:history="1">
        <w:r w:rsidR="00950097" w:rsidRPr="001F4A34">
          <w:rPr>
            <w:rFonts w:cstheme="minorBidi"/>
            <w:shd w:val="clear" w:color="auto" w:fill="FFFFFF"/>
          </w:rPr>
          <w:t>Pagenkopp Lohan et al., 2014</w:t>
        </w:r>
      </w:hyperlink>
      <w:r w:rsidR="00DC4B70" w:rsidRPr="001F4A34">
        <w:rPr>
          <w:rFonts w:cstheme="minorBidi"/>
          <w:shd w:val="clear" w:color="auto" w:fill="FFFFFF"/>
        </w:rPr>
        <w:t xml:space="preserve">; </w:t>
      </w:r>
      <w:hyperlink w:anchor="_ENREF_292" w:tooltip="Small, 2007 #167" w:history="1">
        <w:r w:rsidR="00950097" w:rsidRPr="001F4A34">
          <w:rPr>
            <w:rFonts w:cstheme="minorBidi"/>
            <w:shd w:val="clear" w:color="auto" w:fill="FFFFFF"/>
          </w:rPr>
          <w:t>Small et al., 2007b</w:t>
        </w:r>
      </w:hyperlink>
      <w:r w:rsidR="00DC4B70" w:rsidRPr="001F4A34">
        <w:rPr>
          <w:rFonts w:cstheme="minorBidi"/>
          <w:shd w:val="clear" w:color="auto" w:fill="FFFFFF"/>
        </w:rPr>
        <w:t xml:space="preserve">; </w:t>
      </w:r>
      <w:hyperlink w:anchor="_ENREF_361" w:tooltip="Xiao, 2016 #350" w:history="1">
        <w:r w:rsidR="00950097" w:rsidRPr="001F4A34">
          <w:rPr>
            <w:rFonts w:cstheme="minorBidi"/>
            <w:shd w:val="clear" w:color="auto" w:fill="FFFFFF"/>
          </w:rPr>
          <w:t>Xiao et al., 2016</w:t>
        </w:r>
      </w:hyperlink>
      <w:r w:rsidR="00DC4B70" w:rsidRPr="001F4A34">
        <w:rPr>
          <w:rFonts w:cstheme="minorBidi"/>
          <w:shd w:val="clear" w:color="auto" w:fill="FFFFFF"/>
        </w:rPr>
        <w:t>)</w:t>
      </w:r>
      <w:r w:rsidRPr="009819CE">
        <w:rPr>
          <w:rFonts w:cstheme="minorBidi"/>
          <w:shd w:val="clear" w:color="auto" w:fill="FFFFFF"/>
        </w:rPr>
        <w:fldChar w:fldCharType="end"/>
      </w:r>
      <w:r w:rsidRPr="009819CE">
        <w:rPr>
          <w:rFonts w:cstheme="minorBidi"/>
          <w:shd w:val="clear" w:color="auto" w:fill="FFFFFF"/>
        </w:rPr>
        <w:t xml:space="preserve">. This suggests that multiple species or strains of the parasite </w:t>
      </w:r>
      <w:r w:rsidR="003B4334" w:rsidRPr="009819CE">
        <w:rPr>
          <w:rFonts w:cstheme="minorBidi"/>
          <w:shd w:val="clear" w:color="auto" w:fill="FFFFFF"/>
        </w:rPr>
        <w:t xml:space="preserve">could be </w:t>
      </w:r>
      <w:r w:rsidRPr="009819CE">
        <w:rPr>
          <w:rFonts w:cstheme="minorBidi"/>
          <w:shd w:val="clear" w:color="auto" w:fill="FFFFFF"/>
        </w:rPr>
        <w:t>infect</w:t>
      </w:r>
      <w:r w:rsidR="003B4334" w:rsidRPr="009819CE">
        <w:rPr>
          <w:rFonts w:cstheme="minorBidi"/>
          <w:shd w:val="clear" w:color="auto" w:fill="FFFFFF"/>
        </w:rPr>
        <w:t>ing</w:t>
      </w:r>
      <w:r w:rsidRPr="009819CE">
        <w:rPr>
          <w:rFonts w:cstheme="minorBidi"/>
          <w:shd w:val="clear" w:color="auto" w:fill="FFFFFF"/>
        </w:rPr>
        <w:t xml:space="preserve"> the same host. </w:t>
      </w:r>
    </w:p>
    <w:p w14:paraId="24E4A418" w14:textId="31718897" w:rsidR="00F4023F" w:rsidRPr="009819CE" w:rsidRDefault="00EF033E" w:rsidP="00A442DD">
      <w:pPr>
        <w:rPr>
          <w:rFonts w:cstheme="minorBidi"/>
          <w:shd w:val="clear" w:color="auto" w:fill="FFFFFF"/>
        </w:rPr>
      </w:pPr>
      <w:r w:rsidRPr="009819CE">
        <w:rPr>
          <w:rFonts w:cstheme="minorBidi"/>
          <w:shd w:val="clear" w:color="auto" w:fill="FFFFFF"/>
        </w:rPr>
        <w:t xml:space="preserve">Varying degrees of host specificity have </w:t>
      </w:r>
      <w:r w:rsidR="003A668C" w:rsidRPr="009819CE">
        <w:rPr>
          <w:rFonts w:cstheme="minorBidi"/>
          <w:shd w:val="clear" w:color="auto" w:fill="FFFFFF"/>
        </w:rPr>
        <w:t xml:space="preserve">also </w:t>
      </w:r>
      <w:r w:rsidRPr="009819CE">
        <w:rPr>
          <w:rFonts w:cstheme="minorBidi"/>
          <w:shd w:val="clear" w:color="auto" w:fill="FFFFFF"/>
        </w:rPr>
        <w:t xml:space="preserve">been suggested by </w:t>
      </w:r>
      <w:hyperlink w:anchor="_ENREF_121" w:tooltip="Hamilton, 2010 #17" w:history="1">
        <w:r w:rsidR="00950097" w:rsidRPr="009819CE">
          <w:rPr>
            <w:rFonts w:cstheme="minorBidi"/>
            <w:shd w:val="clear" w:color="auto" w:fill="FFFFFF"/>
          </w:rPr>
          <w:fldChar w:fldCharType="begin"/>
        </w:r>
        <w:r w:rsidR="00950097" w:rsidRPr="009819CE">
          <w:rPr>
            <w:rFonts w:cstheme="minorBidi"/>
            <w:shd w:val="clear" w:color="auto" w:fill="FFFFFF"/>
          </w:rPr>
          <w:instrText xml:space="preserve"> ADDIN EN.CITE &lt;EndNote&gt;&lt;Cite AuthorYear="1"&gt;&lt;Author&gt;Hamilton&lt;/Author&gt;&lt;Year&gt;2010&lt;/Year&gt;&lt;RecNum&gt;17&lt;/RecNum&gt;&lt;DisplayText&gt;Hamilton et al. (2010)&lt;/DisplayText&gt;&lt;record&gt;&lt;rec-number&gt;17&lt;/rec-number&gt;&lt;foreign-keys&gt;&lt;key app="EN" db-id="sd9wrx9fj09rx3erprsx999o0r5aprvp2zse" timestamp="1687855901" guid="9ed99b5c-1bb3-4769-9df7-97242598d1ac"&gt;17&lt;/key&gt;&lt;/foreign-keys&gt;&lt;ref-type name="Journal Article"&gt;17&lt;/ref-type&gt;&lt;contributors&gt;&lt;authors&gt;&lt;author&gt;Hamilton, Kristina M.&lt;/author&gt;&lt;author&gt;Morritt, D.&lt;/author&gt;&lt;author&gt;Shaw, Paul W.&lt;/author&gt;&lt;/authors&gt;&lt;/contributors&gt;&lt;titles&gt;&lt;title&gt;&lt;style face="normal" font="default" size="100%"&gt;Genetic diversity of the crustacean parasite &lt;/style&gt;&lt;style face="italic" font="default" size="100%"&gt;Hematodinium&lt;/style&gt;&lt;style face="normal" font="default" size="100%"&gt; (Alveolata, &lt;/style&gt;&lt;style face="italic" font="default" size="100%"&gt;Syndinea&lt;/style&gt;&lt;style face="normal" font="default" size="100%"&gt;)&lt;/style&gt;&lt;/title&gt;&lt;secondary-title&gt;European Journal of Protistology&lt;/secondary-title&gt;&lt;/titles&gt;&lt;periodical&gt;&lt;full-title&gt;European Journal of Protistology&lt;/full-title&gt;&lt;/periodical&gt;&lt;pages&gt;17-28&lt;/pages&gt;&lt;volume&gt;46&lt;/volume&gt;&lt;number&gt;1&lt;/number&gt;&lt;keywords&gt;&lt;keyword&gt;Genotypic diversity&lt;/keyword&gt;&lt;keyword&gt;Hematodinium&lt;/keyword&gt;&lt;keyword&gt;Host specificity&lt;/keyword&gt;&lt;keyword&gt;Syndinea&lt;/keyword&gt;&lt;keyword&gt;rRNA&lt;/keyword&gt;&lt;/keywords&gt;&lt;dates&gt;&lt;year&gt;2010&lt;/year&gt;&lt;/dates&gt;&lt;publisher&gt;Elsevier&lt;/publisher&gt;&lt;urls&gt;&lt;related-urls&gt;&lt;url&gt;http://dx.doi.org/10.1016/j.ejop.2009.10.002&lt;/url&gt;&lt;/related-urls&gt;&lt;/urls&gt;&lt;electronic-resource-num&gt;10.1016/j.ejop.2009.10.002&lt;/electronic-resource-num&gt;&lt;/record&gt;&lt;/Cite&gt;&lt;/EndNote&gt;</w:instrText>
        </w:r>
        <w:r w:rsidR="00950097" w:rsidRPr="009819CE">
          <w:rPr>
            <w:rFonts w:cstheme="minorBidi"/>
            <w:shd w:val="clear" w:color="auto" w:fill="FFFFFF"/>
          </w:rPr>
          <w:fldChar w:fldCharType="separate"/>
        </w:r>
        <w:r w:rsidR="00950097" w:rsidRPr="001F4A34">
          <w:rPr>
            <w:rFonts w:cstheme="minorBidi"/>
            <w:shd w:val="clear" w:color="auto" w:fill="FFFFFF"/>
          </w:rPr>
          <w:t>Hamilton et al. (2010)</w:t>
        </w:r>
        <w:r w:rsidR="00950097" w:rsidRPr="009819CE">
          <w:rPr>
            <w:rFonts w:cstheme="minorBidi"/>
            <w:shd w:val="clear" w:color="auto" w:fill="FFFFFF"/>
          </w:rPr>
          <w:fldChar w:fldCharType="end"/>
        </w:r>
      </w:hyperlink>
      <w:r w:rsidR="002A33F8" w:rsidRPr="009819CE">
        <w:rPr>
          <w:rFonts w:cstheme="minorBidi"/>
          <w:shd w:val="clear" w:color="auto" w:fill="FFFFFF"/>
        </w:rPr>
        <w:t xml:space="preserve">, </w:t>
      </w:r>
      <w:r w:rsidRPr="009819CE">
        <w:rPr>
          <w:rFonts w:cstheme="minorBidi"/>
          <w:shd w:val="clear" w:color="auto" w:fill="FFFFFF"/>
        </w:rPr>
        <w:t xml:space="preserve">who found that different </w:t>
      </w:r>
      <w:r w:rsidR="009D03F4" w:rsidRPr="009819CE">
        <w:rPr>
          <w:rFonts w:cstheme="minorBidi"/>
          <w:i/>
          <w:iCs/>
          <w:shd w:val="clear" w:color="auto" w:fill="FFFFFF"/>
        </w:rPr>
        <w:t>Hematodinium</w:t>
      </w:r>
      <w:r w:rsidRPr="009819CE">
        <w:rPr>
          <w:rFonts w:cstheme="minorBidi"/>
          <w:shd w:val="clear" w:color="auto" w:fill="FFFFFF"/>
        </w:rPr>
        <w:t xml:space="preserve"> ribotypes</w:t>
      </w:r>
      <w:r w:rsidR="00C53DE7" w:rsidRPr="009819CE">
        <w:rPr>
          <w:rFonts w:cstheme="minorBidi"/>
          <w:shd w:val="clear" w:color="auto" w:fill="FFFFFF"/>
        </w:rPr>
        <w:t xml:space="preserve"> or clades</w:t>
      </w:r>
      <w:r w:rsidRPr="009819CE">
        <w:rPr>
          <w:rFonts w:cstheme="minorBidi"/>
          <w:shd w:val="clear" w:color="auto" w:fill="FFFFFF"/>
        </w:rPr>
        <w:t xml:space="preserve"> infect distinct host species based on analyses of internal transcribed spacers.</w:t>
      </w:r>
      <w:r w:rsidR="00F4023F" w:rsidRPr="009819CE">
        <w:rPr>
          <w:rFonts w:cstheme="minorBidi"/>
          <w:shd w:val="clear" w:color="auto" w:fill="FFFFFF"/>
        </w:rPr>
        <w:t xml:space="preserve"> </w:t>
      </w:r>
    </w:p>
    <w:p w14:paraId="14F474BC" w14:textId="4B156B0E" w:rsidR="00A442DD" w:rsidRPr="009819CE" w:rsidRDefault="00A442DD" w:rsidP="00A442DD">
      <w:pPr>
        <w:rPr>
          <w:rFonts w:cstheme="minorBidi"/>
          <w:shd w:val="clear" w:color="auto" w:fill="FFFFFF"/>
        </w:rPr>
      </w:pPr>
      <w:r w:rsidRPr="009819CE">
        <w:rPr>
          <w:rFonts w:cstheme="minorBidi"/>
          <w:shd w:val="clear" w:color="auto" w:fill="FFFFFF"/>
        </w:rPr>
        <w:t xml:space="preserve">Subsequent studies have </w:t>
      </w:r>
      <w:r w:rsidR="000E7D40" w:rsidRPr="009819CE">
        <w:rPr>
          <w:rFonts w:cstheme="minorBidi"/>
          <w:shd w:val="clear" w:color="auto" w:fill="FFFFFF"/>
        </w:rPr>
        <w:t>suggested</w:t>
      </w:r>
      <w:r w:rsidRPr="009819CE">
        <w:rPr>
          <w:rFonts w:cstheme="minorBidi"/>
          <w:shd w:val="clear" w:color="auto" w:fill="FFFFFF"/>
        </w:rPr>
        <w:t xml:space="preserve"> genetic mixing and the occurrence of sexual reproduction in </w:t>
      </w:r>
      <w:r w:rsidR="00237B91" w:rsidRPr="009819CE">
        <w:rPr>
          <w:rFonts w:cstheme="minorBidi"/>
          <w:i/>
          <w:iCs/>
          <w:shd w:val="clear" w:color="auto" w:fill="FFFFFF"/>
        </w:rPr>
        <w:t>H</w:t>
      </w:r>
      <w:r w:rsidR="00302A62" w:rsidRPr="009819CE">
        <w:rPr>
          <w:rFonts w:cstheme="minorBidi"/>
          <w:i/>
          <w:iCs/>
          <w:shd w:val="clear" w:color="auto" w:fill="FFFFFF"/>
        </w:rPr>
        <w:t>.</w:t>
      </w:r>
      <w:r w:rsidRPr="009819CE">
        <w:rPr>
          <w:rFonts w:cstheme="minorBidi"/>
          <w:i/>
          <w:iCs/>
          <w:shd w:val="clear" w:color="auto" w:fill="FFFFFF"/>
        </w:rPr>
        <w:t xml:space="preserve"> perezi</w:t>
      </w:r>
      <w:r w:rsidR="00CD2FB1" w:rsidRPr="009819CE">
        <w:rPr>
          <w:rFonts w:cstheme="minorBidi"/>
          <w:i/>
          <w:iCs/>
          <w:shd w:val="clear" w:color="auto" w:fill="FFFFFF"/>
        </w:rPr>
        <w:t xml:space="preserve"> </w:t>
      </w:r>
      <w:r w:rsidR="00CD2FB1" w:rsidRPr="009819CE">
        <w:rPr>
          <w:rFonts w:cstheme="minorBidi"/>
          <w:shd w:val="clear" w:color="auto" w:fill="FFFFFF"/>
        </w:rPr>
        <w:t>(III)</w:t>
      </w:r>
      <w:r w:rsidRPr="009819CE">
        <w:rPr>
          <w:rFonts w:cstheme="minorBidi"/>
          <w:shd w:val="clear" w:color="auto" w:fill="FFFFFF"/>
        </w:rPr>
        <w:t xml:space="preserve">, although the specific locations and timing of sexual reproduction within the parasite's life cycle are still unknown. </w:t>
      </w:r>
      <w:r w:rsidR="00C64591" w:rsidRPr="009819CE">
        <w:rPr>
          <w:rFonts w:cstheme="minorBidi"/>
          <w:shd w:val="clear" w:color="auto" w:fill="FFFFFF"/>
        </w:rPr>
        <w:t>S</w:t>
      </w:r>
      <w:r w:rsidRPr="009819CE">
        <w:rPr>
          <w:rFonts w:cstheme="minorBidi"/>
          <w:shd w:val="clear" w:color="auto" w:fill="FFFFFF"/>
        </w:rPr>
        <w:t xml:space="preserve">exual reproduction is believed to occur in most free-living dinoflagellates </w:t>
      </w:r>
      <w:r w:rsidRPr="009819CE">
        <w:rPr>
          <w:rFonts w:cstheme="minorBidi"/>
          <w:shd w:val="clear" w:color="auto" w:fill="FFFFFF"/>
        </w:rPr>
        <w:fldChar w:fldCharType="begin"/>
      </w:r>
      <w:r w:rsidR="00D50EFF" w:rsidRPr="009819CE">
        <w:rPr>
          <w:rFonts w:cstheme="minorBidi"/>
          <w:shd w:val="clear" w:color="auto" w:fill="FFFFFF"/>
        </w:rPr>
        <w:instrText xml:space="preserve"> ADDIN EN.CITE &lt;EndNote&gt;&lt;Cite&gt;&lt;Author&gt;Pagenkopp Lohan&lt;/Author&gt;&lt;Year&gt;2014&lt;/Year&gt;&lt;RecNum&gt;357&lt;/RecNum&gt;&lt;DisplayText&gt;(Pagenkopp Lohan et al., 2014)&lt;/DisplayText&gt;&lt;record&gt;&lt;rec-number&gt;357&lt;/rec-number&gt;&lt;foreign-keys&gt;&lt;key app="EN" db-id="sd9wrx9fj09rx3erprsx999o0r5aprvp2zse" timestamp="1687855901" guid="f08992e7-8f6a-43e0-ba67-684fe1780253"&gt;357&lt;/key&gt;&lt;/foreign-keys&gt;&lt;ref-type name="Journal Article"&gt;17&lt;/ref-type&gt;&lt;contributors&gt;&lt;authors&gt;&lt;author&gt;Pagenkopp Lohan, Katrina M.&lt;/author&gt;&lt;author&gt;McDowell, Jan R.&lt;/author&gt;&lt;author&gt;Shields, Jeffrey D.&lt;/author&gt;&lt;author&gt;Reece, Kimberly S.&lt;/author&gt;&lt;/authors&gt;&lt;/contributors&gt;&lt;titles&gt;&lt;title&gt;&lt;style face="normal" font="default" size="100%"&gt;Genotypic variation in the parasitic dinoflagellate &lt;/style&gt;&lt;style face="italic" font="default" size="100%"&gt;Hematodinium perezi&lt;/style&gt;&lt;style face="normal" font="default" size="100%"&gt; along the Delmarva Peninsula, Virginia&lt;/style&gt;&lt;/title&gt;&lt;secondary-title&gt;Marine Biology&lt;/secondary-title&gt;&lt;/titles&gt;&lt;periodical&gt;&lt;full-title&gt;Marine Biology&lt;/full-title&gt;&lt;/periodical&gt;&lt;pages&gt;261-273&lt;/pages&gt;&lt;volume&gt;161&lt;/volume&gt;&lt;number&gt;2&lt;/number&gt;&lt;dates&gt;&lt;year&gt;2014&lt;/year&gt;&lt;pub-dates&gt;&lt;date&gt;2014/2//&lt;/date&gt;&lt;/pub-dates&gt;&lt;/dates&gt;&lt;urls&gt;&lt;related-urls&gt;&lt;url&gt;http://link.springer.com/10.1007/s00227-013-2332-3&lt;/url&gt;&lt;/related-urls&gt;&lt;/urls&gt;&lt;electronic-resource-num&gt;10.1007/s00227-013-2332-3&lt;/electronic-resource-num&gt;&lt;/record&gt;&lt;/Cite&gt;&lt;/EndNote&gt;</w:instrText>
      </w:r>
      <w:r w:rsidRPr="009819CE">
        <w:rPr>
          <w:rFonts w:cstheme="minorBidi"/>
          <w:shd w:val="clear" w:color="auto" w:fill="FFFFFF"/>
        </w:rPr>
        <w:fldChar w:fldCharType="separate"/>
      </w:r>
      <w:r w:rsidR="00D50EFF" w:rsidRPr="009819CE">
        <w:rPr>
          <w:rFonts w:cstheme="minorBidi"/>
          <w:shd w:val="clear" w:color="auto" w:fill="FFFFFF"/>
        </w:rPr>
        <w:t>(</w:t>
      </w:r>
      <w:hyperlink w:anchor="_ENREF_240" w:tooltip="Pagenkopp Lohan, 2014 #357" w:history="1">
        <w:r w:rsidR="00950097" w:rsidRPr="009819CE">
          <w:rPr>
            <w:rFonts w:cstheme="minorBidi"/>
            <w:shd w:val="clear" w:color="auto" w:fill="FFFFFF"/>
          </w:rPr>
          <w:t>Pagenkopp Lohan et al., 2014</w:t>
        </w:r>
      </w:hyperlink>
      <w:r w:rsidR="00D50EFF" w:rsidRPr="009819CE">
        <w:rPr>
          <w:rFonts w:cstheme="minorBidi"/>
          <w:shd w:val="clear" w:color="auto" w:fill="FFFFFF"/>
        </w:rPr>
        <w:t>)</w:t>
      </w:r>
      <w:r w:rsidRPr="009819CE">
        <w:rPr>
          <w:rFonts w:cstheme="minorBidi"/>
          <w:shd w:val="clear" w:color="auto" w:fill="FFFFFF"/>
        </w:rPr>
        <w:fldChar w:fldCharType="end"/>
      </w:r>
      <w:r w:rsidR="0063266A" w:rsidRPr="009819CE">
        <w:rPr>
          <w:rFonts w:cstheme="minorBidi"/>
          <w:shd w:val="clear" w:color="auto" w:fill="FFFFFF"/>
        </w:rPr>
        <w:t xml:space="preserve"> and</w:t>
      </w:r>
      <w:r w:rsidR="00C64591" w:rsidRPr="009819CE">
        <w:rPr>
          <w:rFonts w:cstheme="minorBidi"/>
          <w:shd w:val="clear" w:color="auto" w:fill="FFFFFF"/>
        </w:rPr>
        <w:t xml:space="preserve"> </w:t>
      </w:r>
      <w:r w:rsidR="00DA0EDD" w:rsidRPr="009819CE">
        <w:rPr>
          <w:rFonts w:cstheme="minorBidi"/>
          <w:shd w:val="clear" w:color="auto" w:fill="FFFFFF"/>
        </w:rPr>
        <w:t>has been</w:t>
      </w:r>
      <w:r w:rsidR="0063266A" w:rsidRPr="009819CE">
        <w:rPr>
          <w:rFonts w:cstheme="minorBidi"/>
          <w:shd w:val="clear" w:color="auto" w:fill="FFFFFF"/>
        </w:rPr>
        <w:t xml:space="preserve"> associated with environmental stress</w:t>
      </w:r>
      <w:r w:rsidR="00945F4B" w:rsidRPr="009819CE">
        <w:rPr>
          <w:rFonts w:cstheme="minorBidi"/>
          <w:shd w:val="clear" w:color="auto" w:fill="FFFFFF"/>
        </w:rPr>
        <w:t xml:space="preserve"> </w:t>
      </w:r>
      <w:r w:rsidR="00945F4B" w:rsidRPr="009819CE">
        <w:rPr>
          <w:rFonts w:cstheme="minorBidi"/>
          <w:shd w:val="clear" w:color="auto" w:fill="FFFFFF"/>
        </w:rPr>
        <w:fldChar w:fldCharType="begin">
          <w:fldData xml:space="preserve">PEVuZE5vdGU+PENpdGU+PEF1dGhvcj5MZWU8L0F1dGhvcj48WWVhcj4yMDIxPC9ZZWFyPjxSZWNO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</w:fldData>
        </w:fldChar>
      </w:r>
      <w:r w:rsidR="00EE7FB9">
        <w:rPr>
          <w:rFonts w:cstheme="minorBidi"/>
          <w:shd w:val="clear" w:color="auto" w:fill="FFFFFF"/>
        </w:rPr>
        <w:instrText xml:space="preserve"> ADDIN EN.CITE </w:instrText>
      </w:r>
      <w:r w:rsidR="00EE7FB9">
        <w:rPr>
          <w:rFonts w:cstheme="minorBidi"/>
          <w:shd w:val="clear" w:color="auto" w:fill="FFFFFF"/>
        </w:rPr>
        <w:fldChar w:fldCharType="begin">
          <w:fldData xml:space="preserve">PEVuZE5vdGU+PENpdGU+PEF1dGhvcj5MZWU8L0F1dGhvcj48WWVhcj4yMDIxPC9ZZWFyPjxSZWNO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</w:fldData>
        </w:fldChar>
      </w:r>
      <w:r w:rsidR="00EE7FB9">
        <w:rPr>
          <w:rFonts w:cstheme="minorBidi"/>
          <w:shd w:val="clear" w:color="auto" w:fill="FFFFFF"/>
        </w:rPr>
        <w:instrText xml:space="preserve"> ADDIN EN.CITE.DATA </w:instrText>
      </w:r>
      <w:r w:rsidR="00EE7FB9">
        <w:rPr>
          <w:rFonts w:cstheme="minorBidi"/>
          <w:shd w:val="clear" w:color="auto" w:fill="FFFFFF"/>
        </w:rPr>
      </w:r>
      <w:r w:rsidR="00EE7FB9">
        <w:rPr>
          <w:rFonts w:cstheme="minorBidi"/>
          <w:shd w:val="clear" w:color="auto" w:fill="FFFFFF"/>
        </w:rPr>
        <w:fldChar w:fldCharType="end"/>
      </w:r>
      <w:r w:rsidR="00945F4B" w:rsidRPr="009819CE">
        <w:rPr>
          <w:rFonts w:cstheme="minorBidi"/>
          <w:shd w:val="clear" w:color="auto" w:fill="FFFFFF"/>
        </w:rPr>
      </w:r>
      <w:r w:rsidR="00945F4B" w:rsidRPr="009819CE">
        <w:rPr>
          <w:rFonts w:cstheme="minorBidi"/>
          <w:shd w:val="clear" w:color="auto" w:fill="FFFFFF"/>
        </w:rPr>
        <w:fldChar w:fldCharType="separate"/>
      </w:r>
      <w:r w:rsidR="006E0134" w:rsidRPr="00EE7FB9">
        <w:rPr>
          <w:rFonts w:cstheme="minorBidi"/>
          <w:noProof/>
          <w:shd w:val="clear" w:color="auto" w:fill="FFFFFF"/>
        </w:rPr>
        <w:t>(</w:t>
      </w:r>
      <w:hyperlink w:anchor="_ENREF_172" w:tooltip="Lee, 2021 #1927" w:history="1">
        <w:r w:rsidR="00950097" w:rsidRPr="00EE7FB9">
          <w:rPr>
            <w:rFonts w:cstheme="minorBidi"/>
            <w:noProof/>
            <w:shd w:val="clear" w:color="auto" w:fill="FFFFFF"/>
          </w:rPr>
          <w:t>Lee et al., 2021</w:t>
        </w:r>
      </w:hyperlink>
      <w:r w:rsidR="006E0134" w:rsidRPr="00EE7FB9">
        <w:rPr>
          <w:rFonts w:cstheme="minorBidi"/>
          <w:noProof/>
          <w:shd w:val="clear" w:color="auto" w:fill="FFFFFF"/>
        </w:rPr>
        <w:t xml:space="preserve">; </w:t>
      </w:r>
      <w:hyperlink w:anchor="_ENREF_190" w:tooltip="Lin, 2022 #1928" w:history="1">
        <w:r w:rsidR="00950097" w:rsidRPr="00EE7FB9">
          <w:rPr>
            <w:rFonts w:cstheme="minorBidi"/>
            <w:noProof/>
            <w:shd w:val="clear" w:color="auto" w:fill="FFFFFF"/>
          </w:rPr>
          <w:t>Lin et al., 2022</w:t>
        </w:r>
      </w:hyperlink>
      <w:r w:rsidR="006E0134" w:rsidRPr="00EE7FB9">
        <w:rPr>
          <w:rFonts w:cstheme="minorBidi"/>
          <w:noProof/>
          <w:shd w:val="clear" w:color="auto" w:fill="FFFFFF"/>
        </w:rPr>
        <w:t>)</w:t>
      </w:r>
      <w:r w:rsidR="00945F4B" w:rsidRPr="009819CE">
        <w:rPr>
          <w:rFonts w:cstheme="minorBidi"/>
          <w:shd w:val="clear" w:color="auto" w:fill="FFFFFF"/>
        </w:rPr>
        <w:fldChar w:fldCharType="end"/>
      </w:r>
      <w:r w:rsidR="0063266A" w:rsidRPr="009819CE">
        <w:rPr>
          <w:rFonts w:cstheme="minorBidi"/>
          <w:shd w:val="clear" w:color="auto" w:fill="FFFFFF"/>
        </w:rPr>
        <w:t>.</w:t>
      </w:r>
    </w:p>
    <w:p w14:paraId="012F1D7A" w14:textId="20DB2056" w:rsidR="00A442DD" w:rsidRPr="00FA7D47" w:rsidRDefault="00A442DD" w:rsidP="00A442DD">
      <w:pPr>
        <w:rPr>
          <w:rFonts w:cstheme="minorBidi"/>
          <w:shd w:val="clear" w:color="auto" w:fill="FFFFFF"/>
        </w:rPr>
      </w:pPr>
      <w:r w:rsidRPr="009819CE">
        <w:rPr>
          <w:rFonts w:cstheme="minorBidi"/>
          <w:shd w:val="clear" w:color="auto" w:fill="FFFFFF"/>
        </w:rPr>
        <w:t xml:space="preserve">With the expansion of crustacean aquaculture, the emergence of new species or strains of pathogens is anticipated </w:t>
      </w:r>
      <w:r w:rsidRPr="009819CE">
        <w:rPr>
          <w:rFonts w:cstheme="minorBidi"/>
          <w:shd w:val="clear" w:color="auto" w:fill="FFFFFF"/>
        </w:rPr>
        <w:fldChar w:fldCharType="begin"/>
      </w:r>
      <w:r w:rsidR="00D50EFF" w:rsidRPr="009819CE">
        <w:rPr>
          <w:rFonts w:cstheme="minorBidi"/>
          <w:shd w:val="clear" w:color="auto" w:fill="FFFFFF"/>
        </w:rPr>
        <w:instrText xml:space="preserve"> ADDIN EN.CITE &lt;EndNote&gt;&lt;Cite&gt;&lt;Author&gt;Stentiford&lt;/Author&gt;&lt;Year&gt;2005&lt;/Year&gt;&lt;RecNum&gt;156&lt;/RecNum&gt;&lt;DisplayText&gt;(Stentiford and Shields, 2005)&lt;/DisplayText&gt;&lt;record&gt;&lt;rec-number&gt;156&lt;/rec-number&gt;&lt;foreign-keys&gt;&lt;key app="EN" db-id="sd9wrx9fj09rx3erprsx999o0r5aprvp2zse" timestamp="1687855901" guid="f898d037-301b-4944-b879-7b243ff3fb71"&gt;156&lt;/key&gt;&lt;/foreign-keys&gt;&lt;ref-type name="Journal Article"&gt;17&lt;/ref-type&gt;&lt;contributors&gt;&lt;authors&gt;&lt;author&gt;Stentiford, Grant D.&lt;/author&gt;&lt;author&gt;Shields, Jeffrey D.&lt;/author&gt;&lt;/authors&gt;&lt;/contributors&gt;&lt;titles&gt;&lt;title&gt;&lt;style face="normal" font="default" size="100%"&gt;A review of the parasitic dinoflagellates &lt;/style&gt;&lt;style face="italic" font="default" size="100%"&gt;Hematodinium s&lt;/style&gt;&lt;style face="normal" font="default" size="100%"&gt;pecies and &lt;/style&gt;&lt;style face="italic" font="default" size="100%"&gt;Hematodinium&lt;/style&gt;&lt;style face="normal" font="default" size="100%"&gt;-like infections in marine crustaceans&lt;/style&gt;&lt;/title&gt;&lt;secondary-title&gt;Diseases of Aquatic Organisms&lt;/secondary-title&gt;&lt;/titles&gt;&lt;periodical&gt;&lt;full-title&gt;Diseases of Aquatic Organisms&lt;/full-title&gt;&lt;/periodical&gt;&lt;pages&gt;47-70&lt;/pages&gt;&lt;volume&gt;66&lt;/volume&gt;&lt;number&gt;1&lt;/number&gt;&lt;keywords&gt;&lt;keyword&gt;Crab&lt;/keyword&gt;&lt;keyword&gt;Disease&lt;/keyword&gt;&lt;keyword&gt;Fishery&lt;/keyword&gt;&lt;keyword&gt;Life cycle&lt;/keyword&gt;&lt;keyword&gt;Lobster&lt;/keyword&gt;&lt;keyword&gt;Pathology&lt;/keyword&gt;&lt;keyword&gt;Physiology&lt;/keyword&gt;&lt;keyword&gt;Population&lt;/keyword&gt;&lt;/keywords&gt;&lt;dates&gt;&lt;year&gt;2005&lt;/year&gt;&lt;/dates&gt;&lt;urls&gt;&lt;related-urls&gt;&lt;url&gt;http://www.int-res.com/abstracts/dao/v66/n1/p47-70/&lt;/url&gt;&lt;url&gt;https://www.int-res.com/articles/dao2005/66/d066p047.pdf&lt;/url&gt;&lt;/related-urls&gt;&lt;/urls&gt;&lt;electronic-resource-num&gt;10.3354/dao066047&lt;/electronic-resource-num&gt;&lt;/record&gt;&lt;/Cite&gt;&lt;/EndNote&gt;</w:instrText>
      </w:r>
      <w:r w:rsidRPr="009819CE">
        <w:rPr>
          <w:rFonts w:cstheme="minorBidi"/>
          <w:shd w:val="clear" w:color="auto" w:fill="FFFFFF"/>
        </w:rPr>
        <w:fldChar w:fldCharType="separate"/>
      </w:r>
      <w:r w:rsidR="00D50EFF" w:rsidRPr="009819CE">
        <w:rPr>
          <w:rFonts w:cstheme="minorBidi"/>
          <w:shd w:val="clear" w:color="auto" w:fill="FFFFFF"/>
        </w:rPr>
        <w:t>(</w:t>
      </w:r>
      <w:hyperlink w:anchor="_ENREF_310" w:tooltip="Stentiford, 2005 #156" w:history="1">
        <w:r w:rsidR="00950097" w:rsidRPr="009819CE">
          <w:rPr>
            <w:rFonts w:cstheme="minorBidi"/>
            <w:shd w:val="clear" w:color="auto" w:fill="FFFFFF"/>
          </w:rPr>
          <w:t>Stentiford and Shields, 2005</w:t>
        </w:r>
      </w:hyperlink>
      <w:r w:rsidR="00D50EFF" w:rsidRPr="009819CE">
        <w:rPr>
          <w:rFonts w:cstheme="minorBidi"/>
          <w:shd w:val="clear" w:color="auto" w:fill="FFFFFF"/>
        </w:rPr>
        <w:t>)</w:t>
      </w:r>
      <w:r w:rsidRPr="009819CE">
        <w:rPr>
          <w:rFonts w:cstheme="minorBidi"/>
          <w:shd w:val="clear" w:color="auto" w:fill="FFFFFF"/>
        </w:rPr>
        <w:fldChar w:fldCharType="end"/>
      </w:r>
      <w:r w:rsidRPr="009819CE">
        <w:rPr>
          <w:rFonts w:cstheme="minorBidi"/>
        </w:rPr>
        <w:t xml:space="preserve">. </w:t>
      </w:r>
      <w:r w:rsidRPr="009819CE">
        <w:rPr>
          <w:rFonts w:cstheme="minorBidi"/>
          <w:shd w:val="clear" w:color="auto" w:fill="FFFFFF"/>
        </w:rPr>
        <w:t>A recent study conducted in China identified five new host species for</w:t>
      </w:r>
      <w:r w:rsidRPr="009819CE">
        <w:rPr>
          <w:rFonts w:cstheme="minorBidi"/>
          <w:i/>
          <w:iCs/>
          <w:shd w:val="clear" w:color="auto" w:fill="FFFFFF"/>
        </w:rPr>
        <w:t xml:space="preserve"> </w:t>
      </w:r>
      <w:r w:rsidR="00237B91" w:rsidRPr="009819CE">
        <w:rPr>
          <w:rFonts w:cstheme="minorBidi"/>
          <w:i/>
          <w:iCs/>
          <w:shd w:val="clear" w:color="auto" w:fill="FFFFFF"/>
        </w:rPr>
        <w:t>H</w:t>
      </w:r>
      <w:r w:rsidR="002D7AF4" w:rsidRPr="009819CE">
        <w:rPr>
          <w:rFonts w:cstheme="minorBidi"/>
          <w:i/>
          <w:iCs/>
          <w:shd w:val="clear" w:color="auto" w:fill="FFFFFF"/>
        </w:rPr>
        <w:t xml:space="preserve">. </w:t>
      </w:r>
      <w:r w:rsidRPr="009819CE">
        <w:rPr>
          <w:rFonts w:cstheme="minorBidi"/>
          <w:i/>
          <w:iCs/>
          <w:shd w:val="clear" w:color="auto" w:fill="FFFFFF"/>
        </w:rPr>
        <w:t xml:space="preserve">perezi </w:t>
      </w:r>
      <w:r w:rsidRPr="009819CE">
        <w:rPr>
          <w:rFonts w:cstheme="minorBidi"/>
          <w:shd w:val="clear" w:color="auto" w:fill="FFFFFF"/>
        </w:rPr>
        <w:t xml:space="preserve">in polyculture ponds </w:t>
      </w:r>
      <w:r w:rsidRPr="009819CE">
        <w:rPr>
          <w:rFonts w:cstheme="minorBidi"/>
          <w:shd w:val="clear" w:color="auto" w:fill="FFFFFF"/>
        </w:rPr>
        <w:fldChar w:fldCharType="begin"/>
      </w:r>
      <w:r w:rsidR="00ED1A9E" w:rsidRPr="009819CE">
        <w:rPr>
          <w:rFonts w:cstheme="minorBidi"/>
          <w:shd w:val="clear" w:color="auto" w:fill="FFFFFF"/>
        </w:rPr>
        <w:instrText xml:space="preserve"> ADDIN EN.CITE &lt;EndNote&gt;&lt;Cite&gt;&lt;Author&gt;Huang&lt;/Author&gt;&lt;Year&gt;2021&lt;/Year&gt;&lt;RecNum&gt;472&lt;/RecNum&gt;&lt;DisplayText&gt;(Huang et al., 2021)&lt;/DisplayText&gt;&lt;record&gt;&lt;rec-number&gt;472&lt;/rec-number&gt;&lt;foreign-keys&gt;&lt;key app="EN" db-id="sd9wrx9fj09rx3erprsx999o0r5aprvp2zse" timestamp="1687855901" guid="b0ecda04-9409-45da-8f5d-4f1aefe5ef59"&gt;472&lt;/key&gt;&lt;/foreign-keys&gt;&lt;ref-type name="Journal Article"&gt;17&lt;/ref-type&gt;&lt;contributors&gt;&lt;authors&gt;&lt;author&gt;Huang, Qian&lt;/author&gt;&lt;author&gt;Li, Meng&lt;/author&gt;&lt;author&gt;Wang, Fei&lt;/author&gt;&lt;author&gt;Song, Shuqun&lt;/author&gt;&lt;author&gt;Li, Caiwen&lt;/author&gt;&lt;/authors&gt;&lt;/contributors&gt;&lt;titles&gt;&lt;title&gt;&lt;style face="normal" font="default" size="100%"&gt;Transmission pattern of the parasitic dinoflagellate &lt;/style&gt;&lt;style face="italic" font="default" size="100%"&gt;Hematodinium perezi&lt;/style&gt;&lt;style face="normal" font="default" size="100%"&gt; in polyculture ponds of coastal China&lt;/style&gt;&lt;/title&gt;&lt;secondary-title&gt;Aquaculture&lt;/secondary-title&gt;&lt;/titles&gt;&lt;periodical&gt;&lt;full-title&gt;Aquaculture&lt;/full-title&gt;&lt;/periodical&gt;&lt;pages&gt;736549-736549&lt;/pages&gt;&lt;volume&gt;538&lt;/volume&gt;&lt;number&gt;736549&lt;/number&gt;&lt;keywords&gt;&lt;keyword&gt;Aquaculture&lt;/keyword&gt;&lt;keyword&gt;Epizootic&lt;/keyword&gt;&lt;keyword&gt;Marine crustacean&lt;/keyword&gt;&lt;keyword&gt;Parasite&lt;/keyword&gt;&lt;keyword&gt;Transmission&lt;/keyword&gt;&lt;/keywords&gt;&lt;dates&gt;&lt;year&gt;2021&lt;/year&gt;&lt;pub-dates&gt;&lt;date&gt;2021/5//&lt;/date&gt;&lt;/pub-dates&gt;&lt;/dates&gt;&lt;publisher&gt;Elsevier B.V.&lt;/publisher&gt;&lt;isbn&gt;0044-8486&lt;/isbn&gt;&lt;urls&gt;&lt;related-urls&gt;&lt;url&gt;https://doi.org/10.1016/j.aquaculture.2021.736549&lt;/url&gt;&lt;url&gt;https://linkinghub.elsevier.com/retrieve/pii/S0044848621002118&lt;/url&gt;&lt;/related-urls&gt;&lt;/urls&gt;&lt;electronic-resource-num&gt;10.1016/j.aquaculture.2021.736549&lt;/electronic-resource-num&gt;&lt;/record&gt;&lt;/Cite&gt;&lt;/EndNote&gt;</w:instrText>
      </w:r>
      <w:r w:rsidRPr="009819CE">
        <w:rPr>
          <w:rFonts w:cstheme="minorBidi"/>
          <w:shd w:val="clear" w:color="auto" w:fill="FFFFFF"/>
        </w:rPr>
        <w:fldChar w:fldCharType="separate"/>
      </w:r>
      <w:r w:rsidR="00D50EFF" w:rsidRPr="001F4A34">
        <w:rPr>
          <w:rFonts w:cstheme="minorBidi"/>
          <w:shd w:val="clear" w:color="auto" w:fill="FFFFFF"/>
        </w:rPr>
        <w:t>(</w:t>
      </w:r>
      <w:hyperlink w:anchor="_ENREF_144" w:tooltip="Huang, 2021 #472" w:history="1">
        <w:r w:rsidR="00950097" w:rsidRPr="001F4A34">
          <w:rPr>
            <w:rFonts w:cstheme="minorBidi"/>
            <w:shd w:val="clear" w:color="auto" w:fill="FFFFFF"/>
          </w:rPr>
          <w:t>Huang et al., 2021</w:t>
        </w:r>
      </w:hyperlink>
      <w:r w:rsidR="00D50EFF" w:rsidRPr="001F4A34">
        <w:rPr>
          <w:rFonts w:cstheme="minorBidi"/>
          <w:shd w:val="clear" w:color="auto" w:fill="FFFFFF"/>
        </w:rPr>
        <w:t>)</w:t>
      </w:r>
      <w:r w:rsidRPr="009819CE">
        <w:rPr>
          <w:rFonts w:cstheme="minorBidi"/>
          <w:shd w:val="clear" w:color="auto" w:fill="FFFFFF"/>
        </w:rPr>
        <w:fldChar w:fldCharType="end"/>
      </w:r>
      <w:r w:rsidRPr="009819CE">
        <w:rPr>
          <w:rFonts w:cstheme="minorBidi"/>
        </w:rPr>
        <w:t xml:space="preserve">. </w:t>
      </w:r>
      <w:r w:rsidRPr="009819CE">
        <w:rPr>
          <w:rFonts w:cstheme="minorBidi"/>
          <w:shd w:val="clear" w:color="auto" w:fill="FFFFFF"/>
        </w:rPr>
        <w:t xml:space="preserve">These newly identified hosts include </w:t>
      </w:r>
      <w:r w:rsidR="00F76DB2" w:rsidRPr="00FA7D47">
        <w:rPr>
          <w:rFonts w:cstheme="minorBidi"/>
          <w:color w:val="000000"/>
        </w:rPr>
        <w:t>m</w:t>
      </w:r>
      <w:r w:rsidR="00203EB6" w:rsidRPr="009819CE">
        <w:rPr>
          <w:rFonts w:cstheme="minorBidi"/>
          <w:color w:val="000000"/>
        </w:rPr>
        <w:t>udflat crab</w:t>
      </w:r>
      <w:r w:rsidR="00203EB6" w:rsidRPr="009819CE">
        <w:rPr>
          <w:rFonts w:cstheme="minorBidi"/>
          <w:i/>
          <w:iCs/>
          <w:shd w:val="clear" w:color="auto" w:fill="FFFFFF"/>
        </w:rPr>
        <w:t xml:space="preserve"> </w:t>
      </w:r>
      <w:r w:rsidR="00203EB6" w:rsidRPr="009819CE">
        <w:rPr>
          <w:rFonts w:cstheme="minorBidi"/>
          <w:shd w:val="clear" w:color="auto" w:fill="FFFFFF"/>
        </w:rPr>
        <w:t>(</w:t>
      </w:r>
      <w:r w:rsidR="00203EB6" w:rsidRPr="009819CE">
        <w:rPr>
          <w:rFonts w:cstheme="minorBidi"/>
          <w:i/>
          <w:iCs/>
          <w:shd w:val="clear" w:color="auto" w:fill="FFFFFF"/>
        </w:rPr>
        <w:t>Helice tientsinensis</w:t>
      </w:r>
      <w:r w:rsidR="00203EB6" w:rsidRPr="009819CE">
        <w:rPr>
          <w:rFonts w:cstheme="minorBidi"/>
          <w:shd w:val="clear" w:color="auto" w:fill="FFFFFF"/>
        </w:rPr>
        <w:t>)</w:t>
      </w:r>
      <w:r w:rsidRPr="009819CE">
        <w:rPr>
          <w:rFonts w:cstheme="minorBidi"/>
          <w:shd w:val="clear" w:color="auto" w:fill="FFFFFF"/>
        </w:rPr>
        <w:t>,</w:t>
      </w:r>
      <w:r w:rsidRPr="009819CE">
        <w:rPr>
          <w:rFonts w:cstheme="minorBidi"/>
          <w:i/>
          <w:iCs/>
          <w:shd w:val="clear" w:color="auto" w:fill="FFFFFF"/>
        </w:rPr>
        <w:t xml:space="preserve"> </w:t>
      </w:r>
      <w:r w:rsidR="00F76DB2" w:rsidRPr="00FA7D47">
        <w:rPr>
          <w:rFonts w:cstheme="minorBidi"/>
          <w:shd w:val="clear" w:color="auto" w:fill="FFFFFF"/>
        </w:rPr>
        <w:t>f</w:t>
      </w:r>
      <w:r w:rsidR="00DA3F96" w:rsidRPr="009819CE">
        <w:rPr>
          <w:rFonts w:cstheme="minorBidi"/>
          <w:shd w:val="clear" w:color="auto" w:fill="FFFFFF"/>
        </w:rPr>
        <w:t>iddler Crab (</w:t>
      </w:r>
      <w:r w:rsidR="00DA3F96" w:rsidRPr="009819CE">
        <w:rPr>
          <w:rFonts w:cstheme="minorBidi"/>
          <w:i/>
          <w:iCs/>
          <w:shd w:val="clear" w:color="auto" w:fill="FFFFFF"/>
        </w:rPr>
        <w:t>Uca arcuate</w:t>
      </w:r>
      <w:r w:rsidR="00DA3F96" w:rsidRPr="009819CE">
        <w:rPr>
          <w:rFonts w:cstheme="minorBidi"/>
          <w:shd w:val="clear" w:color="auto" w:fill="FFFFFF"/>
        </w:rPr>
        <w:t>)</w:t>
      </w:r>
      <w:r w:rsidRPr="009819CE">
        <w:rPr>
          <w:rFonts w:cstheme="minorBidi"/>
          <w:shd w:val="clear" w:color="auto" w:fill="FFFFFF"/>
        </w:rPr>
        <w:t>,</w:t>
      </w:r>
      <w:r w:rsidR="000E228F" w:rsidRPr="009819CE">
        <w:rPr>
          <w:rFonts w:cstheme="minorBidi"/>
        </w:rPr>
        <w:t xml:space="preserve"> </w:t>
      </w:r>
      <w:r w:rsidR="000E228F" w:rsidRPr="009819CE">
        <w:rPr>
          <w:rFonts w:cstheme="minorBidi"/>
          <w:shd w:val="clear" w:color="auto" w:fill="FFFFFF"/>
        </w:rPr>
        <w:t xml:space="preserve">Japanese shore crab </w:t>
      </w:r>
      <w:r w:rsidRPr="009819CE">
        <w:rPr>
          <w:rFonts w:cstheme="minorBidi"/>
          <w:shd w:val="clear" w:color="auto" w:fill="FFFFFF"/>
        </w:rPr>
        <w:t xml:space="preserve"> </w:t>
      </w:r>
      <w:r w:rsidR="000E228F" w:rsidRPr="009819CE">
        <w:rPr>
          <w:rFonts w:cstheme="minorBidi"/>
          <w:shd w:val="clear" w:color="auto" w:fill="FFFFFF"/>
        </w:rPr>
        <w:t>(</w:t>
      </w:r>
      <w:r w:rsidRPr="009819CE">
        <w:rPr>
          <w:rFonts w:cstheme="minorBidi"/>
          <w:i/>
          <w:iCs/>
          <w:shd w:val="clear" w:color="auto" w:fill="FFFFFF"/>
        </w:rPr>
        <w:t>Hemigrapsus penicillatus</w:t>
      </w:r>
      <w:r w:rsidR="000E228F" w:rsidRPr="009819CE">
        <w:rPr>
          <w:rFonts w:cstheme="minorBidi"/>
          <w:shd w:val="clear" w:color="auto" w:fill="FFFFFF"/>
        </w:rPr>
        <w:t>)</w:t>
      </w:r>
      <w:r w:rsidRPr="009819CE">
        <w:rPr>
          <w:rFonts w:cstheme="minorBidi"/>
          <w:shd w:val="clear" w:color="auto" w:fill="FFFFFF"/>
        </w:rPr>
        <w:t>,</w:t>
      </w:r>
      <w:r w:rsidRPr="009819CE">
        <w:rPr>
          <w:rFonts w:cstheme="minorBidi"/>
          <w:i/>
          <w:iCs/>
          <w:shd w:val="clear" w:color="auto" w:fill="FFFFFF"/>
        </w:rPr>
        <w:t xml:space="preserve"> </w:t>
      </w:r>
      <w:r w:rsidR="00AE3D9E" w:rsidRPr="009819CE">
        <w:rPr>
          <w:rFonts w:cstheme="minorBidi"/>
          <w:shd w:val="clear" w:color="auto" w:fill="FFFFFF"/>
        </w:rPr>
        <w:t>Chinese crab</w:t>
      </w:r>
      <w:r w:rsidR="00AE3D9E" w:rsidRPr="009819CE">
        <w:rPr>
          <w:rFonts w:cstheme="minorBidi"/>
          <w:i/>
          <w:iCs/>
          <w:shd w:val="clear" w:color="auto" w:fill="FFFFFF"/>
        </w:rPr>
        <w:t xml:space="preserve"> </w:t>
      </w:r>
      <w:r w:rsidR="00AE3D9E" w:rsidRPr="009819CE">
        <w:rPr>
          <w:rFonts w:cstheme="minorBidi"/>
          <w:shd w:val="clear" w:color="auto" w:fill="FFFFFF"/>
        </w:rPr>
        <w:t>(</w:t>
      </w:r>
      <w:r w:rsidRPr="009819CE">
        <w:rPr>
          <w:rFonts w:cstheme="minorBidi"/>
          <w:i/>
          <w:iCs/>
          <w:shd w:val="clear" w:color="auto" w:fill="FFFFFF"/>
        </w:rPr>
        <w:t>Helice wuana</w:t>
      </w:r>
      <w:r w:rsidR="00AE3D9E" w:rsidRPr="009819CE">
        <w:rPr>
          <w:rFonts w:cstheme="minorBidi"/>
          <w:shd w:val="clear" w:color="auto" w:fill="FFFFFF"/>
        </w:rPr>
        <w:t>)</w:t>
      </w:r>
      <w:r w:rsidRPr="009819CE">
        <w:rPr>
          <w:rFonts w:cstheme="minorBidi"/>
          <w:shd w:val="clear" w:color="auto" w:fill="FFFFFF"/>
        </w:rPr>
        <w:t>, and</w:t>
      </w:r>
      <w:r w:rsidR="003D641B" w:rsidRPr="009819CE">
        <w:rPr>
          <w:rFonts w:cstheme="minorBidi"/>
          <w:shd w:val="clear" w:color="auto" w:fill="FFFFFF"/>
        </w:rPr>
        <w:t xml:space="preserve"> Japanese mud crab</w:t>
      </w:r>
      <w:r w:rsidRPr="009819CE">
        <w:rPr>
          <w:rFonts w:cstheme="minorBidi"/>
          <w:i/>
          <w:iCs/>
          <w:shd w:val="clear" w:color="auto" w:fill="FFFFFF"/>
        </w:rPr>
        <w:t xml:space="preserve"> </w:t>
      </w:r>
      <w:r w:rsidR="003D641B" w:rsidRPr="009819CE">
        <w:rPr>
          <w:rFonts w:cstheme="minorBidi"/>
          <w:shd w:val="clear" w:color="auto" w:fill="FFFFFF"/>
        </w:rPr>
        <w:t>(</w:t>
      </w:r>
      <w:r w:rsidR="00A64757" w:rsidRPr="009819CE">
        <w:rPr>
          <w:rFonts w:cstheme="minorBidi"/>
          <w:i/>
          <w:iCs/>
          <w:shd w:val="clear" w:color="auto" w:fill="FFFFFF"/>
        </w:rPr>
        <w:t>Macrophthalmus</w:t>
      </w:r>
      <w:r w:rsidRPr="009819CE">
        <w:rPr>
          <w:rFonts w:cstheme="minorBidi"/>
          <w:i/>
          <w:iCs/>
          <w:shd w:val="clear" w:color="auto" w:fill="FFFFFF"/>
        </w:rPr>
        <w:t xml:space="preserve"> japonica</w:t>
      </w:r>
      <w:r w:rsidR="003D641B" w:rsidRPr="009819CE">
        <w:rPr>
          <w:rFonts w:cstheme="minorBidi"/>
          <w:shd w:val="clear" w:color="auto" w:fill="FFFFFF"/>
        </w:rPr>
        <w:t>)</w:t>
      </w:r>
      <w:r w:rsidR="00675593" w:rsidRPr="009819CE">
        <w:rPr>
          <w:rFonts w:cstheme="minorBidi"/>
          <w:shd w:val="clear" w:color="auto" w:fill="FFFFFF"/>
        </w:rPr>
        <w:t xml:space="preserve"> </w:t>
      </w:r>
      <w:r w:rsidR="00675593" w:rsidRPr="009819CE">
        <w:rPr>
          <w:rFonts w:cstheme="minorBidi"/>
          <w:shd w:val="clear" w:color="auto" w:fill="FFFFFF"/>
        </w:rPr>
        <w:fldChar w:fldCharType="begin">
          <w:fldData xml:space="preserve">PEVuZE5vdGU+PENpdGU+PEF1dGhvcj5IdWFuZzwvQXV0aG9yPjxZZWFyPjIwMTk8L1llYXI+PFJl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</w:fldData>
        </w:fldChar>
      </w:r>
      <w:r w:rsidR="00871B4F">
        <w:rPr>
          <w:rFonts w:cstheme="minorBidi"/>
          <w:shd w:val="clear" w:color="auto" w:fill="FFFFFF"/>
        </w:rPr>
        <w:instrText xml:space="preserve"> ADDIN EN.CITE </w:instrText>
      </w:r>
      <w:r w:rsidR="00871B4F">
        <w:rPr>
          <w:rFonts w:cstheme="minorBidi"/>
          <w:shd w:val="clear" w:color="auto" w:fill="FFFFFF"/>
        </w:rPr>
        <w:fldChar w:fldCharType="begin">
          <w:fldData xml:space="preserve">PEVuZE5vdGU+PENpdGU+PEF1dGhvcj5IdWFuZzwvQXV0aG9yPjxZZWFyPjIwMTk8L1llYXI+PFJl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</w:fldData>
        </w:fldChar>
      </w:r>
      <w:r w:rsidR="00871B4F">
        <w:rPr>
          <w:rFonts w:cstheme="minorBidi"/>
          <w:shd w:val="clear" w:color="auto" w:fill="FFFFFF"/>
        </w:rPr>
        <w:instrText xml:space="preserve"> ADDIN EN.CITE.DATA </w:instrText>
      </w:r>
      <w:r w:rsidR="00871B4F">
        <w:rPr>
          <w:rFonts w:cstheme="minorBidi"/>
          <w:shd w:val="clear" w:color="auto" w:fill="FFFFFF"/>
        </w:rPr>
      </w:r>
      <w:r w:rsidR="00871B4F">
        <w:rPr>
          <w:rFonts w:cstheme="minorBidi"/>
          <w:shd w:val="clear" w:color="auto" w:fill="FFFFFF"/>
        </w:rPr>
        <w:fldChar w:fldCharType="end"/>
      </w:r>
      <w:r w:rsidR="00675593" w:rsidRPr="009819CE">
        <w:rPr>
          <w:rFonts w:cstheme="minorBidi"/>
          <w:shd w:val="clear" w:color="auto" w:fill="FFFFFF"/>
        </w:rPr>
      </w:r>
      <w:r w:rsidR="00675593" w:rsidRPr="009819CE">
        <w:rPr>
          <w:rFonts w:cstheme="minorBidi"/>
          <w:shd w:val="clear" w:color="auto" w:fill="FFFFFF"/>
        </w:rPr>
        <w:fldChar w:fldCharType="separate"/>
      </w:r>
      <w:r w:rsidR="000E5B3E" w:rsidRPr="00871B4F">
        <w:rPr>
          <w:rFonts w:cstheme="minorBidi"/>
          <w:noProof/>
          <w:shd w:val="clear" w:color="auto" w:fill="FFFFFF"/>
        </w:rPr>
        <w:t>(</w:t>
      </w:r>
      <w:hyperlink w:anchor="_ENREF_143" w:tooltip="Huang, 2019 #466" w:history="1">
        <w:r w:rsidR="00950097" w:rsidRPr="00871B4F">
          <w:rPr>
            <w:rFonts w:cstheme="minorBidi"/>
            <w:noProof/>
            <w:shd w:val="clear" w:color="auto" w:fill="FFFFFF"/>
          </w:rPr>
          <w:t>Huang et al., 2019</w:t>
        </w:r>
      </w:hyperlink>
      <w:r w:rsidR="000E5B3E" w:rsidRPr="00871B4F">
        <w:rPr>
          <w:rFonts w:cstheme="minorBidi"/>
          <w:noProof/>
          <w:shd w:val="clear" w:color="auto" w:fill="FFFFFF"/>
        </w:rPr>
        <w:t xml:space="preserve">; </w:t>
      </w:r>
      <w:hyperlink w:anchor="_ENREF_180" w:tooltip="Li, 2021 #1776" w:history="1">
        <w:r w:rsidR="00950097" w:rsidRPr="00871B4F">
          <w:rPr>
            <w:rFonts w:cstheme="minorBidi"/>
            <w:noProof/>
            <w:shd w:val="clear" w:color="auto" w:fill="FFFFFF"/>
          </w:rPr>
          <w:t>Li et al., 2021b</w:t>
        </w:r>
      </w:hyperlink>
      <w:r w:rsidR="000E5B3E" w:rsidRPr="00871B4F">
        <w:rPr>
          <w:rFonts w:cstheme="minorBidi"/>
          <w:noProof/>
          <w:shd w:val="clear" w:color="auto" w:fill="FFFFFF"/>
        </w:rPr>
        <w:t>)</w:t>
      </w:r>
      <w:r w:rsidR="00675593" w:rsidRPr="009819CE">
        <w:rPr>
          <w:rFonts w:cstheme="minorBidi"/>
          <w:shd w:val="clear" w:color="auto" w:fill="FFFFFF"/>
        </w:rPr>
        <w:fldChar w:fldCharType="end"/>
      </w:r>
      <w:r w:rsidRPr="009819CE">
        <w:rPr>
          <w:rFonts w:cstheme="minorBidi"/>
          <w:i/>
          <w:iCs/>
          <w:shd w:val="clear" w:color="auto" w:fill="FFFFFF"/>
        </w:rPr>
        <w:t xml:space="preserve">. </w:t>
      </w:r>
      <w:r w:rsidR="00615123">
        <w:t xml:space="preserve">The most recently updated list of </w:t>
      </w:r>
      <w:r w:rsidR="00615123" w:rsidRPr="0098646C">
        <w:rPr>
          <w:rStyle w:val="Strong"/>
          <w:rFonts w:eastAsiaTheme="majorEastAsia"/>
          <w:b w:val="0"/>
          <w:bCs w:val="0"/>
          <w:i/>
          <w:iCs/>
        </w:rPr>
        <w:t>Hematodinium</w:t>
      </w:r>
      <w:r w:rsidR="00615123">
        <w:t xml:space="preserve"> hosts can be found in the review by</w:t>
      </w:r>
      <w:r w:rsidR="0098646C">
        <w:t xml:space="preserve"> </w:t>
      </w:r>
      <w:hyperlink w:anchor="_ENREF_13" w:tooltip="Alimin, 2023 #1968" w:history="1">
        <w:r w:rsidR="00950097">
          <w:fldChar w:fldCharType="begin"/>
        </w:r>
        <w:r w:rsidR="00950097">
          <w:instrText xml:space="preserve"> ADDIN EN.CITE &lt;EndNote&gt;&lt;Cite AuthorYear="1"&gt;&lt;Author&gt;Alimin&lt;/Author&gt;&lt;Year&gt;2023&lt;/Year&gt;&lt;RecNum&gt;1968&lt;/RecNum&gt;&lt;DisplayText&gt;Alimin et al. (2023)&lt;/DisplayText&gt;&lt;record&gt;&lt;rec-number&gt;1968&lt;/rec-number&gt;&lt;foreign-keys&gt;&lt;key app="EN" db-id="sd9wrx9fj09rx3erprsx999o0r5aprvp2zse" timestamp="1751213866" guid="63816707-c391-4c54-ac19-888c3c35209c"&gt;1968&lt;/key&gt;&lt;/foreign-keys&gt;&lt;ref-type name="Journal Article"&gt;17&lt;/ref-type&gt;&lt;contributors&gt;&lt;authors&gt;&lt;author&gt;Alimin, Ade Wahyul Fajri&lt;/author&gt;&lt;author&gt;Yusoff, Nor Asma Husna&lt;/author&gt;&lt;author&gt;Kadriah, Ince Ayu Khairana&lt;/author&gt;&lt;author&gt;Anshary, Hilal&lt;/author&gt;&lt;author&gt;Abdullah, Farizan&lt;/author&gt;&lt;author&gt;Jabir, Nurhidayah&lt;/author&gt;&lt;author&gt;Susianingsih, Endang&lt;/author&gt;&lt;author&gt;Hassan, Marina&lt;/author&gt;&lt;/authors&gt;&lt;/contributors&gt;&lt;titles&gt;&lt;title&gt;&lt;style face="normal" font="default" size="100%"&gt;Parasitic dinoflagellate &lt;/style&gt;&lt;style face="italic" font="default" size="100%"&gt;Hematodinium&lt;/style&gt;&lt;style face="normal" font="default" size="100%"&gt; in marine decapod crustaceans: a review on current knowledge and future perspectives&lt;/style&gt;&lt;/title&gt;&lt;secondary-title&gt;Parasitology Research&lt;/secondary-title&gt;&lt;/titles&gt;&lt;periodical&gt;&lt;full-title&gt;Parasitology Research&lt;/full-title&gt;&lt;/periodical&gt;&lt;pages&gt;49&lt;/pages&gt;&lt;volume&gt;123&lt;/volume&gt;&lt;number&gt;1&lt;/number&gt;&lt;dates&gt;&lt;year&gt;2023&lt;/year&gt;&lt;pub-dates&gt;&lt;date&gt;2023/12/14&lt;/date&gt;&lt;/pub-dates&gt;&lt;/dates&gt;&lt;isbn&gt;1432-1955&lt;/isbn&gt;&lt;urls&gt;&lt;related-urls&gt;&lt;url&gt;https://doi.org/10.1007/s00436-023-08067-z&lt;/url&gt;&lt;url&gt;https://link.springer.com/article/10.1007/s00436-023-08067-z&lt;/url&gt;&lt;/related-urls&gt;&lt;/urls&gt;&lt;electronic-resource-num&gt;10.1007/s00436-023-08067-z&lt;/electronic-resource-num&gt;&lt;/record&gt;&lt;/Cite&gt;&lt;/EndNote&gt;</w:instrText>
        </w:r>
        <w:r w:rsidR="00950097">
          <w:fldChar w:fldCharType="separate"/>
        </w:r>
        <w:r w:rsidR="00950097">
          <w:rPr>
            <w:noProof/>
          </w:rPr>
          <w:t>Alimin et al. (2023)</w:t>
        </w:r>
        <w:r w:rsidR="00950097">
          <w:fldChar w:fldCharType="end"/>
        </w:r>
      </w:hyperlink>
      <w:r w:rsidR="000411BA">
        <w:t>.</w:t>
      </w:r>
    </w:p>
    <w:p w14:paraId="2F58BCE4" w14:textId="77777777" w:rsidR="00D21298" w:rsidRPr="009819CE" w:rsidRDefault="00D21298" w:rsidP="00A442DD">
      <w:pPr>
        <w:rPr>
          <w:rFonts w:cstheme="minorBidi"/>
          <w:shd w:val="clear" w:color="auto" w:fill="FFFFFF"/>
        </w:rPr>
      </w:pPr>
    </w:p>
    <w:p w14:paraId="6D910BD9" w14:textId="0D9C286C" w:rsidR="002773A2" w:rsidRPr="009819CE" w:rsidRDefault="002773A2" w:rsidP="009C3F77">
      <w:pPr>
        <w:pStyle w:val="Heading3"/>
        <w:numPr>
          <w:ilvl w:val="2"/>
          <w:numId w:val="22"/>
        </w:numPr>
        <w:rPr>
          <w:rFonts w:cstheme="minorBidi"/>
          <w:iCs/>
        </w:rPr>
      </w:pPr>
      <w:bookmarkStart w:id="86" w:name="_Toc94799234"/>
      <w:bookmarkStart w:id="87" w:name="_Toc204106599"/>
      <w:r w:rsidRPr="009819CE">
        <w:rPr>
          <w:rFonts w:cstheme="minorBidi"/>
          <w:iCs/>
        </w:rPr>
        <w:t xml:space="preserve">Description of the parasite </w:t>
      </w:r>
      <w:r w:rsidR="009D03F4" w:rsidRPr="009819CE">
        <w:rPr>
          <w:rFonts w:cstheme="minorBidi"/>
          <w:i/>
          <w:iCs/>
        </w:rPr>
        <w:t>Hematodinium</w:t>
      </w:r>
      <w:r w:rsidRPr="009819CE">
        <w:rPr>
          <w:rFonts w:cstheme="minorBidi"/>
          <w:iCs/>
        </w:rPr>
        <w:t>.</w:t>
      </w:r>
      <w:bookmarkEnd w:id="86"/>
      <w:bookmarkEnd w:id="87"/>
    </w:p>
    <w:p w14:paraId="78176162" w14:textId="2A179930" w:rsidR="00120351" w:rsidRPr="009819CE" w:rsidRDefault="0014608B" w:rsidP="00120351">
      <w:pPr>
        <w:rPr>
          <w:rFonts w:cstheme="minorBidi"/>
          <w:shd w:val="clear" w:color="auto" w:fill="FFFFFF"/>
        </w:rPr>
      </w:pPr>
      <w:bookmarkStart w:id="88" w:name="_Ref81652680"/>
      <w:bookmarkStart w:id="89" w:name="_Ref81652688"/>
      <w:bookmarkStart w:id="90" w:name="_Toc94799250"/>
      <w:r w:rsidRPr="009819CE">
        <w:rPr>
          <w:rFonts w:cstheme="minorBidi"/>
          <w:shd w:val="clear" w:color="auto" w:fill="FFFFFF"/>
        </w:rPr>
        <w:t xml:space="preserve">Species within the genus </w:t>
      </w:r>
      <w:r w:rsidR="009D03F4" w:rsidRPr="009819CE">
        <w:rPr>
          <w:rFonts w:cstheme="minorBidi"/>
          <w:i/>
          <w:shd w:val="clear" w:color="auto" w:fill="FFFFFF"/>
        </w:rPr>
        <w:t>Hematodinium</w:t>
      </w:r>
      <w:r w:rsidRPr="009819CE">
        <w:rPr>
          <w:rFonts w:cstheme="minorBidi"/>
          <w:shd w:val="clear" w:color="auto" w:fill="FFFFFF"/>
        </w:rPr>
        <w:t xml:space="preserve"> sp. possess characteristic features typical of dinoflagellates, including a dinokaryon structure, a pellicle, naked gymnodinoid, athecate dinospores, and dinomitosis (unique mitosis) </w:t>
      </w:r>
      <w:r w:rsidRPr="009819CE">
        <w:rPr>
          <w:rFonts w:cstheme="minorBidi"/>
          <w:shd w:val="clear" w:color="auto" w:fill="FFFFFF"/>
        </w:rPr>
        <w:fldChar w:fldCharType="begin"/>
      </w:r>
      <w:r w:rsidR="00D50EFF" w:rsidRPr="009819CE">
        <w:rPr>
          <w:rFonts w:cstheme="minorBidi"/>
          <w:shd w:val="clear" w:color="auto" w:fill="FFFFFF"/>
        </w:rPr>
        <w:instrText xml:space="preserve"> ADDIN EN.CITE &lt;EndNote&gt;&lt;Cite&gt;&lt;Author&gt;Stentiford&lt;/Author&gt;&lt;Year&gt;2005&lt;/Year&gt;&lt;RecNum&gt;156&lt;/RecNum&gt;&lt;DisplayText&gt;(Stentiford and Shields, 2005)&lt;/DisplayText&gt;&lt;record&gt;&lt;rec-number&gt;156&lt;/rec-number&gt;&lt;foreign-keys&gt;&lt;key app="EN" db-id="sd9wrx9fj09rx3erprsx999o0r5aprvp2zse" timestamp="1687855901" guid="f898d037-301b-4944-b879-7b243ff3fb71"&gt;156&lt;/key&gt;&lt;/foreign-keys&gt;&lt;ref-type name="Journal Article"&gt;17&lt;/ref-type&gt;&lt;contributors&gt;&lt;authors&gt;&lt;author&gt;Stentiford, Grant D.&lt;/author&gt;&lt;author&gt;Shields, Jeffrey D.&lt;/author&gt;&lt;/authors&gt;&lt;/contributors&gt;&lt;titles&gt;&lt;title&gt;&lt;style face="normal" font="default" size="100%"&gt;A review of the parasitic dinoflagellates &lt;/style&gt;&lt;style face="italic" font="default" size="100%"&gt;Hematodinium s&lt;/style&gt;&lt;style face="normal" font="default" size="100%"&gt;pecies and &lt;/style&gt;&lt;style face="italic" font="default" size="100%"&gt;Hematodinium&lt;/style&gt;&lt;style face="normal" font="default" size="100%"&gt;-like infections in marine crustaceans&lt;/style&gt;&lt;/title&gt;&lt;secondary-title&gt;Diseases of Aquatic Organisms&lt;/secondary-title&gt;&lt;/titles&gt;&lt;periodical&gt;&lt;full-title&gt;Diseases of Aquatic Organisms&lt;/full-title&gt;&lt;/periodical&gt;&lt;pages&gt;47-70&lt;/pages&gt;&lt;volume&gt;66&lt;/volume&gt;&lt;number&gt;1&lt;/number&gt;&lt;keywords&gt;&lt;keyword&gt;Crab&lt;/keyword&gt;&lt;keyword&gt;Disease&lt;/keyword&gt;&lt;keyword&gt;Fishery&lt;/keyword&gt;&lt;keyword&gt;Life cycle&lt;/keyword&gt;&lt;keyword&gt;Lobster&lt;/keyword&gt;&lt;keyword&gt;Pathology&lt;/keyword&gt;&lt;keyword&gt;Physiology&lt;/keyword&gt;&lt;keyword&gt;Population&lt;/keyword&gt;&lt;/keywords&gt;&lt;dates&gt;&lt;year&gt;2005&lt;/year&gt;&lt;/dates&gt;&lt;urls&gt;&lt;related-urls&gt;&lt;url&gt;http://www.int-res.com/abstracts/dao/v66/n1/p47-70/&lt;/url&gt;&lt;url&gt;https://www.int-res.com/articles/dao2005/66/d066p047.pdf&lt;/url&gt;&lt;/related-urls&gt;&lt;/urls&gt;&lt;electronic-resource-num&gt;10.3354/dao066047&lt;/electronic-resource-num&gt;&lt;/record&gt;&lt;/Cite&gt;&lt;/EndNote&gt;</w:instrText>
      </w:r>
      <w:r w:rsidRPr="009819CE">
        <w:rPr>
          <w:rFonts w:cstheme="minorBidi"/>
          <w:shd w:val="clear" w:color="auto" w:fill="FFFFFF"/>
        </w:rPr>
        <w:fldChar w:fldCharType="separate"/>
      </w:r>
      <w:r w:rsidR="00D50EFF" w:rsidRPr="009819CE">
        <w:rPr>
          <w:rFonts w:cstheme="minorBidi"/>
          <w:shd w:val="clear" w:color="auto" w:fill="FFFFFF"/>
        </w:rPr>
        <w:t>(</w:t>
      </w:r>
      <w:hyperlink w:anchor="_ENREF_310" w:tooltip="Stentiford, 2005 #156" w:history="1">
        <w:r w:rsidR="00950097" w:rsidRPr="009819CE">
          <w:rPr>
            <w:rFonts w:cstheme="minorBidi"/>
            <w:shd w:val="clear" w:color="auto" w:fill="FFFFFF"/>
          </w:rPr>
          <w:t>Stentiford and Shields, 2005</w:t>
        </w:r>
      </w:hyperlink>
      <w:r w:rsidR="00D50EFF" w:rsidRPr="009819CE">
        <w:rPr>
          <w:rFonts w:cstheme="minorBidi"/>
          <w:shd w:val="clear" w:color="auto" w:fill="FFFFFF"/>
        </w:rPr>
        <w:t>)</w:t>
      </w:r>
      <w:r w:rsidRPr="009819CE">
        <w:rPr>
          <w:rFonts w:cstheme="minorBidi"/>
          <w:shd w:val="clear" w:color="auto" w:fill="FFFFFF"/>
        </w:rPr>
        <w:fldChar w:fldCharType="end"/>
      </w:r>
      <w:r w:rsidRPr="009819CE">
        <w:rPr>
          <w:rFonts w:cstheme="minorBidi"/>
          <w:shd w:val="clear" w:color="auto" w:fill="FFFFFF"/>
        </w:rPr>
        <w:t xml:space="preserve">. However, unlike other planktonic dinoflagellates, the parasitic </w:t>
      </w:r>
      <w:r w:rsidR="009D03F4" w:rsidRPr="009819CE">
        <w:rPr>
          <w:rFonts w:cstheme="minorBidi"/>
          <w:i/>
          <w:shd w:val="clear" w:color="auto" w:fill="FFFFFF"/>
        </w:rPr>
        <w:t>Hematodinium</w:t>
      </w:r>
      <w:r w:rsidRPr="009819CE">
        <w:rPr>
          <w:rFonts w:cstheme="minorBidi"/>
          <w:shd w:val="clear" w:color="auto" w:fill="FFFFFF"/>
        </w:rPr>
        <w:t xml:space="preserve"> sp. primarily resides within the haemolymph or h</w:t>
      </w:r>
      <w:r w:rsidR="00F84962" w:rsidRPr="00FA7D47">
        <w:rPr>
          <w:rFonts w:cstheme="minorBidi"/>
          <w:shd w:val="clear" w:color="auto" w:fill="FFFFFF"/>
        </w:rPr>
        <w:t>a</w:t>
      </w:r>
      <w:r w:rsidRPr="009819CE">
        <w:rPr>
          <w:rFonts w:cstheme="minorBidi"/>
          <w:shd w:val="clear" w:color="auto" w:fill="FFFFFF"/>
        </w:rPr>
        <w:t xml:space="preserve">emocoel of affected organs and tissues. Throughout its life cycle, </w:t>
      </w:r>
      <w:r w:rsidR="009D03F4" w:rsidRPr="009819CE">
        <w:rPr>
          <w:rFonts w:cstheme="minorBidi"/>
          <w:i/>
          <w:shd w:val="clear" w:color="auto" w:fill="FFFFFF"/>
        </w:rPr>
        <w:t>Hematodinium</w:t>
      </w:r>
      <w:r w:rsidRPr="009819CE">
        <w:rPr>
          <w:rFonts w:cstheme="minorBidi"/>
          <w:shd w:val="clear" w:color="auto" w:fill="FFFFFF"/>
        </w:rPr>
        <w:t xml:space="preserve"> sp. exhibits various shapes, with the ameboid trophonts (vegetative stage) being the </w:t>
      </w:r>
      <w:r w:rsidR="00925A48" w:rsidRPr="009819CE">
        <w:rPr>
          <w:rFonts w:cstheme="minorBidi"/>
          <w:shd w:val="clear" w:color="auto" w:fill="FFFFFF"/>
        </w:rPr>
        <w:t>most observed</w:t>
      </w:r>
      <w:r w:rsidRPr="009819CE">
        <w:rPr>
          <w:rFonts w:cstheme="minorBidi"/>
          <w:shd w:val="clear" w:color="auto" w:fill="FFFFFF"/>
        </w:rPr>
        <w:t xml:space="preserve"> stage within the haemolymph of infected organisms</w:t>
      </w:r>
      <w:r w:rsidR="003B050B" w:rsidRPr="009819CE">
        <w:rPr>
          <w:rFonts w:cstheme="minorBidi"/>
          <w:shd w:val="clear" w:color="auto" w:fill="FFFFFF"/>
        </w:rPr>
        <w:t xml:space="preserve"> </w:t>
      </w:r>
      <w:r w:rsidR="003B050B" w:rsidRPr="009819CE">
        <w:rPr>
          <w:rFonts w:cstheme="minorBidi"/>
          <w:shd w:val="clear" w:color="auto" w:fill="FFFFFF"/>
        </w:rPr>
        <w:fldChar w:fldCharType="begin">
          <w:fldData xml:space="preserve">PEVuZE5vdGU+PENpdGU+PEF1dGhvcj5BcHBsZXRvbjwvQXV0aG9yPjxZZWFyPjE5OTg8L1llYXI+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=
</w:fldData>
        </w:fldChar>
      </w:r>
      <w:r w:rsidR="00EE7FB9">
        <w:rPr>
          <w:rFonts w:cstheme="minorBidi"/>
          <w:shd w:val="clear" w:color="auto" w:fill="FFFFFF"/>
        </w:rPr>
        <w:instrText xml:space="preserve"> ADDIN EN.CITE </w:instrText>
      </w:r>
      <w:r w:rsidR="00EE7FB9">
        <w:rPr>
          <w:rFonts w:cstheme="minorBidi"/>
          <w:shd w:val="clear" w:color="auto" w:fill="FFFFFF"/>
        </w:rPr>
        <w:fldChar w:fldCharType="begin">
          <w:fldData xml:space="preserve">PEVuZE5vdGU+PENpdGU+PEF1dGhvcj5BcHBsZXRvbjwvQXV0aG9yPjxZZWFyPjE5OTg8L1llYXI+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=
</w:fldData>
        </w:fldChar>
      </w:r>
      <w:r w:rsidR="00EE7FB9">
        <w:rPr>
          <w:rFonts w:cstheme="minorBidi"/>
          <w:shd w:val="clear" w:color="auto" w:fill="FFFFFF"/>
        </w:rPr>
        <w:instrText xml:space="preserve"> ADDIN EN.CITE.DATA </w:instrText>
      </w:r>
      <w:r w:rsidR="00EE7FB9">
        <w:rPr>
          <w:rFonts w:cstheme="minorBidi"/>
          <w:shd w:val="clear" w:color="auto" w:fill="FFFFFF"/>
        </w:rPr>
      </w:r>
      <w:r w:rsidR="00EE7FB9">
        <w:rPr>
          <w:rFonts w:cstheme="minorBidi"/>
          <w:shd w:val="clear" w:color="auto" w:fill="FFFFFF"/>
        </w:rPr>
        <w:fldChar w:fldCharType="end"/>
      </w:r>
      <w:r w:rsidR="003B050B" w:rsidRPr="009819CE">
        <w:rPr>
          <w:rFonts w:cstheme="minorBidi"/>
          <w:shd w:val="clear" w:color="auto" w:fill="FFFFFF"/>
        </w:rPr>
      </w:r>
      <w:r w:rsidR="003B050B" w:rsidRPr="009819CE">
        <w:rPr>
          <w:rFonts w:cstheme="minorBidi"/>
          <w:shd w:val="clear" w:color="auto" w:fill="FFFFFF"/>
        </w:rPr>
        <w:fldChar w:fldCharType="separate"/>
      </w:r>
      <w:r w:rsidR="005D4504" w:rsidRPr="00EE7FB9">
        <w:rPr>
          <w:rFonts w:cstheme="minorBidi"/>
          <w:noProof/>
          <w:shd w:val="clear" w:color="auto" w:fill="FFFFFF"/>
        </w:rPr>
        <w:t>(</w:t>
      </w:r>
      <w:hyperlink w:anchor="_ENREF_18" w:tooltip="Appleton, 1998 #373" w:history="1">
        <w:r w:rsidR="00950097" w:rsidRPr="00EE7FB9">
          <w:rPr>
            <w:rFonts w:cstheme="minorBidi"/>
            <w:noProof/>
            <w:shd w:val="clear" w:color="auto" w:fill="FFFFFF"/>
          </w:rPr>
          <w:t>Appleton and Vickerman, 1998</w:t>
        </w:r>
      </w:hyperlink>
      <w:r w:rsidR="005D4504" w:rsidRPr="00EE7FB9">
        <w:rPr>
          <w:rFonts w:cstheme="minorBidi"/>
          <w:noProof/>
          <w:shd w:val="clear" w:color="auto" w:fill="FFFFFF"/>
        </w:rPr>
        <w:t xml:space="preserve">; </w:t>
      </w:r>
      <w:hyperlink w:anchor="_ENREF_301" w:tooltip="Stentiford, 2003 #274" w:history="1">
        <w:r w:rsidR="00950097" w:rsidRPr="00EE7FB9">
          <w:rPr>
            <w:rFonts w:cstheme="minorBidi"/>
            <w:noProof/>
            <w:shd w:val="clear" w:color="auto" w:fill="FFFFFF"/>
          </w:rPr>
          <w:t>Stentiford et al., 2003</w:t>
        </w:r>
      </w:hyperlink>
      <w:r w:rsidR="005D4504" w:rsidRPr="00EE7FB9">
        <w:rPr>
          <w:rFonts w:cstheme="minorBidi"/>
          <w:noProof/>
          <w:shd w:val="clear" w:color="auto" w:fill="FFFFFF"/>
        </w:rPr>
        <w:t>)</w:t>
      </w:r>
      <w:r w:rsidR="003B050B" w:rsidRPr="009819CE">
        <w:rPr>
          <w:rFonts w:cstheme="minorBidi"/>
          <w:shd w:val="clear" w:color="auto" w:fill="FFFFFF"/>
        </w:rPr>
        <w:fldChar w:fldCharType="end"/>
      </w:r>
      <w:r w:rsidRPr="009819CE">
        <w:rPr>
          <w:rFonts w:cstheme="minorBidi"/>
          <w:shd w:val="clear" w:color="auto" w:fill="FFFFFF"/>
        </w:rPr>
        <w:t>. Within the haemolymph, the parasite undergoes multiplication until the cell density reaches a critical point that triggers the production of dinospores (see</w:t>
      </w:r>
      <w:r w:rsidR="00C23393" w:rsidRPr="00FA7D47">
        <w:rPr>
          <w:rFonts w:cstheme="minorBidi"/>
          <w:shd w:val="clear" w:color="auto" w:fill="FFFFFF"/>
        </w:rPr>
        <w:t xml:space="preserve"> section</w:t>
      </w:r>
      <w:r w:rsidRPr="009819CE">
        <w:rPr>
          <w:rFonts w:cstheme="minorBidi"/>
          <w:shd w:val="clear" w:color="auto" w:fill="FFFFFF"/>
        </w:rPr>
        <w:t xml:space="preserve"> </w:t>
      </w:r>
      <w:r w:rsidR="00A77F3C" w:rsidRPr="009819CE">
        <w:rPr>
          <w:rFonts w:cstheme="minorBidi"/>
          <w:b/>
          <w:bCs/>
          <w:shd w:val="clear" w:color="auto" w:fill="FFFFFF"/>
        </w:rPr>
        <w:fldChar w:fldCharType="begin"/>
      </w:r>
      <w:r w:rsidR="00A77F3C" w:rsidRPr="009819CE">
        <w:rPr>
          <w:rFonts w:cstheme="minorBidi"/>
          <w:b/>
          <w:bCs/>
          <w:shd w:val="clear" w:color="auto" w:fill="FFFFFF"/>
        </w:rPr>
        <w:instrText xml:space="preserve"> REF _Ref193529694 \r \h </w:instrText>
      </w:r>
      <w:r w:rsidR="00A77F3C" w:rsidRPr="009819CE">
        <w:rPr>
          <w:rFonts w:cstheme="minorBidi"/>
          <w:b/>
          <w:bCs/>
          <w:shd w:val="clear" w:color="auto" w:fill="FFFFFF"/>
        </w:rPr>
      </w:r>
      <w:r w:rsidR="00A77F3C" w:rsidRPr="009819CE">
        <w:rPr>
          <w:rFonts w:cstheme="minorBidi"/>
          <w:b/>
          <w:bCs/>
          <w:shd w:val="clear" w:color="auto" w:fill="FFFFFF"/>
        </w:rPr>
        <w:fldChar w:fldCharType="separate"/>
      </w:r>
      <w:r w:rsidR="008549FC">
        <w:rPr>
          <w:rFonts w:cstheme="minorBidi"/>
          <w:b/>
          <w:bCs/>
          <w:shd w:val="clear" w:color="auto" w:fill="FFFFFF"/>
        </w:rPr>
        <w:t>1.3.3.1</w:t>
      </w:r>
      <w:r w:rsidR="00A77F3C" w:rsidRPr="009819CE">
        <w:rPr>
          <w:rFonts w:cstheme="minorBidi"/>
          <w:b/>
          <w:bCs/>
          <w:shd w:val="clear" w:color="auto" w:fill="FFFFFF"/>
        </w:rPr>
        <w:fldChar w:fldCharType="end"/>
      </w:r>
      <w:r w:rsidRPr="009819CE">
        <w:rPr>
          <w:rFonts w:cstheme="minorBidi"/>
          <w:shd w:val="clear" w:color="auto" w:fill="FFFFFF"/>
        </w:rPr>
        <w:t>). The high concentration of parasitic cells in the haemolymph leads to the milky-white appearance of the haemolymph</w:t>
      </w:r>
      <w:r w:rsidR="005C5B16" w:rsidRPr="009819CE">
        <w:rPr>
          <w:rFonts w:cstheme="minorBidi"/>
          <w:shd w:val="clear" w:color="auto" w:fill="FFFFFF"/>
        </w:rPr>
        <w:t xml:space="preserve"> </w:t>
      </w:r>
      <w:r w:rsidR="005C5B16" w:rsidRPr="009819CE">
        <w:rPr>
          <w:rFonts w:cstheme="minorBidi"/>
          <w:shd w:val="clear" w:color="auto" w:fill="FFFFFF"/>
        </w:rPr>
        <w:fldChar w:fldCharType="begin"/>
      </w:r>
      <w:r w:rsidR="005C5B16" w:rsidRPr="009819CE">
        <w:rPr>
          <w:rFonts w:cstheme="minorBidi"/>
          <w:shd w:val="clear" w:color="auto" w:fill="FFFFFF"/>
        </w:rPr>
        <w:instrText xml:space="preserve"> ADDIN EN.CITE &lt;EndNote&gt;&lt;Cite&gt;&lt;Author&gt;Field&lt;/Author&gt;&lt;Year&gt;1992&lt;/Year&gt;&lt;RecNum&gt;448&lt;/RecNum&gt;&lt;DisplayText&gt;(Field et al., 1992)&lt;/DisplayText&gt;&lt;record&gt;&lt;rec-number&gt;448&lt;/rec-number&gt;&lt;foreign-keys&gt;&lt;key app="EN" db-id="sd9wrx9fj09rx3erprsx999o0r5aprvp2zse" timestamp="1687855901" guid="b78ef845-3f27-43af-9d07-d8676723e1bf"&gt;448&lt;/key&gt;&lt;/foreign-keys&gt;&lt;ref-type name="Journal Article"&gt;17&lt;/ref-type&gt;&lt;contributors&gt;&lt;authors&gt;&lt;author&gt;Field, Robert Henry&lt;/author&gt;&lt;author&gt;Chapman, C. J.&lt;/author&gt;&lt;author&gt;Taylor, A. C.&lt;/author&gt;&lt;author&gt;Neil, Douglas M.&lt;/author&gt;&lt;author&gt;Vickerman, Keith&lt;/author&gt;&lt;/authors&gt;&lt;/contributors&gt;&lt;titles&gt;&lt;title&gt;&lt;style face="normal" font="default" size="100%"&gt;Infection of the Norway lobster &lt;/style&gt;&lt;style face="italic" font="default" size="100%"&gt;Nephrons norvegicus&lt;/style&gt;&lt;style face="normal" font="default" size="100%"&gt; by a &lt;/style&gt;&lt;style face="italic" font="default" size="100%"&gt;Hematodinium&lt;/style&gt;&lt;style face="normal" font="default" size="100%"&gt;-like species of dinoflagellate on the west coast of Scotland&lt;/style&gt;&lt;/title&gt;&lt;secondary-title&gt;Diseases of Aquatic Organisms&lt;/secondary-title&gt;&lt;/titles&gt;&lt;periodical&gt;&lt;full-title&gt;Diseases of Aquatic Organisms&lt;/full-title&gt;&lt;/periodical&gt;&lt;pages&gt;1-15&lt;/pages&gt;&lt;volume&gt;13&lt;/volume&gt;&lt;number&gt;1&lt;/number&gt;&lt;dates&gt;&lt;year&gt;1992&lt;/year&gt;&lt;/dates&gt;&lt;publisher&gt;Elsevier&lt;/publisher&gt;&lt;urls&gt;&lt;related-urls&gt;&lt;url&gt;http://www.int-res.com/articles/dao/13/d013p001.pdf&lt;/url&gt;&lt;/related-urls&gt;&lt;/urls&gt;&lt;electronic-resource-num&gt;10.3354/dao013001&lt;/electronic-resource-num&gt;&lt;/record&gt;&lt;/Cite&gt;&lt;/EndNote&gt;</w:instrText>
      </w:r>
      <w:r w:rsidR="005C5B16" w:rsidRPr="009819CE">
        <w:rPr>
          <w:rFonts w:cstheme="minorBidi"/>
          <w:shd w:val="clear" w:color="auto" w:fill="FFFFFF"/>
        </w:rPr>
        <w:fldChar w:fldCharType="separate"/>
      </w:r>
      <w:r w:rsidR="005C5B16" w:rsidRPr="001F4A34">
        <w:rPr>
          <w:rFonts w:cstheme="minorBidi"/>
          <w:shd w:val="clear" w:color="auto" w:fill="FFFFFF"/>
        </w:rPr>
        <w:t>(</w:t>
      </w:r>
      <w:hyperlink w:anchor="_ENREF_95" w:tooltip="Field, 1992 #448" w:history="1">
        <w:r w:rsidR="00950097" w:rsidRPr="001F4A34">
          <w:rPr>
            <w:rFonts w:cstheme="minorBidi"/>
            <w:shd w:val="clear" w:color="auto" w:fill="FFFFFF"/>
          </w:rPr>
          <w:t>Field et al., 1992</w:t>
        </w:r>
      </w:hyperlink>
      <w:r w:rsidR="005C5B16" w:rsidRPr="001F4A34">
        <w:rPr>
          <w:rFonts w:cstheme="minorBidi"/>
          <w:shd w:val="clear" w:color="auto" w:fill="FFFFFF"/>
        </w:rPr>
        <w:t>)</w:t>
      </w:r>
      <w:r w:rsidR="005C5B16" w:rsidRPr="009819CE">
        <w:rPr>
          <w:rFonts w:cstheme="minorBidi"/>
          <w:shd w:val="clear" w:color="auto" w:fill="FFFFFF"/>
        </w:rPr>
        <w:fldChar w:fldCharType="end"/>
      </w:r>
      <w:r w:rsidRPr="009819CE">
        <w:rPr>
          <w:rFonts w:cstheme="minorBidi"/>
          <w:shd w:val="clear" w:color="auto" w:fill="FFFFFF"/>
        </w:rPr>
        <w:t>.</w:t>
      </w:r>
      <w:r w:rsidRPr="009819CE">
        <w:rPr>
          <w:rFonts w:cstheme="minorBidi"/>
        </w:rPr>
        <w:t xml:space="preserve"> </w:t>
      </w:r>
      <w:r w:rsidRPr="009819CE">
        <w:rPr>
          <w:rFonts w:cstheme="minorBidi"/>
          <w:shd w:val="clear" w:color="auto" w:fill="FFFFFF"/>
        </w:rPr>
        <w:t xml:space="preserve">The exact </w:t>
      </w:r>
      <w:r w:rsidR="00BE4471" w:rsidRPr="009819CE">
        <w:rPr>
          <w:rFonts w:cstheme="minorBidi"/>
          <w:shd w:val="clear" w:color="auto" w:fill="FFFFFF"/>
        </w:rPr>
        <w:t xml:space="preserve">cause </w:t>
      </w:r>
      <w:r w:rsidR="006A52D6">
        <w:rPr>
          <w:rFonts w:cstheme="minorBidi"/>
          <w:shd w:val="clear" w:color="auto" w:fill="FFFFFF"/>
        </w:rPr>
        <w:t xml:space="preserve">of </w:t>
      </w:r>
      <w:r w:rsidRPr="009819CE">
        <w:rPr>
          <w:rFonts w:cstheme="minorBidi"/>
          <w:shd w:val="clear" w:color="auto" w:fill="FFFFFF"/>
        </w:rPr>
        <w:t>spore release remains unclear; it is speculated that spores may be released in response to the accumulation of toxic metabolites in the host's h</w:t>
      </w:r>
      <w:r w:rsidR="0060463D" w:rsidRPr="00FA7D47">
        <w:rPr>
          <w:rFonts w:cstheme="minorBidi"/>
          <w:shd w:val="clear" w:color="auto" w:fill="FFFFFF"/>
        </w:rPr>
        <w:t>a</w:t>
      </w:r>
      <w:r w:rsidRPr="009819CE">
        <w:rPr>
          <w:rFonts w:cstheme="minorBidi"/>
          <w:shd w:val="clear" w:color="auto" w:fill="FFFFFF"/>
        </w:rPr>
        <w:t>emocoel</w:t>
      </w:r>
      <w:r w:rsidR="004B38F4" w:rsidRPr="009819CE">
        <w:rPr>
          <w:rFonts w:cstheme="minorBidi"/>
          <w:shd w:val="clear" w:color="auto" w:fill="FFFFFF"/>
        </w:rPr>
        <w:t xml:space="preserve">, </w:t>
      </w:r>
      <w:r w:rsidR="00F60AE9" w:rsidRPr="009819CE">
        <w:rPr>
          <w:rFonts w:cstheme="minorBidi"/>
          <w:shd w:val="clear" w:color="auto" w:fill="FFFFFF"/>
        </w:rPr>
        <w:t xml:space="preserve">high </w:t>
      </w:r>
      <w:r w:rsidR="004B38F4" w:rsidRPr="009819CE">
        <w:rPr>
          <w:rFonts w:cstheme="minorBidi"/>
          <w:shd w:val="clear" w:color="auto" w:fill="FFFFFF"/>
        </w:rPr>
        <w:t>parasite densities</w:t>
      </w:r>
      <w:r w:rsidRPr="009819CE">
        <w:rPr>
          <w:rFonts w:cstheme="minorBidi"/>
          <w:shd w:val="clear" w:color="auto" w:fill="FFFFFF"/>
        </w:rPr>
        <w:t xml:space="preserve"> or when host reserves have been severely depleted </w:t>
      </w:r>
      <w:r w:rsidRPr="009819CE">
        <w:rPr>
          <w:rFonts w:cstheme="minorBidi"/>
          <w:shd w:val="clear" w:color="auto" w:fill="FFFFFF"/>
        </w:rPr>
        <w:fldChar w:fldCharType="begin">
          <w:fldData xml:space="preserve">PEVuZE5vdGU+PENpdGU+PEF1dGhvcj5BcHBsZXRvbjwvQXV0aG9yPjxZZWFyPjE5OTg8L1llYXI+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</w:fldData>
        </w:fldChar>
      </w:r>
      <w:r w:rsidR="00CE4372" w:rsidRPr="009819CE">
        <w:rPr>
          <w:rFonts w:cstheme="minorBidi"/>
          <w:shd w:val="clear" w:color="auto" w:fill="FFFFFF"/>
        </w:rPr>
        <w:instrText xml:space="preserve"> ADDIN EN.CITE </w:instrText>
      </w:r>
      <w:r w:rsidR="00CE4372" w:rsidRPr="009819CE">
        <w:rPr>
          <w:rFonts w:cstheme="minorBidi"/>
          <w:shd w:val="clear" w:color="auto" w:fill="FFFFFF"/>
        </w:rPr>
        <w:fldChar w:fldCharType="begin">
          <w:fldData xml:space="preserve">PEVuZE5vdGU+PENpdGU+PEF1dGhvcj5BcHBsZXRvbjwvQXV0aG9yPjxZZWFyPjE5OTg8L1llYXI+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</w:fldData>
        </w:fldChar>
      </w:r>
      <w:r w:rsidR="00CE4372" w:rsidRPr="009819CE">
        <w:rPr>
          <w:rFonts w:cstheme="minorBidi"/>
          <w:shd w:val="clear" w:color="auto" w:fill="FFFFFF"/>
        </w:rPr>
        <w:instrText xml:space="preserve"> ADDIN EN.CITE.DATA </w:instrText>
      </w:r>
      <w:r w:rsidR="00CE4372" w:rsidRPr="009819CE">
        <w:rPr>
          <w:rFonts w:cstheme="minorBidi"/>
          <w:shd w:val="clear" w:color="auto" w:fill="FFFFFF"/>
        </w:rPr>
      </w:r>
      <w:r w:rsidR="00CE4372" w:rsidRPr="009819CE">
        <w:rPr>
          <w:rFonts w:cstheme="minorBidi"/>
          <w:shd w:val="clear" w:color="auto" w:fill="FFFFFF"/>
        </w:rPr>
        <w:fldChar w:fldCharType="end"/>
      </w:r>
      <w:r w:rsidRPr="009819CE">
        <w:rPr>
          <w:rFonts w:cstheme="minorBidi"/>
          <w:shd w:val="clear" w:color="auto" w:fill="FFFFFF"/>
        </w:rPr>
      </w:r>
      <w:r w:rsidRPr="009819CE">
        <w:rPr>
          <w:rFonts w:cstheme="minorBidi"/>
          <w:shd w:val="clear" w:color="auto" w:fill="FFFFFF"/>
        </w:rPr>
        <w:fldChar w:fldCharType="separate"/>
      </w:r>
      <w:r w:rsidR="00A8698B" w:rsidRPr="001F4A34">
        <w:rPr>
          <w:rFonts w:cstheme="minorBidi"/>
          <w:shd w:val="clear" w:color="auto" w:fill="FFFFFF"/>
        </w:rPr>
        <w:t>(</w:t>
      </w:r>
      <w:hyperlink w:anchor="_ENREF_18" w:tooltip="Appleton, 1998 #373" w:history="1">
        <w:r w:rsidR="00950097" w:rsidRPr="001F4A34">
          <w:rPr>
            <w:rFonts w:cstheme="minorBidi"/>
            <w:shd w:val="clear" w:color="auto" w:fill="FFFFFF"/>
          </w:rPr>
          <w:t>Appleton and Vickerman, 1998</w:t>
        </w:r>
      </w:hyperlink>
      <w:r w:rsidR="00A8698B" w:rsidRPr="001F4A34">
        <w:rPr>
          <w:rFonts w:cstheme="minorBidi"/>
          <w:shd w:val="clear" w:color="auto" w:fill="FFFFFF"/>
        </w:rPr>
        <w:t xml:space="preserve">; </w:t>
      </w:r>
      <w:hyperlink w:anchor="_ENREF_28" w:tooltip="Beevers, 2010 #247" w:history="1">
        <w:r w:rsidR="00950097" w:rsidRPr="001F4A34">
          <w:rPr>
            <w:rFonts w:cstheme="minorBidi"/>
            <w:shd w:val="clear" w:color="auto" w:fill="FFFFFF"/>
          </w:rPr>
          <w:t>Beevers, 2010</w:t>
        </w:r>
      </w:hyperlink>
      <w:r w:rsidR="00A8698B" w:rsidRPr="001F4A34">
        <w:rPr>
          <w:rFonts w:cstheme="minorBidi"/>
          <w:shd w:val="clear" w:color="auto" w:fill="FFFFFF"/>
        </w:rPr>
        <w:t>)</w:t>
      </w:r>
      <w:r w:rsidRPr="009819CE">
        <w:rPr>
          <w:rFonts w:cstheme="minorBidi"/>
          <w:shd w:val="clear" w:color="auto" w:fill="FFFFFF"/>
        </w:rPr>
        <w:fldChar w:fldCharType="end"/>
      </w:r>
      <w:r w:rsidRPr="009819CE">
        <w:rPr>
          <w:rFonts w:cstheme="minorBidi"/>
          <w:shd w:val="clear" w:color="auto" w:fill="FFFFFF"/>
        </w:rPr>
        <w:t xml:space="preserve">. While not confirmed, </w:t>
      </w:r>
      <w:r w:rsidR="007A4941" w:rsidRPr="009819CE">
        <w:rPr>
          <w:rFonts w:cstheme="minorBidi"/>
          <w:shd w:val="clear" w:color="auto" w:fill="FFFFFF"/>
        </w:rPr>
        <w:t xml:space="preserve">a molecular examination of </w:t>
      </w:r>
      <w:r w:rsidR="009D03F4" w:rsidRPr="009819CE">
        <w:rPr>
          <w:rFonts w:cstheme="minorBidi"/>
          <w:i/>
          <w:iCs/>
          <w:shd w:val="clear" w:color="auto" w:fill="FFFFFF"/>
        </w:rPr>
        <w:t>Hematodinium</w:t>
      </w:r>
      <w:r w:rsidR="007A4941" w:rsidRPr="009819CE">
        <w:rPr>
          <w:rFonts w:cstheme="minorBidi"/>
          <w:shd w:val="clear" w:color="auto" w:fill="FFFFFF"/>
        </w:rPr>
        <w:t xml:space="preserve"> sp. </w:t>
      </w:r>
      <w:r w:rsidRPr="009819CE">
        <w:rPr>
          <w:rFonts w:cstheme="minorBidi"/>
          <w:shd w:val="clear" w:color="auto" w:fill="FFFFFF"/>
        </w:rPr>
        <w:t>suggest</w:t>
      </w:r>
      <w:r w:rsidR="007A4941" w:rsidRPr="009819CE">
        <w:rPr>
          <w:rFonts w:cstheme="minorBidi"/>
          <w:shd w:val="clear" w:color="auto" w:fill="FFFFFF"/>
        </w:rPr>
        <w:t>ed</w:t>
      </w:r>
      <w:r w:rsidRPr="009819CE">
        <w:rPr>
          <w:rFonts w:cstheme="minorBidi"/>
          <w:shd w:val="clear" w:color="auto" w:fill="FFFFFF"/>
        </w:rPr>
        <w:t xml:space="preserve"> that the moulting hormone methyl farnesoate</w:t>
      </w:r>
      <w:r w:rsidR="00EE573D" w:rsidRPr="009819CE">
        <w:rPr>
          <w:rFonts w:cstheme="minorBidi"/>
          <w:shd w:val="clear" w:color="auto" w:fill="FFFFFF"/>
        </w:rPr>
        <w:t xml:space="preserve"> (MF)</w:t>
      </w:r>
      <w:r w:rsidRPr="009819CE">
        <w:rPr>
          <w:rFonts w:cstheme="minorBidi"/>
          <w:shd w:val="clear" w:color="auto" w:fill="FFFFFF"/>
        </w:rPr>
        <w:t xml:space="preserve"> </w:t>
      </w:r>
      <w:r w:rsidR="00BE4471" w:rsidRPr="009819CE">
        <w:rPr>
          <w:rFonts w:cstheme="minorBidi"/>
          <w:shd w:val="clear" w:color="auto" w:fill="FFFFFF"/>
        </w:rPr>
        <w:t xml:space="preserve">may </w:t>
      </w:r>
      <w:r w:rsidRPr="009819CE">
        <w:rPr>
          <w:rFonts w:cstheme="minorBidi"/>
          <w:shd w:val="clear" w:color="auto" w:fill="FFFFFF"/>
        </w:rPr>
        <w:t xml:space="preserve">play a </w:t>
      </w:r>
      <w:r w:rsidR="00C45CA9" w:rsidRPr="009819CE">
        <w:rPr>
          <w:rFonts w:cstheme="minorBidi"/>
          <w:shd w:val="clear" w:color="auto" w:fill="FFFFFF"/>
        </w:rPr>
        <w:t xml:space="preserve">role in parasite proliferation </w:t>
      </w:r>
      <w:r w:rsidR="00C45CA9" w:rsidRPr="009819CE">
        <w:rPr>
          <w:rFonts w:cstheme="minorBidi"/>
          <w:shd w:val="clear" w:color="auto" w:fill="FFFFFF"/>
        </w:rPr>
        <w:fldChar w:fldCharType="begin">
          <w:fldData xml:space="preserve">PEVuZE5vdGU+PENpdGU+PEF1dGhvcj5Hb3JuaWs8L0F1dGhvcj48WWVhcj4yMDE1PC9ZZWFyPjxS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</w:fldData>
        </w:fldChar>
      </w:r>
      <w:r w:rsidR="00ED1A9E" w:rsidRPr="009819CE">
        <w:rPr>
          <w:rFonts w:cstheme="minorBidi"/>
          <w:shd w:val="clear" w:color="auto" w:fill="FFFFFF"/>
        </w:rPr>
        <w:instrText xml:space="preserve"> ADDIN EN.CITE </w:instrText>
      </w:r>
      <w:r w:rsidR="00ED1A9E" w:rsidRPr="009819CE">
        <w:rPr>
          <w:rFonts w:cstheme="minorBidi"/>
          <w:shd w:val="clear" w:color="auto" w:fill="FFFFFF"/>
        </w:rPr>
        <w:fldChar w:fldCharType="begin">
          <w:fldData xml:space="preserve">PEVuZE5vdGU+PENpdGU+PEF1dGhvcj5Hb3JuaWs8L0F1dGhvcj48WWVhcj4yMDE1PC9ZZWFyPjxS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</w:fldData>
        </w:fldChar>
      </w:r>
      <w:r w:rsidR="00ED1A9E" w:rsidRPr="009819CE">
        <w:rPr>
          <w:rFonts w:cstheme="minorBidi"/>
          <w:shd w:val="clear" w:color="auto" w:fill="FFFFFF"/>
        </w:rPr>
        <w:instrText xml:space="preserve"> ADDIN EN.CITE.DATA </w:instrText>
      </w:r>
      <w:r w:rsidR="00ED1A9E" w:rsidRPr="009819CE">
        <w:rPr>
          <w:rFonts w:cstheme="minorBidi"/>
          <w:shd w:val="clear" w:color="auto" w:fill="FFFFFF"/>
        </w:rPr>
      </w:r>
      <w:r w:rsidR="00ED1A9E" w:rsidRPr="009819CE">
        <w:rPr>
          <w:rFonts w:cstheme="minorBidi"/>
          <w:shd w:val="clear" w:color="auto" w:fill="FFFFFF"/>
        </w:rPr>
        <w:fldChar w:fldCharType="end"/>
      </w:r>
      <w:r w:rsidR="00C45CA9" w:rsidRPr="009819CE">
        <w:rPr>
          <w:rFonts w:cstheme="minorBidi"/>
          <w:shd w:val="clear" w:color="auto" w:fill="FFFFFF"/>
        </w:rPr>
      </w:r>
      <w:r w:rsidR="00C45CA9" w:rsidRPr="009819CE">
        <w:rPr>
          <w:rFonts w:cstheme="minorBidi"/>
          <w:shd w:val="clear" w:color="auto" w:fill="FFFFFF"/>
        </w:rPr>
        <w:fldChar w:fldCharType="separate"/>
      </w:r>
      <w:r w:rsidR="00C45CA9" w:rsidRPr="001F4A34">
        <w:rPr>
          <w:rFonts w:cstheme="minorBidi"/>
          <w:shd w:val="clear" w:color="auto" w:fill="FFFFFF"/>
        </w:rPr>
        <w:t>(</w:t>
      </w:r>
      <w:hyperlink w:anchor="_ENREF_114" w:tooltip="Gornik, 2015 #71" w:history="1">
        <w:r w:rsidR="00950097" w:rsidRPr="001F4A34">
          <w:rPr>
            <w:rFonts w:cstheme="minorBidi"/>
            <w:shd w:val="clear" w:color="auto" w:fill="FFFFFF"/>
          </w:rPr>
          <w:t>Gornik et al., 2015</w:t>
        </w:r>
      </w:hyperlink>
      <w:r w:rsidR="00C45CA9" w:rsidRPr="001F4A34">
        <w:rPr>
          <w:rFonts w:cstheme="minorBidi"/>
          <w:shd w:val="clear" w:color="auto" w:fill="FFFFFF"/>
        </w:rPr>
        <w:t>)</w:t>
      </w:r>
      <w:r w:rsidR="00C45CA9" w:rsidRPr="009819CE">
        <w:rPr>
          <w:rFonts w:cstheme="minorBidi"/>
          <w:shd w:val="clear" w:color="auto" w:fill="FFFFFF"/>
        </w:rPr>
        <w:fldChar w:fldCharType="end"/>
      </w:r>
      <w:r w:rsidR="004575E8" w:rsidRPr="009819CE">
        <w:rPr>
          <w:rFonts w:cstheme="minorBidi"/>
          <w:shd w:val="clear" w:color="auto" w:fill="FFFFFF"/>
        </w:rPr>
        <w:t>.</w:t>
      </w:r>
      <w:r w:rsidRPr="009819CE">
        <w:rPr>
          <w:rFonts w:cstheme="minorBidi"/>
          <w:shd w:val="clear" w:color="auto" w:fill="FFFFFF"/>
        </w:rPr>
        <w:t xml:space="preserve"> Due to the absence of an essential isoprenoid pathway</w:t>
      </w:r>
      <w:r w:rsidR="004575E8" w:rsidRPr="009819CE">
        <w:rPr>
          <w:rFonts w:cstheme="minorBidi"/>
          <w:shd w:val="clear" w:color="auto" w:fill="FFFFFF"/>
        </w:rPr>
        <w:t xml:space="preserve"> (DOXP pathway)</w:t>
      </w:r>
      <w:r w:rsidRPr="009819CE">
        <w:rPr>
          <w:rFonts w:cstheme="minorBidi"/>
          <w:shd w:val="clear" w:color="auto" w:fill="FFFFFF"/>
        </w:rPr>
        <w:t xml:space="preserve">, </w:t>
      </w:r>
      <w:r w:rsidR="009D03F4" w:rsidRPr="009819CE">
        <w:rPr>
          <w:rFonts w:cstheme="minorBidi"/>
          <w:i/>
          <w:shd w:val="clear" w:color="auto" w:fill="FFFFFF"/>
        </w:rPr>
        <w:t>Hematodinium</w:t>
      </w:r>
      <w:r w:rsidRPr="009819CE">
        <w:rPr>
          <w:rFonts w:cstheme="minorBidi"/>
          <w:shd w:val="clear" w:color="auto" w:fill="FFFFFF"/>
        </w:rPr>
        <w:t xml:space="preserve"> sp. </w:t>
      </w:r>
      <w:r w:rsidR="00BF5AEC" w:rsidRPr="00FA7D47">
        <w:rPr>
          <w:rFonts w:cstheme="minorBidi"/>
          <w:shd w:val="clear" w:color="auto" w:fill="FFFFFF"/>
        </w:rPr>
        <w:t xml:space="preserve">was suggested to rely </w:t>
      </w:r>
      <w:r w:rsidRPr="009819CE">
        <w:rPr>
          <w:rFonts w:cstheme="minorBidi"/>
          <w:shd w:val="clear" w:color="auto" w:fill="FFFFFF"/>
        </w:rPr>
        <w:t>on scavenging isoprenoids directly from the host's haemolymph, with the likely source being the moult hormone methyl farnesoate. Following sporulation events, only a few parasite cells typically remain within the host</w:t>
      </w:r>
      <w:r w:rsidR="00694179" w:rsidRPr="009819CE">
        <w:rPr>
          <w:rFonts w:cstheme="minorBidi"/>
          <w:shd w:val="clear" w:color="auto" w:fill="FFFFFF"/>
        </w:rPr>
        <w:t xml:space="preserve"> </w:t>
      </w:r>
      <w:r w:rsidR="006B307B" w:rsidRPr="009819CE">
        <w:rPr>
          <w:rFonts w:cstheme="minorBidi"/>
          <w:shd w:val="clear" w:color="auto" w:fill="FFFFFF"/>
        </w:rPr>
        <w:fldChar w:fldCharType="begin"/>
      </w:r>
      <w:r w:rsidR="00A8698B" w:rsidRPr="009819CE">
        <w:rPr>
          <w:rFonts w:cstheme="minorBidi"/>
          <w:shd w:val="clear" w:color="auto" w:fill="FFFFFF"/>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6B307B" w:rsidRPr="009819CE">
        <w:rPr>
          <w:rFonts w:cstheme="minorBidi"/>
          <w:shd w:val="clear" w:color="auto" w:fill="FFFFFF"/>
        </w:rPr>
        <w:fldChar w:fldCharType="separate"/>
      </w:r>
      <w:r w:rsidR="00A8698B" w:rsidRPr="009819CE">
        <w:rPr>
          <w:rFonts w:cstheme="minorBidi"/>
          <w:shd w:val="clear" w:color="auto" w:fill="FFFFFF"/>
        </w:rPr>
        <w:t>(</w:t>
      </w:r>
      <w:hyperlink w:anchor="_ENREF_18" w:tooltip="Appleton, 1998 #373" w:history="1">
        <w:r w:rsidR="00950097" w:rsidRPr="009819CE">
          <w:rPr>
            <w:rFonts w:cstheme="minorBidi"/>
            <w:shd w:val="clear" w:color="auto" w:fill="FFFFFF"/>
          </w:rPr>
          <w:t>Appleton and Vickerman, 1998</w:t>
        </w:r>
      </w:hyperlink>
      <w:r w:rsidR="00A8698B" w:rsidRPr="009819CE">
        <w:rPr>
          <w:rFonts w:cstheme="minorBidi"/>
          <w:shd w:val="clear" w:color="auto" w:fill="FFFFFF"/>
        </w:rPr>
        <w:t>)</w:t>
      </w:r>
      <w:r w:rsidR="006B307B" w:rsidRPr="009819CE">
        <w:rPr>
          <w:rFonts w:cstheme="minorBidi"/>
          <w:shd w:val="clear" w:color="auto" w:fill="FFFFFF"/>
        </w:rPr>
        <w:fldChar w:fldCharType="end"/>
      </w:r>
      <w:r w:rsidR="00120351" w:rsidRPr="009819CE">
        <w:rPr>
          <w:rFonts w:cstheme="minorBidi"/>
          <w:shd w:val="clear" w:color="auto" w:fill="FFFFFF"/>
        </w:rPr>
        <w:t>.</w:t>
      </w:r>
    </w:p>
    <w:p w14:paraId="0A708063" w14:textId="50D3A3BE" w:rsidR="002773A2" w:rsidRPr="009819CE" w:rsidRDefault="002773A2" w:rsidP="00120351">
      <w:pPr>
        <w:pStyle w:val="Heading3"/>
        <w:rPr>
          <w:rFonts w:cstheme="minorBidi"/>
        </w:rPr>
      </w:pPr>
      <w:bookmarkStart w:id="91" w:name="_Ref163469606"/>
      <w:bookmarkStart w:id="92" w:name="_Toc204106600"/>
      <w:r w:rsidRPr="009819CE">
        <w:rPr>
          <w:rFonts w:cstheme="minorBidi"/>
        </w:rPr>
        <w:t>Life</w:t>
      </w:r>
      <w:r w:rsidR="00620BC0" w:rsidRPr="00FA7D47">
        <w:rPr>
          <w:rFonts w:cstheme="minorBidi"/>
        </w:rPr>
        <w:t xml:space="preserve"> </w:t>
      </w:r>
      <w:r w:rsidRPr="009819CE">
        <w:rPr>
          <w:rFonts w:cstheme="minorBidi"/>
        </w:rPr>
        <w:t xml:space="preserve">cycle of </w:t>
      </w:r>
      <w:r w:rsidR="009D03F4" w:rsidRPr="009819CE">
        <w:rPr>
          <w:rFonts w:cstheme="minorBidi"/>
          <w:i/>
        </w:rPr>
        <w:t>Hematodinium</w:t>
      </w:r>
      <w:bookmarkEnd w:id="91"/>
      <w:bookmarkEnd w:id="92"/>
      <w:r w:rsidRPr="009819CE">
        <w:rPr>
          <w:rFonts w:cstheme="minorBidi"/>
        </w:rPr>
        <w:t xml:space="preserve"> </w:t>
      </w:r>
    </w:p>
    <w:p w14:paraId="18FA0519" w14:textId="681166DD" w:rsidR="002773A2" w:rsidRPr="009819CE" w:rsidRDefault="009D03F4" w:rsidP="002773A2">
      <w:pPr>
        <w:rPr>
          <w:rFonts w:cstheme="minorBidi"/>
        </w:rPr>
      </w:pPr>
      <w:r w:rsidRPr="009819CE">
        <w:rPr>
          <w:rFonts w:cstheme="minorBidi"/>
          <w:i/>
        </w:rPr>
        <w:t>Hematodinium</w:t>
      </w:r>
      <w:r w:rsidR="002773A2" w:rsidRPr="009819CE">
        <w:rPr>
          <w:rFonts w:cstheme="minorBidi"/>
        </w:rPr>
        <w:t xml:space="preserve"> sp</w:t>
      </w:r>
      <w:r w:rsidR="00620BC0" w:rsidRPr="00FA7D47">
        <w:rPr>
          <w:rFonts w:cstheme="minorBidi"/>
        </w:rPr>
        <w:t>p</w:t>
      </w:r>
      <w:r w:rsidR="002773A2" w:rsidRPr="009819CE">
        <w:rPr>
          <w:rFonts w:cstheme="minorBidi"/>
        </w:rPr>
        <w:t xml:space="preserve">. </w:t>
      </w:r>
      <w:r w:rsidR="000A597A" w:rsidRPr="009819CE">
        <w:rPr>
          <w:rFonts w:cstheme="minorBidi"/>
        </w:rPr>
        <w:t>exhibit complex</w:t>
      </w:r>
      <w:r w:rsidR="002773A2" w:rsidRPr="009819CE">
        <w:rPr>
          <w:rFonts w:cstheme="minorBidi"/>
        </w:rPr>
        <w:t xml:space="preserve"> life cycle, and </w:t>
      </w:r>
      <w:r w:rsidR="00146158" w:rsidRPr="00FA7D47">
        <w:rPr>
          <w:rFonts w:cstheme="minorBidi"/>
        </w:rPr>
        <w:t>the</w:t>
      </w:r>
      <w:r w:rsidR="002773A2" w:rsidRPr="009819CE">
        <w:rPr>
          <w:rFonts w:cstheme="minorBidi"/>
        </w:rPr>
        <w:t xml:space="preserve"> current understanding primarily stems from </w:t>
      </w:r>
      <w:r w:rsidR="002773A2" w:rsidRPr="009819CE">
        <w:rPr>
          <w:rFonts w:cstheme="minorBidi"/>
          <w:i/>
        </w:rPr>
        <w:t>in vitro</w:t>
      </w:r>
      <w:r w:rsidR="002773A2" w:rsidRPr="009819CE">
        <w:rPr>
          <w:rFonts w:cstheme="minorBidi"/>
        </w:rPr>
        <w:t xml:space="preserve"> cultures. The initial successful cultivation of the parasite </w:t>
      </w:r>
      <w:r w:rsidR="002773A2" w:rsidRPr="009819CE">
        <w:rPr>
          <w:rFonts w:cstheme="minorBidi"/>
          <w:i/>
        </w:rPr>
        <w:t>in vitro</w:t>
      </w:r>
      <w:r w:rsidR="002773A2" w:rsidRPr="009819CE">
        <w:rPr>
          <w:rFonts w:cstheme="minorBidi"/>
        </w:rPr>
        <w:t xml:space="preserve"> was achieved by </w:t>
      </w:r>
      <w:hyperlink w:anchor="_ENREF_18" w:tooltip="Appleton, 1998 #373" w:history="1">
        <w:r w:rsidR="00950097" w:rsidRPr="009819CE">
          <w:rPr>
            <w:rFonts w:cstheme="minorBidi"/>
          </w:rPr>
          <w:fldChar w:fldCharType="begin"/>
        </w:r>
        <w:r w:rsidR="00950097" w:rsidRPr="009819CE">
          <w:rPr>
            <w:rFonts w:cstheme="minorBidi"/>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9819CE">
          <w:rPr>
            <w:rFonts w:cstheme="minorBidi"/>
          </w:rPr>
          <w:fldChar w:fldCharType="separate"/>
        </w:r>
        <w:r w:rsidR="00950097" w:rsidRPr="009819CE">
          <w:rPr>
            <w:rFonts w:cstheme="minorBidi"/>
          </w:rPr>
          <w:t>Appleton and Vickerman (1998)</w:t>
        </w:r>
        <w:r w:rsidR="00950097" w:rsidRPr="009819CE">
          <w:rPr>
            <w:rFonts w:cstheme="minorBidi"/>
          </w:rPr>
          <w:fldChar w:fldCharType="end"/>
        </w:r>
      </w:hyperlink>
      <w:r w:rsidR="002773A2" w:rsidRPr="009819CE">
        <w:rPr>
          <w:rFonts w:cstheme="minorBidi"/>
        </w:rPr>
        <w:t xml:space="preserve">. </w:t>
      </w:r>
      <w:r w:rsidR="00C042D7" w:rsidRPr="009819CE">
        <w:rPr>
          <w:rFonts w:cstheme="minorBidi"/>
          <w:i/>
          <w:iCs/>
        </w:rPr>
        <w:t>In-vitro</w:t>
      </w:r>
      <w:r w:rsidR="002773A2" w:rsidRPr="009819CE">
        <w:rPr>
          <w:rFonts w:cstheme="minorBidi"/>
        </w:rPr>
        <w:t xml:space="preserve">, </w:t>
      </w:r>
      <w:r w:rsidRPr="009819CE">
        <w:rPr>
          <w:rFonts w:cstheme="minorBidi"/>
          <w:i/>
        </w:rPr>
        <w:t>Hematodinium</w:t>
      </w:r>
      <w:r w:rsidR="002773A2" w:rsidRPr="009819CE">
        <w:rPr>
          <w:rFonts w:cstheme="minorBidi"/>
        </w:rPr>
        <w:t xml:space="preserve"> sp. undergoes a distinctive developmental cycle characterized by alternating trophonts and sporont stages, as </w:t>
      </w:r>
      <w:r w:rsidR="002773A2" w:rsidRPr="009819CE">
        <w:t xml:space="preserve">illustrated in </w:t>
      </w:r>
      <w:r w:rsidR="002773A2" w:rsidRPr="001F4A34">
        <w:rPr>
          <w:b/>
          <w:bCs/>
        </w:rPr>
        <w:fldChar w:fldCharType="begin"/>
      </w:r>
      <w:r w:rsidR="002773A2" w:rsidRPr="001F4A34">
        <w:rPr>
          <w:b/>
          <w:bCs/>
        </w:rPr>
        <w:instrText xml:space="preserve"> REF _Ref138437728 \h  \* MERGEFORMAT </w:instrText>
      </w:r>
      <w:r w:rsidR="002773A2" w:rsidRPr="001F4A34">
        <w:rPr>
          <w:b/>
          <w:bCs/>
        </w:rPr>
      </w:r>
      <w:r w:rsidR="002773A2" w:rsidRPr="001F4A34">
        <w:rPr>
          <w:b/>
          <w:bCs/>
        </w:rPr>
        <w:fldChar w:fldCharType="separate"/>
      </w:r>
      <w:r w:rsidR="008549FC" w:rsidRPr="008549FC">
        <w:rPr>
          <w:b/>
          <w:bCs/>
        </w:rPr>
        <w:t>Figure 1.7</w:t>
      </w:r>
      <w:r w:rsidR="002773A2" w:rsidRPr="001F4A34">
        <w:rPr>
          <w:b/>
          <w:bCs/>
        </w:rPr>
        <w:fldChar w:fldCharType="end"/>
      </w:r>
      <w:r w:rsidR="00B81E43" w:rsidRPr="009819CE">
        <w:t xml:space="preserve"> and </w:t>
      </w:r>
      <w:r w:rsidR="00B81E43" w:rsidRPr="001F4A34">
        <w:rPr>
          <w:b/>
          <w:bCs/>
        </w:rPr>
        <w:fldChar w:fldCharType="begin"/>
      </w:r>
      <w:r w:rsidR="00B81E43" w:rsidRPr="001F4A34">
        <w:rPr>
          <w:b/>
          <w:bCs/>
        </w:rPr>
        <w:instrText xml:space="preserve"> REF _Ref142298259 \h </w:instrText>
      </w:r>
      <w:r w:rsidR="00711741" w:rsidRPr="001F4A34">
        <w:rPr>
          <w:b/>
          <w:bCs/>
        </w:rPr>
        <w:instrText xml:space="preserve"> \* MERGEFORMAT </w:instrText>
      </w:r>
      <w:r w:rsidR="00B81E43" w:rsidRPr="001F4A34">
        <w:rPr>
          <w:b/>
          <w:bCs/>
        </w:rPr>
      </w:r>
      <w:r w:rsidR="00B81E43" w:rsidRPr="001F4A34">
        <w:rPr>
          <w:b/>
          <w:bCs/>
        </w:rPr>
        <w:fldChar w:fldCharType="separate"/>
      </w:r>
      <w:r w:rsidR="008549FC" w:rsidRPr="008549FC">
        <w:rPr>
          <w:rFonts w:eastAsia="Calibri"/>
          <w:b/>
          <w:bCs/>
        </w:rPr>
        <w:t>Figure 1.8</w:t>
      </w:r>
      <w:r w:rsidR="00B81E43" w:rsidRPr="001F4A34">
        <w:rPr>
          <w:b/>
          <w:bCs/>
        </w:rPr>
        <w:fldChar w:fldCharType="end"/>
      </w:r>
      <w:r w:rsidR="002773A2" w:rsidRPr="009819CE">
        <w:t>.</w:t>
      </w:r>
      <w:r w:rsidR="002773A2" w:rsidRPr="009819CE">
        <w:rPr>
          <w:rFonts w:cstheme="minorBidi"/>
        </w:rPr>
        <w:t xml:space="preserve"> To summarize, dinospores </w:t>
      </w:r>
      <w:r w:rsidR="00C042D7" w:rsidRPr="009819CE">
        <w:rPr>
          <w:rFonts w:cstheme="minorBidi"/>
        </w:rPr>
        <w:t xml:space="preserve">develop </w:t>
      </w:r>
      <w:r w:rsidR="002773A2" w:rsidRPr="009819CE">
        <w:rPr>
          <w:rFonts w:cstheme="minorBidi"/>
        </w:rPr>
        <w:t xml:space="preserve">into filamentous trophonts, which further differentiate into "gorgonlocks," filamentous colonies. These gorgonlocks colonies then attach to a substrate and develop into a "clump" colony. Subsequently, these colonies progress into "arachnoid" trophonts, leading to growth and sporogony, resulting in the production of sporoblasts. These sporoblasts develop into either macro-dinospores or micro-dinospores, initiating a new cycle </w:t>
      </w:r>
      <w:r w:rsidR="002773A2"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2773A2"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002773A2" w:rsidRPr="009819CE">
        <w:rPr>
          <w:rFonts w:cstheme="minorBidi"/>
        </w:rPr>
        <w:fldChar w:fldCharType="end"/>
      </w:r>
      <w:r w:rsidR="002773A2" w:rsidRPr="009819CE">
        <w:rPr>
          <w:rFonts w:cstheme="minorBidi"/>
        </w:rPr>
        <w:t>.</w:t>
      </w:r>
    </w:p>
    <w:p w14:paraId="4AA24D39" w14:textId="4B402DD9" w:rsidR="002773A2" w:rsidRPr="009819CE" w:rsidRDefault="002773A2" w:rsidP="002773A2">
      <w:pPr>
        <w:rPr>
          <w:rFonts w:cstheme="minorBidi"/>
        </w:rPr>
      </w:pPr>
      <w:r w:rsidRPr="009819CE">
        <w:rPr>
          <w:rFonts w:cstheme="minorBidi"/>
        </w:rPr>
        <w:t xml:space="preserve">Sporogenesis occurs synchronously, leading to the release of spores through the gills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 xml:space="preserve">. </w:t>
      </w:r>
      <w:r w:rsidRPr="009819CE">
        <w:rPr>
          <w:rFonts w:cstheme="minorBidi"/>
          <w:i/>
          <w:iCs/>
        </w:rPr>
        <w:t>In vitro</w:t>
      </w:r>
      <w:r w:rsidRPr="009819CE">
        <w:rPr>
          <w:rFonts w:cstheme="minorBidi"/>
        </w:rPr>
        <w:t xml:space="preserve">, circulating sporoblasts give rise to dinospores over a period of days to weeks. Sporoblasts undergo fission, often forming spherical masses of multinucleate cells that eventually break up, releasing spore mother cells. Each spore mother cell is capable of producing four or more flagellated dinospores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 Alternatively, sporoblasts generate a branched network of filaments with scattered nuclei along their length, firmly attached to the substratum (</w:t>
      </w:r>
      <w:r w:rsidR="00AA4C8F" w:rsidRPr="009819CE">
        <w:rPr>
          <w:rFonts w:cstheme="minorBidi"/>
        </w:rPr>
        <w:t>see</w:t>
      </w:r>
      <w:r w:rsidRPr="009819CE">
        <w:rPr>
          <w:rFonts w:cstheme="minorBidi"/>
        </w:rPr>
        <w:t xml:space="preserve"> </w:t>
      </w:r>
      <w:r w:rsidRPr="009819CE">
        <w:rPr>
          <w:rFonts w:cstheme="minorBidi"/>
        </w:rPr>
        <w:fldChar w:fldCharType="begin"/>
      </w:r>
      <w:r w:rsidRPr="009819CE">
        <w:rPr>
          <w:rFonts w:cstheme="minorBidi"/>
        </w:rPr>
        <w:instrText xml:space="preserve"> REF _Ref138437728 \h  \* MERGEFORMAT </w:instrText>
      </w:r>
      <w:r w:rsidRPr="009819CE">
        <w:rPr>
          <w:rFonts w:cstheme="minorBidi"/>
        </w:rPr>
      </w:r>
      <w:r w:rsidRPr="009819CE">
        <w:rPr>
          <w:rFonts w:cstheme="minorBidi"/>
        </w:rPr>
        <w:fldChar w:fldCharType="separate"/>
      </w:r>
      <w:r w:rsidR="008549FC" w:rsidRPr="008549FC">
        <w:rPr>
          <w:rFonts w:eastAsia="Calibri" w:cstheme="minorBidi"/>
          <w:b/>
          <w:iCs/>
          <w:color w:val="000000"/>
        </w:rPr>
        <w:t>Figure 1.7</w:t>
      </w:r>
      <w:r w:rsidRPr="009819CE">
        <w:rPr>
          <w:rFonts w:cstheme="minorBidi"/>
        </w:rPr>
        <w:fldChar w:fldCharType="end"/>
      </w:r>
      <w:r w:rsidRPr="009819CE">
        <w:rPr>
          <w:rFonts w:cstheme="minorBidi"/>
        </w:rPr>
        <w:t>). These attached syncytia are known as secondary sporont</w:t>
      </w:r>
      <w:r w:rsidR="00BF5AEC" w:rsidRPr="00FA7D47">
        <w:rPr>
          <w:rFonts w:cstheme="minorBidi"/>
        </w:rPr>
        <w:t>s</w:t>
      </w:r>
      <w:r w:rsidRPr="009819CE">
        <w:rPr>
          <w:rFonts w:cstheme="minorBidi"/>
        </w:rPr>
        <w:t xml:space="preserve">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 xml:space="preserve">. </w:t>
      </w:r>
    </w:p>
    <w:p w14:paraId="1C71AF8D" w14:textId="35175A57" w:rsidR="002773A2" w:rsidRPr="009819CE" w:rsidRDefault="002773A2" w:rsidP="00D126D8">
      <w:pPr>
        <w:rPr>
          <w:rFonts w:cstheme="minorBidi"/>
        </w:rPr>
      </w:pPr>
      <w:r w:rsidRPr="009819CE">
        <w:rPr>
          <w:rFonts w:cstheme="minorBidi"/>
        </w:rPr>
        <w:t xml:space="preserve">Currently, there is a scarcity of information regarding the natural life cycle of the parasite. </w:t>
      </w:r>
      <w:r w:rsidR="00CD50D4">
        <w:t xml:space="preserve">While </w:t>
      </w:r>
      <w:r w:rsidR="008A7244">
        <w:t xml:space="preserve">some of </w:t>
      </w:r>
      <w:r w:rsidR="00CD50D4">
        <w:t xml:space="preserve">the morphological forms observed </w:t>
      </w:r>
      <w:r w:rsidR="00CD50D4" w:rsidRPr="001F4A34">
        <w:rPr>
          <w:i/>
          <w:iCs/>
        </w:rPr>
        <w:t>in vitro</w:t>
      </w:r>
      <w:r w:rsidR="00CD50D4">
        <w:t xml:space="preserve"> resemble those described </w:t>
      </w:r>
      <w:r w:rsidR="00CD50D4" w:rsidRPr="001F4A34">
        <w:rPr>
          <w:i/>
          <w:iCs/>
        </w:rPr>
        <w:t>in vivo</w:t>
      </w:r>
      <w:r w:rsidR="00067FF7">
        <w:rPr>
          <w:i/>
          <w:iCs/>
        </w:rPr>
        <w:t xml:space="preserve"> </w:t>
      </w:r>
      <w:r w:rsidR="001430A7">
        <w:t>(</w:t>
      </w:r>
      <w:r w:rsidR="001430A7">
        <w:fldChar w:fldCharType="begin"/>
      </w:r>
      <w:r w:rsidR="001430A7">
        <w:rPr>
          <w:i/>
          <w:iCs/>
        </w:rPr>
        <w:instrText xml:space="preserve"> REF _Ref138437728 \h </w:instrText>
      </w:r>
      <w:r w:rsidR="001430A7">
        <w:fldChar w:fldCharType="separate"/>
      </w:r>
      <w:r w:rsidR="008549FC" w:rsidRPr="009819CE">
        <w:rPr>
          <w:rFonts w:eastAsia="Calibri" w:cstheme="minorBidi"/>
          <w:b/>
          <w:iCs/>
          <w:color w:val="000000"/>
          <w:sz w:val="22"/>
          <w:szCs w:val="22"/>
        </w:rPr>
        <w:t xml:space="preserve">Figure </w:t>
      </w:r>
      <w:r w:rsidR="008549FC">
        <w:rPr>
          <w:rFonts w:eastAsia="Calibri" w:cstheme="minorBidi"/>
          <w:b/>
          <w:iCs/>
          <w:noProof/>
          <w:color w:val="000000"/>
          <w:sz w:val="22"/>
          <w:szCs w:val="22"/>
        </w:rPr>
        <w:t>1</w:t>
      </w:r>
      <w:r w:rsidR="008549FC" w:rsidRPr="009819CE">
        <w:rPr>
          <w:rFonts w:eastAsia="Calibri" w:cstheme="minorBidi"/>
          <w:b/>
          <w:iCs/>
          <w:color w:val="000000"/>
          <w:sz w:val="22"/>
          <w:szCs w:val="22"/>
        </w:rPr>
        <w:t>.</w:t>
      </w:r>
      <w:r w:rsidR="008549FC">
        <w:rPr>
          <w:rFonts w:eastAsia="Calibri" w:cstheme="minorBidi"/>
          <w:b/>
          <w:iCs/>
          <w:noProof/>
          <w:color w:val="000000"/>
          <w:sz w:val="22"/>
          <w:szCs w:val="22"/>
        </w:rPr>
        <w:t>7</w:t>
      </w:r>
      <w:r w:rsidR="001430A7">
        <w:fldChar w:fldCharType="end"/>
      </w:r>
      <w:r w:rsidR="001430A7">
        <w:t xml:space="preserve"> and </w:t>
      </w:r>
      <w:r w:rsidR="001430A7">
        <w:fldChar w:fldCharType="begin"/>
      </w:r>
      <w:r w:rsidR="001430A7">
        <w:instrText xml:space="preserve"> REF _Ref142298259 \h </w:instrText>
      </w:r>
      <w:r w:rsidR="001430A7">
        <w:fldChar w:fldCharType="separate"/>
      </w:r>
      <w:r w:rsidR="008549FC" w:rsidRPr="009819CE">
        <w:rPr>
          <w:rFonts w:eastAsia="Calibri" w:cstheme="minorBidi"/>
          <w:b/>
          <w:bCs/>
          <w:sz w:val="22"/>
          <w:szCs w:val="22"/>
        </w:rPr>
        <w:t xml:space="preserve">Figure </w:t>
      </w:r>
      <w:r w:rsidR="008549FC">
        <w:rPr>
          <w:rFonts w:eastAsia="Calibri" w:cstheme="minorBidi"/>
          <w:b/>
          <w:bCs/>
          <w:noProof/>
          <w:sz w:val="22"/>
          <w:szCs w:val="22"/>
        </w:rPr>
        <w:t>1</w:t>
      </w:r>
      <w:r w:rsidR="008549FC" w:rsidRPr="009819CE">
        <w:rPr>
          <w:rFonts w:eastAsia="Calibri" w:cstheme="minorBidi"/>
          <w:b/>
          <w:bCs/>
          <w:sz w:val="22"/>
          <w:szCs w:val="22"/>
        </w:rPr>
        <w:t>.</w:t>
      </w:r>
      <w:r w:rsidR="008549FC">
        <w:rPr>
          <w:rFonts w:eastAsia="Calibri" w:cstheme="minorBidi"/>
          <w:b/>
          <w:bCs/>
          <w:noProof/>
          <w:sz w:val="22"/>
          <w:szCs w:val="22"/>
        </w:rPr>
        <w:t>8</w:t>
      </w:r>
      <w:r w:rsidR="001430A7">
        <w:fldChar w:fldCharType="end"/>
      </w:r>
      <w:r w:rsidR="001430A7">
        <w:t>)</w:t>
      </w:r>
      <w:r w:rsidR="00CD50D4">
        <w:t xml:space="preserve">, it cannot be fully excluded that some structures may represent artefacts resulting from culture conditions. </w:t>
      </w:r>
      <w:r w:rsidRPr="009819CE">
        <w:rPr>
          <w:rFonts w:cstheme="minorBidi"/>
        </w:rPr>
        <w:t xml:space="preserve">The involvement of an alternate or reservoir host in the life cycle remains uncertain </w:t>
      </w:r>
      <w:r w:rsidRPr="009819CE">
        <w:rPr>
          <w:rFonts w:cstheme="minorBidi"/>
        </w:rPr>
        <w:fldChar w:fldCharType="begin"/>
      </w:r>
      <w:r w:rsidR="00ED1A9E" w:rsidRPr="009819CE">
        <w:rPr>
          <w:rFonts w:cstheme="minorBidi"/>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rPr>
        <w:fldChar w:fldCharType="separate"/>
      </w:r>
      <w:r w:rsidR="00D50EFF" w:rsidRPr="001F4A34">
        <w:rPr>
          <w:rFonts w:cstheme="minorBidi"/>
        </w:rPr>
        <w:t>(</w:t>
      </w:r>
      <w:hyperlink w:anchor="_ENREF_241" w:tooltip="Pagenkopp Lohan, 2012 #25" w:history="1">
        <w:r w:rsidR="00950097" w:rsidRPr="001F4A34">
          <w:rPr>
            <w:rFonts w:cstheme="minorBidi"/>
          </w:rPr>
          <w:t>Pagenkopp Lohan et al., 2012</w:t>
        </w:r>
      </w:hyperlink>
      <w:r w:rsidR="00D50EFF" w:rsidRPr="001F4A34">
        <w:rPr>
          <w:rFonts w:cstheme="minorBidi"/>
        </w:rPr>
        <w:t>)</w:t>
      </w:r>
      <w:r w:rsidRPr="009819CE">
        <w:rPr>
          <w:rFonts w:cstheme="minorBidi"/>
        </w:rPr>
        <w:fldChar w:fldCharType="end"/>
      </w:r>
      <w:r w:rsidR="00D126D8">
        <w:rPr>
          <w:rFonts w:cstheme="minorBidi"/>
        </w:rPr>
        <w:t>.</w:t>
      </w:r>
    </w:p>
    <w:tbl>
      <w:tblPr>
        <w:tblStyle w:val="TableGrid1"/>
        <w:tblpPr w:leftFromText="180" w:rightFromText="180" w:vertAnchor="text" w:horzAnchor="margin" w:tblpYSpec="top"/>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773A2" w:rsidRPr="00FA7D47" w14:paraId="54EE1B31" w14:textId="77777777" w:rsidTr="007D6607">
        <w:tc>
          <w:tcPr>
            <w:tcW w:w="5000" w:type="pct"/>
            <w:hideMark/>
          </w:tcPr>
          <w:p w14:paraId="5068861E" w14:textId="77777777" w:rsidR="002773A2" w:rsidRPr="009819CE" w:rsidRDefault="002773A2" w:rsidP="00165A91">
            <w:pPr>
              <w:spacing w:before="0" w:after="0"/>
              <w:jc w:val="center"/>
              <w:rPr>
                <w:rFonts w:cstheme="minorBidi"/>
                <w:lang w:val="en-GB"/>
                <w14:ligatures w14:val="none"/>
              </w:rPr>
            </w:pPr>
            <w:r w:rsidRPr="00FF34FE">
              <w:rPr>
                <w:rFonts w:cstheme="minorBidi"/>
                <w:noProof/>
              </w:rPr>
              <w:drawing>
                <wp:inline distT="0" distB="0" distL="0" distR="0" wp14:anchorId="24DB6A23" wp14:editId="3B0B6AB6">
                  <wp:extent cx="5320139" cy="7708900"/>
                  <wp:effectExtent l="0" t="0" r="0" b="6350"/>
                  <wp:docPr id="133508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86681" name="Picture 1"/>
                          <pic:cNvPicPr/>
                        </pic:nvPicPr>
                        <pic:blipFill rotWithShape="1">
                          <a:blip r:embed="rId36" cstate="print">
                            <a:extLst>
                              <a:ext uri="{28A0092B-C50C-407E-A947-70E740481C1C}">
                                <a14:useLocalDpi xmlns:a14="http://schemas.microsoft.com/office/drawing/2010/main" val="0"/>
                              </a:ext>
                            </a:extLst>
                          </a:blip>
                          <a:srcRect l="1" t="-9" r="298" b="145"/>
                          <a:stretch>
                            <a:fillRect/>
                          </a:stretch>
                        </pic:blipFill>
                        <pic:spPr bwMode="auto">
                          <a:xfrm>
                            <a:off x="0" y="0"/>
                            <a:ext cx="5322003" cy="7711601"/>
                          </a:xfrm>
                          <a:prstGeom prst="rect">
                            <a:avLst/>
                          </a:prstGeom>
                          <a:ln>
                            <a:noFill/>
                          </a:ln>
                          <a:extLst>
                            <a:ext uri="{53640926-AAD7-44D8-BBD7-CCE9431645EC}">
                              <a14:shadowObscured xmlns:a14="http://schemas.microsoft.com/office/drawing/2010/main"/>
                            </a:ext>
                          </a:extLst>
                        </pic:spPr>
                      </pic:pic>
                    </a:graphicData>
                  </a:graphic>
                </wp:inline>
              </w:drawing>
            </w:r>
          </w:p>
        </w:tc>
      </w:tr>
      <w:tr w:rsidR="002773A2" w:rsidRPr="00FA7D47" w14:paraId="10CB4C6C" w14:textId="77777777" w:rsidTr="007D6607">
        <w:tc>
          <w:tcPr>
            <w:tcW w:w="5000" w:type="pct"/>
            <w:hideMark/>
          </w:tcPr>
          <w:p w14:paraId="4D960F07" w14:textId="4EC030F8" w:rsidR="002773A2" w:rsidRPr="009819CE" w:rsidRDefault="002773A2" w:rsidP="001F4A34">
            <w:pPr>
              <w:spacing w:before="0" w:after="0" w:line="240" w:lineRule="auto"/>
              <w:rPr>
                <w:rFonts w:eastAsia="Calibri" w:cstheme="minorBidi"/>
                <w:iCs/>
                <w:color w:val="000000"/>
                <w:sz w:val="22"/>
                <w:szCs w:val="22"/>
                <w:lang w:val="en-GB"/>
                <w14:ligatures w14:val="none"/>
              </w:rPr>
            </w:pPr>
            <w:bookmarkStart w:id="93" w:name="_Ref138437728"/>
            <w:bookmarkStart w:id="94" w:name="_Toc84492443"/>
            <w:bookmarkStart w:id="95" w:name="_Toc140068611"/>
            <w:bookmarkStart w:id="96" w:name="_Toc204106697"/>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7</w:t>
            </w:r>
            <w:r w:rsidRPr="001F4A34">
              <w:rPr>
                <w:rFonts w:eastAsia="Calibri" w:cstheme="minorBidi"/>
                <w:iCs/>
                <w:color w:val="000000"/>
                <w:sz w:val="22"/>
                <w:szCs w:val="22"/>
              </w:rPr>
              <w:fldChar w:fldCharType="end"/>
            </w:r>
            <w:bookmarkEnd w:id="93"/>
            <w:r w:rsidRPr="009819CE">
              <w:rPr>
                <w:rFonts w:eastAsia="Calibri" w:cstheme="minorBidi"/>
                <w:iCs/>
                <w:color w:val="000000"/>
                <w:sz w:val="22"/>
                <w:szCs w:val="22"/>
                <w:lang w:val="en-GB"/>
                <w14:ligatures w14:val="none"/>
              </w:rPr>
              <w:t xml:space="preserve"> Developmental cycle of </w:t>
            </w:r>
            <w:r w:rsidRPr="009819CE">
              <w:rPr>
                <w:rFonts w:eastAsia="Calibri" w:cstheme="minorBidi"/>
                <w:i/>
                <w:iCs/>
                <w:color w:val="000000"/>
                <w:sz w:val="22"/>
                <w:szCs w:val="22"/>
                <w:lang w:val="en-GB"/>
                <w14:ligatures w14:val="none"/>
              </w:rPr>
              <w:t>in vitro</w:t>
            </w:r>
            <w:r w:rsidRPr="009819CE">
              <w:rPr>
                <w:rFonts w:eastAsia="Calibri" w:cstheme="minorBidi"/>
                <w:iCs/>
                <w:color w:val="000000"/>
                <w:sz w:val="22"/>
                <w:szCs w:val="22"/>
                <w:lang w:val="en-GB"/>
                <w14:ligatures w14:val="none"/>
              </w:rPr>
              <w:t xml:space="preserve">-cultured </w:t>
            </w:r>
            <w:r w:rsidR="009D03F4" w:rsidRPr="009819CE">
              <w:rPr>
                <w:rFonts w:eastAsia="Calibri" w:cstheme="minorBidi"/>
                <w:i/>
                <w:iCs/>
                <w:color w:val="000000"/>
                <w:sz w:val="22"/>
                <w:szCs w:val="22"/>
                <w:lang w:val="en-GB"/>
                <w14:ligatures w14:val="none"/>
              </w:rPr>
              <w:t>Hematodinium</w:t>
            </w:r>
            <w:r w:rsidRPr="009819CE">
              <w:rPr>
                <w:rFonts w:eastAsia="Calibri" w:cstheme="minorBidi"/>
                <w:iCs/>
                <w:color w:val="000000"/>
                <w:sz w:val="22"/>
                <w:szCs w:val="22"/>
                <w:lang w:val="en-GB"/>
                <w14:ligatures w14:val="none"/>
              </w:rPr>
              <w:t xml:space="preserve"> sp. derived from </w:t>
            </w:r>
            <w:r w:rsidR="00C31E47" w:rsidRPr="009819CE">
              <w:rPr>
                <w:rFonts w:eastAsia="Calibri" w:cstheme="minorBidi"/>
                <w:i/>
                <w:iCs/>
                <w:color w:val="000000"/>
                <w:sz w:val="22"/>
                <w:szCs w:val="22"/>
                <w:lang w:val="en-GB"/>
                <w14:ligatures w14:val="none"/>
              </w:rPr>
              <w:t>Nephrops</w:t>
            </w:r>
            <w:r w:rsidRPr="009819CE">
              <w:rPr>
                <w:rFonts w:eastAsia="Calibri" w:cstheme="minorBidi"/>
                <w:i/>
                <w:iCs/>
                <w:color w:val="000000"/>
                <w:sz w:val="22"/>
                <w:szCs w:val="22"/>
                <w:lang w:val="en-GB"/>
                <w14:ligatures w14:val="none"/>
              </w:rPr>
              <w:t xml:space="preserve"> norvegicus</w:t>
            </w:r>
            <w:r w:rsidRPr="009819CE">
              <w:rPr>
                <w:rFonts w:eastAsia="Calibri" w:cstheme="minorBidi"/>
                <w:iCs/>
                <w:color w:val="000000"/>
                <w:sz w:val="22"/>
                <w:szCs w:val="22"/>
                <w:lang w:val="en-GB"/>
                <w14:ligatures w14:val="none"/>
              </w:rPr>
              <w:t>.</w:t>
            </w:r>
            <w:bookmarkEnd w:id="94"/>
            <w:r w:rsidRPr="009819CE">
              <w:rPr>
                <w:rFonts w:eastAsia="Calibri" w:cstheme="minorBidi"/>
                <w:iCs/>
                <w:color w:val="000000"/>
                <w:sz w:val="22"/>
                <w:szCs w:val="22"/>
                <w:lang w:val="en-GB"/>
                <w14:ligatures w14:val="none"/>
              </w:rPr>
              <w:t xml:space="preserve"> Adapted from </w:t>
            </w:r>
            <w:hyperlink w:anchor="_ENREF_18" w:tooltip="Appleton, 1998 #373" w:history="1">
              <w:r w:rsidR="00950097" w:rsidRPr="001F4A34">
                <w:rPr>
                  <w:rFonts w:eastAsia="Calibri" w:cstheme="minorBidi"/>
                  <w:iCs/>
                  <w:color w:val="000000"/>
                  <w:sz w:val="22"/>
                  <w:szCs w:val="22"/>
                </w:rPr>
                <w:fldChar w:fldCharType="begin"/>
              </w:r>
              <w:r w:rsidR="00950097" w:rsidRPr="009819CE">
                <w:rPr>
                  <w:rFonts w:eastAsia="Calibri" w:cstheme="minorBidi"/>
                  <w:iCs/>
                  <w:color w:val="000000"/>
                  <w:sz w:val="22"/>
                  <w:szCs w:val="22"/>
                  <w:lang w:val="en-GB"/>
                  <w14:ligatures w14:val="none"/>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1F4A34">
                <w:rPr>
                  <w:rFonts w:eastAsia="Calibri" w:cstheme="minorBidi"/>
                  <w:iCs/>
                  <w:color w:val="000000"/>
                  <w:sz w:val="22"/>
                  <w:szCs w:val="22"/>
                </w:rPr>
                <w:fldChar w:fldCharType="separate"/>
              </w:r>
              <w:r w:rsidR="00950097" w:rsidRPr="009819CE">
                <w:rPr>
                  <w:rFonts w:eastAsia="Calibri" w:cstheme="minorBidi"/>
                  <w:iCs/>
                  <w:color w:val="000000"/>
                  <w:sz w:val="22"/>
                  <w:szCs w:val="22"/>
                  <w:lang w:val="en-GB"/>
                  <w14:ligatures w14:val="none"/>
                </w:rPr>
                <w:t>Appleton and Vickerman (1998)</w:t>
              </w:r>
              <w:r w:rsidR="00950097" w:rsidRPr="001F4A34">
                <w:rPr>
                  <w:rFonts w:eastAsia="Calibri" w:cstheme="minorBidi"/>
                  <w:iCs/>
                  <w:color w:val="000000"/>
                  <w:sz w:val="22"/>
                  <w:szCs w:val="22"/>
                </w:rPr>
                <w:fldChar w:fldCharType="end"/>
              </w:r>
            </w:hyperlink>
            <w:bookmarkEnd w:id="95"/>
            <w:r w:rsidRPr="009819CE">
              <w:rPr>
                <w:rFonts w:eastAsia="Calibri" w:cstheme="minorBidi"/>
                <w:iCs/>
                <w:color w:val="000000"/>
                <w:sz w:val="22"/>
                <w:szCs w:val="22"/>
                <w:lang w:val="en-GB"/>
                <w14:ligatures w14:val="none"/>
              </w:rPr>
              <w:t>. Artist: Pont-Trullen, I.</w:t>
            </w:r>
            <w:bookmarkEnd w:id="96"/>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2773A2" w:rsidRPr="00FA7D47" w14:paraId="3B0385BC" w14:textId="77777777" w:rsidTr="007D6607">
        <w:tc>
          <w:tcPr>
            <w:tcW w:w="9020" w:type="dxa"/>
            <w:hideMark/>
          </w:tcPr>
          <w:p w14:paraId="623F8CA5" w14:textId="1E2DE4D0" w:rsidR="002773A2" w:rsidRPr="009819CE" w:rsidRDefault="009D7BA1" w:rsidP="00165A91">
            <w:pPr>
              <w:spacing w:before="0" w:after="0"/>
              <w:jc w:val="center"/>
              <w:rPr>
                <w:rFonts w:cstheme="minorBidi"/>
                <w:lang w:val="en-GB"/>
                <w14:ligatures w14:val="none"/>
              </w:rPr>
            </w:pPr>
            <w:r w:rsidRPr="00FF34FE">
              <w:rPr>
                <w:rFonts w:cstheme="minorBidi"/>
                <w:noProof/>
              </w:rPr>
              <w:drawing>
                <wp:inline distT="0" distB="0" distL="0" distR="0" wp14:anchorId="61AFC385" wp14:editId="2882164A">
                  <wp:extent cx="5041424" cy="7130940"/>
                  <wp:effectExtent l="0" t="0" r="6985" b="0"/>
                  <wp:docPr id="325217667" name="Picture 6" descr="A collage of microscopic images of bacter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17667" name="Picture 6" descr="A collage of microscopic images of bacteria&#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47086" cy="7138949"/>
                          </a:xfrm>
                          <a:prstGeom prst="rect">
                            <a:avLst/>
                          </a:prstGeom>
                        </pic:spPr>
                      </pic:pic>
                    </a:graphicData>
                  </a:graphic>
                </wp:inline>
              </w:drawing>
            </w:r>
          </w:p>
        </w:tc>
      </w:tr>
      <w:tr w:rsidR="002773A2" w:rsidRPr="00FA7D47" w14:paraId="39DD2ADF" w14:textId="77777777" w:rsidTr="007D6607">
        <w:tc>
          <w:tcPr>
            <w:tcW w:w="9020" w:type="dxa"/>
            <w:hideMark/>
          </w:tcPr>
          <w:p w14:paraId="112E5770" w14:textId="7594931A" w:rsidR="002773A2" w:rsidRPr="009819CE" w:rsidRDefault="002773A2" w:rsidP="007D6607">
            <w:pPr>
              <w:spacing w:before="0" w:after="0" w:line="240" w:lineRule="auto"/>
              <w:rPr>
                <w:rFonts w:eastAsia="Calibri" w:cstheme="minorBidi"/>
                <w:iCs/>
                <w:color w:val="000000"/>
                <w:lang w:val="en-GB"/>
                <w14:ligatures w14:val="none"/>
              </w:rPr>
            </w:pPr>
            <w:bookmarkStart w:id="97" w:name="_Ref142298259"/>
            <w:bookmarkStart w:id="98" w:name="_Toc84492444"/>
            <w:bookmarkStart w:id="99" w:name="_Toc140068612"/>
            <w:bookmarkStart w:id="100" w:name="_Toc204106698"/>
            <w:r w:rsidRPr="009819CE">
              <w:rPr>
                <w:rFonts w:eastAsia="Calibri" w:cstheme="minorBidi"/>
                <w:b/>
                <w:bCs/>
                <w:sz w:val="22"/>
                <w:szCs w:val="22"/>
                <w:lang w:val="en-GB"/>
              </w:rPr>
              <w:t xml:space="preserve">Figure </w:t>
            </w:r>
            <w:r w:rsidRPr="001F4A34">
              <w:rPr>
                <w:rFonts w:eastAsia="Calibri" w:cstheme="minorBidi"/>
                <w:b/>
                <w:bCs/>
                <w:sz w:val="22"/>
                <w:szCs w:val="22"/>
              </w:rPr>
              <w:fldChar w:fldCharType="begin"/>
            </w:r>
            <w:r w:rsidRPr="009819CE">
              <w:rPr>
                <w:rFonts w:eastAsia="Calibri" w:cstheme="minorBidi"/>
                <w:b/>
                <w:bCs/>
                <w:sz w:val="22"/>
                <w:szCs w:val="22"/>
                <w:lang w:val="en-GB"/>
              </w:rPr>
              <w:instrText xml:space="preserve"> STYLEREF 1 \s </w:instrText>
            </w:r>
            <w:r w:rsidRPr="001F4A34">
              <w:rPr>
                <w:rFonts w:eastAsia="Calibri" w:cstheme="minorBidi"/>
                <w:b/>
                <w:bCs/>
                <w:sz w:val="22"/>
                <w:szCs w:val="22"/>
              </w:rPr>
              <w:fldChar w:fldCharType="separate"/>
            </w:r>
            <w:r w:rsidR="008549FC">
              <w:rPr>
                <w:rFonts w:eastAsia="Calibri" w:cstheme="minorBidi"/>
                <w:b/>
                <w:bCs/>
                <w:noProof/>
                <w:sz w:val="22"/>
                <w:szCs w:val="22"/>
                <w:lang w:val="en-GB"/>
              </w:rPr>
              <w:t>1</w:t>
            </w:r>
            <w:r w:rsidRPr="001F4A34">
              <w:rPr>
                <w:rFonts w:eastAsia="Calibri" w:cstheme="minorBidi"/>
                <w:b/>
                <w:bCs/>
                <w:sz w:val="22"/>
                <w:szCs w:val="22"/>
              </w:rPr>
              <w:fldChar w:fldCharType="end"/>
            </w:r>
            <w:r w:rsidRPr="009819CE">
              <w:rPr>
                <w:rFonts w:eastAsia="Calibri" w:cstheme="minorBidi"/>
                <w:b/>
                <w:bCs/>
                <w:sz w:val="22"/>
                <w:szCs w:val="22"/>
                <w:lang w:val="en-GB"/>
              </w:rPr>
              <w:t>.</w:t>
            </w:r>
            <w:r w:rsidRPr="001F4A34">
              <w:rPr>
                <w:rFonts w:eastAsia="Calibri" w:cstheme="minorBidi"/>
                <w:b/>
                <w:bCs/>
                <w:sz w:val="22"/>
                <w:szCs w:val="22"/>
              </w:rPr>
              <w:fldChar w:fldCharType="begin"/>
            </w:r>
            <w:r w:rsidRPr="009819CE">
              <w:rPr>
                <w:rFonts w:eastAsia="Calibri" w:cstheme="minorBidi"/>
                <w:b/>
                <w:bCs/>
                <w:sz w:val="22"/>
                <w:szCs w:val="22"/>
                <w:lang w:val="en-GB"/>
              </w:rPr>
              <w:instrText xml:space="preserve"> SEQ Figure \* ARABIC \s 1 </w:instrText>
            </w:r>
            <w:r w:rsidRPr="001F4A34">
              <w:rPr>
                <w:rFonts w:eastAsia="Calibri" w:cstheme="minorBidi"/>
                <w:b/>
                <w:bCs/>
                <w:sz w:val="22"/>
                <w:szCs w:val="22"/>
              </w:rPr>
              <w:fldChar w:fldCharType="separate"/>
            </w:r>
            <w:r w:rsidR="008549FC">
              <w:rPr>
                <w:rFonts w:eastAsia="Calibri" w:cstheme="minorBidi"/>
                <w:b/>
                <w:bCs/>
                <w:noProof/>
                <w:sz w:val="22"/>
                <w:szCs w:val="22"/>
                <w:lang w:val="en-GB"/>
              </w:rPr>
              <w:t>8</w:t>
            </w:r>
            <w:r w:rsidRPr="001F4A34">
              <w:rPr>
                <w:rFonts w:eastAsia="Calibri" w:cstheme="minorBidi"/>
                <w:b/>
                <w:bCs/>
                <w:sz w:val="22"/>
                <w:szCs w:val="22"/>
              </w:rPr>
              <w:fldChar w:fldCharType="end"/>
            </w:r>
            <w:bookmarkEnd w:id="97"/>
            <w:r w:rsidRPr="009819CE">
              <w:rPr>
                <w:rFonts w:eastAsia="Calibri" w:cstheme="minorBidi"/>
                <w:sz w:val="22"/>
                <w:szCs w:val="22"/>
                <w:lang w:val="en-GB"/>
              </w:rPr>
              <w:t xml:space="preserve"> </w:t>
            </w:r>
            <w:bookmarkEnd w:id="98"/>
            <w:r w:rsidR="00C175DD" w:rsidRPr="009819CE">
              <w:rPr>
                <w:rFonts w:eastAsia="Calibri" w:cstheme="minorBidi"/>
                <w:sz w:val="22"/>
                <w:szCs w:val="22"/>
                <w:lang w:val="en-GB"/>
              </w:rPr>
              <w:t xml:space="preserve">Morphological observation of the </w:t>
            </w:r>
            <w:r w:rsidR="00C175DD" w:rsidRPr="009819CE">
              <w:rPr>
                <w:rFonts w:eastAsia="Calibri" w:cstheme="minorBidi"/>
                <w:i/>
                <w:iCs/>
                <w:sz w:val="22"/>
                <w:szCs w:val="22"/>
              </w:rPr>
              <w:t>in vitro</w:t>
            </w:r>
            <w:r w:rsidR="00C175DD" w:rsidRPr="009819CE">
              <w:rPr>
                <w:rFonts w:eastAsia="Calibri" w:cstheme="minorBidi"/>
                <w:sz w:val="22"/>
                <w:szCs w:val="22"/>
                <w:lang w:val="en-GB"/>
              </w:rPr>
              <w:t xml:space="preserve"> life stages of </w:t>
            </w:r>
            <w:r w:rsidR="009D03F4" w:rsidRPr="009819CE">
              <w:rPr>
                <w:rFonts w:eastAsia="Calibri" w:cstheme="minorBidi"/>
                <w:i/>
                <w:iCs/>
                <w:sz w:val="22"/>
                <w:szCs w:val="22"/>
                <w:lang w:val="en-GB"/>
              </w:rPr>
              <w:t>Hematodinium</w:t>
            </w:r>
            <w:r w:rsidR="00C175DD" w:rsidRPr="009819CE">
              <w:rPr>
                <w:rFonts w:eastAsia="Calibri" w:cstheme="minorBidi"/>
                <w:sz w:val="22"/>
                <w:szCs w:val="22"/>
                <w:lang w:val="en-GB"/>
              </w:rPr>
              <w:t xml:space="preserve"> sp. isolated from </w:t>
            </w:r>
            <w:r w:rsidR="00C31E47" w:rsidRPr="009819CE">
              <w:rPr>
                <w:rFonts w:eastAsia="Calibri" w:cstheme="minorBidi"/>
                <w:i/>
                <w:iCs/>
                <w:sz w:val="22"/>
                <w:szCs w:val="22"/>
                <w:lang w:val="en-GB"/>
              </w:rPr>
              <w:t>Nephrops</w:t>
            </w:r>
            <w:r w:rsidR="00C175DD" w:rsidRPr="009819CE">
              <w:rPr>
                <w:rFonts w:eastAsia="Calibri" w:cstheme="minorBidi"/>
                <w:i/>
                <w:iCs/>
                <w:sz w:val="22"/>
                <w:szCs w:val="22"/>
                <w:lang w:val="en-GB"/>
              </w:rPr>
              <w:t xml:space="preserve"> norvegicus</w:t>
            </w:r>
            <w:r w:rsidR="00C175DD" w:rsidRPr="009819CE">
              <w:rPr>
                <w:rFonts w:eastAsia="Calibri" w:cstheme="minorBidi"/>
                <w:sz w:val="22"/>
                <w:szCs w:val="22"/>
                <w:lang w:val="en-GB"/>
              </w:rPr>
              <w:t xml:space="preserve"> A) Clump colony; B) Ameboid/ filamentous trophonts; C) Ameboid/ filamentous trophonts dividing by dinomitosis; D) Gorgonlock trophont colony; E) </w:t>
            </w:r>
            <w:r w:rsidR="00C175DD" w:rsidRPr="009819CE">
              <w:rPr>
                <w:rFonts w:cstheme="minorBidi"/>
                <w:sz w:val="22"/>
                <w:szCs w:val="22"/>
                <w:lang w:val="en-GB"/>
              </w:rPr>
              <w:t>substrate adhesion</w:t>
            </w:r>
            <w:r w:rsidR="00C175DD" w:rsidRPr="009819CE">
              <w:rPr>
                <w:rFonts w:eastAsia="Calibri" w:cstheme="minorBidi"/>
                <w:sz w:val="22"/>
                <w:szCs w:val="22"/>
                <w:lang w:val="en-GB"/>
              </w:rPr>
              <w:t xml:space="preserve"> of ameboid trophont  F) arachnoid trophont; G) arachnoid sporont; H) sporoblast </w:t>
            </w:r>
            <w:r w:rsidR="00DB5DD8" w:rsidRPr="009819CE">
              <w:rPr>
                <w:rFonts w:eastAsia="Calibri" w:cstheme="minorBidi"/>
                <w:sz w:val="22"/>
                <w:szCs w:val="22"/>
                <w:lang w:val="en-GB"/>
              </w:rPr>
              <w:t xml:space="preserve">(sb) </w:t>
            </w:r>
            <w:r w:rsidR="00C175DD" w:rsidRPr="009819CE">
              <w:rPr>
                <w:rFonts w:eastAsia="Calibri" w:cstheme="minorBidi"/>
                <w:sz w:val="22"/>
                <w:szCs w:val="22"/>
                <w:lang w:val="en-GB"/>
              </w:rPr>
              <w:t xml:space="preserve">releasing </w:t>
            </w:r>
            <w:r w:rsidR="00C175DD" w:rsidRPr="009819CE">
              <w:rPr>
                <w:rFonts w:cstheme="minorBidi"/>
                <w:sz w:val="22"/>
                <w:szCs w:val="22"/>
                <w:lang w:val="en-GB"/>
                <w14:ligatures w14:val="none"/>
              </w:rPr>
              <w:t>microspore-like structures</w:t>
            </w:r>
            <w:r w:rsidR="001373B3" w:rsidRPr="00FA7D47">
              <w:rPr>
                <w:rFonts w:cstheme="minorBidi"/>
                <w:sz w:val="22"/>
                <w:szCs w:val="22"/>
                <w:lang w:val="en-GB"/>
                <w14:ligatures w14:val="none"/>
              </w:rPr>
              <w:t xml:space="preserve"> (black arrows)</w:t>
            </w:r>
            <w:r w:rsidR="00C175DD" w:rsidRPr="009819CE">
              <w:rPr>
                <w:rFonts w:cstheme="minorBidi"/>
                <w:sz w:val="22"/>
                <w:szCs w:val="22"/>
                <w:lang w:val="en-GB"/>
                <w14:ligatures w14:val="none"/>
              </w:rPr>
              <w:t>.</w:t>
            </w:r>
            <w:r w:rsidR="00C175DD" w:rsidRPr="009819CE">
              <w:rPr>
                <w:rFonts w:eastAsia="Calibri" w:cstheme="minorBidi"/>
                <w:sz w:val="22"/>
                <w:szCs w:val="22"/>
                <w:lang w:val="en-GB"/>
              </w:rPr>
              <w:t xml:space="preserve"> </w:t>
            </w:r>
            <w:r w:rsidR="00DD7F9B" w:rsidRPr="009819CE">
              <w:rPr>
                <w:rFonts w:eastAsia="Calibri" w:cstheme="minorBidi"/>
                <w:iCs/>
                <w:color w:val="000000"/>
                <w:sz w:val="22"/>
                <w:szCs w:val="22"/>
                <w:lang w:val="en-GB"/>
                <w14:ligatures w14:val="none"/>
              </w:rPr>
              <w:t>Author</w:t>
            </w:r>
            <w:r w:rsidR="00C175DD" w:rsidRPr="009819CE">
              <w:rPr>
                <w:rFonts w:eastAsia="Calibri" w:cstheme="minorBidi"/>
                <w:iCs/>
                <w:color w:val="000000"/>
                <w:sz w:val="22"/>
                <w:szCs w:val="22"/>
                <w:lang w:val="en-GB"/>
                <w14:ligatures w14:val="none"/>
              </w:rPr>
              <w:t>: Mart</w:t>
            </w:r>
            <w:r w:rsidR="006E6672" w:rsidRPr="009819CE">
              <w:rPr>
                <w:rFonts w:eastAsia="Calibri" w:cstheme="minorBidi"/>
                <w:iCs/>
                <w:color w:val="000000"/>
                <w:sz w:val="22"/>
                <w:szCs w:val="22"/>
                <w:lang w:val="en-GB"/>
                <w14:ligatures w14:val="none"/>
              </w:rPr>
              <w:t>í</w:t>
            </w:r>
            <w:r w:rsidR="00C175DD" w:rsidRPr="009819CE">
              <w:rPr>
                <w:rFonts w:eastAsia="Calibri" w:cstheme="minorBidi"/>
                <w:iCs/>
                <w:color w:val="000000"/>
                <w:sz w:val="22"/>
                <w:szCs w:val="22"/>
                <w:lang w:val="en-GB"/>
                <w14:ligatures w14:val="none"/>
              </w:rPr>
              <w:t>n, I.</w:t>
            </w:r>
            <w:bookmarkEnd w:id="99"/>
            <w:bookmarkEnd w:id="100"/>
          </w:p>
        </w:tc>
      </w:tr>
    </w:tbl>
    <w:p w14:paraId="29118CBC" w14:textId="77777777" w:rsidR="001B0CD2" w:rsidRPr="009819CE" w:rsidRDefault="001B0CD2" w:rsidP="001B0CD2">
      <w:pPr>
        <w:sectPr w:rsidR="001B0CD2" w:rsidRPr="009819CE" w:rsidSect="001B0CD2">
          <w:footerReference w:type="default" r:id="rId38"/>
          <w:pgSz w:w="11906" w:h="16838" w:code="9"/>
          <w:pgMar w:top="1440" w:right="1440" w:bottom="1440" w:left="1440" w:header="709" w:footer="709" w:gutter="0"/>
          <w:cols w:space="518"/>
          <w:docGrid w:linePitch="360"/>
        </w:sectPr>
      </w:pPr>
      <w:bookmarkStart w:id="101" w:name="_Ref163486512"/>
      <w:bookmarkStart w:id="102" w:name="_Toc94799236"/>
    </w:p>
    <w:p w14:paraId="157CD876" w14:textId="7EDC05A2" w:rsidR="0022477F" w:rsidRPr="009819CE" w:rsidRDefault="00453D14" w:rsidP="00034326">
      <w:pPr>
        <w:pStyle w:val="Heading4"/>
        <w:rPr>
          <w:rFonts w:cstheme="minorBidi"/>
        </w:rPr>
      </w:pPr>
      <w:bookmarkStart w:id="103" w:name="_Ref193529694"/>
      <w:r w:rsidRPr="009819CE">
        <w:rPr>
          <w:rFonts w:cstheme="minorBidi"/>
        </w:rPr>
        <w:t>Dinospores</w:t>
      </w:r>
      <w:bookmarkEnd w:id="101"/>
      <w:bookmarkEnd w:id="103"/>
    </w:p>
    <w:p w14:paraId="7188D240" w14:textId="5FFBBB49" w:rsidR="0022477F" w:rsidRPr="009819CE" w:rsidRDefault="0022477F" w:rsidP="0022477F">
      <w:pPr>
        <w:rPr>
          <w:rFonts w:cstheme="minorBidi"/>
        </w:rPr>
      </w:pPr>
      <w:r w:rsidRPr="009819CE">
        <w:rPr>
          <w:rFonts w:cstheme="minorBidi"/>
        </w:rPr>
        <w:t xml:space="preserve">Depending on their size, dinospores can be categorized as macrospores (16-20 μm in length) or microspores (11-14 μm in length), with microspores exhibiting faster swimming speeds compared to macrospores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 xml:space="preserve">. </w:t>
      </w:r>
      <w:r w:rsidR="00453D14" w:rsidRPr="009819CE">
        <w:rPr>
          <w:rFonts w:cstheme="minorBidi"/>
        </w:rPr>
        <w:t>D</w:t>
      </w:r>
      <w:r w:rsidRPr="009819CE">
        <w:rPr>
          <w:rFonts w:cstheme="minorBidi"/>
        </w:rPr>
        <w:t xml:space="preserve">inospores are flagellated and contain a single nucleus (refer to </w:t>
      </w:r>
      <w:r w:rsidRPr="009819CE">
        <w:rPr>
          <w:rFonts w:cstheme="minorBidi"/>
          <w:b/>
          <w:bCs/>
        </w:rPr>
        <w:fldChar w:fldCharType="begin"/>
      </w:r>
      <w:r w:rsidRPr="009819CE">
        <w:rPr>
          <w:rFonts w:cstheme="minorBidi"/>
          <w:b/>
          <w:bCs/>
        </w:rPr>
        <w:instrText xml:space="preserve"> REF _Ref81485409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1.9</w:t>
      </w:r>
      <w:r w:rsidRPr="009819CE">
        <w:rPr>
          <w:rFonts w:cstheme="minorBidi"/>
          <w:b/>
          <w:bCs/>
        </w:rPr>
        <w:fldChar w:fldCharType="end"/>
      </w:r>
      <w:r w:rsidRPr="009819CE">
        <w:rPr>
          <w:rFonts w:cstheme="minorBidi"/>
        </w:rPr>
        <w:t xml:space="preserve">). Both types of spores possess two flagella (longitudinal and transverse) and exhibit a corkscrew swimming pattern similar to that observed in free-living dinoflagellate species </w:t>
      </w:r>
      <w:r w:rsidRPr="009819CE">
        <w:rPr>
          <w:rFonts w:cstheme="minorBidi"/>
        </w:rPr>
        <w:fldChar w:fldCharType="begin">
          <w:fldData xml:space="preserve">PEVuZE5vdGU+PENpdGU+PEF1dGhvcj5BcHBsZXRvbjwvQXV0aG9yPjxZZWFyPjE5OTY8L1llYXI+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</w:fldData>
        </w:fldChar>
      </w:r>
      <w:r w:rsidR="005F31D5">
        <w:rPr>
          <w:rFonts w:cstheme="minorBidi"/>
        </w:rPr>
        <w:instrText xml:space="preserve"> ADDIN EN.CITE </w:instrText>
      </w:r>
      <w:r w:rsidR="005F31D5">
        <w:rPr>
          <w:rFonts w:cstheme="minorBidi"/>
        </w:rPr>
        <w:fldChar w:fldCharType="begin">
          <w:fldData xml:space="preserve">PEVuZE5vdGU+PENpdGU+PEF1dGhvcj5BcHBsZXRvbjwvQXV0aG9yPjxZZWFyPjE5OTY8L1llYXI+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</w:fldData>
        </w:fldChar>
      </w:r>
      <w:r w:rsidR="005F31D5">
        <w:rPr>
          <w:rFonts w:cstheme="minorBidi"/>
        </w:rPr>
        <w:instrText xml:space="preserve"> ADDIN EN.CITE.DATA </w:instrText>
      </w:r>
      <w:r w:rsidR="005F31D5">
        <w:rPr>
          <w:rFonts w:cstheme="minorBidi"/>
        </w:rPr>
      </w:r>
      <w:r w:rsidR="005F31D5">
        <w:rPr>
          <w:rFonts w:cstheme="minorBidi"/>
        </w:rPr>
        <w:fldChar w:fldCharType="end"/>
      </w:r>
      <w:r w:rsidRPr="009819CE">
        <w:rPr>
          <w:rFonts w:cstheme="minorBidi"/>
        </w:rPr>
      </w:r>
      <w:r w:rsidRPr="009819CE">
        <w:rPr>
          <w:rFonts w:cstheme="minorBidi"/>
        </w:rPr>
        <w:fldChar w:fldCharType="separate"/>
      </w:r>
      <w:r w:rsidR="00A8698B" w:rsidRPr="005F31D5">
        <w:rPr>
          <w:rFonts w:cstheme="minorBidi"/>
          <w:noProof/>
        </w:rPr>
        <w:t>(</w:t>
      </w:r>
      <w:hyperlink w:anchor="_ENREF_16" w:tooltip="Appleton, 1996 #108" w:history="1">
        <w:r w:rsidR="00950097" w:rsidRPr="005F31D5">
          <w:rPr>
            <w:rFonts w:cstheme="minorBidi"/>
            <w:noProof/>
          </w:rPr>
          <w:t>Appleton, 1996</w:t>
        </w:r>
      </w:hyperlink>
      <w:r w:rsidR="00A8698B" w:rsidRPr="005F31D5">
        <w:rPr>
          <w:rFonts w:cstheme="minorBidi"/>
          <w:noProof/>
        </w:rPr>
        <w:t xml:space="preserve">; </w:t>
      </w:r>
      <w:hyperlink w:anchor="_ENREF_28" w:tooltip="Beevers, 2010 #247" w:history="1">
        <w:r w:rsidR="00950097" w:rsidRPr="005F31D5">
          <w:rPr>
            <w:rFonts w:cstheme="minorBidi"/>
            <w:noProof/>
          </w:rPr>
          <w:t>Beevers, 2010</w:t>
        </w:r>
      </w:hyperlink>
      <w:r w:rsidR="00A8698B" w:rsidRPr="005F31D5">
        <w:rPr>
          <w:rFonts w:cstheme="minorBidi"/>
          <w:noProof/>
        </w:rPr>
        <w:t>)</w:t>
      </w:r>
      <w:r w:rsidRPr="009819CE">
        <w:rPr>
          <w:rFonts w:cstheme="minorBidi"/>
        </w:rPr>
        <w:fldChar w:fldCharType="end"/>
      </w:r>
      <w:r w:rsidRPr="009819CE">
        <w:rPr>
          <w:rFonts w:cstheme="minorBidi"/>
        </w:rPr>
        <w:t xml:space="preserve">. Macrospores and microspores have the ability to survive outside the host, approximately 73 days and 52 days </w:t>
      </w:r>
      <w:r w:rsidR="00A17CE5" w:rsidRPr="009819CE">
        <w:rPr>
          <w:rFonts w:cstheme="minorBidi"/>
        </w:rPr>
        <w:t>respectively</w:t>
      </w:r>
      <w:r w:rsidRPr="009819CE">
        <w:rPr>
          <w:rFonts w:cstheme="minorBidi"/>
        </w:rPr>
        <w:t xml:space="preserve"> </w:t>
      </w:r>
      <w:r w:rsidRPr="009819CE">
        <w:rPr>
          <w:rFonts w:cstheme="minorBidi"/>
        </w:rPr>
        <w:fldChar w:fldCharType="begin"/>
      </w:r>
      <w:r w:rsidR="003353A0" w:rsidRPr="009819CE">
        <w:rPr>
          <w:rFonts w:cstheme="minorBidi"/>
        </w:rPr>
        <w:instrText xml:space="preserve"> ADDIN EN.CITE &lt;EndNote&gt;&lt;Cite&gt;&lt;Author&gt;Meyers&lt;/Author&gt;&lt;Year&gt;1987&lt;/Year&gt;&lt;RecNum&gt;428&lt;/RecNum&gt;&lt;DisplayText&gt;(Meyers et al., 1987)&lt;/DisplayText&gt;&lt;record&gt;&lt;rec-number&gt;428&lt;/rec-number&gt;&lt;foreign-keys&gt;&lt;key app="EN" db-id="sd9wrx9fj09rx3erprsx999o0r5aprvp2zse" timestamp="1687855901" guid="07b7bca2-a40c-4357-8d84-ee552c362691"&gt;428&lt;/key&gt;&lt;/foreign-keys&gt;&lt;ref-type name="Journal Article"&gt;17&lt;/ref-type&gt;&lt;contributors&gt;&lt;authors&gt;&lt;author&gt;Meyers, T. R.&lt;/author&gt;&lt;author&gt;Koeneman, T. M.&lt;/author&gt;&lt;author&gt;Botelho, Catherine&lt;/author&gt;&lt;author&gt;Short, Sally&lt;/author&gt;&lt;/authors&gt;&lt;/contributors&gt;&lt;titles&gt;&lt;title&gt;&lt;style face="normal" font="default" size="100%"&gt;Bitter crab disease: a fatal dinoflagellate infection and marketing problem for Alaskan Tanner crabs &lt;/style&gt;&lt;style face="italic" font="default" size="100%"&gt;Chionoecetes bairdi&lt;/style&gt;&lt;/title&gt;&lt;secondary-title&gt;Diseases of Aquatic Organisms&lt;/secondary-title&gt;&lt;/titles&gt;&lt;periodical&gt;&lt;full-title&gt;Diseases of Aquatic Organisms&lt;/full-title&gt;&lt;/periodical&gt;&lt;pages&gt;195-216&lt;/pages&gt;&lt;volume&gt;3&lt;/volume&gt;&lt;number&gt;November&lt;/number&gt;&lt;dates&gt;&lt;year&gt;1987&lt;/year&gt;&lt;/dates&gt;&lt;urls&gt;&lt;related-urls&gt;&lt;url&gt;http://www.int-res.com/articles/dao/3/d003p195.pdf&lt;/url&gt;&lt;/related-urls&gt;&lt;/urls&gt;&lt;electronic-resource-num&gt;10.3354/dao003195&lt;/electronic-resource-num&gt;&lt;/record&gt;&lt;/Cite&gt;&lt;/EndNote&gt;</w:instrText>
      </w:r>
      <w:r w:rsidRPr="009819CE">
        <w:rPr>
          <w:rFonts w:cstheme="minorBidi"/>
        </w:rPr>
        <w:fldChar w:fldCharType="separate"/>
      </w:r>
      <w:r w:rsidR="00D50EFF" w:rsidRPr="001F4A34">
        <w:rPr>
          <w:rFonts w:cstheme="minorBidi"/>
        </w:rPr>
        <w:t>(</w:t>
      </w:r>
      <w:hyperlink w:anchor="_ENREF_217" w:tooltip="Meyers, 1987 #428" w:history="1">
        <w:r w:rsidR="00950097" w:rsidRPr="001F4A34">
          <w:rPr>
            <w:rFonts w:cstheme="minorBidi"/>
          </w:rPr>
          <w:t>Meyers et al., 1987</w:t>
        </w:r>
      </w:hyperlink>
      <w:r w:rsidR="00D50EFF" w:rsidRPr="001F4A34">
        <w:rPr>
          <w:rFonts w:cstheme="minorBidi"/>
        </w:rPr>
        <w:t>)</w:t>
      </w:r>
      <w:r w:rsidRPr="009819CE">
        <w:rPr>
          <w:rFonts w:cstheme="minorBidi"/>
        </w:rPr>
        <w:fldChar w:fldCharType="end"/>
      </w:r>
      <w:r w:rsidRPr="009819CE">
        <w:rPr>
          <w:rFonts w:cstheme="minorBidi"/>
          <w:shd w:val="clear" w:color="auto" w:fill="FFFFFF"/>
        </w:rPr>
        <w:t>.</w:t>
      </w:r>
      <w:r w:rsidRPr="009819CE">
        <w:rPr>
          <w:rFonts w:cstheme="minorBidi"/>
        </w:rPr>
        <w:t xml:space="preserve"> </w:t>
      </w:r>
      <w:hyperlink w:anchor="_ENREF_18" w:tooltip="Appleton, 1998 #373" w:history="1">
        <w:r w:rsidR="00950097" w:rsidRPr="009819CE">
          <w:rPr>
            <w:rFonts w:cstheme="minorBidi"/>
          </w:rPr>
          <w:fldChar w:fldCharType="begin"/>
        </w:r>
        <w:r w:rsidR="00950097" w:rsidRPr="009819CE">
          <w:rPr>
            <w:rFonts w:cstheme="minorBidi"/>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9819CE">
          <w:rPr>
            <w:rFonts w:cstheme="minorBidi"/>
          </w:rPr>
          <w:fldChar w:fldCharType="separate"/>
        </w:r>
        <w:r w:rsidR="00950097" w:rsidRPr="009819CE">
          <w:rPr>
            <w:rFonts w:cstheme="minorBidi"/>
          </w:rPr>
          <w:t>Appleton and Vickerman (1998)</w:t>
        </w:r>
        <w:r w:rsidR="00950097" w:rsidRPr="009819CE">
          <w:rPr>
            <w:rFonts w:cstheme="minorBidi"/>
          </w:rPr>
          <w:fldChar w:fldCharType="end"/>
        </w:r>
      </w:hyperlink>
      <w:r w:rsidRPr="009819CE">
        <w:rPr>
          <w:rFonts w:cstheme="minorBidi"/>
        </w:rPr>
        <w:t xml:space="preserve"> reported a survival rate of 58 days for microspores and 90 days for macrospores. During this period, dinospores are thought to act as </w:t>
      </w:r>
      <w:r w:rsidR="00D140C1" w:rsidRPr="00FA7D47">
        <w:rPr>
          <w:rFonts w:cstheme="minorBidi"/>
        </w:rPr>
        <w:t>infective stages</w:t>
      </w:r>
      <w:r w:rsidRPr="009819CE">
        <w:rPr>
          <w:rFonts w:cstheme="minorBidi"/>
        </w:rPr>
        <w:t xml:space="preserve"> </w:t>
      </w:r>
      <w:r w:rsidRPr="009819CE">
        <w:rPr>
          <w:rFonts w:cstheme="minorBidi"/>
        </w:rPr>
        <w:fldChar w:fldCharType="begin">
          <w:fldData xml:space="preserve">PEVuZE5vdGU+PENpdGU+PEF1dGhvcj5GcmlzY2hlcjwvQXV0aG9yPjxZZWFyPjIwMDY8L1llYXI+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</w:fldData>
        </w:fldChar>
      </w:r>
      <w:r w:rsidR="00231B97" w:rsidRPr="009819CE">
        <w:rPr>
          <w:rFonts w:cstheme="minorBidi"/>
        </w:rPr>
        <w:instrText xml:space="preserve"> ADDIN EN.CITE </w:instrText>
      </w:r>
      <w:r w:rsidR="00231B97" w:rsidRPr="009819CE">
        <w:rPr>
          <w:rFonts w:cstheme="minorBidi"/>
        </w:rPr>
        <w:fldChar w:fldCharType="begin">
          <w:fldData xml:space="preserve">PEVuZE5vdGU+PENpdGU+PEF1dGhvcj5GcmlzY2hlcjwvQXV0aG9yPjxZZWFyPjIwMDY8L1llYXI+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</w:fldData>
        </w:fldChar>
      </w:r>
      <w:r w:rsidR="00231B97" w:rsidRPr="009819CE">
        <w:rPr>
          <w:rFonts w:cstheme="minorBidi"/>
        </w:rPr>
        <w:instrText xml:space="preserve"> ADDIN EN.CITE.DATA </w:instrText>
      </w:r>
      <w:r w:rsidR="00231B97" w:rsidRPr="009819CE">
        <w:rPr>
          <w:rFonts w:cstheme="minorBidi"/>
        </w:rPr>
      </w:r>
      <w:r w:rsidR="00231B97"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04" w:tooltip="Frischer, 2006 #382" w:history="1">
        <w:r w:rsidR="00950097" w:rsidRPr="001F4A34">
          <w:rPr>
            <w:rFonts w:cstheme="minorBidi"/>
          </w:rPr>
          <w:t>Frischer et al., 2006</w:t>
        </w:r>
      </w:hyperlink>
      <w:r w:rsidR="00D50EFF" w:rsidRPr="001F4A34">
        <w:rPr>
          <w:rFonts w:cstheme="minorBidi"/>
        </w:rPr>
        <w:t xml:space="preserve">; </w:t>
      </w:r>
      <w:hyperlink w:anchor="_ENREF_176" w:tooltip="Li, 2010 #430" w:history="1">
        <w:r w:rsidR="00950097" w:rsidRPr="001F4A34">
          <w:rPr>
            <w:rFonts w:cstheme="minorBidi"/>
          </w:rPr>
          <w:t>Li et al., 2010</w:t>
        </w:r>
      </w:hyperlink>
      <w:r w:rsidR="00D50EFF" w:rsidRPr="001F4A34">
        <w:rPr>
          <w:rFonts w:cstheme="minorBidi"/>
        </w:rPr>
        <w:t>)</w:t>
      </w:r>
      <w:r w:rsidRPr="009819CE">
        <w:rPr>
          <w:rFonts w:cstheme="minorBidi"/>
        </w:rPr>
        <w:fldChar w:fldCharType="end"/>
      </w:r>
      <w:r w:rsidRPr="009819CE">
        <w:rPr>
          <w:rFonts w:cstheme="minorBidi"/>
          <w:shd w:val="clear" w:color="auto" w:fill="FFFFFF"/>
        </w:rPr>
        <w:t xml:space="preserve">. </w:t>
      </w:r>
      <w:r w:rsidR="009D03F4" w:rsidRPr="009819CE">
        <w:rPr>
          <w:rFonts w:cstheme="minorBidi"/>
          <w:i/>
          <w:iCs/>
        </w:rPr>
        <w:t>Hematodinium</w:t>
      </w:r>
      <w:r w:rsidRPr="009819CE">
        <w:rPr>
          <w:rFonts w:cstheme="minorBidi"/>
        </w:rPr>
        <w:t xml:space="preserve"> sp. dinospores are released from heavily infected </w:t>
      </w:r>
      <w:r w:rsidR="00570E4D" w:rsidRPr="009819CE">
        <w:rPr>
          <w:rFonts w:cstheme="minorBidi"/>
        </w:rPr>
        <w:t xml:space="preserve">host </w:t>
      </w:r>
      <w:r w:rsidRPr="009819CE">
        <w:rPr>
          <w:rFonts w:cstheme="minorBidi"/>
        </w:rPr>
        <w:t>through the gills in a mass sporulation event</w:t>
      </w:r>
      <w:r w:rsidR="001A49AB" w:rsidRPr="009819CE">
        <w:rPr>
          <w:rFonts w:cstheme="minorBidi"/>
        </w:rPr>
        <w:t xml:space="preserve"> </w:t>
      </w:r>
      <w:r w:rsidR="001A49AB" w:rsidRPr="009819CE">
        <w:rPr>
          <w:rFonts w:cstheme="minorBidi"/>
        </w:rPr>
        <w:fldChar w:fldCharType="begin">
          <w:fldData xml:space="preserve">PEVuZE5vdGU+PENpdGU+PEF1dGhvcj5GcmlzY2hlcjwvQXV0aG9yPjxZZWFyPjIwMDY8L1llYXI+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</w:fldData>
        </w:fldChar>
      </w:r>
      <w:r w:rsidR="00EE7FB9">
        <w:rPr>
          <w:rFonts w:cstheme="minorBidi"/>
        </w:rPr>
        <w:instrText xml:space="preserve"> ADDIN EN.CITE </w:instrText>
      </w:r>
      <w:r w:rsidR="00EE7FB9">
        <w:rPr>
          <w:rFonts w:cstheme="minorBidi"/>
        </w:rPr>
        <w:fldChar w:fldCharType="begin">
          <w:fldData xml:space="preserve">PEVuZE5vdGU+PENpdGU+PEF1dGhvcj5GcmlzY2hlcjwvQXV0aG9yPjxZZWFyPjIwMDY8L1llYXI+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001A49AB" w:rsidRPr="009819CE">
        <w:rPr>
          <w:rFonts w:cstheme="minorBidi"/>
        </w:rPr>
      </w:r>
      <w:r w:rsidR="001A49AB" w:rsidRPr="009819CE">
        <w:rPr>
          <w:rFonts w:cstheme="minorBidi"/>
        </w:rPr>
        <w:fldChar w:fldCharType="separate"/>
      </w:r>
      <w:r w:rsidR="006661F7" w:rsidRPr="005F31D5">
        <w:rPr>
          <w:rFonts w:cstheme="minorBidi"/>
          <w:noProof/>
        </w:rPr>
        <w:t>(</w:t>
      </w:r>
      <w:hyperlink w:anchor="_ENREF_16" w:tooltip="Appleton, 1996 #108" w:history="1">
        <w:r w:rsidR="00950097" w:rsidRPr="005F31D5">
          <w:rPr>
            <w:rFonts w:cstheme="minorBidi"/>
            <w:noProof/>
          </w:rPr>
          <w:t>Appleton, 1996</w:t>
        </w:r>
      </w:hyperlink>
      <w:r w:rsidR="006661F7" w:rsidRPr="005F31D5">
        <w:rPr>
          <w:rFonts w:cstheme="minorBidi"/>
          <w:noProof/>
        </w:rPr>
        <w:t xml:space="preserve">; </w:t>
      </w:r>
      <w:hyperlink w:anchor="_ENREF_28" w:tooltip="Beevers, 2010 #247" w:history="1">
        <w:r w:rsidR="00950097" w:rsidRPr="005F31D5">
          <w:rPr>
            <w:rFonts w:cstheme="minorBidi"/>
            <w:noProof/>
          </w:rPr>
          <w:t>Beevers, 2010</w:t>
        </w:r>
      </w:hyperlink>
      <w:r w:rsidR="006661F7" w:rsidRPr="005F31D5">
        <w:rPr>
          <w:rFonts w:cstheme="minorBidi"/>
          <w:noProof/>
        </w:rPr>
        <w:t xml:space="preserve">; </w:t>
      </w:r>
      <w:hyperlink w:anchor="_ENREF_104" w:tooltip="Frischer, 2006 #382" w:history="1">
        <w:r w:rsidR="00950097" w:rsidRPr="005F31D5">
          <w:rPr>
            <w:rFonts w:cstheme="minorBidi"/>
            <w:noProof/>
          </w:rPr>
          <w:t>Frischer et al., 2006</w:t>
        </w:r>
      </w:hyperlink>
      <w:r w:rsidR="006661F7" w:rsidRPr="005F31D5">
        <w:rPr>
          <w:rFonts w:cstheme="minorBidi"/>
          <w:noProof/>
        </w:rPr>
        <w:t xml:space="preserve">; </w:t>
      </w:r>
      <w:hyperlink w:anchor="_ENREF_149" w:tooltip="Huchin-Mian, 2018 #219" w:history="1">
        <w:r w:rsidR="00950097" w:rsidRPr="005F31D5">
          <w:rPr>
            <w:rFonts w:cstheme="minorBidi"/>
            <w:noProof/>
          </w:rPr>
          <w:t>Huchin-Mian et al., 2018</w:t>
        </w:r>
      </w:hyperlink>
      <w:r w:rsidR="006661F7" w:rsidRPr="005F31D5">
        <w:rPr>
          <w:rFonts w:cstheme="minorBidi"/>
          <w:noProof/>
        </w:rPr>
        <w:t xml:space="preserve">; </w:t>
      </w:r>
      <w:hyperlink w:anchor="_ENREF_176" w:tooltip="Li, 2010 #430" w:history="1">
        <w:r w:rsidR="00950097" w:rsidRPr="005F31D5">
          <w:rPr>
            <w:rFonts w:cstheme="minorBidi"/>
            <w:noProof/>
          </w:rPr>
          <w:t>Li et al., 2010</w:t>
        </w:r>
      </w:hyperlink>
      <w:r w:rsidR="006661F7" w:rsidRPr="005F31D5">
        <w:rPr>
          <w:rFonts w:cstheme="minorBidi"/>
          <w:noProof/>
        </w:rPr>
        <w:t xml:space="preserve">; </w:t>
      </w:r>
      <w:hyperlink w:anchor="_ENREF_200" w:tooltip="Love, 1993 #356" w:history="1">
        <w:r w:rsidR="00950097" w:rsidRPr="005F31D5">
          <w:rPr>
            <w:rFonts w:cstheme="minorBidi"/>
            <w:noProof/>
          </w:rPr>
          <w:t>Love et al., 1993</w:t>
        </w:r>
      </w:hyperlink>
      <w:r w:rsidR="006661F7" w:rsidRPr="005F31D5">
        <w:rPr>
          <w:rFonts w:cstheme="minorBidi"/>
          <w:noProof/>
        </w:rPr>
        <w:t xml:space="preserve">; </w:t>
      </w:r>
      <w:hyperlink w:anchor="_ENREF_217" w:tooltip="Meyers, 1987 #428" w:history="1">
        <w:r w:rsidR="00950097" w:rsidRPr="005F31D5">
          <w:rPr>
            <w:rFonts w:cstheme="minorBidi"/>
            <w:noProof/>
          </w:rPr>
          <w:t>Meyers et al., 1987</w:t>
        </w:r>
      </w:hyperlink>
      <w:r w:rsidR="006661F7" w:rsidRPr="005F31D5">
        <w:rPr>
          <w:rFonts w:cstheme="minorBidi"/>
          <w:noProof/>
        </w:rPr>
        <w:t xml:space="preserve">; </w:t>
      </w:r>
      <w:hyperlink w:anchor="_ENREF_282" w:tooltip="Shields, 2000 #390" w:history="1">
        <w:r w:rsidR="00950097" w:rsidRPr="005F31D5">
          <w:rPr>
            <w:rFonts w:cstheme="minorBidi"/>
            <w:noProof/>
          </w:rPr>
          <w:t>Shields and Squyars, 2000</w:t>
        </w:r>
      </w:hyperlink>
      <w:r w:rsidR="006661F7" w:rsidRPr="005F31D5">
        <w:rPr>
          <w:rFonts w:cstheme="minorBidi"/>
          <w:noProof/>
        </w:rPr>
        <w:t xml:space="preserve">; </w:t>
      </w:r>
      <w:hyperlink w:anchor="_ENREF_302" w:tooltip="Stentiford, 2002 #372" w:history="1">
        <w:r w:rsidR="00950097" w:rsidRPr="005F31D5">
          <w:rPr>
            <w:rFonts w:cstheme="minorBidi"/>
            <w:noProof/>
          </w:rPr>
          <w:t>Stentiford et al., 2002</w:t>
        </w:r>
      </w:hyperlink>
      <w:r w:rsidR="006661F7" w:rsidRPr="005F31D5">
        <w:rPr>
          <w:rFonts w:cstheme="minorBidi"/>
          <w:noProof/>
        </w:rPr>
        <w:t>)</w:t>
      </w:r>
      <w:r w:rsidR="001A49AB" w:rsidRPr="009819CE">
        <w:rPr>
          <w:rFonts w:cstheme="minorBidi"/>
        </w:rPr>
        <w:fldChar w:fldCharType="end"/>
      </w:r>
      <w:r w:rsidRPr="009819CE">
        <w:rPr>
          <w:rFonts w:cstheme="minorBidi"/>
        </w:rPr>
        <w:t>, resulting in high dinospore densities (approximately</w:t>
      </w:r>
      <w:r w:rsidR="001B2309" w:rsidRPr="009819CE">
        <w:rPr>
          <w:rFonts w:cstheme="minorBidi"/>
        </w:rPr>
        <w:t xml:space="preserve"> 1.</w:t>
      </w:r>
      <w:r w:rsidR="00A027FC" w:rsidRPr="009819CE">
        <w:rPr>
          <w:rFonts w:cstheme="minorBidi"/>
        </w:rPr>
        <w:t>6 x</w:t>
      </w:r>
      <w:r w:rsidRPr="009819CE">
        <w:rPr>
          <w:rFonts w:cstheme="minorBidi"/>
        </w:rPr>
        <w:t xml:space="preserve"> 10</w:t>
      </w:r>
      <w:r w:rsidR="00A027FC" w:rsidRPr="009819CE">
        <w:rPr>
          <w:rFonts w:cstheme="minorBidi"/>
          <w:vertAlign w:val="superscript"/>
        </w:rPr>
        <w:t>8</w:t>
      </w:r>
      <w:r w:rsidR="00BE0E3B" w:rsidRPr="009819CE">
        <w:rPr>
          <w:rFonts w:cstheme="minorBidi"/>
        </w:rPr>
        <w:t xml:space="preserve"> in blue crabs</w:t>
      </w:r>
      <w:r w:rsidR="00C36624" w:rsidRPr="009819CE">
        <w:rPr>
          <w:rFonts w:cstheme="minorBidi"/>
        </w:rPr>
        <w:t>)</w:t>
      </w:r>
      <w:r w:rsidRPr="009819CE">
        <w:rPr>
          <w:rFonts w:cstheme="minorBidi"/>
        </w:rPr>
        <w:t xml:space="preserve"> </w:t>
      </w:r>
      <w:r w:rsidR="00921FAB" w:rsidRPr="009819CE">
        <w:rPr>
          <w:rFonts w:cstheme="minorBidi"/>
        </w:rPr>
        <w:fldChar w:fldCharType="begin">
          <w:fldData xml:space="preserve">PEVuZE5vdGU+PENpdGU+PEF1dGhvcj5XaGVlbGVyPC9BdXRob3I+PFllYXI+MjAwNzwvWWVhcj48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</w:fldData>
        </w:fldChar>
      </w:r>
      <w:r w:rsidR="008D6189" w:rsidRPr="009819CE">
        <w:rPr>
          <w:rFonts w:cstheme="minorBidi"/>
        </w:rPr>
        <w:instrText xml:space="preserve"> ADDIN EN.CITE </w:instrText>
      </w:r>
      <w:r w:rsidR="008D6189" w:rsidRPr="009819CE">
        <w:rPr>
          <w:rFonts w:cstheme="minorBidi"/>
        </w:rPr>
        <w:fldChar w:fldCharType="begin">
          <w:fldData xml:space="preserve">PEVuZE5vdGU+PENpdGU+PEF1dGhvcj5XaGVlbGVyPC9BdXRob3I+PFllYXI+MjAwNzwvWWVhcj48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</w:fldData>
        </w:fldChar>
      </w:r>
      <w:r w:rsidR="008D6189" w:rsidRPr="009819CE">
        <w:rPr>
          <w:rFonts w:cstheme="minorBidi"/>
        </w:rPr>
        <w:instrText xml:space="preserve"> ADDIN EN.CITE.DATA </w:instrText>
      </w:r>
      <w:r w:rsidR="008D6189" w:rsidRPr="009819CE">
        <w:rPr>
          <w:rFonts w:cstheme="minorBidi"/>
        </w:rPr>
      </w:r>
      <w:r w:rsidR="008D6189" w:rsidRPr="009819CE">
        <w:rPr>
          <w:rFonts w:cstheme="minorBidi"/>
        </w:rPr>
        <w:fldChar w:fldCharType="end"/>
      </w:r>
      <w:r w:rsidR="00921FAB" w:rsidRPr="009819CE">
        <w:rPr>
          <w:rFonts w:cstheme="minorBidi"/>
        </w:rPr>
      </w:r>
      <w:r w:rsidR="00921FAB" w:rsidRPr="009819CE">
        <w:rPr>
          <w:rFonts w:cstheme="minorBidi"/>
        </w:rPr>
        <w:fldChar w:fldCharType="separate"/>
      </w:r>
      <w:r w:rsidR="008D6189" w:rsidRPr="001F4A34">
        <w:rPr>
          <w:rFonts w:cstheme="minorBidi"/>
        </w:rPr>
        <w:t>(</w:t>
      </w:r>
      <w:hyperlink w:anchor="_ENREF_282" w:tooltip="Shields, 2000 #390" w:history="1">
        <w:r w:rsidR="00950097" w:rsidRPr="001F4A34">
          <w:rPr>
            <w:rFonts w:cstheme="minorBidi"/>
          </w:rPr>
          <w:t>Shields and Squyars, 2000</w:t>
        </w:r>
      </w:hyperlink>
      <w:r w:rsidR="008D6189" w:rsidRPr="001F4A34">
        <w:rPr>
          <w:rFonts w:cstheme="minorBidi"/>
        </w:rPr>
        <w:t xml:space="preserve">; </w:t>
      </w:r>
      <w:hyperlink w:anchor="_ENREF_355" w:tooltip="Wheeler, 2007 #166" w:history="1">
        <w:r w:rsidR="00950097" w:rsidRPr="001F4A34">
          <w:rPr>
            <w:rFonts w:cstheme="minorBidi"/>
          </w:rPr>
          <w:t>Wheeler et al., 2007</w:t>
        </w:r>
      </w:hyperlink>
      <w:r w:rsidR="008D6189" w:rsidRPr="001F4A34">
        <w:rPr>
          <w:rFonts w:cstheme="minorBidi"/>
        </w:rPr>
        <w:t>)</w:t>
      </w:r>
      <w:r w:rsidR="00921FAB" w:rsidRPr="009819CE">
        <w:rPr>
          <w:rFonts w:cstheme="minorBidi"/>
        </w:rPr>
        <w:fldChar w:fldCharType="end"/>
      </w:r>
      <w:r w:rsidR="00351551" w:rsidRPr="00FA7D47">
        <w:rPr>
          <w:rFonts w:cstheme="minorBidi"/>
        </w:rPr>
        <w:t xml:space="preserve"> </w:t>
      </w:r>
      <w:r w:rsidRPr="009819CE">
        <w:rPr>
          <w:rFonts w:cstheme="minorBidi"/>
        </w:rPr>
        <w:t xml:space="preserve">(refer to </w:t>
      </w:r>
      <w:r w:rsidRPr="009819CE">
        <w:rPr>
          <w:rFonts w:cstheme="minorBidi"/>
          <w:b/>
          <w:bCs/>
        </w:rPr>
        <w:fldChar w:fldCharType="begin"/>
      </w:r>
      <w:r w:rsidRPr="009819CE">
        <w:rPr>
          <w:rFonts w:cstheme="minorBidi"/>
          <w:b/>
          <w:bCs/>
        </w:rPr>
        <w:instrText xml:space="preserve"> REF _Ref81485409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1.9</w:t>
      </w:r>
      <w:r w:rsidRPr="009819CE">
        <w:rPr>
          <w:rFonts w:cstheme="minorBidi"/>
          <w:b/>
          <w:bCs/>
        </w:rPr>
        <w:fldChar w:fldCharType="end"/>
      </w:r>
      <w:r w:rsidRPr="009819CE">
        <w:rPr>
          <w:rFonts w:cstheme="minorBidi"/>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773A2" w:rsidRPr="00FA7D47" w14:paraId="0BA36009" w14:textId="77777777" w:rsidTr="007D6607">
        <w:trPr>
          <w:trHeight w:val="3180"/>
        </w:trPr>
        <w:tc>
          <w:tcPr>
            <w:tcW w:w="5000" w:type="pct"/>
            <w:hideMark/>
          </w:tcPr>
          <w:p w14:paraId="249BE4C0" w14:textId="77777777" w:rsidR="002773A2" w:rsidRPr="009819CE" w:rsidRDefault="002773A2" w:rsidP="007D6607">
            <w:pPr>
              <w:spacing w:before="0" w:after="0"/>
              <w:rPr>
                <w:rFonts w:cstheme="minorBidi"/>
                <w:shd w:val="clear" w:color="auto" w:fill="FFFFFF"/>
                <w:lang w:val="en-GB"/>
                <w14:ligatures w14:val="none"/>
              </w:rPr>
            </w:pPr>
            <w:r w:rsidRPr="00FF34FE">
              <w:rPr>
                <w:rFonts w:cstheme="minorBidi"/>
                <w:noProof/>
              </w:rPr>
              <w:drawing>
                <wp:anchor distT="0" distB="0" distL="114300" distR="114300" simplePos="0" relativeHeight="251648000" behindDoc="0" locked="0" layoutInCell="1" allowOverlap="1" wp14:anchorId="57C77603" wp14:editId="1A0740A9">
                  <wp:simplePos x="0" y="0"/>
                  <wp:positionH relativeFrom="page">
                    <wp:posOffset>3068320</wp:posOffset>
                  </wp:positionH>
                  <wp:positionV relativeFrom="paragraph">
                    <wp:posOffset>39562</wp:posOffset>
                  </wp:positionV>
                  <wp:extent cx="2586990" cy="1920875"/>
                  <wp:effectExtent l="0" t="0" r="3810" b="3175"/>
                  <wp:wrapNone/>
                  <wp:docPr id="611293229" name="Picture 611293229" descr="A picture containing text, indoor, invertebrate,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picture containing text, indoor, invertebrate, arthropod&#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86990" cy="1920875"/>
                          </a:xfrm>
                          <a:prstGeom prst="rect">
                            <a:avLst/>
                          </a:prstGeom>
                          <a:noFill/>
                        </pic:spPr>
                      </pic:pic>
                    </a:graphicData>
                  </a:graphic>
                  <wp14:sizeRelH relativeFrom="margin">
                    <wp14:pctWidth>0</wp14:pctWidth>
                  </wp14:sizeRelH>
                  <wp14:sizeRelV relativeFrom="margin">
                    <wp14:pctHeight>0</wp14:pctHeight>
                  </wp14:sizeRelV>
                </wp:anchor>
              </w:drawing>
            </w:r>
            <w:r w:rsidRPr="00FF34FE">
              <w:rPr>
                <w:rFonts w:cstheme="minorBidi"/>
                <w:noProof/>
              </w:rPr>
              <w:drawing>
                <wp:anchor distT="0" distB="0" distL="114300" distR="114300" simplePos="0" relativeHeight="251604992" behindDoc="1" locked="0" layoutInCell="1" allowOverlap="1" wp14:anchorId="234858A1" wp14:editId="297CEC09">
                  <wp:simplePos x="0" y="0"/>
                  <wp:positionH relativeFrom="margin">
                    <wp:posOffset>43180</wp:posOffset>
                  </wp:positionH>
                  <wp:positionV relativeFrom="margin">
                    <wp:posOffset>73660</wp:posOffset>
                  </wp:positionV>
                  <wp:extent cx="2955290" cy="1881505"/>
                  <wp:effectExtent l="0" t="0" r="0" b="4445"/>
                  <wp:wrapSquare wrapText="bothSides"/>
                  <wp:docPr id="83869825" name="Picture 83869825" descr="A picture containing text, invertebrate, arthro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icture containing text, invertebrate, arthropod&#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5290" cy="1881505"/>
                          </a:xfrm>
                          <a:prstGeom prst="rect">
                            <a:avLst/>
                          </a:prstGeom>
                          <a:noFill/>
                        </pic:spPr>
                      </pic:pic>
                    </a:graphicData>
                  </a:graphic>
                  <wp14:sizeRelH relativeFrom="page">
                    <wp14:pctWidth>0</wp14:pctWidth>
                  </wp14:sizeRelH>
                  <wp14:sizeRelV relativeFrom="page">
                    <wp14:pctHeight>0</wp14:pctHeight>
                  </wp14:sizeRelV>
                </wp:anchor>
              </w:drawing>
            </w:r>
            <w:r w:rsidRPr="009819CE">
              <w:rPr>
                <w:rFonts w:cstheme="minorBidi"/>
                <w:shd w:val="clear" w:color="auto" w:fill="FFFFFF"/>
                <w:lang w:val="en-GB"/>
                <w14:ligatures w14:val="none"/>
              </w:rPr>
              <w:t xml:space="preserve"> </w:t>
            </w:r>
          </w:p>
        </w:tc>
      </w:tr>
      <w:tr w:rsidR="002773A2" w:rsidRPr="00FA7D47" w14:paraId="685FD3F8" w14:textId="77777777" w:rsidTr="007D6607">
        <w:tc>
          <w:tcPr>
            <w:tcW w:w="5000" w:type="pct"/>
            <w:hideMark/>
          </w:tcPr>
          <w:p w14:paraId="15A7FB49" w14:textId="7DAFB08A" w:rsidR="002773A2" w:rsidRPr="009819CE" w:rsidRDefault="002773A2" w:rsidP="007D6607">
            <w:pPr>
              <w:spacing w:before="0" w:after="0" w:line="240" w:lineRule="auto"/>
              <w:rPr>
                <w:rFonts w:eastAsia="Calibri" w:cstheme="minorBidi"/>
                <w:iCs/>
                <w:color w:val="000000"/>
                <w:sz w:val="22"/>
                <w:szCs w:val="22"/>
                <w:shd w:val="clear" w:color="auto" w:fill="FFFFFF"/>
                <w:lang w:val="en-GB"/>
                <w14:ligatures w14:val="none"/>
              </w:rPr>
            </w:pPr>
            <w:bookmarkStart w:id="104" w:name="_Ref81485409"/>
            <w:bookmarkStart w:id="105" w:name="_Toc84492442"/>
            <w:bookmarkStart w:id="106" w:name="_Toc140068613"/>
            <w:bookmarkStart w:id="107" w:name="_Toc204106699"/>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9</w:t>
            </w:r>
            <w:r w:rsidRPr="001F4A34">
              <w:rPr>
                <w:rFonts w:eastAsia="Calibri" w:cstheme="minorBidi"/>
                <w:iCs/>
                <w:color w:val="000000"/>
                <w:sz w:val="22"/>
                <w:szCs w:val="22"/>
              </w:rPr>
              <w:fldChar w:fldCharType="end"/>
            </w:r>
            <w:bookmarkEnd w:id="104"/>
            <w:r w:rsidRPr="009819CE">
              <w:rPr>
                <w:rFonts w:eastAsia="Calibri" w:cstheme="minorBidi"/>
                <w:iCs/>
                <w:color w:val="000000"/>
                <w:sz w:val="22"/>
                <w:szCs w:val="22"/>
                <w:lang w:val="en-GB"/>
                <w14:ligatures w14:val="none"/>
              </w:rPr>
              <w:t xml:space="preserve"> </w:t>
            </w:r>
            <w:r w:rsidRPr="009819CE">
              <w:rPr>
                <w:rFonts w:eastAsia="Calibri" w:cstheme="minorBidi"/>
                <w:iCs/>
                <w:color w:val="000000"/>
                <w:sz w:val="22"/>
                <w:szCs w:val="22"/>
                <w:shd w:val="clear" w:color="auto" w:fill="FFFFFF"/>
                <w:lang w:val="en-GB"/>
                <w14:ligatures w14:val="none"/>
              </w:rPr>
              <w:t xml:space="preserve">Mature (4-day-old) dinospores from primary </w:t>
            </w:r>
            <w:r w:rsidRPr="009819CE">
              <w:rPr>
                <w:rFonts w:eastAsia="Calibri" w:cstheme="minorBidi"/>
                <w:i/>
                <w:color w:val="000000"/>
                <w:sz w:val="22"/>
                <w:szCs w:val="22"/>
                <w:shd w:val="clear" w:color="auto" w:fill="FFFFFF"/>
              </w:rPr>
              <w:t>in vitro</w:t>
            </w:r>
            <w:r w:rsidRPr="009819CE">
              <w:rPr>
                <w:rFonts w:eastAsia="Calibri" w:cstheme="minorBidi"/>
                <w:iCs/>
                <w:color w:val="000000"/>
                <w:sz w:val="22"/>
                <w:szCs w:val="22"/>
                <w:shd w:val="clear" w:color="auto" w:fill="FFFFFF"/>
                <w:lang w:val="en-GB"/>
                <w14:ligatures w14:val="none"/>
              </w:rPr>
              <w:t xml:space="preserve"> cultures. Scanning electron microscopy. (A) Macrospore (B) Microspore C) Image of spores being released from a heavily infected </w:t>
            </w:r>
            <w:r w:rsidR="00C31E47" w:rsidRPr="009819CE">
              <w:rPr>
                <w:rFonts w:eastAsia="Calibri" w:cstheme="minorBidi"/>
                <w:i/>
                <w:iCs/>
                <w:color w:val="000000"/>
                <w:sz w:val="22"/>
                <w:szCs w:val="22"/>
                <w:shd w:val="clear" w:color="auto" w:fill="FFFFFF"/>
                <w:lang w:val="en-GB"/>
                <w14:ligatures w14:val="none"/>
              </w:rPr>
              <w:t>Nephrops</w:t>
            </w:r>
            <w:r w:rsidRPr="009819CE">
              <w:rPr>
                <w:rFonts w:eastAsia="Calibri" w:cstheme="minorBidi"/>
                <w:i/>
                <w:iCs/>
                <w:color w:val="000000"/>
                <w:sz w:val="22"/>
                <w:szCs w:val="22"/>
                <w:shd w:val="clear" w:color="auto" w:fill="FFFFFF"/>
                <w:lang w:val="en-GB"/>
                <w14:ligatures w14:val="none"/>
              </w:rPr>
              <w:t xml:space="preserve"> norvegicus</w:t>
            </w:r>
            <w:r w:rsidRPr="009819CE">
              <w:rPr>
                <w:rFonts w:eastAsia="Calibri" w:cstheme="minorBidi"/>
                <w:iCs/>
                <w:color w:val="000000"/>
                <w:sz w:val="22"/>
                <w:szCs w:val="22"/>
                <w:shd w:val="clear" w:color="auto" w:fill="FFFFFF"/>
                <w:lang w:val="en-GB"/>
                <w14:ligatures w14:val="none"/>
              </w:rPr>
              <w:t xml:space="preserve"> during sporulation</w:t>
            </w:r>
            <w:bookmarkEnd w:id="105"/>
            <w:r w:rsidR="00D2371A">
              <w:rPr>
                <w:rFonts w:eastAsia="Calibri" w:cstheme="minorBidi"/>
                <w:iCs/>
                <w:color w:val="000000"/>
                <w:sz w:val="22"/>
                <w:szCs w:val="22"/>
                <w:shd w:val="clear" w:color="auto" w:fill="FFFFFF"/>
                <w:lang w:val="en-GB"/>
                <w14:ligatures w14:val="none"/>
              </w:rPr>
              <w:t xml:space="preserve"> (black arrow highlights spore cloud)</w:t>
            </w:r>
            <w:r w:rsidRPr="009819CE">
              <w:rPr>
                <w:rFonts w:eastAsia="Calibri" w:cstheme="minorBidi"/>
                <w:iCs/>
                <w:color w:val="000000"/>
                <w:sz w:val="22"/>
                <w:szCs w:val="22"/>
                <w:shd w:val="clear" w:color="auto" w:fill="FFFFFF"/>
                <w:lang w:val="en-GB"/>
                <w14:ligatures w14:val="none"/>
              </w:rPr>
              <w:t xml:space="preserve">. Source: </w:t>
            </w:r>
            <w:hyperlink w:anchor="_ENREF_18" w:tooltip="Appleton, 1998 #373" w:history="1">
              <w:r w:rsidR="00950097" w:rsidRPr="001F4A34">
                <w:rPr>
                  <w:rFonts w:eastAsia="Calibri" w:cstheme="minorBidi"/>
                  <w:iCs/>
                  <w:color w:val="000000"/>
                  <w:sz w:val="22"/>
                  <w:szCs w:val="22"/>
                  <w:shd w:val="clear" w:color="auto" w:fill="FFFFFF"/>
                </w:rPr>
                <w:fldChar w:fldCharType="begin"/>
              </w:r>
              <w:r w:rsidR="00950097" w:rsidRPr="009819CE">
                <w:rPr>
                  <w:rFonts w:eastAsia="Calibri" w:cstheme="minorBidi"/>
                  <w:iCs/>
                  <w:color w:val="000000"/>
                  <w:sz w:val="22"/>
                  <w:szCs w:val="22"/>
                  <w:shd w:val="clear" w:color="auto" w:fill="FFFFFF"/>
                  <w:lang w:val="en-GB"/>
                  <w14:ligatures w14:val="none"/>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1F4A34">
                <w:rPr>
                  <w:rFonts w:eastAsia="Calibri" w:cstheme="minorBidi"/>
                  <w:iCs/>
                  <w:color w:val="000000"/>
                  <w:sz w:val="22"/>
                  <w:szCs w:val="22"/>
                  <w:shd w:val="clear" w:color="auto" w:fill="FFFFFF"/>
                </w:rPr>
                <w:fldChar w:fldCharType="separate"/>
              </w:r>
              <w:r w:rsidR="00950097" w:rsidRPr="009819CE">
                <w:rPr>
                  <w:rFonts w:eastAsia="Calibri" w:cstheme="minorBidi"/>
                  <w:iCs/>
                  <w:color w:val="000000"/>
                  <w:sz w:val="22"/>
                  <w:szCs w:val="22"/>
                  <w:shd w:val="clear" w:color="auto" w:fill="FFFFFF"/>
                  <w:lang w:val="en-GB"/>
                  <w14:ligatures w14:val="none"/>
                </w:rPr>
                <w:t>Appleton and Vickerman (1998)</w:t>
              </w:r>
              <w:r w:rsidR="00950097" w:rsidRPr="001F4A34">
                <w:rPr>
                  <w:rFonts w:eastAsia="Calibri" w:cstheme="minorBidi"/>
                  <w:iCs/>
                  <w:color w:val="000000"/>
                  <w:sz w:val="22"/>
                  <w:szCs w:val="22"/>
                  <w:shd w:val="clear" w:color="auto" w:fill="FFFFFF"/>
                </w:rPr>
                <w:fldChar w:fldCharType="end"/>
              </w:r>
            </w:hyperlink>
            <w:bookmarkEnd w:id="106"/>
            <w:r w:rsidR="00723392" w:rsidRPr="009819CE">
              <w:rPr>
                <w:rFonts w:eastAsia="Calibri" w:cstheme="minorBidi"/>
                <w:iCs/>
                <w:color w:val="000000"/>
                <w:sz w:val="22"/>
                <w:szCs w:val="22"/>
                <w:shd w:val="clear" w:color="auto" w:fill="FFFFFF"/>
                <w:lang w:val="en-GB"/>
                <w14:ligatures w14:val="none"/>
              </w:rPr>
              <w:t xml:space="preserve"> and </w:t>
            </w:r>
            <w:r w:rsidR="00173416" w:rsidRPr="001F4A34">
              <w:rPr>
                <w:rFonts w:eastAsia="Calibri" w:cstheme="minorBidi"/>
                <w:iCs/>
                <w:color w:val="000000"/>
                <w:sz w:val="22"/>
                <w:szCs w:val="22"/>
                <w:shd w:val="clear" w:color="auto" w:fill="FFFFFF"/>
              </w:rPr>
              <w:fldChar w:fldCharType="begin"/>
            </w:r>
            <w:r w:rsidR="005F31D5">
              <w:rPr>
                <w:rFonts w:eastAsia="Calibri" w:cstheme="minorBidi"/>
                <w:iCs/>
                <w:color w:val="000000"/>
                <w:sz w:val="22"/>
                <w:szCs w:val="22"/>
                <w:shd w:val="clear" w:color="auto" w:fill="FFFFFF"/>
                <w:lang w:val="en-GB"/>
                <w14:ligatures w14:val="none"/>
              </w:rPr>
              <w:instrText xml:space="preserve"> ADDIN EN.CITE &lt;EndNote&gt;&lt;Cite&gt;&lt;Author&gt;Appleton&lt;/Author&gt;&lt;Year&gt;1996&lt;/Year&gt;&lt;RecNum&gt;108&lt;/RecNum&gt;&lt;DisplayText&gt;(Appleton,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00173416" w:rsidRPr="001F4A34">
              <w:rPr>
                <w:rFonts w:eastAsia="Calibri" w:cstheme="minorBidi"/>
                <w:iCs/>
                <w:color w:val="000000"/>
                <w:sz w:val="22"/>
                <w:szCs w:val="22"/>
                <w:shd w:val="clear" w:color="auto" w:fill="FFFFFF"/>
              </w:rPr>
              <w:fldChar w:fldCharType="separate"/>
            </w:r>
            <w:r w:rsidR="00792B75" w:rsidRPr="005F31D5">
              <w:rPr>
                <w:rFonts w:eastAsia="Calibri" w:cstheme="minorBidi"/>
                <w:iCs/>
                <w:noProof/>
                <w:color w:val="000000"/>
                <w:sz w:val="22"/>
                <w:szCs w:val="22"/>
                <w:shd w:val="clear" w:color="auto" w:fill="FFFFFF"/>
              </w:rPr>
              <w:t>(</w:t>
            </w:r>
            <w:hyperlink w:anchor="_ENREF_16" w:tooltip="Appleton, 1996 #108" w:history="1">
              <w:r w:rsidR="00950097" w:rsidRPr="005F31D5">
                <w:rPr>
                  <w:rFonts w:eastAsia="Calibri" w:cstheme="minorBidi"/>
                  <w:iCs/>
                  <w:noProof/>
                  <w:color w:val="000000"/>
                  <w:sz w:val="22"/>
                  <w:szCs w:val="22"/>
                  <w:shd w:val="clear" w:color="auto" w:fill="FFFFFF"/>
                </w:rPr>
                <w:t>Appleton, 1996</w:t>
              </w:r>
            </w:hyperlink>
            <w:r w:rsidR="00792B75" w:rsidRPr="005F31D5">
              <w:rPr>
                <w:rFonts w:eastAsia="Calibri" w:cstheme="minorBidi"/>
                <w:iCs/>
                <w:noProof/>
                <w:color w:val="000000"/>
                <w:sz w:val="22"/>
                <w:szCs w:val="22"/>
                <w:shd w:val="clear" w:color="auto" w:fill="FFFFFF"/>
              </w:rPr>
              <w:t>)</w:t>
            </w:r>
            <w:r w:rsidR="00173416" w:rsidRPr="001F4A34">
              <w:rPr>
                <w:rFonts w:eastAsia="Calibri" w:cstheme="minorBidi"/>
                <w:iCs/>
                <w:color w:val="000000"/>
                <w:sz w:val="22"/>
                <w:szCs w:val="22"/>
                <w:shd w:val="clear" w:color="auto" w:fill="FFFFFF"/>
              </w:rPr>
              <w:fldChar w:fldCharType="end"/>
            </w:r>
            <w:r w:rsidR="00EE2C30" w:rsidRPr="009819CE">
              <w:rPr>
                <w:rFonts w:eastAsia="Calibri" w:cstheme="minorBidi"/>
                <w:iCs/>
                <w:color w:val="000000"/>
                <w:sz w:val="22"/>
                <w:szCs w:val="22"/>
                <w:shd w:val="clear" w:color="auto" w:fill="FFFFFF"/>
                <w:lang w:val="en-GB"/>
                <w14:ligatures w14:val="none"/>
              </w:rPr>
              <w:t>.</w:t>
            </w:r>
            <w:bookmarkEnd w:id="107"/>
          </w:p>
        </w:tc>
      </w:tr>
    </w:tbl>
    <w:p w14:paraId="3F53B0A1" w14:textId="77777777" w:rsidR="002773A2" w:rsidRPr="009819CE" w:rsidRDefault="002773A2" w:rsidP="002773A2">
      <w:pPr>
        <w:shd w:val="clear" w:color="auto" w:fill="FFFFFF"/>
        <w:spacing w:before="0" w:after="0" w:line="240" w:lineRule="auto"/>
        <w:rPr>
          <w:rFonts w:cstheme="minorBidi"/>
          <w:lang w:eastAsia="en-US"/>
        </w:rPr>
      </w:pPr>
    </w:p>
    <w:p w14:paraId="27A20E5F" w14:textId="76FAF4AC" w:rsidR="001B0CD2" w:rsidRPr="009819CE" w:rsidRDefault="00950097" w:rsidP="004A33DC">
      <w:pPr>
        <w:spacing w:before="0" w:after="0"/>
        <w:rPr>
          <w:rFonts w:cstheme="minorBidi"/>
        </w:rPr>
      </w:pPr>
      <w:hyperlink w:anchor="_ENREF_17" w:tooltip="Appleton, 1996 #106" w:history="1">
        <w:r w:rsidRPr="009819CE">
          <w:rPr>
            <w:rFonts w:cstheme="minorBidi"/>
          </w:rPr>
          <w:fldChar w:fldCharType="begin"/>
        </w:r>
        <w:r w:rsidRPr="009819CE">
          <w:rPr>
            <w:rFonts w:cstheme="minorBidi"/>
          </w:rPr>
          <w:instrText xml:space="preserve"> ADDIN EN.CITE &lt;EndNote&gt;&lt;Cite AuthorYear="1"&gt;&lt;Author&gt;Appleton&lt;/Author&gt;&lt;Year&gt;1996&lt;/Year&gt;&lt;RecNum&gt;106&lt;/RecNum&gt;&lt;DisplayText&gt;Appleton and Vickerman (1996)&lt;/DisplayText&gt;&lt;record&gt;&lt;rec-number&gt;106&lt;/rec-number&gt;&lt;foreign-keys&gt;&lt;key app="EN" db-id="sd9wrx9fj09rx3erprsx999o0r5aprvp2zse" timestamp="1687855901" guid="1f7992d0-d19c-4791-b4e7-dcca584e0d14"&gt;106&lt;/key&gt;&lt;/foreign-keys&gt;&lt;ref-type name="Journal Article"&gt;17&lt;/ref-type&gt;&lt;contributors&gt;&lt;authors&gt;&lt;author&gt;Appleton, Paul Lawrence&lt;/author&gt;&lt;author&gt;Vickerman, Keith&lt;/author&gt;&lt;/authors&gt;&lt;/contributors&gt;&lt;titles&gt;&lt;title&gt;&lt;style face="normal" font="default" size="100%"&gt;Presence of apicomplexan-type micropores in a parasitic dinoflagellate, &lt;/style&gt;&lt;style face="italic" font="default" size="100%"&gt;Hematodinium&lt;/style&gt;&lt;style face="normal" font="default" size="100%"&gt; sp&lt;/style&gt;&lt;/title&gt;&lt;secondary-title&gt;Parasitology Research&lt;/secondary-title&gt;&lt;/titles&gt;&lt;periodical&gt;&lt;full-title&gt;Parasitology Research&lt;/full-title&gt;&lt;/periodical&gt;&lt;pages&gt;279-282&lt;/pages&gt;&lt;volume&gt;82&lt;/volume&gt;&lt;number&gt;3&lt;/number&gt;&lt;dates&gt;&lt;year&gt;1996&lt;/year&gt;&lt;pub-dates&gt;&lt;date&gt;1996/2//&lt;/date&gt;&lt;/pub-dates&gt;&lt;/dates&gt;&lt;urls&gt;&lt;related-urls&gt;&lt;url&gt;http://link.springer.com/10.1007/s004360050113&lt;/url&gt;&lt;url&gt;https://link.springer.com/article/10.1007/s004360050113&lt;/url&gt;&lt;/related-urls&gt;&lt;/urls&gt;&lt;electronic-resource-num&gt;10.1007/s004360050113&lt;/electronic-resource-num&gt;&lt;/record&gt;&lt;/Cite&gt;&lt;/EndNote&gt;</w:instrText>
        </w:r>
        <w:r w:rsidRPr="009819CE">
          <w:rPr>
            <w:rFonts w:cstheme="minorBidi"/>
          </w:rPr>
          <w:fldChar w:fldCharType="separate"/>
        </w:r>
        <w:r w:rsidRPr="009819CE">
          <w:rPr>
            <w:rFonts w:cstheme="minorBidi"/>
          </w:rPr>
          <w:t>Appleton and Vickerman (1996)</w:t>
        </w:r>
        <w:r w:rsidRPr="009819CE">
          <w:rPr>
            <w:rFonts w:cstheme="minorBidi"/>
          </w:rPr>
          <w:fldChar w:fldCharType="end"/>
        </w:r>
      </w:hyperlink>
      <w:r w:rsidR="004A33DC" w:rsidRPr="009819CE">
        <w:rPr>
          <w:rFonts w:cstheme="minorBidi"/>
        </w:rPr>
        <w:t xml:space="preserve"> proposed different roles for the two spore phenotypes, suggesting that microspores are more immediately infective and have a greater </w:t>
      </w:r>
      <w:r w:rsidR="005112ED" w:rsidRPr="009819CE">
        <w:rPr>
          <w:rFonts w:cstheme="minorBidi"/>
        </w:rPr>
        <w:t>dispersion capability</w:t>
      </w:r>
      <w:r w:rsidR="004A33DC" w:rsidRPr="009819CE">
        <w:rPr>
          <w:rFonts w:cstheme="minorBidi"/>
        </w:rPr>
        <w:t xml:space="preserve"> due to their faster swimming speed. In contrast, macrospores serve as resting stages in the sediment, which constitutes the habitat of </w:t>
      </w:r>
      <w:r w:rsidR="00C31E47" w:rsidRPr="009819CE">
        <w:rPr>
          <w:rFonts w:cstheme="minorBidi"/>
          <w:i/>
          <w:iCs/>
        </w:rPr>
        <w:t>Nephrops</w:t>
      </w:r>
      <w:r w:rsidR="004A33DC" w:rsidRPr="009819CE">
        <w:rPr>
          <w:rFonts w:cstheme="minorBidi"/>
        </w:rPr>
        <w:t xml:space="preserve">. The factors responsible for determining the production of specific spore phenotypes are still uncertain. However, it has been observed that macrospores are the prevailing phenotype in </w:t>
      </w:r>
      <w:r w:rsidR="00C31E47" w:rsidRPr="009819CE">
        <w:rPr>
          <w:rFonts w:cstheme="minorBidi"/>
          <w:i/>
          <w:iCs/>
        </w:rPr>
        <w:t>Nephrops</w:t>
      </w:r>
      <w:r w:rsidR="004A33DC" w:rsidRPr="009819CE">
        <w:rPr>
          <w:rFonts w:cstheme="minorBidi"/>
        </w:rPr>
        <w:t xml:space="preserve">, whereas microspores are more frequently found in </w:t>
      </w:r>
      <w:r w:rsidR="00BF4313" w:rsidRPr="00FA7D47">
        <w:rPr>
          <w:rFonts w:cstheme="minorBidi"/>
        </w:rPr>
        <w:t>t</w:t>
      </w:r>
      <w:r w:rsidR="000609F8" w:rsidRPr="009819CE">
        <w:rPr>
          <w:rFonts w:cstheme="minorBidi"/>
        </w:rPr>
        <w:t>anner crab (</w:t>
      </w:r>
      <w:r w:rsidR="004A33DC" w:rsidRPr="009819CE">
        <w:rPr>
          <w:rFonts w:cstheme="minorBidi"/>
          <w:i/>
          <w:iCs/>
        </w:rPr>
        <w:t>Chionoecetes bairdi</w:t>
      </w:r>
      <w:r w:rsidR="000609F8" w:rsidRPr="009819CE">
        <w:rPr>
          <w:rFonts w:cstheme="minorBidi"/>
        </w:rPr>
        <w:t xml:space="preserve">) </w:t>
      </w:r>
      <w:r w:rsidR="004A33DC" w:rsidRPr="009819CE">
        <w:rPr>
          <w:rFonts w:cstheme="minorBidi"/>
        </w:rPr>
        <w:fldChar w:fldCharType="begin"/>
      </w:r>
      <w:r w:rsidR="00EE7FB9">
        <w:rPr>
          <w:rFonts w:cstheme="minorBidi"/>
        </w:rPr>
        <w:instrText xml:space="preserve"> ADDIN EN.CITE &lt;EndNote&gt;&lt;Cite&gt;&lt;Author&gt;Love&lt;/Author&gt;&lt;Year&gt;1993&lt;/Year&gt;&lt;RecNum&gt;356&lt;/RecNum&gt;&lt;DisplayText&gt;(Love et al., 1993)&lt;/DisplayText&gt;&lt;record&gt;&lt;rec-number&gt;356&lt;/rec-number&gt;&lt;foreign-keys&gt;&lt;key app="EN" db-id="sd9wrx9fj09rx3erprsx999o0r5aprvp2zse" timestamp="1687855901" guid="b69a862a-935e-40aa-860f-2dd966db52b8"&gt;356&lt;/key&gt;&lt;/foreign-keys&gt;&lt;ref-type name="Journal Article"&gt;17&lt;/ref-type&gt;&lt;contributors&gt;&lt;authors&gt;&lt;author&gt;Love, D. C.&lt;/author&gt;&lt;author&gt;Rice, S. D.&lt;/author&gt;&lt;author&gt;Moles, D. A.&lt;/author&gt;&lt;author&gt;Eaton, W. D.&lt;/author&gt;&lt;/authors&gt;&lt;/contributors&gt;&lt;titles&gt;&lt;title&gt;&lt;style face="normal" font="default" size="100%"&gt;Seasonal prevalence and intensity of bitter crab dinoflagellate infection and host mortality in Alaskan tanner crabs&lt;/style&gt;&lt;style face="italic" font="default" size="100%"&gt; Chionoeceles bairdi &lt;/style&gt;&lt;style face="normal" font="default" size="100%"&gt;from Auke bay, Alaska, USA&lt;/style&gt;&lt;/title&gt;&lt;secondary-title&gt;Diseases of Aquatic Organisms&lt;/secondary-title&gt;&lt;/titles&gt;&lt;periodical&gt;&lt;full-title&gt;Diseases of Aquatic Organisms&lt;/full-title&gt;&lt;/periodical&gt;&lt;pages&gt;1-7&lt;/pages&gt;&lt;volume&gt;15&lt;/volume&gt;&lt;dates&gt;&lt;year&gt;1993&lt;/year&gt;&lt;/dates&gt;&lt;urls&gt;&lt;related-urls&gt;&lt;url&gt;http://www.int-res.com/articles/dao/15/d015p001.pdf&lt;/url&gt;&lt;/related-urls&gt;&lt;/urls&gt;&lt;electronic-resource-num&gt;10.3354/dao015001&lt;/electronic-resource-num&gt;&lt;/record&gt;&lt;/Cite&gt;&lt;/EndNote&gt;</w:instrText>
      </w:r>
      <w:r w:rsidR="004A33DC" w:rsidRPr="009819CE">
        <w:rPr>
          <w:rFonts w:cstheme="minorBidi"/>
        </w:rPr>
        <w:fldChar w:fldCharType="separate"/>
      </w:r>
      <w:r w:rsidR="00D50EFF" w:rsidRPr="00EE7FB9">
        <w:rPr>
          <w:rFonts w:cstheme="minorBidi"/>
          <w:noProof/>
        </w:rPr>
        <w:t>(</w:t>
      </w:r>
      <w:hyperlink w:anchor="_ENREF_200" w:tooltip="Love, 1993 #356" w:history="1">
        <w:r w:rsidRPr="00EE7FB9">
          <w:rPr>
            <w:rFonts w:cstheme="minorBidi"/>
            <w:noProof/>
          </w:rPr>
          <w:t>Love et al., 1993</w:t>
        </w:r>
      </w:hyperlink>
      <w:r w:rsidR="00D50EFF" w:rsidRPr="00EE7FB9">
        <w:rPr>
          <w:rFonts w:cstheme="minorBidi"/>
          <w:noProof/>
        </w:rPr>
        <w:t>)</w:t>
      </w:r>
      <w:r w:rsidR="004A33DC" w:rsidRPr="009819CE">
        <w:rPr>
          <w:rFonts w:cstheme="minorBidi"/>
        </w:rPr>
        <w:fldChar w:fldCharType="end"/>
      </w:r>
      <w:r w:rsidR="004A33DC" w:rsidRPr="009819CE">
        <w:rPr>
          <w:rFonts w:cstheme="minorBidi"/>
          <w:color w:val="000000"/>
        </w:rPr>
        <w:t>.</w:t>
      </w:r>
      <w:r w:rsidR="004A33DC" w:rsidRPr="009819CE">
        <w:rPr>
          <w:rFonts w:cstheme="minorBidi"/>
        </w:rPr>
        <w:t xml:space="preserve"> </w:t>
      </w:r>
      <w:r w:rsidR="004A33DC" w:rsidRPr="009819CE">
        <w:rPr>
          <w:rFonts w:cstheme="minorBidi"/>
        </w:rPr>
        <w:fldChar w:fldCharType="begin"/>
      </w:r>
      <w:r w:rsidR="004A33DC" w:rsidRPr="009819CE">
        <w:rPr>
          <w:rFonts w:cstheme="minorBidi"/>
        </w:rPr>
        <w:instrText xml:space="preserve"> REF _Ref138439164 \h  \* MERGEFORMAT </w:instrText>
      </w:r>
      <w:r w:rsidR="004A33DC" w:rsidRPr="009819CE">
        <w:rPr>
          <w:rFonts w:cstheme="minorBidi"/>
        </w:rPr>
      </w:r>
      <w:r w:rsidR="004A33DC" w:rsidRPr="009819CE">
        <w:rPr>
          <w:rFonts w:cstheme="minorBidi"/>
        </w:rPr>
        <w:fldChar w:fldCharType="separate"/>
      </w:r>
      <w:r w:rsidR="008549FC" w:rsidRPr="008549FC">
        <w:rPr>
          <w:rFonts w:cstheme="minorBidi"/>
          <w:b/>
        </w:rPr>
        <w:t>Figure 1.10</w:t>
      </w:r>
      <w:r w:rsidR="004A33DC" w:rsidRPr="009819CE">
        <w:rPr>
          <w:rFonts w:cstheme="minorBidi"/>
        </w:rPr>
        <w:fldChar w:fldCharType="end"/>
      </w:r>
      <w:r w:rsidR="004A33DC" w:rsidRPr="009819CE">
        <w:rPr>
          <w:rFonts w:cstheme="minorBidi"/>
        </w:rPr>
        <w:t xml:space="preserve"> illustrates microspores and macrospores produced </w:t>
      </w:r>
      <w:r w:rsidR="004A33DC" w:rsidRPr="009819CE">
        <w:rPr>
          <w:rFonts w:cstheme="minorBidi"/>
          <w:i/>
          <w:iCs/>
        </w:rPr>
        <w:t>in vitro</w:t>
      </w:r>
      <w:r w:rsidR="004A33DC" w:rsidRPr="009819CE">
        <w:rPr>
          <w:rFonts w:cstheme="minorBidi"/>
        </w:rPr>
        <w:t xml:space="preserve"> </w:t>
      </w:r>
      <w:r w:rsidR="004A33DC"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4A33DC" w:rsidRPr="009819CE">
        <w:rPr>
          <w:rFonts w:cstheme="minorBidi"/>
        </w:rPr>
        <w:fldChar w:fldCharType="separate"/>
      </w:r>
      <w:r w:rsidR="00A8698B" w:rsidRPr="009819CE">
        <w:rPr>
          <w:rFonts w:cstheme="minorBidi"/>
        </w:rPr>
        <w:t>(</w:t>
      </w:r>
      <w:hyperlink w:anchor="_ENREF_18" w:tooltip="Appleton, 1998 #373" w:history="1">
        <w:r w:rsidRPr="009819CE">
          <w:rPr>
            <w:rFonts w:cstheme="minorBidi"/>
          </w:rPr>
          <w:t>Appleton and Vickerman, 1998</w:t>
        </w:r>
      </w:hyperlink>
      <w:r w:rsidR="00A8698B" w:rsidRPr="009819CE">
        <w:rPr>
          <w:rFonts w:cstheme="minorBidi"/>
        </w:rPr>
        <w:t>)</w:t>
      </w:r>
      <w:r w:rsidR="004A33DC" w:rsidRPr="009819CE">
        <w:rPr>
          <w:rFonts w:cstheme="minorBidi"/>
        </w:rPr>
        <w:fldChar w:fldCharType="end"/>
      </w:r>
      <w:r w:rsidR="004A33DC" w:rsidRPr="009819CE">
        <w:rPr>
          <w:rFonts w:cstheme="minorBidi"/>
        </w:rPr>
        <w:t xml:space="preserve">, and </w:t>
      </w:r>
      <w:r w:rsidR="004A33DC" w:rsidRPr="009819CE">
        <w:rPr>
          <w:rFonts w:cstheme="minorBidi"/>
        </w:rPr>
        <w:fldChar w:fldCharType="begin"/>
      </w:r>
      <w:r w:rsidR="004A33DC" w:rsidRPr="009819CE">
        <w:rPr>
          <w:rFonts w:cstheme="minorBidi"/>
        </w:rPr>
        <w:instrText xml:space="preserve"> REF _Ref138668365 \h  \* MERGEFORMAT </w:instrText>
      </w:r>
      <w:r w:rsidR="004A33DC" w:rsidRPr="009819CE">
        <w:rPr>
          <w:rFonts w:cstheme="minorBidi"/>
        </w:rPr>
      </w:r>
      <w:r w:rsidR="004A33DC" w:rsidRPr="009819CE">
        <w:rPr>
          <w:rFonts w:cstheme="minorBidi"/>
        </w:rPr>
        <w:fldChar w:fldCharType="separate"/>
      </w:r>
      <w:r w:rsidR="008549FC" w:rsidRPr="008549FC">
        <w:rPr>
          <w:rFonts w:cstheme="minorBidi"/>
          <w:b/>
        </w:rPr>
        <w:t>Figure 1.11</w:t>
      </w:r>
      <w:r w:rsidR="004A33DC" w:rsidRPr="009819CE">
        <w:rPr>
          <w:rFonts w:cstheme="minorBidi"/>
        </w:rPr>
        <w:fldChar w:fldCharType="end"/>
      </w:r>
      <w:r w:rsidR="004A33DC" w:rsidRPr="009819CE">
        <w:rPr>
          <w:rFonts w:cstheme="minorBidi"/>
        </w:rPr>
        <w:t xml:space="preserve"> shows naturally sporulated macrospores and microspores </w:t>
      </w:r>
      <w:r w:rsidR="004A33DC" w:rsidRPr="009819CE">
        <w:rPr>
          <w:rFonts w:cstheme="minorBidi"/>
          <w:i/>
          <w:iCs/>
        </w:rPr>
        <w:t>in vivo</w:t>
      </w:r>
      <w:r w:rsidR="004A33DC" w:rsidRPr="009819CE">
        <w:rPr>
          <w:rFonts w:cstheme="minorBidi"/>
        </w:rPr>
        <w:t xml:space="preserve"> </w:t>
      </w:r>
      <w:r w:rsidR="004A33DC" w:rsidRPr="009819CE">
        <w:rPr>
          <w:rFonts w:cstheme="minorBidi"/>
        </w:rPr>
        <w:fldChar w:fldCharType="begin"/>
      </w:r>
      <w:r w:rsidR="00CE4372" w:rsidRPr="009819CE">
        <w:rPr>
          <w:rFonts w:cstheme="minorBidi"/>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004A33DC" w:rsidRPr="009819CE">
        <w:rPr>
          <w:rFonts w:cstheme="minorBidi"/>
        </w:rPr>
        <w:fldChar w:fldCharType="separate"/>
      </w:r>
      <w:r w:rsidR="00A8698B" w:rsidRPr="001F4A34">
        <w:rPr>
          <w:rFonts w:cstheme="minorBidi"/>
        </w:rPr>
        <w:t>(</w:t>
      </w:r>
      <w:hyperlink w:anchor="_ENREF_28" w:tooltip="Beevers, 2010 #247" w:history="1">
        <w:r w:rsidRPr="001F4A34">
          <w:rPr>
            <w:rFonts w:cstheme="minorBidi"/>
          </w:rPr>
          <w:t>Beevers, 2010</w:t>
        </w:r>
      </w:hyperlink>
      <w:r w:rsidR="00A8698B" w:rsidRPr="001F4A34">
        <w:rPr>
          <w:rFonts w:cstheme="minorBidi"/>
        </w:rPr>
        <w:t>)</w:t>
      </w:r>
      <w:r w:rsidR="004A33DC" w:rsidRPr="009819CE">
        <w:rPr>
          <w:rFonts w:cstheme="minorBidi"/>
        </w:rPr>
        <w:fldChar w:fldCharType="end"/>
      </w:r>
      <w:r w:rsidR="004A33DC" w:rsidRPr="009819CE">
        <w:rPr>
          <w:rFonts w:cstheme="minorBidi"/>
        </w:rPr>
        <w:t>.</w:t>
      </w:r>
    </w:p>
    <w:p w14:paraId="29058134" w14:textId="77777777" w:rsidR="001B0CD2" w:rsidRPr="009819CE" w:rsidRDefault="001B0CD2" w:rsidP="004A33DC">
      <w:pPr>
        <w:spacing w:before="0" w:after="0"/>
        <w:rPr>
          <w:rFonts w:cstheme="minorBidi"/>
        </w:rPr>
      </w:pPr>
    </w:p>
    <w:p w14:paraId="1E920F86" w14:textId="77777777" w:rsidR="001B0CD2" w:rsidRPr="009819CE" w:rsidRDefault="001B0CD2" w:rsidP="004A33DC">
      <w:pPr>
        <w:spacing w:before="0" w:after="0"/>
        <w:rPr>
          <w:rFonts w:cstheme="minorBidi"/>
        </w:rPr>
        <w:sectPr w:rsidR="001B0CD2" w:rsidRPr="009819CE" w:rsidSect="001B0CD2">
          <w:pgSz w:w="11906" w:h="16838" w:code="9"/>
          <w:pgMar w:top="1440" w:right="1440" w:bottom="1440" w:left="1440" w:header="709" w:footer="709" w:gutter="0"/>
          <w:cols w:space="518"/>
          <w:docGrid w:linePitch="360"/>
        </w:sect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773A2" w:rsidRPr="00FA7D47" w14:paraId="3288F4DD" w14:textId="77777777" w:rsidTr="007D6607">
        <w:tc>
          <w:tcPr>
            <w:tcW w:w="5000" w:type="pct"/>
            <w:hideMark/>
          </w:tcPr>
          <w:p w14:paraId="01FF19AF" w14:textId="77777777" w:rsidR="002773A2" w:rsidRPr="009819CE" w:rsidRDefault="002773A2" w:rsidP="001C2AAA">
            <w:pPr>
              <w:spacing w:before="0" w:after="0"/>
              <w:jc w:val="center"/>
              <w:rPr>
                <w:rFonts w:eastAsia="Calibri" w:cstheme="minorBidi"/>
                <w:iCs/>
                <w:color w:val="000000"/>
                <w:lang w:val="en-GB"/>
                <w14:ligatures w14:val="none"/>
              </w:rPr>
            </w:pPr>
            <w:r w:rsidRPr="00FF34FE">
              <w:rPr>
                <w:rFonts w:eastAsia="Calibri" w:cstheme="minorBidi"/>
                <w:iCs/>
                <w:noProof/>
                <w:color w:val="000000"/>
              </w:rPr>
              <w:drawing>
                <wp:inline distT="0" distB="0" distL="0" distR="0" wp14:anchorId="3877DD0D" wp14:editId="7C4CC72D">
                  <wp:extent cx="3085489" cy="2830408"/>
                  <wp:effectExtent l="0" t="0" r="635" b="8255"/>
                  <wp:docPr id="1993081020" name="Picture 1993081020" descr="A close-up of a microsco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up of a microscope&#10;&#10;Description automatically generated with low confidenc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90640" cy="2835133"/>
                          </a:xfrm>
                          <a:prstGeom prst="rect">
                            <a:avLst/>
                          </a:prstGeom>
                          <a:noFill/>
                          <a:ln>
                            <a:noFill/>
                          </a:ln>
                        </pic:spPr>
                      </pic:pic>
                    </a:graphicData>
                  </a:graphic>
                </wp:inline>
              </w:drawing>
            </w:r>
          </w:p>
        </w:tc>
      </w:tr>
      <w:tr w:rsidR="002773A2" w:rsidRPr="00FA7D47" w14:paraId="22350C54" w14:textId="77777777" w:rsidTr="007D6607">
        <w:tc>
          <w:tcPr>
            <w:tcW w:w="5000" w:type="pct"/>
            <w:hideMark/>
          </w:tcPr>
          <w:p w14:paraId="4B269528" w14:textId="2EA932A6" w:rsidR="002773A2" w:rsidRPr="009819CE" w:rsidRDefault="002773A2" w:rsidP="00166580">
            <w:pPr>
              <w:spacing w:before="0" w:after="0" w:line="240" w:lineRule="auto"/>
              <w:rPr>
                <w:rFonts w:eastAsia="Calibri" w:cstheme="minorBidi"/>
                <w:iCs/>
                <w:color w:val="000000"/>
                <w:sz w:val="22"/>
                <w:szCs w:val="22"/>
                <w:shd w:val="clear" w:color="auto" w:fill="FFFFFF"/>
                <w:lang w:val="en-GB"/>
                <w14:ligatures w14:val="none"/>
              </w:rPr>
            </w:pPr>
            <w:bookmarkStart w:id="108" w:name="_Ref138439164"/>
            <w:bookmarkStart w:id="109" w:name="_Toc140068614"/>
            <w:bookmarkStart w:id="110" w:name="_Toc204106700"/>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10</w:t>
            </w:r>
            <w:r w:rsidRPr="001F4A34">
              <w:rPr>
                <w:rFonts w:eastAsia="Calibri" w:cstheme="minorBidi"/>
                <w:iCs/>
                <w:color w:val="000000"/>
                <w:sz w:val="22"/>
                <w:szCs w:val="22"/>
              </w:rPr>
              <w:fldChar w:fldCharType="end"/>
            </w:r>
            <w:bookmarkEnd w:id="108"/>
            <w:r w:rsidRPr="009819CE">
              <w:rPr>
                <w:rFonts w:eastAsia="Calibri" w:cstheme="minorBidi"/>
                <w:iCs/>
                <w:color w:val="000000"/>
                <w:sz w:val="22"/>
                <w:szCs w:val="22"/>
                <w:lang w:val="en-GB"/>
                <w14:ligatures w14:val="none"/>
              </w:rPr>
              <w:t xml:space="preserve"> Mature (4-day-old) </w:t>
            </w:r>
            <w:r w:rsidR="00DB2B65" w:rsidRPr="009819CE">
              <w:rPr>
                <w:rFonts w:eastAsia="Calibri" w:cstheme="minorBidi"/>
                <w:iCs/>
                <w:color w:val="000000"/>
                <w:sz w:val="22"/>
                <w:szCs w:val="22"/>
                <w:lang w:val="en-GB"/>
                <w14:ligatures w14:val="none"/>
              </w:rPr>
              <w:t xml:space="preserve">dinospores </w:t>
            </w:r>
            <w:r w:rsidRPr="009819CE">
              <w:rPr>
                <w:rFonts w:eastAsia="Calibri" w:cstheme="minorBidi"/>
                <w:iCs/>
                <w:color w:val="000000"/>
                <w:sz w:val="22"/>
                <w:szCs w:val="22"/>
                <w:lang w:val="en-GB"/>
                <w14:ligatures w14:val="none"/>
              </w:rPr>
              <w:t xml:space="preserve">from </w:t>
            </w:r>
            <w:r w:rsidR="00DB2B65" w:rsidRPr="009819CE">
              <w:rPr>
                <w:rFonts w:eastAsia="Calibri" w:cstheme="minorBidi"/>
                <w:iCs/>
                <w:color w:val="000000"/>
                <w:sz w:val="22"/>
                <w:szCs w:val="22"/>
                <w:lang w:val="en-GB"/>
                <w14:ligatures w14:val="none"/>
              </w:rPr>
              <w:t xml:space="preserve">primary </w:t>
            </w:r>
            <w:r w:rsidR="00DB2B65" w:rsidRPr="009819CE">
              <w:rPr>
                <w:rFonts w:eastAsia="Calibri" w:cstheme="minorBidi"/>
                <w:i/>
                <w:color w:val="000000"/>
                <w:sz w:val="22"/>
                <w:szCs w:val="22"/>
              </w:rPr>
              <w:t>in vitro</w:t>
            </w:r>
            <w:r w:rsidR="00DB2B65" w:rsidRPr="009819CE">
              <w:rPr>
                <w:rFonts w:eastAsia="Calibri" w:cstheme="minorBidi"/>
                <w:iCs/>
                <w:color w:val="000000"/>
                <w:sz w:val="22"/>
                <w:szCs w:val="22"/>
                <w:lang w:val="en-GB"/>
                <w14:ligatures w14:val="none"/>
              </w:rPr>
              <w:t xml:space="preserve"> c</w:t>
            </w:r>
            <w:r w:rsidRPr="009819CE">
              <w:rPr>
                <w:rFonts w:eastAsia="Calibri" w:cstheme="minorBidi"/>
                <w:iCs/>
                <w:color w:val="000000"/>
                <w:sz w:val="22"/>
                <w:szCs w:val="22"/>
                <w:lang w:val="en-GB"/>
                <w14:ligatures w14:val="none"/>
              </w:rPr>
              <w:t xml:space="preserve">ultures: Ultrastructural Insights. (A and B) Transmission Electron Microscopy Longitudinal Sections. (A) Macrospore: Notice the transverse flagellum base (tf), distanced from the condensed chromosome-bearing nucleus (n). Abundant cytoplasmic components include lipid droplets (l), peripheral vacuoles (v), and trichocysts (tr). (B) Microspore: The nucleus is entirely filled with condensed chromosomes (chr), with corrugation on the dinospore surface due to swollen alveoli (al). The refractile body (rb) within the posterior vacuole is not distinctly visible. (C) Enhanced Visualization: Refractile body (rb) </w:t>
            </w:r>
            <w:r w:rsidR="00F3029B" w:rsidRPr="00FA7D47">
              <w:rPr>
                <w:rFonts w:eastAsia="Calibri" w:cstheme="minorBidi"/>
                <w:iCs/>
                <w:color w:val="000000"/>
                <w:sz w:val="22"/>
                <w:szCs w:val="22"/>
                <w:lang w:val="en-GB"/>
                <w14:ligatures w14:val="none"/>
              </w:rPr>
              <w:t>a cytoplasmic inclusion</w:t>
            </w:r>
            <w:r w:rsidR="00F3029B" w:rsidRPr="009819CE">
              <w:rPr>
                <w:iCs/>
                <w:color w:val="000000"/>
                <w:sz w:val="22"/>
                <w:szCs w:val="22"/>
              </w:rPr>
              <w:t xml:space="preserve"> </w:t>
            </w:r>
            <w:r w:rsidRPr="009819CE">
              <w:rPr>
                <w:rFonts w:eastAsia="Calibri" w:cstheme="minorBidi"/>
                <w:iCs/>
                <w:color w:val="000000"/>
                <w:sz w:val="22"/>
                <w:szCs w:val="22"/>
                <w:lang w:val="en-GB"/>
                <w14:ligatures w14:val="none"/>
              </w:rPr>
              <w:t xml:space="preserve">clearly discernible in this light micrograph of a glutaraldehyde-fixed microspore, 3 weeks after sporogenesis. Differential Interference Contrast. Source: </w:t>
            </w:r>
            <w:hyperlink w:anchor="_ENREF_18" w:tooltip="Appleton, 1998 #373" w:history="1">
              <w:r w:rsidR="00950097" w:rsidRPr="001F4A34">
                <w:rPr>
                  <w:rFonts w:eastAsia="Calibri" w:cstheme="minorBidi"/>
                  <w:iCs/>
                  <w:color w:val="000000"/>
                  <w:sz w:val="22"/>
                  <w:szCs w:val="22"/>
                </w:rPr>
                <w:fldChar w:fldCharType="begin"/>
              </w:r>
              <w:r w:rsidR="00950097" w:rsidRPr="009819CE">
                <w:rPr>
                  <w:rFonts w:eastAsia="Calibri" w:cstheme="minorBidi"/>
                  <w:iCs/>
                  <w:color w:val="000000"/>
                  <w:sz w:val="22"/>
                  <w:szCs w:val="22"/>
                  <w:lang w:val="en-GB"/>
                  <w14:ligatures w14:val="none"/>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1F4A34">
                <w:rPr>
                  <w:rFonts w:eastAsia="Calibri" w:cstheme="minorBidi"/>
                  <w:iCs/>
                  <w:color w:val="000000"/>
                  <w:sz w:val="22"/>
                  <w:szCs w:val="22"/>
                </w:rPr>
                <w:fldChar w:fldCharType="separate"/>
              </w:r>
              <w:r w:rsidR="00950097" w:rsidRPr="009819CE">
                <w:rPr>
                  <w:rFonts w:eastAsia="Calibri" w:cstheme="minorBidi"/>
                  <w:iCs/>
                  <w:color w:val="000000"/>
                  <w:sz w:val="22"/>
                  <w:szCs w:val="22"/>
                  <w:lang w:val="en-GB"/>
                  <w14:ligatures w14:val="none"/>
                </w:rPr>
                <w:t>Appleton and Vickerman (1998)</w:t>
              </w:r>
              <w:r w:rsidR="00950097" w:rsidRPr="001F4A34">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109"/>
            <w:bookmarkEnd w:id="110"/>
          </w:p>
        </w:tc>
      </w:tr>
      <w:tr w:rsidR="001C2AAA" w:rsidRPr="00FA7D47" w14:paraId="51A46792" w14:textId="77777777" w:rsidTr="007D6607">
        <w:tc>
          <w:tcPr>
            <w:tcW w:w="5000" w:type="pct"/>
          </w:tcPr>
          <w:p w14:paraId="6DFB02B9" w14:textId="77777777" w:rsidR="001C2AAA" w:rsidRPr="001F4A34" w:rsidRDefault="001C2AAA" w:rsidP="007D6607">
            <w:pPr>
              <w:spacing w:before="0" w:after="0" w:line="240" w:lineRule="auto"/>
              <w:rPr>
                <w:rFonts w:eastAsia="Calibri" w:cstheme="minorBidi"/>
                <w:b/>
                <w:iCs/>
                <w:color w:val="000000"/>
                <w:sz w:val="22"/>
                <w:szCs w:val="22"/>
                <w:lang w:val="en-GB"/>
              </w:rPr>
            </w:pPr>
          </w:p>
        </w:tc>
      </w:tr>
      <w:tr w:rsidR="002773A2" w:rsidRPr="00FA7D47" w14:paraId="31FF21CD" w14:textId="77777777" w:rsidTr="007D6607">
        <w:tc>
          <w:tcPr>
            <w:tcW w:w="5000" w:type="pct"/>
            <w:hideMark/>
          </w:tcPr>
          <w:p w14:paraId="6826C276" w14:textId="77777777" w:rsidR="002773A2" w:rsidRPr="009819CE" w:rsidRDefault="002773A2" w:rsidP="007D6607">
            <w:pPr>
              <w:spacing w:before="0" w:after="0"/>
              <w:rPr>
                <w:rFonts w:eastAsia="Calibri" w:cstheme="minorBidi"/>
                <w:b/>
                <w:iCs/>
                <w:color w:val="000000"/>
                <w:lang w:val="en-GB"/>
                <w14:ligatures w14:val="none"/>
              </w:rPr>
            </w:pPr>
            <w:r w:rsidRPr="00FF34FE">
              <w:rPr>
                <w:rFonts w:cstheme="minorBidi"/>
                <w:noProof/>
              </w:rPr>
              <mc:AlternateContent>
                <mc:Choice Requires="wps">
                  <w:drawing>
                    <wp:anchor distT="45720" distB="45720" distL="114300" distR="114300" simplePos="0" relativeHeight="251669504" behindDoc="0" locked="0" layoutInCell="1" allowOverlap="1" wp14:anchorId="59214635" wp14:editId="6C8F4647">
                      <wp:simplePos x="0" y="0"/>
                      <wp:positionH relativeFrom="column">
                        <wp:posOffset>2880995</wp:posOffset>
                      </wp:positionH>
                      <wp:positionV relativeFrom="paragraph">
                        <wp:posOffset>-47625</wp:posOffset>
                      </wp:positionV>
                      <wp:extent cx="358140" cy="347345"/>
                      <wp:effectExtent l="0" t="0" r="0" b="0"/>
                      <wp:wrapNone/>
                      <wp:docPr id="445931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47345"/>
                              </a:xfrm>
                              <a:prstGeom prst="rect">
                                <a:avLst/>
                              </a:prstGeom>
                              <a:noFill/>
                              <a:ln w="9525">
                                <a:noFill/>
                                <a:miter lim="800000"/>
                                <a:headEnd/>
                                <a:tailEnd/>
                              </a:ln>
                            </wps:spPr>
                            <wps:txbx>
                              <w:txbxContent>
                                <w:p w14:paraId="69AE1FD6" w14:textId="77777777" w:rsidR="002773A2" w:rsidRPr="009819CE" w:rsidRDefault="002773A2" w:rsidP="002773A2">
                                  <w:pPr>
                                    <w:rPr>
                                      <w:b/>
                                      <w:bCs/>
                                    </w:rPr>
                                  </w:pPr>
                                  <w:r w:rsidRPr="009819CE">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214635" id="_x0000_t202" coordsize="21600,21600" o:spt="202" path="m,l,21600r21600,l21600,xe">
                      <v:stroke joinstyle="miter"/>
                      <v:path gradientshapeok="t" o:connecttype="rect"/>
                    </v:shapetype>
                    <v:shape id="Text Box 2" o:spid="_x0000_s1026" type="#_x0000_t202" style="position:absolute;left:0;text-align:left;margin-left:226.85pt;margin-top:-3.75pt;width:28.2pt;height:27.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" filled="f" stroked="f">
                      <v:textbox>
                        <w:txbxContent>
                          <w:p w14:paraId="69AE1FD6" w14:textId="77777777" w:rsidR="002773A2" w:rsidRPr="009819CE" w:rsidRDefault="002773A2" w:rsidP="002773A2">
                            <w:pPr>
                              <w:rPr>
                                <w:b/>
                                <w:bCs/>
                              </w:rPr>
                            </w:pPr>
                            <w:r w:rsidRPr="009819CE">
                              <w:rPr>
                                <w:b/>
                                <w:bCs/>
                              </w:rPr>
                              <w:t>B</w:t>
                            </w:r>
                          </w:p>
                        </w:txbxContent>
                      </v:textbox>
                    </v:shape>
                  </w:pict>
                </mc:Fallback>
              </mc:AlternateContent>
            </w:r>
            <w:r w:rsidRPr="00FF34FE">
              <w:rPr>
                <w:rFonts w:cstheme="minorBidi"/>
                <w:noProof/>
              </w:rPr>
              <mc:AlternateContent>
                <mc:Choice Requires="wps">
                  <w:drawing>
                    <wp:anchor distT="45720" distB="45720" distL="114300" distR="114300" simplePos="0" relativeHeight="251626496" behindDoc="0" locked="0" layoutInCell="1" allowOverlap="1" wp14:anchorId="4F8808A1" wp14:editId="30BFE5A0">
                      <wp:simplePos x="0" y="0"/>
                      <wp:positionH relativeFrom="column">
                        <wp:posOffset>-73025</wp:posOffset>
                      </wp:positionH>
                      <wp:positionV relativeFrom="paragraph">
                        <wp:posOffset>47625</wp:posOffset>
                      </wp:positionV>
                      <wp:extent cx="358140" cy="347345"/>
                      <wp:effectExtent l="0" t="0" r="0" b="0"/>
                      <wp:wrapNone/>
                      <wp:docPr id="133103497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47345"/>
                              </a:xfrm>
                              <a:prstGeom prst="rect">
                                <a:avLst/>
                              </a:prstGeom>
                              <a:noFill/>
                              <a:ln w="9525">
                                <a:noFill/>
                                <a:miter lim="800000"/>
                                <a:headEnd/>
                                <a:tailEnd/>
                              </a:ln>
                            </wps:spPr>
                            <wps:txbx>
                              <w:txbxContent>
                                <w:p w14:paraId="580845CF" w14:textId="77777777" w:rsidR="002773A2" w:rsidRPr="009819CE" w:rsidRDefault="002773A2" w:rsidP="002773A2">
                                  <w:pPr>
                                    <w:rPr>
                                      <w:b/>
                                      <w:bCs/>
                                    </w:rPr>
                                  </w:pPr>
                                  <w:r w:rsidRPr="009819CE">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808A1" id="Text Box 1" o:spid="_x0000_s1027" type="#_x0000_t202" style="position:absolute;left:0;text-align:left;margin-left:-5.75pt;margin-top:3.75pt;width:28.2pt;height:27.35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" filled="f" stroked="f">
                      <v:textbox>
                        <w:txbxContent>
                          <w:p w14:paraId="580845CF" w14:textId="77777777" w:rsidR="002773A2" w:rsidRPr="009819CE" w:rsidRDefault="002773A2" w:rsidP="002773A2">
                            <w:pPr>
                              <w:rPr>
                                <w:b/>
                                <w:bCs/>
                              </w:rPr>
                            </w:pPr>
                            <w:r w:rsidRPr="009819CE">
                              <w:rPr>
                                <w:b/>
                                <w:bCs/>
                              </w:rPr>
                              <w:t>A</w:t>
                            </w:r>
                          </w:p>
                        </w:txbxContent>
                      </v:textbox>
                    </v:shape>
                  </w:pict>
                </mc:Fallback>
              </mc:AlternateContent>
            </w:r>
            <w:r w:rsidRPr="00FF34FE">
              <w:rPr>
                <w:rFonts w:eastAsia="Calibri" w:cstheme="minorBidi"/>
                <w:iCs/>
                <w:noProof/>
                <w:color w:val="000000"/>
              </w:rPr>
              <w:drawing>
                <wp:inline distT="0" distB="0" distL="0" distR="0" wp14:anchorId="4CD8FC7F" wp14:editId="3B5B7804">
                  <wp:extent cx="2916555" cy="2303145"/>
                  <wp:effectExtent l="0" t="0" r="0" b="1905"/>
                  <wp:docPr id="632291268" name="Picture 632291268" descr="A picture containing sketch, drawing, child art,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ketch, drawing, child art, ar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16555" cy="2303145"/>
                          </a:xfrm>
                          <a:prstGeom prst="rect">
                            <a:avLst/>
                          </a:prstGeom>
                          <a:noFill/>
                          <a:ln>
                            <a:noFill/>
                          </a:ln>
                        </pic:spPr>
                      </pic:pic>
                    </a:graphicData>
                  </a:graphic>
                </wp:inline>
              </w:drawing>
            </w:r>
            <w:r w:rsidRPr="009819CE">
              <w:rPr>
                <w:rFonts w:eastAsia="Calibri" w:cstheme="minorBidi"/>
                <w:iCs/>
                <w:color w:val="000000"/>
                <w:lang w:val="en-GB"/>
                <w14:ligatures w14:val="none"/>
              </w:rPr>
              <w:t xml:space="preserve"> </w:t>
            </w:r>
            <w:r w:rsidRPr="00FF34FE">
              <w:rPr>
                <w:rFonts w:eastAsia="Calibri" w:cstheme="minorBidi"/>
                <w:iCs/>
                <w:noProof/>
                <w:color w:val="000000"/>
              </w:rPr>
              <w:drawing>
                <wp:inline distT="0" distB="0" distL="0" distR="0" wp14:anchorId="3F18102A" wp14:editId="1930E584">
                  <wp:extent cx="2326640" cy="2286000"/>
                  <wp:effectExtent l="0" t="0" r="0" b="0"/>
                  <wp:docPr id="1548586318" name="Picture 1548586318" descr="A close-up of a ce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lose-up of a cell&#10;&#10;Description automatically generated with medium confidenc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26640" cy="2286000"/>
                          </a:xfrm>
                          <a:prstGeom prst="rect">
                            <a:avLst/>
                          </a:prstGeom>
                          <a:noFill/>
                          <a:ln>
                            <a:noFill/>
                          </a:ln>
                        </pic:spPr>
                      </pic:pic>
                    </a:graphicData>
                  </a:graphic>
                </wp:inline>
              </w:drawing>
            </w:r>
          </w:p>
        </w:tc>
      </w:tr>
      <w:tr w:rsidR="002773A2" w:rsidRPr="00FA7D47" w14:paraId="2E3DF69D" w14:textId="77777777" w:rsidTr="007D6607">
        <w:tc>
          <w:tcPr>
            <w:tcW w:w="5000" w:type="pct"/>
            <w:hideMark/>
          </w:tcPr>
          <w:p w14:paraId="23C095C2" w14:textId="1C7D4925" w:rsidR="002773A2" w:rsidRPr="009819CE" w:rsidRDefault="002773A2" w:rsidP="007D6607">
            <w:pPr>
              <w:spacing w:before="0" w:after="0" w:line="240" w:lineRule="auto"/>
              <w:rPr>
                <w:rFonts w:eastAsia="Calibri" w:cstheme="minorBidi"/>
                <w:iCs/>
                <w:color w:val="000000"/>
                <w:sz w:val="22"/>
                <w:szCs w:val="22"/>
                <w:lang w:val="en-GB"/>
                <w14:ligatures w14:val="none"/>
              </w:rPr>
            </w:pPr>
            <w:bookmarkStart w:id="111" w:name="_Ref138668365"/>
            <w:bookmarkStart w:id="112" w:name="_Toc140068615"/>
            <w:bookmarkStart w:id="113" w:name="_Toc204106701"/>
            <w:r w:rsidRPr="009819CE">
              <w:rPr>
                <w:rFonts w:eastAsia="Calibri" w:cstheme="minorBidi"/>
                <w:b/>
                <w:iCs/>
                <w:color w:val="000000"/>
                <w:sz w:val="22"/>
                <w:szCs w:val="22"/>
                <w:lang w:val="en-GB"/>
                <w14:ligatures w14:val="none"/>
              </w:rPr>
              <w:t xml:space="preserve">Figure </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1F4A34">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1F4A34">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1F4A34">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11</w:t>
            </w:r>
            <w:r w:rsidRPr="001F4A34">
              <w:rPr>
                <w:rFonts w:eastAsia="Calibri" w:cstheme="minorBidi"/>
                <w:iCs/>
                <w:color w:val="000000"/>
                <w:sz w:val="22"/>
                <w:szCs w:val="22"/>
              </w:rPr>
              <w:fldChar w:fldCharType="end"/>
            </w:r>
            <w:bookmarkEnd w:id="111"/>
            <w:r w:rsidRPr="009819CE">
              <w:rPr>
                <w:rFonts w:eastAsia="Calibri" w:cstheme="minorBidi"/>
                <w:iCs/>
                <w:color w:val="000000"/>
                <w:sz w:val="22"/>
                <w:szCs w:val="22"/>
                <w:lang w:val="en-GB"/>
                <w14:ligatures w14:val="none"/>
              </w:rPr>
              <w:t xml:space="preserve"> Ultrastructural </w:t>
            </w:r>
            <w:r w:rsidR="00AF71C0" w:rsidRPr="009819CE">
              <w:rPr>
                <w:rFonts w:eastAsia="Calibri" w:cstheme="minorBidi"/>
                <w:iCs/>
                <w:color w:val="000000"/>
                <w:sz w:val="22"/>
                <w:szCs w:val="22"/>
                <w:lang w:val="en-GB"/>
                <w14:ligatures w14:val="none"/>
              </w:rPr>
              <w:t xml:space="preserve">features </w:t>
            </w:r>
            <w:r w:rsidRPr="009819CE">
              <w:rPr>
                <w:rFonts w:eastAsia="Calibri" w:cstheme="minorBidi"/>
                <w:iCs/>
                <w:color w:val="000000"/>
                <w:sz w:val="22"/>
                <w:szCs w:val="22"/>
                <w:lang w:val="en-GB"/>
                <w14:ligatures w14:val="none"/>
              </w:rPr>
              <w:t xml:space="preserve">of </w:t>
            </w:r>
            <w:r w:rsidR="00AF71C0" w:rsidRPr="009819CE">
              <w:rPr>
                <w:rFonts w:eastAsia="Calibri" w:cstheme="minorBidi"/>
                <w:iCs/>
                <w:color w:val="000000"/>
                <w:sz w:val="22"/>
                <w:szCs w:val="22"/>
                <w:lang w:val="en-GB"/>
                <w14:ligatures w14:val="none"/>
              </w:rPr>
              <w:t>freshly sporulated dinospores</w:t>
            </w:r>
            <w:r w:rsidRPr="009819CE">
              <w:rPr>
                <w:rFonts w:eastAsia="Calibri" w:cstheme="minorBidi"/>
                <w:iCs/>
                <w:color w:val="000000"/>
                <w:sz w:val="22"/>
                <w:szCs w:val="22"/>
                <w:lang w:val="en-GB"/>
                <w14:ligatures w14:val="none"/>
              </w:rPr>
              <w:t xml:space="preserve">: Microscopic Insights. (A) Longitudinal </w:t>
            </w:r>
            <w:r w:rsidR="00084347" w:rsidRPr="009819CE">
              <w:rPr>
                <w:rFonts w:eastAsia="Calibri" w:cstheme="minorBidi"/>
                <w:iCs/>
                <w:color w:val="000000"/>
                <w:sz w:val="22"/>
                <w:szCs w:val="22"/>
                <w:lang w:val="en-GB"/>
                <w14:ligatures w14:val="none"/>
              </w:rPr>
              <w:t xml:space="preserve">section </w:t>
            </w:r>
            <w:r w:rsidRPr="009819CE">
              <w:rPr>
                <w:rFonts w:eastAsia="Calibri" w:cstheme="minorBidi"/>
                <w:iCs/>
                <w:color w:val="000000"/>
                <w:sz w:val="22"/>
                <w:szCs w:val="22"/>
                <w:lang w:val="en-GB"/>
                <w14:ligatures w14:val="none"/>
              </w:rPr>
              <w:t xml:space="preserve">of </w:t>
            </w:r>
            <w:r w:rsidR="00084347" w:rsidRPr="009819CE">
              <w:rPr>
                <w:rFonts w:eastAsia="Calibri" w:cstheme="minorBidi"/>
                <w:iCs/>
                <w:color w:val="000000"/>
                <w:sz w:val="22"/>
                <w:szCs w:val="22"/>
                <w:lang w:val="en-GB"/>
                <w14:ligatures w14:val="none"/>
              </w:rPr>
              <w:t>freshly sporulated microspore</w:t>
            </w:r>
            <w:r w:rsidRPr="009819CE">
              <w:rPr>
                <w:rFonts w:eastAsia="Calibri" w:cstheme="minorBidi"/>
                <w:iCs/>
                <w:color w:val="000000"/>
                <w:sz w:val="22"/>
                <w:szCs w:val="22"/>
                <w:lang w:val="en-GB"/>
                <w14:ligatures w14:val="none"/>
              </w:rPr>
              <w:t xml:space="preserve">. Annotated features include a flagellum (f), amphiesmal alveoli (arrow) (a), lipid globules (l), flagellar hair vesicle (fhv), internal trichocysts, and vacuoles (va). Captured through Transmission Electron Micrograph. (B) Transverse </w:t>
            </w:r>
            <w:r w:rsidR="00084347" w:rsidRPr="009819CE">
              <w:rPr>
                <w:rFonts w:eastAsia="Calibri" w:cstheme="minorBidi"/>
                <w:iCs/>
                <w:color w:val="000000"/>
                <w:sz w:val="22"/>
                <w:szCs w:val="22"/>
                <w:lang w:val="en-GB"/>
                <w14:ligatures w14:val="none"/>
              </w:rPr>
              <w:t xml:space="preserve">section </w:t>
            </w:r>
            <w:r w:rsidRPr="009819CE">
              <w:rPr>
                <w:rFonts w:eastAsia="Calibri" w:cstheme="minorBidi"/>
                <w:iCs/>
                <w:color w:val="000000"/>
                <w:sz w:val="22"/>
                <w:szCs w:val="22"/>
                <w:lang w:val="en-GB"/>
                <w14:ligatures w14:val="none"/>
              </w:rPr>
              <w:t xml:space="preserve">of </w:t>
            </w:r>
            <w:r w:rsidR="00084347" w:rsidRPr="009819CE">
              <w:rPr>
                <w:rFonts w:eastAsia="Calibri" w:cstheme="minorBidi"/>
                <w:iCs/>
                <w:color w:val="000000"/>
                <w:sz w:val="22"/>
                <w:szCs w:val="22"/>
                <w:lang w:val="en-GB"/>
                <w14:ligatures w14:val="none"/>
              </w:rPr>
              <w:t>macrospore</w:t>
            </w:r>
            <w:r w:rsidRPr="009819CE">
              <w:rPr>
                <w:rFonts w:eastAsia="Calibri" w:cstheme="minorBidi"/>
                <w:iCs/>
                <w:color w:val="000000"/>
                <w:sz w:val="22"/>
                <w:szCs w:val="22"/>
                <w:lang w:val="en-GB"/>
                <w14:ligatures w14:val="none"/>
              </w:rPr>
              <w:t xml:space="preserve">. Annotated features include the nucleus (n), lipid globules (l), a granular matrix organelle (gmo), and an internal trichocyst (t). Examined via Transmission Electron Micrograph. Scale bar: 1 µm. Source: </w:t>
            </w:r>
            <w:hyperlink w:anchor="_ENREF_28" w:tooltip="Beevers, 2010 #247" w:history="1">
              <w:r w:rsidR="00950097" w:rsidRPr="001F4A34">
                <w:rPr>
                  <w:rFonts w:eastAsia="Calibri" w:cstheme="minorBidi"/>
                  <w:iCs/>
                  <w:color w:val="000000"/>
                  <w:sz w:val="22"/>
                  <w:szCs w:val="22"/>
                </w:rPr>
                <w:fldChar w:fldCharType="begin"/>
              </w:r>
              <w:r w:rsidR="00950097" w:rsidRPr="009819CE">
                <w:rPr>
                  <w:rFonts w:eastAsia="Calibri" w:cstheme="minorBidi"/>
                  <w:iCs/>
                  <w:color w:val="000000"/>
                  <w:sz w:val="22"/>
                  <w:szCs w:val="22"/>
                </w:rPr>
                <w:instrText xml:space="preserve"> ADDIN EN.CITE &lt;EndNote&gt;&lt;Cite AuthorYear="1"&gt;&lt;Author&gt;Beevers&lt;/Author&gt;&lt;Year&gt;2010&lt;/Year&gt;&lt;RecNum&gt;247&lt;/RecNum&gt;&lt;DisplayText&gt;Beevers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00950097" w:rsidRPr="001F4A34">
                <w:rPr>
                  <w:rFonts w:eastAsia="Calibri" w:cstheme="minorBidi"/>
                  <w:iCs/>
                  <w:color w:val="000000"/>
                  <w:sz w:val="22"/>
                  <w:szCs w:val="22"/>
                </w:rPr>
                <w:fldChar w:fldCharType="separate"/>
              </w:r>
              <w:r w:rsidR="00950097" w:rsidRPr="001F4A34">
                <w:rPr>
                  <w:rFonts w:eastAsia="Calibri" w:cstheme="minorBidi"/>
                  <w:iCs/>
                  <w:color w:val="000000"/>
                  <w:sz w:val="22"/>
                  <w:szCs w:val="22"/>
                </w:rPr>
                <w:t>Beevers (2010)</w:t>
              </w:r>
              <w:r w:rsidR="00950097" w:rsidRPr="001F4A34">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112"/>
            <w:bookmarkEnd w:id="113"/>
          </w:p>
        </w:tc>
      </w:tr>
    </w:tbl>
    <w:p w14:paraId="4C9A05B8" w14:textId="77777777" w:rsidR="001B0CD2" w:rsidRPr="009819CE" w:rsidRDefault="001B0CD2" w:rsidP="002773A2">
      <w:pPr>
        <w:rPr>
          <w:rFonts w:cstheme="minorBidi"/>
        </w:rPr>
        <w:sectPr w:rsidR="001B0CD2" w:rsidRPr="009819CE" w:rsidSect="001B0CD2">
          <w:pgSz w:w="11906" w:h="16838" w:code="9"/>
          <w:pgMar w:top="1440" w:right="1440" w:bottom="1440" w:left="1440" w:header="709" w:footer="709" w:gutter="0"/>
          <w:cols w:space="518"/>
          <w:docGrid w:linePitch="360"/>
        </w:sectPr>
      </w:pPr>
    </w:p>
    <w:p w14:paraId="73797999" w14:textId="3940E0D2" w:rsidR="002773A2" w:rsidRPr="009819CE" w:rsidRDefault="009D03F4" w:rsidP="00034326">
      <w:pPr>
        <w:pStyle w:val="Heading4"/>
        <w:rPr>
          <w:rFonts w:cstheme="minorBidi"/>
        </w:rPr>
      </w:pPr>
      <w:bookmarkStart w:id="114" w:name="_Ref157963666"/>
      <w:r w:rsidRPr="009819CE">
        <w:rPr>
          <w:rFonts w:cstheme="minorBidi"/>
          <w:i/>
        </w:rPr>
        <w:t>Hematodinium</w:t>
      </w:r>
      <w:r w:rsidR="002773A2" w:rsidRPr="009819CE">
        <w:rPr>
          <w:rFonts w:cstheme="minorBidi"/>
        </w:rPr>
        <w:t xml:space="preserve"> transmission</w:t>
      </w:r>
      <w:bookmarkEnd w:id="114"/>
    </w:p>
    <w:bookmarkEnd w:id="102"/>
    <w:p w14:paraId="63C9A5C7" w14:textId="456283B7" w:rsidR="00080F4A" w:rsidRPr="009819CE" w:rsidRDefault="00080F4A" w:rsidP="00080F4A">
      <w:pPr>
        <w:rPr>
          <w:rFonts w:cstheme="minorBidi"/>
        </w:rPr>
      </w:pPr>
      <w:r w:rsidRPr="009819CE">
        <w:rPr>
          <w:rFonts w:cstheme="minorBidi"/>
        </w:rPr>
        <w:t xml:space="preserve">The transmission pathways of </w:t>
      </w:r>
      <w:r w:rsidR="009D03F4" w:rsidRPr="009819CE">
        <w:rPr>
          <w:rFonts w:cstheme="minorBidi"/>
          <w:i/>
          <w:iCs/>
        </w:rPr>
        <w:t>Hematodinium</w:t>
      </w:r>
      <w:r w:rsidRPr="009819CE">
        <w:rPr>
          <w:rFonts w:cstheme="minorBidi"/>
        </w:rPr>
        <w:t xml:space="preserve"> sp</w:t>
      </w:r>
      <w:r w:rsidR="00D2371A">
        <w:rPr>
          <w:rFonts w:cstheme="minorBidi"/>
        </w:rPr>
        <w:t>p</w:t>
      </w:r>
      <w:r w:rsidRPr="009819CE">
        <w:rPr>
          <w:rFonts w:cstheme="minorBidi"/>
        </w:rPr>
        <w:t xml:space="preserve">. remain unclear, but waterborne transmission is considered the most </w:t>
      </w:r>
      <w:r w:rsidR="00E24CCE" w:rsidRPr="009819CE">
        <w:rPr>
          <w:rFonts w:cstheme="minorBidi"/>
        </w:rPr>
        <w:t xml:space="preserve">probable </w:t>
      </w:r>
      <w:r w:rsidRPr="009819CE">
        <w:rPr>
          <w:rFonts w:cstheme="minorBidi"/>
        </w:rPr>
        <w:t xml:space="preserve">route </w:t>
      </w:r>
      <w:r w:rsidRPr="009819CE">
        <w:rPr>
          <w:rFonts w:cstheme="minorBidi"/>
        </w:rPr>
        <w:fldChar w:fldCharType="begin">
          <w:fldData xml:space="preserve">PEVuZE5vdGU+PENpdGU+PEF1dGhvcj5IdWFuZzwvQXV0aG9yPjxZZWFyPjIwMjE8L1llYXI+PFJl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=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PEVuZE5vdGU+PENpdGU+PEF1dGhvcj5IdWFuZzwvQXV0aG9yPjxZZWFyPjIwMjE8L1llYXI+PFJl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=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44" w:tooltip="Huang, 2021 #472" w:history="1">
        <w:r w:rsidR="00950097" w:rsidRPr="00A14DD5">
          <w:rPr>
            <w:rFonts w:cstheme="minorBidi"/>
          </w:rPr>
          <w:t>Huang et al., 2021</w:t>
        </w:r>
      </w:hyperlink>
      <w:r w:rsidR="00D50EFF" w:rsidRPr="00A14DD5">
        <w:rPr>
          <w:rFonts w:cstheme="minorBidi"/>
        </w:rPr>
        <w:t xml:space="preserve">; </w:t>
      </w:r>
      <w:hyperlink w:anchor="_ENREF_178" w:tooltip="Li, 2011 #19" w:history="1">
        <w:r w:rsidR="00950097" w:rsidRPr="00A14DD5">
          <w:rPr>
            <w:rFonts w:cstheme="minorBidi"/>
          </w:rPr>
          <w:t>Li et al., 2011</w:t>
        </w:r>
      </w:hyperlink>
      <w:r w:rsidR="00D50EFF" w:rsidRPr="00A14DD5">
        <w:rPr>
          <w:rFonts w:cstheme="minorBidi"/>
        </w:rPr>
        <w:t xml:space="preserve">; </w:t>
      </w:r>
      <w:hyperlink w:anchor="_ENREF_310" w:tooltip="Stentiford, 2005 #156" w:history="1">
        <w:r w:rsidR="00950097" w:rsidRPr="00A14DD5">
          <w:rPr>
            <w:rFonts w:cstheme="minorBidi"/>
          </w:rPr>
          <w:t>Stentiford and Shields, 2005</w:t>
        </w:r>
      </w:hyperlink>
      <w:r w:rsidR="00D50EFF" w:rsidRPr="00A14DD5">
        <w:rPr>
          <w:rFonts w:cstheme="minorBidi"/>
        </w:rPr>
        <w:t>)</w:t>
      </w:r>
      <w:r w:rsidRPr="009819CE">
        <w:rPr>
          <w:rFonts w:cstheme="minorBidi"/>
        </w:rPr>
        <w:fldChar w:fldCharType="end"/>
      </w:r>
      <w:r w:rsidRPr="009819CE">
        <w:rPr>
          <w:rFonts w:cstheme="minorBidi"/>
        </w:rPr>
        <w:t xml:space="preserve">. Dinospores are believed to act as </w:t>
      </w:r>
      <w:r w:rsidR="00F3029B" w:rsidRPr="00FA7D47">
        <w:rPr>
          <w:rFonts w:cstheme="minorBidi"/>
        </w:rPr>
        <w:t xml:space="preserve">infective stages </w:t>
      </w:r>
      <w:r w:rsidRPr="009819CE">
        <w:rPr>
          <w:rFonts w:cstheme="minorBidi"/>
        </w:rPr>
        <w:t xml:space="preserve">in the water column </w:t>
      </w:r>
      <w:r w:rsidRPr="009819CE">
        <w:rPr>
          <w:rFonts w:cstheme="minorBidi"/>
        </w:rPr>
        <w:fldChar w:fldCharType="begin">
          <w:fldData xml:space="preserve">PEVuZE5vdGU+PENpdGU+PEF1dGhvcj5GcmlzY2hlcjwvQXV0aG9yPjxZZWFyPjIwMDY8L1llYXI+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PEVuZE5vdGU+PENpdGU+PEF1dGhvcj5GcmlzY2hlcjwvQXV0aG9yPjxZZWFyPjIwMDY8L1llYXI+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A14DD5">
        <w:rPr>
          <w:rFonts w:cstheme="minorBidi"/>
        </w:rPr>
        <w:t>(</w:t>
      </w:r>
      <w:hyperlink w:anchor="_ENREF_104" w:tooltip="Frischer, 2006 #382" w:history="1">
        <w:r w:rsidR="00950097" w:rsidRPr="00A14DD5">
          <w:rPr>
            <w:rFonts w:cstheme="minorBidi"/>
          </w:rPr>
          <w:t>Frischer et al., 2006</w:t>
        </w:r>
      </w:hyperlink>
      <w:r w:rsidR="00D50EFF" w:rsidRPr="00A14DD5">
        <w:rPr>
          <w:rFonts w:cstheme="minorBidi"/>
        </w:rPr>
        <w:t xml:space="preserve">; </w:t>
      </w:r>
      <w:hyperlink w:anchor="_ENREF_241" w:tooltip="Pagenkopp Lohan, 2012 #25" w:history="1">
        <w:r w:rsidR="00950097" w:rsidRPr="00A14DD5">
          <w:rPr>
            <w:rFonts w:cstheme="minorBidi"/>
          </w:rPr>
          <w:t>Pagenkopp Lohan et al., 2012</w:t>
        </w:r>
      </w:hyperlink>
      <w:r w:rsidR="00D50EFF" w:rsidRPr="00A14DD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They can enter </w:t>
      </w:r>
      <w:r w:rsidR="00C31E47" w:rsidRPr="009819CE">
        <w:rPr>
          <w:rFonts w:cstheme="minorBidi"/>
          <w:i/>
          <w:iCs/>
        </w:rPr>
        <w:t>Nephrops</w:t>
      </w:r>
      <w:r w:rsidRPr="009819CE">
        <w:rPr>
          <w:rFonts w:cstheme="minorBidi"/>
        </w:rPr>
        <w:t xml:space="preserve"> either through the gills or via breaks in the integument</w:t>
      </w:r>
      <w:r w:rsidR="00116C88" w:rsidRPr="009819CE">
        <w:rPr>
          <w:rFonts w:cstheme="minorBidi"/>
        </w:rPr>
        <w:t xml:space="preserve"> </w:t>
      </w:r>
      <w:r w:rsidRPr="009819CE">
        <w:rPr>
          <w:rFonts w:cstheme="minorBidi"/>
        </w:rPr>
        <w:fldChar w:fldCharType="begin"/>
      </w:r>
      <w:r w:rsidR="00D50EFF" w:rsidRPr="009819CE">
        <w:rPr>
          <w:rFonts w:cstheme="minorBidi"/>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Pr="009819CE">
        <w:rPr>
          <w:rFonts w:cstheme="minorBidi"/>
        </w:rPr>
        <w:fldChar w:fldCharType="separate"/>
      </w:r>
      <w:r w:rsidR="00D50EFF" w:rsidRPr="009819CE">
        <w:rPr>
          <w:rFonts w:cstheme="minorBidi"/>
        </w:rPr>
        <w:t>(</w:t>
      </w:r>
      <w:hyperlink w:anchor="_ENREF_125" w:tooltip="Hanif, 2013 #351" w:history="1">
        <w:r w:rsidR="00950097" w:rsidRPr="009819CE">
          <w:rPr>
            <w:rFonts w:cstheme="minorBidi"/>
          </w:rPr>
          <w:t>Hanif et al., 2013</w:t>
        </w:r>
      </w:hyperlink>
      <w:r w:rsidR="00D50EFF" w:rsidRPr="009819CE">
        <w:rPr>
          <w:rFonts w:cstheme="minorBidi"/>
        </w:rPr>
        <w:t>)</w:t>
      </w:r>
      <w:r w:rsidRPr="009819CE">
        <w:rPr>
          <w:rFonts w:cstheme="minorBidi"/>
        </w:rPr>
        <w:fldChar w:fldCharType="end"/>
      </w:r>
      <w:r w:rsidRPr="009819CE">
        <w:rPr>
          <w:rFonts w:cstheme="minorBidi"/>
        </w:rPr>
        <w:t xml:space="preserve">. Another possible entry point for dinospores is through the softened exoskeleton of recently moulted individuals </w:t>
      </w:r>
      <w:r w:rsidRPr="009819CE">
        <w:rPr>
          <w:rFonts w:cstheme="minorBidi"/>
        </w:rPr>
        <w:fldChar w:fldCharType="begin"/>
      </w:r>
      <w:r w:rsidR="00ED1A9E" w:rsidRPr="009819CE">
        <w:rPr>
          <w:rFonts w:cstheme="minorBidi"/>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rPr>
        <w:fldChar w:fldCharType="separate"/>
      </w:r>
      <w:r w:rsidR="00D50EFF" w:rsidRPr="00A14DD5">
        <w:rPr>
          <w:rFonts w:cstheme="minorBidi"/>
        </w:rPr>
        <w:t>(</w:t>
      </w:r>
      <w:hyperlink w:anchor="_ENREF_241" w:tooltip="Pagenkopp Lohan, 2012 #25" w:history="1">
        <w:r w:rsidR="00950097" w:rsidRPr="00A14DD5">
          <w:rPr>
            <w:rFonts w:cstheme="minorBidi"/>
          </w:rPr>
          <w:t>Pagenkopp Lohan et al., 2012</w:t>
        </w:r>
      </w:hyperlink>
      <w:r w:rsidR="00D50EFF" w:rsidRPr="00A14DD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Seasonal patterns of </w:t>
      </w:r>
      <w:r w:rsidR="009D03F4" w:rsidRPr="009819CE">
        <w:rPr>
          <w:rFonts w:cstheme="minorBidi"/>
          <w:i/>
          <w:iCs/>
        </w:rPr>
        <w:t>Hematodinium</w:t>
      </w:r>
      <w:r w:rsidRPr="009819CE">
        <w:rPr>
          <w:rFonts w:cstheme="minorBidi"/>
        </w:rPr>
        <w:t xml:space="preserve"> sp. outbreaks suggest that this is the most likely source of parasite transmission. </w:t>
      </w:r>
    </w:p>
    <w:p w14:paraId="49E99CFB" w14:textId="6BDC2DD4" w:rsidR="00080F4A" w:rsidRPr="009819CE" w:rsidRDefault="00080F4A" w:rsidP="00080F4A">
      <w:pPr>
        <w:rPr>
          <w:rFonts w:cstheme="minorBidi"/>
        </w:rPr>
      </w:pPr>
      <w:r w:rsidRPr="009819CE">
        <w:rPr>
          <w:rFonts w:cstheme="minorBidi"/>
        </w:rPr>
        <w:t xml:space="preserve">Both macro and micro-dinospores of </w:t>
      </w:r>
      <w:r w:rsidR="009D03F4" w:rsidRPr="009819CE">
        <w:rPr>
          <w:rFonts w:cstheme="minorBidi"/>
          <w:i/>
          <w:iCs/>
        </w:rPr>
        <w:t>Hematodinium</w:t>
      </w:r>
      <w:r w:rsidRPr="009819CE">
        <w:rPr>
          <w:rFonts w:cstheme="minorBidi"/>
        </w:rPr>
        <w:t xml:space="preserve"> sp. can cause infection when inoculated into</w:t>
      </w:r>
      <w:r w:rsidR="000609F8" w:rsidRPr="009819CE">
        <w:rPr>
          <w:rFonts w:cstheme="minorBidi"/>
        </w:rPr>
        <w:t xml:space="preserve"> </w:t>
      </w:r>
      <w:r w:rsidR="00B70D4D" w:rsidRPr="00FA7D47">
        <w:rPr>
          <w:rFonts w:cstheme="minorBidi"/>
        </w:rPr>
        <w:t>t</w:t>
      </w:r>
      <w:r w:rsidR="000609F8" w:rsidRPr="009819CE">
        <w:rPr>
          <w:rFonts w:cstheme="minorBidi"/>
        </w:rPr>
        <w:t>anner crab</w:t>
      </w:r>
      <w:r w:rsidRPr="009819CE">
        <w:rPr>
          <w:rFonts w:cstheme="minorBidi"/>
        </w:rPr>
        <w:t xml:space="preserve"> </w:t>
      </w:r>
      <w:r w:rsidR="000609F8" w:rsidRPr="009819CE">
        <w:rPr>
          <w:rFonts w:cstheme="minorBidi"/>
        </w:rPr>
        <w:t>(</w:t>
      </w:r>
      <w:r w:rsidRPr="009819CE">
        <w:rPr>
          <w:rFonts w:cstheme="minorBidi"/>
          <w:i/>
          <w:iCs/>
        </w:rPr>
        <w:t>Chionoecetes bairdi</w:t>
      </w:r>
      <w:r w:rsidR="000609F8" w:rsidRPr="009819CE">
        <w:rPr>
          <w:rFonts w:cstheme="minorBidi"/>
        </w:rPr>
        <w:t>)</w:t>
      </w:r>
      <w:r w:rsidRPr="009819CE">
        <w:rPr>
          <w:rFonts w:cstheme="minorBidi"/>
          <w:i/>
          <w:iCs/>
        </w:rPr>
        <w:t xml:space="preserve"> </w:t>
      </w:r>
      <w:r w:rsidRPr="009819CE">
        <w:rPr>
          <w:rFonts w:cstheme="minorBidi"/>
        </w:rPr>
        <w:t xml:space="preserve"> </w:t>
      </w:r>
      <w:r w:rsidRPr="009819CE">
        <w:rPr>
          <w:rFonts w:cstheme="minorBidi"/>
        </w:rPr>
        <w:fldChar w:fldCharType="begin">
          <w:fldData xml:space="preserve">PEVuZE5vdGU+PENpdGU+PEF1dGhvcj5FYXRvbjwvQXV0aG9yPjxZZWFyPjE5OTE8L1llYXI+PFJl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=
</w:fldData>
        </w:fldChar>
      </w:r>
      <w:r w:rsidR="00350E4F" w:rsidRPr="009819CE">
        <w:rPr>
          <w:rFonts w:cstheme="minorBidi"/>
        </w:rPr>
        <w:instrText xml:space="preserve"> ADDIN EN.CITE </w:instrText>
      </w:r>
      <w:r w:rsidR="00350E4F" w:rsidRPr="009819CE">
        <w:rPr>
          <w:rFonts w:cstheme="minorBidi"/>
        </w:rPr>
        <w:fldChar w:fldCharType="begin">
          <w:fldData xml:space="preserve">PEVuZE5vdGU+PENpdGU+PEF1dGhvcj5FYXRvbjwvQXV0aG9yPjxZZWFyPjE5OTE8L1llYXI+PFJl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=
</w:fldData>
        </w:fldChar>
      </w:r>
      <w:r w:rsidR="00350E4F" w:rsidRPr="009819CE">
        <w:rPr>
          <w:rFonts w:cstheme="minorBidi"/>
        </w:rPr>
        <w:instrText xml:space="preserve"> ADDIN EN.CITE.DATA </w:instrText>
      </w:r>
      <w:r w:rsidR="00350E4F" w:rsidRPr="009819CE">
        <w:rPr>
          <w:rFonts w:cstheme="minorBidi"/>
        </w:rPr>
      </w:r>
      <w:r w:rsidR="00350E4F" w:rsidRPr="009819CE">
        <w:rPr>
          <w:rFonts w:cstheme="minorBidi"/>
        </w:rPr>
        <w:fldChar w:fldCharType="end"/>
      </w:r>
      <w:r w:rsidRPr="009819CE">
        <w:rPr>
          <w:rFonts w:cstheme="minorBidi"/>
        </w:rPr>
      </w:r>
      <w:r w:rsidRPr="009819CE">
        <w:rPr>
          <w:rFonts w:cstheme="minorBidi"/>
        </w:rPr>
        <w:fldChar w:fldCharType="separate"/>
      </w:r>
      <w:r w:rsidR="00D50EFF" w:rsidRPr="00A14DD5">
        <w:rPr>
          <w:rFonts w:cstheme="minorBidi"/>
        </w:rPr>
        <w:t>(</w:t>
      </w:r>
      <w:hyperlink w:anchor="_ENREF_79" w:tooltip="Eaton, 1991 #396" w:history="1">
        <w:r w:rsidR="00950097" w:rsidRPr="00A14DD5">
          <w:rPr>
            <w:rFonts w:cstheme="minorBidi"/>
          </w:rPr>
          <w:t>Eaton et al., 1991</w:t>
        </w:r>
      </w:hyperlink>
      <w:r w:rsidR="00D50EFF" w:rsidRPr="00A14DD5">
        <w:rPr>
          <w:rFonts w:cstheme="minorBidi"/>
        </w:rPr>
        <w:t xml:space="preserve">; </w:t>
      </w:r>
      <w:hyperlink w:anchor="_ENREF_280" w:tooltip="Shields, 2017 #200" w:history="1">
        <w:r w:rsidR="00950097" w:rsidRPr="00A14DD5">
          <w:rPr>
            <w:rFonts w:cstheme="minorBidi"/>
          </w:rPr>
          <w:t>Shields et al., 2017</w:t>
        </w:r>
      </w:hyperlink>
      <w:r w:rsidR="00D50EFF" w:rsidRPr="00A14DD5">
        <w:rPr>
          <w:rFonts w:cstheme="minorBidi"/>
        </w:rPr>
        <w:t>)</w:t>
      </w:r>
      <w:r w:rsidRPr="009819CE">
        <w:rPr>
          <w:rFonts w:cstheme="minorBidi"/>
        </w:rPr>
        <w:fldChar w:fldCharType="end"/>
      </w:r>
      <w:r w:rsidRPr="009819CE">
        <w:rPr>
          <w:rFonts w:cstheme="minorBidi"/>
          <w:iCs/>
          <w:color w:val="000000"/>
        </w:rPr>
        <w:t>.</w:t>
      </w:r>
      <w:r w:rsidRPr="009819CE">
        <w:rPr>
          <w:rFonts w:cstheme="minorBidi"/>
        </w:rPr>
        <w:t xml:space="preserve"> </w:t>
      </w:r>
      <w:r w:rsidR="00237B91" w:rsidRPr="009819CE">
        <w:rPr>
          <w:rFonts w:cstheme="minorBidi"/>
          <w:i/>
        </w:rPr>
        <w:t>H</w:t>
      </w:r>
      <w:r w:rsidR="00A618B1" w:rsidRPr="009819CE">
        <w:rPr>
          <w:rFonts w:cstheme="minorBidi"/>
          <w:i/>
        </w:rPr>
        <w:t>.</w:t>
      </w:r>
      <w:r w:rsidR="003B0890" w:rsidRPr="009819CE">
        <w:rPr>
          <w:rFonts w:cstheme="minorBidi"/>
          <w:i/>
        </w:rPr>
        <w:t xml:space="preserve"> </w:t>
      </w:r>
      <w:r w:rsidRPr="009819CE">
        <w:rPr>
          <w:rFonts w:cstheme="minorBidi"/>
          <w:i/>
        </w:rPr>
        <w:t>perezi</w:t>
      </w:r>
      <w:r w:rsidRPr="009819CE">
        <w:rPr>
          <w:rFonts w:cstheme="minorBidi"/>
        </w:rPr>
        <w:t xml:space="preserve"> was transmitted naturally to juvenile </w:t>
      </w:r>
      <w:r w:rsidR="00DF6E16" w:rsidRPr="009819CE">
        <w:rPr>
          <w:rFonts w:cstheme="minorBidi"/>
        </w:rPr>
        <w:t xml:space="preserve">Atlantic </w:t>
      </w:r>
      <w:r w:rsidR="000153C3" w:rsidRPr="009819CE">
        <w:rPr>
          <w:rFonts w:cstheme="minorBidi"/>
        </w:rPr>
        <w:t>blue crab</w:t>
      </w:r>
      <w:r w:rsidR="000153C3" w:rsidRPr="009819CE">
        <w:rPr>
          <w:rFonts w:cstheme="minorBidi"/>
          <w:i/>
          <w:iCs/>
        </w:rPr>
        <w:t xml:space="preserve"> </w:t>
      </w:r>
      <w:r w:rsidR="000153C3" w:rsidRPr="009819CE">
        <w:rPr>
          <w:rFonts w:cstheme="minorBidi"/>
        </w:rPr>
        <w:t>(</w:t>
      </w:r>
      <w:r w:rsidRPr="009819CE">
        <w:rPr>
          <w:rFonts w:cstheme="minorBidi"/>
          <w:i/>
          <w:iCs/>
        </w:rPr>
        <w:t>Callinectes sapidus</w:t>
      </w:r>
      <w:r w:rsidRPr="009819CE">
        <w:rPr>
          <w:rFonts w:cstheme="minorBidi"/>
        </w:rPr>
        <w:t xml:space="preserve">) by "sentinel" deployments in endemic areas of the parasite.  Other potential transmission routes include passive ingestion of dinospores through suspension-feeding </w:t>
      </w:r>
      <w:r w:rsidRPr="009819CE">
        <w:rPr>
          <w:rFonts w:cstheme="minorBidi"/>
        </w:rPr>
        <w:fldChar w:fldCharType="begin"/>
      </w:r>
      <w:r w:rsidR="00A8698B" w:rsidRPr="009819CE">
        <w:rPr>
          <w:rFonts w:cstheme="minorBidi"/>
        </w:rPr>
        <w:instrText xml:space="preserve"> ADDIN EN.CITE &lt;EndNote&gt;&lt;Cite&gt;&lt;Author&gt;Briggs&lt;/Author&gt;&lt;Year&gt;2002&lt;/Year&gt;&lt;RecNum&gt;374&lt;/RecNum&gt;&lt;DisplayText&gt;(Briggs and McAliskey, 2002)&lt;/DisplayText&gt;&lt;record&gt;&lt;rec-number&gt;374&lt;/rec-number&gt;&lt;foreign-keys&gt;&lt;key app="EN" db-id="sd9wrx9fj09rx3erprsx999o0r5aprvp2zse" timestamp="1687855901" guid="fffb00b5-cdee-4035-9ba9-fbd2e8e33433"&gt;374&lt;/key&gt;&lt;/foreign-keys&gt;&lt;ref-type name="Journal Article"&gt;17&lt;/ref-type&gt;&lt;contributors&gt;&lt;authors&gt;&lt;author&gt;Briggs, R. P.&lt;/author&gt;&lt;author&gt;McAliskey, M.&lt;/author&gt;&lt;/authors&gt;&lt;/contributors&gt;&lt;titles&gt;&lt;title&gt;&lt;style face="normal" font="default" size="100%"&gt;The prevalence of &lt;/style&gt;&lt;style face="italic" font="default" size="100%"&gt;Hematodinium&lt;/style&gt;&lt;style face="normal" font="default" size="100%"&gt; in &lt;/style&gt;&lt;style face="italic" font="default" size="100%"&gt;Nephrops norvegicus &lt;/style&gt;&lt;style face="normal" font="default" size="100%"&gt;from the western Irish Sea&lt;/style&gt;&lt;/title&gt;&lt;secondary-title&gt;Journal of the Marine Biological Association of the United Kingdom&lt;/secondary-title&gt;&lt;/titles&gt;&lt;periodical&gt;&lt;full-title&gt;Journal of the Marine Biological Association of the United Kingdom&lt;/full-title&gt;&lt;/periodical&gt;&lt;pages&gt;427-433&lt;/pages&gt;&lt;volume&gt;82&lt;/volume&gt;&lt;number&gt;3&lt;/number&gt;&lt;dates&gt;&lt;year&gt;2002&lt;/year&gt;&lt;pub-dates&gt;&lt;date&gt;2002/6//&lt;/date&gt;&lt;/pub-dates&gt;&lt;/dates&gt;&lt;urls&gt;&lt;related-urls&gt;&lt;url&gt;https://www.cambridge.org/core/product/identifier/S0025315402005684/type/journal_article&lt;/url&gt;&lt;url&gt;https://www.cambridge.org/core/journals/journal-of-the-marine-biological-association-of-the-united-kingdom/article/abs/prevalence-of-hematodinium-in-nephrops-norvegicus-from-the-western-irish-sea/F62274CA5D9F0DADB8129BB1E188BBD5&lt;/url&gt;&lt;/related-urls&gt;&lt;/urls&gt;&lt;electronic-resource-num&gt;10.1017/S0025315402005684&lt;/electronic-resource-num&gt;&lt;/record&gt;&lt;/Cite&gt;&lt;/EndNote&gt;</w:instrText>
      </w:r>
      <w:r w:rsidRPr="009819CE">
        <w:rPr>
          <w:rFonts w:cstheme="minorBidi"/>
        </w:rPr>
        <w:fldChar w:fldCharType="separate"/>
      </w:r>
      <w:r w:rsidR="00A8698B" w:rsidRPr="009819CE">
        <w:rPr>
          <w:rFonts w:cstheme="minorBidi"/>
        </w:rPr>
        <w:t>(</w:t>
      </w:r>
      <w:hyperlink w:anchor="_ENREF_34" w:tooltip="Briggs, 2002 #374" w:history="1">
        <w:r w:rsidR="00950097" w:rsidRPr="009819CE">
          <w:rPr>
            <w:rFonts w:cstheme="minorBidi"/>
          </w:rPr>
          <w:t>Briggs and McAliskey, 2002</w:t>
        </w:r>
      </w:hyperlink>
      <w:r w:rsidR="00A8698B" w:rsidRPr="009819CE">
        <w:rPr>
          <w:rFonts w:cstheme="minorBidi"/>
        </w:rPr>
        <w:t>)</w:t>
      </w:r>
      <w:r w:rsidRPr="009819CE">
        <w:rPr>
          <w:rFonts w:cstheme="minorBidi"/>
        </w:rPr>
        <w:fldChar w:fldCharType="end"/>
      </w:r>
      <w:r w:rsidRPr="009819CE">
        <w:rPr>
          <w:rFonts w:cstheme="minorBidi"/>
        </w:rPr>
        <w:t xml:space="preserve"> or direct ingestion of infected individuals </w:t>
      </w:r>
      <w:r w:rsidRPr="009819CE">
        <w:rPr>
          <w:rFonts w:cstheme="minorBidi"/>
        </w:rPr>
        <w:fldChar w:fldCharType="begin"/>
      </w:r>
      <w:r w:rsidR="00D50EFF" w:rsidRPr="009819CE">
        <w:rPr>
          <w:rFonts w:cstheme="minorBidi"/>
        </w:rPr>
        <w:instrText xml:space="preserve"> ADDIN EN.CITE &lt;EndNote&gt;&lt;Cite&gt;&lt;Author&gt;Shields&lt;/Author&gt;&lt;Year&gt;1994&lt;/Year&gt;&lt;RecNum&gt;100&lt;/RecNum&gt;&lt;DisplayText&gt;(Shields, 1994)&lt;/DisplayText&gt;&lt;record&gt;&lt;rec-number&gt;100&lt;/rec-number&gt;&lt;foreign-keys&gt;&lt;key app="EN" db-id="sd9wrx9fj09rx3erprsx999o0r5aprvp2zse" timestamp="1687855901" guid="e7949e2d-78a2-4920-aa7e-b3655adbb6b5"&gt;100&lt;/key&gt;&lt;/foreign-keys&gt;&lt;ref-type name="Journal Article"&gt;17&lt;/ref-type&gt;&lt;contributors&gt;&lt;authors&gt;&lt;author&gt;Shields, Jeffrey D.&lt;/author&gt;&lt;/authors&gt;&lt;/contributors&gt;&lt;titles&gt;&lt;title&gt;The parasitic dinoflagellates of marine crustaceans&lt;/title&gt;&lt;secondary-title&gt;Annual Review of Fish Diseases&lt;/secondary-title&gt;&lt;/titles&gt;&lt;periodical&gt;&lt;full-title&gt;Annual Review of Fish Diseases&lt;/full-title&gt;&lt;/periodical&gt;&lt;pages&gt;241-271&lt;/pages&gt;&lt;volume&gt;4&lt;/volume&gt;&lt;keywords&gt;&lt;keyword&gt;Actinodinium&lt;/keyword&gt;&lt;keyword&gt;Atelodinium&lt;/keyword&gt;&lt;keyword&gt;Blastodinium&lt;/keyword&gt;&lt;keyword&gt;Chytriodinium&lt;/keyword&gt;&lt;keyword&gt;Dissodinium&lt;/keyword&gt;&lt;keyword&gt;Ellobiocystis&lt;/keyword&gt;&lt;keyword&gt;Ellobiopsis&lt;/keyword&gt;&lt;keyword&gt;Epizootiology&lt;/keyword&gt;&lt;keyword&gt;Hematodinium&lt;/keyword&gt;&lt;keyword&gt;Life cycle&lt;/keyword&gt;&lt;keyword&gt;Paradinium&lt;/keyword&gt;&lt;keyword&gt;Parallobiopsis&lt;/keyword&gt;&lt;keyword&gt;Pathology&lt;/keyword&gt;&lt;keyword&gt;Rhizellobiopsis&lt;/keyword&gt;&lt;keyword&gt;Schizochytriodinium&lt;/keyword&gt;&lt;keyword&gt;Syltodinium&lt;/keyword&gt;&lt;keyword&gt;Syndinium&lt;/keyword&gt;&lt;keyword&gt;Taxonomy&lt;/keyword&gt;&lt;keyword&gt;Thalassomyces&lt;/keyword&gt;&lt;keyword&gt;Trypanodinium&lt;/keyword&gt;&lt;/keywords&gt;&lt;dates&gt;&lt;year&gt;1994&lt;/year&gt;&lt;pub-dates&gt;&lt;date&gt;1994/1//&lt;/date&gt;&lt;/pub-dates&gt;&lt;/dates&gt;&lt;urls&gt;&lt;related-urls&gt;&lt;url&gt;https://linkinghub.elsevier.com/retrieve/pii/0959803094900310&lt;/url&gt;&lt;url&gt;https://www.sciencedirect.com/science/article/abs/pii/0959803094900310?via%3Dihub&lt;/url&gt;&lt;/related-urls&gt;&lt;/urls&gt;&lt;electronic-resource-num&gt;10.1016/0959-8030(94)90031-0&lt;/electronic-resource-num&gt;&lt;/record&gt;&lt;/Cite&gt;&lt;/EndNote&gt;</w:instrText>
      </w:r>
      <w:r w:rsidRPr="009819CE">
        <w:rPr>
          <w:rFonts w:cstheme="minorBidi"/>
        </w:rPr>
        <w:fldChar w:fldCharType="separate"/>
      </w:r>
      <w:r w:rsidR="00D50EFF" w:rsidRPr="009819CE">
        <w:rPr>
          <w:rFonts w:cstheme="minorBidi"/>
        </w:rPr>
        <w:t>(</w:t>
      </w:r>
      <w:hyperlink w:anchor="_ENREF_278" w:tooltip="Shields, 1994 #100" w:history="1">
        <w:r w:rsidR="00950097" w:rsidRPr="009819CE">
          <w:rPr>
            <w:rFonts w:cstheme="minorBidi"/>
          </w:rPr>
          <w:t>Shields, 1994</w:t>
        </w:r>
      </w:hyperlink>
      <w:r w:rsidR="00D50EFF" w:rsidRPr="009819CE">
        <w:rPr>
          <w:rFonts w:cstheme="minorBidi"/>
        </w:rPr>
        <w:t>)</w:t>
      </w:r>
      <w:r w:rsidRPr="009819CE">
        <w:rPr>
          <w:rFonts w:cstheme="minorBidi"/>
        </w:rPr>
        <w:fldChar w:fldCharType="end"/>
      </w:r>
      <w:r w:rsidRPr="009819CE">
        <w:rPr>
          <w:rFonts w:cstheme="minorBidi"/>
        </w:rPr>
        <w:t xml:space="preserve">. Some experiments have successfully shown that the consumption of infected tissue can transmit the disease, at least in </w:t>
      </w:r>
      <w:r w:rsidR="00B64DCC" w:rsidRPr="009819CE">
        <w:rPr>
          <w:rFonts w:cstheme="minorBidi"/>
          <w:color w:val="000000"/>
        </w:rPr>
        <w:t>g</w:t>
      </w:r>
      <w:r w:rsidR="00A618B1" w:rsidRPr="009819CE">
        <w:rPr>
          <w:rFonts w:cstheme="minorBidi"/>
          <w:color w:val="000000"/>
        </w:rPr>
        <w:t>reen shore crab</w:t>
      </w:r>
      <w:r w:rsidR="00A618B1" w:rsidRPr="009819CE">
        <w:rPr>
          <w:rFonts w:cstheme="minorBidi"/>
          <w:i/>
          <w:iCs/>
        </w:rPr>
        <w:t xml:space="preserve"> </w:t>
      </w:r>
      <w:r w:rsidR="00A618B1" w:rsidRPr="009819CE">
        <w:rPr>
          <w:rFonts w:cstheme="minorBidi"/>
        </w:rPr>
        <w:t>(</w:t>
      </w:r>
      <w:r w:rsidRPr="009819CE">
        <w:rPr>
          <w:rFonts w:cstheme="minorBidi"/>
          <w:i/>
          <w:iCs/>
        </w:rPr>
        <w:t>Carcinus maenas</w:t>
      </w:r>
      <w:r w:rsidR="00A618B1" w:rsidRPr="009819CE">
        <w:rPr>
          <w:rFonts w:cstheme="minorBidi"/>
        </w:rPr>
        <w:t>)</w:t>
      </w:r>
      <w:r w:rsidRPr="009819CE">
        <w:rPr>
          <w:rFonts w:cstheme="minorBidi"/>
        </w:rPr>
        <w:t xml:space="preserve"> </w:t>
      </w:r>
      <w:r w:rsidRPr="009819CE">
        <w:rPr>
          <w:rFonts w:cstheme="minorBidi"/>
        </w:rPr>
        <w:fldChar w:fldCharType="begin">
          <w:fldData xml:space="preserve">PEVuZE5vdGU+PENpdGU+PEF1dGhvcj5TaGVwcGFyZDwvQXV0aG9yPjxZZWFyPjIwMDM8L1llYXI+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</w:fldData>
        </w:fldChar>
      </w:r>
      <w:r w:rsidR="00E11994" w:rsidRPr="009819CE">
        <w:rPr>
          <w:rFonts w:cstheme="minorBidi"/>
        </w:rPr>
        <w:instrText xml:space="preserve"> ADDIN EN.CITE </w:instrText>
      </w:r>
      <w:r w:rsidR="00E11994" w:rsidRPr="009819CE">
        <w:rPr>
          <w:rFonts w:cstheme="minorBidi"/>
        </w:rPr>
        <w:fldChar w:fldCharType="begin">
          <w:fldData xml:space="preserve">PEVuZE5vdGU+PENpdGU+PEF1dGhvcj5TaGVwcGFyZDwvQXV0aG9yPjxZZWFyPjIwMDM8L1llYXI+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</w:fldData>
        </w:fldChar>
      </w:r>
      <w:r w:rsidR="00E11994" w:rsidRPr="009819CE">
        <w:rPr>
          <w:rFonts w:cstheme="minorBidi"/>
        </w:rPr>
        <w:instrText xml:space="preserve"> ADDIN EN.CITE.DATA </w:instrText>
      </w:r>
      <w:r w:rsidR="00E11994" w:rsidRPr="009819CE">
        <w:rPr>
          <w:rFonts w:cstheme="minorBidi"/>
        </w:rPr>
      </w:r>
      <w:r w:rsidR="00E11994" w:rsidRPr="009819CE">
        <w:rPr>
          <w:rFonts w:cstheme="minorBidi"/>
        </w:rPr>
        <w:fldChar w:fldCharType="end"/>
      </w:r>
      <w:r w:rsidRPr="009819CE">
        <w:rPr>
          <w:rFonts w:cstheme="minorBidi"/>
        </w:rPr>
      </w:r>
      <w:r w:rsidRPr="009819CE">
        <w:rPr>
          <w:rFonts w:cstheme="minorBidi"/>
        </w:rPr>
        <w:fldChar w:fldCharType="separate"/>
      </w:r>
      <w:r w:rsidR="00D50EFF" w:rsidRPr="00A14DD5">
        <w:rPr>
          <w:rFonts w:cstheme="minorBidi"/>
        </w:rPr>
        <w:t>(</w:t>
      </w:r>
      <w:hyperlink w:anchor="_ENREF_276" w:tooltip="Sheppard, 2003 #134" w:history="1">
        <w:r w:rsidR="00950097" w:rsidRPr="00A14DD5">
          <w:rPr>
            <w:rFonts w:cstheme="minorBidi"/>
          </w:rPr>
          <w:t>Sheppard et al., 2003</w:t>
        </w:r>
      </w:hyperlink>
      <w:r w:rsidR="00D50EFF" w:rsidRPr="00A14DD5">
        <w:rPr>
          <w:rFonts w:cstheme="minorBidi"/>
        </w:rPr>
        <w:t xml:space="preserve">; </w:t>
      </w:r>
      <w:hyperlink w:anchor="_ENREF_343" w:tooltip="Walker, 2009 #11" w:history="1">
        <w:r w:rsidR="00950097" w:rsidRPr="00A14DD5">
          <w:rPr>
            <w:rFonts w:cstheme="minorBidi"/>
          </w:rPr>
          <w:t>Walker et al., 2009</w:t>
        </w:r>
      </w:hyperlink>
      <w:r w:rsidR="00D50EFF" w:rsidRPr="00A14DD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However, other studies have failed to confirm this as a transmission pathway </w:t>
      </w:r>
      <w:r w:rsidRPr="009819CE">
        <w:rPr>
          <w:rFonts w:cstheme="minorBidi"/>
        </w:rPr>
        <w:fldChar w:fldCharType="begin">
          <w:fldData xml:space="preserve">PEVuZE5vdGU+PENpdGU+PEF1dGhvcj5CdXRsZXI8L0F1dGhvcj48WWVhcj4yMDE0PC9ZZWFyPjxS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</w:fldData>
        </w:fldChar>
      </w:r>
      <w:r w:rsidR="001369C6" w:rsidRPr="009819CE">
        <w:rPr>
          <w:rFonts w:cstheme="minorBidi"/>
        </w:rPr>
        <w:instrText xml:space="preserve"> ADDIN EN.CITE </w:instrText>
      </w:r>
      <w:r w:rsidR="001369C6" w:rsidRPr="009819CE">
        <w:rPr>
          <w:rFonts w:cstheme="minorBidi"/>
        </w:rPr>
        <w:fldChar w:fldCharType="begin">
          <w:fldData xml:space="preserve">PEVuZE5vdGU+PENpdGU+PEF1dGhvcj5CdXRsZXI8L0F1dGhvcj48WWVhcj4yMDE0PC9ZZWFyPjxS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</w:fldData>
        </w:fldChar>
      </w:r>
      <w:r w:rsidR="001369C6" w:rsidRPr="009819CE">
        <w:rPr>
          <w:rFonts w:cstheme="minorBidi"/>
        </w:rPr>
        <w:instrText xml:space="preserve"> ADDIN EN.CITE.DATA </w:instrText>
      </w:r>
      <w:r w:rsidR="001369C6" w:rsidRPr="009819CE">
        <w:rPr>
          <w:rFonts w:cstheme="minorBidi"/>
        </w:rPr>
      </w:r>
      <w:r w:rsidR="001369C6" w:rsidRPr="009819CE">
        <w:rPr>
          <w:rFonts w:cstheme="minorBidi"/>
        </w:rPr>
        <w:fldChar w:fldCharType="end"/>
      </w:r>
      <w:r w:rsidRPr="009819CE">
        <w:rPr>
          <w:rFonts w:cstheme="minorBidi"/>
        </w:rPr>
      </w:r>
      <w:r w:rsidRPr="009819CE">
        <w:rPr>
          <w:rFonts w:cstheme="minorBidi"/>
        </w:rPr>
        <w:fldChar w:fldCharType="separate"/>
      </w:r>
      <w:r w:rsidR="00D50EFF" w:rsidRPr="00A14DD5">
        <w:rPr>
          <w:rFonts w:cstheme="minorBidi"/>
        </w:rPr>
        <w:t>(</w:t>
      </w:r>
      <w:hyperlink w:anchor="_ENREF_35" w:tooltip="Butler, 2014 #483" w:history="1">
        <w:r w:rsidR="00950097" w:rsidRPr="00A14DD5">
          <w:rPr>
            <w:rFonts w:cstheme="minorBidi"/>
          </w:rPr>
          <w:t>Butler et al., 2014</w:t>
        </w:r>
      </w:hyperlink>
      <w:r w:rsidR="00D50EFF" w:rsidRPr="00A14DD5">
        <w:rPr>
          <w:rFonts w:cstheme="minorBidi"/>
        </w:rPr>
        <w:t xml:space="preserve">; </w:t>
      </w:r>
      <w:hyperlink w:anchor="_ENREF_178" w:tooltip="Li, 2011 #19" w:history="1">
        <w:r w:rsidR="00950097" w:rsidRPr="00A14DD5">
          <w:rPr>
            <w:rFonts w:cstheme="minorBidi"/>
          </w:rPr>
          <w:t>Li et al., 2011</w:t>
        </w:r>
      </w:hyperlink>
      <w:r w:rsidR="00D50EFF" w:rsidRPr="00A14DD5">
        <w:rPr>
          <w:rFonts w:cstheme="minorBidi"/>
        </w:rPr>
        <w:t>)</w:t>
      </w:r>
      <w:r w:rsidRPr="009819CE">
        <w:rPr>
          <w:rFonts w:cstheme="minorBidi"/>
        </w:rPr>
        <w:fldChar w:fldCharType="end"/>
      </w:r>
      <w:r w:rsidRPr="009819CE">
        <w:rPr>
          <w:rFonts w:cstheme="minorBidi"/>
        </w:rPr>
        <w:t xml:space="preserve">. </w:t>
      </w:r>
      <w:r w:rsidR="00B65F15" w:rsidRPr="009819CE">
        <w:rPr>
          <w:rFonts w:cstheme="minorBidi"/>
        </w:rPr>
        <w:t>A</w:t>
      </w:r>
      <w:r w:rsidRPr="009819CE">
        <w:rPr>
          <w:rFonts w:cstheme="minorBidi"/>
        </w:rPr>
        <w:t>lternate host</w:t>
      </w:r>
      <w:r w:rsidR="00B65F15" w:rsidRPr="009819CE">
        <w:rPr>
          <w:rFonts w:cstheme="minorBidi"/>
        </w:rPr>
        <w:t>s</w:t>
      </w:r>
      <w:r w:rsidRPr="009819CE">
        <w:rPr>
          <w:rFonts w:cstheme="minorBidi"/>
        </w:rPr>
        <w:t xml:space="preserve"> may play a significant role in transmitting the parasite by acting as a reservoir and a source of </w:t>
      </w:r>
      <w:r w:rsidR="009D03F4" w:rsidRPr="009819CE">
        <w:rPr>
          <w:rFonts w:cstheme="minorBidi"/>
          <w:i/>
          <w:iCs/>
        </w:rPr>
        <w:t>Hematodinium</w:t>
      </w:r>
      <w:r w:rsidRPr="009819CE">
        <w:rPr>
          <w:rFonts w:cstheme="minorBidi"/>
          <w:color w:val="000000"/>
        </w:rPr>
        <w:t>.</w:t>
      </w:r>
      <w:r w:rsidRPr="009819CE">
        <w:rPr>
          <w:rFonts w:cstheme="minorBidi"/>
        </w:rPr>
        <w:t xml:space="preserve"> Consequently, the alternative hosts may be accountable for harbouring the disease when the prevalence of </w:t>
      </w:r>
      <w:r w:rsidR="009D03F4" w:rsidRPr="009819CE">
        <w:rPr>
          <w:rFonts w:cstheme="minorBidi"/>
          <w:i/>
        </w:rPr>
        <w:t>Hematodinium</w:t>
      </w:r>
      <w:r w:rsidRPr="009819CE">
        <w:rPr>
          <w:rFonts w:cstheme="minorBidi"/>
          <w:i/>
        </w:rPr>
        <w:t xml:space="preserve"> </w:t>
      </w:r>
      <w:r w:rsidRPr="009819CE">
        <w:rPr>
          <w:rFonts w:cstheme="minorBidi"/>
          <w:iCs/>
        </w:rPr>
        <w:t>sp.</w:t>
      </w:r>
      <w:r w:rsidRPr="009819CE">
        <w:rPr>
          <w:rFonts w:cstheme="minorBidi"/>
        </w:rPr>
        <w:t xml:space="preserve"> in </w:t>
      </w:r>
      <w:r w:rsidR="00C31E47" w:rsidRPr="009819CE">
        <w:rPr>
          <w:rFonts w:cstheme="minorBidi"/>
          <w:i/>
        </w:rPr>
        <w:t>Nephrops</w:t>
      </w:r>
      <w:r w:rsidRPr="009819CE">
        <w:rPr>
          <w:rFonts w:cstheme="minorBidi"/>
        </w:rPr>
        <w:t xml:space="preserve"> is at its lowest </w:t>
      </w:r>
      <w:r w:rsidRPr="009819CE">
        <w:rPr>
          <w:rFonts w:cstheme="minorBidi"/>
        </w:rPr>
        <w:fldChar w:fldCharType="begin"/>
      </w:r>
      <w:r w:rsidR="00231B97" w:rsidRPr="009819CE">
        <w:rPr>
          <w:rFonts w:cstheme="minorBidi"/>
        </w:rPr>
        <w:instrText xml:space="preserve"> ADDIN EN.CITE &lt;EndNote&gt;&lt;Cite&gt;&lt;Author&gt;Hamilton&lt;/Author&gt;&lt;Year&gt;2011&lt;/Year&gt;&lt;RecNum&gt;369&lt;/RecNum&gt;&lt;DisplayText&gt;(Hamilton et al., 2011)&lt;/DisplayText&gt;&lt;record&gt;&lt;rec-number&gt;369&lt;/rec-number&gt;&lt;foreign-keys&gt;&lt;key app="EN" db-id="sd9wrx9fj09rx3erprsx999o0r5aprvp2zse" timestamp="1687855901" guid="679b21b9-0109-4761-8a51-13dc3c95e3cf"&gt;369&lt;/key&gt;&lt;/foreign-keys&gt;&lt;ref-type name="Journal Article"&gt;17&lt;/ref-type&gt;&lt;contributors&gt;&lt;authors&gt;&lt;author&gt;Hamilton, Kristina M.&lt;/author&gt;&lt;author&gt;Tew, Ian F.&lt;/author&gt;&lt;author&gt;Atkinson, Robert James A.&lt;/author&gt;&lt;author&gt;Roberts, Emily C.&lt;/author&gt;&lt;/authors&gt;&lt;/contributors&gt;&lt;titles&gt;&lt;title&gt;&lt;style face="normal" font="default" size="100%"&gt;Occurrence of the parasite genus &lt;/style&gt;&lt;style face="italic" font="default" size="100%"&gt;Hematodinium&lt;/style&gt;&lt;style face="normal" font="default" size="100%"&gt; (Alveolata: &lt;/style&gt;&lt;style face="italic" font="default" size="100%"&gt;Syndinea&lt;/style&gt;&lt;style face="normal" font="default" size="100%"&gt;) in the water column&lt;/style&gt;&lt;/title&gt;&lt;secondary-title&gt;Journal of Eukaryotic Microbiology&lt;/secondary-title&gt;&lt;/titles&gt;&lt;periodical&gt;&lt;full-title&gt;Journal of Eukaryotic Microbiology&lt;/full-title&gt;&lt;/periodical&gt;&lt;pages&gt;446-451&lt;/pages&gt;&lt;volume&gt;58&lt;/volume&gt;&lt;number&gt;5&lt;/number&gt;&lt;keywords&gt;&lt;keyword&gt;Amoebophrya&lt;/keyword&gt;&lt;keyword&gt;Nephrops&lt;/keyword&gt;&lt;keyword&gt;PCR&lt;/keyword&gt;&lt;keyword&gt;alveolate&lt;/keyword&gt;&lt;keyword&gt;crab&lt;/keyword&gt;&lt;keyword&gt;crustacean&lt;/keyword&gt;&lt;keyword&gt;langoustine&lt;/keyword&gt;&lt;keyword&gt;marine&lt;/keyword&gt;&lt;keyword&gt;parasitic&lt;/keyword&gt;&lt;keyword&gt;plankton&lt;/keyword&gt;&lt;/keywords&gt;&lt;dates&gt;&lt;year&gt;2011&lt;/year&gt;&lt;pub-dates&gt;&lt;date&gt;2011/9//&lt;/date&gt;&lt;/pub-dates&gt;&lt;/dates&gt;&lt;urls&gt;&lt;related-urls&gt;&lt;url&gt;http://doi.wiley.com/10.1111/j.1550-7408.2011.00570.x&lt;/url&gt;&lt;/related-urls&gt;&lt;/urls&gt;&lt;electronic-resource-num&gt;10.1111/j.1550-7408.2011.00570.x&lt;/electronic-resource-num&gt;&lt;/record&gt;&lt;/Cite&gt;&lt;/EndNote&gt;</w:instrText>
      </w:r>
      <w:r w:rsidRPr="009819CE">
        <w:rPr>
          <w:rFonts w:cstheme="minorBidi"/>
        </w:rPr>
        <w:fldChar w:fldCharType="separate"/>
      </w:r>
      <w:r w:rsidR="00D50EFF" w:rsidRPr="00A14DD5">
        <w:rPr>
          <w:rFonts w:cstheme="minorBidi"/>
        </w:rPr>
        <w:t>(</w:t>
      </w:r>
      <w:hyperlink w:anchor="_ENREF_123" w:tooltip="Hamilton, 2011 #369" w:history="1">
        <w:r w:rsidR="00950097" w:rsidRPr="00A14DD5">
          <w:rPr>
            <w:rFonts w:cstheme="minorBidi"/>
          </w:rPr>
          <w:t>Hamilton et al., 2011</w:t>
        </w:r>
      </w:hyperlink>
      <w:r w:rsidR="00D50EFF" w:rsidRPr="00A14DD5">
        <w:rPr>
          <w:rFonts w:cstheme="minorBidi"/>
        </w:rPr>
        <w:t>)</w:t>
      </w:r>
      <w:r w:rsidRPr="009819CE">
        <w:rPr>
          <w:rFonts w:cstheme="minorBidi"/>
        </w:rPr>
        <w:fldChar w:fldCharType="end"/>
      </w:r>
      <w:r w:rsidRPr="009819CE">
        <w:rPr>
          <w:rFonts w:cstheme="minorBidi"/>
        </w:rPr>
        <w:t>.</w:t>
      </w:r>
    </w:p>
    <w:p w14:paraId="78E1580F" w14:textId="0CBB555A" w:rsidR="00105001" w:rsidRPr="009819CE" w:rsidRDefault="009D03F4" w:rsidP="00105001">
      <w:pPr>
        <w:pStyle w:val="Heading3"/>
        <w:numPr>
          <w:ilvl w:val="2"/>
          <w:numId w:val="22"/>
        </w:numPr>
        <w:rPr>
          <w:rFonts w:cstheme="minorBidi"/>
          <w:iCs/>
        </w:rPr>
      </w:pPr>
      <w:bookmarkStart w:id="115" w:name="_Toc204106601"/>
      <w:bookmarkEnd w:id="88"/>
      <w:bookmarkEnd w:id="89"/>
      <w:bookmarkEnd w:id="90"/>
      <w:r w:rsidRPr="009819CE">
        <w:rPr>
          <w:rFonts w:cstheme="minorBidi"/>
          <w:i/>
          <w:iCs/>
        </w:rPr>
        <w:t>Hematodinium</w:t>
      </w:r>
      <w:r w:rsidR="00105001" w:rsidRPr="009819CE">
        <w:rPr>
          <w:rFonts w:cstheme="minorBidi"/>
          <w:iCs/>
        </w:rPr>
        <w:t xml:space="preserve"> diagnosis in </w:t>
      </w:r>
      <w:r w:rsidR="00C31E47" w:rsidRPr="009819CE">
        <w:rPr>
          <w:rFonts w:cstheme="minorBidi"/>
          <w:i/>
        </w:rPr>
        <w:t>Nephrops</w:t>
      </w:r>
      <w:bookmarkEnd w:id="115"/>
      <w:r w:rsidR="00105001" w:rsidRPr="009819CE">
        <w:rPr>
          <w:rFonts w:cstheme="minorBidi"/>
          <w:iCs/>
        </w:rPr>
        <w:t xml:space="preserve"> </w:t>
      </w:r>
    </w:p>
    <w:p w14:paraId="2D56BE6E" w14:textId="113A9D6E" w:rsidR="001C32CE" w:rsidRPr="009819CE" w:rsidRDefault="001C32CE" w:rsidP="001C32CE">
      <w:pPr>
        <w:spacing w:before="0" w:after="0"/>
        <w:rPr>
          <w:rFonts w:cstheme="minorBidi"/>
          <w:b/>
          <w:bCs/>
        </w:rPr>
      </w:pPr>
      <w:bookmarkStart w:id="116" w:name="_Ref81486880"/>
      <w:bookmarkStart w:id="117" w:name="_Toc94709946"/>
      <w:r w:rsidRPr="009819CE">
        <w:rPr>
          <w:rFonts w:cstheme="minorBidi"/>
        </w:rPr>
        <w:t xml:space="preserve">Different diagnostic techniques are employed to detect </w:t>
      </w:r>
      <w:r w:rsidR="009D03F4" w:rsidRPr="009819CE">
        <w:rPr>
          <w:rFonts w:cstheme="minorBidi"/>
          <w:i/>
        </w:rPr>
        <w:t>Hematodinium</w:t>
      </w:r>
      <w:r w:rsidRPr="009819CE">
        <w:rPr>
          <w:rFonts w:cstheme="minorBidi"/>
        </w:rPr>
        <w:t xml:space="preserve"> sp. in </w:t>
      </w:r>
      <w:r w:rsidR="00C31E47" w:rsidRPr="009819CE">
        <w:rPr>
          <w:rFonts w:cstheme="minorBidi"/>
          <w:i/>
          <w:iCs/>
        </w:rPr>
        <w:t>Nephrops</w:t>
      </w:r>
      <w:r w:rsidRPr="009819CE">
        <w:rPr>
          <w:rFonts w:cstheme="minorBidi"/>
        </w:rPr>
        <w:t>, and each method has its own specific detection threshold, as presented in</w:t>
      </w:r>
      <w:r w:rsidR="005465E0" w:rsidRPr="009819CE">
        <w:rPr>
          <w:rFonts w:cstheme="minorBidi"/>
        </w:rPr>
        <w:t xml:space="preserve"> </w:t>
      </w:r>
      <w:r w:rsidR="005465E0" w:rsidRPr="009819CE">
        <w:rPr>
          <w:rFonts w:cstheme="minorBidi"/>
        </w:rPr>
        <w:fldChar w:fldCharType="begin"/>
      </w:r>
      <w:r w:rsidR="005465E0" w:rsidRPr="009819CE">
        <w:rPr>
          <w:rFonts w:cstheme="minorBidi"/>
        </w:rPr>
        <w:instrText xml:space="preserve"> REF _Ref171412569 \h </w:instrText>
      </w:r>
      <w:r w:rsidR="008B0BF3" w:rsidRPr="009819CE">
        <w:rPr>
          <w:rFonts w:cstheme="minorBidi"/>
        </w:rPr>
        <w:instrText xml:space="preserve"> \* MERGEFORMAT </w:instrText>
      </w:r>
      <w:r w:rsidR="005465E0" w:rsidRPr="009819CE">
        <w:rPr>
          <w:rFonts w:cstheme="minorBidi"/>
        </w:rPr>
      </w:r>
      <w:r w:rsidR="005465E0" w:rsidRPr="009819CE">
        <w:rPr>
          <w:rFonts w:cstheme="minorBidi"/>
        </w:rPr>
        <w:fldChar w:fldCharType="separate"/>
      </w:r>
      <w:r w:rsidR="008549FC" w:rsidRPr="009819CE">
        <w:rPr>
          <w:rFonts w:cstheme="minorBidi"/>
          <w:b/>
          <w:sz w:val="22"/>
          <w:szCs w:val="22"/>
        </w:rPr>
        <w:t xml:space="preserve">Table </w:t>
      </w:r>
      <w:r w:rsidR="008549FC">
        <w:rPr>
          <w:rFonts w:cstheme="minorBidi"/>
          <w:b/>
          <w:sz w:val="22"/>
          <w:szCs w:val="22"/>
        </w:rPr>
        <w:t>1.2</w:t>
      </w:r>
      <w:r w:rsidR="005465E0" w:rsidRPr="009819CE">
        <w:rPr>
          <w:rFonts w:cstheme="minorBidi"/>
        </w:rPr>
        <w:fldChar w:fldCharType="end"/>
      </w:r>
      <w:r w:rsidRPr="009819CE">
        <w:rPr>
          <w:rFonts w:cstheme="minorBidi"/>
        </w:rPr>
        <w:t>.</w:t>
      </w:r>
    </w:p>
    <w:p w14:paraId="735498D2" w14:textId="77777777" w:rsidR="001C2AAA" w:rsidRPr="009819CE" w:rsidRDefault="001C2AAA" w:rsidP="00105001">
      <w:pPr>
        <w:spacing w:before="0" w:after="0"/>
        <w:rPr>
          <w:rFonts w:cstheme="minorBidi"/>
          <w:b/>
        </w:rPr>
        <w:sectPr w:rsidR="001C2AAA" w:rsidRPr="009819CE" w:rsidSect="001B0CD2">
          <w:pgSz w:w="11906" w:h="16838" w:code="9"/>
          <w:pgMar w:top="1440" w:right="1440" w:bottom="1440" w:left="1440" w:header="709" w:footer="709" w:gutter="0"/>
          <w:cols w:space="518"/>
          <w:docGrid w:linePitch="360"/>
        </w:sectPr>
      </w:pPr>
    </w:p>
    <w:p w14:paraId="20E47F85" w14:textId="77777777" w:rsidR="00105001" w:rsidRPr="009819CE" w:rsidRDefault="00105001" w:rsidP="00105001">
      <w:pPr>
        <w:spacing w:before="0" w:after="0"/>
        <w:rPr>
          <w:rFonts w:cstheme="minorBidi"/>
          <w:b/>
        </w:rPr>
      </w:pPr>
    </w:p>
    <w:p w14:paraId="78FCD1FA" w14:textId="3850BF66" w:rsidR="00105001" w:rsidRPr="009819CE" w:rsidRDefault="00105001" w:rsidP="00A438F1">
      <w:pPr>
        <w:spacing w:before="0" w:line="240" w:lineRule="auto"/>
        <w:rPr>
          <w:rFonts w:cstheme="minorBidi"/>
          <w:sz w:val="22"/>
          <w:szCs w:val="22"/>
        </w:rPr>
      </w:pPr>
      <w:bookmarkStart w:id="118" w:name="_Ref171412569"/>
      <w:bookmarkStart w:id="119" w:name="_Toc140068668"/>
      <w:bookmarkStart w:id="120" w:name="_Toc202273058"/>
      <w:bookmarkStart w:id="121" w:name="_Toc204106756"/>
      <w:r w:rsidRPr="009819CE">
        <w:rPr>
          <w:rFonts w:cstheme="minorBidi"/>
          <w:b/>
          <w:sz w:val="22"/>
          <w:szCs w:val="22"/>
        </w:rPr>
        <w:t xml:space="preserve">Table </w:t>
      </w:r>
      <w:r w:rsidR="0095522A">
        <w:rPr>
          <w:rFonts w:cstheme="minorBidi"/>
          <w:b/>
          <w:sz w:val="22"/>
          <w:szCs w:val="22"/>
        </w:rPr>
        <w:fldChar w:fldCharType="begin"/>
      </w:r>
      <w:r w:rsidR="0095522A">
        <w:rPr>
          <w:rFonts w:cstheme="minorBidi"/>
          <w:b/>
          <w:sz w:val="22"/>
          <w:szCs w:val="22"/>
        </w:rPr>
        <w:instrText xml:space="preserve"> STYLEREF 1 \s </w:instrText>
      </w:r>
      <w:r w:rsidR="0095522A">
        <w:rPr>
          <w:rFonts w:cstheme="minorBidi"/>
          <w:b/>
          <w:sz w:val="22"/>
          <w:szCs w:val="22"/>
        </w:rPr>
        <w:fldChar w:fldCharType="separate"/>
      </w:r>
      <w:r w:rsidR="008549FC">
        <w:rPr>
          <w:rFonts w:cstheme="minorBidi"/>
          <w:b/>
          <w:noProof/>
          <w:sz w:val="22"/>
          <w:szCs w:val="22"/>
        </w:rPr>
        <w:t>1</w:t>
      </w:r>
      <w:r w:rsidR="0095522A">
        <w:rPr>
          <w:rFonts w:cstheme="minorBidi"/>
          <w:b/>
          <w:sz w:val="22"/>
          <w:szCs w:val="22"/>
        </w:rPr>
        <w:fldChar w:fldCharType="end"/>
      </w:r>
      <w:r w:rsidR="0095522A">
        <w:rPr>
          <w:rFonts w:cstheme="minorBidi"/>
          <w:b/>
          <w:sz w:val="22"/>
          <w:szCs w:val="22"/>
        </w:rPr>
        <w:t>.</w:t>
      </w:r>
      <w:r w:rsidR="0095522A">
        <w:rPr>
          <w:rFonts w:cstheme="minorBidi"/>
          <w:b/>
          <w:sz w:val="22"/>
          <w:szCs w:val="22"/>
        </w:rPr>
        <w:fldChar w:fldCharType="begin"/>
      </w:r>
      <w:r w:rsidR="0095522A">
        <w:rPr>
          <w:rFonts w:cstheme="minorBidi"/>
          <w:b/>
          <w:sz w:val="22"/>
          <w:szCs w:val="22"/>
        </w:rPr>
        <w:instrText xml:space="preserve"> SEQ Table \* ARABIC \s 1 </w:instrText>
      </w:r>
      <w:r w:rsidR="0095522A">
        <w:rPr>
          <w:rFonts w:cstheme="minorBidi"/>
          <w:b/>
          <w:sz w:val="22"/>
          <w:szCs w:val="22"/>
        </w:rPr>
        <w:fldChar w:fldCharType="separate"/>
      </w:r>
      <w:r w:rsidR="008549FC">
        <w:rPr>
          <w:rFonts w:cstheme="minorBidi"/>
          <w:b/>
          <w:noProof/>
          <w:sz w:val="22"/>
          <w:szCs w:val="22"/>
        </w:rPr>
        <w:t>2</w:t>
      </w:r>
      <w:r w:rsidR="0095522A">
        <w:rPr>
          <w:rFonts w:cstheme="minorBidi"/>
          <w:b/>
          <w:sz w:val="22"/>
          <w:szCs w:val="22"/>
        </w:rPr>
        <w:fldChar w:fldCharType="end"/>
      </w:r>
      <w:bookmarkEnd w:id="116"/>
      <w:bookmarkEnd w:id="118"/>
      <w:r w:rsidRPr="009819CE">
        <w:rPr>
          <w:rFonts w:cstheme="minorBidi"/>
          <w:sz w:val="22"/>
          <w:szCs w:val="22"/>
        </w:rPr>
        <w:t xml:space="preserve"> The detection thresholds (n</w:t>
      </w:r>
      <w:r w:rsidR="00870AEA" w:rsidRPr="00FA7D47">
        <w:rPr>
          <w:rFonts w:cstheme="minorBidi"/>
          <w:sz w:val="22"/>
          <w:szCs w:val="22"/>
        </w:rPr>
        <w:t>umber</w:t>
      </w:r>
      <w:r w:rsidRPr="009819CE">
        <w:rPr>
          <w:rFonts w:cstheme="minorBidi"/>
          <w:sz w:val="22"/>
          <w:szCs w:val="22"/>
        </w:rPr>
        <w:t xml:space="preserve"> of parasites per </w:t>
      </w:r>
      <w:r w:rsidR="00465AEB" w:rsidRPr="009819CE">
        <w:rPr>
          <w:rFonts w:cstheme="minorBidi"/>
          <w:sz w:val="22"/>
          <w:szCs w:val="22"/>
        </w:rPr>
        <w:t xml:space="preserve">mL </w:t>
      </w:r>
      <w:r w:rsidRPr="009819CE">
        <w:rPr>
          <w:rFonts w:cstheme="minorBidi"/>
          <w:sz w:val="22"/>
          <w:szCs w:val="22"/>
        </w:rPr>
        <w:t xml:space="preserve">of haemolymph) of the main tests used to diagnose </w:t>
      </w:r>
      <w:r w:rsidR="009D03F4" w:rsidRPr="009819CE">
        <w:rPr>
          <w:rFonts w:cstheme="minorBidi"/>
          <w:i/>
          <w:sz w:val="22"/>
          <w:szCs w:val="22"/>
        </w:rPr>
        <w:t>Hematodinium</w:t>
      </w:r>
      <w:r w:rsidRPr="009819CE">
        <w:rPr>
          <w:rFonts w:cstheme="minorBidi"/>
          <w:sz w:val="22"/>
          <w:szCs w:val="22"/>
        </w:rPr>
        <w:t xml:space="preserve"> infection in </w:t>
      </w:r>
      <w:r w:rsidR="00C31E47" w:rsidRPr="009819CE">
        <w:rPr>
          <w:rFonts w:cstheme="minorBidi"/>
          <w:i/>
          <w:sz w:val="22"/>
          <w:szCs w:val="22"/>
        </w:rPr>
        <w:t>Nephrops</w:t>
      </w:r>
      <w:r w:rsidRPr="009819CE">
        <w:rPr>
          <w:rFonts w:cstheme="minorBidi"/>
          <w:sz w:val="22"/>
          <w:szCs w:val="22"/>
        </w:rPr>
        <w:t>.</w:t>
      </w:r>
      <w:bookmarkEnd w:id="117"/>
      <w:bookmarkEnd w:id="119"/>
      <w:bookmarkEnd w:id="120"/>
      <w:bookmarkEnd w:id="121"/>
      <w:r w:rsidRPr="009819CE">
        <w:rPr>
          <w:rFonts w:cstheme="minorBidi"/>
          <w:sz w:val="22"/>
          <w:szCs w:val="22"/>
        </w:rPr>
        <w:t xml:space="preserve"> </w:t>
      </w:r>
    </w:p>
    <w:tbl>
      <w:tblPr>
        <w:tblStyle w:val="TableGrid1"/>
        <w:tblW w:w="0" w:type="auto"/>
        <w:tblLook w:val="04A0" w:firstRow="1" w:lastRow="0" w:firstColumn="1" w:lastColumn="0" w:noHBand="0" w:noVBand="1"/>
      </w:tblPr>
      <w:tblGrid>
        <w:gridCol w:w="3005"/>
        <w:gridCol w:w="3005"/>
        <w:gridCol w:w="3006"/>
      </w:tblGrid>
      <w:tr w:rsidR="00105001" w:rsidRPr="00FA7D47" w14:paraId="0BDF8A28" w14:textId="77777777" w:rsidTr="00D55629">
        <w:trPr>
          <w:trHeight w:val="298"/>
        </w:trPr>
        <w:tc>
          <w:tcPr>
            <w:tcW w:w="3005" w:type="dxa"/>
            <w:tcBorders>
              <w:top w:val="single" w:sz="4" w:space="0" w:color="auto"/>
              <w:left w:val="single" w:sz="4" w:space="0" w:color="auto"/>
              <w:bottom w:val="single" w:sz="4" w:space="0" w:color="auto"/>
              <w:right w:val="single" w:sz="4" w:space="0" w:color="auto"/>
            </w:tcBorders>
            <w:vAlign w:val="center"/>
            <w:hideMark/>
          </w:tcPr>
          <w:p w14:paraId="16105AA9" w14:textId="77777777" w:rsidR="00105001" w:rsidRPr="009819CE" w:rsidRDefault="00105001" w:rsidP="007D6607">
            <w:pPr>
              <w:spacing w:before="0" w:after="0" w:line="240" w:lineRule="auto"/>
              <w:jc w:val="center"/>
              <w:rPr>
                <w:rFonts w:cstheme="minorBidi"/>
                <w:b/>
                <w:bCs/>
                <w:sz w:val="22"/>
                <w:szCs w:val="22"/>
                <w:lang w:val="en-GB"/>
                <w14:ligatures w14:val="none"/>
              </w:rPr>
            </w:pPr>
            <w:r w:rsidRPr="009819CE">
              <w:rPr>
                <w:rFonts w:cstheme="minorBidi"/>
                <w:b/>
                <w:bCs/>
                <w:sz w:val="22"/>
                <w:szCs w:val="22"/>
                <w:lang w:val="en-GB"/>
                <w14:ligatures w14:val="none"/>
              </w:rPr>
              <w:t>Method</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C72BC2C" w14:textId="77777777" w:rsidR="00105001" w:rsidRPr="009819CE" w:rsidRDefault="00105001" w:rsidP="007D6607">
            <w:pPr>
              <w:spacing w:before="0" w:after="0" w:line="240" w:lineRule="auto"/>
              <w:jc w:val="center"/>
              <w:rPr>
                <w:rFonts w:cstheme="minorBidi"/>
                <w:b/>
                <w:bCs/>
                <w:sz w:val="22"/>
                <w:szCs w:val="22"/>
                <w:lang w:val="en-GB"/>
                <w14:ligatures w14:val="none"/>
              </w:rPr>
            </w:pPr>
            <w:r w:rsidRPr="009819CE">
              <w:rPr>
                <w:rFonts w:cstheme="minorBidi"/>
                <w:b/>
                <w:bCs/>
                <w:sz w:val="22"/>
                <w:szCs w:val="22"/>
                <w:lang w:val="en-GB"/>
                <w14:ligatures w14:val="none"/>
              </w:rPr>
              <w:t>Detection Threshold</w:t>
            </w:r>
          </w:p>
        </w:tc>
        <w:tc>
          <w:tcPr>
            <w:tcW w:w="3006" w:type="dxa"/>
            <w:tcBorders>
              <w:top w:val="single" w:sz="4" w:space="0" w:color="auto"/>
              <w:left w:val="single" w:sz="4" w:space="0" w:color="auto"/>
              <w:bottom w:val="single" w:sz="4" w:space="0" w:color="auto"/>
              <w:right w:val="single" w:sz="4" w:space="0" w:color="auto"/>
            </w:tcBorders>
            <w:vAlign w:val="center"/>
            <w:hideMark/>
          </w:tcPr>
          <w:p w14:paraId="28A98EFF" w14:textId="77777777" w:rsidR="00105001" w:rsidRPr="009819CE" w:rsidRDefault="00105001" w:rsidP="007D6607">
            <w:pPr>
              <w:spacing w:before="0" w:after="0" w:line="240" w:lineRule="auto"/>
              <w:jc w:val="center"/>
              <w:rPr>
                <w:rFonts w:cstheme="minorBidi"/>
                <w:b/>
                <w:bCs/>
                <w:sz w:val="22"/>
                <w:szCs w:val="22"/>
                <w:lang w:val="en-GB"/>
                <w14:ligatures w14:val="none"/>
              </w:rPr>
            </w:pPr>
            <w:r w:rsidRPr="009819CE">
              <w:rPr>
                <w:rFonts w:cstheme="minorBidi"/>
                <w:b/>
                <w:bCs/>
                <w:sz w:val="22"/>
                <w:szCs w:val="22"/>
                <w:lang w:val="en-GB"/>
                <w14:ligatures w14:val="none"/>
              </w:rPr>
              <w:t>Reference</w:t>
            </w:r>
          </w:p>
        </w:tc>
      </w:tr>
      <w:tr w:rsidR="00105001" w:rsidRPr="00FA7D47" w14:paraId="00A84CD3" w14:textId="77777777" w:rsidTr="00D55629">
        <w:trPr>
          <w:trHeight w:val="325"/>
        </w:trPr>
        <w:tc>
          <w:tcPr>
            <w:tcW w:w="3005" w:type="dxa"/>
            <w:tcBorders>
              <w:top w:val="single" w:sz="4" w:space="0" w:color="auto"/>
              <w:left w:val="single" w:sz="4" w:space="0" w:color="auto"/>
              <w:bottom w:val="single" w:sz="4" w:space="0" w:color="auto"/>
              <w:right w:val="single" w:sz="4" w:space="0" w:color="auto"/>
            </w:tcBorders>
            <w:vAlign w:val="center"/>
            <w:hideMark/>
          </w:tcPr>
          <w:p w14:paraId="19C3D8E1" w14:textId="7777777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Body-colour</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963F9FF" w14:textId="0CE8F101"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 xml:space="preserve">5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7</w:t>
            </w:r>
          </w:p>
        </w:tc>
        <w:tc>
          <w:tcPr>
            <w:tcW w:w="3006" w:type="dxa"/>
            <w:tcBorders>
              <w:top w:val="single" w:sz="4" w:space="0" w:color="auto"/>
              <w:left w:val="single" w:sz="4" w:space="0" w:color="auto"/>
              <w:bottom w:val="single" w:sz="4" w:space="0" w:color="auto"/>
              <w:right w:val="single" w:sz="4" w:space="0" w:color="auto"/>
            </w:tcBorders>
            <w:vAlign w:val="center"/>
            <w:hideMark/>
          </w:tcPr>
          <w:p w14:paraId="5B7A5F56" w14:textId="0425AEA7" w:rsidR="00105001" w:rsidRPr="00D2371A" w:rsidRDefault="00105001"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00ED1A9E" w:rsidRPr="00D2371A">
              <w:rPr>
                <w:rFonts w:cstheme="minorBidi"/>
                <w:sz w:val="22"/>
                <w:szCs w:val="22"/>
              </w:rPr>
              <w:instrText xml:space="preserve"> ADDIN EN.CITE &lt;EndNote&gt;&lt;Cite&gt;&lt;Author&gt;Field&lt;/Author&gt;&lt;Year&gt;1992&lt;/Year&gt;&lt;RecNum&gt;481&lt;/RecNum&gt;&lt;DisplayText&gt;(Field,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Pr="00A14DD5">
              <w:rPr>
                <w:rFonts w:cstheme="minorBidi"/>
                <w:sz w:val="22"/>
                <w:szCs w:val="22"/>
              </w:rPr>
              <w:fldChar w:fldCharType="separate"/>
            </w:r>
            <w:r w:rsidR="00D50EFF" w:rsidRPr="00A14DD5">
              <w:rPr>
                <w:rFonts w:cstheme="minorBidi"/>
                <w:sz w:val="22"/>
                <w:szCs w:val="22"/>
              </w:rPr>
              <w:t>(</w:t>
            </w:r>
            <w:hyperlink w:anchor="_ENREF_91" w:tooltip="Field, 1992 #481" w:history="1">
              <w:r w:rsidR="00950097" w:rsidRPr="00A14DD5">
                <w:rPr>
                  <w:rFonts w:cstheme="minorBidi"/>
                  <w:sz w:val="22"/>
                  <w:szCs w:val="22"/>
                </w:rPr>
                <w:t>Field, 1992</w:t>
              </w:r>
            </w:hyperlink>
            <w:r w:rsidR="00D50EFF" w:rsidRPr="00A14DD5">
              <w:rPr>
                <w:rFonts w:cstheme="minorBidi"/>
                <w:sz w:val="22"/>
                <w:szCs w:val="22"/>
              </w:rPr>
              <w:t>)</w:t>
            </w:r>
            <w:r w:rsidRPr="00A14DD5">
              <w:rPr>
                <w:rFonts w:cstheme="minorBidi"/>
                <w:sz w:val="22"/>
                <w:szCs w:val="22"/>
              </w:rPr>
              <w:fldChar w:fldCharType="end"/>
            </w:r>
          </w:p>
        </w:tc>
      </w:tr>
      <w:tr w:rsidR="00105001" w:rsidRPr="00FA7D47" w14:paraId="491FE3C9"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hideMark/>
          </w:tcPr>
          <w:p w14:paraId="5397E151" w14:textId="7777777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Pleopod-S4</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4ABAFC8" w14:textId="5F7258C0"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 xml:space="preserve">8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7</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98331F2" w14:textId="777FA0D3" w:rsidR="00105001" w:rsidRPr="00D2371A" w:rsidRDefault="00105001"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005F31D5" w:rsidRPr="00D2371A">
              <w:rPr>
                <w:rFonts w:cstheme="minorBidi"/>
                <w:sz w:val="22"/>
                <w:szCs w:val="22"/>
                <w:lang w:val="en-GB"/>
                <w14:ligatures w14:val="none"/>
              </w:rPr>
              <w:instrText xml:space="preserve"> ADDIN EN.CITE &lt;EndNote&gt;&lt;Cite&gt;&lt;Author&gt;Appleton&lt;/Author&gt;&lt;Year&gt;1996&lt;/Year&gt;&lt;RecNum&gt;108&lt;/RecNum&gt;&lt;DisplayText&gt;(Appleton,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Pr="00A14DD5">
              <w:rPr>
                <w:rFonts w:cstheme="minorBidi"/>
                <w:sz w:val="22"/>
                <w:szCs w:val="22"/>
              </w:rPr>
              <w:fldChar w:fldCharType="separate"/>
            </w:r>
            <w:r w:rsidR="00A8698B" w:rsidRPr="00D2371A">
              <w:rPr>
                <w:rFonts w:cstheme="minorBidi"/>
                <w:noProof/>
                <w:sz w:val="22"/>
                <w:szCs w:val="22"/>
              </w:rPr>
              <w:t>(</w:t>
            </w:r>
            <w:hyperlink w:anchor="_ENREF_16" w:tooltip="Appleton, 1996 #108" w:history="1">
              <w:r w:rsidR="00950097" w:rsidRPr="00D2371A">
                <w:rPr>
                  <w:rFonts w:cstheme="minorBidi"/>
                  <w:noProof/>
                  <w:sz w:val="22"/>
                  <w:szCs w:val="22"/>
                </w:rPr>
                <w:t>Appleton, 1996</w:t>
              </w:r>
            </w:hyperlink>
            <w:r w:rsidR="00A8698B" w:rsidRPr="00D2371A">
              <w:rPr>
                <w:rFonts w:cstheme="minorBidi"/>
                <w:noProof/>
                <w:sz w:val="22"/>
                <w:szCs w:val="22"/>
              </w:rPr>
              <w:t>)</w:t>
            </w:r>
            <w:r w:rsidRPr="00A14DD5">
              <w:rPr>
                <w:rFonts w:cstheme="minorBidi"/>
                <w:sz w:val="22"/>
                <w:szCs w:val="22"/>
              </w:rPr>
              <w:fldChar w:fldCharType="end"/>
            </w:r>
          </w:p>
        </w:tc>
      </w:tr>
      <w:tr w:rsidR="00105001" w:rsidRPr="00FA7D47" w14:paraId="13085FF3"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hideMark/>
          </w:tcPr>
          <w:p w14:paraId="67726BCF" w14:textId="7777777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Pleopod-S3</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B9EE394" w14:textId="40C3B01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 xml:space="preserve">5.2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7</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98D7684" w14:textId="04EC9797" w:rsidR="00105001" w:rsidRPr="00D2371A" w:rsidRDefault="00105001"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005F31D5" w:rsidRPr="00D2371A">
              <w:rPr>
                <w:rFonts w:cstheme="minorBidi"/>
                <w:sz w:val="22"/>
                <w:szCs w:val="22"/>
                <w:lang w:val="en-GB"/>
                <w14:ligatures w14:val="none"/>
              </w:rPr>
              <w:instrText xml:space="preserve"> ADDIN EN.CITE &lt;EndNote&gt;&lt;Cite&gt;&lt;Author&gt;Appleton&lt;/Author&gt;&lt;Year&gt;1996&lt;/Year&gt;&lt;RecNum&gt;108&lt;/RecNum&gt;&lt;DisplayText&gt;(Appleton,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Pr="00A14DD5">
              <w:rPr>
                <w:rFonts w:cstheme="minorBidi"/>
                <w:sz w:val="22"/>
                <w:szCs w:val="22"/>
              </w:rPr>
              <w:fldChar w:fldCharType="separate"/>
            </w:r>
            <w:r w:rsidR="00A8698B" w:rsidRPr="00D2371A">
              <w:rPr>
                <w:rFonts w:cstheme="minorBidi"/>
                <w:noProof/>
                <w:sz w:val="22"/>
                <w:szCs w:val="22"/>
              </w:rPr>
              <w:t>(</w:t>
            </w:r>
            <w:hyperlink w:anchor="_ENREF_16" w:tooltip="Appleton, 1996 #108" w:history="1">
              <w:r w:rsidR="00950097" w:rsidRPr="00D2371A">
                <w:rPr>
                  <w:rFonts w:cstheme="minorBidi"/>
                  <w:noProof/>
                  <w:sz w:val="22"/>
                  <w:szCs w:val="22"/>
                </w:rPr>
                <w:t>Appleton, 1996</w:t>
              </w:r>
            </w:hyperlink>
            <w:r w:rsidR="00A8698B" w:rsidRPr="00D2371A">
              <w:rPr>
                <w:rFonts w:cstheme="minorBidi"/>
                <w:noProof/>
                <w:sz w:val="22"/>
                <w:szCs w:val="22"/>
              </w:rPr>
              <w:t>)</w:t>
            </w:r>
            <w:r w:rsidRPr="00A14DD5">
              <w:rPr>
                <w:rFonts w:cstheme="minorBidi"/>
                <w:sz w:val="22"/>
                <w:szCs w:val="22"/>
              </w:rPr>
              <w:fldChar w:fldCharType="end"/>
            </w:r>
          </w:p>
        </w:tc>
      </w:tr>
      <w:tr w:rsidR="00105001" w:rsidRPr="00FA7D47" w14:paraId="7B89C49A" w14:textId="77777777" w:rsidTr="00D55629">
        <w:trPr>
          <w:trHeight w:val="325"/>
        </w:trPr>
        <w:tc>
          <w:tcPr>
            <w:tcW w:w="3005" w:type="dxa"/>
            <w:tcBorders>
              <w:top w:val="single" w:sz="4" w:space="0" w:color="auto"/>
              <w:left w:val="single" w:sz="4" w:space="0" w:color="auto"/>
              <w:bottom w:val="single" w:sz="4" w:space="0" w:color="auto"/>
              <w:right w:val="single" w:sz="4" w:space="0" w:color="auto"/>
            </w:tcBorders>
            <w:vAlign w:val="center"/>
            <w:hideMark/>
          </w:tcPr>
          <w:p w14:paraId="4355B762" w14:textId="7777777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Pleopod-S2</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A68F6BA" w14:textId="2E47433D"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 xml:space="preserve">1.4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7</w:t>
            </w:r>
          </w:p>
        </w:tc>
        <w:tc>
          <w:tcPr>
            <w:tcW w:w="3006" w:type="dxa"/>
            <w:tcBorders>
              <w:top w:val="single" w:sz="4" w:space="0" w:color="auto"/>
              <w:left w:val="single" w:sz="4" w:space="0" w:color="auto"/>
              <w:bottom w:val="single" w:sz="4" w:space="0" w:color="auto"/>
              <w:right w:val="single" w:sz="4" w:space="0" w:color="auto"/>
            </w:tcBorders>
            <w:vAlign w:val="center"/>
            <w:hideMark/>
          </w:tcPr>
          <w:p w14:paraId="37CE2C64" w14:textId="6726273D" w:rsidR="00105001" w:rsidRPr="00D2371A" w:rsidRDefault="00105001"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005F31D5" w:rsidRPr="00D2371A">
              <w:rPr>
                <w:rFonts w:cstheme="minorBidi"/>
                <w:sz w:val="22"/>
                <w:szCs w:val="22"/>
                <w:lang w:val="en-GB"/>
                <w14:ligatures w14:val="none"/>
              </w:rPr>
              <w:instrText xml:space="preserve"> ADDIN EN.CITE &lt;EndNote&gt;&lt;Cite&gt;&lt;Author&gt;Appleton&lt;/Author&gt;&lt;Year&gt;1996&lt;/Year&gt;&lt;RecNum&gt;108&lt;/RecNum&gt;&lt;DisplayText&gt;(Appleton,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Pr="00A14DD5">
              <w:rPr>
                <w:rFonts w:cstheme="minorBidi"/>
                <w:sz w:val="22"/>
                <w:szCs w:val="22"/>
              </w:rPr>
              <w:fldChar w:fldCharType="separate"/>
            </w:r>
            <w:r w:rsidR="00A8698B" w:rsidRPr="00D2371A">
              <w:rPr>
                <w:rFonts w:cstheme="minorBidi"/>
                <w:noProof/>
                <w:sz w:val="22"/>
                <w:szCs w:val="22"/>
              </w:rPr>
              <w:t>(</w:t>
            </w:r>
            <w:hyperlink w:anchor="_ENREF_16" w:tooltip="Appleton, 1996 #108" w:history="1">
              <w:r w:rsidR="00950097" w:rsidRPr="00D2371A">
                <w:rPr>
                  <w:rFonts w:cstheme="minorBidi"/>
                  <w:noProof/>
                  <w:sz w:val="22"/>
                  <w:szCs w:val="22"/>
                </w:rPr>
                <w:t>Appleton, 1996</w:t>
              </w:r>
            </w:hyperlink>
            <w:r w:rsidR="00A8698B" w:rsidRPr="00D2371A">
              <w:rPr>
                <w:rFonts w:cstheme="minorBidi"/>
                <w:noProof/>
                <w:sz w:val="22"/>
                <w:szCs w:val="22"/>
              </w:rPr>
              <w:t>)</w:t>
            </w:r>
            <w:r w:rsidRPr="00A14DD5">
              <w:rPr>
                <w:rFonts w:cstheme="minorBidi"/>
                <w:sz w:val="22"/>
                <w:szCs w:val="22"/>
              </w:rPr>
              <w:fldChar w:fldCharType="end"/>
            </w:r>
          </w:p>
        </w:tc>
      </w:tr>
      <w:tr w:rsidR="00105001" w:rsidRPr="00FA7D47" w14:paraId="10D934C8"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hideMark/>
          </w:tcPr>
          <w:p w14:paraId="6F4844B3" w14:textId="7777777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Pleopod-S1</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2807180" w14:textId="7EEB4FAD"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 xml:space="preserve">2.4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6</w:t>
            </w:r>
          </w:p>
        </w:tc>
        <w:tc>
          <w:tcPr>
            <w:tcW w:w="3006" w:type="dxa"/>
            <w:tcBorders>
              <w:top w:val="single" w:sz="4" w:space="0" w:color="auto"/>
              <w:left w:val="single" w:sz="4" w:space="0" w:color="auto"/>
              <w:bottom w:val="single" w:sz="4" w:space="0" w:color="auto"/>
              <w:right w:val="single" w:sz="4" w:space="0" w:color="auto"/>
            </w:tcBorders>
            <w:vAlign w:val="center"/>
            <w:hideMark/>
          </w:tcPr>
          <w:p w14:paraId="548F19AF" w14:textId="7A99C756" w:rsidR="00105001" w:rsidRPr="00D2371A" w:rsidRDefault="00105001"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005F31D5" w:rsidRPr="00D2371A">
              <w:rPr>
                <w:rFonts w:cstheme="minorBidi"/>
                <w:sz w:val="22"/>
                <w:szCs w:val="22"/>
                <w:lang w:val="en-GB"/>
                <w14:ligatures w14:val="none"/>
              </w:rPr>
              <w:instrText xml:space="preserve"> ADDIN EN.CITE &lt;EndNote&gt;&lt;Cite&gt;&lt;Author&gt;Appleton&lt;/Author&gt;&lt;Year&gt;1996&lt;/Year&gt;&lt;RecNum&gt;108&lt;/RecNum&gt;&lt;DisplayText&gt;(Appleton,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Pr="00A14DD5">
              <w:rPr>
                <w:rFonts w:cstheme="minorBidi"/>
                <w:sz w:val="22"/>
                <w:szCs w:val="22"/>
              </w:rPr>
              <w:fldChar w:fldCharType="separate"/>
            </w:r>
            <w:r w:rsidR="00A8698B" w:rsidRPr="00D2371A">
              <w:rPr>
                <w:rFonts w:cstheme="minorBidi"/>
                <w:noProof/>
                <w:sz w:val="22"/>
                <w:szCs w:val="22"/>
              </w:rPr>
              <w:t>(</w:t>
            </w:r>
            <w:hyperlink w:anchor="_ENREF_16" w:tooltip="Appleton, 1996 #108" w:history="1">
              <w:r w:rsidR="00950097" w:rsidRPr="00D2371A">
                <w:rPr>
                  <w:rFonts w:cstheme="minorBidi"/>
                  <w:noProof/>
                  <w:sz w:val="22"/>
                  <w:szCs w:val="22"/>
                </w:rPr>
                <w:t>Appleton, 1996</w:t>
              </w:r>
            </w:hyperlink>
            <w:r w:rsidR="00A8698B" w:rsidRPr="00D2371A">
              <w:rPr>
                <w:rFonts w:cstheme="minorBidi"/>
                <w:noProof/>
                <w:sz w:val="22"/>
                <w:szCs w:val="22"/>
              </w:rPr>
              <w:t>)</w:t>
            </w:r>
            <w:r w:rsidRPr="00A14DD5">
              <w:rPr>
                <w:rFonts w:cstheme="minorBidi"/>
                <w:sz w:val="22"/>
                <w:szCs w:val="22"/>
              </w:rPr>
              <w:fldChar w:fldCharType="end"/>
            </w:r>
          </w:p>
        </w:tc>
      </w:tr>
      <w:tr w:rsidR="00105001" w:rsidRPr="00FA7D47" w14:paraId="38D182DD" w14:textId="77777777" w:rsidTr="00D55629">
        <w:trPr>
          <w:trHeight w:val="325"/>
        </w:trPr>
        <w:tc>
          <w:tcPr>
            <w:tcW w:w="3005" w:type="dxa"/>
            <w:tcBorders>
              <w:top w:val="single" w:sz="4" w:space="0" w:color="auto"/>
              <w:left w:val="single" w:sz="4" w:space="0" w:color="auto"/>
              <w:bottom w:val="single" w:sz="4" w:space="0" w:color="auto"/>
              <w:right w:val="single" w:sz="4" w:space="0" w:color="auto"/>
            </w:tcBorders>
            <w:vAlign w:val="center"/>
            <w:hideMark/>
          </w:tcPr>
          <w:p w14:paraId="77CA86D6" w14:textId="77777777"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Western blot Immunoassay</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FA3CA10" w14:textId="245C9BDB" w:rsidR="00105001" w:rsidRPr="00D2371A" w:rsidRDefault="00105001"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 xml:space="preserve">2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5</w:t>
            </w:r>
          </w:p>
        </w:tc>
        <w:tc>
          <w:tcPr>
            <w:tcW w:w="3006" w:type="dxa"/>
            <w:tcBorders>
              <w:top w:val="single" w:sz="4" w:space="0" w:color="auto"/>
              <w:left w:val="single" w:sz="4" w:space="0" w:color="auto"/>
              <w:bottom w:val="single" w:sz="4" w:space="0" w:color="auto"/>
              <w:right w:val="single" w:sz="4" w:space="0" w:color="auto"/>
            </w:tcBorders>
            <w:vAlign w:val="center"/>
            <w:hideMark/>
          </w:tcPr>
          <w:p w14:paraId="398B8747" w14:textId="0CFCB2E4" w:rsidR="00105001" w:rsidRPr="00D2371A" w:rsidRDefault="00425BCE"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fldData xml:space="preserve">PEVuZE5vdGU+PENpdGU+PEF1dGhvcj5TdGVudGlmb3JkPC9BdXRob3I+PFllYXI+MjAwMTwvWWVh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</w:fldData>
              </w:fldChar>
            </w:r>
            <w:r w:rsidR="00ED1A9E" w:rsidRPr="00D2371A">
              <w:rPr>
                <w:rFonts w:cstheme="minorBidi"/>
                <w:sz w:val="22"/>
                <w:szCs w:val="22"/>
              </w:rPr>
              <w:instrText xml:space="preserve"> ADDIN EN.CITE </w:instrText>
            </w:r>
            <w:r w:rsidR="00ED1A9E" w:rsidRPr="00A14DD5">
              <w:rPr>
                <w:rFonts w:cstheme="minorBidi"/>
                <w:sz w:val="22"/>
                <w:szCs w:val="22"/>
              </w:rPr>
              <w:fldChar w:fldCharType="begin">
                <w:fldData xml:space="preserve">PEVuZE5vdGU+PENpdGU+PEF1dGhvcj5TdGVudGlmb3JkPC9BdXRob3I+PFllYXI+MjAwMTwvWWVh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</w:fldData>
              </w:fldChar>
            </w:r>
            <w:r w:rsidR="00ED1A9E" w:rsidRPr="00D2371A">
              <w:rPr>
                <w:rFonts w:cstheme="minorBidi"/>
                <w:sz w:val="22"/>
                <w:szCs w:val="22"/>
              </w:rPr>
              <w:instrText xml:space="preserve"> ADDIN EN.CITE.DATA </w:instrText>
            </w:r>
            <w:r w:rsidR="00ED1A9E" w:rsidRPr="00A14DD5">
              <w:rPr>
                <w:rFonts w:cstheme="minorBidi"/>
                <w:sz w:val="22"/>
                <w:szCs w:val="22"/>
              </w:rPr>
            </w:r>
            <w:r w:rsidR="00ED1A9E" w:rsidRPr="00A14DD5">
              <w:rPr>
                <w:rFonts w:cstheme="minorBidi"/>
                <w:sz w:val="22"/>
                <w:szCs w:val="22"/>
              </w:rPr>
              <w:fldChar w:fldCharType="end"/>
            </w:r>
            <w:r w:rsidRPr="00A14DD5">
              <w:rPr>
                <w:rFonts w:cstheme="minorBidi"/>
                <w:sz w:val="22"/>
                <w:szCs w:val="22"/>
              </w:rPr>
            </w:r>
            <w:r w:rsidRPr="00A14DD5">
              <w:rPr>
                <w:rFonts w:cstheme="minorBidi"/>
                <w:sz w:val="22"/>
                <w:szCs w:val="22"/>
              </w:rPr>
              <w:fldChar w:fldCharType="separate"/>
            </w:r>
            <w:r w:rsidR="00A82560" w:rsidRPr="00A14DD5">
              <w:rPr>
                <w:rFonts w:cstheme="minorBidi"/>
                <w:sz w:val="22"/>
                <w:szCs w:val="22"/>
              </w:rPr>
              <w:t>(</w:t>
            </w:r>
            <w:hyperlink w:anchor="_ENREF_309" w:tooltip="Stentiford, 2001 #1822" w:history="1">
              <w:r w:rsidR="00950097" w:rsidRPr="00A14DD5">
                <w:rPr>
                  <w:rFonts w:cstheme="minorBidi"/>
                  <w:sz w:val="22"/>
                  <w:szCs w:val="22"/>
                </w:rPr>
                <w:t>Stentiford et al., 2001d</w:t>
              </w:r>
            </w:hyperlink>
            <w:r w:rsidR="00A82560" w:rsidRPr="00A14DD5">
              <w:rPr>
                <w:rFonts w:cstheme="minorBidi"/>
                <w:sz w:val="22"/>
                <w:szCs w:val="22"/>
              </w:rPr>
              <w:t>)</w:t>
            </w:r>
            <w:r w:rsidRPr="00A14DD5">
              <w:rPr>
                <w:rFonts w:cstheme="minorBidi"/>
                <w:sz w:val="22"/>
                <w:szCs w:val="22"/>
              </w:rPr>
              <w:fldChar w:fldCharType="end"/>
            </w:r>
          </w:p>
        </w:tc>
      </w:tr>
      <w:tr w:rsidR="00105001" w:rsidRPr="00FA7D47" w14:paraId="683D418A"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hideMark/>
          </w:tcPr>
          <w:p w14:paraId="58962A7B" w14:textId="513FAE68" w:rsidR="00105001" w:rsidRPr="00D2371A" w:rsidRDefault="00F64C34" w:rsidP="007D6607">
            <w:pPr>
              <w:spacing w:before="0" w:after="0" w:line="240" w:lineRule="auto"/>
              <w:jc w:val="center"/>
              <w:rPr>
                <w:rFonts w:cstheme="minorBidi"/>
                <w:sz w:val="22"/>
                <w:szCs w:val="22"/>
                <w:lang w:val="en-GB"/>
                <w14:ligatures w14:val="none"/>
              </w:rPr>
            </w:pPr>
            <w:r w:rsidRPr="007E6468">
              <w:rPr>
                <w:sz w:val="22"/>
                <w:szCs w:val="22"/>
              </w:rPr>
              <w:t>Enzyme-Linked Immunosorbent Assay (</w:t>
            </w:r>
            <w:r w:rsidR="00105001" w:rsidRPr="00D2371A">
              <w:rPr>
                <w:rFonts w:cstheme="minorBidi"/>
                <w:sz w:val="22"/>
                <w:szCs w:val="22"/>
                <w:lang w:val="en-GB"/>
                <w14:ligatures w14:val="none"/>
              </w:rPr>
              <w:t>ELISA</w:t>
            </w:r>
            <w:r w:rsidRPr="00D2371A">
              <w:rPr>
                <w:rFonts w:cstheme="minorBidi"/>
                <w:sz w:val="22"/>
                <w:szCs w:val="22"/>
                <w:lang w:val="en-GB"/>
                <w14:ligatures w14:val="none"/>
              </w:rPr>
              <w:t>)</w:t>
            </w:r>
          </w:p>
        </w:tc>
        <w:tc>
          <w:tcPr>
            <w:tcW w:w="3005" w:type="dxa"/>
            <w:tcBorders>
              <w:top w:val="single" w:sz="4" w:space="0" w:color="auto"/>
              <w:left w:val="single" w:sz="4" w:space="0" w:color="auto"/>
              <w:bottom w:val="single" w:sz="4" w:space="0" w:color="auto"/>
              <w:right w:val="single" w:sz="4" w:space="0" w:color="auto"/>
            </w:tcBorders>
            <w:vAlign w:val="center"/>
            <w:hideMark/>
          </w:tcPr>
          <w:p w14:paraId="13E8947E" w14:textId="0FD3EBB7" w:rsidR="00105001" w:rsidRPr="00D2371A" w:rsidRDefault="00105001" w:rsidP="007D6607">
            <w:pPr>
              <w:spacing w:before="0" w:after="0" w:line="240" w:lineRule="auto"/>
              <w:jc w:val="center"/>
              <w:rPr>
                <w:rFonts w:cstheme="minorBidi"/>
                <w:sz w:val="22"/>
                <w:szCs w:val="22"/>
                <w:vertAlign w:val="superscript"/>
                <w:lang w:val="en-GB"/>
                <w14:ligatures w14:val="none"/>
              </w:rPr>
            </w:pPr>
            <w:r w:rsidRPr="00D2371A">
              <w:rPr>
                <w:rFonts w:cstheme="minorBidi"/>
                <w:sz w:val="22"/>
                <w:szCs w:val="22"/>
                <w:lang w:val="en-GB"/>
                <w14:ligatures w14:val="none"/>
              </w:rPr>
              <w:t xml:space="preserve">5 </w:t>
            </w:r>
            <w:r w:rsidR="00465AEB" w:rsidRPr="00D2371A">
              <w:rPr>
                <w:rFonts w:cstheme="minorBidi"/>
                <w:sz w:val="22"/>
                <w:szCs w:val="22"/>
                <w:lang w:val="en-GB"/>
                <w14:ligatures w14:val="none"/>
              </w:rPr>
              <w:t>x</w:t>
            </w:r>
            <w:r w:rsidRPr="00D2371A">
              <w:rPr>
                <w:rFonts w:cstheme="minorBidi"/>
                <w:sz w:val="22"/>
                <w:szCs w:val="22"/>
                <w:lang w:val="en-GB"/>
                <w14:ligatures w14:val="none"/>
              </w:rPr>
              <w:t>10</w:t>
            </w:r>
            <w:r w:rsidRPr="00D2371A">
              <w:rPr>
                <w:rFonts w:cstheme="minorBidi"/>
                <w:sz w:val="22"/>
                <w:szCs w:val="22"/>
                <w:vertAlign w:val="superscript"/>
                <w:lang w:val="en-GB"/>
                <w14:ligatures w14:val="none"/>
              </w:rPr>
              <w:t>4</w:t>
            </w:r>
          </w:p>
        </w:tc>
        <w:tc>
          <w:tcPr>
            <w:tcW w:w="3006" w:type="dxa"/>
            <w:tcBorders>
              <w:top w:val="single" w:sz="4" w:space="0" w:color="auto"/>
              <w:left w:val="single" w:sz="4" w:space="0" w:color="auto"/>
              <w:bottom w:val="single" w:sz="4" w:space="0" w:color="auto"/>
              <w:right w:val="single" w:sz="4" w:space="0" w:color="auto"/>
            </w:tcBorders>
            <w:vAlign w:val="center"/>
            <w:hideMark/>
          </w:tcPr>
          <w:p w14:paraId="5C955726" w14:textId="0126DB87" w:rsidR="00105001" w:rsidRPr="00D2371A" w:rsidRDefault="00105001"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00D50EFF" w:rsidRPr="00D2371A">
              <w:rPr>
                <w:rFonts w:cstheme="minorBidi"/>
                <w:sz w:val="22"/>
                <w:szCs w:val="22"/>
                <w:lang w:val="en-GB"/>
              </w:rPr>
              <w:instrText xml:space="preserve"> ADDIN EN.CITE &lt;EndNote&gt;&lt;Cite&gt;&lt;Author&gt;Small&lt;/Author&gt;&lt;Year&gt;2002&lt;/Year&gt;&lt;RecNum&gt;884&lt;/RecNum&gt;&lt;DisplayText&gt;(Small et al., 2002)&lt;/DisplayText&gt;&lt;record&gt;&lt;rec-number&gt;884&lt;/rec-number&gt;&lt;foreign-keys&gt;&lt;key app="EN" db-id="sd9wrx9fj09rx3erprsx999o0r5aprvp2zse" timestamp="1687855901" guid="df72e42d-12fc-4195-9690-68b7f1384f39"&gt;884&lt;/key&gt;&lt;/foreign-keys&gt;&lt;ref-type name="Journal Article"&gt;17&lt;/ref-type&gt;&lt;contributors&gt;&lt;authors&gt;&lt;author&gt;Small, H. J.&lt;/author&gt;&lt;author&gt;Wilson, S.&lt;/author&gt;&lt;author&gt;Neil, D. M.&lt;/author&gt;&lt;author&gt;Hagan, P.&lt;/author&gt;&lt;author&gt;Coombs, G. H.&lt;/author&gt;&lt;/authors&gt;&lt;/contributors&gt;&lt;titles&gt;&lt;title&gt;&lt;style face="normal" font="default" size="100%"&gt;Detection of the parasitic dinoflagellate &lt;/style&gt;&lt;style face="italic" font="default" size="100%"&gt;Hematodinium&lt;/style&gt;&lt;style face="normal" font="default" size="100%"&gt; in the Norway lobster &lt;/style&gt;&lt;style face="italic" font="default" size="100%"&gt;Nephrops norvegicus&lt;/style&gt;&lt;style face="normal" font="default" size="100%"&gt; by ELISA&lt;/style&gt;&lt;/title&gt;&lt;secondary-title&gt;Diseases of Aquatic Organisms&lt;/secondary-title&gt;&lt;/titles&gt;&lt;periodical&gt;&lt;full-title&gt;Diseases of Aquatic Organisms&lt;/full-title&gt;&lt;/periodical&gt;&lt;pages&gt;175-177&lt;/pages&gt;&lt;volume&gt;52&lt;/volume&gt;&lt;number&gt;2&lt;/number&gt;&lt;keywords&gt;&lt;keyword&gt;ELISA&lt;/keyword&gt;&lt;keyword&gt;Hematodinium&lt;/keyword&gt;&lt;keyword&gt;Infection&lt;/keyword&gt;&lt;keyword&gt;Nephrops norvegicus&lt;/keyword&gt;&lt;/keywords&gt;&lt;dates&gt;&lt;year&gt;2002&lt;/year&gt;&lt;pub-dates&gt;&lt;date&gt;2002/11//&lt;/date&gt;&lt;/pub-dates&gt;&lt;/dates&gt;&lt;publisher&gt;Inter-Research&lt;/publisher&gt;&lt;urls&gt;&lt;related-urls&gt;&lt;url&gt;https://www.int-res.com/abstracts/dao/v52/n2/p175-177/&lt;/url&gt;&lt;/related-urls&gt;&lt;/urls&gt;&lt;electronic-resource-num&gt;10.3354/DAO052175&lt;/electronic-resource-num&gt;&lt;/record&gt;&lt;/Cite&gt;&lt;/EndNote&gt;</w:instrText>
            </w:r>
            <w:r w:rsidRPr="00A14DD5">
              <w:rPr>
                <w:rFonts w:cstheme="minorBidi"/>
                <w:sz w:val="22"/>
                <w:szCs w:val="22"/>
              </w:rPr>
              <w:fldChar w:fldCharType="separate"/>
            </w:r>
            <w:r w:rsidR="00D50EFF" w:rsidRPr="00D2371A">
              <w:rPr>
                <w:rFonts w:cstheme="minorBidi"/>
                <w:sz w:val="22"/>
                <w:szCs w:val="22"/>
                <w:lang w:val="en-GB"/>
              </w:rPr>
              <w:t>(</w:t>
            </w:r>
            <w:hyperlink w:anchor="_ENREF_293" w:tooltip="Small, 2002 #884" w:history="1">
              <w:r w:rsidR="00950097" w:rsidRPr="00D2371A">
                <w:rPr>
                  <w:rFonts w:cstheme="minorBidi"/>
                  <w:sz w:val="22"/>
                  <w:szCs w:val="22"/>
                  <w:lang w:val="en-GB"/>
                </w:rPr>
                <w:t>Small et al., 2002</w:t>
              </w:r>
            </w:hyperlink>
            <w:r w:rsidR="00D50EFF" w:rsidRPr="00D2371A">
              <w:rPr>
                <w:rFonts w:cstheme="minorBidi"/>
                <w:sz w:val="22"/>
                <w:szCs w:val="22"/>
                <w:lang w:val="en-GB"/>
              </w:rPr>
              <w:t>)</w:t>
            </w:r>
            <w:r w:rsidRPr="00A14DD5">
              <w:rPr>
                <w:rFonts w:cstheme="minorBidi"/>
                <w:sz w:val="22"/>
                <w:szCs w:val="22"/>
              </w:rPr>
              <w:fldChar w:fldCharType="end"/>
            </w:r>
          </w:p>
        </w:tc>
      </w:tr>
      <w:tr w:rsidR="00754D34" w:rsidRPr="00FA7D47" w14:paraId="2C6C2C11"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tcPr>
          <w:p w14:paraId="7F2197C6" w14:textId="140D18F2" w:rsidR="00754D34" w:rsidRPr="00A14DD5" w:rsidRDefault="00B3317B" w:rsidP="007D6607">
            <w:pPr>
              <w:spacing w:before="0" w:after="0" w:line="240" w:lineRule="auto"/>
              <w:jc w:val="center"/>
              <w:rPr>
                <w:sz w:val="22"/>
                <w:szCs w:val="22"/>
                <w:lang w:val="en-GB"/>
              </w:rPr>
            </w:pPr>
            <w:r w:rsidRPr="00A14DD5">
              <w:rPr>
                <w:sz w:val="22"/>
                <w:szCs w:val="22"/>
              </w:rPr>
              <w:t>Polymerase Chain Reaction (</w:t>
            </w:r>
            <w:r w:rsidRPr="00D2371A">
              <w:rPr>
                <w:rFonts w:cstheme="minorBidi"/>
                <w:sz w:val="22"/>
                <w:szCs w:val="22"/>
                <w:lang w:val="en-GB"/>
                <w14:ligatures w14:val="none"/>
              </w:rPr>
              <w:t>PCR)</w:t>
            </w:r>
          </w:p>
        </w:tc>
        <w:tc>
          <w:tcPr>
            <w:tcW w:w="3005" w:type="dxa"/>
            <w:tcBorders>
              <w:top w:val="single" w:sz="4" w:space="0" w:color="auto"/>
              <w:left w:val="single" w:sz="4" w:space="0" w:color="auto"/>
              <w:bottom w:val="single" w:sz="4" w:space="0" w:color="auto"/>
              <w:right w:val="single" w:sz="4" w:space="0" w:color="auto"/>
            </w:tcBorders>
            <w:vAlign w:val="center"/>
          </w:tcPr>
          <w:p w14:paraId="46C88A21" w14:textId="7065CABD" w:rsidR="00754D34" w:rsidRPr="00A14DD5" w:rsidRDefault="00B3317B" w:rsidP="007D6607">
            <w:pPr>
              <w:spacing w:before="0" w:after="0" w:line="240" w:lineRule="auto"/>
              <w:jc w:val="center"/>
              <w:rPr>
                <w:rFonts w:cstheme="minorBidi"/>
                <w:sz w:val="22"/>
                <w:szCs w:val="22"/>
                <w:lang w:val="en-GB"/>
              </w:rPr>
            </w:pPr>
            <w:r w:rsidRPr="00A14DD5">
              <w:rPr>
                <w:sz w:val="22"/>
                <w:szCs w:val="22"/>
              </w:rPr>
              <w:t>3 x10</w:t>
            </w:r>
          </w:p>
        </w:tc>
        <w:tc>
          <w:tcPr>
            <w:tcW w:w="3006" w:type="dxa"/>
            <w:tcBorders>
              <w:top w:val="single" w:sz="4" w:space="0" w:color="auto"/>
              <w:left w:val="single" w:sz="4" w:space="0" w:color="auto"/>
              <w:bottom w:val="single" w:sz="4" w:space="0" w:color="auto"/>
              <w:right w:val="single" w:sz="4" w:space="0" w:color="auto"/>
            </w:tcBorders>
            <w:vAlign w:val="center"/>
          </w:tcPr>
          <w:p w14:paraId="1667EFEE" w14:textId="555CEBD5" w:rsidR="00754D34" w:rsidRPr="00A14DD5" w:rsidRDefault="00146DE6" w:rsidP="007D6607">
            <w:pPr>
              <w:spacing w:before="0" w:after="0" w:line="240" w:lineRule="auto"/>
              <w:jc w:val="center"/>
              <w:rPr>
                <w:rFonts w:cstheme="minorBidi"/>
                <w:sz w:val="22"/>
                <w:szCs w:val="22"/>
                <w:lang w:val="en-GB"/>
              </w:rPr>
            </w:pPr>
            <w:r w:rsidRPr="00A14DD5">
              <w:rPr>
                <w:rFonts w:cstheme="minorBidi"/>
                <w:sz w:val="22"/>
                <w:szCs w:val="22"/>
              </w:rPr>
              <w:fldChar w:fldCharType="begin"/>
            </w:r>
            <w:r w:rsidRPr="00D2371A">
              <w:rPr>
                <w:rFonts w:cstheme="minorBidi"/>
                <w:sz w:val="22"/>
                <w:szCs w:val="22"/>
              </w:rPr>
              <w:instrText xml:space="preserve"> ADDIN EN.CITE &lt;EndNote&gt;&lt;Cite&gt;&lt;Author&gt;Gruebl&lt;/Author&gt;&lt;Year&gt;2002&lt;/Year&gt;&lt;RecNum&gt;130&lt;/RecNum&gt;&lt;DisplayText&gt;(Gruebl et al., 2002)&lt;/DisplayText&gt;&lt;record&gt;&lt;rec-number&gt;130&lt;/rec-number&gt;&lt;foreign-keys&gt;&lt;key app="EN" db-id="sd9wrx9fj09rx3erprsx999o0r5aprvp2zse" timestamp="1687855901" guid="97e4a572-bb9b-41b5-88d8-74cd702351a1"&gt;130&lt;/key&gt;&lt;/foreign-keys&gt;&lt;ref-type name="Journal Article"&gt;17&lt;/ref-type&gt;&lt;contributors&gt;&lt;authors&gt;&lt;author&gt;Gruebl, T.&lt;/author&gt;&lt;author&gt;Frischer, Marc E.&lt;/author&gt;&lt;author&gt;Sheppard, M.&lt;/author&gt;&lt;author&gt;Neumann, M.&lt;/author&gt;&lt;author&gt;Maurer, A. N.&lt;/author&gt;&lt;author&gt;Lee, R. F.&lt;/author&gt;&lt;/authors&gt;&lt;/contributors&gt;&lt;titles&gt;&lt;title&gt;&lt;style face="normal" font="default" size="100%"&gt;Development of an 18S rRNA gene targeted PCR based diagnostic for the blue crab parasite &lt;/style&gt;&lt;style face="italic" font="default" size="100%"&gt;Hematodinium&lt;/style&gt;&lt;style face="normal" font="default" size="100%"&gt; sp&lt;/style&gt;&lt;/title&gt;&lt;secondary-title&gt;Diseases of Aquatic Organisms&lt;/secondary-title&gt;&lt;/titles&gt;&lt;periodical&gt;&lt;full-title&gt;Diseases of Aquatic Organisms&lt;/full-title&gt;&lt;/periodical&gt;&lt;pages&gt;61-70&lt;/pages&gt;&lt;volume&gt;49&lt;/volume&gt;&lt;number&gt;1&lt;/number&gt;&lt;keywords&gt;&lt;keyword&gt;18S ribosomal RNA&lt;/keyword&gt;&lt;keyword&gt;Blue crab&lt;/keyword&gt;&lt;keyword&gt;Hermatodinium&lt;/keyword&gt;&lt;keyword&gt;PCR&lt;/keyword&gt;&lt;/keywords&gt;&lt;dates&gt;&lt;year&gt;2002&lt;/year&gt;&lt;/dates&gt;&lt;urls&gt;&lt;related-urls&gt;&lt;url&gt;http://www.int-res.com/abstracts/dao/v49/n1/p61-70/&lt;/url&gt;&lt;/related-urls&gt;&lt;/urls&gt;&lt;electronic-resource-num&gt;10.3354/dao049061&lt;/electronic-resource-num&gt;&lt;/record&gt;&lt;/Cite&gt;&lt;/EndNote&gt;</w:instrText>
            </w:r>
            <w:r w:rsidRPr="00A14DD5">
              <w:rPr>
                <w:rFonts w:cstheme="minorBidi"/>
                <w:sz w:val="22"/>
                <w:szCs w:val="22"/>
              </w:rPr>
              <w:fldChar w:fldCharType="separate"/>
            </w:r>
            <w:r w:rsidRPr="00A14DD5">
              <w:rPr>
                <w:rFonts w:cstheme="minorBidi"/>
                <w:sz w:val="22"/>
                <w:szCs w:val="22"/>
              </w:rPr>
              <w:t>(</w:t>
            </w:r>
            <w:hyperlink w:anchor="_ENREF_116" w:tooltip="Gruebl, 2002 #130" w:history="1">
              <w:r w:rsidR="00950097" w:rsidRPr="00A14DD5">
                <w:rPr>
                  <w:rFonts w:cstheme="minorBidi"/>
                  <w:sz w:val="22"/>
                  <w:szCs w:val="22"/>
                </w:rPr>
                <w:t>Gruebl et al., 2002</w:t>
              </w:r>
            </w:hyperlink>
            <w:r w:rsidRPr="00A14DD5">
              <w:rPr>
                <w:rFonts w:cstheme="minorBidi"/>
                <w:sz w:val="22"/>
                <w:szCs w:val="22"/>
              </w:rPr>
              <w:t>)</w:t>
            </w:r>
            <w:r w:rsidRPr="00A14DD5">
              <w:rPr>
                <w:rFonts w:cstheme="minorBidi"/>
                <w:sz w:val="22"/>
                <w:szCs w:val="22"/>
              </w:rPr>
              <w:fldChar w:fldCharType="end"/>
            </w:r>
          </w:p>
        </w:tc>
      </w:tr>
      <w:tr w:rsidR="00886723" w:rsidRPr="00FA7D47" w14:paraId="0F4FA7E6"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tcPr>
          <w:p w14:paraId="385843A5" w14:textId="68CE7008" w:rsidR="00886723" w:rsidRPr="00A14DD5" w:rsidRDefault="00B3317B" w:rsidP="007D6607">
            <w:pPr>
              <w:spacing w:before="0" w:after="0" w:line="240" w:lineRule="auto"/>
              <w:jc w:val="center"/>
              <w:rPr>
                <w:sz w:val="22"/>
                <w:szCs w:val="22"/>
                <w:lang w:val="en-GB"/>
              </w:rPr>
            </w:pPr>
            <w:r w:rsidRPr="00A14DD5">
              <w:rPr>
                <w:sz w:val="22"/>
                <w:szCs w:val="22"/>
              </w:rPr>
              <w:t>PCR</w:t>
            </w:r>
          </w:p>
        </w:tc>
        <w:tc>
          <w:tcPr>
            <w:tcW w:w="3005" w:type="dxa"/>
            <w:tcBorders>
              <w:top w:val="single" w:sz="4" w:space="0" w:color="auto"/>
              <w:left w:val="single" w:sz="4" w:space="0" w:color="auto"/>
              <w:bottom w:val="single" w:sz="4" w:space="0" w:color="auto"/>
              <w:right w:val="single" w:sz="4" w:space="0" w:color="auto"/>
            </w:tcBorders>
            <w:vAlign w:val="center"/>
          </w:tcPr>
          <w:p w14:paraId="2D27D79A" w14:textId="08D60693" w:rsidR="00886723" w:rsidRPr="00A14DD5" w:rsidRDefault="00C023A1" w:rsidP="007D6607">
            <w:pPr>
              <w:spacing w:before="0" w:after="0" w:line="240" w:lineRule="auto"/>
              <w:jc w:val="center"/>
              <w:rPr>
                <w:rFonts w:cstheme="minorBidi"/>
                <w:sz w:val="22"/>
                <w:szCs w:val="22"/>
                <w:lang w:val="en-GB"/>
              </w:rPr>
            </w:pPr>
            <w:r w:rsidRPr="00D2371A">
              <w:rPr>
                <w:rFonts w:cstheme="minorBidi"/>
                <w:sz w:val="22"/>
                <w:szCs w:val="22"/>
              </w:rPr>
              <w:t>3</w:t>
            </w:r>
            <w:r w:rsidRPr="00D2371A">
              <w:rPr>
                <w:rFonts w:cstheme="minorBidi"/>
                <w:sz w:val="22"/>
                <w:szCs w:val="22"/>
                <w:lang w:val="en-GB"/>
                <w14:ligatures w14:val="none"/>
              </w:rPr>
              <w:t xml:space="preserve"> x10</w:t>
            </w:r>
            <w:r w:rsidRPr="00D2371A">
              <w:rPr>
                <w:rFonts w:cstheme="minorBidi"/>
                <w:sz w:val="22"/>
                <w:szCs w:val="22"/>
                <w:vertAlign w:val="superscript"/>
                <w:lang w:val="en-GB"/>
                <w14:ligatures w14:val="none"/>
              </w:rPr>
              <w:t>4</w:t>
            </w:r>
          </w:p>
        </w:tc>
        <w:tc>
          <w:tcPr>
            <w:tcW w:w="3006" w:type="dxa"/>
            <w:tcBorders>
              <w:top w:val="single" w:sz="4" w:space="0" w:color="auto"/>
              <w:left w:val="single" w:sz="4" w:space="0" w:color="auto"/>
              <w:bottom w:val="single" w:sz="4" w:space="0" w:color="auto"/>
              <w:right w:val="single" w:sz="4" w:space="0" w:color="auto"/>
            </w:tcBorders>
            <w:vAlign w:val="center"/>
          </w:tcPr>
          <w:p w14:paraId="6C86ED6F" w14:textId="17C77EF4" w:rsidR="00886723" w:rsidRPr="00A14DD5" w:rsidRDefault="00146DE6" w:rsidP="007D6607">
            <w:pPr>
              <w:spacing w:before="0" w:after="0" w:line="240" w:lineRule="auto"/>
              <w:jc w:val="center"/>
              <w:rPr>
                <w:rFonts w:cstheme="minorBidi"/>
                <w:sz w:val="22"/>
                <w:szCs w:val="22"/>
                <w:lang w:val="en-GB"/>
              </w:rPr>
            </w:pPr>
            <w:r w:rsidRPr="00A14DD5">
              <w:rPr>
                <w:rFonts w:cstheme="minorBidi"/>
                <w:sz w:val="22"/>
                <w:szCs w:val="22"/>
              </w:rPr>
              <w:fldChar w:fldCharType="begin"/>
            </w:r>
            <w:r w:rsidR="00CE4372" w:rsidRPr="00D2371A">
              <w:rPr>
                <w:rFonts w:cstheme="minorBidi"/>
                <w:sz w:val="22"/>
                <w:szCs w:val="22"/>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Pr="00A14DD5">
              <w:rPr>
                <w:rFonts w:cstheme="minorBidi"/>
                <w:sz w:val="22"/>
                <w:szCs w:val="22"/>
              </w:rPr>
              <w:fldChar w:fldCharType="separate"/>
            </w:r>
            <w:r w:rsidRPr="00A14DD5">
              <w:rPr>
                <w:rFonts w:cstheme="minorBidi"/>
                <w:sz w:val="22"/>
                <w:szCs w:val="22"/>
              </w:rPr>
              <w:t>(</w:t>
            </w:r>
            <w:hyperlink w:anchor="_ENREF_28" w:tooltip="Beevers, 2010 #247" w:history="1">
              <w:r w:rsidR="00950097" w:rsidRPr="00A14DD5">
                <w:rPr>
                  <w:rFonts w:cstheme="minorBidi"/>
                  <w:sz w:val="22"/>
                  <w:szCs w:val="22"/>
                </w:rPr>
                <w:t>Beevers, 2010</w:t>
              </w:r>
            </w:hyperlink>
            <w:r w:rsidRPr="00A14DD5">
              <w:rPr>
                <w:rFonts w:cstheme="minorBidi"/>
                <w:sz w:val="22"/>
                <w:szCs w:val="22"/>
              </w:rPr>
              <w:t>)</w:t>
            </w:r>
            <w:r w:rsidRPr="00A14DD5">
              <w:rPr>
                <w:rFonts w:cstheme="minorBidi"/>
                <w:sz w:val="22"/>
                <w:szCs w:val="22"/>
              </w:rPr>
              <w:fldChar w:fldCharType="end"/>
            </w:r>
          </w:p>
        </w:tc>
      </w:tr>
      <w:tr w:rsidR="00105001" w:rsidRPr="00FA7D47" w14:paraId="3F7B43E0"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hideMark/>
          </w:tcPr>
          <w:p w14:paraId="11084B30" w14:textId="227B0C8F" w:rsidR="00105001" w:rsidRPr="00D2371A" w:rsidRDefault="00886723" w:rsidP="007D6607">
            <w:pPr>
              <w:spacing w:before="0" w:after="0" w:line="240" w:lineRule="auto"/>
              <w:jc w:val="center"/>
              <w:rPr>
                <w:rFonts w:cstheme="minorBidi"/>
                <w:sz w:val="22"/>
                <w:szCs w:val="22"/>
                <w:lang w:val="en-GB"/>
                <w14:ligatures w14:val="none"/>
              </w:rPr>
            </w:pPr>
            <w:r w:rsidRPr="00D2371A">
              <w:rPr>
                <w:rFonts w:cstheme="minorBidi"/>
                <w:sz w:val="22"/>
                <w:szCs w:val="22"/>
                <w:lang w:val="en-GB"/>
                <w14:ligatures w14:val="none"/>
              </w:rPr>
              <w:t>PCR</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639342D" w14:textId="2A775C86" w:rsidR="00105001" w:rsidRPr="00D2371A" w:rsidRDefault="00F668C9" w:rsidP="007D6607">
            <w:pPr>
              <w:spacing w:before="0" w:after="0" w:line="240" w:lineRule="auto"/>
              <w:jc w:val="center"/>
              <w:rPr>
                <w:rFonts w:cstheme="minorBidi"/>
                <w:sz w:val="22"/>
                <w:szCs w:val="22"/>
                <w:lang w:val="en-GB"/>
                <w14:ligatures w14:val="none"/>
              </w:rPr>
            </w:pPr>
            <w:r w:rsidRPr="00A14DD5">
              <w:rPr>
                <w:sz w:val="22"/>
                <w:szCs w:val="22"/>
              </w:rPr>
              <w:t>1 parasite in 300,000 hemocytes</w:t>
            </w:r>
          </w:p>
        </w:tc>
        <w:tc>
          <w:tcPr>
            <w:tcW w:w="3006" w:type="dxa"/>
            <w:tcBorders>
              <w:top w:val="single" w:sz="4" w:space="0" w:color="auto"/>
              <w:left w:val="single" w:sz="4" w:space="0" w:color="auto"/>
              <w:bottom w:val="single" w:sz="4" w:space="0" w:color="auto"/>
              <w:right w:val="single" w:sz="4" w:space="0" w:color="auto"/>
            </w:tcBorders>
            <w:vAlign w:val="center"/>
            <w:hideMark/>
          </w:tcPr>
          <w:p w14:paraId="5B935D9D" w14:textId="42F60437" w:rsidR="00105001" w:rsidRPr="00D2371A" w:rsidRDefault="00146DE6" w:rsidP="007D6607">
            <w:pPr>
              <w:spacing w:before="0" w:after="0" w:line="240" w:lineRule="auto"/>
              <w:jc w:val="center"/>
              <w:rPr>
                <w:rFonts w:cstheme="minorBidi"/>
                <w:sz w:val="22"/>
                <w:szCs w:val="22"/>
                <w:lang w:val="en-GB"/>
                <w14:ligatures w14:val="none"/>
              </w:rPr>
            </w:pPr>
            <w:r w:rsidRPr="00A14DD5">
              <w:rPr>
                <w:rFonts w:cstheme="minorBidi"/>
                <w:sz w:val="22"/>
                <w:szCs w:val="22"/>
              </w:rPr>
              <w:fldChar w:fldCharType="begin"/>
            </w:r>
            <w:r w:rsidRPr="00D2371A">
              <w:rPr>
                <w:rFonts w:cstheme="minorBidi"/>
                <w:sz w:val="22"/>
                <w:szCs w:val="22"/>
                <w:lang w:val="en-GB"/>
                <w14:ligatures w14:val="none"/>
              </w:rPr>
              <w:instrText xml:space="preserve"> ADDIN EN.CITE &lt;EndNote&gt;&lt;Cite&gt;&lt;Author&gt;Small&lt;/Author&gt;&lt;Year&gt;2007&lt;/Year&gt;&lt;RecNum&gt;370&lt;/RecNum&gt;&lt;DisplayText&gt;(Small et al., 2007a)&lt;/DisplayText&gt;&lt;record&gt;&lt;rec-number&gt;370&lt;/rec-number&gt;&lt;foreign-keys&gt;&lt;key app="EN" db-id="sd9wrx9fj09rx3erprsx999o0r5aprvp2zse" timestamp="1687855901" guid="0e7ea377-5227-4e18-8430-d72645e346db"&gt;370&lt;/key&gt;&lt;/foreign-keys&gt;&lt;ref-type name="Journal Article"&gt;17&lt;/ref-type&gt;&lt;contributors&gt;&lt;authors&gt;&lt;author&gt;Small, Hamish J.&lt;/author&gt;&lt;author&gt;Shields, Jeffrey D.&lt;/author&gt;&lt;author&gt;Hudson, Karen L.&lt;/author&gt;&lt;author&gt;Reece, Kimberly S.&lt;/author&gt;&lt;/authors&gt;&lt;/contributors&gt;&lt;titles&gt;&lt;title&gt;&lt;style face="normal" font="default" size="100%"&gt;Molecular detection of &lt;/style&gt;&lt;style face="italic" font="default" size="100%"&gt;Hematodinium &lt;/style&gt;&lt;style face="normal" font="default" size="100%"&gt;sp. infecting the blue crab, &lt;/style&gt;&lt;style face="italic" font="default" size="100%"&gt;Callinectes sapidus&lt;/style&gt;&lt;/title&gt;&lt;secondary-title&gt;Journal of Shellfish Research&lt;/secondary-title&gt;&lt;/titles&gt;&lt;periodical&gt;&lt;full-title&gt;Journal of Shellfish Research&lt;/full-title&gt;&lt;/periodical&gt;&lt;pages&gt;131-139&lt;/pages&gt;&lt;volume&gt;26&lt;/volume&gt;&lt;number&gt;1&lt;/number&gt;&lt;keywords&gt;&lt;keyword&gt;Callinectes Sapidus&lt;/keyword&gt;&lt;keyword&gt;DNA probe&lt;/keyword&gt;&lt;keyword&gt;Hematodinium&lt;/keyword&gt;&lt;keyword&gt;PCR-RFLP&lt;/keyword&gt;&lt;/keywords&gt;&lt;dates&gt;&lt;year&gt;2007&lt;/year&gt;&lt;/dates&gt;&lt;urls&gt;&lt;related-urls&gt;&lt;url&gt;https://doi.org/10.2983/0730-8000(2007)26[131:MDOHSI]2.0.CO;2&lt;/url&gt;&lt;/related-urls&gt;&lt;/urls&gt;&lt;electronic-resource-num&gt;10.2983/0730-8000(2007)26[131:mdohsi]2.0.co;2&lt;/electronic-resource-num&gt;&lt;/record&gt;&lt;/Cite&gt;&lt;/EndNote&gt;</w:instrText>
            </w:r>
            <w:r w:rsidRPr="00A14DD5">
              <w:rPr>
                <w:rFonts w:cstheme="minorBidi"/>
                <w:sz w:val="22"/>
                <w:szCs w:val="22"/>
              </w:rPr>
              <w:fldChar w:fldCharType="separate"/>
            </w:r>
            <w:r w:rsidRPr="00A14DD5">
              <w:rPr>
                <w:rFonts w:cstheme="minorBidi"/>
                <w:sz w:val="22"/>
                <w:szCs w:val="22"/>
              </w:rPr>
              <w:t>(</w:t>
            </w:r>
            <w:hyperlink w:anchor="_ENREF_291" w:tooltip="Small, 2007 #370" w:history="1">
              <w:r w:rsidR="00950097" w:rsidRPr="00A14DD5">
                <w:rPr>
                  <w:rFonts w:cstheme="minorBidi"/>
                  <w:sz w:val="22"/>
                  <w:szCs w:val="22"/>
                </w:rPr>
                <w:t>Small et al., 2007a</w:t>
              </w:r>
            </w:hyperlink>
            <w:r w:rsidRPr="00A14DD5">
              <w:rPr>
                <w:rFonts w:cstheme="minorBidi"/>
                <w:sz w:val="22"/>
                <w:szCs w:val="22"/>
              </w:rPr>
              <w:t>)</w:t>
            </w:r>
            <w:r w:rsidRPr="00A14DD5">
              <w:rPr>
                <w:rFonts w:cstheme="minorBidi"/>
                <w:sz w:val="22"/>
                <w:szCs w:val="22"/>
              </w:rPr>
              <w:fldChar w:fldCharType="end"/>
            </w:r>
          </w:p>
        </w:tc>
      </w:tr>
      <w:tr w:rsidR="00F668C9" w:rsidRPr="00FA7D47" w14:paraId="152E2D6B"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tcPr>
          <w:p w14:paraId="1FB7D41D" w14:textId="709AC304" w:rsidR="00F668C9" w:rsidRPr="00A14DD5" w:rsidRDefault="00F668C9" w:rsidP="007D6607">
            <w:pPr>
              <w:spacing w:before="0" w:after="0" w:line="240" w:lineRule="auto"/>
              <w:jc w:val="center"/>
              <w:rPr>
                <w:sz w:val="22"/>
                <w:szCs w:val="22"/>
                <w:lang w:val="en-GB"/>
              </w:rPr>
            </w:pPr>
            <w:r w:rsidRPr="00A14DD5">
              <w:rPr>
                <w:sz w:val="22"/>
                <w:szCs w:val="22"/>
              </w:rPr>
              <w:t>Quantitative PCR (</w:t>
            </w:r>
            <w:r w:rsidR="00146DE6" w:rsidRPr="00A14DD5">
              <w:rPr>
                <w:sz w:val="22"/>
                <w:szCs w:val="22"/>
              </w:rPr>
              <w:t>qPCR</w:t>
            </w:r>
            <w:r w:rsidRPr="00A14DD5">
              <w:rPr>
                <w:sz w:val="22"/>
                <w:szCs w:val="22"/>
              </w:rPr>
              <w:t>)</w:t>
            </w:r>
          </w:p>
        </w:tc>
        <w:tc>
          <w:tcPr>
            <w:tcW w:w="3005" w:type="dxa"/>
            <w:tcBorders>
              <w:top w:val="single" w:sz="4" w:space="0" w:color="auto"/>
              <w:left w:val="single" w:sz="4" w:space="0" w:color="auto"/>
              <w:bottom w:val="single" w:sz="4" w:space="0" w:color="auto"/>
              <w:right w:val="single" w:sz="4" w:space="0" w:color="auto"/>
            </w:tcBorders>
            <w:vAlign w:val="center"/>
          </w:tcPr>
          <w:p w14:paraId="6A512A9C" w14:textId="11E7C1C8" w:rsidR="00F668C9" w:rsidRPr="00A14DD5" w:rsidRDefault="00F668C9" w:rsidP="007D6607">
            <w:pPr>
              <w:spacing w:before="0" w:after="0" w:line="240" w:lineRule="auto"/>
              <w:jc w:val="center"/>
              <w:rPr>
                <w:sz w:val="22"/>
                <w:szCs w:val="22"/>
                <w:lang w:val="en-GB"/>
              </w:rPr>
            </w:pPr>
            <w:r w:rsidRPr="00A14DD5">
              <w:rPr>
                <w:sz w:val="22"/>
                <w:szCs w:val="22"/>
              </w:rPr>
              <w:t>13 gene copies per reaction</w:t>
            </w:r>
          </w:p>
        </w:tc>
        <w:tc>
          <w:tcPr>
            <w:tcW w:w="3006" w:type="dxa"/>
            <w:tcBorders>
              <w:top w:val="single" w:sz="4" w:space="0" w:color="auto"/>
              <w:left w:val="single" w:sz="4" w:space="0" w:color="auto"/>
              <w:bottom w:val="single" w:sz="4" w:space="0" w:color="auto"/>
              <w:right w:val="single" w:sz="4" w:space="0" w:color="auto"/>
            </w:tcBorders>
            <w:vAlign w:val="center"/>
          </w:tcPr>
          <w:p w14:paraId="46DC86DA" w14:textId="43BBA4B1" w:rsidR="00F668C9" w:rsidRPr="00A14DD5" w:rsidRDefault="00146DE6" w:rsidP="007D6607">
            <w:pPr>
              <w:spacing w:before="0" w:after="0" w:line="240" w:lineRule="auto"/>
              <w:jc w:val="center"/>
              <w:rPr>
                <w:rFonts w:cstheme="minorBidi"/>
                <w:sz w:val="22"/>
                <w:szCs w:val="22"/>
                <w:lang w:val="en-GB"/>
              </w:rPr>
            </w:pPr>
            <w:r w:rsidRPr="00A14DD5">
              <w:rPr>
                <w:rFonts w:cstheme="minorBidi"/>
                <w:sz w:val="22"/>
                <w:szCs w:val="22"/>
              </w:rPr>
              <w:fldChar w:fldCharType="begin"/>
            </w:r>
            <w:r w:rsidRPr="00D2371A">
              <w:rPr>
                <w:rFonts w:cstheme="minorBidi"/>
                <w:sz w:val="22"/>
                <w:szCs w:val="22"/>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Pr="00A14DD5">
              <w:rPr>
                <w:rFonts w:cstheme="minorBidi"/>
                <w:sz w:val="22"/>
                <w:szCs w:val="22"/>
              </w:rPr>
              <w:fldChar w:fldCharType="separate"/>
            </w:r>
            <w:r w:rsidRPr="00A14DD5">
              <w:rPr>
                <w:rFonts w:cstheme="minorBidi"/>
                <w:sz w:val="22"/>
                <w:szCs w:val="22"/>
              </w:rPr>
              <w:t>(</w:t>
            </w:r>
            <w:hyperlink w:anchor="_ENREF_125" w:tooltip="Hanif, 2013 #351" w:history="1">
              <w:r w:rsidR="00950097" w:rsidRPr="00A14DD5">
                <w:rPr>
                  <w:rFonts w:cstheme="minorBidi"/>
                  <w:sz w:val="22"/>
                  <w:szCs w:val="22"/>
                </w:rPr>
                <w:t>Hanif et al., 2013</w:t>
              </w:r>
            </w:hyperlink>
            <w:r w:rsidRPr="00A14DD5">
              <w:rPr>
                <w:rFonts w:cstheme="minorBidi"/>
                <w:sz w:val="22"/>
                <w:szCs w:val="22"/>
              </w:rPr>
              <w:t>)</w:t>
            </w:r>
            <w:r w:rsidRPr="00A14DD5">
              <w:rPr>
                <w:rFonts w:cstheme="minorBidi"/>
                <w:sz w:val="22"/>
                <w:szCs w:val="22"/>
              </w:rPr>
              <w:fldChar w:fldCharType="end"/>
            </w:r>
          </w:p>
        </w:tc>
      </w:tr>
      <w:tr w:rsidR="00B3317B" w:rsidRPr="00FA7D47" w14:paraId="79B7F7AA"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tcPr>
          <w:p w14:paraId="21ECEE54" w14:textId="5D9BE83A" w:rsidR="00B3317B" w:rsidRPr="00A14DD5" w:rsidRDefault="00146DE6" w:rsidP="007D6607">
            <w:pPr>
              <w:spacing w:before="0" w:after="0" w:line="240" w:lineRule="auto"/>
              <w:jc w:val="center"/>
              <w:rPr>
                <w:sz w:val="22"/>
                <w:szCs w:val="22"/>
                <w:lang w:val="en-GB"/>
              </w:rPr>
            </w:pPr>
            <w:r w:rsidRPr="00A14DD5">
              <w:rPr>
                <w:sz w:val="22"/>
                <w:szCs w:val="22"/>
              </w:rPr>
              <w:t>qPCR</w:t>
            </w:r>
          </w:p>
        </w:tc>
        <w:tc>
          <w:tcPr>
            <w:tcW w:w="3005" w:type="dxa"/>
            <w:tcBorders>
              <w:top w:val="single" w:sz="4" w:space="0" w:color="auto"/>
              <w:left w:val="single" w:sz="4" w:space="0" w:color="auto"/>
              <w:bottom w:val="single" w:sz="4" w:space="0" w:color="auto"/>
              <w:right w:val="single" w:sz="4" w:space="0" w:color="auto"/>
            </w:tcBorders>
            <w:vAlign w:val="center"/>
          </w:tcPr>
          <w:p w14:paraId="197FCAB5" w14:textId="74D613EB" w:rsidR="00B3317B" w:rsidRPr="00A14DD5" w:rsidRDefault="00B6174C" w:rsidP="007D6607">
            <w:pPr>
              <w:spacing w:before="0" w:after="0" w:line="240" w:lineRule="auto"/>
              <w:jc w:val="center"/>
              <w:rPr>
                <w:sz w:val="22"/>
                <w:szCs w:val="22"/>
                <w:lang w:val="en-GB"/>
              </w:rPr>
            </w:pPr>
            <w:r w:rsidRPr="00A14DD5">
              <w:rPr>
                <w:sz w:val="22"/>
                <w:szCs w:val="22"/>
              </w:rPr>
              <w:t>10 copies of 18S rRNA gene per reaction</w:t>
            </w:r>
          </w:p>
        </w:tc>
        <w:tc>
          <w:tcPr>
            <w:tcW w:w="3006" w:type="dxa"/>
            <w:tcBorders>
              <w:top w:val="single" w:sz="4" w:space="0" w:color="auto"/>
              <w:left w:val="single" w:sz="4" w:space="0" w:color="auto"/>
              <w:bottom w:val="single" w:sz="4" w:space="0" w:color="auto"/>
              <w:right w:val="single" w:sz="4" w:space="0" w:color="auto"/>
            </w:tcBorders>
            <w:vAlign w:val="center"/>
          </w:tcPr>
          <w:p w14:paraId="56905273" w14:textId="65973D43" w:rsidR="00B3317B" w:rsidRPr="00A14DD5" w:rsidRDefault="00146DE6" w:rsidP="007D6607">
            <w:pPr>
              <w:spacing w:before="0" w:after="0" w:line="240" w:lineRule="auto"/>
              <w:jc w:val="center"/>
              <w:rPr>
                <w:rFonts w:cstheme="minorBidi"/>
                <w:sz w:val="22"/>
                <w:szCs w:val="22"/>
                <w:lang w:val="en-GB"/>
              </w:rPr>
            </w:pPr>
            <w:r w:rsidRPr="00A14DD5">
              <w:rPr>
                <w:rFonts w:cstheme="minorBidi"/>
                <w:sz w:val="22"/>
                <w:szCs w:val="22"/>
              </w:rPr>
              <w:fldChar w:fldCharType="begin"/>
            </w:r>
            <w:r w:rsidRPr="00D2371A">
              <w:rPr>
                <w:rFonts w:cstheme="minorBidi"/>
                <w:sz w:val="22"/>
                <w:szCs w:val="22"/>
              </w:rPr>
              <w:instrText xml:space="preserve"> ADDIN EN.CITE &lt;EndNote&gt;&lt;Cite&gt;&lt;Author&gt;Nagle&lt;/Author&gt;&lt;Year&gt;2009&lt;/Year&gt;&lt;RecNum&gt;424&lt;/RecNum&gt;&lt;DisplayText&gt;(Nagle et al., 2009)&lt;/DisplayText&gt;&lt;record&gt;&lt;rec-number&gt;424&lt;/rec-number&gt;&lt;foreign-keys&gt;&lt;key app="EN" db-id="sd9wrx9fj09rx3erprsx999o0r5aprvp2zse" timestamp="1687855901" guid="43e1c001-a7da-4156-962c-41802c769f10"&gt;424&lt;/key&gt;&lt;/foreign-keys&gt;&lt;ref-type name="Journal Article"&gt;17&lt;/ref-type&gt;&lt;contributors&gt;&lt;authors&gt;&lt;author&gt;Nagle, L.&lt;/author&gt;&lt;author&gt;Place, A. R.&lt;/author&gt;&lt;author&gt;Schott, E. J.&lt;/author&gt;&lt;author&gt;Jagus, R.&lt;/author&gt;&lt;author&gt;Messick, Gretchen A.&lt;/author&gt;&lt;author&gt;Pitula, Joseph S.&lt;/author&gt;&lt;/authors&gt;&lt;/contributors&gt;&lt;titles&gt;&lt;title&gt;&lt;style face="normal" font="default" size="100%"&gt;Real-time PCR-based assay for quantitative detection of &lt;/style&gt;&lt;style face="italic" font="default" size="100%"&gt;Hematodinium&lt;/style&gt;&lt;style face="normal" font="default" size="100%"&gt; sp. in the blue crab &lt;/style&gt;&lt;style face="italic" font="default" size="100%"&gt;Callinectes sapidus&lt;/style&gt;&lt;/title&gt;&lt;secondary-title&gt;Diseases of Aquatic Organisms&lt;/secondary-title&gt;&lt;/titles&gt;&lt;periodical&gt;&lt;full-title&gt;Diseases of Aquatic Organisms&lt;/full-title&gt;&lt;/periodical&gt;&lt;pages&gt;79-87&lt;/pages&gt;&lt;volume&gt;84&lt;/volume&gt;&lt;number&gt;1&lt;/number&gt;&lt;keywords&gt;&lt;keyword&gt;Callinectes sapidus&lt;/keyword&gt;&lt;keyword&gt;Hematodinium sp.&lt;/keyword&gt;&lt;keyword&gt;Quantitative real-time PCR&lt;/keyword&gt;&lt;/keywords&gt;&lt;dates&gt;&lt;year&gt;2009&lt;/year&gt;&lt;pub-dates&gt;&lt;date&gt;2009/3//&lt;/date&gt;&lt;/pub-dates&gt;&lt;/dates&gt;&lt;urls&gt;&lt;related-urls&gt;&lt;url&gt;http://www.int-res.com/abstracts/dao/v84/n1/p79-87/&lt;/url&gt;&lt;/related-urls&gt;&lt;/urls&gt;&lt;electronic-resource-num&gt;10.3354/dao02027&lt;/electronic-resource-num&gt;&lt;/record&gt;&lt;/Cite&gt;&lt;/EndNote&gt;</w:instrText>
            </w:r>
            <w:r w:rsidRPr="00A14DD5">
              <w:rPr>
                <w:rFonts w:cstheme="minorBidi"/>
                <w:sz w:val="22"/>
                <w:szCs w:val="22"/>
              </w:rPr>
              <w:fldChar w:fldCharType="separate"/>
            </w:r>
            <w:r w:rsidRPr="00A14DD5">
              <w:rPr>
                <w:rFonts w:cstheme="minorBidi"/>
                <w:sz w:val="22"/>
                <w:szCs w:val="22"/>
              </w:rPr>
              <w:t>(</w:t>
            </w:r>
            <w:hyperlink w:anchor="_ENREF_230" w:tooltip="Nagle, 2009 #424" w:history="1">
              <w:r w:rsidR="00950097" w:rsidRPr="00A14DD5">
                <w:rPr>
                  <w:rFonts w:cstheme="minorBidi"/>
                  <w:sz w:val="22"/>
                  <w:szCs w:val="22"/>
                </w:rPr>
                <w:t>Nagle et al., 2009</w:t>
              </w:r>
            </w:hyperlink>
            <w:r w:rsidRPr="00A14DD5">
              <w:rPr>
                <w:rFonts w:cstheme="minorBidi"/>
                <w:sz w:val="22"/>
                <w:szCs w:val="22"/>
              </w:rPr>
              <w:t>)</w:t>
            </w:r>
            <w:r w:rsidRPr="00A14DD5">
              <w:rPr>
                <w:rFonts w:cstheme="minorBidi"/>
                <w:sz w:val="22"/>
                <w:szCs w:val="22"/>
              </w:rPr>
              <w:fldChar w:fldCharType="end"/>
            </w:r>
          </w:p>
        </w:tc>
      </w:tr>
      <w:tr w:rsidR="00800C97" w:rsidRPr="00FA7D47" w14:paraId="21F165F7" w14:textId="77777777" w:rsidTr="00D55629">
        <w:trPr>
          <w:trHeight w:val="336"/>
        </w:trPr>
        <w:tc>
          <w:tcPr>
            <w:tcW w:w="3005" w:type="dxa"/>
            <w:tcBorders>
              <w:top w:val="single" w:sz="4" w:space="0" w:color="auto"/>
              <w:left w:val="single" w:sz="4" w:space="0" w:color="auto"/>
              <w:bottom w:val="single" w:sz="4" w:space="0" w:color="auto"/>
              <w:right w:val="single" w:sz="4" w:space="0" w:color="auto"/>
            </w:tcBorders>
            <w:vAlign w:val="center"/>
          </w:tcPr>
          <w:p w14:paraId="3F9EC04F" w14:textId="445233FD" w:rsidR="00800C97" w:rsidRPr="00A14DD5" w:rsidRDefault="00800C97" w:rsidP="007D6607">
            <w:pPr>
              <w:spacing w:before="0" w:after="0" w:line="240" w:lineRule="auto"/>
              <w:jc w:val="center"/>
              <w:rPr>
                <w:sz w:val="22"/>
                <w:szCs w:val="22"/>
                <w:lang w:val="en-GB"/>
              </w:rPr>
            </w:pPr>
            <w:r w:rsidRPr="00A14DD5">
              <w:rPr>
                <w:sz w:val="22"/>
                <w:szCs w:val="22"/>
              </w:rPr>
              <w:t>Immunofluorescence Assay (IFA) and Western blot</w:t>
            </w:r>
          </w:p>
        </w:tc>
        <w:tc>
          <w:tcPr>
            <w:tcW w:w="3005" w:type="dxa"/>
            <w:tcBorders>
              <w:top w:val="single" w:sz="4" w:space="0" w:color="auto"/>
              <w:left w:val="single" w:sz="4" w:space="0" w:color="auto"/>
              <w:bottom w:val="single" w:sz="4" w:space="0" w:color="auto"/>
              <w:right w:val="single" w:sz="4" w:space="0" w:color="auto"/>
            </w:tcBorders>
            <w:vAlign w:val="center"/>
          </w:tcPr>
          <w:p w14:paraId="48447841" w14:textId="1C361FCB" w:rsidR="00800C97" w:rsidRPr="00A14DD5" w:rsidRDefault="008E5BCF" w:rsidP="007D6607">
            <w:pPr>
              <w:spacing w:before="0" w:after="0" w:line="240" w:lineRule="auto"/>
              <w:jc w:val="center"/>
              <w:rPr>
                <w:sz w:val="22"/>
                <w:szCs w:val="22"/>
                <w:lang w:val="en-GB"/>
              </w:rPr>
            </w:pPr>
            <w:r w:rsidRPr="00A14DD5">
              <w:rPr>
                <w:sz w:val="22"/>
                <w:szCs w:val="22"/>
              </w:rPr>
              <w:t xml:space="preserve">2.5 </w:t>
            </w:r>
            <w:r w:rsidRPr="00D2371A">
              <w:rPr>
                <w:rFonts w:cstheme="minorBidi"/>
                <w:sz w:val="22"/>
                <w:szCs w:val="22"/>
                <w:lang w:val="en-GB"/>
                <w14:ligatures w14:val="none"/>
              </w:rPr>
              <w:t>x10</w:t>
            </w:r>
            <w:r w:rsidRPr="00D2371A">
              <w:rPr>
                <w:rFonts w:cstheme="minorBidi"/>
                <w:sz w:val="22"/>
                <w:szCs w:val="22"/>
                <w:vertAlign w:val="superscript"/>
                <w:lang w:val="en-GB"/>
                <w14:ligatures w14:val="none"/>
              </w:rPr>
              <w:t>1</w:t>
            </w:r>
          </w:p>
        </w:tc>
        <w:tc>
          <w:tcPr>
            <w:tcW w:w="3006" w:type="dxa"/>
            <w:tcBorders>
              <w:top w:val="single" w:sz="4" w:space="0" w:color="auto"/>
              <w:left w:val="single" w:sz="4" w:space="0" w:color="auto"/>
              <w:bottom w:val="single" w:sz="4" w:space="0" w:color="auto"/>
              <w:right w:val="single" w:sz="4" w:space="0" w:color="auto"/>
            </w:tcBorders>
            <w:vAlign w:val="center"/>
          </w:tcPr>
          <w:p w14:paraId="05C6427D" w14:textId="49DE8E89" w:rsidR="00800C97" w:rsidRPr="00A14DD5" w:rsidRDefault="00146DE6" w:rsidP="007D6607">
            <w:pPr>
              <w:spacing w:before="0" w:after="0" w:line="240" w:lineRule="auto"/>
              <w:jc w:val="center"/>
              <w:rPr>
                <w:rFonts w:cstheme="minorBidi"/>
                <w:sz w:val="22"/>
                <w:szCs w:val="22"/>
                <w:lang w:val="en-GB"/>
              </w:rPr>
            </w:pPr>
            <w:r w:rsidRPr="00A14DD5">
              <w:rPr>
                <w:rFonts w:cstheme="minorBidi"/>
                <w:sz w:val="22"/>
                <w:szCs w:val="22"/>
              </w:rPr>
              <w:fldChar w:fldCharType="begin">
                <w:fldData xml:space="preserve">PEVuZE5vdGU+PENpdGU+PEF1dGhvcj5Hb3JuaWs8L0F1dGhvcj48WWVhcj4yMDEzPC9ZZWFyPjxS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</w:fldData>
              </w:fldChar>
            </w:r>
            <w:r w:rsidR="00754F48" w:rsidRPr="00D2371A">
              <w:rPr>
                <w:rFonts w:cstheme="minorBidi"/>
                <w:sz w:val="22"/>
                <w:szCs w:val="22"/>
              </w:rPr>
              <w:instrText xml:space="preserve"> ADDIN EN.CITE </w:instrText>
            </w:r>
            <w:r w:rsidR="00754F48" w:rsidRPr="00A14DD5">
              <w:rPr>
                <w:rFonts w:cstheme="minorBidi"/>
                <w:sz w:val="22"/>
                <w:szCs w:val="22"/>
              </w:rPr>
              <w:fldChar w:fldCharType="begin">
                <w:fldData xml:space="preserve">PEVuZE5vdGU+PENpdGU+PEF1dGhvcj5Hb3JuaWs8L0F1dGhvcj48WWVhcj4yMDEzPC9ZZWFyPjxS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</w:fldData>
              </w:fldChar>
            </w:r>
            <w:r w:rsidR="00754F48" w:rsidRPr="00D2371A">
              <w:rPr>
                <w:rFonts w:cstheme="minorBidi"/>
                <w:sz w:val="22"/>
                <w:szCs w:val="22"/>
              </w:rPr>
              <w:instrText xml:space="preserve"> ADDIN EN.CITE.DATA </w:instrText>
            </w:r>
            <w:r w:rsidR="00754F48" w:rsidRPr="00A14DD5">
              <w:rPr>
                <w:rFonts w:cstheme="minorBidi"/>
                <w:sz w:val="22"/>
                <w:szCs w:val="22"/>
              </w:rPr>
            </w:r>
            <w:r w:rsidR="00754F48" w:rsidRPr="00A14DD5">
              <w:rPr>
                <w:rFonts w:cstheme="minorBidi"/>
                <w:sz w:val="22"/>
                <w:szCs w:val="22"/>
              </w:rPr>
              <w:fldChar w:fldCharType="end"/>
            </w:r>
            <w:r w:rsidRPr="00A14DD5">
              <w:rPr>
                <w:rFonts w:cstheme="minorBidi"/>
                <w:sz w:val="22"/>
                <w:szCs w:val="22"/>
              </w:rPr>
            </w:r>
            <w:r w:rsidRPr="00A14DD5">
              <w:rPr>
                <w:rFonts w:cstheme="minorBidi"/>
                <w:sz w:val="22"/>
                <w:szCs w:val="22"/>
              </w:rPr>
              <w:fldChar w:fldCharType="separate"/>
            </w:r>
            <w:r w:rsidR="0023419C" w:rsidRPr="00A14DD5">
              <w:rPr>
                <w:rFonts w:cstheme="minorBidi"/>
                <w:sz w:val="22"/>
                <w:szCs w:val="22"/>
              </w:rPr>
              <w:t>(</w:t>
            </w:r>
            <w:hyperlink w:anchor="_ENREF_113" w:tooltip="Gornik, 2013 #333" w:history="1">
              <w:r w:rsidR="00950097" w:rsidRPr="00A14DD5">
                <w:rPr>
                  <w:rFonts w:cstheme="minorBidi"/>
                  <w:sz w:val="22"/>
                  <w:szCs w:val="22"/>
                </w:rPr>
                <w:t>Gornik et al., 2013</w:t>
              </w:r>
            </w:hyperlink>
            <w:r w:rsidR="0023419C" w:rsidRPr="00A14DD5">
              <w:rPr>
                <w:rFonts w:cstheme="minorBidi"/>
                <w:sz w:val="22"/>
                <w:szCs w:val="22"/>
              </w:rPr>
              <w:t>)</w:t>
            </w:r>
            <w:r w:rsidRPr="00A14DD5">
              <w:rPr>
                <w:rFonts w:cstheme="minorBidi"/>
                <w:sz w:val="22"/>
                <w:szCs w:val="22"/>
              </w:rPr>
              <w:fldChar w:fldCharType="end"/>
            </w:r>
          </w:p>
        </w:tc>
      </w:tr>
    </w:tbl>
    <w:p w14:paraId="76E7BB2B" w14:textId="77777777" w:rsidR="00105001" w:rsidRPr="009819CE" w:rsidRDefault="00105001" w:rsidP="00105001">
      <w:pPr>
        <w:spacing w:before="0" w:after="0"/>
        <w:rPr>
          <w:rFonts w:cstheme="minorBidi"/>
        </w:rPr>
      </w:pPr>
    </w:p>
    <w:p w14:paraId="330455CF" w14:textId="77777777" w:rsidR="00105001" w:rsidRPr="009819CE" w:rsidRDefault="00105001" w:rsidP="008043FF">
      <w:pPr>
        <w:pStyle w:val="Heading4"/>
        <w:rPr>
          <w:lang w:eastAsia="en-US"/>
        </w:rPr>
      </w:pPr>
      <w:bookmarkStart w:id="122" w:name="_Ref81663099"/>
      <w:bookmarkStart w:id="123" w:name="_Toc94799239"/>
      <w:r w:rsidRPr="009819CE">
        <w:t>Body-colour method</w:t>
      </w:r>
      <w:bookmarkEnd w:id="122"/>
      <w:bookmarkEnd w:id="123"/>
    </w:p>
    <w:p w14:paraId="7F9875CB" w14:textId="3D1A6E87" w:rsidR="00071447" w:rsidRPr="009819CE" w:rsidRDefault="00071447" w:rsidP="00071447">
      <w:pPr>
        <w:rPr>
          <w:rFonts w:cstheme="minorBidi"/>
        </w:rPr>
      </w:pPr>
      <w:r w:rsidRPr="009819CE">
        <w:rPr>
          <w:rFonts w:cstheme="minorBidi"/>
        </w:rPr>
        <w:t xml:space="preserve">The examination of body coloration is a quick field method to assess </w:t>
      </w:r>
      <w:r w:rsidR="009D03F4" w:rsidRPr="009819CE">
        <w:rPr>
          <w:rFonts w:cstheme="minorBidi"/>
          <w:i/>
          <w:iCs/>
        </w:rPr>
        <w:t>Hematodinium</w:t>
      </w:r>
      <w:r w:rsidRPr="009819CE">
        <w:rPr>
          <w:rFonts w:cstheme="minorBidi"/>
        </w:rPr>
        <w:t xml:space="preserve"> sp. infection in </w:t>
      </w:r>
      <w:r w:rsidR="00C31E47" w:rsidRPr="009819CE">
        <w:rPr>
          <w:rFonts w:cstheme="minorBidi"/>
          <w:i/>
          <w:iCs/>
        </w:rPr>
        <w:t>Nephrops</w:t>
      </w:r>
      <w:r w:rsidRPr="009819CE">
        <w:rPr>
          <w:rFonts w:cstheme="minorBidi"/>
        </w:rPr>
        <w:t xml:space="preserve">. Heavily infected individuals exhibit an unusual yellow/orange body colour, as depicted in </w:t>
      </w:r>
      <w:r w:rsidRPr="009819CE">
        <w:rPr>
          <w:rFonts w:cstheme="minorBidi"/>
          <w:b/>
          <w:bCs/>
        </w:rPr>
        <w:fldChar w:fldCharType="begin"/>
      </w:r>
      <w:r w:rsidRPr="009819CE">
        <w:rPr>
          <w:rFonts w:cstheme="minorBidi"/>
          <w:b/>
          <w:bCs/>
        </w:rPr>
        <w:instrText xml:space="preserve"> REF _Ref81491120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1.12</w:t>
      </w:r>
      <w:r w:rsidRPr="009819CE">
        <w:rPr>
          <w:rFonts w:cstheme="minorBidi"/>
          <w:b/>
          <w:bCs/>
        </w:rPr>
        <w:fldChar w:fldCharType="end"/>
      </w:r>
      <w:r w:rsidRPr="009819CE">
        <w:rPr>
          <w:rFonts w:cstheme="minorBidi"/>
          <w:b/>
          <w:bCs/>
        </w:rPr>
        <w:t xml:space="preserve">. </w:t>
      </w:r>
      <w:r w:rsidRPr="009819CE">
        <w:rPr>
          <w:rFonts w:cstheme="minorBidi"/>
        </w:rPr>
        <w:t xml:space="preserve">Additionally, infected animals may </w:t>
      </w:r>
      <w:r w:rsidR="00B61173">
        <w:rPr>
          <w:rFonts w:cstheme="minorBidi"/>
        </w:rPr>
        <w:t>display</w:t>
      </w:r>
      <w:r w:rsidR="00B61173" w:rsidRPr="009819CE">
        <w:rPr>
          <w:rFonts w:cstheme="minorBidi"/>
        </w:rPr>
        <w:t xml:space="preserve"> </w:t>
      </w:r>
      <w:r w:rsidRPr="009819CE">
        <w:rPr>
          <w:rFonts w:cstheme="minorBidi"/>
        </w:rPr>
        <w:t xml:space="preserve">decolouration or pigment loss in their extremities and opacity of the musculature between the arm joints. This body-colour assessment method was initially introduced by </w:t>
      </w:r>
      <w:hyperlink w:anchor="_ENREF_91" w:tooltip="Field, 1992 #481" w:history="1">
        <w:r w:rsidR="00950097" w:rsidRPr="009819CE">
          <w:rPr>
            <w:rFonts w:cstheme="minorBidi"/>
          </w:rPr>
          <w:fldChar w:fldCharType="begin"/>
        </w:r>
        <w:r w:rsidR="00950097" w:rsidRPr="009819CE">
          <w:rPr>
            <w:rFonts w:cstheme="minorBidi"/>
          </w:rPr>
          <w:instrText xml:space="preserve"> ADDIN EN.CITE &lt;EndNote&gt;&lt;Cite AuthorYear="1"&gt;&lt;Author&gt;Field&lt;/Author&gt;&lt;Year&gt;1992&lt;/Year&gt;&lt;RecNum&gt;481&lt;/RecNum&gt;&lt;DisplayText&gt;Field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00950097" w:rsidRPr="009819CE">
          <w:rPr>
            <w:rFonts w:cstheme="minorBidi"/>
          </w:rPr>
          <w:fldChar w:fldCharType="separate"/>
        </w:r>
        <w:r w:rsidR="00950097" w:rsidRPr="00A14DD5">
          <w:rPr>
            <w:rFonts w:cstheme="minorBidi"/>
          </w:rPr>
          <w:t>Field (1992)</w:t>
        </w:r>
        <w:r w:rsidR="00950097" w:rsidRPr="009819CE">
          <w:rPr>
            <w:rFonts w:cstheme="minorBidi"/>
          </w:rPr>
          <w:fldChar w:fldCharType="end"/>
        </w:r>
      </w:hyperlink>
      <w:r w:rsidRPr="009819CE">
        <w:rPr>
          <w:rFonts w:cstheme="minorBidi"/>
        </w:rPr>
        <w:t xml:space="preserve">.  However, </w:t>
      </w:r>
      <w:r w:rsidR="00A93147" w:rsidRPr="009819CE">
        <w:rPr>
          <w:rFonts w:cstheme="minorBidi"/>
        </w:rPr>
        <w:t>v</w:t>
      </w:r>
      <w:r w:rsidRPr="009819CE">
        <w:rPr>
          <w:rFonts w:cstheme="minorBidi"/>
        </w:rPr>
        <w:t xml:space="preserve">isual assessment </w:t>
      </w:r>
      <w:r w:rsidR="00A93147" w:rsidRPr="009819CE">
        <w:rPr>
          <w:rFonts w:cstheme="minorBidi"/>
        </w:rPr>
        <w:t xml:space="preserve">under-reports </w:t>
      </w:r>
      <w:r w:rsidRPr="009819CE">
        <w:rPr>
          <w:rFonts w:cstheme="minorBidi"/>
        </w:rPr>
        <w:t xml:space="preserve">48%-50% </w:t>
      </w:r>
      <w:r w:rsidR="00FE745A" w:rsidRPr="009819CE">
        <w:rPr>
          <w:rFonts w:cstheme="minorBidi"/>
        </w:rPr>
        <w:t xml:space="preserve"> </w:t>
      </w:r>
      <w:r w:rsidRPr="009819CE">
        <w:rPr>
          <w:rFonts w:cstheme="minorBidi"/>
        </w:rPr>
        <w:t>of infections</w:t>
      </w:r>
      <w:r w:rsidR="00FE745A" w:rsidRPr="009819CE">
        <w:rPr>
          <w:rFonts w:cstheme="minorBidi"/>
        </w:rPr>
        <w:t xml:space="preserve"> </w:t>
      </w:r>
      <w:r w:rsidR="00FE745A" w:rsidRPr="009819CE">
        <w:rPr>
          <w:rFonts w:cstheme="minorBidi"/>
        </w:rPr>
        <w:fldChar w:fldCharType="begin"/>
      </w:r>
      <w:r w:rsidR="00D50EFF" w:rsidRPr="009819CE">
        <w:rPr>
          <w:rFonts w:cstheme="minorBidi"/>
        </w:rPr>
        <w:instrText xml:space="preserve"> ADDIN EN.CITE &lt;EndNote&gt;&lt;Cite&gt;&lt;Author&gt;Stentiford&lt;/Author&gt;&lt;Year&gt;2001&lt;/Year&gt;&lt;RecNum&gt;124&lt;/RecNum&gt;&lt;DisplayText&gt;(Stentiford et al., 2001a)&lt;/DisplayText&gt;&lt;record&gt;&lt;rec-number&gt;124&lt;/rec-number&gt;&lt;foreign-keys&gt;&lt;key app="EN" db-id="sd9wrx9fj09rx3erprsx999o0r5aprvp2zse" timestamp="1687855901" guid="09c5d39b-f816-4e12-ae84-6f5c91f6c410"&gt;124&lt;/key&gt;&lt;/foreign-keys&gt;&lt;ref-type name="Journal Article"&gt;17&lt;/ref-type&gt;&lt;contributors&gt;&lt;authors&gt;&lt;author&gt;Stentiford, Grant&lt;/author&gt;&lt;author&gt;Neil, Douglas M.&lt;/author&gt;&lt;author&gt;Atkinson, Robert James A.&lt;/author&gt;&lt;/authors&gt;&lt;/contributors&gt;&lt;titles&gt;&lt;title&gt;&lt;style face="normal" font="default" size="100%"&gt;The relationship of &lt;/style&gt;&lt;style face="italic" font="default" size="100%"&gt;Hematodinium &lt;/style&gt;&lt;style face="normal" font="default" size="100%"&gt;infection prevalence in a Scottish &lt;/style&gt;&lt;style face="italic" font="default" size="100%"&gt;Nephrops norvegicus&lt;/style&gt;&lt;style face="normal" font="default" size="100%"&gt; population to season, moulting and sex&lt;/style&gt;&lt;/title&gt;&lt;secondary-title&gt;ICES Journal of Marine Science&lt;/secondary-title&gt;&lt;/titles&gt;&lt;periodical&gt;&lt;full-title&gt;ICES Journal of Marine Science&lt;/full-title&gt;&lt;/periodical&gt;&lt;pages&gt;814-823&lt;/pages&gt;&lt;volume&gt;58&lt;/volume&gt;&lt;number&gt;4&lt;/number&gt;&lt;keywords&gt;&lt;keyword&gt;Hematodinium&lt;/keyword&gt;&lt;keyword&gt;Infection prevalence&lt;/keyword&gt;&lt;keyword&gt;Moult cycle&lt;/keyword&gt;&lt;keyword&gt;Nephrops norvegicus&lt;/keyword&gt;&lt;keyword&gt;Parasite&lt;/keyword&gt;&lt;/keywords&gt;&lt;dates&gt;&lt;year&gt;2001&lt;/year&gt;&lt;pub-dates&gt;&lt;date&gt;2001/8//&lt;/date&gt;&lt;/pub-dates&gt;&lt;/dates&gt;&lt;urls&gt;&lt;related-urls&gt;&lt;url&gt;https://academic.oup.com/icesjms/article-lookup/doi/10.1006/jmsc.2001.1072&lt;/url&gt;&lt;/related-urls&gt;&lt;/urls&gt;&lt;electronic-resource-num&gt;10.1006/jmsc.2001.1072&lt;/electronic-resource-num&gt;&lt;/record&gt;&lt;/Cite&gt;&lt;/EndNote&gt;</w:instrText>
      </w:r>
      <w:r w:rsidR="00FE745A" w:rsidRPr="009819CE">
        <w:rPr>
          <w:rFonts w:cstheme="minorBidi"/>
        </w:rPr>
        <w:fldChar w:fldCharType="separate"/>
      </w:r>
      <w:r w:rsidR="00D50EFF" w:rsidRPr="009819CE">
        <w:rPr>
          <w:rFonts w:cstheme="minorBidi"/>
        </w:rPr>
        <w:t>(</w:t>
      </w:r>
      <w:hyperlink w:anchor="_ENREF_297" w:tooltip="Stentiford, 2001 #124" w:history="1">
        <w:r w:rsidR="00950097" w:rsidRPr="009819CE">
          <w:rPr>
            <w:rFonts w:cstheme="minorBidi"/>
          </w:rPr>
          <w:t>Stentiford et al., 2001a</w:t>
        </w:r>
      </w:hyperlink>
      <w:r w:rsidR="00D50EFF" w:rsidRPr="009819CE">
        <w:rPr>
          <w:rFonts w:cstheme="minorBidi"/>
        </w:rPr>
        <w:t>)</w:t>
      </w:r>
      <w:r w:rsidR="00FE745A" w:rsidRPr="009819CE">
        <w:rPr>
          <w:rFonts w:cstheme="minorBidi"/>
        </w:rPr>
        <w:fldChar w:fldCharType="end"/>
      </w:r>
      <w:r w:rsidR="00A93147" w:rsidRPr="009819CE">
        <w:rPr>
          <w:rFonts w:cstheme="minorBidi"/>
        </w:rPr>
        <w:t xml:space="preserve"> as it</w:t>
      </w:r>
      <w:r w:rsidRPr="009819CE">
        <w:rPr>
          <w:rFonts w:cstheme="minorBidi"/>
        </w:rPr>
        <w:t xml:space="preserve"> can only identify infections in individuals with a parasite load of 5.2∙10</w:t>
      </w:r>
      <w:r w:rsidRPr="009819CE">
        <w:rPr>
          <w:rFonts w:cstheme="minorBidi"/>
          <w:vertAlign w:val="superscript"/>
        </w:rPr>
        <w:t>7</w:t>
      </w:r>
      <w:r w:rsidRPr="009819CE">
        <w:rPr>
          <w:rFonts w:cstheme="minorBidi"/>
        </w:rPr>
        <w:t xml:space="preserve"> parasites per mL of haemolymph</w:t>
      </w:r>
      <w:r w:rsidR="00E62A54" w:rsidRPr="009819CE">
        <w:rPr>
          <w:rFonts w:cstheme="minorBidi"/>
        </w:rPr>
        <w:t xml:space="preserve"> or above</w:t>
      </w:r>
      <w:r w:rsidRPr="009819CE">
        <w:rPr>
          <w:rFonts w:cstheme="minorBidi"/>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05001" w:rsidRPr="00FA7D47" w14:paraId="0DFEE9EB" w14:textId="77777777" w:rsidTr="007D6607">
        <w:tc>
          <w:tcPr>
            <w:tcW w:w="5000" w:type="pct"/>
            <w:hideMark/>
          </w:tcPr>
          <w:p w14:paraId="29BE8B9E" w14:textId="77777777" w:rsidR="00105001" w:rsidRPr="009819CE" w:rsidRDefault="00105001" w:rsidP="007D6607">
            <w:pPr>
              <w:spacing w:before="0" w:after="0"/>
              <w:rPr>
                <w:rFonts w:cstheme="minorBidi"/>
                <w:lang w:val="en-GB"/>
                <w14:ligatures w14:val="none"/>
              </w:rPr>
            </w:pPr>
            <w:r w:rsidRPr="00FF34FE">
              <w:rPr>
                <w:rFonts w:cstheme="minorBidi"/>
                <w:noProof/>
              </w:rPr>
              <w:drawing>
                <wp:inline distT="0" distB="0" distL="0" distR="0" wp14:anchorId="49137A73" wp14:editId="0B4D709C">
                  <wp:extent cx="5727700" cy="2357755"/>
                  <wp:effectExtent l="0" t="0" r="6350" b="4445"/>
                  <wp:docPr id="1725636780" name="Picture 1725636780" descr="A close-up of a lobs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close-up of a lobster&#10;&#10;Description automatically generated with medium confiden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7700" cy="2357755"/>
                          </a:xfrm>
                          <a:prstGeom prst="rect">
                            <a:avLst/>
                          </a:prstGeom>
                          <a:noFill/>
                          <a:ln>
                            <a:noFill/>
                          </a:ln>
                        </pic:spPr>
                      </pic:pic>
                    </a:graphicData>
                  </a:graphic>
                </wp:inline>
              </w:drawing>
            </w:r>
          </w:p>
        </w:tc>
      </w:tr>
      <w:tr w:rsidR="00105001" w:rsidRPr="00FA7D47" w14:paraId="1F36211A" w14:textId="77777777" w:rsidTr="007D6607">
        <w:tc>
          <w:tcPr>
            <w:tcW w:w="5000" w:type="pct"/>
            <w:hideMark/>
          </w:tcPr>
          <w:p w14:paraId="076094B9" w14:textId="481611E4" w:rsidR="00105001" w:rsidRPr="009819CE" w:rsidRDefault="00105001" w:rsidP="007D6607">
            <w:pPr>
              <w:spacing w:before="0" w:after="0" w:line="240" w:lineRule="auto"/>
              <w:rPr>
                <w:rFonts w:eastAsia="Calibri" w:cstheme="minorBidi"/>
                <w:iCs/>
                <w:color w:val="000000"/>
                <w:sz w:val="22"/>
                <w:szCs w:val="22"/>
                <w:lang w:val="en-GB"/>
                <w14:ligatures w14:val="none"/>
              </w:rPr>
            </w:pPr>
            <w:bookmarkStart w:id="124" w:name="_Ref81491120"/>
            <w:bookmarkStart w:id="125" w:name="_Toc84492445"/>
            <w:bookmarkStart w:id="126" w:name="_Toc140068616"/>
            <w:bookmarkStart w:id="127" w:name="_Toc204106702"/>
            <w:r w:rsidRPr="009819CE">
              <w:rPr>
                <w:rFonts w:eastAsia="Calibri" w:cstheme="minorBidi"/>
                <w:b/>
                <w:iCs/>
                <w:color w:val="000000"/>
                <w:sz w:val="22"/>
                <w:szCs w:val="22"/>
                <w:lang w:val="en-GB"/>
                <w14:ligatures w14:val="none"/>
              </w:rPr>
              <w:t xml:space="preserve">Figure </w:t>
            </w:r>
            <w:r w:rsidRPr="00A14DD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A14DD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A14DD5">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A14DD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A14DD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12</w:t>
            </w:r>
            <w:r w:rsidRPr="00A14DD5">
              <w:rPr>
                <w:rFonts w:eastAsia="Calibri" w:cstheme="minorBidi"/>
                <w:iCs/>
                <w:color w:val="000000"/>
                <w:sz w:val="22"/>
                <w:szCs w:val="22"/>
              </w:rPr>
              <w:fldChar w:fldCharType="end"/>
            </w:r>
            <w:bookmarkEnd w:id="124"/>
            <w:r w:rsidRPr="009819CE">
              <w:rPr>
                <w:rFonts w:eastAsia="Calibri" w:cstheme="minorBidi"/>
                <w:iCs/>
                <w:color w:val="000000"/>
                <w:sz w:val="22"/>
                <w:szCs w:val="22"/>
                <w:lang w:val="en-GB"/>
                <w14:ligatures w14:val="none"/>
              </w:rPr>
              <w:t xml:space="preserve"> Dorsal (A) and ventral (B) view of uninfected </w:t>
            </w:r>
            <w:r w:rsidR="00C31E47" w:rsidRPr="009819CE">
              <w:rPr>
                <w:rFonts w:eastAsia="Calibri" w:cstheme="minorBidi"/>
                <w:i/>
                <w:color w:val="000000"/>
                <w:sz w:val="22"/>
                <w:szCs w:val="22"/>
                <w:lang w:val="en-GB"/>
                <w14:ligatures w14:val="none"/>
              </w:rPr>
              <w:t>Nephrops</w:t>
            </w:r>
            <w:r w:rsidRPr="009819CE">
              <w:rPr>
                <w:rFonts w:eastAsia="Calibri" w:cstheme="minorBidi"/>
                <w:iCs/>
                <w:color w:val="000000"/>
                <w:sz w:val="22"/>
                <w:szCs w:val="22"/>
                <w:lang w:val="en-GB"/>
                <w14:ligatures w14:val="none"/>
              </w:rPr>
              <w:t xml:space="preserve"> (U) and infected </w:t>
            </w:r>
            <w:r w:rsidR="00C31E47" w:rsidRPr="009819CE">
              <w:rPr>
                <w:rFonts w:eastAsia="Calibri" w:cstheme="minorBidi"/>
                <w:i/>
                <w:iCs/>
                <w:color w:val="000000"/>
                <w:sz w:val="22"/>
                <w:szCs w:val="22"/>
                <w:lang w:val="en-GB"/>
                <w14:ligatures w14:val="none"/>
              </w:rPr>
              <w:t>Nephrops</w:t>
            </w:r>
            <w:r w:rsidRPr="009819CE">
              <w:rPr>
                <w:rFonts w:eastAsia="Calibri" w:cstheme="minorBidi"/>
                <w:iCs/>
                <w:color w:val="000000"/>
                <w:sz w:val="22"/>
                <w:szCs w:val="22"/>
                <w:lang w:val="en-GB"/>
                <w14:ligatures w14:val="none"/>
              </w:rPr>
              <w:t xml:space="preserve"> (I) from the CSA</w:t>
            </w:r>
            <w:r w:rsidRPr="009819CE">
              <w:rPr>
                <w:rFonts w:eastAsia="Calibri" w:cstheme="minorBidi"/>
                <w:i/>
                <w:iCs/>
                <w:color w:val="000000"/>
                <w:sz w:val="22"/>
                <w:szCs w:val="22"/>
                <w:lang w:val="en-GB"/>
                <w14:ligatures w14:val="none"/>
              </w:rPr>
              <w:t>.</w:t>
            </w:r>
            <w:bookmarkEnd w:id="125"/>
            <w:r w:rsidRPr="009819CE">
              <w:rPr>
                <w:rFonts w:eastAsia="Calibri" w:cstheme="minorBidi"/>
                <w:i/>
                <w:iCs/>
                <w:color w:val="000000"/>
                <w:sz w:val="22"/>
                <w:szCs w:val="22"/>
                <w:lang w:val="en-GB"/>
                <w14:ligatures w14:val="none"/>
              </w:rPr>
              <w:t xml:space="preserve"> </w:t>
            </w:r>
            <w:r w:rsidRPr="009819CE">
              <w:rPr>
                <w:rFonts w:eastAsia="Calibri" w:cstheme="minorBidi"/>
                <w:color w:val="000000"/>
                <w:sz w:val="22"/>
                <w:szCs w:val="22"/>
                <w:lang w:val="en-GB"/>
                <w14:ligatures w14:val="none"/>
              </w:rPr>
              <w:t xml:space="preserve">Source: </w:t>
            </w:r>
            <w:hyperlink w:anchor="_ENREF_28" w:tooltip="Beevers, 2010 #247" w:history="1">
              <w:r w:rsidR="00950097" w:rsidRPr="00A14DD5">
                <w:rPr>
                  <w:rFonts w:eastAsia="Calibri" w:cstheme="minorBidi"/>
                  <w:color w:val="000000"/>
                  <w:sz w:val="22"/>
                  <w:szCs w:val="22"/>
                </w:rPr>
                <w:fldChar w:fldCharType="begin"/>
              </w:r>
              <w:r w:rsidR="00950097" w:rsidRPr="009819CE">
                <w:rPr>
                  <w:rFonts w:eastAsia="Calibri" w:cstheme="minorBidi"/>
                  <w:color w:val="000000"/>
                  <w:sz w:val="22"/>
                  <w:szCs w:val="22"/>
                </w:rPr>
                <w:instrText xml:space="preserve"> ADDIN EN.CITE &lt;EndNote&gt;&lt;Cite AuthorYear="1"&gt;&lt;Author&gt;Beevers&lt;/Author&gt;&lt;Year&gt;2010&lt;/Year&gt;&lt;RecNum&gt;247&lt;/RecNum&gt;&lt;DisplayText&gt;Beevers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00950097" w:rsidRPr="00A14DD5">
                <w:rPr>
                  <w:rFonts w:eastAsia="Calibri" w:cstheme="minorBidi"/>
                  <w:color w:val="000000"/>
                  <w:sz w:val="22"/>
                  <w:szCs w:val="22"/>
                </w:rPr>
                <w:fldChar w:fldCharType="separate"/>
              </w:r>
              <w:r w:rsidR="00950097" w:rsidRPr="00A14DD5">
                <w:rPr>
                  <w:rFonts w:eastAsia="Calibri" w:cstheme="minorBidi"/>
                  <w:color w:val="000000"/>
                  <w:sz w:val="22"/>
                  <w:szCs w:val="22"/>
                </w:rPr>
                <w:t>Beevers (2010)</w:t>
              </w:r>
              <w:r w:rsidR="00950097" w:rsidRPr="00A14DD5">
                <w:rPr>
                  <w:rFonts w:eastAsia="Calibri" w:cstheme="minorBidi"/>
                  <w:color w:val="000000"/>
                  <w:sz w:val="22"/>
                  <w:szCs w:val="22"/>
                </w:rPr>
                <w:fldChar w:fldCharType="end"/>
              </w:r>
            </w:hyperlink>
            <w:bookmarkEnd w:id="126"/>
            <w:r w:rsidR="00D379E1" w:rsidRPr="009819CE">
              <w:rPr>
                <w:rFonts w:eastAsia="Calibri" w:cstheme="minorBidi"/>
                <w:color w:val="000000"/>
                <w:sz w:val="22"/>
                <w:szCs w:val="22"/>
                <w:lang w:val="en-GB"/>
              </w:rPr>
              <w:t>.</w:t>
            </w:r>
            <w:bookmarkEnd w:id="127"/>
          </w:p>
        </w:tc>
      </w:tr>
    </w:tbl>
    <w:p w14:paraId="7AA09625" w14:textId="77777777" w:rsidR="00105001" w:rsidRPr="009819CE" w:rsidRDefault="00105001" w:rsidP="00105001">
      <w:pPr>
        <w:spacing w:before="0" w:after="0"/>
        <w:rPr>
          <w:rFonts w:cstheme="minorBidi"/>
          <w:lang w:eastAsia="en-US"/>
        </w:rPr>
      </w:pPr>
      <w:bookmarkStart w:id="128" w:name="_Ref81663233"/>
      <w:bookmarkStart w:id="129" w:name="_Toc94799240"/>
      <w:bookmarkStart w:id="130" w:name="_Ref39083558"/>
    </w:p>
    <w:p w14:paraId="7DACF004" w14:textId="77777777" w:rsidR="00105001" w:rsidRPr="009819CE" w:rsidRDefault="00105001" w:rsidP="008043FF">
      <w:pPr>
        <w:pStyle w:val="Heading4"/>
      </w:pPr>
      <w:bookmarkStart w:id="131" w:name="_Ref163661491"/>
      <w:bookmarkStart w:id="132" w:name="_Ref169629959"/>
      <w:r w:rsidRPr="009819CE">
        <w:t>Pleopod method</w:t>
      </w:r>
      <w:bookmarkEnd w:id="128"/>
      <w:bookmarkEnd w:id="129"/>
      <w:bookmarkEnd w:id="131"/>
      <w:bookmarkEnd w:id="132"/>
    </w:p>
    <w:p w14:paraId="6E80BCEA" w14:textId="23BE725F" w:rsidR="00105001" w:rsidRPr="009819CE" w:rsidRDefault="00105001" w:rsidP="00105001">
      <w:pPr>
        <w:spacing w:before="0" w:after="0"/>
        <w:rPr>
          <w:rFonts w:cstheme="minorBidi"/>
        </w:rPr>
      </w:pPr>
      <w:r w:rsidRPr="009819CE">
        <w:rPr>
          <w:rFonts w:cstheme="minorBidi"/>
        </w:rPr>
        <w:t xml:space="preserve">The pleopod method, described by </w:t>
      </w:r>
      <w:hyperlink w:anchor="_ENREF_92" w:tooltip="Field, 1995 #101" w:history="1">
        <w:r w:rsidR="00950097" w:rsidRPr="009819CE">
          <w:rPr>
            <w:rFonts w:cstheme="minorBidi"/>
          </w:rPr>
          <w:fldChar w:fldCharType="begin"/>
        </w:r>
        <w:r w:rsidR="00950097" w:rsidRPr="009819CE">
          <w:rPr>
            <w:rFonts w:cstheme="minorBidi"/>
          </w:rPr>
          <w:instrText xml:space="preserve"> ADDIN EN.CITE &lt;EndNote&gt;&lt;Cite AuthorYear="1"&gt;&lt;Author&gt;Field&lt;/Author&gt;&lt;Year&gt;1995&lt;/Year&gt;&lt;RecNum&gt;101&lt;/RecNum&gt;&lt;DisplayText&gt;Field and Appleton (1995)&lt;/DisplayText&gt;&lt;record&gt;&lt;rec-number&gt;101&lt;/rec-number&gt;&lt;foreign-keys&gt;&lt;key app="EN" db-id="sd9wrx9fj09rx3erprsx999o0r5aprvp2zse" timestamp="1687855901" guid="af46a6d3-1f44-4c30-bcdc-1ba35f3e4fdf"&gt;101&lt;/key&gt;&lt;/foreign-keys&gt;&lt;ref-type name="Journal Article"&gt;17&lt;/ref-type&gt;&lt;contributors&gt;&lt;authors&gt;&lt;author&gt;Field, Robert Henry&lt;/author&gt;&lt;author&gt;Appleton, Paul Lauwrance&lt;/author&gt;&lt;/authors&gt;&lt;/contributors&gt;&lt;titles&gt;&lt;title&gt;&lt;style face="normal" font="default" size="100%"&gt;A &lt;/style&gt;&lt;style face="italic" font="default" size="100%"&gt;Hematodinium&lt;/style&gt;&lt;style face="normal" font="default" size="100%"&gt;-like dinoflagellate infection of the Norway lobster &lt;/style&gt;&lt;style face="italic" font="default" size="100%"&gt;Nephrops norvegicus&lt;/style&gt;&lt;style face="normal" font="default" size="100%"&gt;: observations on pathology and progression of infection&lt;/style&gt;&lt;/title&gt;&lt;secondary-title&gt;Diseases of Aquatic Organisms&lt;/secondary-title&gt;&lt;/titles&gt;&lt;periodical&gt;&lt;full-title&gt;Diseases of Aquatic Organisms&lt;/full-title&gt;&lt;/periodical&gt;&lt;pages&gt;115-128&lt;/pages&gt;&lt;volume&gt;22&lt;/volume&gt;&lt;number&gt;2&lt;/number&gt;&lt;keywords&gt;&lt;keyword&gt;Crustacea&lt;/keyword&gt;&lt;keyword&gt;Hematodinium sp.&lt;/keyword&gt;&lt;keyword&gt;Nephrops norvegicus&lt;/keyword&gt;&lt;keyword&gt;parasitic dinoflagellate&lt;/keyword&gt;&lt;keyword&gt;pathology&lt;/keyword&gt;&lt;/keywords&gt;&lt;dates&gt;&lt;year&gt;1995&lt;/year&gt;&lt;/dates&gt;&lt;urls&gt;&lt;related-urls&gt;&lt;url&gt;http://www.int-res.com/abstracts/dao/v22/n2/p115-128/&lt;/url&gt;&lt;url&gt;https://www.int-res.com/articles/dao/22/d022p115.pdf&lt;/url&gt;&lt;/related-urls&gt;&lt;/urls&gt;&lt;electronic-resource-num&gt;10.3354/dao022115&lt;/electronic-resource-num&gt;&lt;/record&gt;&lt;/Cite&gt;&lt;/EndNote&gt;</w:instrText>
        </w:r>
        <w:r w:rsidR="00950097" w:rsidRPr="009819CE">
          <w:rPr>
            <w:rFonts w:cstheme="minorBidi"/>
          </w:rPr>
          <w:fldChar w:fldCharType="separate"/>
        </w:r>
        <w:r w:rsidR="00950097" w:rsidRPr="00A14DD5">
          <w:rPr>
            <w:rFonts w:cstheme="minorBidi"/>
          </w:rPr>
          <w:t>Field and Appleton (1995)</w:t>
        </w:r>
        <w:r w:rsidR="00950097" w:rsidRPr="009819CE">
          <w:rPr>
            <w:rFonts w:cstheme="minorBidi"/>
          </w:rPr>
          <w:fldChar w:fldCharType="end"/>
        </w:r>
      </w:hyperlink>
      <w:r w:rsidRPr="009819CE">
        <w:rPr>
          <w:rFonts w:cstheme="minorBidi"/>
        </w:rPr>
        <w:t xml:space="preserve">, utilizes low-power microscopy to assess </w:t>
      </w:r>
      <w:r w:rsidR="009D03F4" w:rsidRPr="009819CE">
        <w:rPr>
          <w:rFonts w:cstheme="minorBidi"/>
          <w:i/>
          <w:iCs/>
        </w:rPr>
        <w:t>Hematodinium</w:t>
      </w:r>
      <w:r w:rsidRPr="009819CE">
        <w:rPr>
          <w:rFonts w:cstheme="minorBidi"/>
        </w:rPr>
        <w:t xml:space="preserve"> sp. infection. This technique involves examining the degree of parasite aggregation beneath the cuticle of the pleopods. Infection severity is scored on a </w:t>
      </w:r>
      <w:r w:rsidR="00DB0C9C">
        <w:rPr>
          <w:rFonts w:cstheme="minorBidi"/>
        </w:rPr>
        <w:t>five</w:t>
      </w:r>
      <w:r w:rsidRPr="009819CE">
        <w:rPr>
          <w:rFonts w:cstheme="minorBidi"/>
        </w:rPr>
        <w:t xml:space="preserve">-point scale (0 = uninfected; 1-4 = infected), as illustrated in </w:t>
      </w:r>
      <w:r w:rsidRPr="009819CE">
        <w:rPr>
          <w:rFonts w:cstheme="minorBidi"/>
        </w:rPr>
        <w:fldChar w:fldCharType="begin"/>
      </w:r>
      <w:r w:rsidRPr="009819CE">
        <w:rPr>
          <w:rFonts w:cstheme="minorBidi"/>
          <w:b/>
          <w:bCs/>
        </w:rPr>
        <w:instrText xml:space="preserve"> REF _Ref81586931 \h  \* MERGEFORMAT </w:instrText>
      </w:r>
      <w:r w:rsidRPr="009819CE">
        <w:rPr>
          <w:rFonts w:cstheme="minorBidi"/>
        </w:rPr>
      </w:r>
      <w:r w:rsidRPr="009819CE">
        <w:rPr>
          <w:rFonts w:cstheme="minorBidi"/>
        </w:rPr>
        <w:fldChar w:fldCharType="separate"/>
      </w:r>
      <w:r w:rsidR="008549FC" w:rsidRPr="008549FC">
        <w:rPr>
          <w:rFonts w:cstheme="minorBidi"/>
          <w:b/>
          <w:bCs/>
        </w:rPr>
        <w:t>Figure 1.13</w:t>
      </w:r>
      <w:r w:rsidRPr="009819CE">
        <w:rPr>
          <w:rFonts w:cstheme="minorBidi"/>
        </w:rPr>
        <w:fldChar w:fldCharType="end"/>
      </w:r>
      <w:r w:rsidRPr="009819CE">
        <w:rPr>
          <w:rFonts w:cstheme="minorBidi"/>
          <w:b/>
          <w:bCs/>
        </w:rPr>
        <w:t>.</w:t>
      </w:r>
      <w:r w:rsidRPr="009819CE">
        <w:rPr>
          <w:rFonts w:cstheme="minorBidi"/>
        </w:rPr>
        <w:t xml:space="preserve"> The pleopod method </w:t>
      </w:r>
      <w:r w:rsidR="00CB2736" w:rsidRPr="009819CE">
        <w:rPr>
          <w:rFonts w:cstheme="minorBidi"/>
        </w:rPr>
        <w:t>has proven to be</w:t>
      </w:r>
      <w:r w:rsidRPr="009819CE">
        <w:rPr>
          <w:rFonts w:cstheme="minorBidi"/>
        </w:rPr>
        <w:t xml:space="preserve"> useful for monitoring infection progression and assessing </w:t>
      </w:r>
      <w:r w:rsidR="00EE797E" w:rsidRPr="009819CE">
        <w:rPr>
          <w:rFonts w:cstheme="minorBidi"/>
        </w:rPr>
        <w:t xml:space="preserve">prevalence </w:t>
      </w:r>
      <w:r w:rsidRPr="009819CE">
        <w:rPr>
          <w:rFonts w:cstheme="minorBidi"/>
        </w:rPr>
        <w:fldChar w:fldCharType="begin">
          <w:fldData xml:space="preserve">PEVuZE5vdGU+PENpdGU+PEF1dGhvcj5CZWV2ZXJzPC9BdXRob3I+PFllYXI+MjAxMDwvWWVhcj48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</w:fldData>
        </w:fldChar>
      </w:r>
      <w:r w:rsidR="00EE7FB9">
        <w:rPr>
          <w:rFonts w:cstheme="minorBidi"/>
        </w:rPr>
        <w:instrText xml:space="preserve"> ADDIN EN.CITE </w:instrText>
      </w:r>
      <w:r w:rsidR="00EE7FB9">
        <w:rPr>
          <w:rFonts w:cstheme="minorBidi"/>
        </w:rPr>
        <w:fldChar w:fldCharType="begin">
          <w:fldData xml:space="preserve">PEVuZE5vdGU+PENpdGU+PEF1dGhvcj5CZWV2ZXJzPC9BdXRob3I+PFllYXI+MjAxMDwvWWVhcj48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28" w:tooltip="Beevers, 2010 #247" w:history="1">
        <w:r w:rsidR="00950097" w:rsidRPr="00EE7FB9">
          <w:rPr>
            <w:rFonts w:cstheme="minorBidi"/>
            <w:noProof/>
          </w:rPr>
          <w:t>Beevers, 2010</w:t>
        </w:r>
      </w:hyperlink>
      <w:r w:rsidR="00D50EFF" w:rsidRPr="00EE7FB9">
        <w:rPr>
          <w:rFonts w:cstheme="minorBidi"/>
          <w:noProof/>
        </w:rPr>
        <w:t xml:space="preserve">; </w:t>
      </w:r>
      <w:hyperlink w:anchor="_ENREF_91" w:tooltip="Field, 1992 #481" w:history="1">
        <w:r w:rsidR="00950097" w:rsidRPr="00EE7FB9">
          <w:rPr>
            <w:rFonts w:cstheme="minorBidi"/>
            <w:noProof/>
          </w:rPr>
          <w:t>Field, 1992</w:t>
        </w:r>
      </w:hyperlink>
      <w:r w:rsidR="00D50EFF" w:rsidRPr="00EE7FB9">
        <w:rPr>
          <w:rFonts w:cstheme="minorBidi"/>
          <w:noProof/>
        </w:rPr>
        <w:t xml:space="preserve">; </w:t>
      </w:r>
      <w:hyperlink w:anchor="_ENREF_298" w:tooltip="Stentiford, 2000 #281" w:history="1">
        <w:r w:rsidR="00950097" w:rsidRPr="00EE7FB9">
          <w:rPr>
            <w:rFonts w:cstheme="minorBidi"/>
            <w:noProof/>
          </w:rPr>
          <w:t>Stentiford, 2000</w:t>
        </w:r>
      </w:hyperlink>
      <w:r w:rsidR="00D50EFF" w:rsidRPr="00EE7FB9">
        <w:rPr>
          <w:rFonts w:cstheme="minorBidi"/>
          <w:noProof/>
        </w:rPr>
        <w:t>)</w:t>
      </w:r>
      <w:r w:rsidRPr="009819CE">
        <w:rPr>
          <w:rFonts w:cstheme="minorBidi"/>
        </w:rPr>
        <w:fldChar w:fldCharType="end"/>
      </w:r>
      <w:r w:rsidRPr="009819CE">
        <w:rPr>
          <w:rFonts w:cstheme="minorBidi"/>
        </w:rPr>
        <w:t xml:space="preserve">. However, this method is </w:t>
      </w:r>
      <w:r w:rsidR="004B2928" w:rsidRPr="009819CE">
        <w:rPr>
          <w:rFonts w:cstheme="minorBidi"/>
        </w:rPr>
        <w:t>partly subjective</w:t>
      </w:r>
      <w:r w:rsidRPr="009819CE">
        <w:rPr>
          <w:rFonts w:cstheme="minorBidi"/>
        </w:rPr>
        <w:t>, particularly for cases of light infections and it can only identify infections in individuals with a parasite load of 2.4∙10</w:t>
      </w:r>
      <w:r w:rsidRPr="009819CE">
        <w:rPr>
          <w:rFonts w:cstheme="minorBidi"/>
          <w:vertAlign w:val="superscript"/>
        </w:rPr>
        <w:t>6</w:t>
      </w:r>
      <w:r w:rsidRPr="009819CE">
        <w:rPr>
          <w:rFonts w:cstheme="minorBidi"/>
        </w:rPr>
        <w:t xml:space="preserve"> parasites per mL of haemolymph</w:t>
      </w:r>
      <w:r w:rsidR="00EE797E" w:rsidRPr="009819CE">
        <w:rPr>
          <w:rFonts w:cstheme="minorBidi"/>
        </w:rPr>
        <w:t xml:space="preserve"> and above</w:t>
      </w:r>
      <w:r w:rsidRPr="009819CE">
        <w:rPr>
          <w:rFonts w:cstheme="minorBidi"/>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05001" w:rsidRPr="00FA7D47" w14:paraId="2F6C7850" w14:textId="77777777" w:rsidTr="007D6607">
        <w:tc>
          <w:tcPr>
            <w:tcW w:w="5000" w:type="pct"/>
            <w:hideMark/>
          </w:tcPr>
          <w:p w14:paraId="5BDC59C3" w14:textId="77777777" w:rsidR="00105001" w:rsidRPr="009819CE" w:rsidRDefault="00105001" w:rsidP="007D6607">
            <w:pPr>
              <w:spacing w:before="0" w:after="0"/>
              <w:rPr>
                <w:rFonts w:cstheme="minorBidi"/>
                <w:lang w:val="en-GB"/>
                <w14:ligatures w14:val="none"/>
              </w:rPr>
            </w:pPr>
            <w:r w:rsidRPr="00FF34FE">
              <w:rPr>
                <w:rFonts w:cstheme="minorBidi"/>
                <w:noProof/>
              </w:rPr>
              <w:drawing>
                <wp:inline distT="0" distB="0" distL="0" distR="0" wp14:anchorId="34E5DA8D" wp14:editId="70FE30CE">
                  <wp:extent cx="5727700" cy="1885315"/>
                  <wp:effectExtent l="0" t="0" r="6350" b="635"/>
                  <wp:docPr id="16033410" name="Picture 16033410" descr="A picture containing sketch, black and white, monochrome photograph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sketch, black and white, monochrome photography, screenshot&#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7700" cy="1885315"/>
                          </a:xfrm>
                          <a:prstGeom prst="rect">
                            <a:avLst/>
                          </a:prstGeom>
                          <a:noFill/>
                          <a:ln>
                            <a:noFill/>
                          </a:ln>
                        </pic:spPr>
                      </pic:pic>
                    </a:graphicData>
                  </a:graphic>
                </wp:inline>
              </w:drawing>
            </w:r>
          </w:p>
        </w:tc>
      </w:tr>
      <w:tr w:rsidR="00105001" w:rsidRPr="00FA7D47" w14:paraId="7C5F3E37" w14:textId="77777777" w:rsidTr="007D6607">
        <w:tc>
          <w:tcPr>
            <w:tcW w:w="5000" w:type="pct"/>
            <w:hideMark/>
          </w:tcPr>
          <w:p w14:paraId="6F50732B" w14:textId="681CDC34" w:rsidR="00105001" w:rsidRPr="009819CE" w:rsidRDefault="00105001" w:rsidP="007D6607">
            <w:pPr>
              <w:spacing w:before="0" w:after="0" w:line="240" w:lineRule="auto"/>
              <w:rPr>
                <w:rFonts w:eastAsia="Calibri" w:cstheme="minorBidi"/>
                <w:iCs/>
                <w:color w:val="000000"/>
                <w:sz w:val="22"/>
                <w:szCs w:val="22"/>
                <w:lang w:val="en-GB"/>
                <w14:ligatures w14:val="none"/>
              </w:rPr>
            </w:pPr>
            <w:bookmarkStart w:id="133" w:name="_Ref81586931"/>
            <w:bookmarkStart w:id="134" w:name="_Toc84492446"/>
            <w:bookmarkStart w:id="135" w:name="_Toc140068617"/>
            <w:bookmarkStart w:id="136" w:name="_Toc204106703"/>
            <w:r w:rsidRPr="009819CE">
              <w:rPr>
                <w:rFonts w:eastAsia="Calibri" w:cstheme="minorBidi"/>
                <w:b/>
                <w:iCs/>
                <w:color w:val="000000"/>
                <w:sz w:val="22"/>
                <w:szCs w:val="22"/>
                <w:lang w:val="en-GB"/>
                <w14:ligatures w14:val="none"/>
              </w:rPr>
              <w:t xml:space="preserve">Figure </w:t>
            </w:r>
            <w:r w:rsidRPr="00A14DD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A14DD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A14DD5">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A14DD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A14DD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13</w:t>
            </w:r>
            <w:r w:rsidRPr="00A14DD5">
              <w:rPr>
                <w:rFonts w:eastAsia="Calibri" w:cstheme="minorBidi"/>
                <w:iCs/>
                <w:color w:val="000000"/>
                <w:sz w:val="22"/>
                <w:szCs w:val="22"/>
              </w:rPr>
              <w:fldChar w:fldCharType="end"/>
            </w:r>
            <w:bookmarkEnd w:id="133"/>
            <w:r w:rsidRPr="009819CE">
              <w:rPr>
                <w:rFonts w:eastAsia="Calibri" w:cstheme="minorBidi"/>
                <w:iCs/>
                <w:color w:val="000000"/>
                <w:sz w:val="22"/>
                <w:szCs w:val="22"/>
                <w:lang w:val="en-GB"/>
                <w14:ligatures w14:val="none"/>
              </w:rPr>
              <w:t xml:space="preserve"> </w:t>
            </w:r>
            <w:r w:rsidR="009D03F4" w:rsidRPr="009819CE">
              <w:rPr>
                <w:rFonts w:eastAsia="Calibri" w:cstheme="minorBidi"/>
                <w:i/>
                <w:iCs/>
                <w:color w:val="000000"/>
                <w:sz w:val="22"/>
                <w:szCs w:val="22"/>
                <w:lang w:val="en-GB"/>
                <w14:ligatures w14:val="none"/>
              </w:rPr>
              <w:t>Hematodinium</w:t>
            </w:r>
            <w:r w:rsidRPr="009819CE">
              <w:rPr>
                <w:rFonts w:eastAsia="Calibri" w:cstheme="minorBidi"/>
                <w:iCs/>
                <w:color w:val="000000"/>
                <w:sz w:val="22"/>
                <w:szCs w:val="22"/>
                <w:lang w:val="en-GB"/>
                <w14:ligatures w14:val="none"/>
              </w:rPr>
              <w:t xml:space="preserve"> infection severity categorized on a </w:t>
            </w:r>
            <w:r w:rsidR="00DB0C9C">
              <w:rPr>
                <w:rFonts w:eastAsia="Calibri" w:cstheme="minorBidi"/>
                <w:iCs/>
                <w:color w:val="000000"/>
                <w:sz w:val="22"/>
                <w:szCs w:val="22"/>
                <w:lang w:val="en-GB"/>
                <w14:ligatures w14:val="none"/>
              </w:rPr>
              <w:t>five</w:t>
            </w:r>
            <w:r w:rsidRPr="009819CE">
              <w:rPr>
                <w:rFonts w:eastAsia="Calibri" w:cstheme="minorBidi"/>
                <w:iCs/>
                <w:color w:val="000000"/>
                <w:sz w:val="22"/>
                <w:szCs w:val="22"/>
                <w:lang w:val="en-GB"/>
                <w14:ligatures w14:val="none"/>
              </w:rPr>
              <w:t>-point scale using the pleopod method. Bar = 0.5 mm</w:t>
            </w:r>
            <w:bookmarkEnd w:id="134"/>
            <w:r w:rsidRPr="009819CE">
              <w:rPr>
                <w:rFonts w:eastAsia="Calibri" w:cstheme="minorBidi"/>
                <w:iCs/>
                <w:color w:val="000000"/>
                <w:sz w:val="22"/>
                <w:szCs w:val="22"/>
                <w:lang w:val="en-GB"/>
                <w14:ligatures w14:val="none"/>
              </w:rPr>
              <w:t xml:space="preserve">. Source: </w:t>
            </w:r>
            <w:hyperlink w:anchor="_ENREF_92" w:tooltip="Field, 1995 #101" w:history="1">
              <w:r w:rsidR="00950097" w:rsidRPr="007268F5">
                <w:rPr>
                  <w:rFonts w:eastAsia="Calibri" w:cstheme="minorBidi"/>
                  <w:iCs/>
                  <w:color w:val="000000"/>
                  <w:sz w:val="22"/>
                  <w:szCs w:val="22"/>
                </w:rPr>
                <w:fldChar w:fldCharType="begin"/>
              </w:r>
              <w:r w:rsidR="00950097" w:rsidRPr="009819CE">
                <w:rPr>
                  <w:rFonts w:eastAsia="Calibri" w:cstheme="minorBidi"/>
                  <w:iCs/>
                  <w:color w:val="000000"/>
                  <w:sz w:val="22"/>
                  <w:szCs w:val="22"/>
                </w:rPr>
                <w:instrText xml:space="preserve"> ADDIN EN.CITE &lt;EndNote&gt;&lt;Cite AuthorYear="1"&gt;&lt;Author&gt;Field&lt;/Author&gt;&lt;Year&gt;1995&lt;/Year&gt;&lt;RecNum&gt;101&lt;/RecNum&gt;&lt;DisplayText&gt;Field and Appleton (1995)&lt;/DisplayText&gt;&lt;record&gt;&lt;rec-number&gt;101&lt;/rec-number&gt;&lt;foreign-keys&gt;&lt;key app="EN" db-id="sd9wrx9fj09rx3erprsx999o0r5aprvp2zse" timestamp="1687855901" guid="af46a6d3-1f44-4c30-bcdc-1ba35f3e4fdf"&gt;101&lt;/key&gt;&lt;/foreign-keys&gt;&lt;ref-type name="Journal Article"&gt;17&lt;/ref-type&gt;&lt;contributors&gt;&lt;authors&gt;&lt;author&gt;Field, Robert Henry&lt;/author&gt;&lt;author&gt;Appleton, Paul Lauwrance&lt;/author&gt;&lt;/authors&gt;&lt;/contributors&gt;&lt;titles&gt;&lt;title&gt;&lt;style face="normal" font="default" size="100%"&gt;A &lt;/style&gt;&lt;style face="italic" font="default" size="100%"&gt;Hematodinium&lt;/style&gt;&lt;style face="normal" font="default" size="100%"&gt;-like dinoflagellate infection of the Norway lobster &lt;/style&gt;&lt;style face="italic" font="default" size="100%"&gt;Nephrops norvegicus&lt;/style&gt;&lt;style face="normal" font="default" size="100%"&gt;: observations on pathology and progression of infection&lt;/style&gt;&lt;/title&gt;&lt;secondary-title&gt;Diseases of Aquatic Organisms&lt;/secondary-title&gt;&lt;/titles&gt;&lt;periodical&gt;&lt;full-title&gt;Diseases of Aquatic Organisms&lt;/full-title&gt;&lt;/periodical&gt;&lt;pages&gt;115-128&lt;/pages&gt;&lt;volume&gt;22&lt;/volume&gt;&lt;number&gt;2&lt;/number&gt;&lt;keywords&gt;&lt;keyword&gt;Crustacea&lt;/keyword&gt;&lt;keyword&gt;Hematodinium sp.&lt;/keyword&gt;&lt;keyword&gt;Nephrops norvegicus&lt;/keyword&gt;&lt;keyword&gt;parasitic dinoflagellate&lt;/keyword&gt;&lt;keyword&gt;pathology&lt;/keyword&gt;&lt;/keywords&gt;&lt;dates&gt;&lt;year&gt;1995&lt;/year&gt;&lt;/dates&gt;&lt;urls&gt;&lt;related-urls&gt;&lt;url&gt;http://www.int-res.com/abstracts/dao/v22/n2/p115-128/&lt;/url&gt;&lt;url&gt;https://www.int-res.com/articles/dao/22/d022p115.pdf&lt;/url&gt;&lt;/related-urls&gt;&lt;/urls&gt;&lt;electronic-resource-num&gt;10.3354/dao022115&lt;/electronic-resource-num&gt;&lt;/record&gt;&lt;/Cite&gt;&lt;/EndNote&gt;</w:instrText>
              </w:r>
              <w:r w:rsidR="00950097" w:rsidRPr="007268F5">
                <w:rPr>
                  <w:rFonts w:eastAsia="Calibri" w:cstheme="minorBidi"/>
                  <w:iCs/>
                  <w:color w:val="000000"/>
                  <w:sz w:val="22"/>
                  <w:szCs w:val="22"/>
                </w:rPr>
                <w:fldChar w:fldCharType="separate"/>
              </w:r>
              <w:r w:rsidR="00950097" w:rsidRPr="007268F5">
                <w:rPr>
                  <w:rFonts w:eastAsia="Calibri" w:cstheme="minorBidi"/>
                  <w:iCs/>
                  <w:color w:val="000000"/>
                  <w:sz w:val="22"/>
                  <w:szCs w:val="22"/>
                </w:rPr>
                <w:t>Field and Appleton (1995)</w:t>
              </w:r>
              <w:r w:rsidR="00950097" w:rsidRPr="007268F5">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135"/>
            <w:bookmarkEnd w:id="136"/>
          </w:p>
        </w:tc>
      </w:tr>
    </w:tbl>
    <w:p w14:paraId="0A575DAA" w14:textId="77777777" w:rsidR="001C2AAA" w:rsidRPr="009819CE" w:rsidRDefault="001C2AAA" w:rsidP="001C2AAA">
      <w:bookmarkStart w:id="137" w:name="_Toc94799241"/>
    </w:p>
    <w:p w14:paraId="51C9999D" w14:textId="51718064" w:rsidR="00105001" w:rsidRPr="009819CE" w:rsidRDefault="00105001" w:rsidP="00435C26">
      <w:pPr>
        <w:pStyle w:val="Heading4"/>
      </w:pPr>
      <w:r w:rsidRPr="009819CE">
        <w:t>Polymerase chain reaction</w:t>
      </w:r>
      <w:bookmarkEnd w:id="137"/>
      <w:r w:rsidR="00584442" w:rsidRPr="009819CE">
        <w:t xml:space="preserve"> (PCR</w:t>
      </w:r>
      <w:r w:rsidR="00A618B1" w:rsidRPr="009819CE">
        <w:t>) and real-time quantitative polymerase chain reaction (</w:t>
      </w:r>
      <w:r w:rsidR="00584442" w:rsidRPr="009819CE">
        <w:t>RT</w:t>
      </w:r>
      <w:r w:rsidR="00E412FD" w:rsidRPr="009819CE">
        <w:t>-qPCR)</w:t>
      </w:r>
    </w:p>
    <w:p w14:paraId="494CA360" w14:textId="722E6D7E" w:rsidR="00F123F2" w:rsidRPr="009819CE" w:rsidRDefault="00105001" w:rsidP="00F123F2">
      <w:pPr>
        <w:spacing w:before="0" w:after="0"/>
        <w:rPr>
          <w:rFonts w:cstheme="minorBidi"/>
        </w:rPr>
      </w:pPr>
      <w:r w:rsidRPr="009819CE">
        <w:rPr>
          <w:rFonts w:cstheme="minorBidi"/>
        </w:rPr>
        <w:t xml:space="preserve">Polymerase chain reaction (PCR) is widely employed for </w:t>
      </w:r>
      <w:r w:rsidR="00C43406" w:rsidRPr="009819CE">
        <w:rPr>
          <w:rFonts w:cstheme="minorBidi"/>
        </w:rPr>
        <w:t xml:space="preserve">the </w:t>
      </w:r>
      <w:r w:rsidRPr="009819CE">
        <w:rPr>
          <w:rFonts w:cstheme="minorBidi"/>
        </w:rPr>
        <w:t xml:space="preserve">molecular </w:t>
      </w:r>
      <w:r w:rsidR="00C43406" w:rsidRPr="009819CE">
        <w:rPr>
          <w:rFonts w:cstheme="minorBidi"/>
        </w:rPr>
        <w:t xml:space="preserve">detection </w:t>
      </w:r>
      <w:r w:rsidRPr="009819CE">
        <w:rPr>
          <w:rFonts w:cstheme="minorBidi"/>
        </w:rPr>
        <w:t xml:space="preserve">of </w:t>
      </w:r>
      <w:r w:rsidR="009D03F4" w:rsidRPr="009819CE">
        <w:rPr>
          <w:rFonts w:cstheme="minorBidi"/>
          <w:i/>
          <w:iCs/>
        </w:rPr>
        <w:t>Hematodinium</w:t>
      </w:r>
      <w:r w:rsidRPr="009819CE">
        <w:rPr>
          <w:rFonts w:cstheme="minorBidi"/>
        </w:rPr>
        <w:t xml:space="preserve">. Multiple primer sets have been designed for </w:t>
      </w:r>
      <w:r w:rsidR="009D03F4" w:rsidRPr="009819CE">
        <w:rPr>
          <w:rFonts w:cstheme="minorBidi"/>
          <w:i/>
          <w:iCs/>
        </w:rPr>
        <w:t>Hematodinium</w:t>
      </w:r>
      <w:r w:rsidRPr="009819CE">
        <w:rPr>
          <w:rFonts w:cstheme="minorBidi"/>
        </w:rPr>
        <w:t xml:space="preserve"> spp. detection</w:t>
      </w:r>
      <w:r w:rsidR="00735DD9" w:rsidRPr="009819CE">
        <w:rPr>
          <w:rFonts w:cstheme="minorBidi"/>
        </w:rPr>
        <w:t xml:space="preserve"> </w:t>
      </w:r>
      <w:r w:rsidR="007532DA" w:rsidRPr="009819CE">
        <w:rPr>
          <w:rFonts w:cstheme="minorBidi"/>
        </w:rPr>
        <w:fldChar w:fldCharType="begin">
          <w:fldData xml:space="preserve">PEVuZE5vdGU+PENpdGU+PEF1dGhvcj5HcnVlYmw8L0F1dGhvcj48WWVhcj4yMDAyPC9ZZWFyPjxS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</w:fldData>
        </w:fldChar>
      </w:r>
      <w:r w:rsidR="00231B97" w:rsidRPr="009819CE">
        <w:rPr>
          <w:rFonts w:cstheme="minorBidi"/>
        </w:rPr>
        <w:instrText xml:space="preserve"> ADDIN EN.CITE </w:instrText>
      </w:r>
      <w:r w:rsidR="00231B97" w:rsidRPr="009819CE">
        <w:rPr>
          <w:rFonts w:cstheme="minorBidi"/>
        </w:rPr>
        <w:fldChar w:fldCharType="begin">
          <w:fldData xml:space="preserve">PEVuZE5vdGU+PENpdGU+PEF1dGhvcj5HcnVlYmw8L0F1dGhvcj48WWVhcj4yMDAyPC9ZZWFyPjxS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</w:fldData>
        </w:fldChar>
      </w:r>
      <w:r w:rsidR="00231B97" w:rsidRPr="009819CE">
        <w:rPr>
          <w:rFonts w:cstheme="minorBidi"/>
        </w:rPr>
        <w:instrText xml:space="preserve"> ADDIN EN.CITE.DATA </w:instrText>
      </w:r>
      <w:r w:rsidR="00231B97" w:rsidRPr="009819CE">
        <w:rPr>
          <w:rFonts w:cstheme="minorBidi"/>
        </w:rPr>
      </w:r>
      <w:r w:rsidR="00231B97" w:rsidRPr="009819CE">
        <w:rPr>
          <w:rFonts w:cstheme="minorBidi"/>
        </w:rPr>
        <w:fldChar w:fldCharType="end"/>
      </w:r>
      <w:r w:rsidR="007532DA" w:rsidRPr="009819CE">
        <w:rPr>
          <w:rFonts w:cstheme="minorBidi"/>
        </w:rPr>
      </w:r>
      <w:r w:rsidR="007532DA" w:rsidRPr="009819CE">
        <w:rPr>
          <w:rFonts w:cstheme="minorBidi"/>
        </w:rPr>
        <w:fldChar w:fldCharType="separate"/>
      </w:r>
      <w:r w:rsidR="00D50EFF" w:rsidRPr="007268F5">
        <w:rPr>
          <w:rFonts w:cstheme="minorBidi"/>
        </w:rPr>
        <w:t>(</w:t>
      </w:r>
      <w:hyperlink w:anchor="_ENREF_104" w:tooltip="Frischer, 2006 #382" w:history="1">
        <w:r w:rsidR="00950097" w:rsidRPr="007268F5">
          <w:rPr>
            <w:rFonts w:cstheme="minorBidi"/>
          </w:rPr>
          <w:t>Frischer et al., 2006</w:t>
        </w:r>
      </w:hyperlink>
      <w:r w:rsidR="00D50EFF" w:rsidRPr="007268F5">
        <w:rPr>
          <w:rFonts w:cstheme="minorBidi"/>
        </w:rPr>
        <w:t xml:space="preserve">; </w:t>
      </w:r>
      <w:hyperlink w:anchor="_ENREF_116" w:tooltip="Gruebl, 2002 #130" w:history="1">
        <w:r w:rsidR="00950097" w:rsidRPr="007268F5">
          <w:rPr>
            <w:rFonts w:cstheme="minorBidi"/>
          </w:rPr>
          <w:t>Gruebl et al., 2002</w:t>
        </w:r>
      </w:hyperlink>
      <w:r w:rsidR="00D50EFF" w:rsidRPr="007268F5">
        <w:rPr>
          <w:rFonts w:cstheme="minorBidi"/>
        </w:rPr>
        <w:t xml:space="preserve">; </w:t>
      </w:r>
      <w:hyperlink w:anchor="_ENREF_121" w:tooltip="Hamilton, 2010 #17" w:history="1">
        <w:r w:rsidR="00950097" w:rsidRPr="007268F5">
          <w:rPr>
            <w:rFonts w:cstheme="minorBidi"/>
          </w:rPr>
          <w:t>Hamilton et al., 2010</w:t>
        </w:r>
      </w:hyperlink>
      <w:r w:rsidR="00D50EFF" w:rsidRPr="007268F5">
        <w:rPr>
          <w:rFonts w:cstheme="minorBidi"/>
        </w:rPr>
        <w:t xml:space="preserve">; </w:t>
      </w:r>
      <w:hyperlink w:anchor="_ENREF_122" w:tooltip="Hamilton, 2009 #339" w:history="1">
        <w:r w:rsidR="00950097" w:rsidRPr="007268F5">
          <w:rPr>
            <w:rFonts w:cstheme="minorBidi"/>
          </w:rPr>
          <w:t>Hamilton et al., 2009</w:t>
        </w:r>
      </w:hyperlink>
      <w:r w:rsidR="00D50EFF" w:rsidRPr="007268F5">
        <w:rPr>
          <w:rFonts w:cstheme="minorBidi"/>
        </w:rPr>
        <w:t xml:space="preserve">; </w:t>
      </w:r>
      <w:hyperlink w:anchor="_ENREF_123" w:tooltip="Hamilton, 2011 #369" w:history="1">
        <w:r w:rsidR="00950097" w:rsidRPr="007268F5">
          <w:rPr>
            <w:rFonts w:cstheme="minorBidi"/>
          </w:rPr>
          <w:t>Hamilton et al., 2011</w:t>
        </w:r>
      </w:hyperlink>
      <w:r w:rsidR="00D50EFF" w:rsidRPr="007268F5">
        <w:rPr>
          <w:rFonts w:cstheme="minorBidi"/>
        </w:rPr>
        <w:t xml:space="preserve">; </w:t>
      </w:r>
      <w:hyperlink w:anchor="_ENREF_125" w:tooltip="Hanif, 2013 #351" w:history="1">
        <w:r w:rsidR="00950097" w:rsidRPr="007268F5">
          <w:rPr>
            <w:rFonts w:cstheme="minorBidi"/>
          </w:rPr>
          <w:t>Hanif et al., 2013</w:t>
        </w:r>
      </w:hyperlink>
      <w:r w:rsidR="00D50EFF" w:rsidRPr="007268F5">
        <w:rPr>
          <w:rFonts w:cstheme="minorBidi"/>
        </w:rPr>
        <w:t xml:space="preserve">; </w:t>
      </w:r>
      <w:hyperlink w:anchor="_ENREF_150" w:tooltip="Hudson, 1995 #102" w:history="1">
        <w:r w:rsidR="00950097" w:rsidRPr="007268F5">
          <w:rPr>
            <w:rFonts w:cstheme="minorBidi"/>
          </w:rPr>
          <w:t>Hudson and Adlard, 1995</w:t>
        </w:r>
      </w:hyperlink>
      <w:r w:rsidR="00D50EFF" w:rsidRPr="007268F5">
        <w:rPr>
          <w:rFonts w:cstheme="minorBidi"/>
        </w:rPr>
        <w:t xml:space="preserve">; </w:t>
      </w:r>
      <w:hyperlink w:anchor="_ENREF_156" w:tooltip="Jensen, 2010 #16" w:history="1">
        <w:r w:rsidR="00950097" w:rsidRPr="007268F5">
          <w:rPr>
            <w:rFonts w:cstheme="minorBidi"/>
          </w:rPr>
          <w:t>Jensen et al., 2010</w:t>
        </w:r>
      </w:hyperlink>
      <w:r w:rsidR="00D50EFF" w:rsidRPr="007268F5">
        <w:rPr>
          <w:rFonts w:cstheme="minorBidi"/>
        </w:rPr>
        <w:t xml:space="preserve">; </w:t>
      </w:r>
      <w:hyperlink w:anchor="_ENREF_176" w:tooltip="Li, 2010 #430" w:history="1">
        <w:r w:rsidR="00950097" w:rsidRPr="007268F5">
          <w:rPr>
            <w:rFonts w:cstheme="minorBidi"/>
          </w:rPr>
          <w:t>Li et al., 2010</w:t>
        </w:r>
      </w:hyperlink>
      <w:r w:rsidR="00D50EFF" w:rsidRPr="007268F5">
        <w:rPr>
          <w:rFonts w:cstheme="minorBidi"/>
        </w:rPr>
        <w:t xml:space="preserve">; </w:t>
      </w:r>
      <w:hyperlink w:anchor="_ENREF_290" w:tooltip="Small, 2006 #434" w:history="1">
        <w:r w:rsidR="00950097" w:rsidRPr="007268F5">
          <w:rPr>
            <w:rFonts w:cstheme="minorBidi"/>
          </w:rPr>
          <w:t>Small et al., 2006</w:t>
        </w:r>
      </w:hyperlink>
      <w:r w:rsidR="00D50EFF" w:rsidRPr="007268F5">
        <w:rPr>
          <w:rFonts w:cstheme="minorBidi"/>
        </w:rPr>
        <w:t>)</w:t>
      </w:r>
      <w:r w:rsidR="007532DA" w:rsidRPr="009819CE">
        <w:rPr>
          <w:rFonts w:cstheme="minorBidi"/>
        </w:rPr>
        <w:fldChar w:fldCharType="end"/>
      </w:r>
      <w:r w:rsidRPr="009819CE">
        <w:rPr>
          <w:rFonts w:cstheme="minorBidi"/>
        </w:rPr>
        <w:t xml:space="preserve">. These primers typically target a partial sequence of the 18S gene within the ribosomal RNA (rRNA) gene complex, as well as the ITS1 sequence located 256 to 277 base pairs downstream of the 18S/ITS1 boundary </w:t>
      </w:r>
      <w:r w:rsidRPr="009819CE">
        <w:rPr>
          <w:rFonts w:cstheme="minorBidi"/>
        </w:rPr>
        <w:fldChar w:fldCharType="begin"/>
      </w:r>
      <w:r w:rsidR="00CE4372" w:rsidRPr="009819CE">
        <w:rPr>
          <w:rFonts w:cstheme="minorBidi"/>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Pr="009819CE">
        <w:rPr>
          <w:rFonts w:cstheme="minorBidi"/>
        </w:rPr>
        <w:fldChar w:fldCharType="separate"/>
      </w:r>
      <w:r w:rsidR="00A8698B" w:rsidRPr="007268F5">
        <w:rPr>
          <w:rFonts w:cstheme="minorBidi"/>
        </w:rPr>
        <w:t>(</w:t>
      </w:r>
      <w:hyperlink w:anchor="_ENREF_28" w:tooltip="Beevers, 2010 #247" w:history="1">
        <w:r w:rsidR="00950097" w:rsidRPr="007268F5">
          <w:rPr>
            <w:rFonts w:cstheme="minorBidi"/>
          </w:rPr>
          <w:t>Beevers, 2010</w:t>
        </w:r>
      </w:hyperlink>
      <w:r w:rsidR="00A8698B" w:rsidRPr="007268F5">
        <w:rPr>
          <w:rFonts w:cstheme="minorBidi"/>
        </w:rPr>
        <w:t>)</w:t>
      </w:r>
      <w:r w:rsidRPr="009819CE">
        <w:rPr>
          <w:rFonts w:cstheme="minorBidi"/>
        </w:rPr>
        <w:fldChar w:fldCharType="end"/>
      </w:r>
      <w:r w:rsidRPr="009819CE">
        <w:rPr>
          <w:rFonts w:cstheme="minorBidi"/>
        </w:rPr>
        <w:t xml:space="preserve">. </w:t>
      </w:r>
      <w:r w:rsidR="00803631" w:rsidRPr="009819CE">
        <w:rPr>
          <w:rFonts w:cstheme="minorBidi"/>
        </w:rPr>
        <w:t xml:space="preserve">The </w:t>
      </w:r>
      <w:r w:rsidR="00D8665B" w:rsidRPr="009819CE">
        <w:rPr>
          <w:rFonts w:cstheme="minorBidi"/>
        </w:rPr>
        <w:t>r</w:t>
      </w:r>
      <w:r w:rsidR="003F45B0" w:rsidRPr="009819CE">
        <w:rPr>
          <w:rFonts w:cstheme="minorBidi"/>
        </w:rPr>
        <w:t>eal</w:t>
      </w:r>
      <w:r w:rsidR="00D8665B" w:rsidRPr="009819CE">
        <w:rPr>
          <w:rFonts w:cstheme="minorBidi"/>
        </w:rPr>
        <w:t>-</w:t>
      </w:r>
      <w:r w:rsidR="003F45B0" w:rsidRPr="009819CE">
        <w:rPr>
          <w:rFonts w:cstheme="minorBidi"/>
        </w:rPr>
        <w:t>time</w:t>
      </w:r>
      <w:r w:rsidR="00D8665B" w:rsidRPr="009819CE">
        <w:rPr>
          <w:rFonts w:cstheme="minorBidi"/>
        </w:rPr>
        <w:t xml:space="preserve"> quantitative polymerase chain reaction (</w:t>
      </w:r>
      <w:r w:rsidR="00803631" w:rsidRPr="009819CE">
        <w:rPr>
          <w:rFonts w:cstheme="minorBidi"/>
        </w:rPr>
        <w:t>RT-qPCR</w:t>
      </w:r>
      <w:r w:rsidR="00D8665B" w:rsidRPr="009819CE">
        <w:rPr>
          <w:rFonts w:cstheme="minorBidi"/>
        </w:rPr>
        <w:t>)</w:t>
      </w:r>
      <w:r w:rsidR="00803631" w:rsidRPr="009819CE">
        <w:rPr>
          <w:rFonts w:cstheme="minorBidi"/>
        </w:rPr>
        <w:t xml:space="preserve"> assay, employing either the </w:t>
      </w:r>
      <w:r w:rsidR="009D03F4" w:rsidRPr="009819CE">
        <w:rPr>
          <w:rFonts w:cstheme="minorBidi"/>
          <w:i/>
          <w:iCs/>
        </w:rPr>
        <w:t>Hematodinium</w:t>
      </w:r>
      <w:r w:rsidR="00803631" w:rsidRPr="009819CE">
        <w:rPr>
          <w:rFonts w:cstheme="minorBidi"/>
        </w:rPr>
        <w:t xml:space="preserve"> sp. 18S rRNA gene </w:t>
      </w:r>
      <w:r w:rsidR="002A7A49" w:rsidRPr="009819CE">
        <w:rPr>
          <w:rFonts w:cstheme="minorBidi"/>
        </w:rPr>
        <w:fldChar w:fldCharType="begin">
          <w:fldData xml:space="preserve">PEVuZE5vdGU+PENpdGU+PEF1dGhvcj5OYWdsZTwvQXV0aG9yPjxZZWFyPjIwMDk8L1llYXI+PFJl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</w:fldData>
        </w:fldChar>
      </w:r>
      <w:r w:rsidR="00231B97" w:rsidRPr="009819CE">
        <w:rPr>
          <w:rFonts w:cstheme="minorBidi"/>
        </w:rPr>
        <w:instrText xml:space="preserve"> ADDIN EN.CITE </w:instrText>
      </w:r>
      <w:r w:rsidR="00231B97" w:rsidRPr="009819CE">
        <w:rPr>
          <w:rFonts w:cstheme="minorBidi"/>
        </w:rPr>
        <w:fldChar w:fldCharType="begin">
          <w:fldData xml:space="preserve">PEVuZE5vdGU+PENpdGU+PEF1dGhvcj5OYWdsZTwvQXV0aG9yPjxZZWFyPjIwMDk8L1llYXI+PFJl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</w:fldData>
        </w:fldChar>
      </w:r>
      <w:r w:rsidR="00231B97" w:rsidRPr="009819CE">
        <w:rPr>
          <w:rFonts w:cstheme="minorBidi"/>
        </w:rPr>
        <w:instrText xml:space="preserve"> ADDIN EN.CITE.DATA </w:instrText>
      </w:r>
      <w:r w:rsidR="00231B97" w:rsidRPr="009819CE">
        <w:rPr>
          <w:rFonts w:cstheme="minorBidi"/>
        </w:rPr>
      </w:r>
      <w:r w:rsidR="00231B97" w:rsidRPr="009819CE">
        <w:rPr>
          <w:rFonts w:cstheme="minorBidi"/>
        </w:rPr>
        <w:fldChar w:fldCharType="end"/>
      </w:r>
      <w:r w:rsidR="002A7A49" w:rsidRPr="009819CE">
        <w:rPr>
          <w:rFonts w:cstheme="minorBidi"/>
        </w:rPr>
      </w:r>
      <w:r w:rsidR="002A7A49" w:rsidRPr="009819CE">
        <w:rPr>
          <w:rFonts w:cstheme="minorBidi"/>
        </w:rPr>
        <w:fldChar w:fldCharType="separate"/>
      </w:r>
      <w:r w:rsidR="00D50EFF" w:rsidRPr="007268F5">
        <w:rPr>
          <w:rFonts w:cstheme="minorBidi"/>
        </w:rPr>
        <w:t>(</w:t>
      </w:r>
      <w:hyperlink w:anchor="_ENREF_104" w:tooltip="Frischer, 2006 #382" w:history="1">
        <w:r w:rsidR="00950097" w:rsidRPr="007268F5">
          <w:rPr>
            <w:rFonts w:cstheme="minorBidi"/>
          </w:rPr>
          <w:t>Frischer et al., 2006</w:t>
        </w:r>
      </w:hyperlink>
      <w:r w:rsidR="00D50EFF" w:rsidRPr="007268F5">
        <w:rPr>
          <w:rFonts w:cstheme="minorBidi"/>
        </w:rPr>
        <w:t xml:space="preserve">; </w:t>
      </w:r>
      <w:hyperlink w:anchor="_ENREF_230" w:tooltip="Nagle, 2009 #424" w:history="1">
        <w:r w:rsidR="00950097" w:rsidRPr="007268F5">
          <w:rPr>
            <w:rFonts w:cstheme="minorBidi"/>
          </w:rPr>
          <w:t>Nagle et al., 2009</w:t>
        </w:r>
      </w:hyperlink>
      <w:r w:rsidR="00D50EFF" w:rsidRPr="007268F5">
        <w:rPr>
          <w:rFonts w:cstheme="minorBidi"/>
        </w:rPr>
        <w:t>)</w:t>
      </w:r>
      <w:r w:rsidR="002A7A49" w:rsidRPr="009819CE">
        <w:rPr>
          <w:rFonts w:cstheme="minorBidi"/>
        </w:rPr>
        <w:fldChar w:fldCharType="end"/>
      </w:r>
      <w:r w:rsidR="002A7A49" w:rsidRPr="009819CE">
        <w:rPr>
          <w:rFonts w:cstheme="minorBidi"/>
        </w:rPr>
        <w:t xml:space="preserve">,  </w:t>
      </w:r>
      <w:r w:rsidR="00803631" w:rsidRPr="009819CE">
        <w:rPr>
          <w:rFonts w:cstheme="minorBidi"/>
        </w:rPr>
        <w:t>or the ITS2</w:t>
      </w:r>
      <w:r w:rsidR="002A7A49" w:rsidRPr="009819CE">
        <w:rPr>
          <w:rFonts w:cstheme="minorBidi"/>
        </w:rPr>
        <w:t xml:space="preserve"> </w:t>
      </w:r>
      <w:r w:rsidR="002A7A49" w:rsidRPr="009819CE">
        <w:rPr>
          <w:rFonts w:cstheme="minorBidi"/>
        </w:rPr>
        <w:fldChar w:fldCharType="begin"/>
      </w:r>
      <w:r w:rsidR="00D50EFF" w:rsidRPr="009819CE">
        <w:rPr>
          <w:rFonts w:cstheme="minorBidi"/>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002A7A49" w:rsidRPr="009819CE">
        <w:rPr>
          <w:rFonts w:cstheme="minorBidi"/>
        </w:rPr>
        <w:fldChar w:fldCharType="separate"/>
      </w:r>
      <w:r w:rsidR="00D50EFF" w:rsidRPr="009819CE">
        <w:rPr>
          <w:rFonts w:cstheme="minorBidi"/>
        </w:rPr>
        <w:t>(</w:t>
      </w:r>
      <w:hyperlink w:anchor="_ENREF_125" w:tooltip="Hanif, 2013 #351" w:history="1">
        <w:r w:rsidR="00950097" w:rsidRPr="009819CE">
          <w:rPr>
            <w:rFonts w:cstheme="minorBidi"/>
          </w:rPr>
          <w:t>Hanif et al., 2013</w:t>
        </w:r>
      </w:hyperlink>
      <w:r w:rsidR="00D50EFF" w:rsidRPr="009819CE">
        <w:rPr>
          <w:rFonts w:cstheme="minorBidi"/>
        </w:rPr>
        <w:t>)</w:t>
      </w:r>
      <w:r w:rsidR="002A7A49" w:rsidRPr="009819CE">
        <w:rPr>
          <w:rFonts w:cstheme="minorBidi"/>
        </w:rPr>
        <w:fldChar w:fldCharType="end"/>
      </w:r>
      <w:r w:rsidR="00803631" w:rsidRPr="009819CE">
        <w:rPr>
          <w:rFonts w:cstheme="minorBidi"/>
        </w:rPr>
        <w:t xml:space="preserve">, has proven effective in detecting </w:t>
      </w:r>
      <w:r w:rsidR="009D03F4" w:rsidRPr="009819CE">
        <w:rPr>
          <w:rFonts w:cstheme="minorBidi"/>
          <w:i/>
          <w:iCs/>
        </w:rPr>
        <w:t>Hematodinium</w:t>
      </w:r>
      <w:r w:rsidR="00803631" w:rsidRPr="009819CE">
        <w:rPr>
          <w:rFonts w:cstheme="minorBidi"/>
        </w:rPr>
        <w:t>, offering exceptional sensitivity and a quantitative measure of infection. Despite its advantages, reported instances of qPCR inhibition and specificity issues, particularly with the 18S region, warrant consideration</w:t>
      </w:r>
      <w:r w:rsidR="00E0606C" w:rsidRPr="009819CE">
        <w:rPr>
          <w:rFonts w:cstheme="minorBidi"/>
        </w:rPr>
        <w:t xml:space="preserve"> </w:t>
      </w:r>
      <w:r w:rsidR="00E0606C" w:rsidRPr="009819CE">
        <w:rPr>
          <w:rFonts w:cstheme="minorBidi"/>
        </w:rPr>
        <w:fldChar w:fldCharType="begin"/>
      </w:r>
      <w:r w:rsidR="00D50EFF" w:rsidRPr="009819CE">
        <w:rPr>
          <w:rFonts w:cstheme="minorBidi"/>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00E0606C" w:rsidRPr="009819CE">
        <w:rPr>
          <w:rFonts w:cstheme="minorBidi"/>
        </w:rPr>
        <w:fldChar w:fldCharType="separate"/>
      </w:r>
      <w:r w:rsidR="00D50EFF" w:rsidRPr="009819CE">
        <w:rPr>
          <w:rFonts w:cstheme="minorBidi"/>
        </w:rPr>
        <w:t>(</w:t>
      </w:r>
      <w:hyperlink w:anchor="_ENREF_125" w:tooltip="Hanif, 2013 #351" w:history="1">
        <w:r w:rsidR="00950097" w:rsidRPr="009819CE">
          <w:rPr>
            <w:rFonts w:cstheme="minorBidi"/>
          </w:rPr>
          <w:t>Hanif et al., 2013</w:t>
        </w:r>
      </w:hyperlink>
      <w:r w:rsidR="00D50EFF" w:rsidRPr="009819CE">
        <w:rPr>
          <w:rFonts w:cstheme="minorBidi"/>
        </w:rPr>
        <w:t>)</w:t>
      </w:r>
      <w:r w:rsidR="00E0606C" w:rsidRPr="009819CE">
        <w:rPr>
          <w:rFonts w:cstheme="minorBidi"/>
        </w:rPr>
        <w:fldChar w:fldCharType="end"/>
      </w:r>
      <w:r w:rsidR="00803631" w:rsidRPr="009819CE">
        <w:rPr>
          <w:rFonts w:cstheme="minorBidi"/>
        </w:rPr>
        <w:t xml:space="preserve">. </w:t>
      </w:r>
      <w:r w:rsidR="00877013" w:rsidRPr="009819CE">
        <w:rPr>
          <w:rFonts w:cstheme="minorBidi"/>
        </w:rPr>
        <w:t xml:space="preserve">On the other hand, </w:t>
      </w:r>
      <w:r w:rsidR="003935BF" w:rsidRPr="009819CE">
        <w:rPr>
          <w:rFonts w:cstheme="minorBidi"/>
        </w:rPr>
        <w:t>primer design</w:t>
      </w:r>
      <w:r w:rsidR="00803631" w:rsidRPr="009819CE">
        <w:rPr>
          <w:rFonts w:cstheme="minorBidi"/>
        </w:rPr>
        <w:t xml:space="preserve"> based on the small subunit rRNA gene lacked the necessary species specificity to differentiate non-</w:t>
      </w:r>
      <w:r w:rsidR="009D03F4" w:rsidRPr="009819CE">
        <w:rPr>
          <w:rFonts w:cstheme="minorBidi"/>
          <w:i/>
          <w:iCs/>
        </w:rPr>
        <w:t>Hematodinium</w:t>
      </w:r>
      <w:r w:rsidR="00803631" w:rsidRPr="009819CE">
        <w:rPr>
          <w:rFonts w:cstheme="minorBidi"/>
        </w:rPr>
        <w:t xml:space="preserve"> sp. dinoflagellate species in environmental samples</w:t>
      </w:r>
      <w:r w:rsidR="004061DD" w:rsidRPr="009819CE">
        <w:rPr>
          <w:rFonts w:cstheme="minorBidi"/>
        </w:rPr>
        <w:t xml:space="preserve"> </w:t>
      </w:r>
      <w:r w:rsidR="004061DD" w:rsidRPr="009819CE">
        <w:rPr>
          <w:rFonts w:cstheme="minorBidi"/>
        </w:rPr>
        <w:fldChar w:fldCharType="begin">
          <w:fldData xml:space="preserve">PEVuZE5vdGU+PENpdGU+PEF1dGhvcj5TbWFsbDwvQXV0aG9yPjxZZWFyPjIwMDc8L1llYXI+PFJl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PEVuZE5vdGU+PENpdGU+PEF1dGhvcj5TbWFsbDwvQXV0aG9yPjxZZWFyPjIwMDc8L1llYXI+PFJl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004061DD" w:rsidRPr="009819CE">
        <w:rPr>
          <w:rFonts w:cstheme="minorBidi"/>
        </w:rPr>
      </w:r>
      <w:r w:rsidR="004061DD" w:rsidRPr="009819CE">
        <w:rPr>
          <w:rFonts w:cstheme="minorBidi"/>
        </w:rPr>
        <w:fldChar w:fldCharType="separate"/>
      </w:r>
      <w:r w:rsidR="00D50EFF" w:rsidRPr="009819CE">
        <w:rPr>
          <w:rFonts w:cstheme="minorBidi"/>
        </w:rPr>
        <w:t>(</w:t>
      </w:r>
      <w:hyperlink w:anchor="_ENREF_176" w:tooltip="Li, 2010 #430" w:history="1">
        <w:r w:rsidR="00950097" w:rsidRPr="009819CE">
          <w:rPr>
            <w:rFonts w:cstheme="minorBidi"/>
          </w:rPr>
          <w:t>Li et al., 2010</w:t>
        </w:r>
      </w:hyperlink>
      <w:r w:rsidR="00D50EFF" w:rsidRPr="009819CE">
        <w:rPr>
          <w:rFonts w:cstheme="minorBidi"/>
        </w:rPr>
        <w:t xml:space="preserve">; </w:t>
      </w:r>
      <w:hyperlink w:anchor="_ENREF_291" w:tooltip="Small, 2007 #370" w:history="1">
        <w:r w:rsidR="00950097" w:rsidRPr="009819CE">
          <w:rPr>
            <w:rFonts w:cstheme="minorBidi"/>
          </w:rPr>
          <w:t>Small et al., 2007a</w:t>
        </w:r>
      </w:hyperlink>
      <w:r w:rsidR="00D50EFF" w:rsidRPr="009819CE">
        <w:rPr>
          <w:rFonts w:cstheme="minorBidi"/>
        </w:rPr>
        <w:t>)</w:t>
      </w:r>
      <w:r w:rsidR="004061DD" w:rsidRPr="009819CE">
        <w:rPr>
          <w:rFonts w:cstheme="minorBidi"/>
        </w:rPr>
        <w:fldChar w:fldCharType="end"/>
      </w:r>
      <w:r w:rsidR="004061DD" w:rsidRPr="009819CE">
        <w:rPr>
          <w:rFonts w:cstheme="minorBidi"/>
        </w:rPr>
        <w:t xml:space="preserve"> </w:t>
      </w:r>
      <w:r w:rsidR="00803631" w:rsidRPr="009819CE">
        <w:rPr>
          <w:rFonts w:cstheme="minorBidi"/>
        </w:rPr>
        <w:t>.</w:t>
      </w:r>
    </w:p>
    <w:p w14:paraId="2D8C23CB" w14:textId="77777777" w:rsidR="008369E4" w:rsidRPr="009819CE" w:rsidRDefault="008369E4" w:rsidP="00F123F2">
      <w:pPr>
        <w:spacing w:before="0" w:after="0"/>
        <w:rPr>
          <w:rFonts w:cstheme="minorBidi"/>
        </w:rPr>
      </w:pPr>
    </w:p>
    <w:p w14:paraId="1D705E2E" w14:textId="77777777" w:rsidR="002D0E60" w:rsidRPr="00FA7D47" w:rsidRDefault="002D0E60" w:rsidP="002D0E60">
      <w:pPr>
        <w:pStyle w:val="Heading4"/>
        <w:numPr>
          <w:ilvl w:val="3"/>
          <w:numId w:val="45"/>
        </w:numPr>
      </w:pPr>
      <w:bookmarkStart w:id="138" w:name="_Toc94799243"/>
      <w:r w:rsidRPr="00FA7D47">
        <w:t>Histology, electron microscopy and smears</w:t>
      </w:r>
    </w:p>
    <w:p w14:paraId="5DF612A8" w14:textId="3E0E87D2" w:rsidR="00242E19" w:rsidRPr="00FA7D47" w:rsidRDefault="006344C8" w:rsidP="00242E19">
      <w:pPr>
        <w:rPr>
          <w:rFonts w:eastAsiaTheme="majorEastAsia"/>
        </w:rPr>
      </w:pPr>
      <w:r w:rsidRPr="00FA7D47">
        <w:rPr>
          <w:rStyle w:val="relative"/>
          <w:rFonts w:eastAsiaTheme="majorEastAsia"/>
        </w:rPr>
        <w:t xml:space="preserve">Traditional methods for detecting </w:t>
      </w:r>
      <w:r w:rsidRPr="00FA7D47">
        <w:rPr>
          <w:rStyle w:val="Emphasis"/>
        </w:rPr>
        <w:t>Hematodinium</w:t>
      </w:r>
      <w:r w:rsidRPr="00FA7D47">
        <w:rPr>
          <w:rStyle w:val="relative"/>
          <w:rFonts w:eastAsiaTheme="majorEastAsia"/>
        </w:rPr>
        <w:t xml:space="preserve"> infections in crustaceans include histological examination, electron microscopy, and </w:t>
      </w:r>
      <w:r w:rsidR="00D80AC0" w:rsidRPr="009819CE">
        <w:rPr>
          <w:rStyle w:val="relative"/>
          <w:rFonts w:eastAsiaTheme="majorEastAsia"/>
        </w:rPr>
        <w:t>haemolymph</w:t>
      </w:r>
      <w:r w:rsidRPr="00FA7D47">
        <w:rPr>
          <w:rStyle w:val="relative"/>
          <w:rFonts w:eastAsiaTheme="majorEastAsia"/>
        </w:rPr>
        <w:t xml:space="preserve"> smears</w:t>
      </w:r>
      <w:r w:rsidR="003E1E24" w:rsidRPr="00FA7D47">
        <w:rPr>
          <w:rStyle w:val="relative"/>
          <w:rFonts w:eastAsiaTheme="majorEastAsia"/>
        </w:rPr>
        <w:t xml:space="preserve"> </w:t>
      </w:r>
      <w:r w:rsidR="003E1E24" w:rsidRPr="009819CE">
        <w:rPr>
          <w:rStyle w:val="relative"/>
          <w:rFonts w:eastAsiaTheme="majorEastAsia"/>
        </w:rPr>
        <w:fldChar w:fldCharType="begin">
          <w:fldData xml:space="preserve">PEVuZE5vdGU+PENpdGU+PEF1dGhvcj5TbWFsbDwvQXV0aG9yPjxZZWFyPjIwMDc8L1llYXI+PFJl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</w:fldData>
        </w:fldChar>
      </w:r>
      <w:r w:rsidR="00871B4F">
        <w:rPr>
          <w:rStyle w:val="relative"/>
          <w:rFonts w:eastAsiaTheme="majorEastAsia"/>
        </w:rPr>
        <w:instrText xml:space="preserve"> ADDIN EN.CITE </w:instrText>
      </w:r>
      <w:r w:rsidR="00871B4F">
        <w:rPr>
          <w:rStyle w:val="relative"/>
          <w:rFonts w:eastAsiaTheme="majorEastAsia"/>
        </w:rPr>
        <w:fldChar w:fldCharType="begin">
          <w:fldData xml:space="preserve">PEVuZE5vdGU+PENpdGU+PEF1dGhvcj5TbWFsbDwvQXV0aG9yPjxZZWFyPjIwMDc8L1llYXI+PFJl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</w:fldData>
        </w:fldChar>
      </w:r>
      <w:r w:rsidR="00871B4F">
        <w:rPr>
          <w:rStyle w:val="relative"/>
          <w:rFonts w:eastAsiaTheme="majorEastAsia"/>
        </w:rPr>
        <w:instrText xml:space="preserve"> ADDIN EN.CITE.DATA </w:instrText>
      </w:r>
      <w:r w:rsidR="00871B4F">
        <w:rPr>
          <w:rStyle w:val="relative"/>
          <w:rFonts w:eastAsiaTheme="majorEastAsia"/>
        </w:rPr>
      </w:r>
      <w:r w:rsidR="00871B4F">
        <w:rPr>
          <w:rStyle w:val="relative"/>
          <w:rFonts w:eastAsiaTheme="majorEastAsia"/>
        </w:rPr>
        <w:fldChar w:fldCharType="end"/>
      </w:r>
      <w:r w:rsidR="003E1E24" w:rsidRPr="009819CE">
        <w:rPr>
          <w:rStyle w:val="relative"/>
          <w:rFonts w:eastAsiaTheme="majorEastAsia"/>
        </w:rPr>
      </w:r>
      <w:r w:rsidR="003E1E24" w:rsidRPr="009819CE">
        <w:rPr>
          <w:rStyle w:val="relative"/>
          <w:rFonts w:eastAsiaTheme="majorEastAsia"/>
        </w:rPr>
        <w:fldChar w:fldCharType="separate"/>
      </w:r>
      <w:r w:rsidR="002C1ED9" w:rsidRPr="005F31D5">
        <w:rPr>
          <w:rStyle w:val="relative"/>
          <w:rFonts w:eastAsiaTheme="majorEastAsia"/>
          <w:noProof/>
        </w:rPr>
        <w:t>(</w:t>
      </w:r>
      <w:hyperlink w:anchor="_ENREF_16" w:tooltip="Appleton, 1996 #108" w:history="1">
        <w:r w:rsidR="00950097" w:rsidRPr="005F31D5">
          <w:rPr>
            <w:rStyle w:val="relative"/>
            <w:rFonts w:eastAsiaTheme="majorEastAsia"/>
            <w:noProof/>
          </w:rPr>
          <w:t>Appleton, 1996</w:t>
        </w:r>
      </w:hyperlink>
      <w:r w:rsidR="002C1ED9" w:rsidRPr="005F31D5">
        <w:rPr>
          <w:rStyle w:val="relative"/>
          <w:rFonts w:eastAsiaTheme="majorEastAsia"/>
          <w:noProof/>
        </w:rPr>
        <w:t xml:space="preserve">; </w:t>
      </w:r>
      <w:hyperlink w:anchor="_ENREF_63" w:tooltip="Davies, 2022 #569" w:history="1">
        <w:r w:rsidR="00950097" w:rsidRPr="005F31D5">
          <w:rPr>
            <w:rStyle w:val="relative"/>
            <w:rFonts w:eastAsiaTheme="majorEastAsia"/>
            <w:noProof/>
          </w:rPr>
          <w:t>Davies et al., 2022</w:t>
        </w:r>
      </w:hyperlink>
      <w:r w:rsidR="002C1ED9" w:rsidRPr="005F31D5">
        <w:rPr>
          <w:rStyle w:val="relative"/>
          <w:rFonts w:eastAsiaTheme="majorEastAsia"/>
          <w:noProof/>
        </w:rPr>
        <w:t xml:space="preserve">; </w:t>
      </w:r>
      <w:hyperlink w:anchor="_ENREF_230" w:tooltip="Nagle, 2009 #424" w:history="1">
        <w:r w:rsidR="00950097" w:rsidRPr="005F31D5">
          <w:rPr>
            <w:rStyle w:val="relative"/>
            <w:rFonts w:eastAsiaTheme="majorEastAsia"/>
            <w:noProof/>
          </w:rPr>
          <w:t>Nagle et al., 2009</w:t>
        </w:r>
      </w:hyperlink>
      <w:r w:rsidR="002C1ED9" w:rsidRPr="005F31D5">
        <w:rPr>
          <w:rStyle w:val="relative"/>
          <w:rFonts w:eastAsiaTheme="majorEastAsia"/>
          <w:noProof/>
        </w:rPr>
        <w:t xml:space="preserve">; </w:t>
      </w:r>
      <w:hyperlink w:anchor="_ENREF_243" w:tooltip="Pestal, 2003 #144" w:history="1">
        <w:r w:rsidR="00950097" w:rsidRPr="005F31D5">
          <w:rPr>
            <w:rStyle w:val="relative"/>
            <w:rFonts w:eastAsiaTheme="majorEastAsia"/>
            <w:noProof/>
          </w:rPr>
          <w:t>Pestal et al., 2003</w:t>
        </w:r>
      </w:hyperlink>
      <w:r w:rsidR="002C1ED9" w:rsidRPr="005F31D5">
        <w:rPr>
          <w:rStyle w:val="relative"/>
          <w:rFonts w:eastAsiaTheme="majorEastAsia"/>
          <w:noProof/>
        </w:rPr>
        <w:t xml:space="preserve">; </w:t>
      </w:r>
      <w:hyperlink w:anchor="_ENREF_283" w:tooltip="Shields, 2015 #1956" w:history="1">
        <w:r w:rsidR="00950097" w:rsidRPr="005F31D5">
          <w:rPr>
            <w:rStyle w:val="relative"/>
            <w:rFonts w:eastAsiaTheme="majorEastAsia"/>
            <w:noProof/>
          </w:rPr>
          <w:t>Shields et al., 2015</w:t>
        </w:r>
      </w:hyperlink>
      <w:r w:rsidR="002C1ED9" w:rsidRPr="005F31D5">
        <w:rPr>
          <w:rStyle w:val="relative"/>
          <w:rFonts w:eastAsiaTheme="majorEastAsia"/>
          <w:noProof/>
        </w:rPr>
        <w:t xml:space="preserve">; </w:t>
      </w:r>
      <w:hyperlink w:anchor="_ENREF_291" w:tooltip="Small, 2007 #370" w:history="1">
        <w:r w:rsidR="00950097" w:rsidRPr="005F31D5">
          <w:rPr>
            <w:rStyle w:val="relative"/>
            <w:rFonts w:eastAsiaTheme="majorEastAsia"/>
            <w:noProof/>
          </w:rPr>
          <w:t>Small et al., 2007a</w:t>
        </w:r>
      </w:hyperlink>
      <w:r w:rsidR="002C1ED9" w:rsidRPr="005F31D5">
        <w:rPr>
          <w:rStyle w:val="relative"/>
          <w:rFonts w:eastAsiaTheme="majorEastAsia"/>
          <w:noProof/>
        </w:rPr>
        <w:t>)</w:t>
      </w:r>
      <w:r w:rsidR="003E1E24" w:rsidRPr="009819CE">
        <w:rPr>
          <w:rStyle w:val="relative"/>
          <w:rFonts w:eastAsiaTheme="majorEastAsia"/>
        </w:rPr>
        <w:fldChar w:fldCharType="end"/>
      </w:r>
      <w:r w:rsidRPr="00FA7D47">
        <w:rPr>
          <w:rStyle w:val="relative"/>
          <w:rFonts w:eastAsiaTheme="majorEastAsia"/>
        </w:rPr>
        <w:t>.</w:t>
      </w:r>
      <w:r w:rsidRPr="00FA7D47">
        <w:t xml:space="preserve"> </w:t>
      </w:r>
      <w:r w:rsidRPr="00FA7D47">
        <w:rPr>
          <w:rStyle w:val="relative"/>
          <w:rFonts w:eastAsiaTheme="majorEastAsia"/>
        </w:rPr>
        <w:t>Histology involves analysing tissue sections—such as gills, hepatopancreas, and heart—stained with dyes like Haematoxylin and Eosin to identify parasite stages and assess tissue damage.</w:t>
      </w:r>
      <w:r w:rsidRPr="00FA7D47">
        <w:t xml:space="preserve"> </w:t>
      </w:r>
      <w:r w:rsidRPr="00FA7D47">
        <w:rPr>
          <w:rStyle w:val="relative"/>
          <w:rFonts w:eastAsiaTheme="majorEastAsia"/>
        </w:rPr>
        <w:t>While this method provides comprehensive insights, it may not detect early or low-intensity infections and requires sacrificing the host</w:t>
      </w:r>
      <w:r w:rsidR="002C2B79" w:rsidRPr="009819CE">
        <w:rPr>
          <w:rStyle w:val="relative"/>
          <w:rFonts w:eastAsiaTheme="majorEastAsia"/>
        </w:rPr>
        <w:t xml:space="preserve">. </w:t>
      </w:r>
      <w:r w:rsidR="00FD7DDF" w:rsidRPr="00FA7D47">
        <w:t xml:space="preserve">Notably, some studies have reported that histology can be more sensitive than PCR in detecting </w:t>
      </w:r>
      <w:r w:rsidR="00FD7DDF" w:rsidRPr="00FA7D47">
        <w:rPr>
          <w:rStyle w:val="Emphasis"/>
          <w:rFonts w:eastAsiaTheme="majorEastAsia"/>
        </w:rPr>
        <w:t>Hematodinium</w:t>
      </w:r>
      <w:r w:rsidR="00FD7DDF" w:rsidRPr="00FA7D47">
        <w:t xml:space="preserve"> infections in hemolymph</w:t>
      </w:r>
      <w:r w:rsidR="00FD7DDF" w:rsidRPr="00FA7D47">
        <w:rPr>
          <w:rFonts w:cstheme="minorBidi"/>
        </w:rPr>
        <w:t xml:space="preserve"> </w:t>
      </w:r>
      <w:r w:rsidR="00766FBF" w:rsidRPr="009819CE">
        <w:rPr>
          <w:rFonts w:cstheme="minorBidi"/>
        </w:rPr>
        <w:fldChar w:fldCharType="begin">
          <w:fldData xml:space="preserve">PEVuZE5vdGU+PENpdGU+PEF1dGhvcj5EYXZpZXM8L0F1dGhvcj48WWVhcj4yMDIyPC9ZZWFyPjxS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</w:fldData>
        </w:fldChar>
      </w:r>
      <w:r w:rsidR="00766FBF" w:rsidRPr="009819CE">
        <w:rPr>
          <w:rFonts w:cstheme="minorBidi"/>
        </w:rPr>
        <w:instrText xml:space="preserve"> ADDIN EN.CITE </w:instrText>
      </w:r>
      <w:r w:rsidR="00766FBF" w:rsidRPr="009819CE">
        <w:rPr>
          <w:rFonts w:cstheme="minorBidi"/>
        </w:rPr>
        <w:fldChar w:fldCharType="begin">
          <w:fldData xml:space="preserve">PEVuZE5vdGU+PENpdGU+PEF1dGhvcj5EYXZpZXM8L0F1dGhvcj48WWVhcj4yMDIyPC9ZZWFyPjxS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</w:fldData>
        </w:fldChar>
      </w:r>
      <w:r w:rsidR="00766FBF" w:rsidRPr="009819CE">
        <w:rPr>
          <w:rFonts w:cstheme="minorBidi"/>
        </w:rPr>
        <w:instrText xml:space="preserve"> ADDIN EN.CITE.DATA </w:instrText>
      </w:r>
      <w:r w:rsidR="00766FBF" w:rsidRPr="009819CE">
        <w:rPr>
          <w:rFonts w:cstheme="minorBidi"/>
        </w:rPr>
      </w:r>
      <w:r w:rsidR="00766FBF" w:rsidRPr="009819CE">
        <w:rPr>
          <w:rFonts w:cstheme="minorBidi"/>
        </w:rPr>
        <w:fldChar w:fldCharType="end"/>
      </w:r>
      <w:r w:rsidR="00766FBF" w:rsidRPr="009819CE">
        <w:rPr>
          <w:rFonts w:cstheme="minorBidi"/>
        </w:rPr>
      </w:r>
      <w:r w:rsidR="00766FBF" w:rsidRPr="009819CE">
        <w:rPr>
          <w:rFonts w:cstheme="minorBidi"/>
        </w:rPr>
        <w:fldChar w:fldCharType="separate"/>
      </w:r>
      <w:r w:rsidR="00766FBF" w:rsidRPr="009819CE">
        <w:rPr>
          <w:rFonts w:cstheme="minorBidi"/>
        </w:rPr>
        <w:t>(</w:t>
      </w:r>
      <w:hyperlink w:anchor="_ENREF_63" w:tooltip="Davies, 2022 #569" w:history="1">
        <w:r w:rsidR="00950097" w:rsidRPr="009819CE">
          <w:rPr>
            <w:rFonts w:cstheme="minorBidi"/>
          </w:rPr>
          <w:t>Davies et al., 2022</w:t>
        </w:r>
      </w:hyperlink>
      <w:r w:rsidR="00766FBF" w:rsidRPr="009819CE">
        <w:rPr>
          <w:rFonts w:cstheme="minorBidi"/>
        </w:rPr>
        <w:t xml:space="preserve">; </w:t>
      </w:r>
      <w:hyperlink w:anchor="_ENREF_120" w:tooltip="Hamilton, 2007 #160" w:history="1">
        <w:r w:rsidR="00950097" w:rsidRPr="009819CE">
          <w:rPr>
            <w:rFonts w:cstheme="minorBidi"/>
          </w:rPr>
          <w:t>Hamilton et al., 2007</w:t>
        </w:r>
      </w:hyperlink>
      <w:r w:rsidR="00766FBF" w:rsidRPr="009819CE">
        <w:rPr>
          <w:rFonts w:cstheme="minorBidi"/>
        </w:rPr>
        <w:t>)</w:t>
      </w:r>
      <w:r w:rsidR="00766FBF" w:rsidRPr="009819CE">
        <w:rPr>
          <w:rFonts w:cstheme="minorBidi"/>
        </w:rPr>
        <w:fldChar w:fldCharType="end"/>
      </w:r>
      <w:r w:rsidR="00766FBF" w:rsidRPr="009819CE">
        <w:rPr>
          <w:rFonts w:cstheme="minorBidi"/>
        </w:rPr>
        <w:t>.</w:t>
      </w:r>
      <w:r w:rsidRPr="00FA7D47">
        <w:t xml:space="preserve"> </w:t>
      </w:r>
      <w:r w:rsidRPr="00FA7D47">
        <w:rPr>
          <w:rStyle w:val="relative"/>
          <w:rFonts w:eastAsiaTheme="majorEastAsia"/>
        </w:rPr>
        <w:t>Electron microscopy offers detailed imagery crucial for confirming the parasite's identity and understanding its developmental stages; however, it is resource-intensive and necessitates specialized equipment and expertise, limiting its routine diagnostic application.</w:t>
      </w:r>
      <w:r w:rsidRPr="00FA7D47">
        <w:t xml:space="preserve"> </w:t>
      </w:r>
      <w:r w:rsidRPr="00FA7D47">
        <w:rPr>
          <w:rStyle w:val="relative"/>
          <w:rFonts w:eastAsiaTheme="majorEastAsia"/>
        </w:rPr>
        <w:t xml:space="preserve">Conversely, </w:t>
      </w:r>
      <w:r w:rsidR="00D80AC0" w:rsidRPr="009819CE">
        <w:rPr>
          <w:rStyle w:val="relative"/>
          <w:rFonts w:eastAsiaTheme="majorEastAsia"/>
        </w:rPr>
        <w:t>haemolymph</w:t>
      </w:r>
      <w:r w:rsidRPr="00FA7D47">
        <w:rPr>
          <w:rStyle w:val="relative"/>
          <w:rFonts w:eastAsiaTheme="majorEastAsia"/>
        </w:rPr>
        <w:t xml:space="preserve"> smears are non-destructive; they involve spreading a drop of </w:t>
      </w:r>
      <w:r w:rsidR="00D80AC0" w:rsidRPr="009819CE">
        <w:rPr>
          <w:rStyle w:val="relative"/>
          <w:rFonts w:eastAsiaTheme="majorEastAsia"/>
        </w:rPr>
        <w:t>haemolymph</w:t>
      </w:r>
      <w:r w:rsidRPr="00FA7D47">
        <w:rPr>
          <w:rStyle w:val="relative"/>
          <w:rFonts w:eastAsiaTheme="majorEastAsia"/>
        </w:rPr>
        <w:t xml:space="preserve"> on a slide, staining it (</w:t>
      </w:r>
      <w:r w:rsidRPr="007268F5">
        <w:rPr>
          <w:rStyle w:val="relative"/>
          <w:rFonts w:eastAsiaTheme="majorEastAsia"/>
          <w:i/>
          <w:iCs/>
        </w:rPr>
        <w:t>e.g</w:t>
      </w:r>
      <w:r w:rsidRPr="00FA7D47">
        <w:rPr>
          <w:rStyle w:val="relative"/>
          <w:rFonts w:eastAsiaTheme="majorEastAsia"/>
        </w:rPr>
        <w:t xml:space="preserve">., with neutral red), and examining it under a microscope to detect </w:t>
      </w:r>
      <w:r w:rsidRPr="00FA7D47">
        <w:rPr>
          <w:rStyle w:val="Emphasis"/>
        </w:rPr>
        <w:t>Hematodinium</w:t>
      </w:r>
      <w:r w:rsidRPr="00FA7D47">
        <w:rPr>
          <w:rStyle w:val="relative"/>
          <w:rFonts w:eastAsiaTheme="majorEastAsia"/>
        </w:rPr>
        <w:t xml:space="preserve"> cells.</w:t>
      </w:r>
      <w:r w:rsidRPr="00FA7D47">
        <w:t xml:space="preserve"> </w:t>
      </w:r>
      <w:r w:rsidR="004B003E" w:rsidRPr="00FA7D47">
        <w:rPr>
          <w:rStyle w:val="relative"/>
          <w:rFonts w:eastAsiaTheme="majorEastAsia"/>
        </w:rPr>
        <w:t xml:space="preserve">​This technique allows for rapid, cost-effective screening suitable for field studies; however, its accuracy depends on the examiner's expertise and may be less effective in identifying low-level infections. Additionally, prompt processing of haemolymph samples is crucial to prevent clotting, which can hinder accurate examination. </w:t>
      </w:r>
      <w:r w:rsidRPr="00FA7D47">
        <w:rPr>
          <w:rStyle w:val="relative"/>
          <w:rFonts w:eastAsiaTheme="majorEastAsia"/>
        </w:rPr>
        <w:t xml:space="preserve">Studies have shown that </w:t>
      </w:r>
      <w:r w:rsidR="00BD583E" w:rsidRPr="009819CE">
        <w:rPr>
          <w:rStyle w:val="relative"/>
          <w:rFonts w:eastAsiaTheme="majorEastAsia"/>
        </w:rPr>
        <w:t>haemolymph</w:t>
      </w:r>
      <w:r w:rsidRPr="00FA7D47">
        <w:rPr>
          <w:rStyle w:val="relative"/>
          <w:rFonts w:eastAsiaTheme="majorEastAsia"/>
        </w:rPr>
        <w:t xml:space="preserve"> smears can provide diagnostic accuracy comparable to histology and PCR, though each method has its limitations</w:t>
      </w:r>
      <w:r w:rsidR="00D80AC0" w:rsidRPr="009819CE">
        <w:rPr>
          <w:rStyle w:val="relative"/>
          <w:rFonts w:eastAsiaTheme="majorEastAsia"/>
        </w:rPr>
        <w:t xml:space="preserve"> </w:t>
      </w:r>
      <w:r w:rsidR="00D031B0" w:rsidRPr="009819CE">
        <w:fldChar w:fldCharType="begin">
          <w:fldData xml:space="preserve">PEVuZE5vdGU+PENpdGU+PEF1dGhvcj5Ow60gQ2h1YWzDoWluPC9BdXRob3I+PFllYXI+MjAxMTwv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</w:fldData>
        </w:fldChar>
      </w:r>
      <w:r w:rsidR="00D80AC0" w:rsidRPr="009819CE">
        <w:instrText xml:space="preserve"> ADDIN EN.CITE </w:instrText>
      </w:r>
      <w:r w:rsidR="00D80AC0" w:rsidRPr="009819CE">
        <w:fldChar w:fldCharType="begin">
          <w:fldData xml:space="preserve">PEVuZE5vdGU+PENpdGU+PEF1dGhvcj5Ow60gQ2h1YWzDoWluPC9BdXRob3I+PFllYXI+MjAxMTwv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</w:fldData>
        </w:fldChar>
      </w:r>
      <w:r w:rsidR="00D80AC0" w:rsidRPr="009819CE">
        <w:instrText xml:space="preserve"> ADDIN EN.CITE.DATA </w:instrText>
      </w:r>
      <w:r w:rsidR="00D80AC0" w:rsidRPr="009819CE">
        <w:fldChar w:fldCharType="end"/>
      </w:r>
      <w:r w:rsidR="00D031B0" w:rsidRPr="009819CE">
        <w:fldChar w:fldCharType="separate"/>
      </w:r>
      <w:r w:rsidR="00D80AC0" w:rsidRPr="007268F5">
        <w:t>(</w:t>
      </w:r>
      <w:hyperlink w:anchor="_ENREF_231" w:tooltip="Ní Chualáin, 2011 #457" w:history="1">
        <w:r w:rsidR="00950097" w:rsidRPr="007268F5">
          <w:t>Ní Chualáin and Robinson, 2011</w:t>
        </w:r>
      </w:hyperlink>
      <w:r w:rsidR="00D80AC0" w:rsidRPr="007268F5">
        <w:t xml:space="preserve">; </w:t>
      </w:r>
      <w:hyperlink w:anchor="_ENREF_310" w:tooltip="Stentiford, 2005 #156" w:history="1">
        <w:r w:rsidR="00950097" w:rsidRPr="007268F5">
          <w:t>Stentiford and Shields, 2005</w:t>
        </w:r>
      </w:hyperlink>
      <w:r w:rsidR="00D80AC0" w:rsidRPr="007268F5">
        <w:t>)</w:t>
      </w:r>
      <w:r w:rsidR="00D031B0" w:rsidRPr="009819CE">
        <w:fldChar w:fldCharType="end"/>
      </w:r>
      <w:r w:rsidR="00242E19" w:rsidRPr="00FA7D47">
        <w:t xml:space="preserve">. </w:t>
      </w:r>
    </w:p>
    <w:p w14:paraId="29D219CC" w14:textId="77777777" w:rsidR="00E9134F" w:rsidRPr="009819CE" w:rsidRDefault="00E9134F" w:rsidP="00E9134F"/>
    <w:p w14:paraId="14A0C47F" w14:textId="77B9F747" w:rsidR="00105001" w:rsidRPr="009819CE" w:rsidRDefault="00105001" w:rsidP="00435C26">
      <w:pPr>
        <w:pStyle w:val="Heading4"/>
      </w:pPr>
      <w:r w:rsidRPr="009819CE">
        <w:t>Other methods</w:t>
      </w:r>
      <w:bookmarkEnd w:id="138"/>
    </w:p>
    <w:p w14:paraId="1AF95BA5" w14:textId="25F84203" w:rsidR="00BA4B3F" w:rsidRPr="009819CE" w:rsidRDefault="005C57B8" w:rsidP="00A84D8F">
      <w:pPr>
        <w:pStyle w:val="ListParagraph"/>
        <w:spacing w:before="0" w:after="0"/>
        <w:ind w:left="0"/>
        <w:rPr>
          <w:rStyle w:val="relative"/>
          <w:rFonts w:eastAsiaTheme="majorEastAsia"/>
        </w:rPr>
      </w:pPr>
      <w:r w:rsidRPr="009819CE">
        <w:rPr>
          <w:rFonts w:cstheme="minorBidi"/>
        </w:rPr>
        <w:t xml:space="preserve">Additional diagnostic techniques that have the capability to detect low-level (sub-patent) </w:t>
      </w:r>
      <w:r w:rsidR="009D03F4" w:rsidRPr="009819CE">
        <w:rPr>
          <w:rFonts w:cstheme="minorBidi"/>
          <w:i/>
          <w:iCs/>
        </w:rPr>
        <w:t>Hematodinium</w:t>
      </w:r>
      <w:r w:rsidRPr="009819CE">
        <w:rPr>
          <w:rFonts w:cstheme="minorBidi"/>
        </w:rPr>
        <w:t xml:space="preserve"> sp. infections include western blot immunoassay </w:t>
      </w:r>
      <w:r w:rsidR="00425BCE" w:rsidRPr="009819CE">
        <w:rPr>
          <w:rFonts w:cstheme="minorBidi"/>
        </w:rPr>
        <w:fldChar w:fldCharType="begin">
          <w:fldData xml:space="preserve">PEVuZE5vdGU+PENpdGU+PEF1dGhvcj5TdGVudGlmb3JkPC9BdXRob3I+PFllYXI+MjAwMTwvWWVh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</w:fldData>
        </w:fldChar>
      </w:r>
      <w:r w:rsidR="00754F48" w:rsidRPr="009819CE">
        <w:rPr>
          <w:rFonts w:cstheme="minorBidi"/>
        </w:rPr>
        <w:instrText xml:space="preserve"> ADDIN EN.CITE </w:instrText>
      </w:r>
      <w:r w:rsidR="00754F48" w:rsidRPr="009819CE">
        <w:rPr>
          <w:rFonts w:cstheme="minorBidi"/>
        </w:rPr>
        <w:fldChar w:fldCharType="begin">
          <w:fldData xml:space="preserve">PEVuZE5vdGU+PENpdGU+PEF1dGhvcj5TdGVudGlmb3JkPC9BdXRob3I+PFllYXI+MjAwMTwvWWVh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</w:fldData>
        </w:fldChar>
      </w:r>
      <w:r w:rsidR="00754F48" w:rsidRPr="009819CE">
        <w:rPr>
          <w:rFonts w:cstheme="minorBidi"/>
        </w:rPr>
        <w:instrText xml:space="preserve"> ADDIN EN.CITE.DATA </w:instrText>
      </w:r>
      <w:r w:rsidR="00754F48" w:rsidRPr="009819CE">
        <w:rPr>
          <w:rFonts w:cstheme="minorBidi"/>
        </w:rPr>
      </w:r>
      <w:r w:rsidR="00754F48" w:rsidRPr="009819CE">
        <w:rPr>
          <w:rFonts w:cstheme="minorBidi"/>
        </w:rPr>
        <w:fldChar w:fldCharType="end"/>
      </w:r>
      <w:r w:rsidR="00425BCE" w:rsidRPr="009819CE">
        <w:rPr>
          <w:rFonts w:cstheme="minorBidi"/>
        </w:rPr>
      </w:r>
      <w:r w:rsidR="00425BCE" w:rsidRPr="009819CE">
        <w:rPr>
          <w:rFonts w:cstheme="minorBidi"/>
        </w:rPr>
        <w:fldChar w:fldCharType="separate"/>
      </w:r>
      <w:r w:rsidR="00117630" w:rsidRPr="007268F5">
        <w:rPr>
          <w:rFonts w:cstheme="minorBidi"/>
        </w:rPr>
        <w:t>(</w:t>
      </w:r>
      <w:hyperlink w:anchor="_ENREF_113" w:tooltip="Gornik, 2013 #333" w:history="1">
        <w:r w:rsidR="00950097" w:rsidRPr="007268F5">
          <w:rPr>
            <w:rFonts w:cstheme="minorBidi"/>
          </w:rPr>
          <w:t>Gornik et al., 2013</w:t>
        </w:r>
      </w:hyperlink>
      <w:r w:rsidR="00117630" w:rsidRPr="007268F5">
        <w:rPr>
          <w:rFonts w:cstheme="minorBidi"/>
        </w:rPr>
        <w:t xml:space="preserve">; </w:t>
      </w:r>
      <w:hyperlink w:anchor="_ENREF_309" w:tooltip="Stentiford, 2001 #1822" w:history="1">
        <w:r w:rsidR="00950097" w:rsidRPr="007268F5">
          <w:rPr>
            <w:rFonts w:cstheme="minorBidi"/>
          </w:rPr>
          <w:t>Stentiford et al., 2001d</w:t>
        </w:r>
      </w:hyperlink>
      <w:r w:rsidR="00117630" w:rsidRPr="007268F5">
        <w:rPr>
          <w:rFonts w:cstheme="minorBidi"/>
        </w:rPr>
        <w:t>)</w:t>
      </w:r>
      <w:r w:rsidR="00425BCE" w:rsidRPr="009819CE">
        <w:rPr>
          <w:rFonts w:cstheme="minorBidi"/>
        </w:rPr>
        <w:fldChar w:fldCharType="end"/>
      </w:r>
      <w:r w:rsidR="005C41A4">
        <w:rPr>
          <w:rFonts w:cstheme="minorBidi"/>
        </w:rPr>
        <w:t>,</w:t>
      </w:r>
      <w:r w:rsidRPr="009819CE">
        <w:rPr>
          <w:rFonts w:cstheme="minorBidi"/>
        </w:rPr>
        <w:t xml:space="preserve"> enzyme-linked immunosorbent assays (ELISA) </w:t>
      </w:r>
      <w:r w:rsidRPr="009819CE">
        <w:rPr>
          <w:rFonts w:cstheme="minorBidi"/>
        </w:rPr>
        <w:fldChar w:fldCharType="begin"/>
      </w:r>
      <w:r w:rsidR="00D50EFF" w:rsidRPr="009819CE">
        <w:rPr>
          <w:rFonts w:cstheme="minorBidi"/>
        </w:rPr>
        <w:instrText xml:space="preserve"> ADDIN EN.CITE &lt;EndNote&gt;&lt;Cite&gt;&lt;Author&gt;Small&lt;/Author&gt;&lt;Year&gt;2002&lt;/Year&gt;&lt;RecNum&gt;884&lt;/RecNum&gt;&lt;DisplayText&gt;(Small et al., 2002)&lt;/DisplayText&gt;&lt;record&gt;&lt;rec-number&gt;884&lt;/rec-number&gt;&lt;foreign-keys&gt;&lt;key app="EN" db-id="sd9wrx9fj09rx3erprsx999o0r5aprvp2zse" timestamp="1687855901" guid="df72e42d-12fc-4195-9690-68b7f1384f39"&gt;884&lt;/key&gt;&lt;/foreign-keys&gt;&lt;ref-type name="Journal Article"&gt;17&lt;/ref-type&gt;&lt;contributors&gt;&lt;authors&gt;&lt;author&gt;Small, H. J.&lt;/author&gt;&lt;author&gt;Wilson, S.&lt;/author&gt;&lt;author&gt;Neil, D. M.&lt;/author&gt;&lt;author&gt;Hagan, P.&lt;/author&gt;&lt;author&gt;Coombs, G. H.&lt;/author&gt;&lt;/authors&gt;&lt;/contributors&gt;&lt;titles&gt;&lt;title&gt;&lt;style face="normal" font="default" size="100%"&gt;Detection of the parasitic dinoflagellate &lt;/style&gt;&lt;style face="italic" font="default" size="100%"&gt;Hematodinium&lt;/style&gt;&lt;style face="normal" font="default" size="100%"&gt; in the Norway lobster &lt;/style&gt;&lt;style face="italic" font="default" size="100%"&gt;Nephrops norvegicus&lt;/style&gt;&lt;style face="normal" font="default" size="100%"&gt; by ELISA&lt;/style&gt;&lt;/title&gt;&lt;secondary-title&gt;Diseases of Aquatic Organisms&lt;/secondary-title&gt;&lt;/titles&gt;&lt;periodical&gt;&lt;full-title&gt;Diseases of Aquatic Organisms&lt;/full-title&gt;&lt;/periodical&gt;&lt;pages&gt;175-177&lt;/pages&gt;&lt;volume&gt;52&lt;/volume&gt;&lt;number&gt;2&lt;/number&gt;&lt;keywords&gt;&lt;keyword&gt;ELISA&lt;/keyword&gt;&lt;keyword&gt;Hematodinium&lt;/keyword&gt;&lt;keyword&gt;Infection&lt;/keyword&gt;&lt;keyword&gt;Nephrops norvegicus&lt;/keyword&gt;&lt;/keywords&gt;&lt;dates&gt;&lt;year&gt;2002&lt;/year&gt;&lt;pub-dates&gt;&lt;date&gt;2002/11//&lt;/date&gt;&lt;/pub-dates&gt;&lt;/dates&gt;&lt;publisher&gt;Inter-Research&lt;/publisher&gt;&lt;urls&gt;&lt;related-urls&gt;&lt;url&gt;https://www.int-res.com/abstracts/dao/v52/n2/p175-177/&lt;/url&gt;&lt;/related-urls&gt;&lt;/urls&gt;&lt;electronic-resource-num&gt;10.3354/DAO052175&lt;/electronic-resource-num&gt;&lt;/record&gt;&lt;/Cite&gt;&lt;/EndNote&gt;</w:instrText>
      </w:r>
      <w:r w:rsidRPr="009819CE">
        <w:rPr>
          <w:rFonts w:cstheme="minorBidi"/>
        </w:rPr>
        <w:fldChar w:fldCharType="separate"/>
      </w:r>
      <w:r w:rsidR="00D50EFF" w:rsidRPr="009819CE">
        <w:rPr>
          <w:rFonts w:cstheme="minorBidi"/>
        </w:rPr>
        <w:t>(</w:t>
      </w:r>
      <w:hyperlink w:anchor="_ENREF_293" w:tooltip="Small, 2002 #884" w:history="1">
        <w:r w:rsidR="00950097" w:rsidRPr="009819CE">
          <w:rPr>
            <w:rFonts w:cstheme="minorBidi"/>
          </w:rPr>
          <w:t>Small et al., 2002</w:t>
        </w:r>
      </w:hyperlink>
      <w:r w:rsidR="00D50EFF" w:rsidRPr="009819CE">
        <w:rPr>
          <w:rFonts w:cstheme="minorBidi"/>
        </w:rPr>
        <w:t>)</w:t>
      </w:r>
      <w:r w:rsidRPr="009819CE">
        <w:rPr>
          <w:rFonts w:cstheme="minorBidi"/>
        </w:rPr>
        <w:fldChar w:fldCharType="end"/>
      </w:r>
      <w:r w:rsidR="00BA4B3F" w:rsidRPr="009819CE">
        <w:rPr>
          <w:rFonts w:cstheme="minorBidi"/>
        </w:rPr>
        <w:t xml:space="preserve"> and </w:t>
      </w:r>
      <w:r w:rsidR="00BA4B3F" w:rsidRPr="00FA7D47">
        <w:rPr>
          <w:rStyle w:val="relative"/>
          <w:rFonts w:eastAsiaTheme="majorEastAsia"/>
        </w:rPr>
        <w:t>indirect fluorescent antibody technique (IFAT)</w:t>
      </w:r>
      <w:r w:rsidR="00BA4B3F" w:rsidRPr="009819CE">
        <w:rPr>
          <w:rStyle w:val="relative"/>
          <w:rFonts w:eastAsiaTheme="majorEastAsia"/>
        </w:rPr>
        <w:t xml:space="preserve"> </w:t>
      </w:r>
      <w:r w:rsidR="00BA4B3F" w:rsidRPr="009819CE">
        <w:rPr>
          <w:rStyle w:val="relative"/>
          <w:rFonts w:eastAsiaTheme="majorEastAsia"/>
        </w:rPr>
        <w:fldChar w:fldCharType="begin">
          <w:fldData xml:space="preserve">PEVuZE5vdGU+PENpdGU+PEF1dGhvcj5Hb3JuaWs8L0F1dGhvcj48WWVhcj4yMDEzPC9ZZWFyPjxS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</w:fldData>
        </w:fldChar>
      </w:r>
      <w:r w:rsidR="00754F48" w:rsidRPr="009819CE">
        <w:rPr>
          <w:rStyle w:val="relative"/>
          <w:rFonts w:eastAsiaTheme="majorEastAsia"/>
        </w:rPr>
        <w:instrText xml:space="preserve"> ADDIN EN.CITE </w:instrText>
      </w:r>
      <w:r w:rsidR="00754F48" w:rsidRPr="009819CE">
        <w:rPr>
          <w:rStyle w:val="relative"/>
          <w:rFonts w:eastAsiaTheme="majorEastAsia"/>
        </w:rPr>
        <w:fldChar w:fldCharType="begin">
          <w:fldData xml:space="preserve">PEVuZE5vdGU+PENpdGU+PEF1dGhvcj5Hb3JuaWs8L0F1dGhvcj48WWVhcj4yMDEzPC9ZZWFyPjxS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</w:fldData>
        </w:fldChar>
      </w:r>
      <w:r w:rsidR="00754F48" w:rsidRPr="009819CE">
        <w:rPr>
          <w:rStyle w:val="relative"/>
          <w:rFonts w:eastAsiaTheme="majorEastAsia"/>
        </w:rPr>
        <w:instrText xml:space="preserve"> ADDIN EN.CITE.DATA </w:instrText>
      </w:r>
      <w:r w:rsidR="00754F48" w:rsidRPr="009819CE">
        <w:rPr>
          <w:rStyle w:val="relative"/>
          <w:rFonts w:eastAsiaTheme="majorEastAsia"/>
        </w:rPr>
      </w:r>
      <w:r w:rsidR="00754F48" w:rsidRPr="009819CE">
        <w:rPr>
          <w:rStyle w:val="relative"/>
          <w:rFonts w:eastAsiaTheme="majorEastAsia"/>
        </w:rPr>
        <w:fldChar w:fldCharType="end"/>
      </w:r>
      <w:r w:rsidR="00BA4B3F" w:rsidRPr="009819CE">
        <w:rPr>
          <w:rStyle w:val="relative"/>
          <w:rFonts w:eastAsiaTheme="majorEastAsia"/>
        </w:rPr>
      </w:r>
      <w:r w:rsidR="00BA4B3F" w:rsidRPr="009819CE">
        <w:rPr>
          <w:rStyle w:val="relative"/>
          <w:rFonts w:eastAsiaTheme="majorEastAsia"/>
        </w:rPr>
        <w:fldChar w:fldCharType="separate"/>
      </w:r>
      <w:r w:rsidR="00BA4B3F" w:rsidRPr="007268F5">
        <w:rPr>
          <w:rStyle w:val="relative"/>
          <w:rFonts w:eastAsiaTheme="majorEastAsia"/>
        </w:rPr>
        <w:t>(</w:t>
      </w:r>
      <w:hyperlink w:anchor="_ENREF_93" w:tooltip="Field, 1996 #105" w:history="1">
        <w:r w:rsidR="00950097" w:rsidRPr="007268F5">
          <w:rPr>
            <w:rStyle w:val="relative"/>
            <w:rFonts w:eastAsiaTheme="majorEastAsia"/>
          </w:rPr>
          <w:t>Field and Appleton, 1996</w:t>
        </w:r>
      </w:hyperlink>
      <w:r w:rsidR="00BA4B3F" w:rsidRPr="007268F5">
        <w:rPr>
          <w:rStyle w:val="relative"/>
          <w:rFonts w:eastAsiaTheme="majorEastAsia"/>
        </w:rPr>
        <w:t xml:space="preserve">; </w:t>
      </w:r>
      <w:hyperlink w:anchor="_ENREF_113" w:tooltip="Gornik, 2013 #333" w:history="1">
        <w:r w:rsidR="00950097" w:rsidRPr="007268F5">
          <w:rPr>
            <w:rStyle w:val="relative"/>
            <w:rFonts w:eastAsiaTheme="majorEastAsia"/>
          </w:rPr>
          <w:t>Gornik et al., 2013</w:t>
        </w:r>
      </w:hyperlink>
      <w:r w:rsidR="00BA4B3F" w:rsidRPr="007268F5">
        <w:rPr>
          <w:rStyle w:val="relative"/>
          <w:rFonts w:eastAsiaTheme="majorEastAsia"/>
        </w:rPr>
        <w:t>)</w:t>
      </w:r>
      <w:r w:rsidR="00BA4B3F" w:rsidRPr="009819CE">
        <w:rPr>
          <w:rStyle w:val="relative"/>
          <w:rFonts w:eastAsiaTheme="majorEastAsia"/>
        </w:rPr>
        <w:fldChar w:fldCharType="end"/>
      </w:r>
    </w:p>
    <w:p w14:paraId="263F0510" w14:textId="77777777" w:rsidR="00BA4B3F" w:rsidRPr="009819CE" w:rsidRDefault="00BA4B3F" w:rsidP="00A84D8F">
      <w:pPr>
        <w:pStyle w:val="ListParagraph"/>
        <w:spacing w:before="0" w:after="0"/>
        <w:ind w:left="0"/>
        <w:rPr>
          <w:rStyle w:val="relative"/>
          <w:rFonts w:eastAsiaTheme="majorEastAsia"/>
        </w:rPr>
      </w:pPr>
    </w:p>
    <w:p w14:paraId="7DA30C81" w14:textId="46A7EA3C" w:rsidR="002773A2" w:rsidRPr="009819CE" w:rsidRDefault="002773A2" w:rsidP="009C3F77">
      <w:pPr>
        <w:pStyle w:val="Heading2"/>
        <w:numPr>
          <w:ilvl w:val="1"/>
          <w:numId w:val="22"/>
        </w:numPr>
        <w:rPr>
          <w:rFonts w:cstheme="minorBidi"/>
        </w:rPr>
      </w:pPr>
      <w:bookmarkStart w:id="139" w:name="_Ref157963259"/>
      <w:bookmarkStart w:id="140" w:name="_Toc204106602"/>
      <w:bookmarkEnd w:id="130"/>
      <w:r w:rsidRPr="009819CE">
        <w:rPr>
          <w:rFonts w:cstheme="minorBidi"/>
        </w:rPr>
        <w:t>Infection dynamics</w:t>
      </w:r>
      <w:bookmarkEnd w:id="73"/>
      <w:bookmarkEnd w:id="74"/>
      <w:r w:rsidR="00E77766" w:rsidRPr="009819CE">
        <w:rPr>
          <w:rFonts w:cstheme="minorBidi"/>
        </w:rPr>
        <w:t xml:space="preserve"> of </w:t>
      </w:r>
      <w:r w:rsidR="009D03F4" w:rsidRPr="009819CE">
        <w:rPr>
          <w:rFonts w:cstheme="minorBidi"/>
          <w:i/>
          <w:iCs/>
        </w:rPr>
        <w:t>Hematodinium</w:t>
      </w:r>
      <w:r w:rsidR="00E77766" w:rsidRPr="009819CE">
        <w:rPr>
          <w:rFonts w:cstheme="minorBidi"/>
        </w:rPr>
        <w:t xml:space="preserve"> sp.</w:t>
      </w:r>
      <w:bookmarkEnd w:id="139"/>
      <w:bookmarkEnd w:id="140"/>
    </w:p>
    <w:p w14:paraId="520349D9" w14:textId="55319793" w:rsidR="001C2AAA" w:rsidRPr="009819CE" w:rsidRDefault="00BA4C62" w:rsidP="004F01EB">
      <w:pPr>
        <w:rPr>
          <w:rFonts w:cstheme="minorBidi"/>
        </w:rPr>
        <w:sectPr w:rsidR="001C2AAA" w:rsidRPr="009819CE" w:rsidSect="001B0CD2">
          <w:pgSz w:w="11906" w:h="16838" w:code="9"/>
          <w:pgMar w:top="1440" w:right="1440" w:bottom="1440" w:left="1440" w:header="709" w:footer="709" w:gutter="0"/>
          <w:cols w:space="518"/>
          <w:docGrid w:linePitch="360"/>
        </w:sectPr>
      </w:pPr>
      <w:r w:rsidRPr="009819CE">
        <w:rPr>
          <w:rFonts w:cstheme="minorBidi"/>
        </w:rPr>
        <w:t xml:space="preserve">The presence of </w:t>
      </w:r>
      <w:r w:rsidR="009A7FD3" w:rsidRPr="009819CE">
        <w:rPr>
          <w:rFonts w:cstheme="minorBidi"/>
          <w:i/>
          <w:iCs/>
        </w:rPr>
        <w:t>H</w:t>
      </w:r>
      <w:r w:rsidRPr="009819CE">
        <w:rPr>
          <w:rFonts w:cstheme="minorBidi"/>
          <w:i/>
        </w:rPr>
        <w:t>ematodinium</w:t>
      </w:r>
      <w:r w:rsidRPr="009819CE">
        <w:rPr>
          <w:rFonts w:cstheme="minorBidi"/>
        </w:rPr>
        <w:t xml:space="preserve"> sp. in the CSA was first documented in the early 1980s, and a comprehensive study of this phenomenon</w:t>
      </w:r>
      <w:r w:rsidRPr="009819CE">
        <w:t xml:space="preserve"> was conducted by  </w:t>
      </w:r>
      <w:hyperlink w:anchor="_ENREF_91" w:tooltip="Field, 1992 #481" w:history="1">
        <w:r w:rsidR="00950097" w:rsidRPr="009819CE">
          <w:fldChar w:fldCharType="begin"/>
        </w:r>
        <w:r w:rsidR="00950097" w:rsidRPr="009819CE">
          <w:instrText xml:space="preserve"> ADDIN EN.CITE &lt;EndNote&gt;&lt;Cite AuthorYear="1"&gt;&lt;Author&gt;Field&lt;/Author&gt;&lt;Year&gt;1992&lt;/Year&gt;&lt;RecNum&gt;481&lt;/RecNum&gt;&lt;DisplayText&gt;Field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00950097" w:rsidRPr="009819CE">
          <w:fldChar w:fldCharType="separate"/>
        </w:r>
        <w:r w:rsidR="00950097" w:rsidRPr="007268F5">
          <w:t>Field (1992)</w:t>
        </w:r>
        <w:r w:rsidR="00950097" w:rsidRPr="009819CE">
          <w:fldChar w:fldCharType="end"/>
        </w:r>
      </w:hyperlink>
      <w:r w:rsidRPr="009819CE">
        <w:t xml:space="preserve">. Following the initial report, extensive studies have been conducted </w:t>
      </w:r>
      <w:r w:rsidRPr="009819CE">
        <w:rPr>
          <w:rFonts w:cstheme="minorBidi"/>
        </w:rPr>
        <w:fldChar w:fldCharType="begin">
          <w:fldData xml:space="preserve">PEVuZE5vdGU+PENpdGU+PEF1dGhvcj5GaWVsZDwvQXV0aG9yPjxZZWFyPjE5OTI8L1llYXI+PFJl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=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PEVuZE5vdGU+PENpdGU+PEF1dGhvcj5GaWVsZDwvQXV0aG9yPjxZZWFyPjE5OTI8L1llYXI+PFJl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=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A82560" w:rsidRPr="007268F5">
        <w:rPr>
          <w:rFonts w:cstheme="minorBidi"/>
        </w:rPr>
        <w:t>(</w:t>
      </w:r>
      <w:hyperlink w:anchor="_ENREF_29" w:tooltip="Beevers, 2012 #377" w:history="1">
        <w:r w:rsidR="00950097" w:rsidRPr="007268F5">
          <w:rPr>
            <w:rFonts w:cstheme="minorBidi"/>
          </w:rPr>
          <w:t>Beevers et al., 2012</w:t>
        </w:r>
      </w:hyperlink>
      <w:r w:rsidR="00A82560" w:rsidRPr="007268F5">
        <w:rPr>
          <w:rFonts w:cstheme="minorBidi"/>
        </w:rPr>
        <w:t xml:space="preserve">; </w:t>
      </w:r>
      <w:hyperlink w:anchor="_ENREF_93" w:tooltip="Field, 1996 #105" w:history="1">
        <w:r w:rsidR="00950097" w:rsidRPr="007268F5">
          <w:rPr>
            <w:rFonts w:cstheme="minorBidi"/>
          </w:rPr>
          <w:t>Field and Appleton, 1996</w:t>
        </w:r>
      </w:hyperlink>
      <w:r w:rsidR="00A82560" w:rsidRPr="007268F5">
        <w:rPr>
          <w:rFonts w:cstheme="minorBidi"/>
        </w:rPr>
        <w:t xml:space="preserve">; </w:t>
      </w:r>
      <w:hyperlink w:anchor="_ENREF_95" w:tooltip="Field, 1992 #448" w:history="1">
        <w:r w:rsidR="00950097" w:rsidRPr="007268F5">
          <w:rPr>
            <w:rFonts w:cstheme="minorBidi"/>
          </w:rPr>
          <w:t>Field et al., 1992</w:t>
        </w:r>
      </w:hyperlink>
      <w:r w:rsidR="00A82560" w:rsidRPr="007268F5">
        <w:rPr>
          <w:rFonts w:cstheme="minorBidi"/>
        </w:rPr>
        <w:t xml:space="preserve">; </w:t>
      </w:r>
      <w:hyperlink w:anchor="_ENREF_96" w:tooltip="Field, 1998 #1686" w:history="1">
        <w:r w:rsidR="00950097" w:rsidRPr="007268F5">
          <w:rPr>
            <w:rFonts w:cstheme="minorBidi"/>
          </w:rPr>
          <w:t>Field et al., 1998</w:t>
        </w:r>
      </w:hyperlink>
      <w:r w:rsidR="00A82560" w:rsidRPr="007268F5">
        <w:rPr>
          <w:rFonts w:cstheme="minorBidi"/>
        </w:rPr>
        <w:t xml:space="preserve">; </w:t>
      </w:r>
      <w:hyperlink w:anchor="_ENREF_288" w:tooltip="Small, 2004 #242" w:history="1">
        <w:r w:rsidR="00950097" w:rsidRPr="007268F5">
          <w:rPr>
            <w:rFonts w:cstheme="minorBidi"/>
          </w:rPr>
          <w:t>Small, 2004</w:t>
        </w:r>
      </w:hyperlink>
      <w:r w:rsidR="00A82560" w:rsidRPr="007268F5">
        <w:rPr>
          <w:rFonts w:cstheme="minorBidi"/>
        </w:rPr>
        <w:t xml:space="preserve">; </w:t>
      </w:r>
      <w:hyperlink w:anchor="_ENREF_297" w:tooltip="Stentiford, 2001 #124" w:history="1">
        <w:r w:rsidR="00950097" w:rsidRPr="007268F5">
          <w:rPr>
            <w:rFonts w:cstheme="minorBidi"/>
          </w:rPr>
          <w:t>Stentiford et al., 2001a</w:t>
        </w:r>
      </w:hyperlink>
      <w:r w:rsidR="00A82560" w:rsidRPr="007268F5">
        <w:rPr>
          <w:rFonts w:cstheme="minorBidi"/>
        </w:rPr>
        <w:t xml:space="preserve">; </w:t>
      </w:r>
      <w:hyperlink w:anchor="_ENREF_309" w:tooltip="Stentiford, 2001 #1822" w:history="1">
        <w:r w:rsidR="00950097" w:rsidRPr="007268F5">
          <w:rPr>
            <w:rFonts w:cstheme="minorBidi"/>
          </w:rPr>
          <w:t>Stentiford et al., 2001d</w:t>
        </w:r>
      </w:hyperlink>
      <w:r w:rsidR="00A82560" w:rsidRPr="007268F5">
        <w:rPr>
          <w:rFonts w:cstheme="minorBidi"/>
        </w:rPr>
        <w:t>)</w:t>
      </w:r>
      <w:r w:rsidRPr="009819CE">
        <w:rPr>
          <w:rFonts w:cstheme="minorBidi"/>
        </w:rPr>
        <w:fldChar w:fldCharType="end"/>
      </w:r>
      <w:r w:rsidRPr="009819CE">
        <w:t xml:space="preserve">, establishing the Clyde Sea Area as one of the best-studied </w:t>
      </w:r>
      <w:r w:rsidR="00C31E47" w:rsidRPr="009819CE">
        <w:rPr>
          <w:i/>
          <w:iCs/>
        </w:rPr>
        <w:t>Nephrops</w:t>
      </w:r>
      <w:r w:rsidRPr="009819CE">
        <w:t>-</w:t>
      </w:r>
      <w:r w:rsidR="009D03F4" w:rsidRPr="009819CE">
        <w:rPr>
          <w:i/>
          <w:iCs/>
        </w:rPr>
        <w:t>Hematodinium</w:t>
      </w:r>
      <w:r w:rsidRPr="009819CE">
        <w:t xml:space="preserve"> pathosystems globally.</w:t>
      </w:r>
      <w:r w:rsidR="00AE6E7D" w:rsidRPr="009819CE">
        <w:t xml:space="preserve"> </w:t>
      </w:r>
      <w:r w:rsidR="00AE6E7D" w:rsidRPr="009819CE">
        <w:rPr>
          <w:rFonts w:cstheme="minorBidi"/>
        </w:rPr>
        <w:t>L</w:t>
      </w:r>
      <w:r w:rsidR="00A71E12" w:rsidRPr="009819CE">
        <w:rPr>
          <w:rFonts w:cstheme="minorBidi"/>
        </w:rPr>
        <w:t xml:space="preserve">ong-term monitoring of </w:t>
      </w:r>
      <w:r w:rsidR="00C31E47" w:rsidRPr="009819CE">
        <w:rPr>
          <w:rFonts w:cstheme="minorBidi"/>
          <w:i/>
          <w:iCs/>
        </w:rPr>
        <w:t>Nephrops</w:t>
      </w:r>
      <w:r w:rsidR="00A71E12" w:rsidRPr="009819CE">
        <w:rPr>
          <w:rFonts w:cstheme="minorBidi"/>
        </w:rPr>
        <w:t xml:space="preserve"> has identified a peak in</w:t>
      </w:r>
      <w:r w:rsidR="00A11DF0" w:rsidRPr="009819CE">
        <w:rPr>
          <w:rFonts w:cstheme="minorBidi"/>
        </w:rPr>
        <w:t xml:space="preserve"> </w:t>
      </w:r>
      <w:r w:rsidR="009D03F4" w:rsidRPr="009819CE">
        <w:rPr>
          <w:rFonts w:cstheme="minorBidi"/>
          <w:i/>
          <w:iCs/>
        </w:rPr>
        <w:t>Hematodinium</w:t>
      </w:r>
      <w:r w:rsidR="00A11DF0" w:rsidRPr="009819CE">
        <w:rPr>
          <w:rFonts w:cstheme="minorBidi"/>
        </w:rPr>
        <w:t xml:space="preserve"> sp.</w:t>
      </w:r>
      <w:r w:rsidR="00A71E12" w:rsidRPr="009819CE">
        <w:rPr>
          <w:rFonts w:cstheme="minorBidi"/>
        </w:rPr>
        <w:t xml:space="preserve"> </w:t>
      </w:r>
      <w:r w:rsidR="00590AD5" w:rsidRPr="009819CE">
        <w:rPr>
          <w:rFonts w:cstheme="minorBidi"/>
        </w:rPr>
        <w:t xml:space="preserve">patent </w:t>
      </w:r>
      <w:r w:rsidR="00A71E12" w:rsidRPr="009819CE">
        <w:rPr>
          <w:rFonts w:cstheme="minorBidi"/>
        </w:rPr>
        <w:t>infection prevalence during late winter and early spring, with minimal occurrences in summer and autumn, as depicted in</w:t>
      </w:r>
      <w:r w:rsidR="00A71E12" w:rsidRPr="009819CE">
        <w:rPr>
          <w:rFonts w:cstheme="minorBidi"/>
          <w:b/>
          <w:bCs/>
        </w:rPr>
        <w:t xml:space="preserve"> </w:t>
      </w:r>
      <w:r w:rsidR="00A71E12" w:rsidRPr="009819CE">
        <w:rPr>
          <w:rFonts w:cstheme="minorBidi"/>
        </w:rPr>
        <w:fldChar w:fldCharType="begin"/>
      </w:r>
      <w:r w:rsidR="00A71E12" w:rsidRPr="009819CE">
        <w:rPr>
          <w:rFonts w:cstheme="minorBidi"/>
          <w:b/>
          <w:bCs/>
        </w:rPr>
        <w:instrText xml:space="preserve"> REF _Ref139102631 \h </w:instrText>
      </w:r>
      <w:r w:rsidR="00A71E12" w:rsidRPr="009819CE">
        <w:rPr>
          <w:rFonts w:cstheme="minorBidi"/>
        </w:rPr>
        <w:instrText xml:space="preserve"> \* MERGEFORMAT </w:instrText>
      </w:r>
      <w:r w:rsidR="00A71E12" w:rsidRPr="009819CE">
        <w:rPr>
          <w:rFonts w:cstheme="minorBidi"/>
        </w:rPr>
      </w:r>
      <w:r w:rsidR="00A71E12" w:rsidRPr="009819CE">
        <w:rPr>
          <w:rFonts w:cstheme="minorBidi"/>
        </w:rPr>
        <w:fldChar w:fldCharType="separate"/>
      </w:r>
      <w:r w:rsidR="008549FC" w:rsidRPr="008549FC">
        <w:rPr>
          <w:rFonts w:cstheme="minorBidi"/>
          <w:b/>
          <w:bCs/>
        </w:rPr>
        <w:t>Figure 1.14</w:t>
      </w:r>
      <w:r w:rsidR="00A71E12" w:rsidRPr="009819CE">
        <w:rPr>
          <w:rFonts w:cstheme="minorBidi"/>
        </w:rPr>
        <w:fldChar w:fldCharType="end"/>
      </w:r>
      <w:r w:rsidR="00A71E12" w:rsidRPr="009819CE">
        <w:rPr>
          <w:rFonts w:cstheme="minorBidi"/>
        </w:rPr>
        <w:t>.</w:t>
      </w:r>
    </w:p>
    <w:tbl>
      <w:tblPr>
        <w:tblStyle w:val="TableGrid1"/>
        <w:tblpPr w:leftFromText="180" w:rightFromText="180" w:vertAnchor="text" w:horzAnchor="margin" w:tblpY="17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C2AAA" w:rsidRPr="00FA7D47" w14:paraId="7A018C6C" w14:textId="77777777" w:rsidTr="001C2AAA">
        <w:tc>
          <w:tcPr>
            <w:tcW w:w="5000" w:type="pct"/>
            <w:hideMark/>
          </w:tcPr>
          <w:p w14:paraId="4F7FEF06" w14:textId="77777777" w:rsidR="001C2AAA" w:rsidRPr="009819CE" w:rsidRDefault="001C2AAA" w:rsidP="001C2AAA">
            <w:pPr>
              <w:spacing w:before="0" w:after="0"/>
              <w:jc w:val="center"/>
              <w:rPr>
                <w:rFonts w:cstheme="minorBidi"/>
                <w:lang w:val="en-GB"/>
                <w14:ligatures w14:val="none"/>
              </w:rPr>
            </w:pPr>
            <w:r w:rsidRPr="00FF34FE">
              <w:rPr>
                <w:rFonts w:cstheme="minorBidi"/>
                <w:noProof/>
              </w:rPr>
              <w:drawing>
                <wp:inline distT="0" distB="0" distL="0" distR="0" wp14:anchorId="39FA3099" wp14:editId="32B34586">
                  <wp:extent cx="5379356" cy="3227614"/>
                  <wp:effectExtent l="0" t="0" r="0" b="0"/>
                  <wp:docPr id="1694403894" name="Picture 8"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03894" name="Picture 8" descr="A graph with a line&#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8686" cy="3239212"/>
                          </a:xfrm>
                          <a:prstGeom prst="rect">
                            <a:avLst/>
                          </a:prstGeom>
                          <a:noFill/>
                          <a:ln>
                            <a:noFill/>
                          </a:ln>
                        </pic:spPr>
                      </pic:pic>
                    </a:graphicData>
                  </a:graphic>
                </wp:inline>
              </w:drawing>
            </w:r>
          </w:p>
        </w:tc>
      </w:tr>
      <w:tr w:rsidR="001C2AAA" w:rsidRPr="00FA7D47" w14:paraId="2C224693" w14:textId="77777777" w:rsidTr="001C2AAA">
        <w:tc>
          <w:tcPr>
            <w:tcW w:w="5000" w:type="pct"/>
            <w:hideMark/>
          </w:tcPr>
          <w:p w14:paraId="287503DF" w14:textId="5DBA0943" w:rsidR="001C2AAA" w:rsidRPr="009819CE" w:rsidRDefault="001C2AAA" w:rsidP="001C2AAA">
            <w:pPr>
              <w:spacing w:before="0" w:after="240"/>
              <w:rPr>
                <w:rFonts w:eastAsia="Calibri" w:cstheme="minorBidi"/>
                <w:iCs/>
                <w:color w:val="000000"/>
                <w:sz w:val="22"/>
                <w:szCs w:val="22"/>
                <w:lang w:val="en-GB"/>
                <w14:ligatures w14:val="none"/>
              </w:rPr>
            </w:pPr>
            <w:bookmarkStart w:id="141" w:name="_Ref139102631"/>
            <w:bookmarkStart w:id="142" w:name="_Toc84492447"/>
            <w:bookmarkStart w:id="143" w:name="_Toc140068606"/>
            <w:bookmarkStart w:id="144" w:name="_Toc204106704"/>
            <w:r w:rsidRPr="009819CE">
              <w:rPr>
                <w:rFonts w:eastAsia="Calibri" w:cstheme="minorBidi"/>
                <w:b/>
                <w:iCs/>
                <w:color w:val="000000"/>
                <w:sz w:val="22"/>
                <w:szCs w:val="22"/>
                <w:lang w:val="en-GB"/>
                <w14:ligatures w14:val="none"/>
              </w:rPr>
              <w:t xml:space="preserve">Figure </w:t>
            </w:r>
            <w:r w:rsidRPr="007268F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7268F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7268F5">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7268F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7268F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14</w:t>
            </w:r>
            <w:r w:rsidRPr="007268F5">
              <w:rPr>
                <w:rFonts w:eastAsia="Calibri" w:cstheme="minorBidi"/>
                <w:iCs/>
                <w:color w:val="000000"/>
                <w:sz w:val="22"/>
                <w:szCs w:val="22"/>
              </w:rPr>
              <w:fldChar w:fldCharType="end"/>
            </w:r>
            <w:bookmarkEnd w:id="141"/>
            <w:r w:rsidRPr="009819CE">
              <w:rPr>
                <w:rFonts w:eastAsia="Calibri" w:cstheme="minorBidi"/>
                <w:iCs/>
                <w:color w:val="000000"/>
                <w:sz w:val="22"/>
                <w:szCs w:val="22"/>
                <w:lang w:val="en-GB"/>
                <w14:ligatures w14:val="none"/>
              </w:rPr>
              <w:t xml:space="preserve"> </w:t>
            </w:r>
            <w:r w:rsidRPr="009819CE">
              <w:rPr>
                <w:rFonts w:eastAsia="Calibri" w:cstheme="minorBidi"/>
                <w:i/>
                <w:color w:val="000000"/>
                <w:sz w:val="22"/>
                <w:szCs w:val="22"/>
                <w:lang w:val="en-GB"/>
                <w14:ligatures w14:val="none"/>
              </w:rPr>
              <w:t>Nephrops</w:t>
            </w:r>
            <w:r w:rsidRPr="009819CE">
              <w:rPr>
                <w:rFonts w:eastAsia="Calibri" w:cstheme="minorBidi"/>
                <w:iCs/>
                <w:color w:val="000000"/>
                <w:sz w:val="22"/>
                <w:szCs w:val="22"/>
                <w:lang w:val="en-GB"/>
                <w14:ligatures w14:val="none"/>
              </w:rPr>
              <w:t xml:space="preserve"> captured near Little Cumbrae in the CSA from February 1998 to November 2000</w:t>
            </w:r>
            <w:r w:rsidR="00410C7B" w:rsidRPr="00FA7D47">
              <w:rPr>
                <w:rFonts w:eastAsia="Calibri" w:cstheme="minorBidi"/>
                <w:iCs/>
                <w:color w:val="000000"/>
                <w:sz w:val="22"/>
                <w:szCs w:val="22"/>
                <w:lang w:val="en-GB"/>
                <w14:ligatures w14:val="none"/>
              </w:rPr>
              <w:t xml:space="preserve"> as determined by pleopod method (PM)</w:t>
            </w:r>
            <w:r w:rsidRPr="009819CE">
              <w:rPr>
                <w:rFonts w:eastAsia="Calibri" w:cstheme="minorBidi"/>
                <w:iCs/>
                <w:color w:val="000000"/>
                <w:sz w:val="22"/>
                <w:szCs w:val="22"/>
                <w:lang w:val="en-GB"/>
                <w14:ligatures w14:val="none"/>
              </w:rPr>
              <w:t xml:space="preserve">. Adapted from </w:t>
            </w:r>
            <w:hyperlink w:anchor="_ENREF_297" w:tooltip="Stentiford, 2001 #124" w:history="1">
              <w:r w:rsidR="00950097" w:rsidRPr="007268F5">
                <w:rPr>
                  <w:rFonts w:eastAsia="Calibri" w:cstheme="minorBidi"/>
                  <w:iCs/>
                  <w:color w:val="000000"/>
                  <w:sz w:val="22"/>
                  <w:szCs w:val="22"/>
                </w:rPr>
                <w:fldChar w:fldCharType="begin"/>
              </w:r>
              <w:r w:rsidR="00950097" w:rsidRPr="009819CE">
                <w:rPr>
                  <w:rFonts w:eastAsia="Calibri" w:cstheme="minorBidi"/>
                  <w:iCs/>
                  <w:color w:val="000000"/>
                  <w:sz w:val="22"/>
                  <w:szCs w:val="22"/>
                  <w:lang w:val="en-GB"/>
                </w:rPr>
                <w:instrText xml:space="preserve"> ADDIN EN.CITE &lt;EndNote&gt;&lt;Cite AuthorYear="1"&gt;&lt;Author&gt;Stentiford&lt;/Author&gt;&lt;Year&gt;2001&lt;/Year&gt;&lt;RecNum&gt;124&lt;/RecNum&gt;&lt;DisplayText&gt;Stentiford et al. (2001a)&lt;/DisplayText&gt;&lt;record&gt;&lt;rec-number&gt;124&lt;/rec-number&gt;&lt;foreign-keys&gt;&lt;key app="EN" db-id="sd9wrx9fj09rx3erprsx999o0r5aprvp2zse" timestamp="1687855901" guid="09c5d39b-f816-4e12-ae84-6f5c91f6c410"&gt;124&lt;/key&gt;&lt;/foreign-keys&gt;&lt;ref-type name="Journal Article"&gt;17&lt;/ref-type&gt;&lt;contributors&gt;&lt;authors&gt;&lt;author&gt;Stentiford, Grant&lt;/author&gt;&lt;author&gt;Neil, Douglas M.&lt;/author&gt;&lt;author&gt;Atkinson, Robert James A.&lt;/author&gt;&lt;/authors&gt;&lt;/contributors&gt;&lt;titles&gt;&lt;title&gt;&lt;style face="normal" font="default" size="100%"&gt;The relationship of &lt;/style&gt;&lt;style face="italic" font="default" size="100%"&gt;Hematodinium &lt;/style&gt;&lt;style face="normal" font="default" size="100%"&gt;infection prevalence in a Scottish &lt;/style&gt;&lt;style face="italic" font="default" size="100%"&gt;Nephrops norvegicus&lt;/style&gt;&lt;style face="normal" font="default" size="100%"&gt; population to season, moulting and sex&lt;/style&gt;&lt;/title&gt;&lt;secondary-title&gt;ICES Journal of Marine Science&lt;/secondary-title&gt;&lt;/titles&gt;&lt;periodical&gt;&lt;full-title&gt;ICES Journal of Marine Science&lt;/full-title&gt;&lt;/periodical&gt;&lt;pages&gt;814-823&lt;/pages&gt;&lt;volume&gt;58&lt;/volume&gt;&lt;number&gt;4&lt;/number&gt;&lt;keywords&gt;&lt;keyword&gt;Hematodinium&lt;/keyword&gt;&lt;keyword&gt;Infection prevalence&lt;/keyword&gt;&lt;keyword&gt;Moult cycle&lt;/keyword&gt;&lt;keyword&gt;Nephrops norvegicus&lt;/keyword&gt;&lt;keyword&gt;Parasite&lt;/keyword&gt;&lt;/keywords&gt;&lt;dates&gt;&lt;year&gt;2001&lt;/year&gt;&lt;pub-dates&gt;&lt;date&gt;2001/8//&lt;/date&gt;&lt;/pub-dates&gt;&lt;/dates&gt;&lt;urls&gt;&lt;related-urls&gt;&lt;url&gt;https://academic.oup.com/icesjms/article-lookup/doi/10.1006/jmsc.2001.1072&lt;/url&gt;&lt;/related-urls&gt;&lt;/urls&gt;&lt;electronic-resource-num&gt;10.1006/jmsc.2001.1072&lt;/electronic-resource-num&gt;&lt;/record&gt;&lt;/Cite&gt;&lt;/EndNote&gt;</w:instrText>
              </w:r>
              <w:r w:rsidR="00950097" w:rsidRPr="007268F5">
                <w:rPr>
                  <w:rFonts w:eastAsia="Calibri" w:cstheme="minorBidi"/>
                  <w:iCs/>
                  <w:color w:val="000000"/>
                  <w:sz w:val="22"/>
                  <w:szCs w:val="22"/>
                </w:rPr>
                <w:fldChar w:fldCharType="separate"/>
              </w:r>
              <w:r w:rsidR="00950097" w:rsidRPr="009819CE">
                <w:rPr>
                  <w:rFonts w:eastAsia="Calibri" w:cstheme="minorBidi"/>
                  <w:iCs/>
                  <w:color w:val="000000"/>
                  <w:sz w:val="22"/>
                  <w:szCs w:val="22"/>
                  <w:lang w:val="en-GB"/>
                  <w14:ligatures w14:val="none"/>
                </w:rPr>
                <w:t>Stentiford et al. (2001a)</w:t>
              </w:r>
              <w:r w:rsidR="00950097" w:rsidRPr="007268F5">
                <w:rPr>
                  <w:rFonts w:eastAsia="Calibri" w:cstheme="minorBidi"/>
                  <w:iCs/>
                  <w:color w:val="000000"/>
                  <w:sz w:val="22"/>
                  <w:szCs w:val="22"/>
                </w:rPr>
                <w:fldChar w:fldCharType="end"/>
              </w:r>
            </w:hyperlink>
            <w:r w:rsidRPr="009819CE">
              <w:rPr>
                <w:rFonts w:eastAsia="Calibri" w:cstheme="minorBidi"/>
                <w:iCs/>
                <w:color w:val="000000"/>
                <w:sz w:val="22"/>
                <w:szCs w:val="22"/>
                <w:lang w:val="en-GB"/>
                <w14:ligatures w14:val="none"/>
              </w:rPr>
              <w:t>.</w:t>
            </w:r>
            <w:bookmarkEnd w:id="142"/>
            <w:bookmarkEnd w:id="143"/>
            <w:bookmarkEnd w:id="144"/>
          </w:p>
        </w:tc>
      </w:tr>
    </w:tbl>
    <w:p w14:paraId="57713D98" w14:textId="77777777" w:rsidR="001C2AAA" w:rsidRPr="009819CE" w:rsidRDefault="001C2AAA" w:rsidP="002773A2">
      <w:pPr>
        <w:spacing w:before="0" w:after="0"/>
        <w:rPr>
          <w:rFonts w:cstheme="minorBidi"/>
        </w:rPr>
      </w:pPr>
    </w:p>
    <w:p w14:paraId="336E2D09" w14:textId="0A0D6131" w:rsidR="004F01EB" w:rsidRPr="009819CE" w:rsidRDefault="004B678B" w:rsidP="002773A2">
      <w:pPr>
        <w:spacing w:before="0" w:after="0"/>
        <w:rPr>
          <w:rFonts w:cstheme="minorBidi"/>
        </w:rPr>
      </w:pPr>
      <w:r w:rsidRPr="009819CE">
        <w:rPr>
          <w:rFonts w:cstheme="minorBidi"/>
        </w:rPr>
        <w:t xml:space="preserve">In the same location, using a western blot immunoassay technique revealed a peak in sub-patent level infections during late autumn and winter </w:t>
      </w:r>
      <w:r w:rsidRPr="009819CE">
        <w:rPr>
          <w:rFonts w:cstheme="minorBidi"/>
        </w:rPr>
        <w:fldChar w:fldCharType="begin">
          <w:fldData xml:space="preserve">PEVuZE5vdGU+PENpdGU+PEF1dGhvcj5TdGVudGlmb3JkPC9BdXRob3I+PFllYXI+MjAwMTwvWWVh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PEVuZE5vdGU+PENpdGU+PEF1dGhvcj5TdGVudGlmb3JkPC9BdXRob3I+PFllYXI+MjAwMTwvWWVh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A82560" w:rsidRPr="007268F5">
        <w:rPr>
          <w:rFonts w:cstheme="minorBidi"/>
        </w:rPr>
        <w:t>(</w:t>
      </w:r>
      <w:hyperlink w:anchor="_ENREF_309" w:tooltip="Stentiford, 2001 #1822" w:history="1">
        <w:r w:rsidR="00950097" w:rsidRPr="007268F5">
          <w:rPr>
            <w:rFonts w:cstheme="minorBidi"/>
          </w:rPr>
          <w:t>Stentiford et al., 2001d</w:t>
        </w:r>
      </w:hyperlink>
      <w:r w:rsidR="00A82560" w:rsidRPr="007268F5">
        <w:rPr>
          <w:rFonts w:cstheme="minorBidi"/>
        </w:rPr>
        <w:t>)</w:t>
      </w:r>
      <w:r w:rsidRPr="009819CE">
        <w:rPr>
          <w:rFonts w:cstheme="minorBidi"/>
        </w:rPr>
        <w:fldChar w:fldCharType="end"/>
      </w:r>
      <w:r w:rsidRPr="009819CE">
        <w:rPr>
          <w:rFonts w:cstheme="minorBidi"/>
        </w:rPr>
        <w:t xml:space="preserve">, as depicted in </w:t>
      </w:r>
      <w:r w:rsidRPr="009819CE">
        <w:rPr>
          <w:rFonts w:cstheme="minorBidi"/>
        </w:rPr>
        <w:fldChar w:fldCharType="begin"/>
      </w:r>
      <w:r w:rsidRPr="009819CE">
        <w:rPr>
          <w:rFonts w:cstheme="minorBidi"/>
          <w:b/>
          <w:bCs/>
        </w:rPr>
        <w:instrText xml:space="preserve"> REF _Ref81644991 \h  \* MERGEFORMAT </w:instrText>
      </w:r>
      <w:r w:rsidRPr="009819CE">
        <w:rPr>
          <w:rFonts w:cstheme="minorBidi"/>
        </w:rPr>
      </w:r>
      <w:r w:rsidRPr="009819CE">
        <w:rPr>
          <w:rFonts w:cstheme="minorBidi"/>
        </w:rPr>
        <w:fldChar w:fldCharType="separate"/>
      </w:r>
      <w:r w:rsidR="008549FC" w:rsidRPr="008549FC">
        <w:rPr>
          <w:rFonts w:cstheme="minorBidi"/>
          <w:b/>
          <w:bCs/>
        </w:rPr>
        <w:t>Figure 1.15</w:t>
      </w:r>
      <w:r w:rsidRPr="009819CE">
        <w:rPr>
          <w:rFonts w:cstheme="minorBidi"/>
        </w:rPr>
        <w:fldChar w:fldCharType="end"/>
      </w:r>
      <w:r w:rsidRPr="009819CE">
        <w:rPr>
          <w:rFonts w:cstheme="minorBidi"/>
        </w:rPr>
        <w:t xml:space="preserve">. The amplitude of this sub-patent infection peak was comparable to the peak of patent infections observed in the following spring. These findings led researchers to conclude that infection, both sub-patent and patent, occurred within a single year </w:t>
      </w:r>
      <w:r w:rsidRPr="009819CE">
        <w:rPr>
          <w:rFonts w:cstheme="minorBidi"/>
        </w:rPr>
        <w:fldChar w:fldCharType="begin">
          <w:fldData xml:space="preserve">PEVuZE5vdGU+PENpdGU+PEF1dGhvcj5TdGVudGlmb3JkPC9BdXRob3I+PFllYXI+MjAwMTwvWWVh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PEVuZE5vdGU+PENpdGU+PEF1dGhvcj5TdGVudGlmb3JkPC9BdXRob3I+PFllYXI+MjAwMTwvWWVh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A82560" w:rsidRPr="007268F5">
        <w:rPr>
          <w:rFonts w:cstheme="minorBidi"/>
        </w:rPr>
        <w:t>(</w:t>
      </w:r>
      <w:hyperlink w:anchor="_ENREF_309" w:tooltip="Stentiford, 2001 #1822" w:history="1">
        <w:r w:rsidR="00950097" w:rsidRPr="007268F5">
          <w:rPr>
            <w:rFonts w:cstheme="minorBidi"/>
          </w:rPr>
          <w:t>Stentiford et al., 2001d</w:t>
        </w:r>
      </w:hyperlink>
      <w:r w:rsidR="00A82560" w:rsidRPr="007268F5">
        <w:rPr>
          <w:rFonts w:cstheme="minorBidi"/>
        </w:rPr>
        <w:t>)</w:t>
      </w:r>
      <w:r w:rsidRPr="009819CE">
        <w:rPr>
          <w:rFonts w:cstheme="minorBidi"/>
        </w:rPr>
        <w:fldChar w:fldCharType="end"/>
      </w:r>
      <w:r w:rsidRPr="009819CE">
        <w:rPr>
          <w:rFonts w:cstheme="minorBidi"/>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773A2" w:rsidRPr="00FA7D47" w14:paraId="71C7EB5C" w14:textId="77777777" w:rsidTr="007D6607">
        <w:tc>
          <w:tcPr>
            <w:tcW w:w="5000" w:type="pct"/>
            <w:hideMark/>
          </w:tcPr>
          <w:p w14:paraId="0C2E92F1" w14:textId="12B9CEF0" w:rsidR="002773A2" w:rsidRPr="009819CE" w:rsidRDefault="002773A2" w:rsidP="007D6607">
            <w:pPr>
              <w:spacing w:before="0" w:after="0"/>
              <w:jc w:val="center"/>
              <w:rPr>
                <w:rFonts w:cstheme="minorBidi"/>
                <w:lang w:val="en-GB"/>
                <w14:ligatures w14:val="none"/>
              </w:rPr>
            </w:pPr>
            <w:r w:rsidRPr="00FF34FE">
              <w:rPr>
                <w:rFonts w:cstheme="minorBidi"/>
                <w:noProof/>
              </w:rPr>
              <w:drawing>
                <wp:inline distT="0" distB="0" distL="0" distR="0" wp14:anchorId="175A7F74" wp14:editId="05D84B34">
                  <wp:extent cx="4761781" cy="2664907"/>
                  <wp:effectExtent l="0" t="0" r="0" b="0"/>
                  <wp:docPr id="578721606" name="Picture 1" descr="A graph of a patient infected by a viru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21606" name="Picture 1" descr="A graph of a patient infected by a virus&#10;&#10;Description automatically generated with medium confidence"/>
                          <pic:cNvPicPr/>
                        </pic:nvPicPr>
                        <pic:blipFill>
                          <a:blip r:embed="rId47"/>
                          <a:stretch>
                            <a:fillRect/>
                          </a:stretch>
                        </pic:blipFill>
                        <pic:spPr>
                          <a:xfrm>
                            <a:off x="0" y="0"/>
                            <a:ext cx="4768225" cy="2668514"/>
                          </a:xfrm>
                          <a:prstGeom prst="rect">
                            <a:avLst/>
                          </a:prstGeom>
                        </pic:spPr>
                      </pic:pic>
                    </a:graphicData>
                  </a:graphic>
                </wp:inline>
              </w:drawing>
            </w:r>
          </w:p>
        </w:tc>
      </w:tr>
      <w:tr w:rsidR="002773A2" w:rsidRPr="00FA7D47" w14:paraId="2DA2DC89" w14:textId="77777777" w:rsidTr="007D6607">
        <w:tc>
          <w:tcPr>
            <w:tcW w:w="5000" w:type="pct"/>
            <w:hideMark/>
          </w:tcPr>
          <w:p w14:paraId="1D9D1106" w14:textId="388B4216" w:rsidR="002773A2" w:rsidRPr="009819CE" w:rsidRDefault="002773A2" w:rsidP="007D6607">
            <w:pPr>
              <w:spacing w:before="0" w:after="0" w:line="240" w:lineRule="auto"/>
              <w:rPr>
                <w:rFonts w:eastAsia="Calibri" w:cstheme="minorBidi"/>
                <w:iCs/>
                <w:color w:val="000000"/>
                <w:lang w:val="en-GB"/>
                <w14:ligatures w14:val="none"/>
              </w:rPr>
            </w:pPr>
            <w:bookmarkStart w:id="145" w:name="_Ref81644991"/>
            <w:bookmarkStart w:id="146" w:name="_Toc84492448"/>
            <w:bookmarkStart w:id="147" w:name="_Toc140068607"/>
            <w:bookmarkStart w:id="148" w:name="_Toc204106705"/>
            <w:r w:rsidRPr="009819CE">
              <w:rPr>
                <w:rFonts w:eastAsia="Calibri" w:cstheme="minorBidi"/>
                <w:b/>
                <w:iCs/>
                <w:color w:val="000000"/>
                <w:sz w:val="22"/>
                <w:szCs w:val="22"/>
                <w:lang w:val="en-GB"/>
                <w14:ligatures w14:val="none"/>
              </w:rPr>
              <w:t xml:space="preserve">Figure </w:t>
            </w:r>
            <w:r w:rsidRPr="007268F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7268F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7268F5">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7268F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7268F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15</w:t>
            </w:r>
            <w:r w:rsidRPr="007268F5">
              <w:rPr>
                <w:rFonts w:eastAsia="Calibri" w:cstheme="minorBidi"/>
                <w:iCs/>
                <w:color w:val="000000"/>
                <w:sz w:val="22"/>
                <w:szCs w:val="22"/>
              </w:rPr>
              <w:fldChar w:fldCharType="end"/>
            </w:r>
            <w:bookmarkEnd w:id="145"/>
            <w:r w:rsidRPr="009819CE">
              <w:rPr>
                <w:rFonts w:eastAsia="Calibri" w:cstheme="minorBidi"/>
                <w:b/>
                <w:iCs/>
                <w:color w:val="000000"/>
                <w:sz w:val="22"/>
                <w:szCs w:val="22"/>
                <w:lang w:val="en-GB"/>
                <w14:ligatures w14:val="none"/>
              </w:rPr>
              <w:t xml:space="preserve"> </w:t>
            </w:r>
            <w:r w:rsidR="00013DDC" w:rsidRPr="007E6468">
              <w:rPr>
                <w:rFonts w:eastAsia="Calibri" w:cstheme="minorBidi"/>
                <w:bCs/>
                <w:iCs/>
                <w:color w:val="000000"/>
                <w:sz w:val="22"/>
                <w:szCs w:val="22"/>
              </w:rPr>
              <w:t>P</w:t>
            </w:r>
            <w:r w:rsidRPr="009819CE">
              <w:rPr>
                <w:rFonts w:eastAsia="Calibri" w:cstheme="minorBidi"/>
                <w:iCs/>
                <w:color w:val="000000"/>
                <w:sz w:val="22"/>
                <w:szCs w:val="22"/>
                <w:lang w:val="en-GB"/>
                <w14:ligatures w14:val="none"/>
              </w:rPr>
              <w:t xml:space="preserve">revalence of patent </w:t>
            </w:r>
            <w:r w:rsidR="009D03F4" w:rsidRPr="009819CE">
              <w:rPr>
                <w:rFonts w:eastAsia="Calibri" w:cstheme="minorBidi"/>
                <w:i/>
                <w:iCs/>
                <w:color w:val="000000"/>
                <w:sz w:val="22"/>
                <w:szCs w:val="22"/>
                <w:lang w:val="en-GB"/>
                <w14:ligatures w14:val="none"/>
              </w:rPr>
              <w:t>Hematodinium</w:t>
            </w:r>
            <w:r w:rsidRPr="009819CE">
              <w:rPr>
                <w:rFonts w:eastAsia="Calibri" w:cstheme="minorBidi"/>
                <w:iCs/>
                <w:color w:val="000000"/>
                <w:sz w:val="22"/>
                <w:szCs w:val="22"/>
                <w:lang w:val="en-GB"/>
                <w14:ligatures w14:val="none"/>
              </w:rPr>
              <w:t xml:space="preserve"> sp. infection (the percentage of individuals who were classified as positive by the pleopod method) and sub-patent </w:t>
            </w:r>
            <w:r w:rsidR="009D03F4" w:rsidRPr="009819CE">
              <w:rPr>
                <w:rFonts w:eastAsia="Calibri" w:cstheme="minorBidi"/>
                <w:i/>
                <w:iCs/>
                <w:color w:val="000000"/>
                <w:sz w:val="22"/>
                <w:szCs w:val="22"/>
                <w:lang w:val="en-GB"/>
                <w14:ligatures w14:val="none"/>
              </w:rPr>
              <w:t>Hematodinium</w:t>
            </w:r>
            <w:r w:rsidRPr="009819CE">
              <w:rPr>
                <w:rFonts w:eastAsia="Calibri" w:cstheme="minorBidi"/>
                <w:iCs/>
                <w:color w:val="000000"/>
                <w:sz w:val="22"/>
                <w:szCs w:val="22"/>
                <w:lang w:val="en-GB"/>
                <w14:ligatures w14:val="none"/>
              </w:rPr>
              <w:t xml:space="preserve"> sp. infection (the percentage of individuals who were classified as positive by the western blot immunoassay method but negative by the pleopod method). Source: </w:t>
            </w:r>
            <w:bookmarkEnd w:id="146"/>
            <w:bookmarkEnd w:id="147"/>
            <w:r w:rsidR="00950097">
              <w:rPr>
                <w:rFonts w:eastAsia="Calibri" w:cstheme="minorBidi"/>
                <w:iCs/>
                <w:color w:val="000000"/>
                <w:sz w:val="22"/>
                <w:szCs w:val="22"/>
              </w:rPr>
              <w:fldChar w:fldCharType="begin"/>
            </w:r>
            <w:r w:rsidR="00950097">
              <w:rPr>
                <w:rFonts w:eastAsia="Calibri" w:cstheme="minorBidi"/>
                <w:iCs/>
                <w:color w:val="000000"/>
                <w:sz w:val="22"/>
                <w:szCs w:val="22"/>
                <w:lang w:val="en-GB"/>
                <w14:ligatures w14:val="none"/>
              </w:rPr>
              <w:instrText xml:space="preserve"> HYPERLINK \l "_ENREF_309" \o "Stentiford, 2001 #1822" </w:instrText>
            </w:r>
            <w:r w:rsidR="00950097">
              <w:rPr>
                <w:rFonts w:eastAsia="Calibri" w:cstheme="minorBidi"/>
                <w:iCs/>
                <w:color w:val="000000"/>
                <w:sz w:val="22"/>
                <w:szCs w:val="22"/>
              </w:rPr>
            </w:r>
            <w:r w:rsidR="00950097">
              <w:rPr>
                <w:rFonts w:eastAsia="Calibri" w:cstheme="minorBidi"/>
                <w:iCs/>
                <w:color w:val="000000"/>
                <w:sz w:val="22"/>
                <w:szCs w:val="22"/>
              </w:rPr>
              <w:fldChar w:fldCharType="separate"/>
            </w:r>
            <w:r w:rsidR="00950097" w:rsidRPr="007268F5">
              <w:rPr>
                <w:rFonts w:eastAsia="Calibri" w:cstheme="minorBidi"/>
                <w:iCs/>
                <w:color w:val="000000"/>
                <w:sz w:val="22"/>
                <w:szCs w:val="22"/>
              </w:rPr>
              <w:fldChar w:fldCharType="begin">
                <w:fldData xml:space="preserve">PEVuZE5vdGU+PENpdGUgQXV0aG9yWWVhcj0iMSI+PEF1dGhvcj5TdGVudGlmb3JkPC9BdXRob3I+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</w:fldData>
              </w:fldChar>
            </w:r>
            <w:r w:rsidR="00950097" w:rsidRPr="009819CE">
              <w:rPr>
                <w:rFonts w:eastAsia="Calibri" w:cstheme="minorBidi"/>
                <w:iCs/>
                <w:color w:val="000000"/>
                <w:sz w:val="22"/>
                <w:szCs w:val="22"/>
              </w:rPr>
              <w:instrText xml:space="preserve"> ADDIN EN.CITE </w:instrText>
            </w:r>
            <w:r w:rsidR="00950097" w:rsidRPr="007268F5">
              <w:rPr>
                <w:rFonts w:eastAsia="Calibri" w:cstheme="minorBidi"/>
                <w:iCs/>
                <w:color w:val="000000"/>
                <w:sz w:val="22"/>
                <w:szCs w:val="22"/>
              </w:rPr>
              <w:fldChar w:fldCharType="begin">
                <w:fldData xml:space="preserve">PEVuZE5vdGU+PENpdGUgQXV0aG9yWWVhcj0iMSI+PEF1dGhvcj5TdGVudGlmb3JkPC9BdXRob3I+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</w:fldData>
              </w:fldChar>
            </w:r>
            <w:r w:rsidR="00950097" w:rsidRPr="009819CE">
              <w:rPr>
                <w:rFonts w:eastAsia="Calibri" w:cstheme="minorBidi"/>
                <w:iCs/>
                <w:color w:val="000000"/>
                <w:sz w:val="22"/>
                <w:szCs w:val="22"/>
              </w:rPr>
              <w:instrText xml:space="preserve"> ADDIN EN.CITE.DATA </w:instrText>
            </w:r>
            <w:r w:rsidR="00950097" w:rsidRPr="007268F5">
              <w:rPr>
                <w:rFonts w:eastAsia="Calibri" w:cstheme="minorBidi"/>
                <w:iCs/>
                <w:color w:val="000000"/>
                <w:sz w:val="22"/>
                <w:szCs w:val="22"/>
              </w:rPr>
            </w:r>
            <w:r w:rsidR="00950097" w:rsidRPr="007268F5">
              <w:rPr>
                <w:rFonts w:eastAsia="Calibri" w:cstheme="minorBidi"/>
                <w:iCs/>
                <w:color w:val="000000"/>
                <w:sz w:val="22"/>
                <w:szCs w:val="22"/>
              </w:rPr>
              <w:fldChar w:fldCharType="end"/>
            </w:r>
            <w:r w:rsidR="00950097" w:rsidRPr="007268F5">
              <w:rPr>
                <w:rFonts w:eastAsia="Calibri" w:cstheme="minorBidi"/>
                <w:iCs/>
                <w:color w:val="000000"/>
                <w:sz w:val="22"/>
                <w:szCs w:val="22"/>
              </w:rPr>
            </w:r>
            <w:r w:rsidR="00950097" w:rsidRPr="007268F5">
              <w:rPr>
                <w:rFonts w:eastAsia="Calibri" w:cstheme="minorBidi"/>
                <w:iCs/>
                <w:color w:val="000000"/>
                <w:sz w:val="22"/>
                <w:szCs w:val="22"/>
              </w:rPr>
              <w:fldChar w:fldCharType="separate"/>
            </w:r>
            <w:r w:rsidR="00950097" w:rsidRPr="007268F5">
              <w:rPr>
                <w:rFonts w:eastAsia="Calibri" w:cstheme="minorBidi"/>
                <w:iCs/>
                <w:color w:val="000000"/>
                <w:sz w:val="22"/>
                <w:szCs w:val="22"/>
              </w:rPr>
              <w:t>Stentiford et al. (2001d)</w:t>
            </w:r>
            <w:bookmarkEnd w:id="148"/>
            <w:r w:rsidR="00950097" w:rsidRPr="007268F5">
              <w:rPr>
                <w:rFonts w:eastAsia="Calibri" w:cstheme="minorBidi"/>
                <w:iCs/>
                <w:color w:val="000000"/>
                <w:sz w:val="22"/>
                <w:szCs w:val="22"/>
              </w:rPr>
              <w:fldChar w:fldCharType="end"/>
            </w:r>
            <w:r w:rsidR="00950097">
              <w:rPr>
                <w:rFonts w:eastAsia="Calibri" w:cstheme="minorBidi"/>
                <w:iCs/>
                <w:color w:val="000000"/>
                <w:sz w:val="22"/>
                <w:szCs w:val="22"/>
              </w:rPr>
              <w:fldChar w:fldCharType="end"/>
            </w:r>
          </w:p>
        </w:tc>
      </w:tr>
    </w:tbl>
    <w:p w14:paraId="6F7C7EE5" w14:textId="77777777" w:rsidR="008C59C4" w:rsidRPr="009819CE" w:rsidRDefault="008C59C4" w:rsidP="008C59C4">
      <w:pPr>
        <w:spacing w:before="0" w:after="0"/>
        <w:rPr>
          <w:rFonts w:cstheme="minorBidi"/>
        </w:rPr>
      </w:pPr>
    </w:p>
    <w:p w14:paraId="4A6F8DF8" w14:textId="0D51EF61" w:rsidR="003A01FD" w:rsidRPr="009819CE" w:rsidRDefault="008C59C4" w:rsidP="003A01FD">
      <w:pPr>
        <w:spacing w:before="0" w:after="0"/>
        <w:rPr>
          <w:rFonts w:cstheme="minorBidi"/>
        </w:rPr>
      </w:pPr>
      <w:r w:rsidRPr="009819CE">
        <w:rPr>
          <w:rFonts w:cstheme="minorBidi"/>
        </w:rPr>
        <w:t xml:space="preserve">Subsequent studies using PCR and ELISA diagnostic methods by </w:t>
      </w:r>
      <w:hyperlink w:anchor="_ENREF_28" w:tooltip="Beevers, 2010 #247" w:history="1">
        <w:r w:rsidR="00950097" w:rsidRPr="009819CE">
          <w:rPr>
            <w:rFonts w:cstheme="minorBidi"/>
          </w:rPr>
          <w:fldChar w:fldCharType="begin"/>
        </w:r>
        <w:r w:rsidR="00950097" w:rsidRPr="009819CE">
          <w:rPr>
            <w:rFonts w:cstheme="minorBidi"/>
          </w:rPr>
          <w:instrText xml:space="preserve"> ADDIN EN.CITE &lt;EndNote&gt;&lt;Cite AuthorYear="1"&gt;&lt;Author&gt;Beevers&lt;/Author&gt;&lt;Year&gt;2010&lt;/Year&gt;&lt;RecNum&gt;247&lt;/RecNum&gt;&lt;DisplayText&gt;Beevers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00950097" w:rsidRPr="009819CE">
          <w:rPr>
            <w:rFonts w:cstheme="minorBidi"/>
          </w:rPr>
          <w:fldChar w:fldCharType="separate"/>
        </w:r>
        <w:r w:rsidR="00950097" w:rsidRPr="007268F5">
          <w:rPr>
            <w:rFonts w:cstheme="minorBidi"/>
          </w:rPr>
          <w:t>Beevers (2010)</w:t>
        </w:r>
        <w:r w:rsidR="00950097" w:rsidRPr="009819CE">
          <w:rPr>
            <w:rFonts w:cstheme="minorBidi"/>
          </w:rPr>
          <w:fldChar w:fldCharType="end"/>
        </w:r>
      </w:hyperlink>
      <w:r w:rsidRPr="009819CE">
        <w:rPr>
          <w:rFonts w:cstheme="minorBidi"/>
        </w:rPr>
        <w:t xml:space="preserve"> revealed </w:t>
      </w:r>
      <w:r w:rsidR="00C95950" w:rsidRPr="009819CE">
        <w:rPr>
          <w:rFonts w:cstheme="minorBidi"/>
        </w:rPr>
        <w:t xml:space="preserve">that </w:t>
      </w:r>
      <w:r w:rsidR="009D03F4" w:rsidRPr="009819CE">
        <w:rPr>
          <w:rFonts w:cstheme="minorBidi"/>
          <w:i/>
          <w:iCs/>
        </w:rPr>
        <w:t>Hematodinium</w:t>
      </w:r>
      <w:r w:rsidR="00C95950" w:rsidRPr="009819CE">
        <w:rPr>
          <w:rFonts w:cstheme="minorBidi"/>
        </w:rPr>
        <w:t xml:space="preserve"> sp. is present at </w:t>
      </w:r>
      <w:r w:rsidRPr="009819CE">
        <w:rPr>
          <w:rFonts w:cstheme="minorBidi"/>
        </w:rPr>
        <w:t xml:space="preserve">sub-patent </w:t>
      </w:r>
      <w:r w:rsidR="00C95950" w:rsidRPr="009819CE">
        <w:rPr>
          <w:rFonts w:cstheme="minorBidi"/>
        </w:rPr>
        <w:t>levels</w:t>
      </w:r>
      <w:r w:rsidRPr="009819CE">
        <w:rPr>
          <w:rFonts w:cstheme="minorBidi"/>
        </w:rPr>
        <w:t xml:space="preserve"> throughout the entire year, as depicted in </w:t>
      </w:r>
      <w:r w:rsidRPr="009819CE">
        <w:rPr>
          <w:rFonts w:cstheme="minorBidi"/>
        </w:rPr>
        <w:fldChar w:fldCharType="begin"/>
      </w:r>
      <w:r w:rsidRPr="009819CE">
        <w:rPr>
          <w:rFonts w:cstheme="minorBidi"/>
          <w:b/>
          <w:bCs/>
        </w:rPr>
        <w:instrText xml:space="preserve"> REF _Ref81590342 \h  \* MERGEFORMAT </w:instrText>
      </w:r>
      <w:r w:rsidRPr="009819CE">
        <w:rPr>
          <w:rFonts w:cstheme="minorBidi"/>
        </w:rPr>
      </w:r>
      <w:r w:rsidRPr="009819CE">
        <w:rPr>
          <w:rFonts w:cstheme="minorBidi"/>
        </w:rPr>
        <w:fldChar w:fldCharType="separate"/>
      </w:r>
      <w:r w:rsidR="008549FC" w:rsidRPr="008549FC">
        <w:rPr>
          <w:rFonts w:cstheme="minorBidi"/>
          <w:b/>
          <w:bCs/>
        </w:rPr>
        <w:t>Figure 1.16</w:t>
      </w:r>
      <w:r w:rsidRPr="009819CE">
        <w:rPr>
          <w:rFonts w:cstheme="minorBidi"/>
        </w:rPr>
        <w:fldChar w:fldCharType="end"/>
      </w:r>
      <w:r w:rsidRPr="009819CE">
        <w:rPr>
          <w:rFonts w:cstheme="minorBidi"/>
        </w:rPr>
        <w:t xml:space="preserve">. Consequently, only </w:t>
      </w:r>
      <w:r w:rsidR="00EC3635" w:rsidRPr="009819CE">
        <w:rPr>
          <w:rFonts w:cstheme="minorBidi"/>
        </w:rPr>
        <w:t xml:space="preserve">the </w:t>
      </w:r>
      <w:r w:rsidRPr="009819CE">
        <w:rPr>
          <w:rFonts w:cstheme="minorBidi"/>
        </w:rPr>
        <w:t xml:space="preserve">patent infection can be classified as a seasonal occurrence. The identification of sub-patent infection during late winter/early spring, coinciding with the peak prevalence of patent infections, challenges the prevailing notion that infection, sub-patent stages, and patent stages all happen within a single year. These observations raise the possibility that infections persist at low levels for an extended duration (&gt;1 year) before manifesting as patent infections </w:t>
      </w:r>
      <w:r w:rsidRPr="009819CE">
        <w:rPr>
          <w:rFonts w:cstheme="minorBidi"/>
        </w:rPr>
        <w:fldChar w:fldCharType="begin"/>
      </w:r>
      <w:r w:rsidR="00871B4F">
        <w:rPr>
          <w:rFonts w:cstheme="minorBidi"/>
        </w:rPr>
        <w:instrText xml:space="preserve"> ADDIN EN.CITE &lt;EndNote&gt;&lt;Cite&gt;&lt;Author&gt;Smith&lt;/Author&gt;&lt;Year&gt;2021&lt;/Year&gt;&lt;RecNum&gt;451&lt;/RecNum&gt;&lt;DisplayText&gt;(Smith, 2021)&lt;/DisplayText&gt;&lt;record&gt;&lt;rec-number&gt;451&lt;/rec-number&gt;&lt;foreign-keys&gt;&lt;key app="EN" db-id="sd9wrx9fj09rx3erprsx999o0r5aprvp2zse" timestamp="1687855901" guid="85a593e7-bd40-4333-b175-f638ca278e45"&gt;451&lt;/key&gt;&lt;/foreign-keys&gt;&lt;ref-type name="Thesis"&gt;32&lt;/ref-type&gt;&lt;contributors&gt;&lt;authors&gt;&lt;author&gt;Smith, Hazel&lt;/author&gt;&lt;/authors&gt;&lt;/contributors&gt;&lt;titles&gt;&lt;title&gt;&lt;style face="normal" font="default" size="100%"&gt;Norway lobster and &lt;/style&gt;&lt;style face="italic" font="default" size="100%"&gt;Hematodinium&lt;/style&gt;&lt;style face="normal" font="default" size="100%"&gt; sp. in the Clyde: modelling the population dynamics of a commercially important host-parasite system&lt;/style&gt;&lt;/title&gt;&lt;secondary-title&gt;Department of Mathematics and Statistics&lt;/secondary-title&gt;&lt;/titles&gt;&lt;pages&gt;1-197&lt;/pages&gt;&lt;volume&gt;PhD thesis&lt;/volume&gt;&lt;number&gt;T15833&lt;/number&gt;&lt;dates&gt;&lt;year&gt;2021&lt;/year&gt;&lt;/dates&gt;&lt;publisher&gt;University of Glasgow&lt;/publisher&gt;&lt;urls&gt;&lt;related-urls&gt;&lt;url&gt;https://stax.strath.ac.uk/concern/theses/cr56n0995&lt;/url&gt;&lt;/related-urls&gt;&lt;/urls&gt;&lt;electronic-resource-num&gt;10.48730/4mce-kf56&lt;/electronic-resource-num&gt;&lt;/record&gt;&lt;/Cite&gt;&lt;/EndNote&gt;</w:instrText>
      </w:r>
      <w:r w:rsidRPr="009819CE">
        <w:rPr>
          <w:rFonts w:cstheme="minorBidi"/>
        </w:rPr>
        <w:fldChar w:fldCharType="separate"/>
      </w:r>
      <w:r w:rsidR="00D50EFF" w:rsidRPr="00871B4F">
        <w:rPr>
          <w:rFonts w:cstheme="minorBidi"/>
          <w:noProof/>
        </w:rPr>
        <w:t>(</w:t>
      </w:r>
      <w:hyperlink w:anchor="_ENREF_294" w:tooltip="Smith, 2021 #451" w:history="1">
        <w:r w:rsidR="00950097" w:rsidRPr="00871B4F">
          <w:rPr>
            <w:rFonts w:cstheme="minorBidi"/>
            <w:noProof/>
          </w:rPr>
          <w:t>Smith, 2021</w:t>
        </w:r>
      </w:hyperlink>
      <w:r w:rsidR="00D50EFF" w:rsidRPr="00871B4F">
        <w:rPr>
          <w:rFonts w:cstheme="minorBidi"/>
          <w:noProof/>
        </w:rPr>
        <w:t>)</w:t>
      </w:r>
      <w:r w:rsidRPr="009819CE">
        <w:rPr>
          <w:rFonts w:cstheme="minorBidi"/>
        </w:rPr>
        <w:fldChar w:fldCharType="end"/>
      </w:r>
      <w:r w:rsidRPr="009819CE">
        <w:rPr>
          <w:rFonts w:cstheme="minorBidi"/>
        </w:rPr>
        <w:t>.</w:t>
      </w:r>
      <w:r w:rsidR="003A01FD" w:rsidRPr="009819CE">
        <w:rPr>
          <w:rFonts w:cstheme="minorBidi"/>
        </w:rPr>
        <w:t xml:space="preserve"> </w:t>
      </w:r>
      <w:r w:rsidR="00AD126D" w:rsidRPr="009819CE">
        <w:rPr>
          <w:rFonts w:cstheme="minorBidi"/>
        </w:rPr>
        <w:t xml:space="preserve"> </w:t>
      </w:r>
    </w:p>
    <w:p w14:paraId="04F0128C" w14:textId="3C336B4B" w:rsidR="008C59C4" w:rsidRPr="009819CE" w:rsidRDefault="009D03F4" w:rsidP="003A01FD">
      <w:pPr>
        <w:spacing w:before="0" w:after="0"/>
        <w:rPr>
          <w:rFonts w:cstheme="minorBidi"/>
        </w:rPr>
      </w:pPr>
      <w:r w:rsidRPr="009819CE">
        <w:rPr>
          <w:rFonts w:cstheme="minorBidi"/>
          <w:i/>
          <w:iCs/>
        </w:rPr>
        <w:t>Hematodinium</w:t>
      </w:r>
      <w:r w:rsidR="003A01FD" w:rsidRPr="009819CE">
        <w:rPr>
          <w:rFonts w:cstheme="minorBidi"/>
        </w:rPr>
        <w:t xml:space="preserve"> sp. prevalence in the CSA has not been monitored since the last study a decade ago </w:t>
      </w:r>
      <w:r w:rsidR="003A01FD" w:rsidRPr="009819CE">
        <w:rPr>
          <w:rFonts w:cstheme="minorBidi"/>
        </w:rPr>
        <w:fldChar w:fldCharType="begin"/>
      </w:r>
      <w:r w:rsidR="001976BB" w:rsidRPr="009819CE">
        <w:rPr>
          <w:rFonts w:cstheme="minorBidi"/>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3A01FD" w:rsidRPr="009819CE">
        <w:rPr>
          <w:rFonts w:cstheme="minorBidi"/>
        </w:rPr>
        <w:fldChar w:fldCharType="separate"/>
      </w:r>
      <w:r w:rsidR="003A01FD" w:rsidRPr="007268F5">
        <w:rPr>
          <w:rFonts w:cstheme="minorBidi"/>
        </w:rPr>
        <w:t>(</w:t>
      </w:r>
      <w:hyperlink w:anchor="_ENREF_29" w:tooltip="Beevers, 2012 #377" w:history="1">
        <w:r w:rsidR="00950097" w:rsidRPr="007268F5">
          <w:rPr>
            <w:rFonts w:cstheme="minorBidi"/>
          </w:rPr>
          <w:t>Beevers et al., 2012</w:t>
        </w:r>
      </w:hyperlink>
      <w:r w:rsidR="003A01FD" w:rsidRPr="007268F5">
        <w:rPr>
          <w:rFonts w:cstheme="minorBidi"/>
        </w:rPr>
        <w:t>)</w:t>
      </w:r>
      <w:r w:rsidR="003A01FD" w:rsidRPr="009819CE">
        <w:rPr>
          <w:rFonts w:cstheme="minorBidi"/>
        </w:rPr>
        <w:fldChar w:fldCharType="end"/>
      </w:r>
      <w:r w:rsidR="003A01FD" w:rsidRPr="009819CE">
        <w:rPr>
          <w:rFonts w:cstheme="minorBidi"/>
        </w:rPr>
        <w:t>, highlighting the need for updated data.</w:t>
      </w:r>
    </w:p>
    <w:p w14:paraId="66D261C2" w14:textId="77777777" w:rsidR="0099020B" w:rsidRPr="009819CE" w:rsidRDefault="0099020B" w:rsidP="008C59C4">
      <w:pPr>
        <w:spacing w:before="0" w:after="0"/>
        <w:rPr>
          <w:rFonts w:cstheme="minorBidi"/>
        </w:rPr>
      </w:pPr>
    </w:p>
    <w:p w14:paraId="36FA795C" w14:textId="77777777" w:rsidR="00512F79" w:rsidRPr="009819CE" w:rsidRDefault="00512F79" w:rsidP="008C59C4">
      <w:pPr>
        <w:spacing w:before="0" w:after="0"/>
        <w:rPr>
          <w:rFonts w:cstheme="minorBidi"/>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773A2" w:rsidRPr="00FA7D47" w14:paraId="1EF556DB" w14:textId="77777777" w:rsidTr="007D6607">
        <w:tc>
          <w:tcPr>
            <w:tcW w:w="5000" w:type="pct"/>
            <w:hideMark/>
          </w:tcPr>
          <w:p w14:paraId="5BF346F0" w14:textId="77777777" w:rsidR="002773A2" w:rsidRPr="009819CE" w:rsidRDefault="002773A2" w:rsidP="007D6607">
            <w:pPr>
              <w:spacing w:before="0" w:after="0"/>
              <w:jc w:val="center"/>
              <w:rPr>
                <w:rFonts w:cstheme="minorBidi"/>
                <w:lang w:val="en-GB"/>
                <w14:ligatures w14:val="none"/>
              </w:rPr>
            </w:pPr>
            <w:r w:rsidRPr="00FF34FE">
              <w:rPr>
                <w:rFonts w:cstheme="minorBidi"/>
                <w:noProof/>
              </w:rPr>
              <w:drawing>
                <wp:inline distT="0" distB="0" distL="0" distR="0" wp14:anchorId="55C9B6FF" wp14:editId="7B95BB59">
                  <wp:extent cx="4434080" cy="3167270"/>
                  <wp:effectExtent l="0" t="0" r="5080" b="0"/>
                  <wp:docPr id="93903283" name="Picture 4" descr="A graph showing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283" name="Picture 4" descr="A graph showing different colored lines&#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35820" cy="3168513"/>
                          </a:xfrm>
                          <a:prstGeom prst="rect">
                            <a:avLst/>
                          </a:prstGeom>
                          <a:noFill/>
                          <a:ln>
                            <a:noFill/>
                          </a:ln>
                        </pic:spPr>
                      </pic:pic>
                    </a:graphicData>
                  </a:graphic>
                </wp:inline>
              </w:drawing>
            </w:r>
          </w:p>
        </w:tc>
      </w:tr>
      <w:tr w:rsidR="002773A2" w:rsidRPr="00FA7D47" w14:paraId="589BBD9A" w14:textId="77777777" w:rsidTr="001D2CB5">
        <w:trPr>
          <w:trHeight w:val="962"/>
        </w:trPr>
        <w:tc>
          <w:tcPr>
            <w:tcW w:w="5000" w:type="pct"/>
            <w:hideMark/>
          </w:tcPr>
          <w:p w14:paraId="4511D817" w14:textId="606D65E7" w:rsidR="002773A2" w:rsidRPr="009819CE" w:rsidRDefault="002773A2" w:rsidP="007D6607">
            <w:pPr>
              <w:spacing w:before="0" w:after="0" w:line="240" w:lineRule="auto"/>
              <w:rPr>
                <w:rFonts w:eastAsia="Calibri" w:cstheme="minorBidi"/>
                <w:iCs/>
                <w:color w:val="000000"/>
                <w:sz w:val="22"/>
                <w:szCs w:val="22"/>
                <w:lang w:val="en-GB"/>
                <w14:ligatures w14:val="none"/>
              </w:rPr>
            </w:pPr>
            <w:bookmarkStart w:id="149" w:name="_Ref81590342"/>
            <w:bookmarkStart w:id="150" w:name="_Toc84492449"/>
            <w:bookmarkStart w:id="151" w:name="_Toc140068608"/>
            <w:bookmarkStart w:id="152" w:name="_Toc204106706"/>
            <w:r w:rsidRPr="009819CE">
              <w:rPr>
                <w:rFonts w:eastAsia="Calibri" w:cstheme="minorBidi"/>
                <w:b/>
                <w:iCs/>
                <w:color w:val="000000"/>
                <w:sz w:val="22"/>
                <w:szCs w:val="22"/>
                <w:lang w:val="en-GB"/>
                <w14:ligatures w14:val="none"/>
              </w:rPr>
              <w:t xml:space="preserve">Figure </w:t>
            </w:r>
            <w:r w:rsidRPr="007268F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STYLEREF 1 \s </w:instrText>
            </w:r>
            <w:r w:rsidRPr="007268F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w:t>
            </w:r>
            <w:r w:rsidRPr="007268F5">
              <w:rPr>
                <w:rFonts w:eastAsia="Calibri" w:cstheme="minorBidi"/>
                <w:iCs/>
                <w:color w:val="000000"/>
                <w:sz w:val="22"/>
                <w:szCs w:val="22"/>
              </w:rPr>
              <w:fldChar w:fldCharType="end"/>
            </w:r>
            <w:r w:rsidRPr="009819CE">
              <w:rPr>
                <w:rFonts w:eastAsia="Calibri" w:cstheme="minorBidi"/>
                <w:b/>
                <w:iCs/>
                <w:color w:val="000000"/>
                <w:sz w:val="22"/>
                <w:szCs w:val="22"/>
                <w:lang w:val="en-GB"/>
                <w14:ligatures w14:val="none"/>
              </w:rPr>
              <w:t>.</w:t>
            </w:r>
            <w:r w:rsidRPr="007268F5">
              <w:rPr>
                <w:rFonts w:eastAsia="Calibri" w:cstheme="minorBidi"/>
                <w:iCs/>
                <w:color w:val="000000"/>
                <w:sz w:val="22"/>
                <w:szCs w:val="22"/>
              </w:rPr>
              <w:fldChar w:fldCharType="begin"/>
            </w:r>
            <w:r w:rsidRPr="009819CE">
              <w:rPr>
                <w:rFonts w:eastAsia="Calibri" w:cstheme="minorBidi"/>
                <w:b/>
                <w:iCs/>
                <w:color w:val="000000"/>
                <w:sz w:val="22"/>
                <w:szCs w:val="22"/>
                <w:lang w:val="en-GB"/>
                <w14:ligatures w14:val="none"/>
              </w:rPr>
              <w:instrText xml:space="preserve"> SEQ Figure \* ARABIC \s 1 </w:instrText>
            </w:r>
            <w:r w:rsidRPr="007268F5">
              <w:rPr>
                <w:rFonts w:eastAsia="Calibri" w:cstheme="minorBidi"/>
                <w:iCs/>
                <w:color w:val="000000"/>
                <w:sz w:val="22"/>
                <w:szCs w:val="22"/>
              </w:rPr>
              <w:fldChar w:fldCharType="separate"/>
            </w:r>
            <w:r w:rsidR="008549FC">
              <w:rPr>
                <w:rFonts w:eastAsia="Calibri" w:cstheme="minorBidi"/>
                <w:b/>
                <w:iCs/>
                <w:noProof/>
                <w:color w:val="000000"/>
                <w:sz w:val="22"/>
                <w:szCs w:val="22"/>
                <w:lang w:val="en-GB"/>
                <w14:ligatures w14:val="none"/>
              </w:rPr>
              <w:t>16</w:t>
            </w:r>
            <w:r w:rsidRPr="007268F5">
              <w:rPr>
                <w:rFonts w:eastAsia="Calibri" w:cstheme="minorBidi"/>
                <w:iCs/>
                <w:color w:val="000000"/>
                <w:sz w:val="22"/>
                <w:szCs w:val="22"/>
              </w:rPr>
              <w:fldChar w:fldCharType="end"/>
            </w:r>
            <w:bookmarkEnd w:id="149"/>
            <w:r w:rsidRPr="009819CE">
              <w:rPr>
                <w:rFonts w:eastAsia="Calibri" w:cstheme="minorBidi"/>
                <w:iCs/>
                <w:color w:val="000000"/>
                <w:sz w:val="22"/>
                <w:szCs w:val="22"/>
                <w:lang w:val="en-GB"/>
                <w14:ligatures w14:val="none"/>
              </w:rPr>
              <w:t xml:space="preserve"> Prevalence of </w:t>
            </w:r>
            <w:r w:rsidR="009D03F4" w:rsidRPr="009819CE">
              <w:rPr>
                <w:rFonts w:eastAsia="Calibri" w:cstheme="minorBidi"/>
                <w:i/>
                <w:iCs/>
                <w:color w:val="000000"/>
                <w:sz w:val="22"/>
                <w:szCs w:val="22"/>
                <w:lang w:val="en-GB"/>
                <w14:ligatures w14:val="none"/>
              </w:rPr>
              <w:t>Hematodinium</w:t>
            </w:r>
            <w:r w:rsidRPr="009819CE">
              <w:rPr>
                <w:rFonts w:eastAsia="Calibri" w:cstheme="minorBidi"/>
                <w:iCs/>
                <w:color w:val="000000"/>
                <w:sz w:val="22"/>
                <w:szCs w:val="22"/>
                <w:lang w:val="en-GB"/>
                <w14:ligatures w14:val="none"/>
              </w:rPr>
              <w:t xml:space="preserve"> infection in the CSA as determined by PCR, ELISA and pleopod method (PM) of diagnosis. Adapted from: </w:t>
            </w:r>
            <w:bookmarkEnd w:id="150"/>
            <w:bookmarkEnd w:id="151"/>
            <w:r w:rsidR="00950097">
              <w:rPr>
                <w:rFonts w:eastAsia="Calibri" w:cstheme="minorBidi"/>
                <w:iCs/>
                <w:color w:val="000000"/>
                <w:sz w:val="22"/>
                <w:szCs w:val="22"/>
              </w:rPr>
              <w:fldChar w:fldCharType="begin"/>
            </w:r>
            <w:r w:rsidR="00950097">
              <w:rPr>
                <w:rFonts w:eastAsia="Calibri" w:cstheme="minorBidi"/>
                <w:iCs/>
                <w:color w:val="000000"/>
                <w:sz w:val="22"/>
                <w:szCs w:val="22"/>
                <w:lang w:val="en-GB"/>
                <w14:ligatures w14:val="none"/>
              </w:rPr>
              <w:instrText xml:space="preserve"> HYPERLINK \l "_ENREF_29" \o "Beevers, 2012 #377" </w:instrText>
            </w:r>
            <w:r w:rsidR="00950097">
              <w:rPr>
                <w:rFonts w:eastAsia="Calibri" w:cstheme="minorBidi"/>
                <w:iCs/>
                <w:color w:val="000000"/>
                <w:sz w:val="22"/>
                <w:szCs w:val="22"/>
              </w:rPr>
            </w:r>
            <w:r w:rsidR="00950097">
              <w:rPr>
                <w:rFonts w:eastAsia="Calibri" w:cstheme="minorBidi"/>
                <w:iCs/>
                <w:color w:val="000000"/>
                <w:sz w:val="22"/>
                <w:szCs w:val="22"/>
              </w:rPr>
              <w:fldChar w:fldCharType="separate"/>
            </w:r>
            <w:r w:rsidR="00950097" w:rsidRPr="007268F5">
              <w:rPr>
                <w:rFonts w:eastAsia="Calibri" w:cstheme="minorBidi"/>
                <w:iCs/>
                <w:color w:val="000000"/>
                <w:sz w:val="22"/>
                <w:szCs w:val="22"/>
              </w:rPr>
              <w:fldChar w:fldCharType="begin"/>
            </w:r>
            <w:r w:rsidR="00950097" w:rsidRPr="009819CE">
              <w:rPr>
                <w:rFonts w:eastAsia="Calibri" w:cstheme="minorBidi"/>
                <w:iCs/>
                <w:color w:val="000000"/>
                <w:sz w:val="22"/>
                <w:szCs w:val="22"/>
              </w:rPr>
              <w:instrText xml:space="preserve"> ADDIN EN.CITE &lt;EndNote&gt;&lt;Cite AuthorYear="1"&gt;&lt;Author&gt;Beevers&lt;/Author&gt;&lt;Year&gt;2012&lt;/Year&gt;&lt;RecNum&gt;377&lt;/RecNum&gt;&lt;DisplayText&gt;Beevers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950097" w:rsidRPr="007268F5">
              <w:rPr>
                <w:rFonts w:eastAsia="Calibri" w:cstheme="minorBidi"/>
                <w:iCs/>
                <w:color w:val="000000"/>
                <w:sz w:val="22"/>
                <w:szCs w:val="22"/>
              </w:rPr>
              <w:fldChar w:fldCharType="separate"/>
            </w:r>
            <w:r w:rsidR="00950097" w:rsidRPr="007268F5">
              <w:rPr>
                <w:rFonts w:eastAsia="Calibri" w:cstheme="minorBidi"/>
                <w:iCs/>
                <w:color w:val="000000"/>
                <w:sz w:val="22"/>
                <w:szCs w:val="22"/>
              </w:rPr>
              <w:t>Beevers et al. (2012)</w:t>
            </w:r>
            <w:r w:rsidR="00950097" w:rsidRPr="007268F5">
              <w:rPr>
                <w:rFonts w:eastAsia="Calibri" w:cstheme="minorBidi"/>
                <w:iCs/>
                <w:color w:val="000000"/>
                <w:sz w:val="22"/>
                <w:szCs w:val="22"/>
              </w:rPr>
              <w:fldChar w:fldCharType="end"/>
            </w:r>
            <w:r w:rsidR="00950097">
              <w:rPr>
                <w:rFonts w:eastAsia="Calibri" w:cstheme="minorBidi"/>
                <w:iCs/>
                <w:color w:val="000000"/>
                <w:sz w:val="22"/>
                <w:szCs w:val="22"/>
              </w:rPr>
              <w:fldChar w:fldCharType="end"/>
            </w:r>
            <w:r w:rsidRPr="009819CE">
              <w:rPr>
                <w:rFonts w:eastAsia="Calibri" w:cstheme="minorBidi"/>
                <w:iCs/>
                <w:color w:val="000000"/>
                <w:sz w:val="22"/>
                <w:szCs w:val="22"/>
                <w:lang w:val="en-GB"/>
                <w14:ligatures w14:val="none"/>
              </w:rPr>
              <w:t>.</w:t>
            </w:r>
            <w:bookmarkEnd w:id="152"/>
          </w:p>
        </w:tc>
      </w:tr>
    </w:tbl>
    <w:p w14:paraId="57C61B6E" w14:textId="77777777" w:rsidR="00F4035B" w:rsidRPr="009819CE" w:rsidRDefault="00F4035B" w:rsidP="002773A2">
      <w:pPr>
        <w:spacing w:before="0" w:after="0"/>
        <w:rPr>
          <w:rFonts w:cstheme="minorBidi"/>
          <w:lang w:eastAsia="en-US"/>
        </w:rPr>
      </w:pPr>
      <w:bookmarkStart w:id="153" w:name="_Toc94799247"/>
    </w:p>
    <w:p w14:paraId="118033C4" w14:textId="0C01BAFD" w:rsidR="002773A2" w:rsidRPr="009819CE" w:rsidRDefault="002773A2" w:rsidP="009C3F77">
      <w:pPr>
        <w:pStyle w:val="Heading2"/>
        <w:numPr>
          <w:ilvl w:val="1"/>
          <w:numId w:val="22"/>
        </w:numPr>
        <w:rPr>
          <w:rFonts w:cstheme="minorBidi"/>
          <w:i/>
          <w:iCs/>
        </w:rPr>
      </w:pPr>
      <w:bookmarkStart w:id="154" w:name="_Ref163488245"/>
      <w:bookmarkStart w:id="155" w:name="_Toc204106603"/>
      <w:bookmarkStart w:id="156" w:name="_Ref81645148"/>
      <w:bookmarkStart w:id="157" w:name="_Toc94799237"/>
      <w:bookmarkStart w:id="158" w:name="_Toc94799252"/>
      <w:bookmarkEnd w:id="75"/>
      <w:bookmarkEnd w:id="76"/>
      <w:bookmarkEnd w:id="153"/>
      <w:r w:rsidRPr="009819CE">
        <w:rPr>
          <w:rFonts w:cstheme="minorBidi"/>
        </w:rPr>
        <w:t xml:space="preserve">Effect of </w:t>
      </w:r>
      <w:r w:rsidR="009D03F4" w:rsidRPr="009819CE">
        <w:rPr>
          <w:rFonts w:cstheme="minorBidi"/>
          <w:i/>
        </w:rPr>
        <w:t>Hematodinium</w:t>
      </w:r>
      <w:r w:rsidRPr="009819CE">
        <w:rPr>
          <w:rFonts w:cstheme="minorBidi"/>
        </w:rPr>
        <w:t xml:space="preserve"> sp. in </w:t>
      </w:r>
      <w:r w:rsidR="00C31E47" w:rsidRPr="009819CE">
        <w:rPr>
          <w:rFonts w:cstheme="minorBidi"/>
          <w:i/>
          <w:iCs/>
        </w:rPr>
        <w:t>Nephrops</w:t>
      </w:r>
      <w:r w:rsidRPr="009819CE">
        <w:rPr>
          <w:rFonts w:cstheme="minorBidi"/>
          <w:i/>
          <w:iCs/>
        </w:rPr>
        <w:t xml:space="preserve"> norvegicus</w:t>
      </w:r>
      <w:bookmarkEnd w:id="154"/>
      <w:bookmarkEnd w:id="155"/>
    </w:p>
    <w:p w14:paraId="7E4E9D92" w14:textId="796E3B27" w:rsidR="002773A2" w:rsidRPr="009819CE" w:rsidRDefault="009D03F4" w:rsidP="009C3F77">
      <w:pPr>
        <w:pStyle w:val="Heading3"/>
        <w:numPr>
          <w:ilvl w:val="2"/>
          <w:numId w:val="22"/>
        </w:numPr>
        <w:rPr>
          <w:rFonts w:cstheme="minorBidi"/>
          <w:iCs/>
        </w:rPr>
      </w:pPr>
      <w:bookmarkStart w:id="159" w:name="_Toc204106604"/>
      <w:r w:rsidRPr="009819CE">
        <w:rPr>
          <w:rFonts w:cstheme="minorBidi"/>
          <w:i/>
          <w:iCs/>
        </w:rPr>
        <w:t>Hematodinium</w:t>
      </w:r>
      <w:r w:rsidR="002773A2" w:rsidRPr="009819CE">
        <w:rPr>
          <w:rFonts w:cstheme="minorBidi"/>
          <w:iCs/>
        </w:rPr>
        <w:t xml:space="preserve"> pathology in </w:t>
      </w:r>
      <w:r w:rsidR="00C31E47" w:rsidRPr="009819CE">
        <w:rPr>
          <w:rFonts w:cstheme="minorBidi"/>
          <w:i/>
        </w:rPr>
        <w:t>Nephrops</w:t>
      </w:r>
      <w:bookmarkEnd w:id="156"/>
      <w:bookmarkEnd w:id="157"/>
      <w:bookmarkEnd w:id="159"/>
    </w:p>
    <w:p w14:paraId="1ACA2D83" w14:textId="10DFDE25" w:rsidR="0035464C" w:rsidRPr="009819CE" w:rsidRDefault="00CF2931" w:rsidP="0035464C">
      <w:pPr>
        <w:spacing w:before="0" w:after="0"/>
        <w:rPr>
          <w:rFonts w:cstheme="minorBidi"/>
        </w:rPr>
      </w:pPr>
      <w:bookmarkStart w:id="160" w:name="_Toc94799238"/>
      <w:r w:rsidRPr="009819CE">
        <w:rPr>
          <w:rFonts w:cstheme="minorBidi"/>
          <w:iCs/>
        </w:rPr>
        <w:t xml:space="preserve">Infection by </w:t>
      </w:r>
      <w:r w:rsidR="009D03F4" w:rsidRPr="009819CE">
        <w:rPr>
          <w:rFonts w:cstheme="minorBidi"/>
          <w:i/>
        </w:rPr>
        <w:t>Hematodinium</w:t>
      </w:r>
      <w:r w:rsidRPr="009819CE">
        <w:rPr>
          <w:rFonts w:cstheme="minorBidi"/>
          <w:iCs/>
        </w:rPr>
        <w:t xml:space="preserve"> sp. induces a range of physiological and pathological changes in the haemolymph and tissues </w:t>
      </w:r>
      <w:r w:rsidR="0032390A" w:rsidRPr="009819CE">
        <w:rPr>
          <w:rFonts w:cstheme="minorBidi"/>
          <w:iCs/>
        </w:rPr>
        <w:t xml:space="preserve">in </w:t>
      </w:r>
      <w:r w:rsidR="00C31E47" w:rsidRPr="009819CE">
        <w:rPr>
          <w:rFonts w:cstheme="minorBidi"/>
          <w:i/>
        </w:rPr>
        <w:t>Nephrops</w:t>
      </w:r>
      <w:r w:rsidRPr="009819CE">
        <w:rPr>
          <w:rFonts w:cstheme="minorBidi"/>
          <w:iCs/>
        </w:rPr>
        <w:t xml:space="preserve">. As the infection progresses, the number of circulating haemocytes decreases, and negative biochemical alterations occur in the haemolymph </w:t>
      </w:r>
      <w:r w:rsidRPr="009819CE">
        <w:rPr>
          <w:rFonts w:cstheme="minorBidi"/>
          <w:iCs/>
        </w:rPr>
        <w:fldChar w:fldCharType="begin">
          <w:fldData xml:space="preserve">PEVuZE5vdGU+PENpdGU+PEF1dGhvcj5GaWVsZDwvQXV0aG9yPjxZZWFyPjE5OTU8L1llYXI+PFJl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</w:fldData>
        </w:fldChar>
      </w:r>
      <w:r w:rsidR="00283451">
        <w:rPr>
          <w:rFonts w:cstheme="minorBidi"/>
          <w:iCs/>
        </w:rPr>
        <w:instrText xml:space="preserve"> ADDIN EN.CITE </w:instrText>
      </w:r>
      <w:r w:rsidR="00283451">
        <w:rPr>
          <w:rFonts w:cstheme="minorBidi"/>
          <w:iCs/>
        </w:rPr>
        <w:fldChar w:fldCharType="begin">
          <w:fldData xml:space="preserve">PEVuZE5vdGU+PENpdGU+PEF1dGhvcj5GaWVsZDwvQXV0aG9yPjxZZWFyPjE5OTU8L1llYXI+PFJl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</w:fldData>
        </w:fldChar>
      </w:r>
      <w:r w:rsidR="00283451">
        <w:rPr>
          <w:rFonts w:cstheme="minorBidi"/>
          <w:iCs/>
        </w:rPr>
        <w:instrText xml:space="preserve"> ADDIN EN.CITE.DATA </w:instrText>
      </w:r>
      <w:r w:rsidR="00283451">
        <w:rPr>
          <w:rFonts w:cstheme="minorBidi"/>
          <w:iCs/>
        </w:rPr>
      </w:r>
      <w:r w:rsidR="00283451">
        <w:rPr>
          <w:rFonts w:cstheme="minorBidi"/>
          <w:iCs/>
        </w:rPr>
        <w:fldChar w:fldCharType="end"/>
      </w:r>
      <w:r w:rsidRPr="009819CE">
        <w:rPr>
          <w:rFonts w:cstheme="minorBidi"/>
          <w:iCs/>
        </w:rPr>
      </w:r>
      <w:r w:rsidRPr="009819CE">
        <w:rPr>
          <w:rFonts w:cstheme="minorBidi"/>
          <w:iCs/>
        </w:rPr>
        <w:fldChar w:fldCharType="separate"/>
      </w:r>
      <w:r w:rsidR="00283451">
        <w:rPr>
          <w:rFonts w:cstheme="minorBidi"/>
          <w:iCs/>
          <w:noProof/>
        </w:rPr>
        <w:t>(</w:t>
      </w:r>
      <w:hyperlink w:anchor="_ENREF_14" w:tooltip="Alimin, 2024 #1970" w:history="1">
        <w:r w:rsidR="00950097">
          <w:rPr>
            <w:rFonts w:cstheme="minorBidi"/>
            <w:iCs/>
            <w:noProof/>
          </w:rPr>
          <w:t>Alimin et al., 2024</w:t>
        </w:r>
      </w:hyperlink>
      <w:r w:rsidR="00283451">
        <w:rPr>
          <w:rFonts w:cstheme="minorBidi"/>
          <w:iCs/>
          <w:noProof/>
        </w:rPr>
        <w:t xml:space="preserve">; </w:t>
      </w:r>
      <w:hyperlink w:anchor="_ENREF_92" w:tooltip="Field, 1995 #101" w:history="1">
        <w:r w:rsidR="00950097">
          <w:rPr>
            <w:rFonts w:cstheme="minorBidi"/>
            <w:iCs/>
            <w:noProof/>
          </w:rPr>
          <w:t>Field and Appleton, 1995</w:t>
        </w:r>
      </w:hyperlink>
      <w:r w:rsidR="00283451">
        <w:rPr>
          <w:rFonts w:cstheme="minorBidi"/>
          <w:iCs/>
          <w:noProof/>
        </w:rPr>
        <w:t xml:space="preserve">; </w:t>
      </w:r>
      <w:hyperlink w:anchor="_ENREF_282" w:tooltip="Shields, 2000 #390" w:history="1">
        <w:r w:rsidR="00950097">
          <w:rPr>
            <w:rFonts w:cstheme="minorBidi"/>
            <w:iCs/>
            <w:noProof/>
          </w:rPr>
          <w:t>Shields and Squyars, 2000</w:t>
        </w:r>
      </w:hyperlink>
      <w:r w:rsidR="00283451">
        <w:rPr>
          <w:rFonts w:cstheme="minorBidi"/>
          <w:iCs/>
          <w:noProof/>
        </w:rPr>
        <w:t xml:space="preserve">; </w:t>
      </w:r>
      <w:hyperlink w:anchor="_ENREF_310" w:tooltip="Stentiford, 2005 #156" w:history="1">
        <w:r w:rsidR="00950097">
          <w:rPr>
            <w:rFonts w:cstheme="minorBidi"/>
            <w:iCs/>
            <w:noProof/>
          </w:rPr>
          <w:t>Stentiford and Shields, 2005</w:t>
        </w:r>
      </w:hyperlink>
      <w:r w:rsidR="00283451">
        <w:rPr>
          <w:rFonts w:cstheme="minorBidi"/>
          <w:iCs/>
          <w:noProof/>
        </w:rPr>
        <w:t>)</w:t>
      </w:r>
      <w:r w:rsidRPr="009819CE">
        <w:rPr>
          <w:rFonts w:cstheme="minorBidi"/>
          <w:iCs/>
        </w:rPr>
        <w:fldChar w:fldCharType="end"/>
      </w:r>
      <w:r w:rsidRPr="009819CE">
        <w:rPr>
          <w:rFonts w:cstheme="minorBidi"/>
          <w:iCs/>
        </w:rPr>
        <w:t xml:space="preserve">. Eventually, the haemolymph becomes densely populated with parasites, resulting in an elevated rate of oxygen demand, suppression of the haemolymph's oxygen-carrying capacity, and subsequent respiratory dysfunction </w:t>
      </w:r>
      <w:r w:rsidRPr="009819CE">
        <w:rPr>
          <w:rFonts w:cstheme="minorBidi"/>
          <w:iCs/>
        </w:rPr>
        <w:fldChar w:fldCharType="begin">
          <w:fldData xml:space="preserve">PEVuZE5vdGU+PENpdGU+PEF1dGhvcj5TaGllbGRzPC9BdXRob3I+PFllYXI+MjAwMzwvWWVhcj48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</w:fldData>
        </w:fldChar>
      </w:r>
      <w:r w:rsidR="001E2A24" w:rsidRPr="009819CE">
        <w:rPr>
          <w:rFonts w:cstheme="minorBidi"/>
          <w:iCs/>
        </w:rPr>
        <w:instrText xml:space="preserve"> ADDIN EN.CITE </w:instrText>
      </w:r>
      <w:r w:rsidR="001E2A24" w:rsidRPr="009819CE">
        <w:rPr>
          <w:rFonts w:cstheme="minorBidi"/>
          <w:iCs/>
        </w:rPr>
        <w:fldChar w:fldCharType="begin">
          <w:fldData xml:space="preserve">PEVuZE5vdGU+PENpdGU+PEF1dGhvcj5TaGllbGRzPC9BdXRob3I+PFllYXI+MjAwMzwvWWVhcj48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</w:fldData>
        </w:fldChar>
      </w:r>
      <w:r w:rsidR="001E2A24" w:rsidRPr="009819CE">
        <w:rPr>
          <w:rFonts w:cstheme="minorBidi"/>
          <w:iCs/>
        </w:rPr>
        <w:instrText xml:space="preserve"> ADDIN EN.CITE.DATA </w:instrText>
      </w:r>
      <w:r w:rsidR="001E2A24" w:rsidRPr="009819CE">
        <w:rPr>
          <w:rFonts w:cstheme="minorBidi"/>
          <w:iCs/>
        </w:rPr>
      </w:r>
      <w:r w:rsidR="001E2A24" w:rsidRPr="009819CE">
        <w:rPr>
          <w:rFonts w:cstheme="minorBidi"/>
          <w:iCs/>
        </w:rPr>
        <w:fldChar w:fldCharType="end"/>
      </w:r>
      <w:r w:rsidRPr="009819CE">
        <w:rPr>
          <w:rFonts w:cstheme="minorBidi"/>
          <w:iCs/>
        </w:rPr>
      </w:r>
      <w:r w:rsidRPr="009819CE">
        <w:rPr>
          <w:rFonts w:cstheme="minorBidi"/>
          <w:iCs/>
        </w:rPr>
        <w:fldChar w:fldCharType="separate"/>
      </w:r>
      <w:r w:rsidR="00D50EFF" w:rsidRPr="007268F5">
        <w:rPr>
          <w:rFonts w:cstheme="minorBidi"/>
          <w:iCs/>
        </w:rPr>
        <w:t>(</w:t>
      </w:r>
      <w:hyperlink w:anchor="_ENREF_281" w:tooltip="Shields, 2003 #142" w:history="1">
        <w:r w:rsidR="00950097" w:rsidRPr="007268F5">
          <w:rPr>
            <w:rFonts w:cstheme="minorBidi"/>
            <w:iCs/>
          </w:rPr>
          <w:t>Shields et al., 2003</w:t>
        </w:r>
      </w:hyperlink>
      <w:r w:rsidR="00D50EFF" w:rsidRPr="007268F5">
        <w:rPr>
          <w:rFonts w:cstheme="minorBidi"/>
          <w:iCs/>
        </w:rPr>
        <w:t xml:space="preserve">; </w:t>
      </w:r>
      <w:hyperlink w:anchor="_ENREF_321" w:tooltip="Taylor, 1996 #353" w:history="1">
        <w:r w:rsidR="00950097" w:rsidRPr="007268F5">
          <w:rPr>
            <w:rFonts w:cstheme="minorBidi"/>
            <w:iCs/>
          </w:rPr>
          <w:t>Taylor et al., 1996</w:t>
        </w:r>
      </w:hyperlink>
      <w:r w:rsidR="00D50EFF" w:rsidRPr="007268F5">
        <w:rPr>
          <w:rFonts w:cstheme="minorBidi"/>
          <w:iCs/>
        </w:rPr>
        <w:t>)</w:t>
      </w:r>
      <w:r w:rsidRPr="009819CE">
        <w:rPr>
          <w:rFonts w:cstheme="minorBidi"/>
          <w:iCs/>
        </w:rPr>
        <w:fldChar w:fldCharType="end"/>
      </w:r>
      <w:r w:rsidRPr="009819CE">
        <w:rPr>
          <w:rFonts w:cstheme="minorBidi"/>
          <w:iCs/>
        </w:rPr>
        <w:t xml:space="preserve">. Additionally, </w:t>
      </w:r>
      <w:r w:rsidR="009D03F4" w:rsidRPr="009819CE">
        <w:rPr>
          <w:rFonts w:cstheme="minorBidi"/>
          <w:i/>
        </w:rPr>
        <w:t>Hematodinium</w:t>
      </w:r>
      <w:r w:rsidR="00185E4E" w:rsidRPr="009819CE">
        <w:rPr>
          <w:rFonts w:cstheme="minorBidi"/>
          <w:iCs/>
        </w:rPr>
        <w:t xml:space="preserve"> sp.</w:t>
      </w:r>
      <w:r w:rsidRPr="009819CE">
        <w:rPr>
          <w:rFonts w:cstheme="minorBidi"/>
          <w:iCs/>
        </w:rPr>
        <w:t xml:space="preserve"> infection affects carbohydrate, lipid, and amino acid metabolism </w:t>
      </w:r>
      <w:r w:rsidRPr="009819CE">
        <w:rPr>
          <w:rFonts w:cstheme="minorBidi"/>
          <w:iCs/>
        </w:rPr>
        <w:fldChar w:fldCharType="begin"/>
      </w:r>
      <w:r w:rsidR="001E2A24" w:rsidRPr="009819CE">
        <w:rPr>
          <w:rFonts w:cstheme="minorBidi"/>
          <w:iCs/>
        </w:rPr>
        <w:instrText xml:space="preserve"> ADDIN EN.CITE &lt;EndNote&gt;&lt;Cite&gt;&lt;Author&gt;Shields&lt;/Author&gt;&lt;Year&gt;2003&lt;/Year&gt;&lt;RecNum&gt;142&lt;/RecNum&gt;&lt;DisplayText&gt;(Shields et al., 2003)&lt;/DisplayText&gt;&lt;record&gt;&lt;rec-number&gt;142&lt;/rec-number&gt;&lt;foreign-keys&gt;&lt;key app="EN" db-id="sd9wrx9fj09rx3erprsx999o0r5aprvp2zse" timestamp="1687855901" guid="b7c3367c-ed40-4ccf-82bb-314efeb1bc9b"&gt;142&lt;/key&gt;&lt;/foreign-keys&gt;&lt;ref-type name="Journal Article"&gt;17&lt;/ref-type&gt;&lt;contributors&gt;&lt;authors&gt;&lt;author&gt;Shields, Jeffrey D.&lt;/author&gt;&lt;author&gt;Scanlon, Christine&lt;/author&gt;&lt;author&gt;Volety, Aswani&lt;/author&gt;&lt;/authors&gt;&lt;/contributors&gt;&lt;titles&gt;&lt;title&gt;&lt;style face="normal" font="default" size="100%"&gt;Aspects of the pathophysiology of blue crabs, &lt;/style&gt;&lt;style face="italic" font="default" size="100%"&gt;Callinectes sapidus&lt;/style&gt;&lt;style face="normal" font="default" size="100%"&gt;, infected with the parasitic dinoflagellate &lt;/style&gt;&lt;style face="italic" font="default" size="100%"&gt;Hematodinium perezi&lt;/style&gt;&lt;/title&gt;&lt;secondary-title&gt;Bulletin of Marine Science&lt;/secondary-title&gt;&lt;/titles&gt;&lt;periodical&gt;&lt;full-title&gt;Bulletin of Marine Science&lt;/full-title&gt;&lt;/periodical&gt;&lt;pages&gt;519-535&lt;/pages&gt;&lt;volume&gt;72&lt;/volume&gt;&lt;number&gt;2&lt;/number&gt;&lt;dates&gt;&lt;year&gt;2003&lt;/year&gt;&lt;/dates&gt;&lt;urls&gt;&lt;related-urls&gt;&lt;url&gt;https://core.ac.uk/download/pdf/235420046.pdf&lt;/url&gt;&lt;/related-urls&gt;&lt;/urls&gt;&lt;/record&gt;&lt;/Cite&gt;&lt;/EndNote&gt;</w:instrText>
      </w:r>
      <w:r w:rsidRPr="009819CE">
        <w:rPr>
          <w:rFonts w:cstheme="minorBidi"/>
          <w:iCs/>
        </w:rPr>
        <w:fldChar w:fldCharType="separate"/>
      </w:r>
      <w:r w:rsidR="00D50EFF" w:rsidRPr="007268F5">
        <w:rPr>
          <w:rFonts w:cstheme="minorBidi"/>
          <w:iCs/>
        </w:rPr>
        <w:t>(</w:t>
      </w:r>
      <w:hyperlink w:anchor="_ENREF_281" w:tooltip="Shields, 2003 #142" w:history="1">
        <w:r w:rsidR="00950097" w:rsidRPr="007268F5">
          <w:rPr>
            <w:rFonts w:cstheme="minorBidi"/>
            <w:iCs/>
          </w:rPr>
          <w:t>Shields et al., 2003</w:t>
        </w:r>
      </w:hyperlink>
      <w:r w:rsidR="00D50EFF" w:rsidRPr="007268F5">
        <w:rPr>
          <w:rFonts w:cstheme="minorBidi"/>
          <w:iCs/>
        </w:rPr>
        <w:t>)</w:t>
      </w:r>
      <w:r w:rsidRPr="009819CE">
        <w:rPr>
          <w:rFonts w:cstheme="minorBidi"/>
          <w:iCs/>
        </w:rPr>
        <w:fldChar w:fldCharType="end"/>
      </w:r>
      <w:r w:rsidRPr="009819CE">
        <w:rPr>
          <w:rFonts w:cstheme="minorBidi"/>
          <w:iCs/>
        </w:rPr>
        <w:t xml:space="preserve">. In advanced stages of the infection, parasites consume substantial amounts of nutrients from the host, resulting in significantly reduced glycogen levels in the muscle and hepatopancreas </w:t>
      </w:r>
      <w:r w:rsidRPr="009819CE">
        <w:rPr>
          <w:rFonts w:cstheme="minorBidi"/>
          <w:iCs/>
        </w:rPr>
        <w:fldChar w:fldCharType="begin">
          <w:fldData xml:space="preserve">PEVuZE5vdGU+PENpdGU+PEF1dGhvcj5TdGVudGlmb3JkPC9BdXRob3I+PFllYXI+MjAwMTwvWWVh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</w:fldData>
        </w:fldChar>
      </w:r>
      <w:r w:rsidR="00ED1A9E" w:rsidRPr="009819CE">
        <w:rPr>
          <w:rFonts w:cstheme="minorBidi"/>
          <w:iCs/>
        </w:rPr>
        <w:instrText xml:space="preserve"> ADDIN EN.CITE </w:instrText>
      </w:r>
      <w:r w:rsidR="00ED1A9E" w:rsidRPr="009819CE">
        <w:rPr>
          <w:rFonts w:cstheme="minorBidi"/>
          <w:iCs/>
        </w:rPr>
        <w:fldChar w:fldCharType="begin">
          <w:fldData xml:space="preserve">PEVuZE5vdGU+PENpdGU+PEF1dGhvcj5TdGVudGlmb3JkPC9BdXRob3I+PFllYXI+MjAwMTwvWWVh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</w:fldData>
        </w:fldChar>
      </w:r>
      <w:r w:rsidR="00ED1A9E" w:rsidRPr="009819CE">
        <w:rPr>
          <w:rFonts w:cstheme="minorBidi"/>
          <w:iCs/>
        </w:rPr>
        <w:instrText xml:space="preserve"> ADDIN EN.CITE.DATA </w:instrText>
      </w:r>
      <w:r w:rsidR="00ED1A9E" w:rsidRPr="009819CE">
        <w:rPr>
          <w:rFonts w:cstheme="minorBidi"/>
          <w:iCs/>
        </w:rPr>
      </w:r>
      <w:r w:rsidR="00ED1A9E" w:rsidRPr="009819CE">
        <w:rPr>
          <w:rFonts w:cstheme="minorBidi"/>
          <w:iCs/>
        </w:rPr>
        <w:fldChar w:fldCharType="end"/>
      </w:r>
      <w:r w:rsidRPr="009819CE">
        <w:rPr>
          <w:rFonts w:cstheme="minorBidi"/>
          <w:iCs/>
        </w:rPr>
      </w:r>
      <w:r w:rsidRPr="009819CE">
        <w:rPr>
          <w:rFonts w:cstheme="minorBidi"/>
          <w:iCs/>
        </w:rPr>
        <w:fldChar w:fldCharType="separate"/>
      </w:r>
      <w:r w:rsidR="00D50EFF" w:rsidRPr="007268F5">
        <w:rPr>
          <w:rFonts w:cstheme="minorBidi"/>
          <w:iCs/>
        </w:rPr>
        <w:t>(</w:t>
      </w:r>
      <w:hyperlink w:anchor="_ENREF_300" w:tooltip="Stentiford, 2001 #368" w:history="1">
        <w:r w:rsidR="00950097" w:rsidRPr="007268F5">
          <w:rPr>
            <w:rFonts w:cstheme="minorBidi"/>
            <w:iCs/>
          </w:rPr>
          <w:t>Stentiford et al., 2001b</w:t>
        </w:r>
      </w:hyperlink>
      <w:r w:rsidR="00D50EFF" w:rsidRPr="007268F5">
        <w:rPr>
          <w:rFonts w:cstheme="minorBidi"/>
          <w:iCs/>
        </w:rPr>
        <w:t xml:space="preserve">; </w:t>
      </w:r>
      <w:hyperlink w:anchor="_ENREF_308" w:tooltip="Stentiford, 2000 #575" w:history="1">
        <w:r w:rsidR="00950097" w:rsidRPr="007268F5">
          <w:rPr>
            <w:rFonts w:cstheme="minorBidi"/>
            <w:iCs/>
          </w:rPr>
          <w:t>Stentiford et al., 2000b</w:t>
        </w:r>
      </w:hyperlink>
      <w:r w:rsidR="00D50EFF" w:rsidRPr="007268F5">
        <w:rPr>
          <w:rFonts w:cstheme="minorBidi"/>
          <w:iCs/>
        </w:rPr>
        <w:t>)</w:t>
      </w:r>
      <w:r w:rsidRPr="009819CE">
        <w:rPr>
          <w:rFonts w:cstheme="minorBidi"/>
          <w:iCs/>
        </w:rPr>
        <w:fldChar w:fldCharType="end"/>
      </w:r>
      <w:r w:rsidRPr="009819CE">
        <w:rPr>
          <w:rFonts w:cstheme="minorBidi"/>
          <w:iCs/>
        </w:rPr>
        <w:t xml:space="preserve">. </w:t>
      </w:r>
      <w:r w:rsidR="00D60C08" w:rsidRPr="009819CE">
        <w:rPr>
          <w:rFonts w:cstheme="minorBidi"/>
          <w:iCs/>
        </w:rPr>
        <w:t>M</w:t>
      </w:r>
      <w:r w:rsidR="0035464C" w:rsidRPr="009819CE">
        <w:rPr>
          <w:rFonts w:cstheme="minorBidi"/>
        </w:rPr>
        <w:t xml:space="preserve">arine dinoflagellates, including </w:t>
      </w:r>
      <w:r w:rsidR="009D03F4" w:rsidRPr="009819CE">
        <w:rPr>
          <w:rFonts w:cstheme="minorBidi"/>
          <w:i/>
          <w:iCs/>
        </w:rPr>
        <w:t>Hematodinium</w:t>
      </w:r>
      <w:r w:rsidR="0035464C" w:rsidRPr="009819CE">
        <w:rPr>
          <w:rFonts w:cstheme="minorBidi"/>
        </w:rPr>
        <w:t xml:space="preserve"> sp., rely on lipids for essential functions. </w:t>
      </w:r>
      <w:r w:rsidR="00F6019E" w:rsidRPr="009819CE">
        <w:rPr>
          <w:rFonts w:cstheme="minorBidi"/>
        </w:rPr>
        <w:t>More generally, in dinoflagellates, l</w:t>
      </w:r>
      <w:r w:rsidR="0035464C" w:rsidRPr="009819CE">
        <w:rPr>
          <w:rFonts w:cstheme="minorBidi"/>
        </w:rPr>
        <w:t xml:space="preserve">ipids contribute to structural stability, metabolic activities, and adaptive functions </w:t>
      </w:r>
      <w:r w:rsidR="0035464C" w:rsidRPr="009819CE">
        <w:rPr>
          <w:rFonts w:cstheme="minorBidi"/>
        </w:rPr>
        <w:fldChar w:fldCharType="begin">
          <w:fldData xml:space="preserve">PEVuZE5vdGU+PENpdGU+PEF1dGhvcj5XaXNlY2F2ZXI8L0F1dGhvcj48WWVhcj4yMDExPC9ZZWFy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PEVuZE5vdGU+PENpdGU+PEF1dGhvcj5XaXNlY2F2ZXI8L0F1dGhvcj48WWVhcj4yMDExPC9ZZWFy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0035464C" w:rsidRPr="009819CE">
        <w:rPr>
          <w:rFonts w:cstheme="minorBidi"/>
        </w:rPr>
      </w:r>
      <w:r w:rsidR="0035464C" w:rsidRPr="009819CE">
        <w:rPr>
          <w:rFonts w:cstheme="minorBidi"/>
        </w:rPr>
        <w:fldChar w:fldCharType="separate"/>
      </w:r>
      <w:r w:rsidR="00D50EFF" w:rsidRPr="009819CE">
        <w:rPr>
          <w:rFonts w:cstheme="minorBidi"/>
        </w:rPr>
        <w:t>(</w:t>
      </w:r>
      <w:hyperlink w:anchor="_ENREF_20" w:tooltip="Aranda, 2016 #1851" w:history="1">
        <w:r w:rsidR="00950097" w:rsidRPr="009819CE">
          <w:rPr>
            <w:rFonts w:cstheme="minorBidi"/>
          </w:rPr>
          <w:t>Aranda et al., 2016</w:t>
        </w:r>
      </w:hyperlink>
      <w:r w:rsidR="00D50EFF" w:rsidRPr="009819CE">
        <w:rPr>
          <w:rFonts w:cstheme="minorBidi"/>
        </w:rPr>
        <w:t xml:space="preserve">; </w:t>
      </w:r>
      <w:hyperlink w:anchor="_ENREF_358" w:tooltip="Wisecaver, 2011 #1850" w:history="1">
        <w:r w:rsidR="00950097" w:rsidRPr="009819CE">
          <w:rPr>
            <w:rFonts w:cstheme="minorBidi"/>
          </w:rPr>
          <w:t>Wisecaver and Hackett, 2011</w:t>
        </w:r>
      </w:hyperlink>
      <w:r w:rsidR="00D50EFF" w:rsidRPr="009819CE">
        <w:rPr>
          <w:rFonts w:cstheme="minorBidi"/>
        </w:rPr>
        <w:t>)</w:t>
      </w:r>
      <w:r w:rsidR="0035464C" w:rsidRPr="009819CE">
        <w:rPr>
          <w:rFonts w:cstheme="minorBidi"/>
        </w:rPr>
        <w:fldChar w:fldCharType="end"/>
      </w:r>
      <w:r w:rsidR="0035464C" w:rsidRPr="009819CE">
        <w:rPr>
          <w:rFonts w:cstheme="minorBidi"/>
        </w:rPr>
        <w:t xml:space="preserve">. Notably, lipid-like droplets in </w:t>
      </w:r>
      <w:r w:rsidR="009D03F4" w:rsidRPr="009819CE">
        <w:rPr>
          <w:rFonts w:cstheme="minorBidi"/>
          <w:i/>
          <w:iCs/>
        </w:rPr>
        <w:t>Hematodinium</w:t>
      </w:r>
      <w:r w:rsidR="0035464C" w:rsidRPr="009819CE">
        <w:rPr>
          <w:rFonts w:cstheme="minorBidi"/>
        </w:rPr>
        <w:t xml:space="preserve"> sp. spores suggest potential energy reserves during transition to seawater </w:t>
      </w:r>
      <w:r w:rsidR="0035464C" w:rsidRPr="009819CE">
        <w:rPr>
          <w:rFonts w:cstheme="minorBidi"/>
          <w:shd w:val="clear" w:color="auto" w:fill="FFFFFF"/>
        </w:rPr>
        <w:fldChar w:fldCharType="begin">
          <w:fldData xml:space="preserve">PEVuZE5vdGU+PENpdGU+PEF1dGhvcj5BcHBsZXRvbjwvQXV0aG9yPjxZZWFyPjE5OTY8L1llYXI+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</w:fldData>
        </w:fldChar>
      </w:r>
      <w:r w:rsidR="005F31D5">
        <w:rPr>
          <w:rFonts w:cstheme="minorBidi"/>
          <w:shd w:val="clear" w:color="auto" w:fill="FFFFFF"/>
        </w:rPr>
        <w:instrText xml:space="preserve"> ADDIN EN.CITE </w:instrText>
      </w:r>
      <w:r w:rsidR="005F31D5">
        <w:rPr>
          <w:rFonts w:cstheme="minorBidi"/>
          <w:shd w:val="clear" w:color="auto" w:fill="FFFFFF"/>
        </w:rPr>
        <w:fldChar w:fldCharType="begin">
          <w:fldData xml:space="preserve">PEVuZE5vdGU+PENpdGU+PEF1dGhvcj5BcHBsZXRvbjwvQXV0aG9yPjxZZWFyPjE5OTY8L1llYXI+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</w:fldData>
        </w:fldChar>
      </w:r>
      <w:r w:rsidR="005F31D5">
        <w:rPr>
          <w:rFonts w:cstheme="minorBidi"/>
          <w:shd w:val="clear" w:color="auto" w:fill="FFFFFF"/>
        </w:rPr>
        <w:instrText xml:space="preserve"> ADDIN EN.CITE.DATA </w:instrText>
      </w:r>
      <w:r w:rsidR="005F31D5">
        <w:rPr>
          <w:rFonts w:cstheme="minorBidi"/>
          <w:shd w:val="clear" w:color="auto" w:fill="FFFFFF"/>
        </w:rPr>
      </w:r>
      <w:r w:rsidR="005F31D5">
        <w:rPr>
          <w:rFonts w:cstheme="minorBidi"/>
          <w:shd w:val="clear" w:color="auto" w:fill="FFFFFF"/>
        </w:rPr>
        <w:fldChar w:fldCharType="end"/>
      </w:r>
      <w:r w:rsidR="0035464C" w:rsidRPr="009819CE">
        <w:rPr>
          <w:rFonts w:cstheme="minorBidi"/>
          <w:shd w:val="clear" w:color="auto" w:fill="FFFFFF"/>
        </w:rPr>
      </w:r>
      <w:r w:rsidR="0035464C" w:rsidRPr="009819CE">
        <w:rPr>
          <w:rFonts w:cstheme="minorBidi"/>
          <w:shd w:val="clear" w:color="auto" w:fill="FFFFFF"/>
        </w:rPr>
        <w:fldChar w:fldCharType="separate"/>
      </w:r>
      <w:r w:rsidR="00D50EFF" w:rsidRPr="005F31D5">
        <w:rPr>
          <w:rFonts w:cstheme="minorBidi"/>
          <w:noProof/>
          <w:shd w:val="clear" w:color="auto" w:fill="FFFFFF"/>
        </w:rPr>
        <w:t>(</w:t>
      </w:r>
      <w:hyperlink w:anchor="_ENREF_16" w:tooltip="Appleton, 1996 #108" w:history="1">
        <w:r w:rsidR="00950097" w:rsidRPr="005F31D5">
          <w:rPr>
            <w:rFonts w:cstheme="minorBidi"/>
            <w:noProof/>
            <w:shd w:val="clear" w:color="auto" w:fill="FFFFFF"/>
          </w:rPr>
          <w:t>Appleton, 1996</w:t>
        </w:r>
      </w:hyperlink>
      <w:r w:rsidR="00D50EFF" w:rsidRPr="005F31D5">
        <w:rPr>
          <w:rFonts w:cstheme="minorBidi"/>
          <w:noProof/>
          <w:shd w:val="clear" w:color="auto" w:fill="FFFFFF"/>
        </w:rPr>
        <w:t xml:space="preserve">; </w:t>
      </w:r>
      <w:hyperlink w:anchor="_ENREF_217" w:tooltip="Meyers, 1987 #428" w:history="1">
        <w:r w:rsidR="00950097" w:rsidRPr="005F31D5">
          <w:rPr>
            <w:rFonts w:cstheme="minorBidi"/>
            <w:noProof/>
            <w:shd w:val="clear" w:color="auto" w:fill="FFFFFF"/>
          </w:rPr>
          <w:t>Meyers et al., 1987</w:t>
        </w:r>
      </w:hyperlink>
      <w:r w:rsidR="00D50EFF" w:rsidRPr="005F31D5">
        <w:rPr>
          <w:rFonts w:cstheme="minorBidi"/>
          <w:noProof/>
          <w:shd w:val="clear" w:color="auto" w:fill="FFFFFF"/>
        </w:rPr>
        <w:t>)</w:t>
      </w:r>
      <w:r w:rsidR="0035464C" w:rsidRPr="009819CE">
        <w:rPr>
          <w:rFonts w:cstheme="minorBidi"/>
          <w:shd w:val="clear" w:color="auto" w:fill="FFFFFF"/>
        </w:rPr>
        <w:fldChar w:fldCharType="end"/>
      </w:r>
      <w:r w:rsidR="0035464C" w:rsidRPr="009819CE">
        <w:rPr>
          <w:rFonts w:cstheme="minorBidi"/>
        </w:rPr>
        <w:t xml:space="preserve">, </w:t>
      </w:r>
      <w:r w:rsidR="00C252E4" w:rsidRPr="009819CE">
        <w:rPr>
          <w:rFonts w:cstheme="minorBidi"/>
        </w:rPr>
        <w:t>and potential involvement in</w:t>
      </w:r>
      <w:r w:rsidR="00256FDF" w:rsidRPr="009819CE">
        <w:rPr>
          <w:rFonts w:cstheme="minorBidi"/>
        </w:rPr>
        <w:t xml:space="preserve"> </w:t>
      </w:r>
      <w:r w:rsidR="00DB21BF" w:rsidRPr="009819CE">
        <w:rPr>
          <w:rFonts w:cstheme="minorBidi"/>
        </w:rPr>
        <w:t>buoyancy</w:t>
      </w:r>
      <w:r w:rsidR="0035464C" w:rsidRPr="009819CE">
        <w:rPr>
          <w:rFonts w:cstheme="minorBidi"/>
        </w:rPr>
        <w:t xml:space="preserve">. Furthermore, </w:t>
      </w:r>
      <w:hyperlink w:anchor="_ENREF_28" w:tooltip="Beevers, 2010 #247" w:history="1">
        <w:r w:rsidR="00950097" w:rsidRPr="009819CE">
          <w:rPr>
            <w:rFonts w:cstheme="minorBidi"/>
          </w:rPr>
          <w:fldChar w:fldCharType="begin"/>
        </w:r>
        <w:r w:rsidR="00950097" w:rsidRPr="009819CE">
          <w:rPr>
            <w:rFonts w:cstheme="minorBidi"/>
          </w:rPr>
          <w:instrText xml:space="preserve"> ADDIN EN.CITE &lt;EndNote&gt;&lt;Cite AuthorYear="1"&gt;&lt;Author&gt;Beevers&lt;/Author&gt;&lt;Year&gt;2010&lt;/Year&gt;&lt;RecNum&gt;247&lt;/RecNum&gt;&lt;DisplayText&gt;Beevers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00950097" w:rsidRPr="009819CE">
          <w:rPr>
            <w:rFonts w:cstheme="minorBidi"/>
          </w:rPr>
          <w:fldChar w:fldCharType="separate"/>
        </w:r>
        <w:r w:rsidR="00950097" w:rsidRPr="007268F5">
          <w:rPr>
            <w:rFonts w:cstheme="minorBidi"/>
          </w:rPr>
          <w:t>Beevers (2010)</w:t>
        </w:r>
        <w:r w:rsidR="00950097" w:rsidRPr="009819CE">
          <w:rPr>
            <w:rFonts w:cstheme="minorBidi"/>
          </w:rPr>
          <w:fldChar w:fldCharType="end"/>
        </w:r>
      </w:hyperlink>
      <w:r w:rsidR="0035464C" w:rsidRPr="009819CE">
        <w:rPr>
          <w:rFonts w:cstheme="minorBidi"/>
        </w:rPr>
        <w:t xml:space="preserve"> study on the fatty acid composition revealed remarkable similarities in the profiles of </w:t>
      </w:r>
      <w:r w:rsidR="009D03F4" w:rsidRPr="009819CE">
        <w:rPr>
          <w:rFonts w:cstheme="minorBidi"/>
          <w:i/>
          <w:iCs/>
        </w:rPr>
        <w:t>Hematodinium</w:t>
      </w:r>
      <w:r w:rsidR="0035464C" w:rsidRPr="009819CE">
        <w:rPr>
          <w:rFonts w:cstheme="minorBidi"/>
        </w:rPr>
        <w:t xml:space="preserve"> sp. macrospores and </w:t>
      </w:r>
      <w:r w:rsidR="00C31E47" w:rsidRPr="009819CE">
        <w:rPr>
          <w:rFonts w:cstheme="minorBidi"/>
          <w:i/>
          <w:iCs/>
        </w:rPr>
        <w:t>Nephrops</w:t>
      </w:r>
      <w:r w:rsidR="0035464C" w:rsidRPr="009819CE">
        <w:rPr>
          <w:rFonts w:cstheme="minorBidi"/>
        </w:rPr>
        <w:t xml:space="preserve"> hepatopancreas. This suggests a potential reliance of </w:t>
      </w:r>
      <w:r w:rsidR="009D03F4" w:rsidRPr="009819CE">
        <w:rPr>
          <w:rFonts w:cstheme="minorBidi"/>
          <w:i/>
          <w:iCs/>
        </w:rPr>
        <w:t>Hematodinium</w:t>
      </w:r>
      <w:r w:rsidR="0035464C" w:rsidRPr="009819CE">
        <w:rPr>
          <w:rFonts w:cstheme="minorBidi"/>
        </w:rPr>
        <w:t xml:space="preserve"> sp. on scavenging fatty acids from its host.</w:t>
      </w:r>
    </w:p>
    <w:p w14:paraId="7AEBC0B3" w14:textId="3114ED70" w:rsidR="00CF2931" w:rsidRPr="009819CE" w:rsidRDefault="00CF2931" w:rsidP="00CF2931">
      <w:pPr>
        <w:spacing w:before="0" w:after="0"/>
        <w:rPr>
          <w:rFonts w:cstheme="minorBidi"/>
          <w:iCs/>
        </w:rPr>
      </w:pPr>
    </w:p>
    <w:p w14:paraId="414C83CB" w14:textId="0F7444A2" w:rsidR="00CF2931" w:rsidRPr="009819CE" w:rsidRDefault="00CF2931" w:rsidP="00CF2931">
      <w:pPr>
        <w:spacing w:before="0" w:after="0"/>
        <w:rPr>
          <w:rFonts w:cstheme="minorBidi"/>
        </w:rPr>
      </w:pPr>
      <w:r w:rsidRPr="009819CE">
        <w:rPr>
          <w:rFonts w:cstheme="minorBidi"/>
          <w:iCs/>
        </w:rPr>
        <w:t xml:space="preserve">Histopathological examinations have revealed severe tissue alterations and the presence of </w:t>
      </w:r>
      <w:r w:rsidR="009D03F4" w:rsidRPr="009819CE">
        <w:rPr>
          <w:rFonts w:cstheme="minorBidi"/>
          <w:i/>
        </w:rPr>
        <w:t>Hematodinium</w:t>
      </w:r>
      <w:r w:rsidRPr="009819CE">
        <w:rPr>
          <w:rFonts w:cstheme="minorBidi"/>
          <w:iCs/>
        </w:rPr>
        <w:t xml:space="preserve"> sp. parasite cells obstructing haemal spaces </w:t>
      </w:r>
      <w:r w:rsidRPr="009819CE">
        <w:rPr>
          <w:rFonts w:cstheme="minorBidi"/>
          <w:iCs/>
        </w:rPr>
        <w:fldChar w:fldCharType="begin"/>
      </w:r>
      <w:r w:rsidR="00E348BC" w:rsidRPr="009819CE">
        <w:rPr>
          <w:rFonts w:cstheme="minorBidi"/>
          <w:iCs/>
        </w:rPr>
        <w:instrText xml:space="preserve"> ADDIN EN.CITE &lt;EndNote&gt;&lt;Cite&gt;&lt;Author&gt;Field&lt;/Author&gt;&lt;Year&gt;1995&lt;/Year&gt;&lt;RecNum&gt;1268&lt;/RecNum&gt;&lt;DisplayText&gt;(Field et al., 1995)&lt;/DisplayText&gt;&lt;record&gt;&lt;rec-number&gt;1268&lt;/rec-number&gt;&lt;foreign-keys&gt;&lt;key app="EN" db-id="sd9wrx9fj09rx3erprsx999o0r5aprvp2zse" timestamp="1687855902" guid="d92ab6ac-93ef-465d-bdc8-f801b7b16171"&gt;1268&lt;/key&gt;&lt;/foreign-keys&gt;&lt;ref-type name="Report"&gt;27&lt;/ref-type&gt;&lt;contributors&gt;&lt;authors&gt;&lt;author&gt;Field, Robert Henry&lt;/author&gt;&lt;author&gt;Appleton, Paul Lauwrance&lt;/author&gt;&lt;author&gt;Vickerman, Keith&lt;/author&gt;&lt;author&gt;Atkinson, Robert James A.&lt;/author&gt;&lt;author&gt;Taylor, A. C.&lt;/author&gt;&lt;author&gt;Rogerson, A.&lt;/author&gt;&lt;author&gt;Neil, Douglas M.&lt;/author&gt;&lt;author&gt;Shanks, A.&lt;/author&gt;&lt;/authors&gt;&lt;tertiary-authors&gt;&lt;author&gt;Ministry of Agriculture, Fisheries and Food, UK&lt;/author&gt;&lt;/tertiary-authors&gt;&lt;/contributors&gt;&lt;titles&gt;&lt;title&gt;&lt;style face="normal" font="default" size="100%"&gt;Mortality of &lt;/style&gt;&lt;style face="italic" font="default" size="100%"&gt;Nephrops norvegicus &lt;/style&gt;&lt;style face="normal" font="default" size="100%"&gt;on the West Coast of Scotland. Project reference: CSA 2139&lt;/style&gt;&lt;/title&gt;&lt;/titles&gt;&lt;dates&gt;&lt;year&gt;1995&lt;/year&gt;&lt;/dates&gt;&lt;publisher&gt;Report to the Ministry of Agriculture, Fisheries and Food, UK&lt;/publisher&gt;&lt;isbn&gt;CSA 2139&lt;/isbn&gt;&lt;urls&gt;&lt;/urls&gt;&lt;/record&gt;&lt;/Cite&gt;&lt;/EndNote&gt;</w:instrText>
      </w:r>
      <w:r w:rsidRPr="009819CE">
        <w:rPr>
          <w:rFonts w:cstheme="minorBidi"/>
          <w:iCs/>
        </w:rPr>
        <w:fldChar w:fldCharType="separate"/>
      </w:r>
      <w:r w:rsidR="00D50EFF" w:rsidRPr="007268F5">
        <w:rPr>
          <w:rFonts w:cstheme="minorBidi"/>
          <w:iCs/>
        </w:rPr>
        <w:t>(</w:t>
      </w:r>
      <w:hyperlink w:anchor="_ENREF_94" w:tooltip="Field, 1995 #1268" w:history="1">
        <w:r w:rsidR="00950097" w:rsidRPr="007268F5">
          <w:rPr>
            <w:rFonts w:cstheme="minorBidi"/>
            <w:iCs/>
          </w:rPr>
          <w:t>Field et al., 1995</w:t>
        </w:r>
      </w:hyperlink>
      <w:r w:rsidR="00D50EFF" w:rsidRPr="007268F5">
        <w:rPr>
          <w:rFonts w:cstheme="minorBidi"/>
          <w:iCs/>
        </w:rPr>
        <w:t>)</w:t>
      </w:r>
      <w:r w:rsidRPr="009819CE">
        <w:rPr>
          <w:rFonts w:cstheme="minorBidi"/>
          <w:iCs/>
        </w:rPr>
        <w:fldChar w:fldCharType="end"/>
      </w:r>
      <w:r w:rsidRPr="009819CE">
        <w:rPr>
          <w:rFonts w:cstheme="minorBidi"/>
          <w:iCs/>
          <w:color w:val="000000"/>
        </w:rPr>
        <w:t>.</w:t>
      </w:r>
      <w:r w:rsidRPr="009819CE">
        <w:rPr>
          <w:rFonts w:cstheme="minorBidi"/>
          <w:iCs/>
        </w:rPr>
        <w:t xml:space="preserve"> Infected individuals also exhibit enlarged spacing between hepatopancreatic tubules compared to uninfected lobsters </w:t>
      </w:r>
      <w:r w:rsidRPr="009819CE">
        <w:rPr>
          <w:rFonts w:cstheme="minorBidi"/>
          <w:iCs/>
        </w:rPr>
        <w:fldChar w:fldCharType="begin"/>
      </w:r>
      <w:r w:rsidR="00E9418B" w:rsidRPr="009819CE">
        <w:rPr>
          <w:rFonts w:cstheme="minorBidi"/>
          <w:iCs/>
        </w:rPr>
        <w:instrText xml:space="preserve"> ADDIN EN.CITE &lt;EndNote&gt;&lt;Cite&gt;&lt;Author&gt;Field&lt;/Author&gt;&lt;Year&gt;1995&lt;/Year&gt;&lt;RecNum&gt;101&lt;/RecNum&gt;&lt;DisplayText&gt;(Field and Appleton, 1995)&lt;/DisplayText&gt;&lt;record&gt;&lt;rec-number&gt;101&lt;/rec-number&gt;&lt;foreign-keys&gt;&lt;key app="EN" db-id="sd9wrx9fj09rx3erprsx999o0r5aprvp2zse" timestamp="1687855901" guid="af46a6d3-1f44-4c30-bcdc-1ba35f3e4fdf"&gt;101&lt;/key&gt;&lt;/foreign-keys&gt;&lt;ref-type name="Journal Article"&gt;17&lt;/ref-type&gt;&lt;contributors&gt;&lt;authors&gt;&lt;author&gt;Field, Robert Henry&lt;/author&gt;&lt;author&gt;Appleton, Paul Lauwrance&lt;/author&gt;&lt;/authors&gt;&lt;/contributors&gt;&lt;titles&gt;&lt;title&gt;&lt;style face="normal" font="default" size="100%"&gt;A &lt;/style&gt;&lt;style face="italic" font="default" size="100%"&gt;Hematodinium&lt;/style&gt;&lt;style face="normal" font="default" size="100%"&gt;-like dinoflagellate infection of the Norway lobster &lt;/style&gt;&lt;style face="italic" font="default" size="100%"&gt;Nephrops norvegicus&lt;/style&gt;&lt;style face="normal" font="default" size="100%"&gt;: observations on pathology and progression of infection&lt;/style&gt;&lt;/title&gt;&lt;secondary-title&gt;Diseases of Aquatic Organisms&lt;/secondary-title&gt;&lt;/titles&gt;&lt;periodical&gt;&lt;full-title&gt;Diseases of Aquatic Organisms&lt;/full-title&gt;&lt;/periodical&gt;&lt;pages&gt;115-128&lt;/pages&gt;&lt;volume&gt;22&lt;/volume&gt;&lt;number&gt;2&lt;/number&gt;&lt;keywords&gt;&lt;keyword&gt;Crustacea&lt;/keyword&gt;&lt;keyword&gt;Hematodinium sp.&lt;/keyword&gt;&lt;keyword&gt;Nephrops norvegicus&lt;/keyword&gt;&lt;keyword&gt;parasitic dinoflagellate&lt;/keyword&gt;&lt;keyword&gt;pathology&lt;/keyword&gt;&lt;/keywords&gt;&lt;dates&gt;&lt;year&gt;1995&lt;/year&gt;&lt;/dates&gt;&lt;urls&gt;&lt;related-urls&gt;&lt;url&gt;http://www.int-res.com/abstracts/dao/v22/n2/p115-128/&lt;/url&gt;&lt;url&gt;https://www.int-res.com/articles/dao/22/d022p115.pdf&lt;/url&gt;&lt;/related-urls&gt;&lt;/urls&gt;&lt;electronic-resource-num&gt;10.3354/dao022115&lt;/electronic-resource-num&gt;&lt;/record&gt;&lt;/Cite&gt;&lt;/EndNote&gt;</w:instrText>
      </w:r>
      <w:r w:rsidRPr="009819CE">
        <w:rPr>
          <w:rFonts w:cstheme="minorBidi"/>
          <w:iCs/>
        </w:rPr>
        <w:fldChar w:fldCharType="separate"/>
      </w:r>
      <w:r w:rsidR="00E9418B" w:rsidRPr="007268F5">
        <w:rPr>
          <w:rFonts w:cstheme="minorBidi"/>
          <w:iCs/>
        </w:rPr>
        <w:t>(</w:t>
      </w:r>
      <w:hyperlink w:anchor="_ENREF_92" w:tooltip="Field, 1995 #101" w:history="1">
        <w:r w:rsidR="00950097" w:rsidRPr="007268F5">
          <w:rPr>
            <w:rFonts w:cstheme="minorBidi"/>
            <w:iCs/>
          </w:rPr>
          <w:t>Field and Appleton, 1995</w:t>
        </w:r>
      </w:hyperlink>
      <w:r w:rsidR="00E9418B" w:rsidRPr="007268F5">
        <w:rPr>
          <w:rFonts w:cstheme="minorBidi"/>
          <w:iCs/>
        </w:rPr>
        <w:t>)</w:t>
      </w:r>
      <w:r w:rsidRPr="009819CE">
        <w:rPr>
          <w:rFonts w:cstheme="minorBidi"/>
          <w:iCs/>
        </w:rPr>
        <w:fldChar w:fldCharType="end"/>
      </w:r>
      <w:r w:rsidRPr="009819CE">
        <w:rPr>
          <w:rFonts w:cstheme="minorBidi"/>
          <w:iCs/>
        </w:rPr>
        <w:t xml:space="preserve">. </w:t>
      </w:r>
      <w:r w:rsidR="003752C7" w:rsidRPr="009819CE">
        <w:rPr>
          <w:rFonts w:cstheme="minorBidi"/>
          <w:iCs/>
        </w:rPr>
        <w:t>In the gonads, i</w:t>
      </w:r>
      <w:r w:rsidRPr="009819CE">
        <w:rPr>
          <w:rFonts w:cstheme="minorBidi"/>
          <w:iCs/>
        </w:rPr>
        <w:t xml:space="preserve">nfiltration of parasite cells in the ovaries' haemal spaces has been observed, resulting in the degradation and potential pressure necrosis of developing oocytes </w:t>
      </w:r>
      <w:r w:rsidRPr="009819CE">
        <w:rPr>
          <w:rFonts w:cstheme="minorBidi"/>
          <w:iCs/>
        </w:rPr>
        <w:fldChar w:fldCharType="begin"/>
      </w:r>
      <w:r w:rsidR="00D50EFF" w:rsidRPr="009819CE">
        <w:rPr>
          <w:rFonts w:cstheme="minorBidi"/>
          <w:iCs/>
        </w:rPr>
        <w:instrText xml:space="preserve"> ADDIN EN.CITE &lt;EndNote&gt;&lt;Cite&gt;&lt;Author&gt;Mouat&lt;/Author&gt;&lt;Year&gt;2002&lt;/Year&gt;&lt;RecNum&gt;128&lt;/RecNum&gt;&lt;DisplayText&gt;(Mouat,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Pr="009819CE">
        <w:rPr>
          <w:rFonts w:cstheme="minorBidi"/>
          <w:iCs/>
        </w:rPr>
        <w:fldChar w:fldCharType="separate"/>
      </w:r>
      <w:r w:rsidR="00D50EFF" w:rsidRPr="009819CE">
        <w:rPr>
          <w:rFonts w:cstheme="minorBidi"/>
          <w:iCs/>
        </w:rPr>
        <w:t>(</w:t>
      </w:r>
      <w:hyperlink w:anchor="_ENREF_226" w:tooltip="Mouat, 2002 #128" w:history="1">
        <w:r w:rsidR="00950097" w:rsidRPr="009819CE">
          <w:rPr>
            <w:rFonts w:cstheme="minorBidi"/>
            <w:iCs/>
          </w:rPr>
          <w:t>Mouat, 2002</w:t>
        </w:r>
      </w:hyperlink>
      <w:r w:rsidR="00D50EFF" w:rsidRPr="009819CE">
        <w:rPr>
          <w:rFonts w:cstheme="minorBidi"/>
          <w:iCs/>
        </w:rPr>
        <w:t>)</w:t>
      </w:r>
      <w:r w:rsidRPr="009819CE">
        <w:rPr>
          <w:rFonts w:cstheme="minorBidi"/>
          <w:iCs/>
        </w:rPr>
        <w:fldChar w:fldCharType="end"/>
      </w:r>
      <w:r w:rsidRPr="009819CE">
        <w:rPr>
          <w:rFonts w:cstheme="minorBidi"/>
          <w:iCs/>
        </w:rPr>
        <w:t xml:space="preserve">. </w:t>
      </w:r>
      <w:r w:rsidR="009D03F4" w:rsidRPr="009819CE">
        <w:rPr>
          <w:rFonts w:cstheme="minorBidi"/>
          <w:i/>
        </w:rPr>
        <w:t>Hematodinium</w:t>
      </w:r>
      <w:r w:rsidR="00994621" w:rsidRPr="009819CE">
        <w:rPr>
          <w:rFonts w:cstheme="minorBidi"/>
        </w:rPr>
        <w:t xml:space="preserve"> infection hinders ovarian development and maturation, possibly due to the breakdown of ovarian tissue caused by pressure necrosis and apoptosis </w:t>
      </w:r>
      <w:r w:rsidR="00994621" w:rsidRPr="009819CE">
        <w:rPr>
          <w:rFonts w:cstheme="minorBidi"/>
        </w:rPr>
        <w:fldChar w:fldCharType="begin">
          <w:fldData xml:space="preserve">PEVuZE5vdGU+PENpdGU+PEF1dGhvcj5CcmlnZ3M8L0F1dGhvcj48WWVhcj4yMDAyPC9ZZWFyPjxS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==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PEVuZE5vdGU+PENpdGU+PEF1dGhvcj5CcmlnZ3M8L0F1dGhvcj48WWVhcj4yMDAyPC9ZZWFyPjxS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==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00994621" w:rsidRPr="009819CE">
        <w:rPr>
          <w:rFonts w:cstheme="minorBidi"/>
        </w:rPr>
      </w:r>
      <w:r w:rsidR="00994621" w:rsidRPr="009819CE">
        <w:rPr>
          <w:rFonts w:cstheme="minorBidi"/>
        </w:rPr>
        <w:fldChar w:fldCharType="separate"/>
      </w:r>
      <w:r w:rsidR="00D50EFF" w:rsidRPr="009819CE">
        <w:rPr>
          <w:rFonts w:cstheme="minorBidi"/>
        </w:rPr>
        <w:t>(</w:t>
      </w:r>
      <w:hyperlink w:anchor="_ENREF_34" w:tooltip="Briggs, 2002 #374" w:history="1">
        <w:r w:rsidR="00950097" w:rsidRPr="009819CE">
          <w:rPr>
            <w:rFonts w:cstheme="minorBidi"/>
          </w:rPr>
          <w:t>Briggs and McAliskey, 2002</w:t>
        </w:r>
      </w:hyperlink>
      <w:r w:rsidR="00D50EFF" w:rsidRPr="009819CE">
        <w:rPr>
          <w:rFonts w:cstheme="minorBidi"/>
        </w:rPr>
        <w:t xml:space="preserve">; </w:t>
      </w:r>
      <w:hyperlink w:anchor="_ENREF_226" w:tooltip="Mouat, 2002 #128" w:history="1">
        <w:r w:rsidR="00950097" w:rsidRPr="009819CE">
          <w:rPr>
            <w:rFonts w:cstheme="minorBidi"/>
          </w:rPr>
          <w:t>Mouat, 2002</w:t>
        </w:r>
      </w:hyperlink>
      <w:r w:rsidR="00D50EFF" w:rsidRPr="009819CE">
        <w:rPr>
          <w:rFonts w:cstheme="minorBidi"/>
        </w:rPr>
        <w:t>)</w:t>
      </w:r>
      <w:r w:rsidR="00994621" w:rsidRPr="009819CE">
        <w:rPr>
          <w:rFonts w:cstheme="minorBidi"/>
        </w:rPr>
        <w:fldChar w:fldCharType="end"/>
      </w:r>
      <w:r w:rsidR="00994621" w:rsidRPr="009819CE">
        <w:rPr>
          <w:rFonts w:cstheme="minorBidi"/>
        </w:rPr>
        <w:t xml:space="preserve">. </w:t>
      </w:r>
      <w:r w:rsidR="007A1152" w:rsidRPr="009819CE">
        <w:rPr>
          <w:rFonts w:cstheme="minorBidi"/>
        </w:rPr>
        <w:t xml:space="preserve">Infected females displayed undeveloped or resorbed ovaries, likely attributed to the nutritional constraints imposed by the parasite burden. </w:t>
      </w:r>
      <w:r w:rsidRPr="009819CE">
        <w:rPr>
          <w:rFonts w:cstheme="minorBidi"/>
        </w:rPr>
        <w:t>In contrast, the testes exhibit less degradation despite the presence of parasites in the haemal spaces, with intact collecting tubules and visible sperm</w:t>
      </w:r>
      <w:r w:rsidR="001F2D5D" w:rsidRPr="009819CE">
        <w:rPr>
          <w:rFonts w:cstheme="minorBidi"/>
        </w:rPr>
        <w:t xml:space="preserve"> </w:t>
      </w:r>
      <w:r w:rsidR="001F2D5D" w:rsidRPr="009819CE">
        <w:rPr>
          <w:rFonts w:cstheme="minorBidi"/>
          <w:iCs/>
        </w:rPr>
        <w:fldChar w:fldCharType="begin"/>
      </w:r>
      <w:r w:rsidR="001F2D5D" w:rsidRPr="009819CE">
        <w:rPr>
          <w:rFonts w:cstheme="minorBidi"/>
          <w:iCs/>
        </w:rPr>
        <w:instrText xml:space="preserve"> ADDIN EN.CITE &lt;EndNote&gt;&lt;Cite&gt;&lt;Author&gt;Mouat&lt;/Author&gt;&lt;Year&gt;2002&lt;/Year&gt;&lt;RecNum&gt;128&lt;/RecNum&gt;&lt;DisplayText&gt;(Mouat,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001F2D5D" w:rsidRPr="009819CE">
        <w:rPr>
          <w:rFonts w:cstheme="minorBidi"/>
          <w:iCs/>
        </w:rPr>
        <w:fldChar w:fldCharType="separate"/>
      </w:r>
      <w:r w:rsidR="001F2D5D" w:rsidRPr="009819CE">
        <w:rPr>
          <w:rFonts w:cstheme="minorBidi"/>
          <w:iCs/>
        </w:rPr>
        <w:t>(</w:t>
      </w:r>
      <w:hyperlink w:anchor="_ENREF_226" w:tooltip="Mouat, 2002 #128" w:history="1">
        <w:r w:rsidR="00950097" w:rsidRPr="009819CE">
          <w:rPr>
            <w:rFonts w:cstheme="minorBidi"/>
            <w:iCs/>
          </w:rPr>
          <w:t>Mouat, 2002</w:t>
        </w:r>
      </w:hyperlink>
      <w:r w:rsidR="001F2D5D" w:rsidRPr="009819CE">
        <w:rPr>
          <w:rFonts w:cstheme="minorBidi"/>
          <w:iCs/>
        </w:rPr>
        <w:t>)</w:t>
      </w:r>
      <w:r w:rsidR="001F2D5D" w:rsidRPr="009819CE">
        <w:rPr>
          <w:rFonts w:cstheme="minorBidi"/>
          <w:iCs/>
        </w:rPr>
        <w:fldChar w:fldCharType="end"/>
      </w:r>
      <w:r w:rsidR="001F2D5D" w:rsidRPr="009819CE">
        <w:rPr>
          <w:rFonts w:cstheme="minorBidi"/>
          <w:iCs/>
        </w:rPr>
        <w:t xml:space="preserve">. </w:t>
      </w:r>
      <w:r w:rsidRPr="009819CE">
        <w:rPr>
          <w:rFonts w:cstheme="minorBidi"/>
        </w:rPr>
        <w:t xml:space="preserve"> </w:t>
      </w:r>
    </w:p>
    <w:p w14:paraId="704D5ADE" w14:textId="77777777" w:rsidR="002773A2" w:rsidRPr="009819CE" w:rsidRDefault="002773A2" w:rsidP="002773A2">
      <w:pPr>
        <w:spacing w:before="0" w:after="0"/>
        <w:rPr>
          <w:rFonts w:cstheme="minorBidi"/>
        </w:rPr>
      </w:pPr>
    </w:p>
    <w:p w14:paraId="62A3FA5F" w14:textId="5BDAD4EC" w:rsidR="002773A2" w:rsidRPr="009819CE" w:rsidRDefault="002773A2" w:rsidP="009C3F77">
      <w:pPr>
        <w:pStyle w:val="Heading3"/>
        <w:numPr>
          <w:ilvl w:val="2"/>
          <w:numId w:val="22"/>
        </w:numPr>
        <w:rPr>
          <w:rFonts w:cstheme="minorBidi"/>
          <w:iCs/>
        </w:rPr>
      </w:pPr>
      <w:bookmarkStart w:id="161" w:name="_Toc204106605"/>
      <w:r w:rsidRPr="009819CE">
        <w:rPr>
          <w:rFonts w:cstheme="minorBidi"/>
          <w:iCs/>
        </w:rPr>
        <w:t xml:space="preserve">Immune response to </w:t>
      </w:r>
      <w:r w:rsidR="009D03F4" w:rsidRPr="009819CE">
        <w:rPr>
          <w:rFonts w:cstheme="minorBidi"/>
          <w:i/>
          <w:iCs/>
        </w:rPr>
        <w:t>Hematodinium</w:t>
      </w:r>
      <w:r w:rsidRPr="009819CE">
        <w:rPr>
          <w:rFonts w:cstheme="minorBidi"/>
          <w:iCs/>
        </w:rPr>
        <w:t xml:space="preserve"> infection</w:t>
      </w:r>
      <w:bookmarkEnd w:id="161"/>
    </w:p>
    <w:bookmarkEnd w:id="160"/>
    <w:p w14:paraId="214BDAE0" w14:textId="2761325D" w:rsidR="005154E9" w:rsidRPr="009819CE" w:rsidRDefault="005154E9" w:rsidP="005154E9">
      <w:pPr>
        <w:spacing w:before="0" w:after="0"/>
        <w:rPr>
          <w:rFonts w:cstheme="minorBidi"/>
        </w:rPr>
      </w:pPr>
      <w:r w:rsidRPr="009819CE">
        <w:rPr>
          <w:rFonts w:cstheme="minorBidi"/>
        </w:rPr>
        <w:t xml:space="preserve">The host's immune response to </w:t>
      </w:r>
      <w:r w:rsidR="009D03F4" w:rsidRPr="009819CE">
        <w:rPr>
          <w:rFonts w:cstheme="minorBidi"/>
          <w:i/>
        </w:rPr>
        <w:t>Hematodinium</w:t>
      </w:r>
      <w:r w:rsidRPr="009819CE">
        <w:rPr>
          <w:rFonts w:cstheme="minorBidi"/>
        </w:rPr>
        <w:t xml:space="preserve"> sp. infection remains a subject of </w:t>
      </w:r>
      <w:r w:rsidR="006C2A56" w:rsidRPr="009819CE">
        <w:rPr>
          <w:rFonts w:cstheme="minorBidi"/>
        </w:rPr>
        <w:t>study</w:t>
      </w:r>
      <w:r w:rsidRPr="009819CE">
        <w:rPr>
          <w:rFonts w:cstheme="minorBidi"/>
        </w:rPr>
        <w:t xml:space="preserve">. Immunomodulatory effects were identified at both post-transcriptional and translational levels </w:t>
      </w:r>
      <w:r w:rsidR="006C2A56" w:rsidRPr="009819CE">
        <w:rPr>
          <w:rFonts w:cstheme="minorBidi"/>
        </w:rPr>
        <w:t xml:space="preserve">in </w:t>
      </w:r>
      <w:r w:rsidRPr="009819CE">
        <w:rPr>
          <w:rFonts w:cstheme="minorBidi"/>
        </w:rPr>
        <w:t>haemocytes of the Chinese swimming crab (</w:t>
      </w:r>
      <w:r w:rsidRPr="009819CE">
        <w:rPr>
          <w:rFonts w:cstheme="minorBidi"/>
          <w:i/>
          <w:iCs/>
        </w:rPr>
        <w:t>Portunus trituberculatus</w:t>
      </w:r>
      <w:r w:rsidRPr="009819CE">
        <w:rPr>
          <w:rFonts w:cstheme="minorBidi"/>
        </w:rPr>
        <w:t xml:space="preserve">) </w:t>
      </w:r>
      <w:r w:rsidR="006C2A56" w:rsidRPr="009819CE">
        <w:rPr>
          <w:rFonts w:cstheme="minorBidi"/>
        </w:rPr>
        <w:t xml:space="preserve">upon </w:t>
      </w:r>
      <w:r w:rsidR="00237B91" w:rsidRPr="009819CE">
        <w:rPr>
          <w:rFonts w:cstheme="minorBidi"/>
          <w:i/>
          <w:iCs/>
        </w:rPr>
        <w:t>H</w:t>
      </w:r>
      <w:r w:rsidR="00A36AED" w:rsidRPr="009819CE">
        <w:rPr>
          <w:rFonts w:cstheme="minorBidi"/>
          <w:i/>
          <w:iCs/>
        </w:rPr>
        <w:t>.</w:t>
      </w:r>
      <w:r w:rsidRPr="009819CE">
        <w:rPr>
          <w:rFonts w:cstheme="minorBidi"/>
          <w:i/>
          <w:iCs/>
        </w:rPr>
        <w:t xml:space="preserve"> perezi</w:t>
      </w:r>
      <w:r w:rsidRPr="009819CE">
        <w:rPr>
          <w:rFonts w:cstheme="minorBidi"/>
        </w:rPr>
        <w:t xml:space="preserve"> challenge </w:t>
      </w:r>
      <w:r w:rsidRPr="009819CE">
        <w:rPr>
          <w:rFonts w:cstheme="minorBidi"/>
        </w:rPr>
        <w:fldChar w:fldCharType="begin"/>
      </w:r>
      <w:r w:rsidR="00ED1A9E" w:rsidRPr="009819CE">
        <w:rPr>
          <w:rFonts w:cstheme="minorBidi"/>
        </w:rPr>
        <w:instrText xml:space="preserve"> ADDIN EN.CITE &lt;EndNote&gt;&lt;Cite&gt;&lt;Author&gt;Li&lt;/Author&gt;&lt;Year&gt;2022&lt;/Year&gt;&lt;RecNum&gt;1854&lt;/RecNum&gt;&lt;DisplayText&gt;(Li et al., 2022)&lt;/DisplayText&gt;&lt;record&gt;&lt;rec-number&gt;1854&lt;/rec-number&gt;&lt;foreign-keys&gt;&lt;key app="EN" db-id="sd9wrx9fj09rx3erprsx999o0r5aprvp2zse" timestamp="1691257260" guid="606b26ad-f06c-45c7-8b13-7030f779c8bd"&gt;1854&lt;/key&gt;&lt;/foreign-keys&gt;&lt;ref-type name="Journal Article"&gt;17&lt;/ref-type&gt;&lt;contributors&gt;&lt;authors&gt;&lt;author&gt;Li, Meng&lt;/author&gt;&lt;author&gt;Huang, Qian&lt;/author&gt;&lt;author&gt;Lv, Xiaoyang&lt;/author&gt;&lt;author&gt;Small, Hamish J.&lt;/author&gt;&lt;author&gt;Li, Caiwen&lt;/author&gt;&lt;/authors&gt;&lt;/contributors&gt;&lt;titles&gt;&lt;title&gt;&lt;style face="normal" font="default" size="100%"&gt;Integrative omics analysis highlights the immunomodulatory effects of the parasitic dinoflagellate &lt;/style&gt;&lt;style face="italic" font="default" size="100%"&gt;Hematodinium&lt;/style&gt;&lt;style face="normal" font="default" size="100%"&gt; on crustacean hemocytes&lt;/style&gt;&lt;/title&gt;&lt;secondary-title&gt;Fish and Shellfish Immunology&lt;/secondary-title&gt;&lt;/titles&gt;&lt;periodical&gt;&lt;full-title&gt;Fish and Shellfish Immunology&lt;/full-title&gt;&lt;/periodical&gt;&lt;pages&gt;35-47&lt;/pages&gt;&lt;volume&gt;125&lt;/volume&gt;&lt;keywords&gt;&lt;keyword&gt;Parasitic dinoflagellates&lt;/keyword&gt;&lt;keyword&gt;Crustacean&lt;/keyword&gt;&lt;keyword&gt;Innate immunity&lt;/keyword&gt;&lt;keyword&gt;Host-parasite interaction&lt;/keyword&gt;&lt;keyword&gt;Omics study&lt;/keyword&gt;&lt;/keywords&gt;&lt;dates&gt;&lt;year&gt;2022&lt;/year&gt;&lt;pub-dates&gt;&lt;date&gt;2022/06/01/&lt;/date&gt;&lt;/pub-dates&gt;&lt;/dates&gt;&lt;isbn&gt;1050-4648&lt;/isbn&gt;&lt;urls&gt;&lt;related-urls&gt;&lt;url&gt;https://www.sciencedirect.com/science/article/pii/S1050464822002339&lt;/url&gt;&lt;/related-urls&gt;&lt;/urls&gt;&lt;electronic-resource-num&gt;https://doi.org/10.1016/j.fsi.2022.04.050&lt;/electronic-resource-num&gt;&lt;/record&gt;&lt;/Cite&gt;&lt;/EndNote&gt;</w:instrText>
      </w:r>
      <w:r w:rsidRPr="009819CE">
        <w:rPr>
          <w:rFonts w:cstheme="minorBidi"/>
        </w:rPr>
        <w:fldChar w:fldCharType="separate"/>
      </w:r>
      <w:r w:rsidR="00D50EFF" w:rsidRPr="007268F5">
        <w:rPr>
          <w:rFonts w:cstheme="minorBidi"/>
        </w:rPr>
        <w:t>(</w:t>
      </w:r>
      <w:hyperlink w:anchor="_ENREF_179" w:tooltip="Li, 2022 #1854" w:history="1">
        <w:r w:rsidR="00950097" w:rsidRPr="007268F5">
          <w:rPr>
            <w:rFonts w:cstheme="minorBidi"/>
          </w:rPr>
          <w:t>Li et al., 2022</w:t>
        </w:r>
      </w:hyperlink>
      <w:r w:rsidR="00D50EFF" w:rsidRPr="007268F5">
        <w:rPr>
          <w:rFonts w:cstheme="minorBidi"/>
        </w:rPr>
        <w:t>)</w:t>
      </w:r>
      <w:r w:rsidRPr="009819CE">
        <w:rPr>
          <w:rFonts w:cstheme="minorBidi"/>
        </w:rPr>
        <w:fldChar w:fldCharType="end"/>
      </w:r>
      <w:r w:rsidRPr="009819CE">
        <w:rPr>
          <w:rFonts w:cstheme="minorBidi"/>
        </w:rPr>
        <w:t>.</w:t>
      </w:r>
    </w:p>
    <w:p w14:paraId="76188B87" w14:textId="63F68C1A" w:rsidR="005154E9" w:rsidRPr="009819CE" w:rsidRDefault="008708E1" w:rsidP="005154E9">
      <w:pPr>
        <w:spacing w:before="0" w:after="0"/>
        <w:rPr>
          <w:rFonts w:cstheme="minorBidi"/>
        </w:rPr>
      </w:pPr>
      <w:r w:rsidRPr="00FA7D47">
        <w:rPr>
          <w:rFonts w:cstheme="minorBidi"/>
        </w:rPr>
        <w:t xml:space="preserve">One </w:t>
      </w:r>
      <w:r w:rsidR="0016429F" w:rsidRPr="009819CE">
        <w:rPr>
          <w:rFonts w:cstheme="minorBidi"/>
        </w:rPr>
        <w:t xml:space="preserve">study suggested </w:t>
      </w:r>
      <w:r w:rsidR="005154E9" w:rsidRPr="009819CE">
        <w:rPr>
          <w:rFonts w:cstheme="minorBidi"/>
        </w:rPr>
        <w:t xml:space="preserve">the uptake of </w:t>
      </w:r>
      <w:r w:rsidR="009D03F4" w:rsidRPr="009819CE">
        <w:rPr>
          <w:rFonts w:cstheme="minorBidi"/>
          <w:i/>
        </w:rPr>
        <w:t>Hematodinium</w:t>
      </w:r>
      <w:r w:rsidR="005154E9" w:rsidRPr="009819CE">
        <w:rPr>
          <w:rFonts w:cstheme="minorBidi"/>
        </w:rPr>
        <w:t xml:space="preserve"> sp. by phagocytes in </w:t>
      </w:r>
      <w:r w:rsidR="00B64DCC" w:rsidRPr="009819CE">
        <w:rPr>
          <w:rFonts w:cstheme="minorBidi"/>
        </w:rPr>
        <w:t>Norway lobster (</w:t>
      </w:r>
      <w:r w:rsidR="00C31E47" w:rsidRPr="009819CE">
        <w:rPr>
          <w:rFonts w:cstheme="minorBidi"/>
          <w:i/>
          <w:iCs/>
        </w:rPr>
        <w:t>Nephrops</w:t>
      </w:r>
      <w:r w:rsidR="005154E9" w:rsidRPr="009819CE">
        <w:rPr>
          <w:rFonts w:cstheme="minorBidi"/>
          <w:i/>
          <w:iCs/>
        </w:rPr>
        <w:t xml:space="preserve"> norvegicus</w:t>
      </w:r>
      <w:r w:rsidR="00B64DCC" w:rsidRPr="009819CE">
        <w:rPr>
          <w:rFonts w:cstheme="minorBidi"/>
        </w:rPr>
        <w:t>)</w:t>
      </w:r>
      <w:r w:rsidR="005154E9" w:rsidRPr="009819CE">
        <w:rPr>
          <w:rFonts w:cstheme="minorBidi"/>
          <w:i/>
          <w:iCs/>
        </w:rPr>
        <w:t xml:space="preserve"> </w:t>
      </w:r>
      <w:r w:rsidR="005154E9" w:rsidRPr="009819CE">
        <w:rPr>
          <w:rFonts w:cstheme="minorBidi"/>
        </w:rPr>
        <w:fldChar w:fldCharType="begin"/>
      </w:r>
      <w:r w:rsidR="00E9418B" w:rsidRPr="009819CE">
        <w:rPr>
          <w:rFonts w:cstheme="minorBidi"/>
        </w:rPr>
        <w:instrText xml:space="preserve"> ADDIN EN.CITE &lt;EndNote&gt;&lt;Cite&gt;&lt;Author&gt;Field&lt;/Author&gt;&lt;Year&gt;1995&lt;/Year&gt;&lt;RecNum&gt;101&lt;/RecNum&gt;&lt;DisplayText&gt;(Field and Appleton, 1995)&lt;/DisplayText&gt;&lt;record&gt;&lt;rec-number&gt;101&lt;/rec-number&gt;&lt;foreign-keys&gt;&lt;key app="EN" db-id="sd9wrx9fj09rx3erprsx999o0r5aprvp2zse" timestamp="1687855901" guid="af46a6d3-1f44-4c30-bcdc-1ba35f3e4fdf"&gt;101&lt;/key&gt;&lt;/foreign-keys&gt;&lt;ref-type name="Journal Article"&gt;17&lt;/ref-type&gt;&lt;contributors&gt;&lt;authors&gt;&lt;author&gt;Field, Robert Henry&lt;/author&gt;&lt;author&gt;Appleton, Paul Lauwrance&lt;/author&gt;&lt;/authors&gt;&lt;/contributors&gt;&lt;titles&gt;&lt;title&gt;&lt;style face="normal" font="default" size="100%"&gt;A &lt;/style&gt;&lt;style face="italic" font="default" size="100%"&gt;Hematodinium&lt;/style&gt;&lt;style face="normal" font="default" size="100%"&gt;-like dinoflagellate infection of the Norway lobster &lt;/style&gt;&lt;style face="italic" font="default" size="100%"&gt;Nephrops norvegicus&lt;/style&gt;&lt;style face="normal" font="default" size="100%"&gt;: observations on pathology and progression of infection&lt;/style&gt;&lt;/title&gt;&lt;secondary-title&gt;Diseases of Aquatic Organisms&lt;/secondary-title&gt;&lt;/titles&gt;&lt;periodical&gt;&lt;full-title&gt;Diseases of Aquatic Organisms&lt;/full-title&gt;&lt;/periodical&gt;&lt;pages&gt;115-128&lt;/pages&gt;&lt;volume&gt;22&lt;/volume&gt;&lt;number&gt;2&lt;/number&gt;&lt;keywords&gt;&lt;keyword&gt;Crustacea&lt;/keyword&gt;&lt;keyword&gt;Hematodinium sp.&lt;/keyword&gt;&lt;keyword&gt;Nephrops norvegicus&lt;/keyword&gt;&lt;keyword&gt;parasitic dinoflagellate&lt;/keyword&gt;&lt;keyword&gt;pathology&lt;/keyword&gt;&lt;/keywords&gt;&lt;dates&gt;&lt;year&gt;1995&lt;/year&gt;&lt;/dates&gt;&lt;urls&gt;&lt;related-urls&gt;&lt;url&gt;http://www.int-res.com/abstracts/dao/v22/n2/p115-128/&lt;/url&gt;&lt;url&gt;https://www.int-res.com/articles/dao/22/d022p115.pdf&lt;/url&gt;&lt;/related-urls&gt;&lt;/urls&gt;&lt;electronic-resource-num&gt;10.3354/dao022115&lt;/electronic-resource-num&gt;&lt;/record&gt;&lt;/Cite&gt;&lt;/EndNote&gt;</w:instrText>
      </w:r>
      <w:r w:rsidR="005154E9" w:rsidRPr="009819CE">
        <w:rPr>
          <w:rFonts w:cstheme="minorBidi"/>
        </w:rPr>
        <w:fldChar w:fldCharType="separate"/>
      </w:r>
      <w:r w:rsidR="00E9418B" w:rsidRPr="007268F5">
        <w:rPr>
          <w:rFonts w:cstheme="minorBidi"/>
        </w:rPr>
        <w:t>(</w:t>
      </w:r>
      <w:hyperlink w:anchor="_ENREF_92" w:tooltip="Field, 1995 #101" w:history="1">
        <w:r w:rsidR="00950097" w:rsidRPr="007268F5">
          <w:rPr>
            <w:rFonts w:cstheme="minorBidi"/>
          </w:rPr>
          <w:t>Field and Appleton, 1995</w:t>
        </w:r>
      </w:hyperlink>
      <w:r w:rsidR="00E9418B" w:rsidRPr="007268F5">
        <w:rPr>
          <w:rFonts w:cstheme="minorBidi"/>
        </w:rPr>
        <w:t>)</w:t>
      </w:r>
      <w:r w:rsidR="005154E9" w:rsidRPr="009819CE">
        <w:rPr>
          <w:rFonts w:cstheme="minorBidi"/>
        </w:rPr>
        <w:fldChar w:fldCharType="end"/>
      </w:r>
      <w:r w:rsidR="00950F01" w:rsidRPr="009819CE">
        <w:rPr>
          <w:rFonts w:cstheme="minorBidi"/>
        </w:rPr>
        <w:t>. However,</w:t>
      </w:r>
      <w:r w:rsidR="00DA4954" w:rsidRPr="009819CE">
        <w:rPr>
          <w:rFonts w:cstheme="minorBidi"/>
        </w:rPr>
        <w:t xml:space="preserve"> </w:t>
      </w:r>
      <w:r w:rsidR="00950F01" w:rsidRPr="009819CE">
        <w:rPr>
          <w:rFonts w:cstheme="minorBidi"/>
        </w:rPr>
        <w:t>as reviewed</w:t>
      </w:r>
      <w:r w:rsidR="005154E9" w:rsidRPr="009819CE">
        <w:rPr>
          <w:rFonts w:cstheme="minorBidi"/>
        </w:rPr>
        <w:t xml:space="preserve"> by </w:t>
      </w:r>
      <w:hyperlink w:anchor="_ENREF_260" w:tooltip="Rowley, 2015 #78" w:history="1">
        <w:r w:rsidR="00950097" w:rsidRPr="009819CE">
          <w:rPr>
            <w:rFonts w:cstheme="minorBidi"/>
          </w:rPr>
          <w:fldChar w:fldCharType="begin"/>
        </w:r>
        <w:r w:rsidR="00950097">
          <w:rPr>
            <w:rFonts w:cstheme="minorBidi"/>
          </w:rPr>
          <w:instrText xml:space="preserve"> ADDIN EN.CITE &lt;EndNote&gt;&lt;Cite AuthorYear="1"&gt;&lt;Author&gt;Rowley&lt;/Author&gt;&lt;Year&gt;2015&lt;/Year&gt;&lt;RecNum&gt;78&lt;/RecNum&gt;&lt;DisplayText&gt;Rowley et al. (2015)&lt;/DisplayText&gt;&lt;record&gt;&lt;rec-number&gt;78&lt;/rec-number&gt;&lt;foreign-keys&gt;&lt;key app="EN" db-id="sd9wrx9fj09rx3erprsx999o0r5aprvp2zse" timestamp="1687855901" guid="22f8c08e-30c6-4ac4-b93b-3ae98640279e"&gt;78&lt;/key&gt;&lt;/foreign-keys&gt;&lt;ref-type name="Journal Article"&gt;17&lt;/ref-type&gt;&lt;contributors&gt;&lt;authors&gt;&lt;author&gt;Rowley, Andrew F.&lt;/author&gt;&lt;author&gt;Smith, Amanda L.&lt;/author&gt;&lt;author&gt;Davies, Charlotte E.&lt;/author&gt;&lt;/authors&gt;&lt;/contributors&gt;&lt;titles&gt;&lt;title&gt;&lt;style face="normal" font="default" size="100%"&gt;How does the dinoflagellate parasite &lt;/style&gt;&lt;style face="italic" font="default" size="100%"&gt;Hematodinium&lt;/style&gt;&lt;style face="normal" font="default" size="100%"&gt; outsmart the immune system of its crustacean hosts?&lt;/style&gt;&lt;/title&gt;&lt;secondary-title&gt;PLOS Pathogens&lt;/secondary-title&gt;&lt;/titles&gt;&lt;periodical&gt;&lt;full-title&gt;PLOS Pathogens&lt;/full-title&gt;&lt;/periodical&gt;&lt;pages&gt;1-9&lt;/pages&gt;&lt;volume&gt;11&lt;/volume&gt;&lt;number&gt;5&lt;/number&gt;&lt;dates&gt;&lt;year&gt;2015&lt;/year&gt;&lt;/dates&gt;&lt;urls&gt;&lt;related-urls&gt;&lt;url&gt;https://doi.org/10.1371/journal.ppat.1004724&lt;/url&gt;&lt;/related-urls&gt;&lt;/urls&gt;&lt;electronic-resource-num&gt;10.1371/journal.ppat.1004724&lt;/electronic-resource-num&gt;&lt;/record&gt;&lt;/Cite&gt;&lt;/EndNote&gt;</w:instrText>
        </w:r>
        <w:r w:rsidR="00950097" w:rsidRPr="009819CE">
          <w:rPr>
            <w:rFonts w:cstheme="minorBidi"/>
          </w:rPr>
          <w:fldChar w:fldCharType="separate"/>
        </w:r>
        <w:r w:rsidR="00950097" w:rsidRPr="009819CE">
          <w:rPr>
            <w:rFonts w:cstheme="minorBidi"/>
            <w:noProof/>
          </w:rPr>
          <w:t>Rowley et al. (2015)</w:t>
        </w:r>
        <w:r w:rsidR="00950097" w:rsidRPr="009819CE">
          <w:rPr>
            <w:rFonts w:cstheme="minorBidi"/>
          </w:rPr>
          <w:fldChar w:fldCharType="end"/>
        </w:r>
      </w:hyperlink>
      <w:r w:rsidR="005154E9" w:rsidRPr="009819CE">
        <w:rPr>
          <w:rFonts w:cstheme="minorBidi"/>
        </w:rPr>
        <w:t xml:space="preserve"> </w:t>
      </w:r>
      <w:r w:rsidR="009D03F4" w:rsidRPr="009819CE">
        <w:rPr>
          <w:rFonts w:cstheme="minorBidi"/>
          <w:i/>
        </w:rPr>
        <w:t>Hematodinium</w:t>
      </w:r>
      <w:r w:rsidR="005154E9" w:rsidRPr="009819CE">
        <w:rPr>
          <w:rFonts w:cstheme="minorBidi"/>
        </w:rPr>
        <w:t xml:space="preserve"> may have the capacity to </w:t>
      </w:r>
      <w:r w:rsidR="00110C1C" w:rsidRPr="009819CE">
        <w:rPr>
          <w:rFonts w:cstheme="minorBidi"/>
        </w:rPr>
        <w:t xml:space="preserve">evade </w:t>
      </w:r>
      <w:r w:rsidR="005154E9" w:rsidRPr="009819CE">
        <w:rPr>
          <w:rFonts w:cstheme="minorBidi"/>
        </w:rPr>
        <w:t xml:space="preserve">the immune defences of the host. </w:t>
      </w:r>
      <w:r w:rsidR="005A5135" w:rsidRPr="009819CE">
        <w:rPr>
          <w:rFonts w:cstheme="minorBidi"/>
        </w:rPr>
        <w:t>O</w:t>
      </w:r>
      <w:r w:rsidR="005154E9" w:rsidRPr="009819CE">
        <w:rPr>
          <w:rFonts w:cstheme="minorBidi"/>
        </w:rPr>
        <w:t xml:space="preserve">bservations on </w:t>
      </w:r>
      <w:r w:rsidR="009D03F4" w:rsidRPr="009819CE">
        <w:rPr>
          <w:rFonts w:cstheme="minorBidi"/>
          <w:i/>
        </w:rPr>
        <w:t>Hematodinium</w:t>
      </w:r>
      <w:r w:rsidR="005154E9" w:rsidRPr="009819CE">
        <w:rPr>
          <w:rFonts w:cstheme="minorBidi"/>
        </w:rPr>
        <w:t xml:space="preserve">-infected </w:t>
      </w:r>
      <w:r w:rsidR="00B64DCC" w:rsidRPr="009819CE">
        <w:rPr>
          <w:rFonts w:cstheme="minorBidi"/>
        </w:rPr>
        <w:t xml:space="preserve">green </w:t>
      </w:r>
      <w:r w:rsidR="005154E9" w:rsidRPr="009819CE">
        <w:rPr>
          <w:rFonts w:cstheme="minorBidi"/>
        </w:rPr>
        <w:t>shore crabs (</w:t>
      </w:r>
      <w:r w:rsidR="005154E9" w:rsidRPr="009819CE">
        <w:rPr>
          <w:rFonts w:cstheme="minorBidi"/>
          <w:i/>
          <w:iCs/>
        </w:rPr>
        <w:t>Carcinus maenas</w:t>
      </w:r>
      <w:r w:rsidR="005154E9" w:rsidRPr="009819CE">
        <w:rPr>
          <w:rFonts w:cstheme="minorBidi"/>
        </w:rPr>
        <w:t>) reveal</w:t>
      </w:r>
      <w:r w:rsidR="00CA1AEF" w:rsidRPr="009819CE">
        <w:rPr>
          <w:rFonts w:cstheme="minorBidi"/>
        </w:rPr>
        <w:t>ed</w:t>
      </w:r>
      <w:r w:rsidR="005154E9" w:rsidRPr="009819CE">
        <w:rPr>
          <w:rFonts w:cstheme="minorBidi"/>
        </w:rPr>
        <w:t xml:space="preserve"> no signs of haemocyte reactivity towards infection, implying the absence of a cell-driven immune response at both early and advanced stages of infection </w:t>
      </w:r>
      <w:r w:rsidR="005154E9" w:rsidRPr="009819CE">
        <w:rPr>
          <w:rFonts w:cstheme="minorBidi"/>
        </w:rPr>
        <w:fldChar w:fldCharType="begin"/>
      </w:r>
      <w:r w:rsidR="00D50EFF" w:rsidRPr="009819CE">
        <w:rPr>
          <w:rFonts w:cstheme="minorBidi"/>
        </w:rPr>
        <w:instrText xml:space="preserve"> ADDIN EN.CITE &lt;EndNote&gt;&lt;Cite&gt;&lt;Author&gt;Davies&lt;/Author&gt;&lt;Year&gt;2022&lt;/Year&gt;&lt;RecNum&gt;569&lt;/RecNum&gt;&lt;DisplayText&gt;(Davies et al., 2022)&lt;/DisplayText&gt;&lt;record&gt;&lt;rec-number&gt;569&lt;/rec-number&gt;&lt;foreign-keys&gt;&lt;key app="EN" db-id="sd9wrx9fj09rx3erprsx999o0r5aprvp2zse" timestamp="1687855901" guid="0ce1cc65-331e-411e-928f-b260b3cc0eb0"&gt;569&lt;/key&gt;&lt;/foreign-keys&gt;&lt;ref-type name="Journal Article"&gt;17&lt;/ref-type&gt;&lt;contributors&gt;&lt;authors&gt;&lt;author&gt;Davies, Charlotte E.&lt;/author&gt;&lt;author&gt;Thomas, Jessica E.&lt;/author&gt;&lt;author&gt;Malkin, Sophie H.&lt;/author&gt;&lt;author&gt;Batista, Frederico M.&lt;/author&gt;&lt;author&gt;Rowley, Andrew F.&lt;/author&gt;&lt;author&gt;Coates, Christopher J.&lt;/author&gt;&lt;/authors&gt;&lt;/contributors&gt;&lt;titles&gt;&lt;title&gt;&lt;style face="italic" font="default" size="100%"&gt;Hematodinium &lt;/style&gt;&lt;style face="normal" font="default" size="100%"&gt;sp. infection does not drive collateral disease contraction in a crustacean host&lt;/style&gt;&lt;/title&gt;&lt;secondary-title&gt;eLife&lt;/secondary-title&gt;&lt;/titles&gt;&lt;periodical&gt;&lt;full-title&gt;eLife&lt;/full-title&gt;&lt;/periodical&gt;&lt;volume&gt;11&lt;/volume&gt;&lt;keywords&gt;&lt;keyword&gt;Charlotte E Davies&lt;/keyword&gt;&lt;keyword&gt;Christopher J Coates&lt;/keyword&gt;&lt;keyword&gt;Jessica E Thomas&lt;/keyword&gt;&lt;keyword&gt;MEDLINE&lt;/keyword&gt;&lt;keyword&gt;NCBI&lt;/keyword&gt;&lt;keyword&gt;NIH&lt;/keyword&gt;&lt;keyword&gt;NLM&lt;/keyword&gt;&lt;keyword&gt;National Center for Biotechnology Information&lt;/keyword&gt;&lt;keyword&gt;National Institutes of Health&lt;/keyword&gt;&lt;keyword&gt;National Library of Medicine&lt;/keyword&gt;&lt;keyword&gt;PubMed Abstract&lt;/keyword&gt;&lt;keyword&gt;doi:10.7554/eLife.70356&lt;/keyword&gt;&lt;keyword&gt;pmid:35179494&lt;/keyword&gt;&lt;/keywords&gt;&lt;dates&gt;&lt;year&gt;2022&lt;/year&gt;&lt;pub-dates&gt;&lt;date&gt;2022/2//&lt;/date&gt;&lt;/pub-dates&gt;&lt;/dates&gt;&lt;publisher&gt;Elife&lt;/publisher&gt;&lt;urls&gt;&lt;related-urls&gt;&lt;url&gt;https://pubmed.ncbi.nlm.nih.gov/35179494/&lt;/url&gt;&lt;/related-urls&gt;&lt;/urls&gt;&lt;electronic-resource-num&gt;10.7554/ELIFE.70356&lt;/electronic-resource-num&gt;&lt;/record&gt;&lt;/Cite&gt;&lt;/EndNote&gt;</w:instrText>
      </w:r>
      <w:r w:rsidR="005154E9" w:rsidRPr="009819CE">
        <w:rPr>
          <w:rFonts w:cstheme="minorBidi"/>
        </w:rPr>
        <w:fldChar w:fldCharType="separate"/>
      </w:r>
      <w:r w:rsidR="00D50EFF" w:rsidRPr="009819CE">
        <w:rPr>
          <w:rFonts w:cstheme="minorBidi"/>
        </w:rPr>
        <w:t>(</w:t>
      </w:r>
      <w:hyperlink w:anchor="_ENREF_63" w:tooltip="Davies, 2022 #569" w:history="1">
        <w:r w:rsidR="00950097" w:rsidRPr="009819CE">
          <w:rPr>
            <w:rFonts w:cstheme="minorBidi"/>
          </w:rPr>
          <w:t>Davies et al., 2022</w:t>
        </w:r>
      </w:hyperlink>
      <w:r w:rsidR="00D50EFF" w:rsidRPr="009819CE">
        <w:rPr>
          <w:rFonts w:cstheme="minorBidi"/>
        </w:rPr>
        <w:t>)</w:t>
      </w:r>
      <w:r w:rsidR="005154E9" w:rsidRPr="009819CE">
        <w:rPr>
          <w:rFonts w:cstheme="minorBidi"/>
        </w:rPr>
        <w:fldChar w:fldCharType="end"/>
      </w:r>
      <w:r w:rsidR="005154E9" w:rsidRPr="009819CE">
        <w:rPr>
          <w:rFonts w:cstheme="minorBidi"/>
        </w:rPr>
        <w:t>.</w:t>
      </w:r>
    </w:p>
    <w:p w14:paraId="26ADB72D" w14:textId="77777777" w:rsidR="005154E9" w:rsidRPr="009819CE" w:rsidRDefault="005154E9" w:rsidP="005154E9">
      <w:pPr>
        <w:spacing w:before="0" w:after="0"/>
        <w:rPr>
          <w:rFonts w:cstheme="minorBidi"/>
        </w:rPr>
      </w:pPr>
    </w:p>
    <w:p w14:paraId="16E2B76D" w14:textId="0C42FCED" w:rsidR="002773A2" w:rsidRPr="009819CE" w:rsidRDefault="002773A2" w:rsidP="009C3F77">
      <w:pPr>
        <w:pStyle w:val="Heading2"/>
        <w:numPr>
          <w:ilvl w:val="1"/>
          <w:numId w:val="22"/>
        </w:numPr>
        <w:rPr>
          <w:rFonts w:cstheme="minorBidi"/>
        </w:rPr>
      </w:pPr>
      <w:bookmarkStart w:id="162" w:name="_Ref163487338"/>
      <w:bookmarkStart w:id="163" w:name="_Toc204106606"/>
      <w:r w:rsidRPr="009819CE">
        <w:rPr>
          <w:rFonts w:cstheme="minorBidi"/>
        </w:rPr>
        <w:t>Microbiome</w:t>
      </w:r>
      <w:bookmarkEnd w:id="158"/>
      <w:r w:rsidR="003E68F3" w:rsidRPr="009819CE">
        <w:rPr>
          <w:rFonts w:cstheme="minorBidi"/>
        </w:rPr>
        <w:t xml:space="preserve"> within the context of health and disease</w:t>
      </w:r>
      <w:bookmarkEnd w:id="162"/>
      <w:bookmarkEnd w:id="163"/>
    </w:p>
    <w:p w14:paraId="48C079F8" w14:textId="77EBF481" w:rsidR="00A900E6" w:rsidRPr="009819CE" w:rsidRDefault="00A900E6" w:rsidP="00A900E6">
      <w:pPr>
        <w:spacing w:before="0" w:after="0"/>
        <w:rPr>
          <w:rFonts w:cstheme="minorBidi"/>
        </w:rPr>
      </w:pPr>
      <w:r w:rsidRPr="009819CE">
        <w:rPr>
          <w:rFonts w:cstheme="minorBidi"/>
        </w:rPr>
        <w:t xml:space="preserve">The term 'microbiome' was coined in 1988 to describe the microbial associates of plants </w:t>
      </w:r>
      <w:r w:rsidRPr="009819CE">
        <w:rPr>
          <w:rFonts w:cstheme="minorBidi"/>
        </w:rPr>
        <w:fldChar w:fldCharType="begin"/>
      </w:r>
      <w:r w:rsidR="00D50EFF" w:rsidRPr="009819CE">
        <w:rPr>
          <w:rFonts w:cstheme="minorBidi"/>
        </w:rPr>
        <w:instrText xml:space="preserve"> ADDIN EN.CITE &lt;EndNote&gt;&lt;Cite&gt;&lt;Author&gt;Whipps&lt;/Author&gt;&lt;Year&gt;1988&lt;/Year&gt;&lt;RecNum&gt;1685&lt;/RecNum&gt;&lt;DisplayText&gt;(Whipps et al., 1988)&lt;/DisplayText&gt;&lt;record&gt;&lt;rec-number&gt;1685&lt;/rec-number&gt;&lt;foreign-keys&gt;&lt;key app="EN" db-id="sd9wrx9fj09rx3erprsx999o0r5aprvp2zse" timestamp="1688124695" guid="a1c687af-984d-48e6-aaf1-288fbef772de"&gt;1685&lt;/key&gt;&lt;/foreign-keys&gt;&lt;ref-type name="Book Section"&gt;5&lt;/ref-type&gt;&lt;contributors&gt;&lt;authors&gt;&lt;author&gt;Whipps, J. M.&lt;/author&gt;&lt;author&gt;Lewis, K.&lt;/author&gt;&lt;author&gt;Cooke, R. C.&lt;/author&gt;&lt;/authors&gt;&lt;secondary-authors&gt;&lt;author&gt;Burge, N. M.&lt;/author&gt;&lt;/secondary-authors&gt;&lt;/contributors&gt;&lt;titles&gt;&lt;title&gt;Mycoparasitism and plant disease control.&lt;/title&gt;&lt;secondary-title&gt;Fungi in Biological Control Systems.&lt;/secondary-title&gt;&lt;/titles&gt;&lt;pages&gt;161–187&lt;/pages&gt;&lt;number&gt;176&lt;/number&gt;&lt;dates&gt;&lt;year&gt;1988&lt;/year&gt;&lt;/dates&gt;&lt;publisher&gt;Manchester University Press.&lt;/publisher&gt;&lt;urls&gt;&lt;/urls&gt;&lt;/record&gt;&lt;/Cite&gt;&lt;/EndNote&gt;</w:instrText>
      </w:r>
      <w:r w:rsidRPr="009819CE">
        <w:rPr>
          <w:rFonts w:cstheme="minorBidi"/>
        </w:rPr>
        <w:fldChar w:fldCharType="separate"/>
      </w:r>
      <w:r w:rsidR="00D50EFF" w:rsidRPr="009819CE">
        <w:rPr>
          <w:rFonts w:cstheme="minorBidi"/>
        </w:rPr>
        <w:t>(</w:t>
      </w:r>
      <w:hyperlink w:anchor="_ENREF_356" w:tooltip="Whipps, 1988 #1685" w:history="1">
        <w:r w:rsidR="00950097" w:rsidRPr="009819CE">
          <w:rPr>
            <w:rFonts w:cstheme="minorBidi"/>
          </w:rPr>
          <w:t>Whipps et al., 1988</w:t>
        </w:r>
      </w:hyperlink>
      <w:r w:rsidR="00D50EFF" w:rsidRPr="009819CE">
        <w:rPr>
          <w:rFonts w:cstheme="minorBidi"/>
        </w:rPr>
        <w:t>)</w:t>
      </w:r>
      <w:r w:rsidRPr="009819CE">
        <w:rPr>
          <w:rFonts w:cstheme="minorBidi"/>
        </w:rPr>
        <w:fldChar w:fldCharType="end"/>
      </w:r>
      <w:r w:rsidRPr="009819CE">
        <w:rPr>
          <w:rFonts w:cstheme="minorBidi"/>
        </w:rPr>
        <w:t xml:space="preserve">. It refers to a distinct microbial community that inhabits a specific habitat with unique physiochemical properties (Berg et al., 2020). The study of the microbiome has </w:t>
      </w:r>
      <w:r w:rsidR="00B87478" w:rsidRPr="00FA7D47">
        <w:rPr>
          <w:rFonts w:cstheme="minorBidi"/>
        </w:rPr>
        <w:t xml:space="preserve">since </w:t>
      </w:r>
      <w:r w:rsidRPr="009819CE">
        <w:rPr>
          <w:rFonts w:cstheme="minorBidi"/>
        </w:rPr>
        <w:t xml:space="preserve">gained significant interest. </w:t>
      </w:r>
      <w:r w:rsidR="006A27D9" w:rsidRPr="009819CE">
        <w:rPr>
          <w:rFonts w:cstheme="minorBidi"/>
        </w:rPr>
        <w:t>T</w:t>
      </w:r>
      <w:r w:rsidR="00DE5EEC" w:rsidRPr="009819CE">
        <w:rPr>
          <w:rFonts w:cstheme="minorBidi"/>
        </w:rPr>
        <w:t>he microbiome may</w:t>
      </w:r>
      <w:r w:rsidRPr="009819CE">
        <w:rPr>
          <w:rFonts w:cstheme="minorBidi"/>
        </w:rPr>
        <w:t xml:space="preserve"> play a crucial role in maintaining animal health, providing functions such as nutrient processing and protection against pathogens and diseases </w:t>
      </w:r>
      <w:r w:rsidRPr="009819CE">
        <w:rPr>
          <w:rFonts w:cstheme="minorBidi"/>
        </w:rPr>
        <w:fldChar w:fldCharType="begin">
          <w:fldData xml:space="preserve">PEVuZE5vdGU+PENpdGU+PEF1dGhvcj5BYnQ8L0F1dGhvcj48WWVhcj4yMDE0PC9ZZWFyPjxSZWNO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</w:fldData>
        </w:fldChar>
      </w:r>
      <w:r w:rsidR="00EE7FB9">
        <w:rPr>
          <w:rFonts w:cstheme="minorBidi"/>
        </w:rPr>
        <w:instrText xml:space="preserve"> ADDIN EN.CITE </w:instrText>
      </w:r>
      <w:r w:rsidR="00EE7FB9">
        <w:rPr>
          <w:rFonts w:cstheme="minorBidi"/>
        </w:rPr>
        <w:fldChar w:fldCharType="begin">
          <w:fldData xml:space="preserve">PEVuZE5vdGU+PENpdGU+PEF1dGhvcj5BYnQ8L0F1dGhvcj48WWVhcj4yMDE0PC9ZZWFyPjxSZWNO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1" w:tooltip="Abt, 2014 #60" w:history="1">
        <w:r w:rsidR="00950097" w:rsidRPr="00EE7FB9">
          <w:rPr>
            <w:rFonts w:cstheme="minorBidi"/>
            <w:noProof/>
          </w:rPr>
          <w:t>Abt and Pamer, 2014</w:t>
        </w:r>
      </w:hyperlink>
      <w:r w:rsidR="00D50EFF" w:rsidRPr="00EE7FB9">
        <w:rPr>
          <w:rFonts w:cstheme="minorBidi"/>
          <w:noProof/>
        </w:rPr>
        <w:t xml:space="preserve">; </w:t>
      </w:r>
      <w:hyperlink w:anchor="_ENREF_30" w:tooltip="Belkaid, 2014 #1670" w:history="1">
        <w:r w:rsidR="00950097" w:rsidRPr="00EE7FB9">
          <w:rPr>
            <w:rFonts w:cstheme="minorBidi"/>
            <w:noProof/>
          </w:rPr>
          <w:t>Belkaid and Timothy, 2014</w:t>
        </w:r>
      </w:hyperlink>
      <w:r w:rsidR="00D50EFF" w:rsidRPr="00EE7FB9">
        <w:rPr>
          <w:rFonts w:cstheme="minorBidi"/>
          <w:noProof/>
        </w:rPr>
        <w:t xml:space="preserve">; </w:t>
      </w:r>
      <w:hyperlink w:anchor="_ENREF_50" w:tooltip="Chow, 2010 #9" w:history="1">
        <w:r w:rsidR="00950097" w:rsidRPr="00EE7FB9">
          <w:rPr>
            <w:rFonts w:cstheme="minorBidi"/>
            <w:noProof/>
          </w:rPr>
          <w:t>Chow et al., 2010</w:t>
        </w:r>
      </w:hyperlink>
      <w:r w:rsidR="00D50EFF" w:rsidRPr="00EE7FB9">
        <w:rPr>
          <w:rFonts w:cstheme="minorBidi"/>
          <w:noProof/>
        </w:rPr>
        <w:t xml:space="preserve">; </w:t>
      </w:r>
      <w:hyperlink w:anchor="_ENREF_232" w:tooltip="Nyholm, 2012 #37" w:history="1">
        <w:r w:rsidR="00950097" w:rsidRPr="00EE7FB9">
          <w:rPr>
            <w:rFonts w:cstheme="minorBidi"/>
            <w:noProof/>
          </w:rPr>
          <w:t>Nyholm and Graf, 2012</w:t>
        </w:r>
      </w:hyperlink>
      <w:r w:rsidR="00D50EFF" w:rsidRPr="00EE7FB9">
        <w:rPr>
          <w:rFonts w:cstheme="minorBidi"/>
          <w:noProof/>
        </w:rPr>
        <w:t>)</w:t>
      </w:r>
      <w:r w:rsidRPr="009819CE">
        <w:rPr>
          <w:rFonts w:cstheme="minorBidi"/>
        </w:rPr>
        <w:fldChar w:fldCharType="end"/>
      </w:r>
      <w:r w:rsidRPr="009819CE">
        <w:rPr>
          <w:rFonts w:cstheme="minorBidi"/>
        </w:rPr>
        <w:t xml:space="preserve">. Host-associated microbes, also known as symbionts, provide a form of defence for the host by directly and indirectly conferring resistance against invading pathogens </w:t>
      </w:r>
      <w:r w:rsidRPr="009819CE">
        <w:rPr>
          <w:rFonts w:cstheme="minorBidi"/>
        </w:rPr>
        <w:fldChar w:fldCharType="begin">
          <w:fldData xml:space="preserve">PEVuZE5vdGU+PENpdGU+PEF1dGhvcj5BYnQ8L0F1dGhvcj48WWVhcj4yMDE0PC9ZZWFyPjxSZWNO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PEVuZE5vdGU+PENpdGU+PEF1dGhvcj5BYnQ8L0F1dGhvcj48WWVhcj4yMDE0PC9ZZWFyPjxSZWNO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 w:tooltip="Abt, 2014 #60" w:history="1">
        <w:r w:rsidR="00950097" w:rsidRPr="007268F5">
          <w:rPr>
            <w:rFonts w:cstheme="minorBidi"/>
          </w:rPr>
          <w:t>Abt and Pamer, 2014</w:t>
        </w:r>
      </w:hyperlink>
      <w:r w:rsidR="00D50EFF" w:rsidRPr="007268F5">
        <w:rPr>
          <w:rFonts w:cstheme="minorBidi"/>
        </w:rPr>
        <w:t xml:space="preserve">; </w:t>
      </w:r>
      <w:hyperlink w:anchor="_ENREF_165" w:tooltip="Khan, 2021 #1671" w:history="1">
        <w:r w:rsidR="00950097" w:rsidRPr="007268F5">
          <w:rPr>
            <w:rFonts w:cstheme="minorBidi"/>
          </w:rPr>
          <w:t>Khan et al., 2021</w:t>
        </w:r>
      </w:hyperlink>
      <w:r w:rsidR="00D50EFF" w:rsidRPr="007268F5">
        <w:rPr>
          <w:rFonts w:cstheme="minorBidi"/>
        </w:rPr>
        <w:t>)</w:t>
      </w:r>
      <w:r w:rsidRPr="009819CE">
        <w:rPr>
          <w:rFonts w:cstheme="minorBidi"/>
        </w:rPr>
        <w:fldChar w:fldCharType="end"/>
      </w:r>
      <w:r w:rsidRPr="009819CE">
        <w:rPr>
          <w:rFonts w:cstheme="minorBidi"/>
        </w:rPr>
        <w:t xml:space="preserve">. These microbial communities have coevolved with their hosts, establishing a mutually beneficial relationship known as host-microbial symbiosis. Symbionts effectively outcompete pathogens by consuming essential nutrients and energy sources required for the pathogens to grow and establish themselves. Furthermore, symbionts can indirectly stimulate and enhance host immune cells, leading to the basal expression of host defence factors </w:t>
      </w:r>
      <w:r w:rsidRPr="009819CE">
        <w:rPr>
          <w:rFonts w:cstheme="minorBidi"/>
        </w:rPr>
        <w:fldChar w:fldCharType="begin"/>
      </w:r>
      <w:r w:rsidR="00871B4F">
        <w:rPr>
          <w:rFonts w:cstheme="minorBidi"/>
        </w:rPr>
        <w:instrText xml:space="preserve"> ADDIN EN.CITE &lt;EndNote&gt;&lt;Cite&gt;&lt;Author&gt;Sassone-Corsi&lt;/Author&gt;&lt;Year&gt;2015&lt;/Year&gt;&lt;RecNum&gt;81&lt;/RecNum&gt;&lt;DisplayText&gt;(Sassone-Corsi and Raffatellu, 2015)&lt;/DisplayText&gt;&lt;record&gt;&lt;rec-number&gt;81&lt;/rec-number&gt;&lt;foreign-keys&gt;&lt;key app="EN" db-id="sd9wrx9fj09rx3erprsx999o0r5aprvp2zse" timestamp="1687855901" guid="48fa8e85-cc2a-47ef-a744-bfc41d56671d"&gt;81&lt;/key&gt;&lt;/foreign-keys&gt;&lt;ref-type name="Journal Article"&gt;17&lt;/ref-type&gt;&lt;contributors&gt;&lt;authors&gt;&lt;author&gt;Sassone-Corsi, Martina&lt;/author&gt;&lt;author&gt;Raffatellu, Manuela&lt;/author&gt;&lt;/authors&gt;&lt;/contributors&gt;&lt;titles&gt;&lt;title&gt;No vacancy: how beneficial microbes cooperate with immunity to provide colonization resistance to pathogens&lt;/title&gt;&lt;secondary-title&gt;Journal of Immunology&lt;/secondary-title&gt;&lt;/titles&gt;&lt;periodical&gt;&lt;full-title&gt;Journal of Immunology&lt;/full-title&gt;&lt;/periodical&gt;&lt;pages&gt;4081-4087&lt;/pages&gt;&lt;volume&gt;194&lt;/volume&gt;&lt;number&gt;9&lt;/number&gt;&lt;dates&gt;&lt;year&gt;2015&lt;/year&gt;&lt;/dates&gt;&lt;urls&gt;&lt;/urls&gt;&lt;electronic-resource-num&gt;10.4049/jimmunol.1403169&lt;/electronic-resource-num&gt;&lt;/record&gt;&lt;/Cite&gt;&lt;/EndNote&gt;</w:instrText>
      </w:r>
      <w:r w:rsidRPr="009819CE">
        <w:rPr>
          <w:rFonts w:cstheme="minorBidi"/>
        </w:rPr>
        <w:fldChar w:fldCharType="separate"/>
      </w:r>
      <w:r w:rsidR="00D50EFF" w:rsidRPr="00871B4F">
        <w:rPr>
          <w:rFonts w:cstheme="minorBidi"/>
          <w:noProof/>
        </w:rPr>
        <w:t>(</w:t>
      </w:r>
      <w:hyperlink w:anchor="_ENREF_269" w:tooltip="Sassone-Corsi, 2015 #81" w:history="1">
        <w:r w:rsidR="00950097" w:rsidRPr="00871B4F">
          <w:rPr>
            <w:rFonts w:cstheme="minorBidi"/>
            <w:noProof/>
          </w:rPr>
          <w:t>Sassone-Corsi and Raffatellu, 2015</w:t>
        </w:r>
      </w:hyperlink>
      <w:r w:rsidR="00D50EFF" w:rsidRPr="00871B4F">
        <w:rPr>
          <w:rFonts w:cstheme="minorBidi"/>
          <w:noProof/>
        </w:rPr>
        <w:t>)</w:t>
      </w:r>
      <w:r w:rsidRPr="009819CE">
        <w:rPr>
          <w:rFonts w:cstheme="minorBidi"/>
        </w:rPr>
        <w:fldChar w:fldCharType="end"/>
      </w:r>
      <w:r w:rsidRPr="009819CE">
        <w:rPr>
          <w:rFonts w:cstheme="minorBidi"/>
        </w:rPr>
        <w:t xml:space="preserve">, thus contributing to the development of both innate and adaptive immunity in the host </w:t>
      </w:r>
      <w:r w:rsidRPr="009819CE">
        <w:rPr>
          <w:rFonts w:cstheme="minorBidi"/>
        </w:rPr>
        <w:fldChar w:fldCharType="begin">
          <w:fldData xml:space="preserve">PEVuZE5vdGU+PENpdGU+PEF1dGhvcj5aZWxhbnRlPC9BdXRob3I+PFllYXI+MjAxMzwvWWVhcj48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PEVuZE5vdGU+PENpdGU+PEF1dGhvcj5aZWxhbnRlPC9BdXRob3I+PFllYXI+MjAxMzwvWWVhcj48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322" w:tooltip="Thaiss, 2016 #1673" w:history="1">
        <w:r w:rsidR="00950097" w:rsidRPr="007268F5">
          <w:rPr>
            <w:rFonts w:cstheme="minorBidi"/>
          </w:rPr>
          <w:t>Thaiss et al., 2016</w:t>
        </w:r>
      </w:hyperlink>
      <w:r w:rsidR="00D50EFF" w:rsidRPr="007268F5">
        <w:rPr>
          <w:rFonts w:cstheme="minorBidi"/>
        </w:rPr>
        <w:t xml:space="preserve">; </w:t>
      </w:r>
      <w:hyperlink w:anchor="_ENREF_368" w:tooltip="Zelante, 2013 #395" w:history="1">
        <w:r w:rsidR="00950097" w:rsidRPr="007268F5">
          <w:rPr>
            <w:rFonts w:cstheme="minorBidi"/>
          </w:rPr>
          <w:t>Zelante et al., 2013</w:t>
        </w:r>
      </w:hyperlink>
      <w:r w:rsidR="00D50EFF" w:rsidRPr="007268F5">
        <w:rPr>
          <w:rFonts w:cstheme="minorBidi"/>
        </w:rPr>
        <w:t>)</w:t>
      </w:r>
      <w:r w:rsidRPr="009819CE">
        <w:rPr>
          <w:rFonts w:cstheme="minorBidi"/>
        </w:rPr>
        <w:fldChar w:fldCharType="end"/>
      </w:r>
      <w:r w:rsidRPr="009819CE">
        <w:rPr>
          <w:rFonts w:cstheme="minorBidi"/>
        </w:rPr>
        <w:t xml:space="preserve">. Alternatively, symbionts can produce bioactive compounds, such as peptides, bacteriocins and microcin’s, or their precursors, which contribute to the host's defensive chemistry </w:t>
      </w:r>
      <w:r w:rsidRPr="009819CE">
        <w:rPr>
          <w:rFonts w:cstheme="minorBidi"/>
        </w:rPr>
        <w:fldChar w:fldCharType="begin">
          <w:fldData xml:space="preserve">PEVuZE5vdGU+PENpdGU+PEF1dGhvcj5IYW1tYW1pPC9BdXRob3I+PFllYXI+MjAxMzwvWWVhcj48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PEVuZE5vdGU+PENpdGU+PEF1dGhvcj5IYW1tYW1pPC9BdXRob3I+PFllYXI+MjAxMzwvWWVhcj48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124" w:tooltip="Hammami, 2013 #49" w:history="1">
        <w:r w:rsidR="00950097" w:rsidRPr="009819CE">
          <w:rPr>
            <w:rFonts w:cstheme="minorBidi"/>
          </w:rPr>
          <w:t>Hammami et al., 2013</w:t>
        </w:r>
      </w:hyperlink>
      <w:r w:rsidR="00D50EFF" w:rsidRPr="009819CE">
        <w:rPr>
          <w:rFonts w:cstheme="minorBidi"/>
        </w:rPr>
        <w:t xml:space="preserve">; </w:t>
      </w:r>
      <w:hyperlink w:anchor="_ENREF_253" w:tooltip="Rebuffat, 2012 #38" w:history="1">
        <w:r w:rsidR="00950097" w:rsidRPr="009819CE">
          <w:rPr>
            <w:rFonts w:cstheme="minorBidi"/>
          </w:rPr>
          <w:t>Rebuffat, 2012</w:t>
        </w:r>
      </w:hyperlink>
      <w:r w:rsidR="00D50EFF" w:rsidRPr="009819CE">
        <w:rPr>
          <w:rFonts w:cstheme="minorBidi"/>
        </w:rPr>
        <w:t xml:space="preserve">; </w:t>
      </w:r>
      <w:hyperlink w:anchor="_ENREF_322" w:tooltip="Thaiss, 2016 #1673" w:history="1">
        <w:r w:rsidR="00950097" w:rsidRPr="009819CE">
          <w:rPr>
            <w:rFonts w:cstheme="minorBidi"/>
          </w:rPr>
          <w:t>Thaiss et al., 2016</w:t>
        </w:r>
      </w:hyperlink>
      <w:r w:rsidR="00D50EFF" w:rsidRPr="009819CE">
        <w:rPr>
          <w:rFonts w:cstheme="minorBidi"/>
        </w:rPr>
        <w:t>)</w:t>
      </w:r>
      <w:r w:rsidRPr="009819CE">
        <w:rPr>
          <w:rFonts w:cstheme="minorBidi"/>
        </w:rPr>
        <w:fldChar w:fldCharType="end"/>
      </w:r>
      <w:r w:rsidRPr="009819CE">
        <w:rPr>
          <w:rFonts w:cstheme="minorBidi"/>
        </w:rPr>
        <w:t xml:space="preserve">. </w:t>
      </w:r>
    </w:p>
    <w:p w14:paraId="4188B910" w14:textId="77777777" w:rsidR="00D42FFD" w:rsidRPr="009819CE" w:rsidRDefault="00D42FFD" w:rsidP="00A900E6">
      <w:pPr>
        <w:spacing w:before="0" w:after="0"/>
        <w:rPr>
          <w:rFonts w:cstheme="minorBidi"/>
        </w:rPr>
      </w:pPr>
    </w:p>
    <w:p w14:paraId="27451C1C" w14:textId="4EB58C2D" w:rsidR="002773A2" w:rsidRPr="009819CE" w:rsidRDefault="00746B73" w:rsidP="007F2C25">
      <w:pPr>
        <w:pStyle w:val="Heading3"/>
        <w:rPr>
          <w:rFonts w:cstheme="minorBidi"/>
        </w:rPr>
      </w:pPr>
      <w:bookmarkStart w:id="164" w:name="_Toc94799258"/>
      <w:bookmarkStart w:id="165" w:name="_Toc204106607"/>
      <w:r w:rsidRPr="00FA7D47">
        <w:rPr>
          <w:rFonts w:cstheme="minorBidi"/>
        </w:rPr>
        <w:t xml:space="preserve">The </w:t>
      </w:r>
      <w:r w:rsidR="000F3C0E" w:rsidRPr="00FA7D47">
        <w:rPr>
          <w:rFonts w:cstheme="minorBidi"/>
        </w:rPr>
        <w:t>microbiome of decapod crustaceans</w:t>
      </w:r>
      <w:bookmarkEnd w:id="164"/>
      <w:bookmarkEnd w:id="165"/>
    </w:p>
    <w:p w14:paraId="053B32DF" w14:textId="60CAA5A7" w:rsidR="004A631C" w:rsidRPr="009819CE" w:rsidRDefault="002773A2" w:rsidP="00131FCF">
      <w:pPr>
        <w:spacing w:before="0" w:after="0"/>
        <w:rPr>
          <w:rFonts w:cstheme="minorBidi"/>
        </w:rPr>
      </w:pPr>
      <w:r w:rsidRPr="009819CE">
        <w:rPr>
          <w:rFonts w:eastAsia="Calibri" w:cstheme="minorBidi"/>
        </w:rPr>
        <w:t xml:space="preserve">The advancement of high-throughput sequencing has made studying the gut and haemolymph microbiota </w:t>
      </w:r>
      <w:r w:rsidR="00C70B4E" w:rsidRPr="009819CE">
        <w:rPr>
          <w:rFonts w:eastAsia="Calibri" w:cstheme="minorBidi"/>
        </w:rPr>
        <w:t xml:space="preserve">possible </w:t>
      </w:r>
      <w:r w:rsidRPr="009819CE">
        <w:rPr>
          <w:rFonts w:eastAsia="Calibri" w:cstheme="minorBidi"/>
        </w:rPr>
        <w:t xml:space="preserve">in </w:t>
      </w:r>
      <w:r w:rsidR="0079643D" w:rsidRPr="009819CE">
        <w:rPr>
          <w:rFonts w:eastAsia="Calibri" w:cstheme="minorBidi"/>
        </w:rPr>
        <w:t xml:space="preserve">decapod </w:t>
      </w:r>
      <w:r w:rsidRPr="009819CE">
        <w:rPr>
          <w:rFonts w:eastAsia="Calibri" w:cstheme="minorBidi"/>
        </w:rPr>
        <w:t>research. Numerous studies have focused on</w:t>
      </w:r>
      <w:r w:rsidR="000522C5" w:rsidRPr="009819CE">
        <w:rPr>
          <w:rFonts w:eastAsia="Calibri" w:cstheme="minorBidi"/>
        </w:rPr>
        <w:t xml:space="preserve"> describing</w:t>
      </w:r>
      <w:r w:rsidRPr="009819CE">
        <w:rPr>
          <w:rFonts w:eastAsia="Calibri" w:cstheme="minorBidi"/>
        </w:rPr>
        <w:t xml:space="preserve"> the gut microbiota of aquatic </w:t>
      </w:r>
      <w:r w:rsidR="000522C5" w:rsidRPr="009819CE">
        <w:rPr>
          <w:rFonts w:eastAsia="Calibri" w:cstheme="minorBidi"/>
        </w:rPr>
        <w:t xml:space="preserve">decapod </w:t>
      </w:r>
      <w:r w:rsidRPr="009819CE">
        <w:rPr>
          <w:rFonts w:eastAsia="Calibri" w:cstheme="minorBidi"/>
        </w:rPr>
        <w:t>crustacean species reared under various culture conditions</w:t>
      </w:r>
      <w:r w:rsidR="00426A42" w:rsidRPr="009819CE">
        <w:rPr>
          <w:rFonts w:eastAsia="Calibri" w:cstheme="minorBidi"/>
        </w:rPr>
        <w:t xml:space="preserve"> </w:t>
      </w:r>
      <w:r w:rsidR="009A38F1" w:rsidRPr="009819CE">
        <w:rPr>
          <w:rFonts w:eastAsia="Calibri" w:cstheme="minorBidi"/>
        </w:rPr>
        <w:fldChar w:fldCharType="begin">
          <w:fldData xml:space="preserve">PEVuZE5vdGU+PENpdGU+PEF1dGhvcj5Gb3lzYWw8L0F1dGhvcj48WWVhcj4yMDIyPC9ZZWFyPjxS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</w:fldData>
        </w:fldChar>
      </w:r>
      <w:r w:rsidR="00ED1A9E" w:rsidRPr="009819CE">
        <w:rPr>
          <w:rFonts w:eastAsia="Calibri" w:cstheme="minorBidi"/>
        </w:rPr>
        <w:instrText xml:space="preserve"> ADDIN EN.CITE </w:instrText>
      </w:r>
      <w:r w:rsidR="00ED1A9E" w:rsidRPr="009819CE">
        <w:rPr>
          <w:rFonts w:eastAsia="Calibri" w:cstheme="minorBidi"/>
        </w:rPr>
        <w:fldChar w:fldCharType="begin">
          <w:fldData xml:space="preserve">PEVuZE5vdGU+PENpdGU+PEF1dGhvcj5Gb3lzYWw8L0F1dGhvcj48WWVhcj4yMDIyPC9ZZWFyPjxS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</w:fldData>
        </w:fldChar>
      </w:r>
      <w:r w:rsidR="00ED1A9E" w:rsidRPr="009819CE">
        <w:rPr>
          <w:rFonts w:eastAsia="Calibri" w:cstheme="minorBidi"/>
        </w:rPr>
        <w:instrText xml:space="preserve"> ADDIN EN.CITE.DATA </w:instrText>
      </w:r>
      <w:r w:rsidR="00ED1A9E" w:rsidRPr="009819CE">
        <w:rPr>
          <w:rFonts w:eastAsia="Calibri" w:cstheme="minorBidi"/>
        </w:rPr>
      </w:r>
      <w:r w:rsidR="00ED1A9E" w:rsidRPr="009819CE">
        <w:rPr>
          <w:rFonts w:eastAsia="Calibri" w:cstheme="minorBidi"/>
        </w:rPr>
        <w:fldChar w:fldCharType="end"/>
      </w:r>
      <w:r w:rsidR="009A38F1" w:rsidRPr="009819CE">
        <w:rPr>
          <w:rFonts w:eastAsia="Calibri" w:cstheme="minorBidi"/>
        </w:rPr>
      </w:r>
      <w:r w:rsidR="009A38F1" w:rsidRPr="009819CE">
        <w:rPr>
          <w:rFonts w:eastAsia="Calibri" w:cstheme="minorBidi"/>
        </w:rPr>
        <w:fldChar w:fldCharType="separate"/>
      </w:r>
      <w:r w:rsidR="00FF3B4A" w:rsidRPr="007268F5">
        <w:rPr>
          <w:rFonts w:eastAsia="Calibri" w:cstheme="minorBidi"/>
        </w:rPr>
        <w:t>(</w:t>
      </w:r>
      <w:hyperlink w:anchor="_ENREF_48" w:tooltip="Chen, 2023 #1930" w:history="1">
        <w:r w:rsidR="00950097" w:rsidRPr="007268F5">
          <w:rPr>
            <w:rFonts w:eastAsia="Calibri" w:cstheme="minorBidi"/>
          </w:rPr>
          <w:t>Chen et al., 2023</w:t>
        </w:r>
      </w:hyperlink>
      <w:r w:rsidR="00FF3B4A" w:rsidRPr="007268F5">
        <w:rPr>
          <w:rFonts w:eastAsia="Calibri" w:cstheme="minorBidi"/>
        </w:rPr>
        <w:t xml:space="preserve">; </w:t>
      </w:r>
      <w:hyperlink w:anchor="_ENREF_101" w:tooltip="Foysal, 2022 #1929" w:history="1">
        <w:r w:rsidR="00950097" w:rsidRPr="007268F5">
          <w:rPr>
            <w:rFonts w:eastAsia="Calibri" w:cstheme="minorBidi"/>
          </w:rPr>
          <w:t>Foysal et al., 2022</w:t>
        </w:r>
      </w:hyperlink>
      <w:r w:rsidR="00FF3B4A" w:rsidRPr="007268F5">
        <w:rPr>
          <w:rFonts w:eastAsia="Calibri" w:cstheme="minorBidi"/>
        </w:rPr>
        <w:t xml:space="preserve">; </w:t>
      </w:r>
      <w:hyperlink w:anchor="_ENREF_219" w:tooltip="Meziti, 2012 #462" w:history="1">
        <w:r w:rsidR="00950097" w:rsidRPr="007268F5">
          <w:rPr>
            <w:rFonts w:eastAsia="Calibri" w:cstheme="minorBidi"/>
          </w:rPr>
          <w:t>Meziti et al., 2012</w:t>
        </w:r>
      </w:hyperlink>
      <w:r w:rsidR="00FF3B4A" w:rsidRPr="007268F5">
        <w:rPr>
          <w:rFonts w:eastAsia="Calibri" w:cstheme="minorBidi"/>
        </w:rPr>
        <w:t>)</w:t>
      </w:r>
      <w:r w:rsidR="009A38F1" w:rsidRPr="009819CE">
        <w:rPr>
          <w:rFonts w:eastAsia="Calibri" w:cstheme="minorBidi"/>
        </w:rPr>
        <w:fldChar w:fldCharType="end"/>
      </w:r>
      <w:r w:rsidRPr="009819CE">
        <w:rPr>
          <w:rFonts w:eastAsia="Calibri" w:cstheme="minorBidi"/>
        </w:rPr>
        <w:t>. The gut microbiota, also known as the gut microbiome, refers to the microorganisms inhabiting the digestive tract and interacting with the host organism. The gut microbiome plays a crucial role in crustacean species, influencing digestion, nutrition, growth, reproduction, immune system function, and disease susceptibility (Diwan et al., 2022).</w:t>
      </w:r>
      <w:r w:rsidRPr="009819CE">
        <w:rPr>
          <w:rFonts w:cstheme="minorBidi"/>
        </w:rPr>
        <w:t xml:space="preserve"> </w:t>
      </w:r>
    </w:p>
    <w:p w14:paraId="503A8BAB" w14:textId="55121B0D" w:rsidR="002773A2" w:rsidRPr="009819CE" w:rsidRDefault="002773A2" w:rsidP="00131FCF">
      <w:pPr>
        <w:spacing w:before="0" w:after="0"/>
        <w:rPr>
          <w:rFonts w:cstheme="minorBidi"/>
        </w:rPr>
      </w:pPr>
      <w:r w:rsidRPr="009819CE">
        <w:rPr>
          <w:rFonts w:cstheme="minorBidi"/>
        </w:rPr>
        <w:t xml:space="preserve">The microorganisms residing within the haemolymph are known as the haemolymph microbiota or haemolymph microbiome. Traditionally, the haemolymph of </w:t>
      </w:r>
      <w:r w:rsidR="00D94DC1" w:rsidRPr="00FA7D47">
        <w:rPr>
          <w:rFonts w:cstheme="minorBidi"/>
        </w:rPr>
        <w:t>“healthy”</w:t>
      </w:r>
      <w:r w:rsidRPr="009819CE">
        <w:rPr>
          <w:rFonts w:cstheme="minorBidi"/>
        </w:rPr>
        <w:t xml:space="preserve"> invertebrates was considered to be sterile</w:t>
      </w:r>
      <w:r w:rsidR="00DE7BCA">
        <w:rPr>
          <w:rFonts w:cstheme="minorBidi"/>
        </w:rPr>
        <w:t xml:space="preserve"> </w:t>
      </w:r>
      <w:r w:rsidR="00DE7BCA">
        <w:rPr>
          <w:rFonts w:cstheme="minorBidi"/>
        </w:rPr>
        <w:fldChar w:fldCharType="begin"/>
      </w:r>
      <w:r w:rsidR="00EE7FB9">
        <w:rPr>
          <w:rFonts w:cstheme="minorBidi"/>
        </w:rPr>
        <w:instrText xml:space="preserve"> ADDIN EN.CITE &lt;EndNote&gt;&lt;Cite&gt;&lt;Author&gt;Wang&lt;/Author&gt;&lt;Year&gt;2015&lt;/Year&gt;&lt;RecNum&gt;1260&lt;/RecNum&gt;&lt;DisplayText&gt;(Wang and Wang, 2015)&lt;/DisplayText&gt;&lt;record&gt;&lt;rec-number&gt;1260&lt;/rec-number&gt;&lt;foreign-keys&gt;&lt;key app="EN" db-id="sd9wrx9fj09rx3erprsx999o0r5aprvp2zse" timestamp="1687855902" guid="6a6bd94b-33a5-49a9-96ee-f9d017170bea"&gt;1260&lt;/key&gt;&lt;/foreign-keys&gt;&lt;ref-type name="Journal Article"&gt;17&lt;/ref-type&gt;&lt;contributors&gt;&lt;authors&gt;&lt;author&gt;Wang, Xian Wei&lt;/author&gt;&lt;author&gt;Wang, Jin Xing&lt;/author&gt;&lt;/authors&gt;&lt;/contributors&gt;&lt;titles&gt;&lt;title&gt;Crustacean hemolymph microbiota: endemic, tightly controlled, and utilization expectable&lt;/title&gt;&lt;secondary-title&gt;Molecular Immunology&lt;/secondary-title&gt;&lt;/titles&gt;&lt;periodical&gt;&lt;full-title&gt;Molecular Immunology&lt;/full-title&gt;&lt;/periodical&gt;&lt;pages&gt;404-411&lt;/pages&gt;&lt;volume&gt;68&lt;/volume&gt;&lt;number&gt;2&lt;/number&gt;&lt;keywords&gt;&lt;keyword&gt;Antimicrobial peptides&lt;/keyword&gt;&lt;keyword&gt;Crustacean&lt;/keyword&gt;&lt;keyword&gt;Hemolymph microbiota&lt;/keyword&gt;&lt;keyword&gt;Lectins&lt;/keyword&gt;&lt;keyword&gt;Shrimp&lt;/keyword&gt;&lt;/keywords&gt;&lt;dates&gt;&lt;year&gt;2015&lt;/year&gt;&lt;pub-dates&gt;&lt;date&gt;2015/12//&lt;/date&gt;&lt;/pub-dates&gt;&lt;/dates&gt;&lt;publisher&gt;Pergamon&lt;/publisher&gt;&lt;urls&gt;&lt;/urls&gt;&lt;electronic-resource-num&gt;10.1016/J.MOLIMM.2015.06.018&lt;/electronic-resource-num&gt;&lt;/record&gt;&lt;/Cite&gt;&lt;/EndNote&gt;</w:instrText>
      </w:r>
      <w:r w:rsidR="00DE7BCA">
        <w:rPr>
          <w:rFonts w:cstheme="minorBidi"/>
        </w:rPr>
        <w:fldChar w:fldCharType="separate"/>
      </w:r>
      <w:r w:rsidR="00DE7BCA">
        <w:rPr>
          <w:rFonts w:cstheme="minorBidi"/>
          <w:noProof/>
        </w:rPr>
        <w:t>(</w:t>
      </w:r>
      <w:hyperlink w:anchor="_ENREF_348" w:tooltip="Wang, 2015 #1260" w:history="1">
        <w:r w:rsidR="00950097">
          <w:rPr>
            <w:rFonts w:cstheme="minorBidi"/>
            <w:noProof/>
          </w:rPr>
          <w:t>Wang and Wang, 2015</w:t>
        </w:r>
      </w:hyperlink>
      <w:r w:rsidR="00DE7BCA">
        <w:rPr>
          <w:rFonts w:cstheme="minorBidi"/>
          <w:noProof/>
        </w:rPr>
        <w:t>)</w:t>
      </w:r>
      <w:r w:rsidR="00DE7BCA">
        <w:rPr>
          <w:rFonts w:cstheme="minorBidi"/>
        </w:rPr>
        <w:fldChar w:fldCharType="end"/>
      </w:r>
      <w:r w:rsidRPr="009819CE">
        <w:rPr>
          <w:rFonts w:cstheme="minorBidi"/>
        </w:rPr>
        <w:t xml:space="preserve"> </w:t>
      </w:r>
      <w:r w:rsidR="000972CD">
        <w:rPr>
          <w:rFonts w:cstheme="minorBidi"/>
          <w:color w:val="000000"/>
        </w:rPr>
        <w:t>.</w:t>
      </w:r>
      <w:r w:rsidRPr="009819CE">
        <w:rPr>
          <w:rFonts w:cstheme="minorBidi"/>
        </w:rPr>
        <w:t xml:space="preserve">However, </w:t>
      </w:r>
      <w:r w:rsidR="00852E32" w:rsidRPr="009819CE">
        <w:rPr>
          <w:rFonts w:cstheme="minorBidi"/>
        </w:rPr>
        <w:t xml:space="preserve">several </w:t>
      </w:r>
      <w:r w:rsidRPr="009819CE">
        <w:rPr>
          <w:rFonts w:cstheme="minorBidi"/>
        </w:rPr>
        <w:t xml:space="preserve">studies </w:t>
      </w:r>
      <w:r w:rsidR="00852E32" w:rsidRPr="009819CE">
        <w:rPr>
          <w:rFonts w:cstheme="minorBidi"/>
        </w:rPr>
        <w:t>have shown</w:t>
      </w:r>
      <w:r w:rsidRPr="009819CE">
        <w:rPr>
          <w:rFonts w:cstheme="minorBidi"/>
        </w:rPr>
        <w:t xml:space="preserve"> that crustacean haemolymph is not sterile and contains bacteria </w:t>
      </w:r>
      <w:r w:rsidRPr="009819CE">
        <w:rPr>
          <w:rFonts w:cstheme="minorBidi"/>
        </w:rPr>
        <w:fldChar w:fldCharType="begin">
          <w:fldData xml:space="preserve">PEVuZE5vdGU+PENpdGU+PEF1dGhvcj5HaXZlbnM8L0F1dGhvcj48WWVhcj4yMDEzPC9ZZWFyPjxS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PEVuZE5vdGU+PENpdGU+PEF1dGhvcj5HaXZlbnM8L0F1dGhvcj48WWVhcj4yMDEzPC9ZZWFyPjxS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B50241" w:rsidRPr="007268F5">
        <w:rPr>
          <w:rFonts w:cstheme="minorBidi"/>
        </w:rPr>
        <w:t>(</w:t>
      </w:r>
      <w:hyperlink w:anchor="_ENREF_109" w:tooltip="Givens, 2013 #636" w:history="1">
        <w:r w:rsidR="00950097" w:rsidRPr="007268F5">
          <w:rPr>
            <w:rFonts w:cstheme="minorBidi"/>
          </w:rPr>
          <w:t>Givens et al., 2013</w:t>
        </w:r>
      </w:hyperlink>
      <w:r w:rsidR="00B50241" w:rsidRPr="007268F5">
        <w:rPr>
          <w:rFonts w:cstheme="minorBidi"/>
        </w:rPr>
        <w:t xml:space="preserve">; </w:t>
      </w:r>
      <w:hyperlink w:anchor="_ENREF_237" w:tooltip="Ooi, 2018 #475" w:history="1">
        <w:r w:rsidR="00950097" w:rsidRPr="007268F5">
          <w:rPr>
            <w:rFonts w:cstheme="minorBidi"/>
          </w:rPr>
          <w:t>Ooi, 2018</w:t>
        </w:r>
      </w:hyperlink>
      <w:r w:rsidR="00B50241" w:rsidRPr="007268F5">
        <w:rPr>
          <w:rFonts w:cstheme="minorBidi"/>
        </w:rPr>
        <w:t xml:space="preserve">; </w:t>
      </w:r>
      <w:hyperlink w:anchor="_ENREF_238" w:tooltip="Ooi, 2019 #327" w:history="1">
        <w:r w:rsidR="00950097" w:rsidRPr="007268F5">
          <w:rPr>
            <w:rFonts w:cstheme="minorBidi"/>
          </w:rPr>
          <w:t>Ooi et al., 2019</w:t>
        </w:r>
      </w:hyperlink>
      <w:r w:rsidR="00B50241" w:rsidRPr="007268F5">
        <w:rPr>
          <w:rFonts w:cstheme="minorBidi"/>
        </w:rPr>
        <w:t xml:space="preserve">; </w:t>
      </w:r>
      <w:hyperlink w:anchor="_ENREF_251" w:tooltip="Quinn, 2013 #52" w:history="1">
        <w:r w:rsidR="00950097" w:rsidRPr="007268F5">
          <w:rPr>
            <w:rFonts w:cstheme="minorBidi"/>
          </w:rPr>
          <w:t>Quinn et al., 2013</w:t>
        </w:r>
      </w:hyperlink>
      <w:r w:rsidR="00B50241" w:rsidRPr="007268F5">
        <w:rPr>
          <w:rFonts w:cstheme="minorBidi"/>
        </w:rPr>
        <w:t xml:space="preserve">; </w:t>
      </w:r>
      <w:hyperlink w:anchor="_ENREF_375" w:tooltip="Zhang, 2020 #471" w:history="1">
        <w:r w:rsidR="00950097" w:rsidRPr="007268F5">
          <w:rPr>
            <w:rFonts w:cstheme="minorBidi"/>
          </w:rPr>
          <w:t>Zhang et al., 2020a</w:t>
        </w:r>
      </w:hyperlink>
      <w:r w:rsidR="00B50241" w:rsidRPr="007268F5">
        <w:rPr>
          <w:rFonts w:cstheme="minorBidi"/>
        </w:rPr>
        <w:t>)</w:t>
      </w:r>
      <w:r w:rsidRPr="009819CE">
        <w:rPr>
          <w:rFonts w:cstheme="minorBidi"/>
        </w:rPr>
        <w:fldChar w:fldCharType="end"/>
      </w:r>
      <w:r w:rsidRPr="009819CE">
        <w:rPr>
          <w:rFonts w:cstheme="minorBidi"/>
        </w:rPr>
        <w:t xml:space="preserve">. </w:t>
      </w:r>
      <w:r w:rsidR="00817E32">
        <w:t xml:space="preserve">Bacteria in the haemolymph of </w:t>
      </w:r>
      <w:r w:rsidR="00D11B55" w:rsidRPr="00D11B55">
        <w:t>spiny lobster</w:t>
      </w:r>
      <w:r w:rsidR="00D11B55">
        <w:t xml:space="preserve"> (</w:t>
      </w:r>
      <w:r w:rsidR="00817E32">
        <w:rPr>
          <w:rStyle w:val="Emphasis"/>
          <w:rFonts w:eastAsiaTheme="majorEastAsia"/>
        </w:rPr>
        <w:t>Panulirus ornatus</w:t>
      </w:r>
      <w:r w:rsidR="00D11B55">
        <w:rPr>
          <w:rStyle w:val="Emphasis"/>
          <w:rFonts w:eastAsiaTheme="majorEastAsia"/>
        </w:rPr>
        <w:t>)</w:t>
      </w:r>
      <w:r w:rsidR="00817E32">
        <w:t xml:space="preserve"> can enhance host health by regulating immune responses, producing antimicrobial agents, and outcompeting pathogens</w:t>
      </w:r>
      <w:r w:rsidR="00D11B55">
        <w:t xml:space="preserve"> </w:t>
      </w:r>
      <w:r w:rsidRPr="009819CE">
        <w:rPr>
          <w:rFonts w:cstheme="minorBidi"/>
        </w:rPr>
        <w:fldChar w:fldCharType="begin"/>
      </w:r>
      <w:r w:rsidR="00D50EFF" w:rsidRPr="009819CE">
        <w:rPr>
          <w:rFonts w:cstheme="minorBidi"/>
        </w:rPr>
        <w:instrText xml:space="preserve"> ADDIN EN.CITE &lt;EndNote&gt;&lt;Cite&gt;&lt;Author&gt;Ooi&lt;/Author&gt;&lt;Year&gt;2019&lt;/Year&gt;&lt;RecNum&gt;327&lt;/RecNum&gt;&lt;DisplayText&gt;(Ooi et al., 2019)&lt;/DisplayText&gt;&lt;record&gt;&lt;rec-number&gt;327&lt;/rec-number&gt;&lt;foreign-keys&gt;&lt;key app="EN" db-id="sd9wrx9fj09rx3erprsx999o0r5aprvp2zse" timestamp="1687855901" guid="77690efd-6dee-46b5-b3a7-f1a2abc84c53"&gt;327&lt;/key&gt;&lt;/foreign-keys&gt;&lt;ref-type name="Journal Article"&gt;17&lt;/ref-type&gt;&lt;contributors&gt;&lt;authors&gt;&lt;author&gt;Ooi, Mei Chen&lt;/author&gt;&lt;author&gt;Goulden, Evan F.&lt;/author&gt;&lt;author&gt;Smith, Gregory G.&lt;/author&gt;&lt;author&gt;Bridle, Andrew R.&lt;/author&gt;&lt;/authors&gt;&lt;/contributors&gt;&lt;titles&gt;&lt;title&gt;&lt;style face="normal" font="default" size="100%"&gt;Haemolymph microbiome of the cultured spiny lobster &lt;/style&gt;&lt;style face="italic" font="default" size="100%"&gt;Panulirus ornatus&lt;/style&gt;&lt;style face="normal" font="default" size="100%"&gt; at different temperatures&lt;/style&gt;&lt;/title&gt;&lt;secondary-title&gt;Scientific Reports&lt;/secondary-title&gt;&lt;/titles&gt;&lt;periodical&gt;&lt;full-title&gt;Scientific Reports&lt;/full-title&gt;&lt;/periodical&gt;&lt;pages&gt;1677-1677&lt;/pages&gt;&lt;volume&gt;9&lt;/volume&gt;&lt;number&gt;1&lt;/number&gt;&lt;dates&gt;&lt;year&gt;2019&lt;/year&gt;&lt;pub-dates&gt;&lt;date&gt;2019/12//&lt;/date&gt;&lt;/pub-dates&gt;&lt;/dates&gt;&lt;publisher&gt;Springer US&lt;/publisher&gt;&lt;urls&gt;&lt;related-urls&gt;&lt;url&gt;http://dx.doi.org/10.1038/s41598-019-39149-7&lt;/url&gt;&lt;url&gt;http://www.nature.com/articles/s41598-019-39149-7&lt;/url&gt;&lt;/related-urls&gt;&lt;/urls&gt;&lt;electronic-resource-num&gt;10.1038/s41598-019-39149-7&lt;/electronic-resource-num&gt;&lt;/record&gt;&lt;/Cite&gt;&lt;/EndNote&gt;</w:instrText>
      </w:r>
      <w:r w:rsidRPr="009819CE">
        <w:rPr>
          <w:rFonts w:cstheme="minorBidi"/>
        </w:rPr>
        <w:fldChar w:fldCharType="separate"/>
      </w:r>
      <w:r w:rsidR="00D50EFF" w:rsidRPr="009819CE">
        <w:rPr>
          <w:rFonts w:cstheme="minorBidi"/>
        </w:rPr>
        <w:t>(</w:t>
      </w:r>
      <w:hyperlink w:anchor="_ENREF_238" w:tooltip="Ooi, 2019 #327" w:history="1">
        <w:r w:rsidR="00950097" w:rsidRPr="009819CE">
          <w:rPr>
            <w:rFonts w:cstheme="minorBidi"/>
          </w:rPr>
          <w:t>Ooi et al., 2019</w:t>
        </w:r>
      </w:hyperlink>
      <w:r w:rsidR="00D50EFF" w:rsidRPr="009819CE">
        <w:rPr>
          <w:rFonts w:cstheme="minorBidi"/>
        </w:rPr>
        <w:t>)</w:t>
      </w:r>
      <w:r w:rsidRPr="009819CE">
        <w:rPr>
          <w:rFonts w:cstheme="minorBidi"/>
        </w:rPr>
        <w:fldChar w:fldCharType="end"/>
      </w:r>
      <w:r w:rsidRPr="009819CE">
        <w:rPr>
          <w:rFonts w:cstheme="minorBidi"/>
        </w:rPr>
        <w:t xml:space="preserve">. Soluble lectins, vital for immune recognition </w:t>
      </w:r>
      <w:r w:rsidRPr="009819CE">
        <w:rPr>
          <w:rFonts w:cstheme="minorBidi"/>
        </w:rPr>
        <w:fldChar w:fldCharType="begin">
          <w:fldData xml:space="preserve">PEVuZE5vdGU+PENpdGU+PEF1dGhvcj5GcmVkcmljazwvQXV0aG9yPjxZZWFyPjIwMTI8L1llYXI+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PEVuZE5vdGU+PENpdGU+PEF1dGhvcj5GcmVkcmljazwvQXV0aG9yPjxZZWFyPjIwMTI8L1llYXI+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103" w:tooltip="Fredrick, 2012 #639" w:history="1">
        <w:r w:rsidR="00950097" w:rsidRPr="009819CE">
          <w:rPr>
            <w:rFonts w:cstheme="minorBidi"/>
          </w:rPr>
          <w:t>Fredrick and Ravichandran, 2012</w:t>
        </w:r>
      </w:hyperlink>
      <w:r w:rsidR="00D50EFF" w:rsidRPr="009819CE">
        <w:rPr>
          <w:rFonts w:cstheme="minorBidi"/>
        </w:rPr>
        <w:t xml:space="preserve">; </w:t>
      </w:r>
      <w:hyperlink w:anchor="_ENREF_234" w:tooltip="Ohtsubo, 2006 #1334" w:history="1">
        <w:r w:rsidR="00950097" w:rsidRPr="009819CE">
          <w:rPr>
            <w:rFonts w:cstheme="minorBidi"/>
          </w:rPr>
          <w:t>Ohtsubo and Marth, 2006</w:t>
        </w:r>
      </w:hyperlink>
      <w:r w:rsidR="00D50EFF" w:rsidRPr="009819CE">
        <w:rPr>
          <w:rFonts w:cstheme="minorBidi"/>
        </w:rPr>
        <w:t>)</w:t>
      </w:r>
      <w:r w:rsidRPr="009819CE">
        <w:rPr>
          <w:rFonts w:cstheme="minorBidi"/>
        </w:rPr>
        <w:fldChar w:fldCharType="end"/>
      </w:r>
      <w:r w:rsidRPr="009819CE">
        <w:rPr>
          <w:rFonts w:cstheme="minorBidi"/>
        </w:rPr>
        <w:t xml:space="preserve">, contribute to pathogen detection and perform functions like agglutination, opsonization, and gene expression modulation </w:t>
      </w:r>
      <w:r w:rsidRPr="009819CE">
        <w:rPr>
          <w:rFonts w:cstheme="minorBidi"/>
        </w:rPr>
        <w:fldChar w:fldCharType="begin">
          <w:fldData xml:space="preserve">PEVuZE5vdGU+PENpdGU+PEF1dGhvcj5BaG1tZWQ8L0F1dGhvcj48WWVhcj4yMDIyPC9ZZWFyPjxS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=
</w:fldData>
        </w:fldChar>
      </w:r>
      <w:r w:rsidR="003353A0" w:rsidRPr="009819CE">
        <w:rPr>
          <w:rFonts w:cstheme="minorBidi"/>
        </w:rPr>
        <w:instrText xml:space="preserve"> ADDIN EN.CITE </w:instrText>
      </w:r>
      <w:r w:rsidR="003353A0" w:rsidRPr="009819CE">
        <w:rPr>
          <w:rFonts w:cstheme="minorBidi"/>
        </w:rPr>
        <w:fldChar w:fldCharType="begin">
          <w:fldData xml:space="preserve">PEVuZE5vdGU+PENpdGU+PEF1dGhvcj5BaG1tZWQ8L0F1dGhvcj48WWVhcj4yMDIyPC9ZZWFyPjxS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=
</w:fldData>
        </w:fldChar>
      </w:r>
      <w:r w:rsidR="003353A0" w:rsidRPr="009819CE">
        <w:rPr>
          <w:rFonts w:cstheme="minorBidi"/>
        </w:rPr>
        <w:instrText xml:space="preserve"> ADDIN EN.CITE.DATA </w:instrText>
      </w:r>
      <w:r w:rsidR="003353A0" w:rsidRPr="009819CE">
        <w:rPr>
          <w:rFonts w:cstheme="minorBidi"/>
        </w:rPr>
      </w:r>
      <w:r w:rsidR="003353A0"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8" w:tooltip="Ahmmed, 2022 #1341" w:history="1">
        <w:r w:rsidR="00950097" w:rsidRPr="007268F5">
          <w:rPr>
            <w:rFonts w:cstheme="minorBidi"/>
          </w:rPr>
          <w:t>Ahmmed et al., 2022</w:t>
        </w:r>
      </w:hyperlink>
      <w:r w:rsidR="00D50EFF" w:rsidRPr="007268F5">
        <w:rPr>
          <w:rFonts w:cstheme="minorBidi"/>
        </w:rPr>
        <w:t xml:space="preserve">; </w:t>
      </w:r>
      <w:hyperlink w:anchor="_ENREF_193" w:tooltip="Liu, 2022 #1340" w:history="1">
        <w:r w:rsidR="00950097" w:rsidRPr="007268F5">
          <w:rPr>
            <w:rFonts w:cstheme="minorBidi"/>
          </w:rPr>
          <w:t>Liu et al., 2022</w:t>
        </w:r>
      </w:hyperlink>
      <w:r w:rsidR="00D50EFF" w:rsidRPr="007268F5">
        <w:rPr>
          <w:rFonts w:cstheme="minorBidi"/>
        </w:rPr>
        <w:t xml:space="preserve">; </w:t>
      </w:r>
      <w:hyperlink w:anchor="_ENREF_264" w:tooltip="Sánchez-Salgado, 2017 #1342" w:history="1">
        <w:r w:rsidR="00950097" w:rsidRPr="007268F5">
          <w:rPr>
            <w:rFonts w:cstheme="minorBidi"/>
          </w:rPr>
          <w:t>Sánchez-Salgado et al., 2017</w:t>
        </w:r>
      </w:hyperlink>
      <w:r w:rsidR="00D50EFF" w:rsidRPr="007268F5">
        <w:rPr>
          <w:rFonts w:cstheme="minorBidi"/>
        </w:rPr>
        <w:t>)</w:t>
      </w:r>
      <w:r w:rsidRPr="009819CE">
        <w:rPr>
          <w:rFonts w:cstheme="minorBidi"/>
        </w:rPr>
        <w:fldChar w:fldCharType="end"/>
      </w:r>
      <w:r w:rsidRPr="009819CE">
        <w:rPr>
          <w:rFonts w:cstheme="minorBidi"/>
        </w:rPr>
        <w:t>. These mechanisms are pivotal in suppressing haemolymph microbiota growth.</w:t>
      </w:r>
    </w:p>
    <w:p w14:paraId="1A4D4051" w14:textId="73995F80" w:rsidR="002773A2" w:rsidRPr="009819CE" w:rsidRDefault="002773A2" w:rsidP="001D2CB5">
      <w:pPr>
        <w:rPr>
          <w:rFonts w:cstheme="minorBidi"/>
        </w:rPr>
      </w:pPr>
      <w:r w:rsidRPr="009819CE">
        <w:rPr>
          <w:rFonts w:cstheme="minorBidi"/>
        </w:rPr>
        <w:t>The haemolymph and gut microbiota in crustaceans are shaped by several factors. In</w:t>
      </w:r>
      <w:r w:rsidR="00EB0FB0" w:rsidRPr="009819CE">
        <w:rPr>
          <w:rFonts w:cstheme="minorBidi"/>
        </w:rPr>
        <w:t xml:space="preserve"> </w:t>
      </w:r>
      <w:r w:rsidRPr="009819CE">
        <w:rPr>
          <w:rFonts w:cstheme="minorBidi"/>
        </w:rPr>
        <w:t xml:space="preserve">the gut, diet primarily drives specific microbial growth </w:t>
      </w:r>
      <w:r w:rsidRPr="009819CE">
        <w:rPr>
          <w:rFonts w:cstheme="minorBidi"/>
        </w:rPr>
        <w:fldChar w:fldCharType="begin">
          <w:fldData xml:space="preserve">PEVuZE5vdGU+PENpdGU+PEF1dGhvcj5IdWFuZzwvQXV0aG9yPjxZZWFyPjIwMjA8L1llYXI+PFJl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</w:fldData>
        </w:fldChar>
      </w:r>
      <w:r w:rsidR="00EE7FB9">
        <w:rPr>
          <w:rFonts w:cstheme="minorBidi"/>
        </w:rPr>
        <w:instrText xml:space="preserve"> ADDIN EN.CITE </w:instrText>
      </w:r>
      <w:r w:rsidR="00EE7FB9">
        <w:rPr>
          <w:rFonts w:cstheme="minorBidi"/>
        </w:rPr>
        <w:fldChar w:fldCharType="begin">
          <w:fldData xml:space="preserve">PEVuZE5vdGU+PENpdGU+PEF1dGhvcj5IdWFuZzwvQXV0aG9yPjxZZWFyPjIwMjA8L1llYXI+PFJl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B50241" w:rsidRPr="00EE7FB9">
        <w:rPr>
          <w:rFonts w:cstheme="minorBidi"/>
          <w:noProof/>
        </w:rPr>
        <w:t>(</w:t>
      </w:r>
      <w:hyperlink w:anchor="_ENREF_40" w:tooltip="Cao, 2020 #1816" w:history="1">
        <w:r w:rsidR="00950097" w:rsidRPr="00EE7FB9">
          <w:rPr>
            <w:rFonts w:cstheme="minorBidi"/>
            <w:noProof/>
          </w:rPr>
          <w:t>Cao et al., 2020</w:t>
        </w:r>
      </w:hyperlink>
      <w:r w:rsidR="00B50241" w:rsidRPr="00EE7FB9">
        <w:rPr>
          <w:rFonts w:cstheme="minorBidi"/>
          <w:noProof/>
        </w:rPr>
        <w:t xml:space="preserve">; </w:t>
      </w:r>
      <w:hyperlink w:anchor="_ENREF_102" w:tooltip="Foysal, 2020 #1817" w:history="1">
        <w:r w:rsidR="00950097" w:rsidRPr="00EE7FB9">
          <w:rPr>
            <w:rFonts w:cstheme="minorBidi"/>
            <w:noProof/>
          </w:rPr>
          <w:t>Foysal et al., 2020</w:t>
        </w:r>
      </w:hyperlink>
      <w:r w:rsidR="00B50241" w:rsidRPr="00EE7FB9">
        <w:rPr>
          <w:rFonts w:cstheme="minorBidi"/>
          <w:noProof/>
        </w:rPr>
        <w:t xml:space="preserve">; </w:t>
      </w:r>
      <w:hyperlink w:anchor="_ENREF_145" w:tooltip="Huang, 2020 #796" w:history="1">
        <w:r w:rsidR="00950097" w:rsidRPr="00EE7FB9">
          <w:rPr>
            <w:rFonts w:cstheme="minorBidi"/>
            <w:noProof/>
          </w:rPr>
          <w:t>Huang et al., 2020a</w:t>
        </w:r>
      </w:hyperlink>
      <w:r w:rsidR="00B50241" w:rsidRPr="00EE7FB9">
        <w:rPr>
          <w:rFonts w:cstheme="minorBidi"/>
          <w:noProof/>
        </w:rPr>
        <w:t xml:space="preserve">; </w:t>
      </w:r>
      <w:hyperlink w:anchor="_ENREF_147" w:tooltip="Huang, 2016 #489" w:history="1">
        <w:r w:rsidR="00950097" w:rsidRPr="00EE7FB9">
          <w:rPr>
            <w:rFonts w:cstheme="minorBidi"/>
            <w:noProof/>
          </w:rPr>
          <w:t>Huang et al., 2016</w:t>
        </w:r>
      </w:hyperlink>
      <w:r w:rsidR="00B50241" w:rsidRPr="00EE7FB9">
        <w:rPr>
          <w:rFonts w:cstheme="minorBidi"/>
          <w:noProof/>
        </w:rPr>
        <w:t xml:space="preserve">; </w:t>
      </w:r>
      <w:hyperlink w:anchor="_ENREF_275" w:tooltip="Shao, 2019 #1818" w:history="1">
        <w:r w:rsidR="00950097" w:rsidRPr="00EE7FB9">
          <w:rPr>
            <w:rFonts w:cstheme="minorBidi"/>
            <w:noProof/>
          </w:rPr>
          <w:t>Shao et al., 2019</w:t>
        </w:r>
      </w:hyperlink>
      <w:r w:rsidR="00B50241" w:rsidRPr="00EE7FB9">
        <w:rPr>
          <w:rFonts w:cstheme="minorBidi"/>
          <w:noProof/>
        </w:rPr>
        <w:t xml:space="preserve">; </w:t>
      </w:r>
      <w:hyperlink w:anchor="_ENREF_369" w:tooltip="Zeng, 2017 #1814" w:history="1">
        <w:r w:rsidR="00950097" w:rsidRPr="00EE7FB9">
          <w:rPr>
            <w:rFonts w:cstheme="minorBidi"/>
            <w:noProof/>
          </w:rPr>
          <w:t>Zeng et al., 2017</w:t>
        </w:r>
      </w:hyperlink>
      <w:r w:rsidR="00B50241" w:rsidRPr="00EE7FB9">
        <w:rPr>
          <w:rFonts w:cstheme="minorBidi"/>
          <w:noProof/>
        </w:rPr>
        <w:t xml:space="preserve">; </w:t>
      </w:r>
      <w:hyperlink w:anchor="_ENREF_376" w:tooltip="Zhang, 2020 #1815" w:history="1">
        <w:r w:rsidR="00950097" w:rsidRPr="00EE7FB9">
          <w:rPr>
            <w:rFonts w:cstheme="minorBidi"/>
            <w:noProof/>
          </w:rPr>
          <w:t>Zhang et al., 2020b</w:t>
        </w:r>
      </w:hyperlink>
      <w:r w:rsidR="00B50241" w:rsidRPr="00EE7FB9">
        <w:rPr>
          <w:rFonts w:cstheme="minorBidi"/>
          <w:noProof/>
        </w:rPr>
        <w:t>)</w:t>
      </w:r>
      <w:r w:rsidRPr="009819CE">
        <w:rPr>
          <w:rFonts w:cstheme="minorBidi"/>
        </w:rPr>
        <w:fldChar w:fldCharType="end"/>
      </w:r>
      <w:r w:rsidRPr="009819CE">
        <w:rPr>
          <w:rFonts w:cstheme="minorBidi"/>
        </w:rPr>
        <w:t xml:space="preserve">, alongside the influence of host genetics on colonization and immune interactions </w:t>
      </w:r>
      <w:r w:rsidRPr="009819CE">
        <w:rPr>
          <w:rFonts w:cstheme="minorBidi"/>
        </w:rPr>
        <w:fldChar w:fldCharType="begin"/>
      </w:r>
      <w:r w:rsidR="00EE7FB9">
        <w:rPr>
          <w:rFonts w:cstheme="minorBidi"/>
        </w:rPr>
        <w:instrText xml:space="preserve"> ADDIN EN.CITE &lt;EndNote&gt;&lt;Cite&gt;&lt;Author&gt;Tzeng&lt;/Author&gt;&lt;Year&gt;2015&lt;/Year&gt;&lt;RecNum&gt;1812&lt;/RecNum&gt;&lt;DisplayText&gt;(Tzeng et al., 2015)&lt;/DisplayText&gt;&lt;record&gt;&lt;rec-number&gt;1812&lt;/rec-number&gt;&lt;foreign-keys&gt;&lt;key app="EN" db-id="sd9wrx9fj09rx3erprsx999o0r5aprvp2zse" timestamp="1690914896" guid="e01b56e9-95b3-46c8-99ec-0798d803cca4"&gt;1812&lt;/key&gt;&lt;/foreign-keys&gt;&lt;ref-type name="Journal Article"&gt;17&lt;/ref-type&gt;&lt;contributors&gt;&lt;authors&gt;&lt;author&gt;Tzeng, Tzong-Der&lt;/author&gt;&lt;author&gt;Pao, Yueh-Yang&lt;/author&gt;&lt;author&gt;Chen, Po-Cheng&lt;/author&gt;&lt;author&gt;Weng, Francis Cheng-Hsuan&lt;/author&gt;&lt;author&gt;Jean, Wen Dar&lt;/author&gt;&lt;author&gt;Wang, Daryi&lt;/author&gt;&lt;/authors&gt;&lt;/contributors&gt;&lt;titles&gt;&lt;title&gt;&lt;style face="normal" font="default" size="100%"&gt;Effects of host phylogeny and habitats on gut microbiomes of oriental river prawn (&lt;/style&gt;&lt;style face="italic" font="default" size="100%"&gt;Macrobrachium nipponense&lt;/style&gt;&lt;style face="normal" font="default" size="100%"&gt;)&lt;/style&gt;&lt;/title&gt;&lt;secondary-title&gt;PLOS ONE&lt;/secondary-title&gt;&lt;/titles&gt;&lt;periodical&gt;&lt;full-title&gt;PLOS ONE&lt;/full-title&gt;&lt;/periodical&gt;&lt;pages&gt;e0132860&lt;/pages&gt;&lt;volume&gt;10&lt;/volume&gt;&lt;number&gt;7&lt;/number&gt;&lt;dates&gt;&lt;year&gt;2015&lt;/year&gt;&lt;/dates&gt;&lt;publisher&gt;Public Library of Science (PLoS)&lt;/publisher&gt;&lt;isbn&gt;1932-6203&lt;/isbn&gt;&lt;urls&gt;&lt;related-urls&gt;&lt;url&gt;https://dx.doi.org/10.1371/journal.pone.0132860&lt;/url&gt;&lt;/related-urls&gt;&lt;/urls&gt;&lt;electronic-resource-num&gt;10.1371/journal.pone.0132860&lt;/electronic-resource-num&gt;&lt;/record&gt;&lt;/Cite&gt;&lt;/EndNote&gt;</w:instrText>
      </w:r>
      <w:r w:rsidRPr="009819CE">
        <w:rPr>
          <w:rFonts w:cstheme="minorBidi"/>
        </w:rPr>
        <w:fldChar w:fldCharType="separate"/>
      </w:r>
      <w:r w:rsidR="00D50EFF" w:rsidRPr="00EE7FB9">
        <w:rPr>
          <w:rFonts w:cstheme="minorBidi"/>
          <w:noProof/>
        </w:rPr>
        <w:t>(</w:t>
      </w:r>
      <w:hyperlink w:anchor="_ENREF_332" w:tooltip="Tzeng, 2015 #1812" w:history="1">
        <w:r w:rsidR="00950097" w:rsidRPr="00EE7FB9">
          <w:rPr>
            <w:rFonts w:cstheme="minorBidi"/>
            <w:noProof/>
          </w:rPr>
          <w:t>Tzeng et al., 2015</w:t>
        </w:r>
      </w:hyperlink>
      <w:r w:rsidR="00D50EFF" w:rsidRPr="00EE7FB9">
        <w:rPr>
          <w:rFonts w:cstheme="minorBidi"/>
          <w:noProof/>
        </w:rPr>
        <w:t>)</w:t>
      </w:r>
      <w:r w:rsidRPr="009819CE">
        <w:rPr>
          <w:rFonts w:cstheme="minorBidi"/>
        </w:rPr>
        <w:fldChar w:fldCharType="end"/>
      </w:r>
      <w:r w:rsidRPr="009819CE">
        <w:rPr>
          <w:rFonts w:cstheme="minorBidi"/>
        </w:rPr>
        <w:t xml:space="preserve">. Age </w:t>
      </w:r>
      <w:r w:rsidRPr="009819CE">
        <w:rPr>
          <w:rFonts w:cstheme="minorBidi"/>
        </w:rPr>
        <w:fldChar w:fldCharType="begin">
          <w:fldData xml:space="preserve">PEVuZE5vdGU+PENpdGU+PEF1dGhvcj5YaW9uZzwvQXV0aG9yPjxZZWFyPjIwMTc8L1llYXI+PFJl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PEVuZE5vdGU+PENpdGU+PEF1dGhvcj5YaW9uZzwvQXV0aG9yPjxZZWFyPjIwMTc8L1llYXI+PFJl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85" w:tooltip="Fan, 2019 #1813" w:history="1">
        <w:r w:rsidR="00950097" w:rsidRPr="007268F5">
          <w:rPr>
            <w:rFonts w:cstheme="minorBidi"/>
          </w:rPr>
          <w:t>Fan et al., 2019</w:t>
        </w:r>
      </w:hyperlink>
      <w:r w:rsidR="00D50EFF" w:rsidRPr="007268F5">
        <w:rPr>
          <w:rFonts w:cstheme="minorBidi"/>
        </w:rPr>
        <w:t xml:space="preserve">; </w:t>
      </w:r>
      <w:hyperlink w:anchor="_ENREF_239" w:tooltip="Ooi, 2017 #202" w:history="1">
        <w:r w:rsidR="00950097" w:rsidRPr="007268F5">
          <w:rPr>
            <w:rFonts w:cstheme="minorBidi"/>
          </w:rPr>
          <w:t>Ooi et al., 2017</w:t>
        </w:r>
      </w:hyperlink>
      <w:r w:rsidR="00D50EFF" w:rsidRPr="007268F5">
        <w:rPr>
          <w:rFonts w:cstheme="minorBidi"/>
        </w:rPr>
        <w:t xml:space="preserve">; </w:t>
      </w:r>
      <w:hyperlink w:anchor="_ENREF_362" w:tooltip="Xiong, 2017 #498" w:history="1">
        <w:r w:rsidR="00950097" w:rsidRPr="007268F5">
          <w:rPr>
            <w:rFonts w:cstheme="minorBidi"/>
          </w:rPr>
          <w:t>Xiong et al., 2017a</w:t>
        </w:r>
      </w:hyperlink>
      <w:r w:rsidR="00D50EFF" w:rsidRPr="007268F5">
        <w:rPr>
          <w:rFonts w:cstheme="minorBidi"/>
        </w:rPr>
        <w:t xml:space="preserve">; </w:t>
      </w:r>
      <w:hyperlink w:anchor="_ENREF_364" w:tooltip="Xiong, 2017 #497" w:history="1">
        <w:r w:rsidR="00950097" w:rsidRPr="007268F5">
          <w:rPr>
            <w:rFonts w:cstheme="minorBidi"/>
          </w:rPr>
          <w:t>Xiong et al., 2017b</w:t>
        </w:r>
      </w:hyperlink>
      <w:r w:rsidR="00D50EFF" w:rsidRPr="007268F5">
        <w:rPr>
          <w:rFonts w:cstheme="minorBidi"/>
        </w:rPr>
        <w:t xml:space="preserve">; </w:t>
      </w:r>
      <w:hyperlink w:anchor="_ENREF_381" w:tooltip="Zhu, 2016 #487" w:history="1">
        <w:r w:rsidR="00950097" w:rsidRPr="007268F5">
          <w:rPr>
            <w:rFonts w:cstheme="minorBidi"/>
          </w:rPr>
          <w:t>Zhu et al., 2016</w:t>
        </w:r>
      </w:hyperlink>
      <w:r w:rsidR="00D50EFF" w:rsidRPr="007268F5">
        <w:rPr>
          <w:rFonts w:cstheme="minorBidi"/>
        </w:rPr>
        <w:t>)</w:t>
      </w:r>
      <w:r w:rsidRPr="009819CE">
        <w:rPr>
          <w:rFonts w:cstheme="minorBidi"/>
        </w:rPr>
        <w:fldChar w:fldCharType="end"/>
      </w:r>
      <w:r w:rsidRPr="009819CE">
        <w:rPr>
          <w:rFonts w:cstheme="minorBidi"/>
        </w:rPr>
        <w:t xml:space="preserve"> and environmental aspects like geography </w:t>
      </w:r>
      <w:r w:rsidRPr="009819CE">
        <w:rPr>
          <w:rFonts w:cstheme="minorBidi"/>
        </w:rPr>
        <w:fldChar w:fldCharType="begin"/>
      </w:r>
      <w:r w:rsidR="00871B4F">
        <w:rPr>
          <w:rFonts w:cstheme="minorBidi"/>
        </w:rPr>
        <w:instrText xml:space="preserve"> ADDIN EN.CITE &lt;EndNote&gt;&lt;Cite&gt;&lt;Author&gt;Chen&lt;/Author&gt;&lt;Year&gt;2017&lt;/Year&gt;&lt;RecNum&gt;1337&lt;/RecNum&gt;&lt;DisplayText&gt;(Chen et al., 2017a)&lt;/DisplayText&gt;&lt;record&gt;&lt;rec-number&gt;1337&lt;/rec-number&gt;&lt;foreign-keys&gt;&lt;key app="EN" db-id="sd9wrx9fj09rx3erprsx999o0r5aprvp2zse" timestamp="1687855902" guid="fbda0aa8-937b-4dc5-ad38-fc1f389013e2"&gt;1337&lt;/key&gt;&lt;/foreign-keys&gt;&lt;ref-type name="Journal Article"&gt;17&lt;/ref-type&gt;&lt;contributors&gt;&lt;authors&gt;&lt;author&gt;Chen, Cheng Yu&lt;/author&gt;&lt;author&gt;Chen, Po Cheng&lt;/author&gt;&lt;author&gt;Weng, Francis Cheng Hsuan&lt;/author&gt;&lt;author&gt;Shaw, Grace Tzun Wen&lt;/author&gt;&lt;author&gt;Wang, Daryi&lt;/author&gt;&lt;/authors&gt;&lt;/contributors&gt;&lt;titles&gt;&lt;title&gt;Habitat and indigenous gut microbes contribute to the plasticity of gut microbiome in oriental river prawn during rapid environmental change&lt;/title&gt;&lt;secondary-title&gt;PLOS ONE&lt;/secondary-title&gt;&lt;/titles&gt;&lt;periodical&gt;&lt;full-title&gt;PLOS ONE&lt;/full-title&gt;&lt;/periodical&gt;&lt;volume&gt;12&lt;/volume&gt;&lt;number&gt;7&lt;/number&gt;&lt;dates&gt;&lt;year&gt;2017&lt;/year&gt;&lt;pub-dates&gt;&lt;date&gt;2017/7//&lt;/date&gt;&lt;/pub-dates&gt;&lt;/dates&gt;&lt;publisher&gt;PLOS&lt;/publisher&gt;&lt;urls&gt;&lt;related-urls&gt;&lt;url&gt;/pmc/articles/PMC5513549/&lt;/url&gt;&lt;url&gt;/pmc/articles/PMC5513549/?report=abstract&lt;/url&gt;&lt;url&gt;https://www.ncbi.nlm.nih.gov/pmc/articles/PMC5513549/&lt;/url&gt;&lt;/related-urls&gt;&lt;/urls&gt;&lt;electronic-resource-num&gt;10.1371/JOURNAL.PONE.0181427&lt;/electronic-resource-num&gt;&lt;/record&gt;&lt;/Cite&gt;&lt;/EndNote&gt;</w:instrText>
      </w:r>
      <w:r w:rsidRPr="009819CE">
        <w:rPr>
          <w:rFonts w:cstheme="minorBidi"/>
        </w:rPr>
        <w:fldChar w:fldCharType="separate"/>
      </w:r>
      <w:r w:rsidR="00A8698B" w:rsidRPr="009819CE">
        <w:rPr>
          <w:rFonts w:cstheme="minorBidi"/>
          <w:noProof/>
        </w:rPr>
        <w:t>(</w:t>
      </w:r>
      <w:hyperlink w:anchor="_ENREF_47" w:tooltip="Chen, 2017 #1337" w:history="1">
        <w:r w:rsidR="00950097" w:rsidRPr="009819CE">
          <w:rPr>
            <w:rFonts w:cstheme="minorBidi"/>
            <w:noProof/>
          </w:rPr>
          <w:t>Chen et al., 2017a</w:t>
        </w:r>
      </w:hyperlink>
      <w:r w:rsidR="00A8698B" w:rsidRPr="009819CE">
        <w:rPr>
          <w:rFonts w:cstheme="minorBidi"/>
          <w:noProof/>
        </w:rPr>
        <w:t>)</w:t>
      </w:r>
      <w:r w:rsidRPr="009819CE">
        <w:rPr>
          <w:rFonts w:cstheme="minorBidi"/>
        </w:rPr>
        <w:fldChar w:fldCharType="end"/>
      </w:r>
      <w:r w:rsidRPr="009819CE">
        <w:rPr>
          <w:rFonts w:cstheme="minorBidi"/>
        </w:rPr>
        <w:t xml:space="preserve">, climate, and seasonality contribute to gut diversity. Habitat significantly impacts both gut and haemolymph microbes </w:t>
      </w:r>
      <w:r w:rsidRPr="009819CE">
        <w:rPr>
          <w:rFonts w:cstheme="minorBidi"/>
        </w:rPr>
        <w:fldChar w:fldCharType="begin">
          <w:fldData xml:space="preserve">PEVuZE5vdGU+PENpdGU+PEF1dGhvcj5Mb2ttZXI8L0F1dGhvcj48WWVhcj4yMDE0PC9ZZWFyPjxS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</w:fldData>
        </w:fldChar>
      </w:r>
      <w:r w:rsidR="00871B4F">
        <w:rPr>
          <w:rFonts w:cstheme="minorBidi"/>
        </w:rPr>
        <w:instrText xml:space="preserve"> ADDIN EN.CITE </w:instrText>
      </w:r>
      <w:r w:rsidR="00871B4F">
        <w:rPr>
          <w:rFonts w:cstheme="minorBidi"/>
        </w:rPr>
        <w:fldChar w:fldCharType="begin">
          <w:fldData xml:space="preserve">PEVuZE5vdGU+PENpdGU+PEF1dGhvcj5Mb2ttZXI8L0F1dGhvcj48WWVhcj4yMDE0PC9ZZWFyPjxS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7563B4" w:rsidRPr="00EE7FB9">
        <w:rPr>
          <w:rFonts w:cstheme="minorBidi"/>
          <w:noProof/>
        </w:rPr>
        <w:t>(</w:t>
      </w:r>
      <w:hyperlink w:anchor="_ENREF_100" w:tooltip="Foysal, 2023 #1811" w:history="1">
        <w:r w:rsidR="00950097" w:rsidRPr="00EE7FB9">
          <w:rPr>
            <w:rFonts w:cstheme="minorBidi"/>
            <w:noProof/>
          </w:rPr>
          <w:t>Foysal, 2023</w:t>
        </w:r>
      </w:hyperlink>
      <w:r w:rsidR="007563B4" w:rsidRPr="00EE7FB9">
        <w:rPr>
          <w:rFonts w:cstheme="minorBidi"/>
          <w:noProof/>
        </w:rPr>
        <w:t xml:space="preserve">; </w:t>
      </w:r>
      <w:hyperlink w:anchor="_ENREF_135" w:tooltip="Holt, 2021 #1740" w:history="1">
        <w:r w:rsidR="00950097" w:rsidRPr="00EE7FB9">
          <w:rPr>
            <w:rFonts w:cstheme="minorBidi"/>
            <w:noProof/>
          </w:rPr>
          <w:t>Holt et al., 2021</w:t>
        </w:r>
      </w:hyperlink>
      <w:r w:rsidR="007563B4" w:rsidRPr="00EE7FB9">
        <w:rPr>
          <w:rFonts w:cstheme="minorBidi"/>
          <w:noProof/>
        </w:rPr>
        <w:t xml:space="preserve">; </w:t>
      </w:r>
      <w:hyperlink w:anchor="_ENREF_136" w:tooltip="Holt, 2020 #214" w:history="1">
        <w:r w:rsidR="00950097" w:rsidRPr="00EE7FB9">
          <w:rPr>
            <w:rFonts w:cstheme="minorBidi"/>
            <w:noProof/>
          </w:rPr>
          <w:t>Holt et al., 2020</w:t>
        </w:r>
      </w:hyperlink>
      <w:r w:rsidR="007563B4" w:rsidRPr="00EE7FB9">
        <w:rPr>
          <w:rFonts w:cstheme="minorBidi"/>
          <w:noProof/>
        </w:rPr>
        <w:t xml:space="preserve">; </w:t>
      </w:r>
      <w:hyperlink w:anchor="_ENREF_198" w:tooltip="Lokmer, 2014 #637" w:history="1">
        <w:r w:rsidR="00950097" w:rsidRPr="00EE7FB9">
          <w:rPr>
            <w:rFonts w:cstheme="minorBidi"/>
            <w:noProof/>
          </w:rPr>
          <w:t>Lokmer and Mathias Wegner, 2014</w:t>
        </w:r>
      </w:hyperlink>
      <w:r w:rsidR="007563B4" w:rsidRPr="00EE7FB9">
        <w:rPr>
          <w:rFonts w:cstheme="minorBidi"/>
          <w:noProof/>
        </w:rPr>
        <w:t xml:space="preserve">; </w:t>
      </w:r>
      <w:hyperlink w:anchor="_ENREF_211" w:tooltip="Md Zoqratt, 2018 #1820" w:history="1">
        <w:r w:rsidR="00950097" w:rsidRPr="00EE7FB9">
          <w:rPr>
            <w:rFonts w:cstheme="minorBidi"/>
            <w:noProof/>
          </w:rPr>
          <w:t>Md Zoqratt et al., 2018</w:t>
        </w:r>
      </w:hyperlink>
      <w:r w:rsidR="007563B4" w:rsidRPr="00EE7FB9">
        <w:rPr>
          <w:rFonts w:cstheme="minorBidi"/>
          <w:noProof/>
        </w:rPr>
        <w:t xml:space="preserve">; </w:t>
      </w:r>
      <w:hyperlink w:anchor="_ENREF_238" w:tooltip="Ooi, 2019 #327" w:history="1">
        <w:r w:rsidR="00950097" w:rsidRPr="00EE7FB9">
          <w:rPr>
            <w:rFonts w:cstheme="minorBidi"/>
            <w:noProof/>
          </w:rPr>
          <w:t>Ooi et al., 2019</w:t>
        </w:r>
      </w:hyperlink>
      <w:r w:rsidR="007563B4" w:rsidRPr="00EE7FB9">
        <w:rPr>
          <w:rFonts w:cstheme="minorBidi"/>
          <w:noProof/>
        </w:rPr>
        <w:t xml:space="preserve">; </w:t>
      </w:r>
      <w:hyperlink w:anchor="_ENREF_328" w:tooltip="Tubiash, 1975 #573" w:history="1">
        <w:r w:rsidR="00950097" w:rsidRPr="00EE7FB9">
          <w:rPr>
            <w:rFonts w:cstheme="minorBidi"/>
            <w:noProof/>
          </w:rPr>
          <w:t>Tubiash et al., 1975</w:t>
        </w:r>
      </w:hyperlink>
      <w:r w:rsidR="007563B4" w:rsidRPr="00EE7FB9">
        <w:rPr>
          <w:rFonts w:cstheme="minorBidi"/>
          <w:noProof/>
        </w:rPr>
        <w:t xml:space="preserve">; </w:t>
      </w:r>
      <w:hyperlink w:anchor="_ENREF_332" w:tooltip="Tzeng, 2015 #1812" w:history="1">
        <w:r w:rsidR="00950097" w:rsidRPr="00EE7FB9">
          <w:rPr>
            <w:rFonts w:cstheme="minorBidi"/>
            <w:noProof/>
          </w:rPr>
          <w:t>Tzeng et al., 2015</w:t>
        </w:r>
      </w:hyperlink>
      <w:r w:rsidR="007563B4" w:rsidRPr="00EE7FB9">
        <w:rPr>
          <w:rFonts w:cstheme="minorBidi"/>
          <w:noProof/>
        </w:rPr>
        <w:t xml:space="preserve">; </w:t>
      </w:r>
      <w:hyperlink w:anchor="_ENREF_377" w:tooltip="Zhao, 2018 #1819" w:history="1">
        <w:r w:rsidR="00950097" w:rsidRPr="00EE7FB9">
          <w:rPr>
            <w:rFonts w:cstheme="minorBidi"/>
            <w:noProof/>
          </w:rPr>
          <w:t>Zhao et al., 2018</w:t>
        </w:r>
      </w:hyperlink>
      <w:r w:rsidR="007563B4" w:rsidRPr="00EE7FB9">
        <w:rPr>
          <w:rFonts w:cstheme="minorBidi"/>
          <w:noProof/>
        </w:rPr>
        <w:t>)</w:t>
      </w:r>
      <w:r w:rsidRPr="009819CE">
        <w:rPr>
          <w:rFonts w:cstheme="minorBidi"/>
        </w:rPr>
        <w:fldChar w:fldCharType="end"/>
      </w:r>
      <w:r w:rsidRPr="009819CE">
        <w:rPr>
          <w:rFonts w:cstheme="minorBidi"/>
        </w:rPr>
        <w:t>. Within the haemolymph, antimicrobial peptides</w:t>
      </w:r>
      <w:r w:rsidR="004D7DD3" w:rsidRPr="009819CE">
        <w:rPr>
          <w:rFonts w:cstheme="minorBidi"/>
        </w:rPr>
        <w:t xml:space="preserve"> (AMPs)</w:t>
      </w:r>
      <w:r w:rsidRPr="009819CE">
        <w:rPr>
          <w:rFonts w:cstheme="minorBidi"/>
        </w:rPr>
        <w:t xml:space="preserve"> and lectins control the proliferation of haemolymph microbiota </w:t>
      </w:r>
      <w:r w:rsidRPr="009819CE">
        <w:rPr>
          <w:rFonts w:cstheme="minorBidi"/>
        </w:rPr>
        <w:fldChar w:fldCharType="begin">
          <w:fldData xml:space="preserve">PEVuZE5vdGU+PENpdGU+PEF1dGhvcj5Hb256w6FsZXo8L0F1dGhvcj48WWVhcj4yMDIwPC9ZZWFy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</w:fldData>
        </w:fldChar>
      </w:r>
      <w:r w:rsidR="00EE7FB9">
        <w:rPr>
          <w:rFonts w:cstheme="minorBidi"/>
        </w:rPr>
        <w:instrText xml:space="preserve"> ADDIN EN.CITE </w:instrText>
      </w:r>
      <w:r w:rsidR="00EE7FB9">
        <w:rPr>
          <w:rFonts w:cstheme="minorBidi"/>
        </w:rPr>
        <w:fldChar w:fldCharType="begin">
          <w:fldData xml:space="preserve">PEVuZE5vdGU+PENpdGU+PEF1dGhvcj5Hb256w6FsZXo8L0F1dGhvcj48WWVhcj4yMDIwPC9ZZWFy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110" w:tooltip="González, 2020 #765" w:history="1">
        <w:r w:rsidR="00950097" w:rsidRPr="00EE7FB9">
          <w:rPr>
            <w:rFonts w:cstheme="minorBidi"/>
            <w:noProof/>
          </w:rPr>
          <w:t>González et al., 2020</w:t>
        </w:r>
      </w:hyperlink>
      <w:r w:rsidR="00D50EFF" w:rsidRPr="00EE7FB9">
        <w:rPr>
          <w:rFonts w:cstheme="minorBidi"/>
          <w:noProof/>
        </w:rPr>
        <w:t xml:space="preserve">; </w:t>
      </w:r>
      <w:hyperlink w:anchor="_ENREF_348" w:tooltip="Wang, 2015 #1260" w:history="1">
        <w:r w:rsidR="00950097" w:rsidRPr="00EE7FB9">
          <w:rPr>
            <w:rFonts w:cstheme="minorBidi"/>
            <w:noProof/>
          </w:rPr>
          <w:t>Wang and Wang, 2015</w:t>
        </w:r>
      </w:hyperlink>
      <w:r w:rsidR="00D50EFF" w:rsidRPr="00EE7FB9">
        <w:rPr>
          <w:rFonts w:cstheme="minorBidi"/>
          <w:noProof/>
        </w:rPr>
        <w:t>)</w:t>
      </w:r>
      <w:r w:rsidRPr="009819CE">
        <w:rPr>
          <w:rFonts w:cstheme="minorBidi"/>
        </w:rPr>
        <w:fldChar w:fldCharType="end"/>
      </w:r>
      <w:r w:rsidRPr="009819CE">
        <w:rPr>
          <w:rFonts w:cstheme="minorBidi"/>
        </w:rPr>
        <w:t xml:space="preserve">, while host stress, infection, and interactions with other organisms affect the composition of both the haemolymph and the gut </w:t>
      </w:r>
      <w:r w:rsidRPr="009819CE">
        <w:rPr>
          <w:rFonts w:cstheme="minorBidi"/>
        </w:rPr>
        <w:fldChar w:fldCharType="begin">
          <w:fldData xml:space="preserve">PEVuZE5vdGU+PENpdGU+PEF1dGhvcj5MaXU8L0F1dGhvcj48WWVhcj4yMDIwPC9ZZWFyPjxSZWNO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==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PEVuZE5vdGU+PENpdGU+PEF1dGhvcj5MaXU8L0F1dGhvcj48WWVhcj4yMDIwPC9ZZWFyPjxSZWNO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==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30" w:tooltip="Hernández-Pérez, 2022 #1338" w:history="1">
        <w:r w:rsidR="00950097" w:rsidRPr="007268F5">
          <w:rPr>
            <w:rFonts w:cstheme="minorBidi"/>
          </w:rPr>
          <w:t>Hernández-Pérez et al., 2022</w:t>
        </w:r>
      </w:hyperlink>
      <w:r w:rsidR="00D50EFF" w:rsidRPr="007268F5">
        <w:rPr>
          <w:rFonts w:cstheme="minorBidi"/>
        </w:rPr>
        <w:t xml:space="preserve">; </w:t>
      </w:r>
      <w:hyperlink w:anchor="_ENREF_194" w:tooltip="Liu, 2020 #1821" w:history="1">
        <w:r w:rsidR="00950097" w:rsidRPr="007268F5">
          <w:rPr>
            <w:rFonts w:cstheme="minorBidi"/>
          </w:rPr>
          <w:t>Liu et al., 2020a</w:t>
        </w:r>
      </w:hyperlink>
      <w:r w:rsidR="00D50EFF" w:rsidRPr="007268F5">
        <w:rPr>
          <w:rFonts w:cstheme="minorBidi"/>
        </w:rPr>
        <w:t xml:space="preserve">; </w:t>
      </w:r>
      <w:hyperlink w:anchor="_ENREF_233" w:tooltip="Oetama, 2016 #1823" w:history="1">
        <w:r w:rsidR="00950097" w:rsidRPr="007268F5">
          <w:rPr>
            <w:rFonts w:cstheme="minorBidi"/>
          </w:rPr>
          <w:t>Oetama et al., 2016</w:t>
        </w:r>
      </w:hyperlink>
      <w:r w:rsidR="00D50EFF" w:rsidRPr="007268F5">
        <w:rPr>
          <w:rFonts w:cstheme="minorBidi"/>
        </w:rPr>
        <w:t>)</w:t>
      </w:r>
      <w:r w:rsidRPr="009819CE">
        <w:rPr>
          <w:rFonts w:cstheme="minorBidi"/>
        </w:rPr>
        <w:fldChar w:fldCharType="end"/>
      </w:r>
      <w:r w:rsidRPr="009819CE">
        <w:rPr>
          <w:rFonts w:cstheme="minorBidi"/>
        </w:rPr>
        <w:t xml:space="preserve">. </w:t>
      </w:r>
      <w:r w:rsidRPr="009819CE">
        <w:rPr>
          <w:rFonts w:cstheme="minorBidi"/>
          <w:color w:val="000000"/>
        </w:rPr>
        <w:t xml:space="preserve">Environmental stress has the potential to disrupt intestinal barriers, compromise immune responses, and elevate the likelihood of pathogen infiltration </w:t>
      </w:r>
      <w:r w:rsidRPr="009819CE">
        <w:rPr>
          <w:rFonts w:cstheme="minorBidi"/>
          <w:color w:val="000000"/>
        </w:rPr>
        <w:fldChar w:fldCharType="begin">
          <w:fldData xml:space="preserve">PEVuZE5vdGU+PENpdGU+PEF1dGhvcj5XYW5nPC9BdXRob3I+PFllYXI+MjAxOTwvWWVhcj48UmVj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</w:fldData>
        </w:fldChar>
      </w:r>
      <w:r w:rsidR="00ED1A9E" w:rsidRPr="009819CE">
        <w:rPr>
          <w:rFonts w:cstheme="minorBidi"/>
          <w:color w:val="000000"/>
        </w:rPr>
        <w:instrText xml:space="preserve"> ADDIN EN.CITE </w:instrText>
      </w:r>
      <w:r w:rsidR="00ED1A9E" w:rsidRPr="009819CE">
        <w:rPr>
          <w:rFonts w:cstheme="minorBidi"/>
          <w:color w:val="000000"/>
        </w:rPr>
        <w:fldChar w:fldCharType="begin">
          <w:fldData xml:space="preserve">PEVuZE5vdGU+PENpdGU+PEF1dGhvcj5XYW5nPC9BdXRob3I+PFllYXI+MjAxOTwvWWVhcj48UmVj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</w:fldData>
        </w:fldChar>
      </w:r>
      <w:r w:rsidR="00ED1A9E" w:rsidRPr="009819CE">
        <w:rPr>
          <w:rFonts w:cstheme="minorBidi"/>
          <w:color w:val="000000"/>
        </w:rPr>
        <w:instrText xml:space="preserve"> ADDIN EN.CITE.DATA </w:instrText>
      </w:r>
      <w:r w:rsidR="00ED1A9E" w:rsidRPr="009819CE">
        <w:rPr>
          <w:rFonts w:cstheme="minorBidi"/>
          <w:color w:val="000000"/>
        </w:rPr>
      </w:r>
      <w:r w:rsidR="00ED1A9E" w:rsidRPr="009819CE">
        <w:rPr>
          <w:rFonts w:cstheme="minorBidi"/>
          <w:color w:val="000000"/>
        </w:rPr>
        <w:fldChar w:fldCharType="end"/>
      </w:r>
      <w:r w:rsidRPr="009819CE">
        <w:rPr>
          <w:rFonts w:cstheme="minorBidi"/>
          <w:color w:val="000000"/>
        </w:rPr>
      </w:r>
      <w:r w:rsidRPr="009819CE">
        <w:rPr>
          <w:rFonts w:cstheme="minorBidi"/>
          <w:color w:val="000000"/>
        </w:rPr>
        <w:fldChar w:fldCharType="separate"/>
      </w:r>
      <w:r w:rsidR="00D50EFF" w:rsidRPr="007268F5">
        <w:rPr>
          <w:rFonts w:cstheme="minorBidi"/>
          <w:color w:val="000000"/>
        </w:rPr>
        <w:t>(</w:t>
      </w:r>
      <w:hyperlink w:anchor="_ENREF_77" w:tooltip="Duan, 2019 #1831" w:history="1">
        <w:r w:rsidR="00950097" w:rsidRPr="007268F5">
          <w:rPr>
            <w:rFonts w:cstheme="minorBidi"/>
            <w:color w:val="000000"/>
          </w:rPr>
          <w:t>Duan et al., 2019</w:t>
        </w:r>
      </w:hyperlink>
      <w:r w:rsidR="00D50EFF" w:rsidRPr="007268F5">
        <w:rPr>
          <w:rFonts w:cstheme="minorBidi"/>
          <w:color w:val="000000"/>
        </w:rPr>
        <w:t xml:space="preserve">; </w:t>
      </w:r>
      <w:hyperlink w:anchor="_ENREF_142" w:tooltip="Hsiao, 2013 #1828" w:history="1">
        <w:r w:rsidR="00950097" w:rsidRPr="007268F5">
          <w:rPr>
            <w:rFonts w:cstheme="minorBidi"/>
            <w:color w:val="000000"/>
          </w:rPr>
          <w:t>Hsiao et al., 2013</w:t>
        </w:r>
      </w:hyperlink>
      <w:r w:rsidR="00D50EFF" w:rsidRPr="007268F5">
        <w:rPr>
          <w:rFonts w:cstheme="minorBidi"/>
          <w:color w:val="000000"/>
        </w:rPr>
        <w:t xml:space="preserve">; </w:t>
      </w:r>
      <w:hyperlink w:anchor="_ENREF_174" w:tooltip="Li, 2008 #1829" w:history="1">
        <w:r w:rsidR="00950097" w:rsidRPr="007268F5">
          <w:rPr>
            <w:rFonts w:cstheme="minorBidi"/>
            <w:color w:val="000000"/>
          </w:rPr>
          <w:t>Li and Chen, 2008</w:t>
        </w:r>
      </w:hyperlink>
      <w:r w:rsidR="00D50EFF" w:rsidRPr="007268F5">
        <w:rPr>
          <w:rFonts w:cstheme="minorBidi"/>
          <w:color w:val="000000"/>
        </w:rPr>
        <w:t xml:space="preserve">; </w:t>
      </w:r>
      <w:hyperlink w:anchor="_ENREF_344" w:tooltip="Wang, 2019 #506" w:history="1">
        <w:r w:rsidR="00950097" w:rsidRPr="007268F5">
          <w:rPr>
            <w:rFonts w:cstheme="minorBidi"/>
            <w:color w:val="000000"/>
          </w:rPr>
          <w:t>Wang et al., 2019</w:t>
        </w:r>
      </w:hyperlink>
      <w:r w:rsidR="00D50EFF" w:rsidRPr="007268F5">
        <w:rPr>
          <w:rFonts w:cstheme="minorBidi"/>
          <w:color w:val="000000"/>
        </w:rPr>
        <w:t xml:space="preserve">; </w:t>
      </w:r>
      <w:hyperlink w:anchor="_ENREF_367" w:tooltip="Yu, 2020 #1824" w:history="1">
        <w:r w:rsidR="00950097" w:rsidRPr="007268F5">
          <w:rPr>
            <w:rFonts w:cstheme="minorBidi"/>
            <w:color w:val="000000"/>
          </w:rPr>
          <w:t>Yu et al., 2020</w:t>
        </w:r>
      </w:hyperlink>
      <w:r w:rsidR="00D50EFF" w:rsidRPr="007268F5">
        <w:rPr>
          <w:rFonts w:cstheme="minorBidi"/>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rPr>
        <w:t xml:space="preserve">Understanding these factors is </w:t>
      </w:r>
      <w:r w:rsidR="005E2A31" w:rsidRPr="009819CE">
        <w:rPr>
          <w:rFonts w:cstheme="minorBidi"/>
        </w:rPr>
        <w:t>important</w:t>
      </w:r>
      <w:r w:rsidRPr="009819CE">
        <w:rPr>
          <w:rFonts w:cstheme="minorBidi"/>
        </w:rPr>
        <w:t xml:space="preserve"> for </w:t>
      </w:r>
      <w:r w:rsidR="00CC09CC" w:rsidRPr="009819CE">
        <w:rPr>
          <w:rFonts w:cstheme="minorBidi"/>
        </w:rPr>
        <w:t xml:space="preserve">understanding </w:t>
      </w:r>
      <w:r w:rsidRPr="009819CE">
        <w:rPr>
          <w:rFonts w:cstheme="minorBidi"/>
        </w:rPr>
        <w:t>host-microbe dynamics and their ecological impact.</w:t>
      </w:r>
    </w:p>
    <w:p w14:paraId="143652B1" w14:textId="1D399C02" w:rsidR="002773A2" w:rsidRPr="009819CE" w:rsidRDefault="002773A2" w:rsidP="002773A2">
      <w:pPr>
        <w:spacing w:before="0" w:after="0"/>
        <w:rPr>
          <w:rFonts w:cstheme="minorBidi"/>
        </w:rPr>
      </w:pPr>
      <w:r w:rsidRPr="009819CE">
        <w:rPr>
          <w:rFonts w:cstheme="minorBidi"/>
        </w:rPr>
        <w:t xml:space="preserve">Various investigations in different crustacean species consistently identify </w:t>
      </w:r>
      <w:r w:rsidRPr="009819CE">
        <w:rPr>
          <w:rFonts w:cstheme="minorBidi"/>
          <w:i/>
          <w:iCs/>
        </w:rPr>
        <w:t>Proteobacteria</w:t>
      </w:r>
      <w:r w:rsidRPr="009819CE">
        <w:rPr>
          <w:rFonts w:cstheme="minorBidi"/>
        </w:rPr>
        <w:t xml:space="preserve"> as a prominent constituent of gut microbiota </w:t>
      </w:r>
      <w:r w:rsidRPr="009819CE">
        <w:rPr>
          <w:rFonts w:cstheme="minorBidi"/>
        </w:rPr>
        <w:fldChar w:fldCharType="begin">
          <w:fldData xml:space="preserve">PEVuZE5vdGU+PENpdGU+PEF1dGhvcj5IdWFuZzwvQXV0aG9yPjxZZWFyPjIwMTY8L1llYXI+PFJl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=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PEVuZE5vdGU+PENpdGU+PEF1dGhvcj5IdWFuZzwvQXV0aG9yPjxZZWFyPjIwMTY8L1llYXI+PFJl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=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B303F5" w:rsidRPr="007268F5">
        <w:rPr>
          <w:rFonts w:cstheme="minorBidi"/>
        </w:rPr>
        <w:t>(</w:t>
      </w:r>
      <w:hyperlink w:anchor="_ENREF_134" w:tooltip="Holt, 2019 #282" w:history="1">
        <w:r w:rsidR="00950097" w:rsidRPr="007268F5">
          <w:rPr>
            <w:rFonts w:cstheme="minorBidi"/>
          </w:rPr>
          <w:t>Holt, 2019</w:t>
        </w:r>
      </w:hyperlink>
      <w:r w:rsidR="00B303F5" w:rsidRPr="007268F5">
        <w:rPr>
          <w:rFonts w:cstheme="minorBidi"/>
        </w:rPr>
        <w:t xml:space="preserve">; </w:t>
      </w:r>
      <w:hyperlink w:anchor="_ENREF_135" w:tooltip="Holt, 2021 #1740" w:history="1">
        <w:r w:rsidR="00950097" w:rsidRPr="007268F5">
          <w:rPr>
            <w:rFonts w:cstheme="minorBidi"/>
          </w:rPr>
          <w:t>Holt et al., 2021</w:t>
        </w:r>
      </w:hyperlink>
      <w:r w:rsidR="00B303F5" w:rsidRPr="007268F5">
        <w:rPr>
          <w:rFonts w:cstheme="minorBidi"/>
        </w:rPr>
        <w:t xml:space="preserve">; </w:t>
      </w:r>
      <w:hyperlink w:anchor="_ENREF_147" w:tooltip="Huang, 2016 #489" w:history="1">
        <w:r w:rsidR="00950097" w:rsidRPr="007268F5">
          <w:rPr>
            <w:rFonts w:cstheme="minorBidi"/>
          </w:rPr>
          <w:t>Huang et al., 2016</w:t>
        </w:r>
      </w:hyperlink>
      <w:r w:rsidR="00B303F5" w:rsidRPr="007268F5">
        <w:rPr>
          <w:rFonts w:cstheme="minorBidi"/>
        </w:rPr>
        <w:t xml:space="preserve">; </w:t>
      </w:r>
      <w:hyperlink w:anchor="_ENREF_237" w:tooltip="Ooi, 2018 #475" w:history="1">
        <w:r w:rsidR="00950097" w:rsidRPr="007268F5">
          <w:rPr>
            <w:rFonts w:cstheme="minorBidi"/>
          </w:rPr>
          <w:t>Ooi, 2018</w:t>
        </w:r>
      </w:hyperlink>
      <w:r w:rsidR="00B303F5" w:rsidRPr="007268F5">
        <w:rPr>
          <w:rFonts w:cstheme="minorBidi"/>
        </w:rPr>
        <w:t xml:space="preserve">; </w:t>
      </w:r>
      <w:hyperlink w:anchor="_ENREF_239" w:tooltip="Ooi, 2017 #202" w:history="1">
        <w:r w:rsidR="00950097" w:rsidRPr="007268F5">
          <w:rPr>
            <w:rFonts w:cstheme="minorBidi"/>
          </w:rPr>
          <w:t>Ooi et al., 2017</w:t>
        </w:r>
      </w:hyperlink>
      <w:r w:rsidR="00B303F5" w:rsidRPr="007268F5">
        <w:rPr>
          <w:rFonts w:cstheme="minorBidi"/>
        </w:rPr>
        <w:t xml:space="preserve">; </w:t>
      </w:r>
      <w:hyperlink w:anchor="_ENREF_353" w:tooltip="Wei, 2019 #815" w:history="1">
        <w:r w:rsidR="00950097" w:rsidRPr="007268F5">
          <w:rPr>
            <w:rFonts w:cstheme="minorBidi"/>
          </w:rPr>
          <w:t>Wei et al., 2019</w:t>
        </w:r>
      </w:hyperlink>
      <w:r w:rsidR="00B303F5" w:rsidRPr="007268F5">
        <w:rPr>
          <w:rFonts w:cstheme="minorBidi"/>
        </w:rPr>
        <w:t>)</w:t>
      </w:r>
      <w:r w:rsidRPr="009819CE">
        <w:rPr>
          <w:rFonts w:cstheme="minorBidi"/>
        </w:rPr>
        <w:fldChar w:fldCharType="end"/>
      </w:r>
      <w:r w:rsidRPr="009819CE">
        <w:rPr>
          <w:rFonts w:cstheme="minorBidi"/>
        </w:rPr>
        <w:t xml:space="preserve">, with diet and rearing conditions exerting a notable influence over gut microbiota </w:t>
      </w:r>
      <w:r w:rsidRPr="009819CE">
        <w:rPr>
          <w:rFonts w:cstheme="minorBidi"/>
        </w:rPr>
        <w:fldChar w:fldCharType="begin"/>
      </w:r>
      <w:r w:rsidR="00D50EFF" w:rsidRPr="009819CE">
        <w:rPr>
          <w:rFonts w:cstheme="minorBidi"/>
        </w:rPr>
        <w:instrText xml:space="preserve"> ADDIN EN.CITE &lt;EndNote&gt;&lt;Cite&gt;&lt;Author&gt;Cornejo-Granados&lt;/Author&gt;&lt;Year&gt;2018&lt;/Year&gt;&lt;RecNum&gt;602&lt;/RecNum&gt;&lt;DisplayText&gt;(Cornejo-Granados et al., 2018)&lt;/DisplayText&gt;&lt;record&gt;&lt;rec-number&gt;602&lt;/rec-number&gt;&lt;foreign-keys&gt;&lt;key app="EN" db-id="sd9wrx9fj09rx3erprsx999o0r5aprvp2zse" timestamp="1687855901" guid="71c2a1f5-24da-40ec-b7ae-9c4d35a379c2"&gt;602&lt;/key&gt;&lt;/foreign-keys&gt;&lt;ref-type name="Journal Article"&gt;17&lt;/ref-type&gt;&lt;contributors&gt;&lt;authors&gt;&lt;author&gt;Cornejo-Granados, Fernanda&lt;/author&gt;&lt;author&gt;Gallardo-Becerra, Luigui&lt;/author&gt;&lt;author&gt;Leonardo-Reza, Miriam&lt;/author&gt;&lt;author&gt;Ochoa-Romo, Juan Pablo&lt;/author&gt;&lt;author&gt;Ochoa-Leyva, Adrian&lt;/author&gt;&lt;/authors&gt;&lt;/contributors&gt;&lt;titles&gt;&lt;title&gt;A meta-analysis reveals the environmental and host factors shaping the structure and function of the shrimp microbiota&lt;/title&gt;&lt;secondary-title&gt;PeerJ&lt;/secondary-title&gt;&lt;/titles&gt;&lt;periodical&gt;&lt;full-title&gt;PeerJ&lt;/full-title&gt;&lt;/periodical&gt;&lt;pages&gt;e5382-e5382&lt;/pages&gt;&lt;volume&gt;2018&lt;/volume&gt;&lt;number&gt;8&lt;/number&gt;&lt;keywords&gt;&lt;keyword&gt;16S rRNA&lt;/keyword&gt;&lt;keyword&gt;High-throughput sequencing&lt;/keyword&gt;&lt;keyword&gt;Meta-analysis&lt;/keyword&gt;&lt;keyword&gt;Metagenomics&lt;/keyword&gt;&lt;keyword&gt;PICRUST&lt;/keyword&gt;&lt;keyword&gt;Shrimp microbiome&lt;/keyword&gt;&lt;keyword&gt;Shrimp microbiota&lt;/keyword&gt;&lt;/keywords&gt;&lt;dates&gt;&lt;year&gt;2018&lt;/year&gt;&lt;pub-dates&gt;&lt;date&gt;2018/8//&lt;/date&gt;&lt;/pub-dates&gt;&lt;/dates&gt;&lt;publisher&gt;PeerJ Inc.&lt;/publisher&gt;&lt;urls&gt;&lt;related-urls&gt;&lt;url&gt;https://peerj.com/articles/5382&lt;/url&gt;&lt;/related-urls&gt;&lt;/urls&gt;&lt;electronic-resource-num&gt;10.7717/PEERJ.5382/SUPP-18&lt;/electronic-resource-num&gt;&lt;/record&gt;&lt;/Cite&gt;&lt;/EndNote&gt;</w:instrText>
      </w:r>
      <w:r w:rsidRPr="009819CE">
        <w:rPr>
          <w:rFonts w:cstheme="minorBidi"/>
        </w:rPr>
        <w:fldChar w:fldCharType="separate"/>
      </w:r>
      <w:r w:rsidR="00D50EFF" w:rsidRPr="009819CE">
        <w:rPr>
          <w:rFonts w:cstheme="minorBidi"/>
        </w:rPr>
        <w:t>(</w:t>
      </w:r>
      <w:hyperlink w:anchor="_ENREF_58" w:tooltip="Cornejo-Granados, 2018 #602" w:history="1">
        <w:r w:rsidR="00950097" w:rsidRPr="009819CE">
          <w:rPr>
            <w:rFonts w:cstheme="minorBidi"/>
          </w:rPr>
          <w:t>Cornejo-Granados et al., 2018</w:t>
        </w:r>
      </w:hyperlink>
      <w:r w:rsidR="00D50EFF" w:rsidRPr="009819CE">
        <w:rPr>
          <w:rFonts w:cstheme="minorBidi"/>
        </w:rPr>
        <w:t>)</w:t>
      </w:r>
      <w:r w:rsidRPr="009819CE">
        <w:rPr>
          <w:rFonts w:cstheme="minorBidi"/>
        </w:rPr>
        <w:fldChar w:fldCharType="end"/>
      </w:r>
      <w:r w:rsidRPr="009819CE">
        <w:rPr>
          <w:rFonts w:eastAsia="Calibri" w:cstheme="minorBidi"/>
        </w:rPr>
        <w:t>,</w:t>
      </w:r>
      <w:r w:rsidRPr="009819CE">
        <w:rPr>
          <w:rFonts w:cstheme="minorBidi"/>
        </w:rPr>
        <w:t xml:space="preserve"> leading to disparities between wild and cultured crustaceans </w:t>
      </w:r>
      <w:r w:rsidRPr="009819CE">
        <w:rPr>
          <w:rFonts w:cstheme="minorBidi"/>
        </w:rPr>
        <w:fldChar w:fldCharType="begin"/>
      </w:r>
      <w:r w:rsidR="00D50EFF" w:rsidRPr="009819CE">
        <w:rPr>
          <w:rFonts w:cstheme="minorBidi"/>
        </w:rPr>
        <w:instrText xml:space="preserve"> ADDIN EN.CITE &lt;EndNote&gt;&lt;Cite&gt;&lt;Author&gt;Meziti&lt;/Author&gt;&lt;Year&gt;2012&lt;/Year&gt;&lt;RecNum&gt;462&lt;/RecNum&gt;&lt;DisplayText&gt;(Meziti et al., 2012)&lt;/DisplayText&gt;&lt;record&gt;&lt;rec-number&gt;462&lt;/rec-number&gt;&lt;foreign-keys&gt;&lt;key app="EN" db-id="sd9wrx9fj09rx3erprsx999o0r5aprvp2zse" timestamp="1687855901" guid="baee6003-eb5e-44d3-960f-c18d054d8fe3"&gt;462&lt;/key&gt;&lt;/foreign-keys&gt;&lt;ref-type name="Journal Article"&gt;17&lt;/ref-type&gt;&lt;contributors&gt;&lt;authors&gt;&lt;author&gt;Meziti, Alexandra&lt;/author&gt;&lt;author&gt;Mente, Eleni&lt;/author&gt;&lt;author&gt;Kormas, Konstantinos Ar&lt;/author&gt;&lt;/authors&gt;&lt;/contributors&gt;&lt;titles&gt;&lt;title&gt;&lt;style face="normal" font="default" size="100%"&gt;Gut bacteria associated with different diets in reared &lt;/style&gt;&lt;style face="italic" font="default" size="100%"&gt;Nephrops norvegicus&lt;/style&gt;&lt;/title&gt;&lt;secondary-title&gt;Systematic and Applied Microbiology&lt;/secondary-title&gt;&lt;/titles&gt;&lt;periodical&gt;&lt;full-title&gt;Systematic and Applied Microbiology&lt;/full-title&gt;&lt;/periodical&gt;&lt;pages&gt;473-482&lt;/pages&gt;&lt;volume&gt;35&lt;/volume&gt;&lt;number&gt;7&lt;/number&gt;&lt;keywords&gt;&lt;keyword&gt;Aquaculture&lt;/keyword&gt;&lt;keyword&gt;Bacteria&lt;/keyword&gt;&lt;keyword&gt;Diet&lt;/keyword&gt;&lt;keyword&gt;Gut&lt;/keyword&gt;&lt;keyword&gt;Nephrops norvegicus&lt;/keyword&gt;&lt;/keywords&gt;&lt;dates&gt;&lt;year&gt;2012&lt;/year&gt;&lt;pub-dates&gt;&lt;date&gt;2012/10//&lt;/date&gt;&lt;/pub-dates&gt;&lt;/dates&gt;&lt;publisher&gt;Elsevier GmbH.&lt;/publisher&gt;&lt;urls&gt;&lt;related-urls&gt;&lt;url&gt;http://dx.doi.org/10.1016/j.syapm.2012.07.004&lt;/url&gt;&lt;url&gt;https://linkinghub.elsevier.com/retrieve/pii/S0723202012001105&lt;/url&gt;&lt;/related-urls&gt;&lt;/urls&gt;&lt;electronic-resource-num&gt;10.1016/j.syapm.2012.07.004&lt;/electronic-resource-num&gt;&lt;/record&gt;&lt;/Cite&gt;&lt;/EndNote&gt;</w:instrText>
      </w:r>
      <w:r w:rsidRPr="009819CE">
        <w:rPr>
          <w:rFonts w:cstheme="minorBidi"/>
        </w:rPr>
        <w:fldChar w:fldCharType="separate"/>
      </w:r>
      <w:r w:rsidR="00D50EFF" w:rsidRPr="009819CE">
        <w:rPr>
          <w:rFonts w:cstheme="minorBidi"/>
        </w:rPr>
        <w:t>(</w:t>
      </w:r>
      <w:hyperlink w:anchor="_ENREF_219" w:tooltip="Meziti, 2012 #462" w:history="1">
        <w:r w:rsidR="00950097" w:rsidRPr="009819CE">
          <w:rPr>
            <w:rFonts w:cstheme="minorBidi"/>
          </w:rPr>
          <w:t>Meziti et al., 2012</w:t>
        </w:r>
      </w:hyperlink>
      <w:r w:rsidR="00D50EFF" w:rsidRPr="009819CE">
        <w:rPr>
          <w:rFonts w:cstheme="minorBidi"/>
        </w:rPr>
        <w:t>)</w:t>
      </w:r>
      <w:r w:rsidRPr="009819CE">
        <w:rPr>
          <w:rFonts w:cstheme="minorBidi"/>
        </w:rPr>
        <w:fldChar w:fldCharType="end"/>
      </w:r>
      <w:r w:rsidRPr="009819CE">
        <w:rPr>
          <w:rFonts w:cstheme="minorBidi"/>
        </w:rPr>
        <w:t>.</w:t>
      </w:r>
      <w:r w:rsidRPr="009819CE">
        <w:rPr>
          <w:rFonts w:eastAsia="Calibri" w:cstheme="minorBidi"/>
        </w:rPr>
        <w:t xml:space="preserve"> </w:t>
      </w:r>
      <w:r w:rsidRPr="009819CE">
        <w:rPr>
          <w:rFonts w:cstheme="minorBidi"/>
        </w:rPr>
        <w:t xml:space="preserve">Captivity </w:t>
      </w:r>
      <w:r w:rsidR="00C86133" w:rsidRPr="009819CE">
        <w:rPr>
          <w:rFonts w:cstheme="minorBidi"/>
        </w:rPr>
        <w:t>reduces</w:t>
      </w:r>
      <w:r w:rsidRPr="009819CE">
        <w:rPr>
          <w:rFonts w:cstheme="minorBidi"/>
        </w:rPr>
        <w:t xml:space="preserve"> microbial diversity compared to their wild counterparts, impacting host performance </w:t>
      </w:r>
      <w:r w:rsidRPr="009819CE">
        <w:rPr>
          <w:rFonts w:cstheme="minorBidi"/>
        </w:rPr>
        <w:fldChar w:fldCharType="begin">
          <w:fldData xml:space="preserve">PEVuZE5vdGU+PENpdGU+PEF1dGhvcj5Db3JuZWpvLUdyYW5hZG9zPC9BdXRob3I+PFllYXI+MjAx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</w:fldData>
        </w:fldChar>
      </w:r>
      <w:r w:rsidR="00EE7FB9">
        <w:rPr>
          <w:rFonts w:cstheme="minorBidi"/>
        </w:rPr>
        <w:instrText xml:space="preserve"> ADDIN EN.CITE </w:instrText>
      </w:r>
      <w:r w:rsidR="00EE7FB9">
        <w:rPr>
          <w:rFonts w:cstheme="minorBidi"/>
        </w:rPr>
        <w:fldChar w:fldCharType="begin">
          <w:fldData xml:space="preserve">PEVuZE5vdGU+PENpdGU+PEF1dGhvcj5Db3JuZWpvLUdyYW5hZG9zPC9BdXRob3I+PFllYXI+MjAx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58" w:tooltip="Cornejo-Granados, 2018 #602" w:history="1">
        <w:r w:rsidR="00950097" w:rsidRPr="00EE7FB9">
          <w:rPr>
            <w:rFonts w:cstheme="minorBidi"/>
            <w:noProof/>
          </w:rPr>
          <w:t>Cornejo-Granados et al., 2018</w:t>
        </w:r>
      </w:hyperlink>
      <w:r w:rsidR="00D50EFF" w:rsidRPr="00EE7FB9">
        <w:rPr>
          <w:rFonts w:cstheme="minorBidi"/>
          <w:noProof/>
        </w:rPr>
        <w:t xml:space="preserve">; </w:t>
      </w:r>
      <w:hyperlink w:anchor="_ENREF_233" w:tooltip="Oetama, 2016 #1823" w:history="1">
        <w:r w:rsidR="00950097" w:rsidRPr="00EE7FB9">
          <w:rPr>
            <w:rFonts w:cstheme="minorBidi"/>
            <w:noProof/>
          </w:rPr>
          <w:t>Oetama et al., 2016</w:t>
        </w:r>
      </w:hyperlink>
      <w:r w:rsidR="00D50EFF" w:rsidRPr="00EE7FB9">
        <w:rPr>
          <w:rFonts w:cstheme="minorBidi"/>
          <w:noProof/>
        </w:rPr>
        <w:t xml:space="preserve">; </w:t>
      </w:r>
      <w:hyperlink w:anchor="_ENREF_263" w:tooltip="Rungrassamee, 2014 #644" w:history="1">
        <w:r w:rsidR="00950097" w:rsidRPr="00EE7FB9">
          <w:rPr>
            <w:rFonts w:cstheme="minorBidi"/>
            <w:noProof/>
          </w:rPr>
          <w:t>Rungrassamee et al., 2014</w:t>
        </w:r>
      </w:hyperlink>
      <w:r w:rsidR="00D50EFF" w:rsidRPr="00EE7FB9">
        <w:rPr>
          <w:rFonts w:cstheme="minorBidi"/>
          <w:noProof/>
        </w:rPr>
        <w:t>)</w:t>
      </w:r>
      <w:r w:rsidRPr="009819CE">
        <w:rPr>
          <w:rFonts w:cstheme="minorBidi"/>
        </w:rPr>
        <w:fldChar w:fldCharType="end"/>
      </w:r>
      <w:r w:rsidRPr="009819CE">
        <w:rPr>
          <w:rFonts w:cstheme="minorBidi"/>
        </w:rPr>
        <w:t xml:space="preserve">. In the haemolymph, </w:t>
      </w:r>
      <w:r w:rsidRPr="009819CE">
        <w:rPr>
          <w:rFonts w:cstheme="minorBidi"/>
          <w:i/>
          <w:iCs/>
        </w:rPr>
        <w:t>Proteobacteria</w:t>
      </w:r>
      <w:r w:rsidRPr="009819CE">
        <w:rPr>
          <w:rFonts w:cstheme="minorBidi"/>
        </w:rPr>
        <w:t xml:space="preserve"> dominate in </w:t>
      </w:r>
      <w:r w:rsidR="006D5D62" w:rsidRPr="009819CE">
        <w:rPr>
          <w:rFonts w:cstheme="minorBidi"/>
        </w:rPr>
        <w:t>s</w:t>
      </w:r>
      <w:r w:rsidR="00FA0302" w:rsidRPr="009819CE">
        <w:rPr>
          <w:rFonts w:cstheme="minorBidi"/>
        </w:rPr>
        <w:t>piny lobster (</w:t>
      </w:r>
      <w:r w:rsidRPr="009819CE">
        <w:rPr>
          <w:rFonts w:cstheme="minorBidi"/>
          <w:i/>
          <w:iCs/>
        </w:rPr>
        <w:t>Panulirus ornatus</w:t>
      </w:r>
      <w:r w:rsidRPr="009819CE">
        <w:rPr>
          <w:rFonts w:cstheme="minorBidi"/>
        </w:rPr>
        <w:t>)</w:t>
      </w:r>
      <w:r w:rsidR="00935732" w:rsidRPr="009819CE">
        <w:rPr>
          <w:rFonts w:cstheme="minorBidi"/>
        </w:rPr>
        <w:t xml:space="preserve">, </w:t>
      </w:r>
      <w:r w:rsidR="00FA0302" w:rsidRPr="009819CE">
        <w:rPr>
          <w:rFonts w:cstheme="minorBidi"/>
        </w:rPr>
        <w:t>Atlantic blue crab</w:t>
      </w:r>
      <w:r w:rsidRPr="009819CE">
        <w:rPr>
          <w:rFonts w:cstheme="minorBidi"/>
        </w:rPr>
        <w:t xml:space="preserve"> (</w:t>
      </w:r>
      <w:r w:rsidR="00FA0302" w:rsidRPr="009819CE">
        <w:rPr>
          <w:rFonts w:cstheme="minorBidi"/>
          <w:i/>
          <w:iCs/>
        </w:rPr>
        <w:t>Callinectes sapidus</w:t>
      </w:r>
      <w:r w:rsidRPr="009819CE">
        <w:rPr>
          <w:rFonts w:cstheme="minorBidi"/>
        </w:rPr>
        <w:t>)</w:t>
      </w:r>
      <w:r w:rsidR="00935732" w:rsidRPr="009819CE">
        <w:rPr>
          <w:rFonts w:cstheme="minorBidi"/>
        </w:rPr>
        <w:t xml:space="preserve"> and Chinese </w:t>
      </w:r>
      <w:r w:rsidR="00BA271E" w:rsidRPr="00FA7D47">
        <w:rPr>
          <w:rFonts w:cstheme="minorBidi"/>
        </w:rPr>
        <w:t>m</w:t>
      </w:r>
      <w:r w:rsidR="00935732" w:rsidRPr="009819CE">
        <w:rPr>
          <w:rFonts w:cstheme="minorBidi"/>
        </w:rPr>
        <w:t>itten Crab (</w:t>
      </w:r>
      <w:r w:rsidR="00935732" w:rsidRPr="009819CE">
        <w:rPr>
          <w:rFonts w:cstheme="minorBidi"/>
          <w:i/>
          <w:iCs/>
        </w:rPr>
        <w:t>Eriocheir sinensis</w:t>
      </w:r>
      <w:r w:rsidR="00935732" w:rsidRPr="009819CE">
        <w:rPr>
          <w:rFonts w:cstheme="minorBidi"/>
        </w:rPr>
        <w:t>)</w:t>
      </w:r>
      <w:r w:rsidRPr="009819CE">
        <w:rPr>
          <w:rFonts w:cstheme="minorBidi"/>
        </w:rPr>
        <w:t xml:space="preserve">, alongside </w:t>
      </w:r>
      <w:r w:rsidRPr="009819CE">
        <w:rPr>
          <w:rFonts w:cstheme="minorBidi"/>
          <w:i/>
          <w:iCs/>
        </w:rPr>
        <w:t>Bacteroidetes</w:t>
      </w:r>
      <w:r w:rsidRPr="009819CE">
        <w:rPr>
          <w:rFonts w:cstheme="minorBidi"/>
        </w:rPr>
        <w:t xml:space="preserve"> </w:t>
      </w:r>
      <w:r w:rsidRPr="009819CE">
        <w:rPr>
          <w:rFonts w:cstheme="minorBidi"/>
        </w:rPr>
        <w:fldChar w:fldCharType="begin">
          <w:fldData xml:space="preserve">PEVuZE5vdGU+PENpdGU+PEF1dGhvcj5HaXZlbnM8L0F1dGhvcj48WWVhcj4yMDEzPC9ZZWFyPjxS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PEVuZE5vdGU+PENpdGU+PEF1dGhvcj5HaXZlbnM8L0F1dGhvcj48WWVhcj4yMDEzPC9ZZWFyPjxS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344886" w:rsidRPr="007268F5">
        <w:rPr>
          <w:rFonts w:cstheme="minorBidi"/>
        </w:rPr>
        <w:t>(</w:t>
      </w:r>
      <w:hyperlink w:anchor="_ENREF_109" w:tooltip="Givens, 2013 #636" w:history="1">
        <w:r w:rsidR="00950097" w:rsidRPr="007268F5">
          <w:rPr>
            <w:rFonts w:cstheme="minorBidi"/>
          </w:rPr>
          <w:t>Givens et al., 2013</w:t>
        </w:r>
      </w:hyperlink>
      <w:r w:rsidR="00344886" w:rsidRPr="007268F5">
        <w:rPr>
          <w:rFonts w:cstheme="minorBidi"/>
        </w:rPr>
        <w:t xml:space="preserve">; </w:t>
      </w:r>
      <w:hyperlink w:anchor="_ENREF_166" w:tooltip="Kong, 2023 #1934" w:history="1">
        <w:r w:rsidR="00950097" w:rsidRPr="007268F5">
          <w:rPr>
            <w:rFonts w:cstheme="minorBidi"/>
          </w:rPr>
          <w:t>Kong et al., 2023</w:t>
        </w:r>
      </w:hyperlink>
      <w:r w:rsidR="00344886" w:rsidRPr="007268F5">
        <w:rPr>
          <w:rFonts w:cstheme="minorBidi"/>
        </w:rPr>
        <w:t xml:space="preserve">; </w:t>
      </w:r>
      <w:hyperlink w:anchor="_ENREF_237" w:tooltip="Ooi, 2018 #475" w:history="1">
        <w:r w:rsidR="00950097" w:rsidRPr="007268F5">
          <w:rPr>
            <w:rFonts w:cstheme="minorBidi"/>
          </w:rPr>
          <w:t>Ooi, 2018</w:t>
        </w:r>
      </w:hyperlink>
      <w:r w:rsidR="00344886" w:rsidRPr="007268F5">
        <w:rPr>
          <w:rFonts w:cstheme="minorBidi"/>
        </w:rPr>
        <w:t xml:space="preserve">; </w:t>
      </w:r>
      <w:hyperlink w:anchor="_ENREF_238" w:tooltip="Ooi, 2019 #327" w:history="1">
        <w:r w:rsidR="00950097" w:rsidRPr="007268F5">
          <w:rPr>
            <w:rFonts w:cstheme="minorBidi"/>
          </w:rPr>
          <w:t>Ooi et al., 2019</w:t>
        </w:r>
      </w:hyperlink>
      <w:r w:rsidR="00344886" w:rsidRPr="007268F5">
        <w:rPr>
          <w:rFonts w:cstheme="minorBidi"/>
        </w:rPr>
        <w:t>)</w:t>
      </w:r>
      <w:r w:rsidRPr="009819CE">
        <w:rPr>
          <w:rFonts w:cstheme="minorBidi"/>
        </w:rPr>
        <w:fldChar w:fldCharType="end"/>
      </w:r>
      <w:r w:rsidRPr="009819CE">
        <w:rPr>
          <w:rFonts w:cstheme="minorBidi"/>
        </w:rPr>
        <w:t xml:space="preserve">. </w:t>
      </w:r>
      <w:r w:rsidR="009B40CF" w:rsidRPr="00FA7D47">
        <w:rPr>
          <w:rFonts w:cstheme="minorBidi"/>
        </w:rPr>
        <w:t xml:space="preserve">In </w:t>
      </w:r>
      <w:r w:rsidR="0034124A" w:rsidRPr="009819CE">
        <w:rPr>
          <w:rFonts w:cstheme="minorBidi"/>
        </w:rPr>
        <w:t>m</w:t>
      </w:r>
      <w:r w:rsidR="006D5D62" w:rsidRPr="009819CE">
        <w:rPr>
          <w:rFonts w:cstheme="minorBidi"/>
        </w:rPr>
        <w:t xml:space="preserve">ud crabs </w:t>
      </w:r>
      <w:r w:rsidRPr="009819CE">
        <w:rPr>
          <w:rFonts w:cstheme="minorBidi"/>
        </w:rPr>
        <w:t>(</w:t>
      </w:r>
      <w:r w:rsidR="00DA3425" w:rsidRPr="009819CE">
        <w:rPr>
          <w:rFonts w:cstheme="minorBidi"/>
          <w:i/>
          <w:iCs/>
        </w:rPr>
        <w:t>Scylla</w:t>
      </w:r>
      <w:r w:rsidR="006D5D62" w:rsidRPr="009819CE">
        <w:rPr>
          <w:rFonts w:cstheme="minorBidi"/>
          <w:i/>
          <w:iCs/>
        </w:rPr>
        <w:t xml:space="preserve"> serrata</w:t>
      </w:r>
      <w:r w:rsidRPr="009819CE">
        <w:rPr>
          <w:rFonts w:cstheme="minorBidi"/>
        </w:rPr>
        <w:t xml:space="preserve">) and </w:t>
      </w:r>
      <w:r w:rsidR="00C33436" w:rsidRPr="009819CE">
        <w:rPr>
          <w:rFonts w:cstheme="minorBidi"/>
        </w:rPr>
        <w:t>whiteleg</w:t>
      </w:r>
      <w:r w:rsidR="006D5D62" w:rsidRPr="009819CE">
        <w:rPr>
          <w:rFonts w:cstheme="minorBidi"/>
        </w:rPr>
        <w:t xml:space="preserve"> shrimp</w:t>
      </w:r>
      <w:r w:rsidR="006D5D62" w:rsidRPr="009819CE">
        <w:rPr>
          <w:rFonts w:cstheme="minorBidi"/>
          <w:i/>
          <w:iCs/>
        </w:rPr>
        <w:t xml:space="preserve"> </w:t>
      </w:r>
      <w:r w:rsidRPr="009819CE">
        <w:rPr>
          <w:rFonts w:cstheme="minorBidi"/>
        </w:rPr>
        <w:t>(</w:t>
      </w:r>
      <w:r w:rsidR="006D5D62" w:rsidRPr="009819CE">
        <w:rPr>
          <w:rFonts w:cstheme="minorBidi"/>
          <w:i/>
          <w:iCs/>
        </w:rPr>
        <w:t>Litopenaeus vannamei</w:t>
      </w:r>
      <w:r w:rsidRPr="009819CE">
        <w:rPr>
          <w:rFonts w:cstheme="minorBidi"/>
        </w:rPr>
        <w:t xml:space="preserve">) </w:t>
      </w:r>
      <w:r w:rsidRPr="009819CE">
        <w:rPr>
          <w:rFonts w:cstheme="minorBidi"/>
          <w:i/>
          <w:iCs/>
        </w:rPr>
        <w:t>Escherichia</w:t>
      </w:r>
      <w:r w:rsidRPr="009819CE">
        <w:rPr>
          <w:rFonts w:cstheme="minorBidi"/>
        </w:rPr>
        <w:t>/</w:t>
      </w:r>
      <w:r w:rsidRPr="009819CE">
        <w:rPr>
          <w:rFonts w:cstheme="minorBidi"/>
          <w:i/>
          <w:iCs/>
        </w:rPr>
        <w:t>Shigella</w:t>
      </w:r>
      <w:r w:rsidRPr="009819CE">
        <w:rPr>
          <w:rFonts w:cstheme="minorBidi"/>
        </w:rPr>
        <w:t xml:space="preserve"> and </w:t>
      </w:r>
      <w:r w:rsidRPr="009819CE">
        <w:rPr>
          <w:rFonts w:cstheme="minorBidi"/>
          <w:i/>
          <w:iCs/>
        </w:rPr>
        <w:t>Halomonas</w:t>
      </w:r>
      <w:r w:rsidRPr="009819CE">
        <w:rPr>
          <w:rFonts w:cstheme="minorBidi"/>
        </w:rPr>
        <w:t xml:space="preserve"> </w:t>
      </w:r>
      <w:r w:rsidR="00B44B7B" w:rsidRPr="009819CE">
        <w:rPr>
          <w:rFonts w:cstheme="minorBidi"/>
        </w:rPr>
        <w:t xml:space="preserve">have been reported </w:t>
      </w:r>
      <w:r w:rsidRPr="009819CE">
        <w:rPr>
          <w:rFonts w:cstheme="minorBidi"/>
        </w:rPr>
        <w:t xml:space="preserve">as the primary bacterial groups in their haemolymph </w:t>
      </w:r>
      <w:r w:rsidRPr="009819CE">
        <w:rPr>
          <w:rFonts w:cstheme="minorBidi"/>
        </w:rPr>
        <w:fldChar w:fldCharType="begin"/>
      </w:r>
      <w:r w:rsidR="00D50EFF" w:rsidRPr="009819CE">
        <w:rPr>
          <w:rFonts w:cstheme="minorBidi"/>
        </w:rPr>
        <w:instrText xml:space="preserve"> ADDIN EN.CITE &lt;EndNote&gt;&lt;Cite&gt;&lt;Author&gt;Zhang&lt;/Author&gt;&lt;Year&gt;2018&lt;/Year&gt;&lt;RecNum&gt;641&lt;/RecNum&gt;&lt;DisplayText&gt;(Zhang et al., 2018)&lt;/DisplayText&gt;&lt;record&gt;&lt;rec-number&gt;641&lt;/rec-number&gt;&lt;foreign-keys&gt;&lt;key app="EN" db-id="sd9wrx9fj09rx3erprsx999o0r5aprvp2zse" timestamp="1687855901" guid="5547930d-27f7-4231-82da-f12b2ccd4471"&gt;641&lt;/key&gt;&lt;/foreign-keys&gt;&lt;ref-type name="Journal Article"&gt;17&lt;/ref-type&gt;&lt;contributors&gt;&lt;authors&gt;&lt;author&gt;Zhang, Xinxu&lt;/author&gt;&lt;author&gt;Sun, Zaiqiao&lt;/author&gt;&lt;author&gt;Zhang, Xusheng&lt;/author&gt;&lt;author&gt;Zhang, Ming&lt;/author&gt;&lt;author&gt;Li, Shengkang&lt;/author&gt;&lt;/authors&gt;&lt;/contributors&gt;&lt;titles&gt;&lt;title&gt;Hemolymph microbiomes of three aquatic invertebrates as revealed by a new cell extraction method&lt;/title&gt;&lt;secondary-title&gt;Applied and Environmental Microbiology&lt;/secondary-title&gt;&lt;/titles&gt;&lt;periodical&gt;&lt;full-title&gt;Applied and Environmental Microbiology&lt;/full-title&gt;&lt;/periodical&gt;&lt;volume&gt;84&lt;/volume&gt;&lt;number&gt;8&lt;/number&gt;&lt;keywords&gt;&lt;keyword&gt;Aquatic invertebrates&lt;/keyword&gt;&lt;keyword&gt;Cell extraction&lt;/keyword&gt;&lt;keyword&gt;Hemolymph&lt;/keyword&gt;&lt;keyword&gt;Microbiome&lt;/keyword&gt;&lt;/keywords&gt;&lt;dates&gt;&lt;year&gt;2018&lt;/year&gt;&lt;pub-dates&gt;&lt;date&gt;2018/4//&lt;/date&gt;&lt;/pub-dates&gt;&lt;/dates&gt;&lt;publisher&gt;American Society for Microbiology&lt;/publisher&gt;&lt;urls&gt;&lt;related-urls&gt;&lt;url&gt;https://journals.asm.org/doi/abs/10.1128/AEM.02824-17&lt;/url&gt;&lt;/related-urls&gt;&lt;/urls&gt;&lt;electronic-resource-num&gt;10.1128/AEM.02824-17/SUPPL_FILE/ZAM008188443S1.PDF&lt;/electronic-resource-num&gt;&lt;/record&gt;&lt;/Cite&gt;&lt;/EndNote&gt;</w:instrText>
      </w:r>
      <w:r w:rsidRPr="009819CE">
        <w:rPr>
          <w:rFonts w:cstheme="minorBidi"/>
        </w:rPr>
        <w:fldChar w:fldCharType="separate"/>
      </w:r>
      <w:r w:rsidR="00D50EFF" w:rsidRPr="009819CE">
        <w:rPr>
          <w:rFonts w:cstheme="minorBidi"/>
        </w:rPr>
        <w:t>(</w:t>
      </w:r>
      <w:hyperlink w:anchor="_ENREF_374" w:tooltip="Zhang, 2018 #641" w:history="1">
        <w:r w:rsidR="00950097" w:rsidRPr="009819CE">
          <w:rPr>
            <w:rFonts w:cstheme="minorBidi"/>
          </w:rPr>
          <w:t>Zhang et al., 2018</w:t>
        </w:r>
      </w:hyperlink>
      <w:r w:rsidR="00D50EFF" w:rsidRPr="009819CE">
        <w:rPr>
          <w:rFonts w:cstheme="minorBidi"/>
        </w:rPr>
        <w:t>)</w:t>
      </w:r>
      <w:r w:rsidRPr="009819CE">
        <w:rPr>
          <w:rFonts w:cstheme="minorBidi"/>
        </w:rPr>
        <w:fldChar w:fldCharType="end"/>
      </w:r>
      <w:r w:rsidRPr="009819CE">
        <w:rPr>
          <w:rFonts w:cstheme="minorBidi"/>
        </w:rPr>
        <w:t xml:space="preserve">. </w:t>
      </w:r>
    </w:p>
    <w:p w14:paraId="0132859B" w14:textId="1EEE6C6C" w:rsidR="00DD1102" w:rsidRDefault="002773A2" w:rsidP="00282B0D">
      <w:pPr>
        <w:rPr>
          <w:rFonts w:cstheme="minorBidi"/>
          <w:color w:val="000000"/>
        </w:rPr>
        <w:sectPr w:rsidR="00DD1102" w:rsidSect="001B0CD2">
          <w:pgSz w:w="11906" w:h="16838" w:code="9"/>
          <w:pgMar w:top="1440" w:right="1440" w:bottom="1440" w:left="1440" w:header="709" w:footer="709" w:gutter="0"/>
          <w:cols w:space="518"/>
          <w:docGrid w:linePitch="360"/>
        </w:sectPr>
      </w:pPr>
      <w:r w:rsidRPr="009819CE">
        <w:rPr>
          <w:rFonts w:cstheme="minorBidi"/>
          <w:color w:val="000000"/>
        </w:rPr>
        <w:t xml:space="preserve">Studies in </w:t>
      </w:r>
      <w:r w:rsidR="00D32EBA" w:rsidRPr="009819CE">
        <w:rPr>
          <w:rFonts w:cstheme="minorBidi"/>
          <w:color w:val="000000"/>
        </w:rPr>
        <w:t>Norway lobster (</w:t>
      </w:r>
      <w:r w:rsidR="00C31E47" w:rsidRPr="009819CE">
        <w:rPr>
          <w:rFonts w:cstheme="minorBidi"/>
          <w:i/>
          <w:color w:val="000000"/>
        </w:rPr>
        <w:t>Nephrops</w:t>
      </w:r>
      <w:r w:rsidR="00D32EBA" w:rsidRPr="009819CE">
        <w:rPr>
          <w:rFonts w:cstheme="minorBidi"/>
          <w:i/>
          <w:color w:val="000000"/>
        </w:rPr>
        <w:t xml:space="preserve"> </w:t>
      </w:r>
      <w:r w:rsidR="00115A3E" w:rsidRPr="009819CE">
        <w:rPr>
          <w:rFonts w:cstheme="minorBidi"/>
          <w:i/>
          <w:color w:val="000000"/>
        </w:rPr>
        <w:t>norvegicus</w:t>
      </w:r>
      <w:r w:rsidR="00D32EBA" w:rsidRPr="009819CE">
        <w:rPr>
          <w:rFonts w:cstheme="minorBidi"/>
          <w:iCs/>
          <w:color w:val="000000"/>
        </w:rPr>
        <w:t>)</w:t>
      </w:r>
      <w:r w:rsidRPr="009819CE">
        <w:rPr>
          <w:rFonts w:cstheme="minorBidi"/>
          <w:color w:val="000000"/>
        </w:rPr>
        <w:t xml:space="preserve">, utilizing 16S rDNA clone libraries and pyrosequencing, have revealed the prevalence of dominant </w:t>
      </w:r>
      <w:r w:rsidRPr="009819CE">
        <w:rPr>
          <w:rFonts w:cstheme="minorBidi"/>
          <w:i/>
          <w:iCs/>
          <w:color w:val="000000"/>
        </w:rPr>
        <w:t>Proteobacteria</w:t>
      </w:r>
      <w:r w:rsidRPr="009819CE">
        <w:rPr>
          <w:rFonts w:cstheme="minorBidi"/>
          <w:color w:val="000000"/>
        </w:rPr>
        <w:t xml:space="preserve">, including </w:t>
      </w:r>
      <w:r w:rsidRPr="009819CE">
        <w:rPr>
          <w:rFonts w:cstheme="minorBidi"/>
          <w:i/>
          <w:iCs/>
          <w:color w:val="000000"/>
        </w:rPr>
        <w:t>Gammaproteobacteria</w:t>
      </w:r>
      <w:r w:rsidRPr="009819CE">
        <w:rPr>
          <w:rFonts w:cstheme="minorBidi"/>
          <w:color w:val="000000"/>
        </w:rPr>
        <w:t xml:space="preserve">, </w:t>
      </w:r>
      <w:r w:rsidRPr="009819CE">
        <w:rPr>
          <w:rFonts w:cstheme="minorBidi"/>
          <w:i/>
          <w:iCs/>
          <w:color w:val="000000"/>
        </w:rPr>
        <w:t>Epsilonproteobacteria</w:t>
      </w:r>
      <w:r w:rsidRPr="009819CE">
        <w:rPr>
          <w:rFonts w:cstheme="minorBidi"/>
          <w:color w:val="000000"/>
        </w:rPr>
        <w:t xml:space="preserve">, and </w:t>
      </w:r>
      <w:r w:rsidRPr="009819CE">
        <w:rPr>
          <w:rFonts w:cstheme="minorBidi"/>
          <w:i/>
          <w:iCs/>
          <w:color w:val="000000"/>
        </w:rPr>
        <w:t>Tenericutes</w:t>
      </w:r>
      <w:r w:rsidRPr="009819CE">
        <w:rPr>
          <w:rFonts w:cstheme="minorBidi"/>
          <w:color w:val="000000"/>
        </w:rPr>
        <w:t xml:space="preserve">, within the gut </w:t>
      </w:r>
      <w:r w:rsidRPr="009819CE">
        <w:rPr>
          <w:rFonts w:cstheme="minorBidi"/>
        </w:rPr>
        <w:fldChar w:fldCharType="begin">
          <w:fldData xml:space="preserve">PEVuZE5vdGU+PENpdGU+PEF1dGhvcj5NZXppdGk8L0F1dGhvcj48WWVhcj4yMDEzPC9ZZWFyPjxS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=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PEVuZE5vdGU+PENpdGU+PEF1dGhvcj5NZXppdGk8L0F1dGhvcj48WWVhcj4yMDEzPC9ZZWFyPjxS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=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218" w:tooltip="Meziti, 2013 #56" w:history="1">
        <w:r w:rsidR="00950097" w:rsidRPr="009819CE">
          <w:rPr>
            <w:rFonts w:cstheme="minorBidi"/>
          </w:rPr>
          <w:t>Meziti and Kormas, 2013</w:t>
        </w:r>
      </w:hyperlink>
      <w:r w:rsidR="00D50EFF" w:rsidRPr="009819CE">
        <w:rPr>
          <w:rFonts w:cstheme="minorBidi"/>
        </w:rPr>
        <w:t xml:space="preserve">; </w:t>
      </w:r>
      <w:hyperlink w:anchor="_ENREF_219" w:tooltip="Meziti, 2012 #462" w:history="1">
        <w:r w:rsidR="00950097" w:rsidRPr="009819CE">
          <w:rPr>
            <w:rFonts w:cstheme="minorBidi"/>
          </w:rPr>
          <w:t>Meziti et al., 2012</w:t>
        </w:r>
      </w:hyperlink>
      <w:r w:rsidR="00D50EFF" w:rsidRPr="009819CE">
        <w:rPr>
          <w:rFonts w:cstheme="minorBidi"/>
        </w:rPr>
        <w:t xml:space="preserve">; </w:t>
      </w:r>
      <w:hyperlink w:anchor="_ENREF_220" w:tooltip="Meziti, 2010 #13" w:history="1">
        <w:r w:rsidR="00950097" w:rsidRPr="009819CE">
          <w:rPr>
            <w:rFonts w:cstheme="minorBidi"/>
          </w:rPr>
          <w:t>Meziti et al., 2010</w:t>
        </w:r>
      </w:hyperlink>
      <w:r w:rsidR="00D50EFF" w:rsidRPr="009819CE">
        <w:rPr>
          <w:rFonts w:cstheme="minorBidi"/>
        </w:rPr>
        <w:t>)</w:t>
      </w:r>
      <w:r w:rsidRPr="009819CE">
        <w:rPr>
          <w:rFonts w:cstheme="minorBidi"/>
        </w:rPr>
        <w:fldChar w:fldCharType="end"/>
      </w:r>
      <w:r w:rsidRPr="009819CE">
        <w:rPr>
          <w:rFonts w:cstheme="minorBidi"/>
        </w:rPr>
        <w:t xml:space="preserve">. </w:t>
      </w:r>
      <w:r w:rsidRPr="009819CE">
        <w:rPr>
          <w:rFonts w:cstheme="minorBidi"/>
          <w:color w:val="000000"/>
        </w:rPr>
        <w:t>Yet, a</w:t>
      </w:r>
      <w:r w:rsidR="00025994" w:rsidRPr="009819CE">
        <w:rPr>
          <w:rFonts w:cstheme="minorBidi"/>
          <w:color w:val="000000"/>
        </w:rPr>
        <w:t xml:space="preserve"> seasonal</w:t>
      </w:r>
      <w:r w:rsidRPr="009819CE">
        <w:rPr>
          <w:rFonts w:cstheme="minorBidi"/>
          <w:color w:val="000000"/>
        </w:rPr>
        <w:t xml:space="preserve"> shift occurs moving from </w:t>
      </w:r>
      <w:r w:rsidRPr="009819CE">
        <w:rPr>
          <w:rFonts w:cstheme="minorBidi"/>
          <w:i/>
          <w:iCs/>
          <w:color w:val="000000"/>
        </w:rPr>
        <w:t>Gammaproteobacteria</w:t>
      </w:r>
      <w:r w:rsidRPr="009819CE">
        <w:rPr>
          <w:rFonts w:cstheme="minorBidi"/>
          <w:color w:val="000000"/>
        </w:rPr>
        <w:t xml:space="preserve"> to </w:t>
      </w:r>
      <w:r w:rsidRPr="009819CE">
        <w:rPr>
          <w:rFonts w:cstheme="minorBidi"/>
          <w:i/>
          <w:iCs/>
          <w:color w:val="000000"/>
        </w:rPr>
        <w:t>Mollicutes</w:t>
      </w:r>
      <w:r w:rsidRPr="009819CE">
        <w:rPr>
          <w:rFonts w:cstheme="minorBidi"/>
          <w:color w:val="000000"/>
        </w:rPr>
        <w:t xml:space="preserve"> </w:t>
      </w:r>
      <w:r w:rsidRPr="009819CE">
        <w:rPr>
          <w:rFonts w:cstheme="minorBidi"/>
        </w:rPr>
        <w:fldChar w:fldCharType="begin"/>
      </w:r>
      <w:r w:rsidR="00D50EFF" w:rsidRPr="009819CE">
        <w:rPr>
          <w:rFonts w:cstheme="minorBidi"/>
        </w:rPr>
        <w:instrText xml:space="preserve"> ADDIN EN.CITE &lt;EndNote&gt;&lt;Cite&gt;&lt;Author&gt;Meziti&lt;/Author&gt;&lt;Year&gt;2010&lt;/Year&gt;&lt;RecNum&gt;13&lt;/RecNum&gt;&lt;DisplayText&gt;(Meziti et al., 2010)&lt;/DisplayText&gt;&lt;record&gt;&lt;rec-number&gt;13&lt;/rec-number&gt;&lt;foreign-keys&gt;&lt;key app="EN" db-id="sd9wrx9fj09rx3erprsx999o0r5aprvp2zse" timestamp="1687855901" guid="ef341554-6880-42e8-99a0-519e58b8d168"&gt;13&lt;/key&gt;&lt;/foreign-keys&gt;&lt;ref-type name="Journal Article"&gt;17&lt;/ref-type&gt;&lt;contributors&gt;&lt;authors&gt;&lt;author&gt;Meziti, Alexandra&lt;/author&gt;&lt;author&gt;Ramette, Alban&lt;/author&gt;&lt;author&gt;Mente, Eleni&lt;/author&gt;&lt;author&gt;Kormas, Konstantinos Ar&lt;/author&gt;&lt;/authors&gt;&lt;/contributors&gt;&lt;titles&gt;&lt;title&gt;&lt;style face="normal" font="default" size="100%"&gt;Temporal shifts of the Norway lobster (&lt;/style&gt;&lt;style face="italic" font="default" size="100%"&gt;Nephrops norvegicus&lt;/style&gt;&lt;style face="normal" font="default" size="100%"&gt;) gut bacterial communities&lt;/style&gt;&lt;/title&gt;&lt;secondary-title&gt;FEMS Microbiology Ecology&lt;/secondary-title&gt;&lt;/titles&gt;&lt;periodical&gt;&lt;full-title&gt;FEMS Microbiology Ecology&lt;/full-title&gt;&lt;/periodical&gt;&lt;pages&gt;472-484&lt;/pages&gt;&lt;volume&gt;74&lt;/volume&gt;&lt;number&gt;2&lt;/number&gt;&lt;keywords&gt;&lt;keyword&gt;16S rRNA gene&lt;/keyword&gt;&lt;keyword&gt;ARISA&lt;/keyword&gt;&lt;keyword&gt;Bacteria&lt;/keyword&gt;&lt;keyword&gt;FISH&lt;/keyword&gt;&lt;keyword&gt;Gut&lt;/keyword&gt;&lt;keyword&gt;Nephrops norvegicus&lt;/keyword&gt;&lt;/keywords&gt;&lt;dates&gt;&lt;year&gt;2010&lt;/year&gt;&lt;pub-dates&gt;&lt;date&gt;2010/11//&lt;/date&gt;&lt;/pub-dates&gt;&lt;/dates&gt;&lt;urls&gt;&lt;related-urls&gt;&lt;url&gt;https://academic.oup.com/femsec/article-lookup/doi/10.1111/j.1574-6941.2010.00964.x&lt;/url&gt;&lt;/related-urls&gt;&lt;/urls&gt;&lt;electronic-resource-num&gt;10.1111/j.1574-6941.2010.00964.x&lt;/electronic-resource-num&gt;&lt;/record&gt;&lt;/Cite&gt;&lt;/EndNote&gt;</w:instrText>
      </w:r>
      <w:r w:rsidRPr="009819CE">
        <w:rPr>
          <w:rFonts w:cstheme="minorBidi"/>
        </w:rPr>
        <w:fldChar w:fldCharType="separate"/>
      </w:r>
      <w:r w:rsidR="00D50EFF" w:rsidRPr="009819CE">
        <w:rPr>
          <w:rFonts w:cstheme="minorBidi"/>
        </w:rPr>
        <w:t>(</w:t>
      </w:r>
      <w:hyperlink w:anchor="_ENREF_220" w:tooltip="Meziti, 2010 #13" w:history="1">
        <w:r w:rsidR="00950097" w:rsidRPr="009819CE">
          <w:rPr>
            <w:rFonts w:cstheme="minorBidi"/>
          </w:rPr>
          <w:t>Meziti et al., 2010</w:t>
        </w:r>
      </w:hyperlink>
      <w:r w:rsidR="00D50EFF" w:rsidRPr="009819CE">
        <w:rPr>
          <w:rFonts w:cstheme="minorBidi"/>
        </w:rPr>
        <w:t>)</w:t>
      </w:r>
      <w:r w:rsidRPr="009819CE">
        <w:rPr>
          <w:rFonts w:cstheme="minorBidi"/>
        </w:rPr>
        <w:fldChar w:fldCharType="end"/>
      </w:r>
      <w:r w:rsidRPr="009819CE">
        <w:rPr>
          <w:rFonts w:cstheme="minorBidi"/>
        </w:rPr>
        <w:t xml:space="preserve">. </w:t>
      </w:r>
      <w:hyperlink w:anchor="_ENREF_220" w:tooltip="Meziti, 2010 #13" w:history="1">
        <w:r w:rsidR="00950097" w:rsidRPr="009819CE">
          <w:rPr>
            <w:rFonts w:cstheme="minorBidi"/>
            <w:color w:val="000000"/>
          </w:rPr>
          <w:fldChar w:fldCharType="begin">
            <w:fldData xml:space="preserve">PEVuZE5vdGU+PENpdGUgQXV0aG9yWWVhcj0iMSI+PEF1dGhvcj5NZXppdGk8L0F1dGhvcj48WWVh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</w:fldData>
          </w:fldChar>
        </w:r>
        <w:r w:rsidR="00950097" w:rsidRPr="009819CE">
          <w:rPr>
            <w:rFonts w:cstheme="minorBidi"/>
            <w:color w:val="000000"/>
          </w:rPr>
          <w:instrText xml:space="preserve"> ADDIN EN.CITE </w:instrText>
        </w:r>
        <w:r w:rsidR="00950097" w:rsidRPr="009819CE">
          <w:rPr>
            <w:rFonts w:cstheme="minorBidi"/>
            <w:color w:val="000000"/>
          </w:rPr>
          <w:fldChar w:fldCharType="begin">
            <w:fldData xml:space="preserve">PEVuZE5vdGU+PENpdGUgQXV0aG9yWWVhcj0iMSI+PEF1dGhvcj5NZXppdGk8L0F1dGhvcj48WWVh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</w:fldData>
          </w:fldChar>
        </w:r>
        <w:r w:rsidR="00950097" w:rsidRPr="009819CE">
          <w:rPr>
            <w:rFonts w:cstheme="minorBidi"/>
            <w:color w:val="000000"/>
          </w:rPr>
          <w:instrText xml:space="preserve"> ADDIN EN.CITE.DATA </w:instrText>
        </w:r>
        <w:r w:rsidR="00950097" w:rsidRPr="009819CE">
          <w:rPr>
            <w:rFonts w:cstheme="minorBidi"/>
            <w:color w:val="000000"/>
          </w:rPr>
        </w:r>
        <w:r w:rsidR="00950097" w:rsidRPr="009819CE">
          <w:rPr>
            <w:rFonts w:cstheme="minorBidi"/>
            <w:color w:val="000000"/>
          </w:rPr>
          <w:fldChar w:fldCharType="end"/>
        </w:r>
        <w:r w:rsidR="00950097" w:rsidRPr="009819CE">
          <w:rPr>
            <w:rFonts w:cstheme="minorBidi"/>
            <w:color w:val="000000"/>
          </w:rPr>
        </w:r>
        <w:r w:rsidR="00950097" w:rsidRPr="009819CE">
          <w:rPr>
            <w:rFonts w:cstheme="minorBidi"/>
            <w:color w:val="000000"/>
          </w:rPr>
          <w:fldChar w:fldCharType="separate"/>
        </w:r>
        <w:r w:rsidR="00950097" w:rsidRPr="009819CE">
          <w:rPr>
            <w:rFonts w:cstheme="minorBidi"/>
            <w:color w:val="000000"/>
          </w:rPr>
          <w:t>Meziti et al. (2010)</w:t>
        </w:r>
        <w:r w:rsidR="00950097" w:rsidRPr="009819CE">
          <w:rPr>
            <w:rFonts w:cstheme="minorBidi"/>
            <w:color w:val="000000"/>
          </w:rPr>
          <w:fldChar w:fldCharType="end"/>
        </w:r>
      </w:hyperlink>
      <w:r w:rsidRPr="009819CE">
        <w:rPr>
          <w:rFonts w:cstheme="minorBidi"/>
        </w:rPr>
        <w:t xml:space="preserve"> </w:t>
      </w:r>
      <w:r w:rsidR="00F73A59" w:rsidRPr="009819CE">
        <w:rPr>
          <w:rFonts w:cstheme="minorBidi"/>
          <w:color w:val="000000"/>
        </w:rPr>
        <w:t xml:space="preserve">studied year-long gut microbial changes in </w:t>
      </w:r>
      <w:r w:rsidR="00C31E47" w:rsidRPr="009819CE">
        <w:rPr>
          <w:rFonts w:cstheme="minorBidi"/>
          <w:i/>
          <w:color w:val="000000"/>
        </w:rPr>
        <w:t>Nephrops</w:t>
      </w:r>
      <w:r w:rsidR="00F73A59" w:rsidRPr="009819CE">
        <w:rPr>
          <w:rFonts w:cstheme="minorBidi"/>
          <w:color w:val="000000"/>
        </w:rPr>
        <w:t xml:space="preserve"> and observed a distinct pattern of bacterial shifts over time, indicating the presence of specialized bacterial communities. </w:t>
      </w:r>
      <w:r w:rsidRPr="009819CE">
        <w:rPr>
          <w:rFonts w:cstheme="minorBidi"/>
          <w:color w:val="000000"/>
        </w:rPr>
        <w:t xml:space="preserve">Another study by </w:t>
      </w:r>
      <w:hyperlink w:anchor="_ENREF_219" w:tooltip="Meziti, 2012 #462" w:history="1">
        <w:r w:rsidR="00950097" w:rsidRPr="009819CE">
          <w:rPr>
            <w:rFonts w:cstheme="minorBidi"/>
          </w:rPr>
          <w:fldChar w:fldCharType="begin"/>
        </w:r>
        <w:r w:rsidR="00950097" w:rsidRPr="009819CE">
          <w:rPr>
            <w:rFonts w:cstheme="minorBidi"/>
          </w:rPr>
          <w:instrText xml:space="preserve"> ADDIN EN.CITE &lt;EndNote&gt;&lt;Cite AuthorYear="1"&gt;&lt;Author&gt;Meziti&lt;/Author&gt;&lt;Year&gt;2012&lt;/Year&gt;&lt;RecNum&gt;462&lt;/RecNum&gt;&lt;DisplayText&gt;Meziti et al. (2012)&lt;/DisplayText&gt;&lt;record&gt;&lt;rec-number&gt;462&lt;/rec-number&gt;&lt;foreign-keys&gt;&lt;key app="EN" db-id="sd9wrx9fj09rx3erprsx999o0r5aprvp2zse" timestamp="1687855901" guid="baee6003-eb5e-44d3-960f-c18d054d8fe3"&gt;462&lt;/key&gt;&lt;/foreign-keys&gt;&lt;ref-type name="Journal Article"&gt;17&lt;/ref-type&gt;&lt;contributors&gt;&lt;authors&gt;&lt;author&gt;Meziti, Alexandra&lt;/author&gt;&lt;author&gt;Mente, Eleni&lt;/author&gt;&lt;author&gt;Kormas, Konstantinos Ar&lt;/author&gt;&lt;/authors&gt;&lt;/contributors&gt;&lt;titles&gt;&lt;title&gt;&lt;style face="normal" font="default" size="100%"&gt;Gut bacteria associated with different diets in reared &lt;/style&gt;&lt;style face="italic" font="default" size="100%"&gt;Nephrops norvegicus&lt;/style&gt;&lt;/title&gt;&lt;secondary-title&gt;Systematic and Applied Microbiology&lt;/secondary-title&gt;&lt;/titles&gt;&lt;periodical&gt;&lt;full-title&gt;Systematic and Applied Microbiology&lt;/full-title&gt;&lt;/periodical&gt;&lt;pages&gt;473-482&lt;/pages&gt;&lt;volume&gt;35&lt;/volume&gt;&lt;number&gt;7&lt;/number&gt;&lt;keywords&gt;&lt;keyword&gt;Aquaculture&lt;/keyword&gt;&lt;keyword&gt;Bacteria&lt;/keyword&gt;&lt;keyword&gt;Diet&lt;/keyword&gt;&lt;keyword&gt;Gut&lt;/keyword&gt;&lt;keyword&gt;Nephrops norvegicus&lt;/keyword&gt;&lt;/keywords&gt;&lt;dates&gt;&lt;year&gt;2012&lt;/year&gt;&lt;pub-dates&gt;&lt;date&gt;2012/10//&lt;/date&gt;&lt;/pub-dates&gt;&lt;/dates&gt;&lt;publisher&gt;Elsevier GmbH.&lt;/publisher&gt;&lt;urls&gt;&lt;related-urls&gt;&lt;url&gt;http://dx.doi.org/10.1016/j.syapm.2012.07.004&lt;/url&gt;&lt;url&gt;https://linkinghub.elsevier.com/retrieve/pii/S0723202012001105&lt;/url&gt;&lt;/related-urls&gt;&lt;/urls&gt;&lt;electronic-resource-num&gt;10.1016/j.syapm.2012.07.004&lt;/electronic-resource-num&gt;&lt;/record&gt;&lt;/Cite&gt;&lt;/EndNote&gt;</w:instrText>
        </w:r>
        <w:r w:rsidR="00950097" w:rsidRPr="009819CE">
          <w:rPr>
            <w:rFonts w:cstheme="minorBidi"/>
          </w:rPr>
          <w:fldChar w:fldCharType="separate"/>
        </w:r>
        <w:r w:rsidR="00950097" w:rsidRPr="009819CE">
          <w:rPr>
            <w:rFonts w:cstheme="minorBidi"/>
          </w:rPr>
          <w:t>Meziti et al. (2012)</w:t>
        </w:r>
        <w:r w:rsidR="00950097" w:rsidRPr="009819CE">
          <w:rPr>
            <w:rFonts w:cstheme="minorBidi"/>
          </w:rPr>
          <w:fldChar w:fldCharType="end"/>
        </w:r>
      </w:hyperlink>
      <w:r w:rsidRPr="009819CE">
        <w:rPr>
          <w:rFonts w:cstheme="minorBidi"/>
          <w:color w:val="000000"/>
        </w:rPr>
        <w:t xml:space="preserve">,  analysed gut bacteria in experimentally reared </w:t>
      </w:r>
      <w:r w:rsidR="00C31E47" w:rsidRPr="009819CE">
        <w:rPr>
          <w:rFonts w:cstheme="minorBidi"/>
          <w:i/>
          <w:iCs/>
          <w:color w:val="000000"/>
        </w:rPr>
        <w:t>Nephrops</w:t>
      </w:r>
      <w:r w:rsidRPr="009819CE">
        <w:rPr>
          <w:rFonts w:cstheme="minorBidi"/>
          <w:color w:val="000000"/>
        </w:rPr>
        <w:t xml:space="preserve"> </w:t>
      </w:r>
      <w:r w:rsidR="00F45C95" w:rsidRPr="009819CE">
        <w:rPr>
          <w:rFonts w:cstheme="minorBidi"/>
          <w:color w:val="000000"/>
        </w:rPr>
        <w:t xml:space="preserve">fed </w:t>
      </w:r>
      <w:r w:rsidRPr="009819CE">
        <w:rPr>
          <w:rFonts w:cstheme="minorBidi"/>
          <w:color w:val="000000"/>
        </w:rPr>
        <w:t xml:space="preserve">with </w:t>
      </w:r>
      <w:r w:rsidR="00C36B62" w:rsidRPr="009819CE">
        <w:rPr>
          <w:rFonts w:cstheme="minorBidi"/>
          <w:color w:val="000000"/>
        </w:rPr>
        <w:t>different diets</w:t>
      </w:r>
      <w:r w:rsidR="0032306B" w:rsidRPr="009819CE">
        <w:rPr>
          <w:rFonts w:cstheme="minorBidi"/>
          <w:color w:val="000000"/>
        </w:rPr>
        <w:t xml:space="preserve"> and starved animals</w:t>
      </w:r>
      <w:r w:rsidRPr="009819CE">
        <w:rPr>
          <w:rFonts w:cstheme="minorBidi"/>
          <w:color w:val="000000"/>
        </w:rPr>
        <w:t xml:space="preserve">. </w:t>
      </w:r>
      <w:r w:rsidR="0032306B" w:rsidRPr="009819CE">
        <w:rPr>
          <w:rFonts w:cstheme="minorBidi"/>
          <w:color w:val="000000"/>
        </w:rPr>
        <w:t>F</w:t>
      </w:r>
      <w:r w:rsidR="00F45C95" w:rsidRPr="009819CE">
        <w:rPr>
          <w:rFonts w:cstheme="minorBidi"/>
          <w:color w:val="000000"/>
        </w:rPr>
        <w:t>ed animals</w:t>
      </w:r>
      <w:r w:rsidRPr="009819CE">
        <w:rPr>
          <w:rFonts w:cstheme="minorBidi"/>
          <w:color w:val="000000"/>
        </w:rPr>
        <w:t xml:space="preserve"> had lower diversity due to more stable bacterial communities. Dominant bacteria varied between reared and wild </w:t>
      </w:r>
      <w:r w:rsidR="00E5586A" w:rsidRPr="009819CE">
        <w:rPr>
          <w:rFonts w:cstheme="minorBidi"/>
          <w:color w:val="000000"/>
        </w:rPr>
        <w:t>animals</w:t>
      </w:r>
      <w:r w:rsidRPr="009819CE">
        <w:rPr>
          <w:rFonts w:cstheme="minorBidi"/>
          <w:color w:val="000000"/>
        </w:rPr>
        <w:t>, highlighting rearing's effect.</w:t>
      </w:r>
    </w:p>
    <w:p w14:paraId="6269CC93" w14:textId="77777777" w:rsidR="00DD1102" w:rsidRDefault="00DD1102" w:rsidP="00282B0D">
      <w:pPr>
        <w:rPr>
          <w:rFonts w:cstheme="minorBidi"/>
          <w:color w:val="000000"/>
        </w:rPr>
        <w:sectPr w:rsidR="00DD1102" w:rsidSect="00DD1102">
          <w:type w:val="continuous"/>
          <w:pgSz w:w="11906" w:h="16838" w:code="9"/>
          <w:pgMar w:top="1440" w:right="1440" w:bottom="1440" w:left="1440" w:header="709" w:footer="709" w:gutter="0"/>
          <w:cols w:space="518"/>
          <w:docGrid w:linePitch="360"/>
        </w:sectPr>
      </w:pPr>
    </w:p>
    <w:p w14:paraId="53386A7F" w14:textId="314E1C50" w:rsidR="00CA13E2" w:rsidRPr="009819CE" w:rsidRDefault="000F3C0E" w:rsidP="008A1C03">
      <w:pPr>
        <w:pStyle w:val="Heading3"/>
        <w:rPr>
          <w:rFonts w:cstheme="minorBidi"/>
        </w:rPr>
      </w:pPr>
      <w:bookmarkStart w:id="166" w:name="_Toc204106608"/>
      <w:r w:rsidRPr="00FA7D47">
        <w:rPr>
          <w:rFonts w:cstheme="minorBidi"/>
        </w:rPr>
        <w:t>The p</w:t>
      </w:r>
      <w:r w:rsidR="00CA13E2" w:rsidRPr="009819CE">
        <w:rPr>
          <w:rFonts w:cstheme="minorBidi"/>
        </w:rPr>
        <w:t>athobiome</w:t>
      </w:r>
      <w:r w:rsidRPr="00FA7D47">
        <w:rPr>
          <w:rFonts w:cstheme="minorBidi"/>
        </w:rPr>
        <w:t xml:space="preserve"> of decapod </w:t>
      </w:r>
      <w:r w:rsidR="00CA13E2" w:rsidRPr="009819CE">
        <w:rPr>
          <w:rFonts w:cstheme="minorBidi"/>
        </w:rPr>
        <w:t>crustacean</w:t>
      </w:r>
      <w:r w:rsidR="00912E00" w:rsidRPr="00FA7D47">
        <w:rPr>
          <w:rFonts w:cstheme="minorBidi"/>
        </w:rPr>
        <w:t>s</w:t>
      </w:r>
      <w:bookmarkEnd w:id="166"/>
      <w:r w:rsidR="00CA13E2" w:rsidRPr="009819CE">
        <w:rPr>
          <w:rFonts w:cstheme="minorBidi"/>
        </w:rPr>
        <w:t xml:space="preserve"> </w:t>
      </w:r>
    </w:p>
    <w:p w14:paraId="365A645A" w14:textId="379EBA70" w:rsidR="00CA13E2" w:rsidRPr="009819CE" w:rsidRDefault="00CA13E2" w:rsidP="00E3099F">
      <w:pPr>
        <w:rPr>
          <w:rFonts w:cstheme="minorBidi"/>
        </w:rPr>
      </w:pPr>
      <w:r w:rsidRPr="009819CE">
        <w:rPr>
          <w:rFonts w:cstheme="minorBidi"/>
        </w:rPr>
        <w:t xml:space="preserve">The pathobiome concept, originating from human studies, emphasizes the disruption of a </w:t>
      </w:r>
      <w:r w:rsidR="00D94DC1" w:rsidRPr="00FA7D47">
        <w:rPr>
          <w:rFonts w:cstheme="minorBidi"/>
        </w:rPr>
        <w:t>“healthy”</w:t>
      </w:r>
      <w:r w:rsidRPr="009819CE">
        <w:rPr>
          <w:rFonts w:cstheme="minorBidi"/>
        </w:rPr>
        <w:t xml:space="preserve"> gut microbiome leading to dysbiosis, </w:t>
      </w:r>
      <w:r w:rsidRPr="009819CE">
        <w:rPr>
          <w:rFonts w:eastAsia="Calibri" w:cstheme="minorBidi"/>
        </w:rPr>
        <w:t>marked by low-diversity microbial communities and altered metabolic states</w:t>
      </w:r>
      <w:r w:rsidRPr="009819CE">
        <w:rPr>
          <w:rFonts w:cstheme="minorBidi"/>
        </w:rPr>
        <w:t xml:space="preserve"> </w:t>
      </w:r>
      <w:r w:rsidRPr="009819CE">
        <w:rPr>
          <w:rFonts w:eastAsia="Calibri" w:cstheme="minorBidi"/>
        </w:rPr>
        <w:fldChar w:fldCharType="begin">
          <w:fldData xml:space="preserve">PEVuZE5vdGU+PENpdGU+PEF1dGhvcj5EZWZhemlvPC9BdXRob3I+PFllYXI+MjAxNDwvWWVhcj48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</w:fldData>
        </w:fldChar>
      </w:r>
      <w:r w:rsidR="00ED1A9E" w:rsidRPr="009819CE">
        <w:rPr>
          <w:rFonts w:eastAsia="Calibri" w:cstheme="minorBidi"/>
        </w:rPr>
        <w:instrText xml:space="preserve"> ADDIN EN.CITE </w:instrText>
      </w:r>
      <w:r w:rsidR="00ED1A9E" w:rsidRPr="009819CE">
        <w:rPr>
          <w:rFonts w:eastAsia="Calibri" w:cstheme="minorBidi"/>
        </w:rPr>
        <w:fldChar w:fldCharType="begin">
          <w:fldData xml:space="preserve">PEVuZE5vdGU+PENpdGU+PEF1dGhvcj5EZWZhemlvPC9BdXRob3I+PFllYXI+MjAxNDwvWWVhcj48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</w:fldData>
        </w:fldChar>
      </w:r>
      <w:r w:rsidR="00ED1A9E" w:rsidRPr="009819CE">
        <w:rPr>
          <w:rFonts w:eastAsia="Calibri" w:cstheme="minorBidi"/>
        </w:rPr>
        <w:instrText xml:space="preserve"> ADDIN EN.CITE.DATA </w:instrText>
      </w:r>
      <w:r w:rsidR="00ED1A9E" w:rsidRPr="009819CE">
        <w:rPr>
          <w:rFonts w:eastAsia="Calibri" w:cstheme="minorBidi"/>
        </w:rPr>
      </w:r>
      <w:r w:rsidR="00ED1A9E" w:rsidRPr="009819CE">
        <w:rPr>
          <w:rFonts w:eastAsia="Calibri" w:cstheme="minorBidi"/>
        </w:rPr>
        <w:fldChar w:fldCharType="end"/>
      </w:r>
      <w:r w:rsidRPr="009819CE">
        <w:rPr>
          <w:rFonts w:eastAsia="Calibri" w:cstheme="minorBidi"/>
        </w:rPr>
      </w:r>
      <w:r w:rsidRPr="009819CE">
        <w:rPr>
          <w:rFonts w:eastAsia="Calibri" w:cstheme="minorBidi"/>
        </w:rPr>
        <w:fldChar w:fldCharType="separate"/>
      </w:r>
      <w:r w:rsidR="00D50EFF" w:rsidRPr="007268F5">
        <w:rPr>
          <w:rFonts w:eastAsia="Calibri" w:cstheme="minorBidi"/>
        </w:rPr>
        <w:t>(</w:t>
      </w:r>
      <w:hyperlink w:anchor="_ENREF_24" w:tooltip="Bass, 2019 #570" w:history="1">
        <w:r w:rsidR="00950097" w:rsidRPr="007268F5">
          <w:rPr>
            <w:rFonts w:eastAsia="Calibri" w:cstheme="minorBidi"/>
          </w:rPr>
          <w:t>Bass et al., 2019</w:t>
        </w:r>
      </w:hyperlink>
      <w:r w:rsidR="00D50EFF" w:rsidRPr="007268F5">
        <w:rPr>
          <w:rFonts w:eastAsia="Calibri" w:cstheme="minorBidi"/>
        </w:rPr>
        <w:t xml:space="preserve">; </w:t>
      </w:r>
      <w:hyperlink w:anchor="_ENREF_68" w:tooltip="Defazio, 2014 #1834" w:history="1">
        <w:r w:rsidR="00950097" w:rsidRPr="007268F5">
          <w:rPr>
            <w:rFonts w:eastAsia="Calibri" w:cstheme="minorBidi"/>
          </w:rPr>
          <w:t>Defazio et al., 2014</w:t>
        </w:r>
      </w:hyperlink>
      <w:r w:rsidR="00D50EFF" w:rsidRPr="007268F5">
        <w:rPr>
          <w:rFonts w:eastAsia="Calibri" w:cstheme="minorBidi"/>
        </w:rPr>
        <w:t xml:space="preserve">; </w:t>
      </w:r>
      <w:hyperlink w:anchor="_ENREF_168" w:tooltip="Krezalek, 2016 #1835" w:history="1">
        <w:r w:rsidR="00950097" w:rsidRPr="007268F5">
          <w:rPr>
            <w:rFonts w:eastAsia="Calibri" w:cstheme="minorBidi"/>
          </w:rPr>
          <w:t>Krezalek et al., 2016</w:t>
        </w:r>
      </w:hyperlink>
      <w:r w:rsidR="00D50EFF" w:rsidRPr="007268F5">
        <w:rPr>
          <w:rFonts w:eastAsia="Calibri" w:cstheme="minorBidi"/>
        </w:rPr>
        <w:t>)</w:t>
      </w:r>
      <w:r w:rsidRPr="009819CE">
        <w:rPr>
          <w:rFonts w:eastAsia="Calibri" w:cstheme="minorBidi"/>
        </w:rPr>
        <w:fldChar w:fldCharType="end"/>
      </w:r>
      <w:r w:rsidRPr="009819CE">
        <w:rPr>
          <w:rFonts w:cstheme="minorBidi"/>
        </w:rPr>
        <w:t xml:space="preserve">, making the gut susceptible to harmful pathogens </w:t>
      </w:r>
      <w:r w:rsidRPr="009819CE">
        <w:rPr>
          <w:rFonts w:eastAsia="Calibri" w:cstheme="minorBidi"/>
        </w:rPr>
        <w:t xml:space="preserve"> </w:t>
      </w:r>
      <w:r w:rsidRPr="009819CE">
        <w:rPr>
          <w:rFonts w:eastAsia="Calibri" w:cstheme="minorBidi"/>
        </w:rPr>
        <w:fldChar w:fldCharType="begin">
          <w:fldData xml:space="preserve">PEVuZE5vdGU+PENpdGU+PEF1dGhvcj5EZWZhemlvPC9BdXRob3I+PFllYXI+MjAxNDwvWWVhcj48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</w:fldData>
        </w:fldChar>
      </w:r>
      <w:r w:rsidR="00ED1A9E" w:rsidRPr="009819CE">
        <w:rPr>
          <w:rFonts w:eastAsia="Calibri" w:cstheme="minorBidi"/>
        </w:rPr>
        <w:instrText xml:space="preserve"> ADDIN EN.CITE </w:instrText>
      </w:r>
      <w:r w:rsidR="00ED1A9E" w:rsidRPr="009819CE">
        <w:rPr>
          <w:rFonts w:eastAsia="Calibri" w:cstheme="minorBidi"/>
        </w:rPr>
        <w:fldChar w:fldCharType="begin">
          <w:fldData xml:space="preserve">PEVuZE5vdGU+PENpdGU+PEF1dGhvcj5EZWZhemlvPC9BdXRob3I+PFllYXI+MjAxNDwvWWVhcj48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</w:fldData>
        </w:fldChar>
      </w:r>
      <w:r w:rsidR="00ED1A9E" w:rsidRPr="009819CE">
        <w:rPr>
          <w:rFonts w:eastAsia="Calibri" w:cstheme="minorBidi"/>
        </w:rPr>
        <w:instrText xml:space="preserve"> ADDIN EN.CITE.DATA </w:instrText>
      </w:r>
      <w:r w:rsidR="00ED1A9E" w:rsidRPr="009819CE">
        <w:rPr>
          <w:rFonts w:eastAsia="Calibri" w:cstheme="minorBidi"/>
        </w:rPr>
      </w:r>
      <w:r w:rsidR="00ED1A9E" w:rsidRPr="009819CE">
        <w:rPr>
          <w:rFonts w:eastAsia="Calibri" w:cstheme="minorBidi"/>
        </w:rPr>
        <w:fldChar w:fldCharType="end"/>
      </w:r>
      <w:r w:rsidRPr="009819CE">
        <w:rPr>
          <w:rFonts w:eastAsia="Calibri" w:cstheme="minorBidi"/>
        </w:rPr>
      </w:r>
      <w:r w:rsidRPr="009819CE">
        <w:rPr>
          <w:rFonts w:eastAsia="Calibri" w:cstheme="minorBidi"/>
        </w:rPr>
        <w:fldChar w:fldCharType="separate"/>
      </w:r>
      <w:r w:rsidR="00D50EFF" w:rsidRPr="007268F5">
        <w:rPr>
          <w:rFonts w:eastAsia="Calibri" w:cstheme="minorBidi"/>
        </w:rPr>
        <w:t>(</w:t>
      </w:r>
      <w:hyperlink w:anchor="_ENREF_24" w:tooltip="Bass, 2019 #570" w:history="1">
        <w:r w:rsidR="00950097" w:rsidRPr="007268F5">
          <w:rPr>
            <w:rFonts w:eastAsia="Calibri" w:cstheme="minorBidi"/>
          </w:rPr>
          <w:t>Bass et al., 2019</w:t>
        </w:r>
      </w:hyperlink>
      <w:r w:rsidR="00D50EFF" w:rsidRPr="007268F5">
        <w:rPr>
          <w:rFonts w:eastAsia="Calibri" w:cstheme="minorBidi"/>
        </w:rPr>
        <w:t xml:space="preserve">; </w:t>
      </w:r>
      <w:hyperlink w:anchor="_ENREF_68" w:tooltip="Defazio, 2014 #1834" w:history="1">
        <w:r w:rsidR="00950097" w:rsidRPr="007268F5">
          <w:rPr>
            <w:rFonts w:eastAsia="Calibri" w:cstheme="minorBidi"/>
          </w:rPr>
          <w:t>Defazio et al., 2014</w:t>
        </w:r>
      </w:hyperlink>
      <w:r w:rsidR="00D50EFF" w:rsidRPr="007268F5">
        <w:rPr>
          <w:rFonts w:eastAsia="Calibri" w:cstheme="minorBidi"/>
        </w:rPr>
        <w:t xml:space="preserve">; </w:t>
      </w:r>
      <w:hyperlink w:anchor="_ENREF_168" w:tooltip="Krezalek, 2016 #1835" w:history="1">
        <w:r w:rsidR="00950097" w:rsidRPr="007268F5">
          <w:rPr>
            <w:rFonts w:eastAsia="Calibri" w:cstheme="minorBidi"/>
          </w:rPr>
          <w:t>Krezalek et al., 2016</w:t>
        </w:r>
      </w:hyperlink>
      <w:r w:rsidR="00D50EFF" w:rsidRPr="007268F5">
        <w:rPr>
          <w:rFonts w:eastAsia="Calibri" w:cstheme="minorBidi"/>
        </w:rPr>
        <w:t>)</w:t>
      </w:r>
      <w:r w:rsidRPr="009819CE">
        <w:rPr>
          <w:rFonts w:eastAsia="Calibri" w:cstheme="minorBidi"/>
        </w:rPr>
        <w:fldChar w:fldCharType="end"/>
      </w:r>
      <w:r w:rsidRPr="009819CE">
        <w:rPr>
          <w:rFonts w:cstheme="minorBidi"/>
        </w:rPr>
        <w:t xml:space="preserve">. </w:t>
      </w:r>
      <w:r w:rsidR="00E3099F" w:rsidRPr="009819CE">
        <w:rPr>
          <w:rFonts w:cstheme="minorBidi"/>
        </w:rPr>
        <w:t xml:space="preserve">This understanding extends to aquatic animals, emphasizing dysbiosis as a contributor to diseases and </w:t>
      </w:r>
      <w:r w:rsidR="00B22739" w:rsidRPr="009819CE">
        <w:rPr>
          <w:rFonts w:cstheme="minorBidi"/>
        </w:rPr>
        <w:t>highlighting</w:t>
      </w:r>
      <w:r w:rsidR="00E3099F" w:rsidRPr="009819CE">
        <w:rPr>
          <w:rFonts w:cstheme="minorBidi"/>
        </w:rPr>
        <w:t xml:space="preserve"> the importance of maintaining microbial equilibrium</w:t>
      </w:r>
      <w:r w:rsidR="00B22739" w:rsidRPr="009819CE">
        <w:rPr>
          <w:rFonts w:cstheme="minorBidi"/>
        </w:rPr>
        <w:t xml:space="preserve"> </w:t>
      </w:r>
      <w:r w:rsidRPr="009819CE">
        <w:rPr>
          <w:rFonts w:cstheme="minorBidi"/>
        </w:rPr>
        <w:fldChar w:fldCharType="begin"/>
      </w:r>
      <w:r w:rsidR="00D50EFF" w:rsidRPr="009819CE">
        <w:rPr>
          <w:rFonts w:cstheme="minorBidi"/>
        </w:rPr>
        <w:instrText xml:space="preserve"> ADDIN EN.CITE &lt;EndNote&gt;&lt;Cite&gt;&lt;Author&gt;Egan&lt;/Author&gt;&lt;Year&gt;2016&lt;/Year&gt;&lt;RecNum&gt;379&lt;/RecNum&gt;&lt;DisplayText&gt;(Egan and Gardiner, 2016)&lt;/DisplayText&gt;&lt;record&gt;&lt;rec-number&gt;379&lt;/rec-number&gt;&lt;foreign-keys&gt;&lt;key app="EN" db-id="sd9wrx9fj09rx3erprsx999o0r5aprvp2zse" timestamp="1687855901" guid="bce07fe8-4440-41ce-834e-7aaaf47b4c9a"&gt;379&lt;/key&gt;&lt;/foreign-keys&gt;&lt;ref-type name="Journal Article"&gt;17&lt;/ref-type&gt;&lt;contributors&gt;&lt;authors&gt;&lt;author&gt;Egan, Suhelen&lt;/author&gt;&lt;author&gt;Gardiner, Melissa&lt;/author&gt;&lt;/authors&gt;&lt;/contributors&gt;&lt;titles&gt;&lt;title&gt;Microbial dysbiosis: Rethinking disease in marine ecosystems&lt;/title&gt;&lt;secondary-title&gt;Frontiers in Microbiology&lt;/secondary-title&gt;&lt;/titles&gt;&lt;periodical&gt;&lt;full-title&gt;Frontiers in Microbiology&lt;/full-title&gt;&lt;/periodical&gt;&lt;pages&gt;1-8&lt;/pages&gt;&lt;volume&gt;7&lt;/volume&gt;&lt;number&gt;JUN&lt;/number&gt;&lt;keywords&gt;&lt;keyword&gt;Dysbiosis&lt;/keyword&gt;&lt;keyword&gt;Holobiont&lt;/keyword&gt;&lt;keyword&gt;Marine diseases&lt;/keyword&gt;&lt;keyword&gt;Microbial interactions&lt;/keyword&gt;&lt;keyword&gt;Microbiome&lt;/keyword&gt;&lt;keyword&gt;Opportunistic pathogens&lt;/keyword&gt;&lt;/keywords&gt;&lt;dates&gt;&lt;year&gt;2016&lt;/year&gt;&lt;pub-dates&gt;&lt;date&gt;2016/6//&lt;/date&gt;&lt;/pub-dates&gt;&lt;/dates&gt;&lt;urls&gt;&lt;related-urls&gt;&lt;url&gt;http://journal.frontiersin.org/Article/10.3389/fmicb.2016.00991/abstract&lt;/url&gt;&lt;/related-urls&gt;&lt;/urls&gt;&lt;electronic-resource-num&gt;10.3389/fmicb.2016.00991&lt;/electronic-resource-num&gt;&lt;/record&gt;&lt;/Cite&gt;&lt;/EndNote&gt;</w:instrText>
      </w:r>
      <w:r w:rsidRPr="009819CE">
        <w:rPr>
          <w:rFonts w:cstheme="minorBidi"/>
        </w:rPr>
        <w:fldChar w:fldCharType="separate"/>
      </w:r>
      <w:r w:rsidR="00D50EFF" w:rsidRPr="009819CE">
        <w:rPr>
          <w:rFonts w:cstheme="minorBidi"/>
        </w:rPr>
        <w:t>(</w:t>
      </w:r>
      <w:hyperlink w:anchor="_ENREF_81" w:tooltip="Egan, 2016 #379" w:history="1">
        <w:r w:rsidR="00950097" w:rsidRPr="009819CE">
          <w:rPr>
            <w:rFonts w:cstheme="minorBidi"/>
          </w:rPr>
          <w:t>Egan and Gardiner, 2016</w:t>
        </w:r>
      </w:hyperlink>
      <w:r w:rsidR="00D50EFF" w:rsidRPr="009819CE">
        <w:rPr>
          <w:rFonts w:cstheme="minorBidi"/>
        </w:rPr>
        <w:t>)</w:t>
      </w:r>
      <w:r w:rsidRPr="009819CE">
        <w:rPr>
          <w:rFonts w:cstheme="minorBidi"/>
        </w:rPr>
        <w:fldChar w:fldCharType="end"/>
      </w:r>
      <w:r w:rsidRPr="009819CE">
        <w:rPr>
          <w:rFonts w:cstheme="minorBidi"/>
        </w:rPr>
        <w:t>. The pathobiome framework</w:t>
      </w:r>
      <w:r w:rsidR="00B576F4" w:rsidRPr="009819CE">
        <w:rPr>
          <w:rFonts w:cstheme="minorBidi"/>
        </w:rPr>
        <w:t xml:space="preserve"> </w:t>
      </w:r>
      <w:r w:rsidRPr="009819CE">
        <w:rPr>
          <w:rFonts w:cstheme="minorBidi"/>
        </w:rPr>
        <w:t xml:space="preserve">challenges conventional disease models by specifying roles of certain microbiome members in pathogenesis </w:t>
      </w:r>
      <w:r w:rsidRPr="009819CE">
        <w:rPr>
          <w:rFonts w:cstheme="minorBidi"/>
        </w:rPr>
        <w:fldChar w:fldCharType="begin"/>
      </w:r>
      <w:r w:rsidR="00D50EFF" w:rsidRPr="009819CE">
        <w:rPr>
          <w:rFonts w:cstheme="minorBidi"/>
        </w:rPr>
        <w:instrText xml:space="preserve"> ADDIN EN.CITE &lt;EndNote&gt;&lt;Cite&gt;&lt;Author&gt;Sweet&lt;/Author&gt;&lt;Year&gt;2017&lt;/Year&gt;&lt;RecNum&gt;213&lt;/RecNum&gt;&lt;DisplayText&gt;(Sweet and Bulling, 2017)&lt;/DisplayText&gt;&lt;record&gt;&lt;rec-number&gt;213&lt;/rec-number&gt;&lt;foreign-keys&gt;&lt;key app="EN" db-id="sd9wrx9fj09rx3erprsx999o0r5aprvp2zse" timestamp="1687855901" guid="c328ecfe-882a-4992-b237-1d2f7f794920"&gt;213&lt;/key&gt;&lt;/foreign-keys&gt;&lt;ref-type name="Journal Article"&gt;17&lt;/ref-type&gt;&lt;contributors&gt;&lt;authors&gt;&lt;author&gt;Sweet, Michael J.&lt;/author&gt;&lt;author&gt;Bulling, Mark T.&lt;/author&gt;&lt;/authors&gt;&lt;/contributors&gt;&lt;titles&gt;&lt;title&gt;On the importance of the microbiome and pathobiome in coral health and disease&lt;/title&gt;&lt;secondary-title&gt;Frontiers in Marine Science&lt;/secondary-title&gt;&lt;/titles&gt;&lt;periodical&gt;&lt;full-title&gt;Frontiers in Marine Science&lt;/full-title&gt;&lt;/periodical&gt;&lt;volume&gt;4&lt;/volume&gt;&lt;number&gt;January&lt;/number&gt;&lt;keywords&gt;&lt;keyword&gt;Bacteria&lt;/keyword&gt;&lt;keyword&gt;Gene&lt;/keyword&gt;&lt;keyword&gt;Holobiont&lt;/keyword&gt;&lt;keyword&gt;Interaction&lt;/keyword&gt;&lt;keyword&gt;Macro-ecology&lt;/keyword&gt;&lt;keyword&gt;Microbiota&lt;/keyword&gt;&lt;keyword&gt;Networkanalysis&lt;/keyword&gt;&lt;keyword&gt;Vibrio&lt;/keyword&gt;&lt;/keywords&gt;&lt;dates&gt;&lt;year&gt;2017&lt;/year&gt;&lt;/dates&gt;&lt;urls&gt;&lt;/urls&gt;&lt;electronic-resource-num&gt;10.3389/fmars.2017.00009&lt;/electronic-resource-num&gt;&lt;/record&gt;&lt;/Cite&gt;&lt;/EndNote&gt;</w:instrText>
      </w:r>
      <w:r w:rsidRPr="009819CE">
        <w:rPr>
          <w:rFonts w:cstheme="minorBidi"/>
        </w:rPr>
        <w:fldChar w:fldCharType="separate"/>
      </w:r>
      <w:r w:rsidR="00D50EFF" w:rsidRPr="009819CE">
        <w:rPr>
          <w:rFonts w:cstheme="minorBidi"/>
        </w:rPr>
        <w:t>(</w:t>
      </w:r>
      <w:hyperlink w:anchor="_ENREF_316" w:tooltip="Sweet, 2017 #213" w:history="1">
        <w:r w:rsidR="00950097" w:rsidRPr="009819CE">
          <w:rPr>
            <w:rFonts w:cstheme="minorBidi"/>
          </w:rPr>
          <w:t>Sweet and Bulling, 2017</w:t>
        </w:r>
      </w:hyperlink>
      <w:r w:rsidR="00D50EFF" w:rsidRPr="009819CE">
        <w:rPr>
          <w:rFonts w:cstheme="minorBidi"/>
        </w:rPr>
        <w:t>)</w:t>
      </w:r>
      <w:r w:rsidRPr="009819CE">
        <w:rPr>
          <w:rFonts w:cstheme="minorBidi"/>
        </w:rPr>
        <w:fldChar w:fldCharType="end"/>
      </w:r>
      <w:r w:rsidRPr="009819CE">
        <w:rPr>
          <w:rFonts w:cstheme="minorBidi"/>
        </w:rPr>
        <w:t xml:space="preserve">, encompassing the collective microbial community and its genetic potential associated with a specific disease </w:t>
      </w:r>
      <w:r w:rsidRPr="009819CE">
        <w:rPr>
          <w:rFonts w:eastAsia="Calibri" w:cstheme="minorBidi"/>
        </w:rPr>
        <w:fldChar w:fldCharType="begin">
          <w:fldData xml:space="preserve">PEVuZE5vdGU+PENpdGU+PEF1dGhvcj5CYXNzPC9BdXRob3I+PFllYXI+MjAxOTwvWWVhcj48UmVj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</w:fldData>
        </w:fldChar>
      </w:r>
      <w:r w:rsidR="008F1E86" w:rsidRPr="009819CE">
        <w:rPr>
          <w:rFonts w:eastAsia="Calibri" w:cstheme="minorBidi"/>
        </w:rPr>
        <w:instrText xml:space="preserve"> ADDIN EN.CITE </w:instrText>
      </w:r>
      <w:r w:rsidR="008F1E86" w:rsidRPr="009819CE">
        <w:rPr>
          <w:rFonts w:eastAsia="Calibri" w:cstheme="minorBidi"/>
        </w:rPr>
        <w:fldChar w:fldCharType="begin">
          <w:fldData xml:space="preserve">PEVuZE5vdGU+PENpdGU+PEF1dGhvcj5CYXNzPC9BdXRob3I+PFllYXI+MjAxOTwvWWVhcj48UmVj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</w:fldData>
        </w:fldChar>
      </w:r>
      <w:r w:rsidR="008F1E86" w:rsidRPr="009819CE">
        <w:rPr>
          <w:rFonts w:eastAsia="Calibri" w:cstheme="minorBidi"/>
        </w:rPr>
        <w:instrText xml:space="preserve"> ADDIN EN.CITE.DATA </w:instrText>
      </w:r>
      <w:r w:rsidR="008F1E86" w:rsidRPr="009819CE">
        <w:rPr>
          <w:rFonts w:eastAsia="Calibri" w:cstheme="minorBidi"/>
        </w:rPr>
      </w:r>
      <w:r w:rsidR="008F1E86" w:rsidRPr="009819CE">
        <w:rPr>
          <w:rFonts w:eastAsia="Calibri" w:cstheme="minorBidi"/>
        </w:rPr>
        <w:fldChar w:fldCharType="end"/>
      </w:r>
      <w:r w:rsidRPr="009819CE">
        <w:rPr>
          <w:rFonts w:eastAsia="Calibri" w:cstheme="minorBidi"/>
        </w:rPr>
      </w:r>
      <w:r w:rsidRPr="009819CE">
        <w:rPr>
          <w:rFonts w:eastAsia="Calibri" w:cstheme="minorBidi"/>
        </w:rPr>
        <w:fldChar w:fldCharType="separate"/>
      </w:r>
      <w:r w:rsidR="00A8698B" w:rsidRPr="007268F5">
        <w:rPr>
          <w:rFonts w:eastAsia="Calibri" w:cstheme="minorBidi"/>
        </w:rPr>
        <w:t>(</w:t>
      </w:r>
      <w:hyperlink w:anchor="_ENREF_24" w:tooltip="Bass, 2019 #570" w:history="1">
        <w:r w:rsidR="00950097" w:rsidRPr="007268F5">
          <w:rPr>
            <w:rFonts w:eastAsia="Calibri" w:cstheme="minorBidi"/>
          </w:rPr>
          <w:t>Bass et al., 2019</w:t>
        </w:r>
      </w:hyperlink>
      <w:r w:rsidR="00A8698B" w:rsidRPr="007268F5">
        <w:rPr>
          <w:rFonts w:eastAsia="Calibri" w:cstheme="minorBidi"/>
        </w:rPr>
        <w:t>)</w:t>
      </w:r>
      <w:r w:rsidRPr="009819CE">
        <w:rPr>
          <w:rFonts w:eastAsia="Calibri" w:cstheme="minorBidi"/>
        </w:rPr>
        <w:fldChar w:fldCharType="end"/>
      </w:r>
      <w:r w:rsidRPr="009819CE">
        <w:rPr>
          <w:rFonts w:eastAsia="Calibri" w:cstheme="minorBidi"/>
        </w:rPr>
        <w:t>.</w:t>
      </w:r>
    </w:p>
    <w:p w14:paraId="44C89ED8" w14:textId="0EE52A86" w:rsidR="00CA13E2" w:rsidRPr="009819CE" w:rsidRDefault="00CA13E2" w:rsidP="00CA13E2">
      <w:pPr>
        <w:rPr>
          <w:rFonts w:cstheme="minorBidi"/>
        </w:rPr>
      </w:pPr>
      <w:r w:rsidRPr="009819CE">
        <w:rPr>
          <w:rFonts w:cstheme="minorBidi"/>
        </w:rPr>
        <w:t xml:space="preserve">Changes in the microbiome </w:t>
      </w:r>
      <w:r w:rsidR="006C7988" w:rsidRPr="009819CE">
        <w:rPr>
          <w:rFonts w:cstheme="minorBidi"/>
        </w:rPr>
        <w:t xml:space="preserve">might </w:t>
      </w:r>
      <w:r w:rsidRPr="009819CE">
        <w:rPr>
          <w:rFonts w:cstheme="minorBidi"/>
        </w:rPr>
        <w:t xml:space="preserve">serve as indicators of disease onset and severity, emphasizing the need to comprehend their contribution to disease development </w:t>
      </w:r>
      <w:r w:rsidRPr="009819CE">
        <w:rPr>
          <w:rFonts w:cstheme="minorBidi"/>
        </w:rPr>
        <w:fldChar w:fldCharType="begin"/>
      </w:r>
      <w:r w:rsidR="00ED1A9E" w:rsidRPr="009819CE">
        <w:rPr>
          <w:rFonts w:cstheme="minorBidi"/>
        </w:rPr>
        <w:instrText xml:space="preserve"> ADDIN EN.CITE &lt;EndNote&gt;&lt;Cite&gt;&lt;Author&gt;Durack&lt;/Author&gt;&lt;Year&gt;2019&lt;/Year&gt;&lt;RecNum&gt;1743&lt;/RecNum&gt;&lt;DisplayText&gt;(Durack and Lynch, 2019)&lt;/DisplayText&gt;&lt;record&gt;&lt;rec-number&gt;1743&lt;/rec-number&gt;&lt;foreign-keys&gt;&lt;key app="EN" db-id="sd9wrx9fj09rx3erprsx999o0r5aprvp2zse" timestamp="1688407158" guid="e1357c08-6cb1-4c7c-989d-0c9ca3e9bcd5"&gt;1743&lt;/key&gt;&lt;/foreign-keys&gt;&lt;ref-type name="Journal Article"&gt;17&lt;/ref-type&gt;&lt;contributors&gt;&lt;authors&gt;&lt;author&gt;Durack, Juliana&lt;/author&gt;&lt;author&gt;Lynch, Susan V.&lt;/author&gt;&lt;/authors&gt;&lt;/contributors&gt;&lt;titles&gt;&lt;title&gt;The gut microbiome: relationships with disease and opportunities for therapy&lt;/title&gt;&lt;secondary-title&gt;Journal of Experimental Medicine&lt;/secondary-title&gt;&lt;/titles&gt;&lt;periodical&gt;&lt;full-title&gt;Journal of Experimental Medicine&lt;/full-title&gt;&lt;/periodical&gt;&lt;pages&gt;20-40&lt;/pages&gt;&lt;volume&gt;216&lt;/volume&gt;&lt;number&gt;1&lt;/number&gt;&lt;dates&gt;&lt;year&gt;2019&lt;/year&gt;&lt;/dates&gt;&lt;publisher&gt;Rockefeller University Press&lt;/publisher&gt;&lt;isbn&gt;0022-1007&lt;/isbn&gt;&lt;urls&gt;&lt;related-urls&gt;&lt;url&gt;https://dx.doi.org/10.1084/jem.20180448&lt;/url&gt;&lt;/related-urls&gt;&lt;/urls&gt;&lt;electronic-resource-num&gt;10.1084/jem.20180448&lt;/electronic-resource-num&gt;&lt;/record&gt;&lt;/Cite&gt;&lt;/EndNote&gt;</w:instrText>
      </w:r>
      <w:r w:rsidRPr="009819CE">
        <w:rPr>
          <w:rFonts w:cstheme="minorBidi"/>
        </w:rPr>
        <w:fldChar w:fldCharType="separate"/>
      </w:r>
      <w:r w:rsidR="00D50EFF" w:rsidRPr="007268F5">
        <w:rPr>
          <w:rFonts w:cstheme="minorBidi"/>
        </w:rPr>
        <w:t>(</w:t>
      </w:r>
      <w:hyperlink w:anchor="_ENREF_78" w:tooltip="Durack, 2019 #1743" w:history="1">
        <w:r w:rsidR="00950097" w:rsidRPr="007268F5">
          <w:rPr>
            <w:rFonts w:cstheme="minorBidi"/>
          </w:rPr>
          <w:t>Durack and Lynch, 2019</w:t>
        </w:r>
      </w:hyperlink>
      <w:r w:rsidR="00D50EFF" w:rsidRPr="007268F5">
        <w:rPr>
          <w:rFonts w:cstheme="minorBidi"/>
        </w:rPr>
        <w:t>)</w:t>
      </w:r>
      <w:r w:rsidRPr="009819CE">
        <w:rPr>
          <w:rFonts w:cstheme="minorBidi"/>
        </w:rPr>
        <w:fldChar w:fldCharType="end"/>
      </w:r>
      <w:r w:rsidRPr="009819CE">
        <w:rPr>
          <w:rFonts w:cstheme="minorBidi"/>
        </w:rPr>
        <w:t xml:space="preserve">. Imbalances or specific microbial species can promote pathogen growth, weakening the host's immune response </w:t>
      </w:r>
      <w:r w:rsidRPr="009819CE">
        <w:rPr>
          <w:rFonts w:cstheme="minorBidi"/>
        </w:rPr>
        <w:fldChar w:fldCharType="begin">
          <w:fldData xml:space="preserve">PEVuZE5vdGU+PENpdGU+PEF1dGhvcj5CZWxrYWlkPC9BdXRob3I+PFllYXI+MjAxNDwvWWVhcj48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</w:fldData>
        </w:fldChar>
      </w:r>
      <w:r w:rsidR="00750BF2" w:rsidRPr="009819CE">
        <w:rPr>
          <w:rFonts w:cstheme="minorBidi"/>
        </w:rPr>
        <w:instrText xml:space="preserve"> ADDIN EN.CITE </w:instrText>
      </w:r>
      <w:r w:rsidR="00750BF2" w:rsidRPr="009819CE">
        <w:rPr>
          <w:rFonts w:cstheme="minorBidi"/>
        </w:rPr>
        <w:fldChar w:fldCharType="begin">
          <w:fldData xml:space="preserve">PEVuZE5vdGU+PENpdGU+PEF1dGhvcj5CZWxrYWlkPC9BdXRob3I+PFllYXI+MjAxNDwvWWVhcj48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</w:fldData>
        </w:fldChar>
      </w:r>
      <w:r w:rsidR="00750BF2" w:rsidRPr="009819CE">
        <w:rPr>
          <w:rFonts w:cstheme="minorBidi"/>
        </w:rPr>
        <w:instrText xml:space="preserve"> ADDIN EN.CITE.DATA </w:instrText>
      </w:r>
      <w:r w:rsidR="00750BF2" w:rsidRPr="009819CE">
        <w:rPr>
          <w:rFonts w:cstheme="minorBidi"/>
        </w:rPr>
      </w:r>
      <w:r w:rsidR="00750BF2"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30" w:tooltip="Belkaid, 2014 #1670" w:history="1">
        <w:r w:rsidR="00950097" w:rsidRPr="007268F5">
          <w:rPr>
            <w:rFonts w:cstheme="minorBidi"/>
          </w:rPr>
          <w:t>Belkaid and Timothy, 2014</w:t>
        </w:r>
      </w:hyperlink>
      <w:r w:rsidR="00D50EFF" w:rsidRPr="007268F5">
        <w:rPr>
          <w:rFonts w:cstheme="minorBidi"/>
        </w:rPr>
        <w:t xml:space="preserve">; </w:t>
      </w:r>
      <w:hyperlink w:anchor="_ENREF_359" w:tooltip="Wu, 2012 #1745" w:history="1">
        <w:r w:rsidR="00950097" w:rsidRPr="007268F5">
          <w:rPr>
            <w:rFonts w:cstheme="minorBidi"/>
          </w:rPr>
          <w:t>Wu and Wu, 2012</w:t>
        </w:r>
      </w:hyperlink>
      <w:r w:rsidR="00D50EFF" w:rsidRPr="007268F5">
        <w:rPr>
          <w:rFonts w:cstheme="minorBidi"/>
        </w:rPr>
        <w:t xml:space="preserve">; </w:t>
      </w:r>
      <w:hyperlink w:anchor="_ENREF_378" w:tooltip="Zheng, 2020 #1744" w:history="1">
        <w:r w:rsidR="00950097" w:rsidRPr="007268F5">
          <w:rPr>
            <w:rFonts w:cstheme="minorBidi"/>
          </w:rPr>
          <w:t>Zheng et al., 2020</w:t>
        </w:r>
      </w:hyperlink>
      <w:r w:rsidR="00D50EFF" w:rsidRPr="007268F5">
        <w:rPr>
          <w:rFonts w:cstheme="minorBidi"/>
        </w:rPr>
        <w:t>)</w:t>
      </w:r>
      <w:r w:rsidRPr="009819CE">
        <w:rPr>
          <w:rFonts w:cstheme="minorBidi"/>
        </w:rPr>
        <w:fldChar w:fldCharType="end"/>
      </w:r>
      <w:r w:rsidRPr="009819CE">
        <w:rPr>
          <w:rFonts w:cstheme="minorBidi"/>
        </w:rPr>
        <w:t>.</w:t>
      </w:r>
      <w:r w:rsidR="00B576F4" w:rsidRPr="009819CE">
        <w:rPr>
          <w:rFonts w:cstheme="minorBidi"/>
        </w:rPr>
        <w:t xml:space="preserve"> </w:t>
      </w:r>
      <w:r w:rsidRPr="009819CE">
        <w:rPr>
          <w:rFonts w:cstheme="minorBidi"/>
        </w:rPr>
        <w:t xml:space="preserve">Exploring distinct microbial signatures associated with disease severity allows targeted approaches for disease management and microbiome restoration </w:t>
      </w:r>
      <w:r w:rsidRPr="009819CE">
        <w:rPr>
          <w:rFonts w:cstheme="minorBidi"/>
        </w:rPr>
        <w:fldChar w:fldCharType="begin">
          <w:fldData xml:space="preserve">PEVuZE5vdGU+PENpdGU+PEF1dGhvcj5WaWpheTwvQXV0aG9yPjxZZWFyPjIwMjI8L1llYXI+PFJl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PEVuZE5vdGU+PENpdGU+PEF1dGhvcj5WaWpheTwvQXV0aG9yPjxZZWFyPjIwMjI8L1llYXI+PFJl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67" w:tooltip="De Vos, 2022 #1747" w:history="1">
        <w:r w:rsidR="00950097" w:rsidRPr="007268F5">
          <w:rPr>
            <w:rFonts w:cstheme="minorBidi"/>
          </w:rPr>
          <w:t>De Vos et al., 2022</w:t>
        </w:r>
      </w:hyperlink>
      <w:r w:rsidR="00D50EFF" w:rsidRPr="007268F5">
        <w:rPr>
          <w:rFonts w:cstheme="minorBidi"/>
        </w:rPr>
        <w:t xml:space="preserve">; </w:t>
      </w:r>
      <w:hyperlink w:anchor="_ENREF_78" w:tooltip="Durack, 2019 #1743" w:history="1">
        <w:r w:rsidR="00950097" w:rsidRPr="007268F5">
          <w:rPr>
            <w:rFonts w:cstheme="minorBidi"/>
          </w:rPr>
          <w:t>Durack and Lynch, 2019</w:t>
        </w:r>
      </w:hyperlink>
      <w:r w:rsidR="00D50EFF" w:rsidRPr="007268F5">
        <w:rPr>
          <w:rFonts w:cstheme="minorBidi"/>
        </w:rPr>
        <w:t xml:space="preserve">; </w:t>
      </w:r>
      <w:hyperlink w:anchor="_ENREF_341" w:tooltip="Vijay, 2022 #1746" w:history="1">
        <w:r w:rsidR="00950097" w:rsidRPr="007268F5">
          <w:rPr>
            <w:rFonts w:cstheme="minorBidi"/>
          </w:rPr>
          <w:t>Vijay and Valdes, 2022</w:t>
        </w:r>
      </w:hyperlink>
      <w:r w:rsidR="00D50EFF" w:rsidRPr="007268F5">
        <w:rPr>
          <w:rFonts w:cstheme="minorBidi"/>
        </w:rPr>
        <w:t>)</w:t>
      </w:r>
      <w:r w:rsidRPr="009819CE">
        <w:rPr>
          <w:rFonts w:cstheme="minorBidi"/>
        </w:rPr>
        <w:fldChar w:fldCharType="end"/>
      </w:r>
      <w:r w:rsidRPr="009819CE">
        <w:rPr>
          <w:rFonts w:cstheme="minorBidi"/>
        </w:rPr>
        <w:t>.</w:t>
      </w:r>
    </w:p>
    <w:p w14:paraId="5F82AF9D" w14:textId="41BFBC89" w:rsidR="00CA13E2" w:rsidRPr="009819CE" w:rsidRDefault="00CA13E2" w:rsidP="00CA13E2">
      <w:pPr>
        <w:rPr>
          <w:rFonts w:cstheme="minorBidi"/>
        </w:rPr>
      </w:pPr>
      <w:r w:rsidRPr="009819CE">
        <w:rPr>
          <w:rFonts w:eastAsia="Calibri" w:cstheme="minorBidi"/>
        </w:rPr>
        <w:t>Parasites can influence the microbiome through various mechanisms</w:t>
      </w:r>
      <w:r w:rsidRPr="009819CE">
        <w:rPr>
          <w:rFonts w:cstheme="minorBidi"/>
        </w:rPr>
        <w:t xml:space="preserve">, including vectoring or reservoirs of microbes, driving defensive microbe evolution, competing with host microbiota, and inducing immune responses </w:t>
      </w:r>
      <w:r w:rsidRPr="009819CE">
        <w:rPr>
          <w:rFonts w:cstheme="minorBidi"/>
        </w:rPr>
        <w:fldChar w:fldCharType="begin"/>
      </w:r>
      <w:r w:rsidR="00D50EFF" w:rsidRPr="009819CE">
        <w:rPr>
          <w:rFonts w:cstheme="minorBidi"/>
        </w:rPr>
        <w:instrText xml:space="preserve"> ADDIN EN.CITE &lt;EndNote&gt;&lt;Cite&gt;&lt;Author&gt;Dheilly&lt;/Author&gt;&lt;Year&gt;2015&lt;/Year&gt;&lt;RecNum&gt;1256&lt;/RecNum&gt;&lt;DisplayText&gt;(Dheilly et al., 2015)&lt;/DisplayText&gt;&lt;record&gt;&lt;rec-number&gt;1256&lt;/rec-number&gt;&lt;foreign-keys&gt;&lt;key app="EN" db-id="sd9wrx9fj09rx3erprsx999o0r5aprvp2zse" timestamp="1687855902" guid="37a8f5a5-eb49-404a-ae43-27397a0299c8"&gt;1256&lt;/key&gt;&lt;/foreign-keys&gt;&lt;ref-type name="Journal Article"&gt;17&lt;/ref-type&gt;&lt;contributors&gt;&lt;authors&gt;&lt;author&gt;Dheilly, Nolwenn M.&lt;/author&gt;&lt;author&gt;Poulin, Robert&lt;/author&gt;&lt;author&gt;Thomas, Frédéric&lt;/author&gt;&lt;/authors&gt;&lt;/contributors&gt;&lt;titles&gt;&lt;title&gt;Biological warfare: Microorganisms as drivers of host–parasite interactions&lt;/title&gt;&lt;secondary-title&gt;Infection, Genetics and Evolution&lt;/secondary-title&gt;&lt;/titles&gt;&lt;periodical&gt;&lt;full-title&gt;Infection, Genetics and Evolution&lt;/full-title&gt;&lt;/periodical&gt;&lt;pages&gt;251-259&lt;/pages&gt;&lt;volume&gt;34&lt;/volume&gt;&lt;keywords&gt;&lt;keyword&gt;Holobiont&lt;/keyword&gt;&lt;keyword&gt;Interaction&lt;/keyword&gt;&lt;keyword&gt;Microbiome&lt;/keyword&gt;&lt;keyword&gt;Microorganisms&lt;/keyword&gt;&lt;keyword&gt;Parasitism&lt;/keyword&gt;&lt;keyword&gt;Symbiosis&lt;/keyword&gt;&lt;/keywords&gt;&lt;dates&gt;&lt;year&gt;2015&lt;/year&gt;&lt;pub-dates&gt;&lt;date&gt;2015/8//&lt;/date&gt;&lt;/pub-dates&gt;&lt;/dates&gt;&lt;publisher&gt;Elsevier&lt;/publisher&gt;&lt;urls&gt;&lt;/urls&gt;&lt;electronic-resource-num&gt;10.1016/J.MEEGID.2015.05.027&lt;/electronic-resource-num&gt;&lt;/record&gt;&lt;/Cite&gt;&lt;/EndNote&gt;</w:instrText>
      </w:r>
      <w:r w:rsidRPr="009819CE">
        <w:rPr>
          <w:rFonts w:cstheme="minorBidi"/>
        </w:rPr>
        <w:fldChar w:fldCharType="separate"/>
      </w:r>
      <w:r w:rsidR="00D50EFF" w:rsidRPr="009819CE">
        <w:rPr>
          <w:rFonts w:cstheme="minorBidi"/>
        </w:rPr>
        <w:t>(</w:t>
      </w:r>
      <w:hyperlink w:anchor="_ENREF_69" w:tooltip="Dheilly, 2015 #1256" w:history="1">
        <w:r w:rsidR="00950097" w:rsidRPr="009819CE">
          <w:rPr>
            <w:rFonts w:cstheme="minorBidi"/>
          </w:rPr>
          <w:t>Dheilly et al., 2015</w:t>
        </w:r>
      </w:hyperlink>
      <w:r w:rsidR="00D50EFF" w:rsidRPr="009819CE">
        <w:rPr>
          <w:rFonts w:cstheme="minorBidi"/>
        </w:rPr>
        <w:t>)</w:t>
      </w:r>
      <w:r w:rsidRPr="009819CE">
        <w:rPr>
          <w:rFonts w:cstheme="minorBidi"/>
        </w:rPr>
        <w:fldChar w:fldCharType="end"/>
      </w:r>
      <w:r w:rsidR="00B2209A" w:rsidRPr="009819CE">
        <w:rPr>
          <w:rFonts w:cstheme="minorBidi"/>
        </w:rPr>
        <w:t xml:space="preserve"> (</w:t>
      </w:r>
      <w:r w:rsidR="00AA4C8F" w:rsidRPr="009819CE">
        <w:rPr>
          <w:rFonts w:cstheme="minorBidi"/>
        </w:rPr>
        <w:t>see</w:t>
      </w:r>
      <w:r w:rsidR="00B2209A" w:rsidRPr="009819CE">
        <w:rPr>
          <w:rFonts w:cstheme="minorBidi"/>
        </w:rPr>
        <w:t xml:space="preserve"> </w:t>
      </w:r>
      <w:r w:rsidR="00AA4C8F" w:rsidRPr="009819CE">
        <w:rPr>
          <w:rFonts w:cstheme="minorBidi"/>
        </w:rPr>
        <w:t>section</w:t>
      </w:r>
      <w:r w:rsidR="00526B20" w:rsidRPr="009819CE">
        <w:rPr>
          <w:rFonts w:cstheme="minorBidi"/>
        </w:rPr>
        <w:t xml:space="preserve"> </w:t>
      </w:r>
      <w:r w:rsidR="00526B20" w:rsidRPr="009819CE">
        <w:rPr>
          <w:rFonts w:cstheme="minorBidi"/>
          <w:b/>
          <w:bCs/>
        </w:rPr>
        <w:fldChar w:fldCharType="begin"/>
      </w:r>
      <w:r w:rsidR="00526B20" w:rsidRPr="009819CE">
        <w:rPr>
          <w:rFonts w:cstheme="minorBidi"/>
          <w:b/>
          <w:bCs/>
        </w:rPr>
        <w:instrText xml:space="preserve"> REF _Ref163487338 \r \h  \* MERGEFORMAT </w:instrText>
      </w:r>
      <w:r w:rsidR="00526B20" w:rsidRPr="009819CE">
        <w:rPr>
          <w:rFonts w:cstheme="minorBidi"/>
          <w:b/>
          <w:bCs/>
        </w:rPr>
      </w:r>
      <w:r w:rsidR="00526B20" w:rsidRPr="009819CE">
        <w:rPr>
          <w:rFonts w:cstheme="minorBidi"/>
          <w:b/>
          <w:bCs/>
        </w:rPr>
        <w:fldChar w:fldCharType="separate"/>
      </w:r>
      <w:r w:rsidR="008549FC">
        <w:rPr>
          <w:rFonts w:cstheme="minorBidi"/>
          <w:b/>
          <w:bCs/>
        </w:rPr>
        <w:t>1.6</w:t>
      </w:r>
      <w:r w:rsidR="00526B20" w:rsidRPr="009819CE">
        <w:rPr>
          <w:rFonts w:cstheme="minorBidi"/>
          <w:b/>
          <w:bCs/>
        </w:rPr>
        <w:fldChar w:fldCharType="end"/>
      </w:r>
      <w:r w:rsidR="00B2209A" w:rsidRPr="009819CE">
        <w:rPr>
          <w:rFonts w:cstheme="minorBidi"/>
        </w:rPr>
        <w:t>)</w:t>
      </w:r>
      <w:r w:rsidRPr="009819CE">
        <w:rPr>
          <w:rFonts w:cstheme="minorBidi"/>
        </w:rPr>
        <w:t>.</w:t>
      </w:r>
      <w:r w:rsidRPr="009819CE">
        <w:rPr>
          <w:rFonts w:eastAsia="Calibri" w:cstheme="minorBidi"/>
        </w:rPr>
        <w:t xml:space="preserve"> Distinct microbial abundance differences have been noted between </w:t>
      </w:r>
      <w:r w:rsidR="00D94DC1" w:rsidRPr="00FA7D47">
        <w:rPr>
          <w:rFonts w:eastAsia="Calibri" w:cstheme="minorBidi"/>
        </w:rPr>
        <w:t>“healthy”</w:t>
      </w:r>
      <w:r w:rsidRPr="009819CE">
        <w:rPr>
          <w:rFonts w:eastAsia="Calibri" w:cstheme="minorBidi"/>
        </w:rPr>
        <w:t xml:space="preserve"> and diseased crustaceans </w:t>
      </w:r>
      <w:r w:rsidRPr="009819CE">
        <w:rPr>
          <w:rFonts w:cstheme="minorBidi"/>
        </w:rPr>
        <w:fldChar w:fldCharType="begin"/>
      </w:r>
      <w:r w:rsidR="00D50EFF" w:rsidRPr="009819CE">
        <w:rPr>
          <w:rFonts w:cstheme="minorBidi"/>
        </w:rPr>
        <w:instrText xml:space="preserve"> ADDIN EN.CITE &lt;EndNote&gt;&lt;Cite&gt;&lt;Author&gt;Li&lt;/Author&gt;&lt;Year&gt;2012&lt;/Year&gt;&lt;RecNum&gt;40&lt;/RecNum&gt;&lt;DisplayText&gt;(Li et al., 2012)&lt;/DisplayText&gt;&lt;record&gt;&lt;rec-number&gt;40&lt;/rec-number&gt;&lt;foreign-keys&gt;&lt;key app="EN" db-id="sd9wrx9fj09rx3erprsx999o0r5aprvp2zse" timestamp="1687855901" guid="c78f0c77-4f0a-4d13-9be5-8a50073bc65c"&gt;40&lt;/key&gt;&lt;/foreign-keys&gt;&lt;ref-type name="Journal Article"&gt;17&lt;/ref-type&gt;&lt;contributors&gt;&lt;authors&gt;&lt;author&gt;Li, S.&lt;/author&gt;&lt;author&gt;Sun, L.&lt;/author&gt;&lt;author&gt;Wu, H.&lt;/author&gt;&lt;author&gt;Hu, Z.&lt;/author&gt;&lt;author&gt;Liu, W.&lt;/author&gt;&lt;author&gt;Li, Y.&lt;/author&gt;&lt;author&gt;Wen, X.&lt;/author&gt;&lt;/authors&gt;&lt;/contributors&gt;&lt;titles&gt;&lt;title&gt;&lt;style face="normal" font="default" size="100%"&gt;The intestinal microbial diversity in mud crab (&lt;/style&gt;&lt;style face="italic" font="default" size="100%"&gt;Scylla paramamosain&lt;/style&gt;&lt;style face="normal" font="default" size="100%"&gt;) as determined by PCR-DGGE and clone library analysis&lt;/style&gt;&lt;/title&gt;&lt;secondary-title&gt;Journal of Applied Microbiology&lt;/secondary-title&gt;&lt;/titles&gt;&lt;periodical&gt;&lt;full-title&gt;Journal of Applied Microbiology&lt;/full-title&gt;&lt;/periodical&gt;&lt;pages&gt;1341-1351&lt;/pages&gt;&lt;volume&gt;113&lt;/volume&gt;&lt;number&gt;6&lt;/number&gt;&lt;keywords&gt;&lt;keyword&gt;Intestine&lt;/keyword&gt;&lt;keyword&gt;Microbial diversity&lt;/keyword&gt;&lt;keyword&gt;Mud crab&lt;/keyword&gt;&lt;/keywords&gt;&lt;dates&gt;&lt;year&gt;2012&lt;/year&gt;&lt;pub-dates&gt;&lt;date&gt;2012/12//&lt;/date&gt;&lt;/pub-dates&gt;&lt;/dates&gt;&lt;urls&gt;&lt;related-urls&gt;&lt;url&gt;http://doi.wiley.com/10.1111/jam.12008&lt;/url&gt;&lt;/related-urls&gt;&lt;/urls&gt;&lt;electronic-resource-num&gt;10.1111/jam.12008&lt;/electronic-resource-num&gt;&lt;/record&gt;&lt;/Cite&gt;&lt;/EndNote&gt;</w:instrText>
      </w:r>
      <w:r w:rsidRPr="009819CE">
        <w:rPr>
          <w:rFonts w:cstheme="minorBidi"/>
        </w:rPr>
        <w:fldChar w:fldCharType="separate"/>
      </w:r>
      <w:r w:rsidR="00D50EFF" w:rsidRPr="009819CE">
        <w:rPr>
          <w:rFonts w:cstheme="minorBidi"/>
        </w:rPr>
        <w:t>(</w:t>
      </w:r>
      <w:hyperlink w:anchor="_ENREF_184" w:tooltip="Li, 2012 #40" w:history="1">
        <w:r w:rsidR="00950097" w:rsidRPr="009819CE">
          <w:rPr>
            <w:rFonts w:cstheme="minorBidi"/>
          </w:rPr>
          <w:t>Li et al., 2012</w:t>
        </w:r>
      </w:hyperlink>
      <w:r w:rsidR="00D50EFF" w:rsidRPr="009819CE">
        <w:rPr>
          <w:rFonts w:cstheme="minorBidi"/>
        </w:rPr>
        <w:t>)</w:t>
      </w:r>
      <w:r w:rsidRPr="009819CE">
        <w:rPr>
          <w:rFonts w:cstheme="minorBidi"/>
        </w:rPr>
        <w:fldChar w:fldCharType="end"/>
      </w:r>
      <w:r w:rsidRPr="009819CE">
        <w:rPr>
          <w:rFonts w:eastAsia="Calibri" w:cstheme="minorBidi"/>
        </w:rPr>
        <w:t>, with reduced gut bacterial diversity correlating to increased disease</w:t>
      </w:r>
      <w:r w:rsidR="00176503" w:rsidRPr="009819CE">
        <w:rPr>
          <w:rFonts w:eastAsia="Calibri" w:cstheme="minorBidi"/>
        </w:rPr>
        <w:t xml:space="preserve"> </w:t>
      </w:r>
      <w:r w:rsidRPr="009819CE">
        <w:rPr>
          <w:rFonts w:eastAsia="Calibri" w:cstheme="minorBidi"/>
        </w:rPr>
        <w:t xml:space="preserve"> </w:t>
      </w:r>
      <w:r w:rsidRPr="009819CE">
        <w:rPr>
          <w:rFonts w:eastAsia="Calibri" w:cstheme="minorBidi"/>
        </w:rPr>
        <w:fldChar w:fldCharType="begin"/>
      </w:r>
      <w:r w:rsidR="00F86D7A" w:rsidRPr="009819CE">
        <w:rPr>
          <w:rFonts w:eastAsia="Calibri" w:cstheme="minorBidi"/>
        </w:rPr>
        <w:instrText xml:space="preserve"> ADDIN EN.CITE &lt;EndNote&gt;&lt;Cite&gt;&lt;Author&gt;Holt&lt;/Author&gt;&lt;Year&gt;2021&lt;/Year&gt;&lt;RecNum&gt;1740&lt;/RecNum&gt;&lt;DisplayText&gt;(Holt et al., 2021)&lt;/DisplayText&gt;&lt;record&gt;&lt;rec-number&gt;1740&lt;/rec-number&gt;&lt;foreign-keys&gt;&lt;key app="EN" db-id="sd9wrx9fj09rx3erprsx999o0r5aprvp2zse" timestamp="1688382296" guid="fe6a6771-f34a-491f-b350-7006edabab56"&gt;1740&lt;/key&gt;&lt;/foreign-keys&gt;&lt;ref-type name="Journal Article"&gt;17&lt;/ref-type&gt;&lt;contributors&gt;&lt;authors&gt;&lt;author&gt;Holt, Corey C.&lt;/author&gt;&lt;author&gt;Bass, David&lt;/author&gt;&lt;author&gt;Stentiford, Grant D.&lt;/author&gt;&lt;author&gt;van der Giezen, Mark&lt;/author&gt;&lt;/authors&gt;&lt;/contributors&gt;&lt;titles&gt;&lt;title&gt;Understanding the role of the shrimp gut microbiome in health and disease&lt;/title&gt;&lt;secondary-title&gt;Journal of Invertebrate Pathology&lt;/secondary-title&gt;&lt;/titles&gt;&lt;periodical&gt;&lt;full-title&gt;Journal of Invertebrate Pathology&lt;/full-title&gt;&lt;/periodical&gt;&lt;pages&gt;107387&lt;/pages&gt;&lt;volume&gt;186&lt;/volume&gt;&lt;keywords&gt;&lt;keyword&gt;Shrimp&lt;/keyword&gt;&lt;keyword&gt;Gut microbiota&lt;/keyword&gt;&lt;keyword&gt;Gut microbiome&lt;/keyword&gt;&lt;keyword&gt;Aquaculture&lt;/keyword&gt;&lt;/keywords&gt;&lt;dates&gt;&lt;year&gt;2021&lt;/year&gt;&lt;pub-dates&gt;&lt;date&gt;2021/11/01/&lt;/date&gt;&lt;/pub-dates&gt;&lt;/dates&gt;&lt;isbn&gt;0022-2011&lt;/isbn&gt;&lt;urls&gt;&lt;related-urls&gt;&lt;url&gt;https://www.sciencedirect.com/science/article/pii/S0022201120300938&lt;/url&gt;&lt;/related-urls&gt;&lt;/urls&gt;&lt;electronic-resource-num&gt;https://doi.org/10.1016/j.jip.2020.107387&lt;/electronic-resource-num&gt;&lt;/record&gt;&lt;/Cite&gt;&lt;/EndNote&gt;</w:instrText>
      </w:r>
      <w:r w:rsidRPr="009819CE">
        <w:rPr>
          <w:rFonts w:eastAsia="Calibri" w:cstheme="minorBidi"/>
        </w:rPr>
        <w:fldChar w:fldCharType="separate"/>
      </w:r>
      <w:r w:rsidR="00F86D7A" w:rsidRPr="007268F5">
        <w:rPr>
          <w:rFonts w:eastAsia="Calibri" w:cstheme="minorBidi"/>
        </w:rPr>
        <w:t>(</w:t>
      </w:r>
      <w:hyperlink w:anchor="_ENREF_135" w:tooltip="Holt, 2021 #1740" w:history="1">
        <w:r w:rsidR="00950097" w:rsidRPr="007268F5">
          <w:rPr>
            <w:rFonts w:eastAsia="Calibri" w:cstheme="minorBidi"/>
          </w:rPr>
          <w:t>Holt et al., 2021</w:t>
        </w:r>
      </w:hyperlink>
      <w:r w:rsidR="00F86D7A" w:rsidRPr="007268F5">
        <w:rPr>
          <w:rFonts w:eastAsia="Calibri" w:cstheme="minorBidi"/>
        </w:rPr>
        <w:t>)</w:t>
      </w:r>
      <w:r w:rsidRPr="009819CE">
        <w:rPr>
          <w:rFonts w:eastAsia="Calibri" w:cstheme="minorBidi"/>
        </w:rPr>
        <w:fldChar w:fldCharType="end"/>
      </w:r>
      <w:r w:rsidRPr="009819CE">
        <w:rPr>
          <w:rFonts w:eastAsia="Calibri" w:cstheme="minorBidi"/>
        </w:rPr>
        <w:t>. Numerous studies have examined the impact of the microbiome on influencing the health and disease dynamics of economically significant tropical decapod species, as thoroughly discussed in the comprehensive review by</w:t>
      </w:r>
      <w:r w:rsidR="00176503" w:rsidRPr="009819CE">
        <w:rPr>
          <w:rFonts w:eastAsia="Calibri" w:cstheme="minorBidi"/>
        </w:rPr>
        <w:t xml:space="preserve"> </w:t>
      </w:r>
      <w:hyperlink w:anchor="_ENREF_135" w:tooltip="Holt, 2021 #1740" w:history="1">
        <w:r w:rsidR="00950097" w:rsidRPr="009819CE">
          <w:rPr>
            <w:rFonts w:eastAsia="Calibri" w:cstheme="minorBidi"/>
          </w:rPr>
          <w:fldChar w:fldCharType="begin"/>
        </w:r>
        <w:r w:rsidR="00950097" w:rsidRPr="009819CE">
          <w:rPr>
            <w:rFonts w:eastAsia="Calibri" w:cstheme="minorBidi"/>
          </w:rPr>
          <w:instrText xml:space="preserve"> ADDIN EN.CITE &lt;EndNote&gt;&lt;Cite AuthorYear="1"&gt;&lt;Author&gt;Holt&lt;/Author&gt;&lt;Year&gt;2021&lt;/Year&gt;&lt;RecNum&gt;1740&lt;/RecNum&gt;&lt;DisplayText&gt;Holt et al. (2021)&lt;/DisplayText&gt;&lt;record&gt;&lt;rec-number&gt;1740&lt;/rec-number&gt;&lt;foreign-keys&gt;&lt;key app="EN" db-id="sd9wrx9fj09rx3erprsx999o0r5aprvp2zse" timestamp="1688382296" guid="fe6a6771-f34a-491f-b350-7006edabab56"&gt;1740&lt;/key&gt;&lt;/foreign-keys&gt;&lt;ref-type name="Journal Article"&gt;17&lt;/ref-type&gt;&lt;contributors&gt;&lt;authors&gt;&lt;author&gt;Holt, Corey C.&lt;/author&gt;&lt;author&gt;Bass, David&lt;/author&gt;&lt;author&gt;Stentiford, Grant D.&lt;/author&gt;&lt;author&gt;van der Giezen, Mark&lt;/author&gt;&lt;/authors&gt;&lt;/contributors&gt;&lt;titles&gt;&lt;title&gt;Understanding the role of the shrimp gut microbiome in health and disease&lt;/title&gt;&lt;secondary-title&gt;Journal of Invertebrate Pathology&lt;/secondary-title&gt;&lt;/titles&gt;&lt;periodical&gt;&lt;full-title&gt;Journal of Invertebrate Pathology&lt;/full-title&gt;&lt;/periodical&gt;&lt;pages&gt;107387&lt;/pages&gt;&lt;volume&gt;186&lt;/volume&gt;&lt;keywords&gt;&lt;keyword&gt;Shrimp&lt;/keyword&gt;&lt;keyword&gt;Gut microbiota&lt;/keyword&gt;&lt;keyword&gt;Gut microbiome&lt;/keyword&gt;&lt;keyword&gt;Aquaculture&lt;/keyword&gt;&lt;/keywords&gt;&lt;dates&gt;&lt;year&gt;2021&lt;/year&gt;&lt;pub-dates&gt;&lt;date&gt;2021/11/01/&lt;/date&gt;&lt;/pub-dates&gt;&lt;/dates&gt;&lt;isbn&gt;0022-2011&lt;/isbn&gt;&lt;urls&gt;&lt;related-urls&gt;&lt;url&gt;https://www.sciencedirect.com/science/article/pii/S0022201120300938&lt;/url&gt;&lt;/related-urls&gt;&lt;/urls&gt;&lt;electronic-resource-num&gt;https://doi.org/10.1016/j.jip.2020.107387&lt;/electronic-resource-num&gt;&lt;/record&gt;&lt;/Cite&gt;&lt;/EndNote&gt;</w:instrText>
        </w:r>
        <w:r w:rsidR="00950097" w:rsidRPr="009819CE">
          <w:rPr>
            <w:rFonts w:eastAsia="Calibri" w:cstheme="minorBidi"/>
          </w:rPr>
          <w:fldChar w:fldCharType="separate"/>
        </w:r>
        <w:r w:rsidR="00950097" w:rsidRPr="007268F5">
          <w:rPr>
            <w:rFonts w:eastAsia="Calibri" w:cstheme="minorBidi"/>
          </w:rPr>
          <w:t>Holt et al. (2021)</w:t>
        </w:r>
        <w:r w:rsidR="00950097" w:rsidRPr="009819CE">
          <w:rPr>
            <w:rFonts w:eastAsia="Calibri" w:cstheme="minorBidi"/>
          </w:rPr>
          <w:fldChar w:fldCharType="end"/>
        </w:r>
      </w:hyperlink>
      <w:r w:rsidRPr="009819CE">
        <w:rPr>
          <w:rFonts w:cstheme="minorBidi"/>
        </w:rPr>
        <w:t>.</w:t>
      </w:r>
      <w:r w:rsidR="00920F34" w:rsidRPr="009819CE">
        <w:rPr>
          <w:rFonts w:cstheme="minorBidi"/>
        </w:rPr>
        <w:t xml:space="preserve"> The microbiome can either predispose the host to disease or undergo changes as a result of the disease, highlighting its dual role in influencing susceptibility and reflecting disease progression dynamics</w:t>
      </w:r>
      <w:r w:rsidR="005371F6" w:rsidRPr="009819CE">
        <w:rPr>
          <w:rFonts w:cstheme="minorBidi"/>
        </w:rPr>
        <w:t xml:space="preserve"> </w:t>
      </w:r>
      <w:r w:rsidR="00472829" w:rsidRPr="009819CE">
        <w:rPr>
          <w:rFonts w:cstheme="minorBidi"/>
        </w:rPr>
        <w:fldChar w:fldCharType="begin"/>
      </w:r>
      <w:r w:rsidR="00472829" w:rsidRPr="009819CE">
        <w:rPr>
          <w:rFonts w:cstheme="minorBidi"/>
        </w:rPr>
        <w:instrText xml:space="preserve"> ADDIN EN.CITE &lt;EndNote&gt;&lt;Cite&gt;&lt;Author&gt;Hou&lt;/Author&gt;&lt;Year&gt;2022&lt;/Year&gt;&lt;RecNum&gt;1931&lt;/RecNum&gt;&lt;DisplayText&gt;(Hou et al., 2022)&lt;/DisplayText&gt;&lt;record&gt;&lt;rec-number&gt;1931&lt;/rec-number&gt;&lt;foreign-keys&gt;&lt;key app="EN" db-id="sd9wrx9fj09rx3erprsx999o0r5aprvp2zse" timestamp="1720519872" guid="403061d1-142f-4680-860d-7ea09d600cba"&gt;1931&lt;/key&gt;&lt;/foreign-keys&gt;&lt;ref-type name="Journal Article"&gt;17&lt;/ref-type&gt;&lt;contributors&gt;&lt;authors&gt;&lt;author&gt;Hou, Kaijian&lt;/author&gt;&lt;author&gt;Wu, Zhuo-Xun&lt;/author&gt;&lt;author&gt;Chen, Xuan-Yu&lt;/author&gt;&lt;author&gt;Wang, Jing-Quan&lt;/author&gt;&lt;author&gt;Zhang, Dongya&lt;/author&gt;&lt;author&gt;Xiao, Chuanxing&lt;/author&gt;&lt;author&gt;Zhu, Dan&lt;/author&gt;&lt;author&gt;Koya, Jagadish B.&lt;/author&gt;&lt;author&gt;Wei, Liuya&lt;/author&gt;&lt;author&gt;Li, Jilin&lt;/author&gt;&lt;author&gt;Chen, Zhe-Sheng&lt;/author&gt;&lt;/authors&gt;&lt;/contributors&gt;&lt;titles&gt;&lt;title&gt;Microbiota in health and diseases&lt;/title&gt;&lt;secondary-title&gt;Signal Transduction and Targeted Therapy&lt;/secondary-title&gt;&lt;/titles&gt;&lt;periodical&gt;&lt;full-title&gt;Signal Transduction and Targeted Therapy&lt;/full-title&gt;&lt;/periodical&gt;&lt;pages&gt;135&lt;/pages&gt;&lt;volume&gt;7&lt;/volume&gt;&lt;number&gt;1&lt;/number&gt;&lt;dates&gt;&lt;year&gt;2022&lt;/year&gt;&lt;pub-dates&gt;&lt;date&gt;2022/04/23&lt;/date&gt;&lt;/pub-dates&gt;&lt;/dates&gt;&lt;isbn&gt;2059-3635&lt;/isbn&gt;&lt;urls&gt;&lt;related-urls&gt;&lt;url&gt;https://doi.org/10.1038/s41392-022-00974-4&lt;/url&gt;&lt;url&gt;https://www.ncbi.nlm.nih.gov/pmc/articles/PMC9034083/pdf/41392_2022_Article_974.pdf&lt;/url&gt;&lt;/related-urls&gt;&lt;/urls&gt;&lt;electronic-resource-num&gt;10.1038/s41392-022-00974-4&lt;/electronic-resource-num&gt;&lt;/record&gt;&lt;/Cite&gt;&lt;/EndNote&gt;</w:instrText>
      </w:r>
      <w:r w:rsidR="00472829" w:rsidRPr="009819CE">
        <w:rPr>
          <w:rFonts w:cstheme="minorBidi"/>
        </w:rPr>
        <w:fldChar w:fldCharType="separate"/>
      </w:r>
      <w:r w:rsidR="00472829" w:rsidRPr="007268F5">
        <w:rPr>
          <w:rFonts w:cstheme="minorBidi"/>
        </w:rPr>
        <w:t>(</w:t>
      </w:r>
      <w:hyperlink w:anchor="_ENREF_140" w:tooltip="Hou, 2022 #1931" w:history="1">
        <w:r w:rsidR="00950097" w:rsidRPr="007268F5">
          <w:rPr>
            <w:rFonts w:cstheme="minorBidi"/>
          </w:rPr>
          <w:t>Hou et al., 2022</w:t>
        </w:r>
      </w:hyperlink>
      <w:r w:rsidR="00472829" w:rsidRPr="007268F5">
        <w:rPr>
          <w:rFonts w:cstheme="minorBidi"/>
        </w:rPr>
        <w:t>)</w:t>
      </w:r>
      <w:r w:rsidR="00472829" w:rsidRPr="009819CE">
        <w:rPr>
          <w:rFonts w:cstheme="minorBidi"/>
        </w:rPr>
        <w:fldChar w:fldCharType="end"/>
      </w:r>
      <w:r w:rsidR="00920F34" w:rsidRPr="009819CE">
        <w:rPr>
          <w:rFonts w:cstheme="minorBidi"/>
        </w:rPr>
        <w:t>.</w:t>
      </w:r>
    </w:p>
    <w:p w14:paraId="3398107F" w14:textId="07149944" w:rsidR="00CA13E2" w:rsidRPr="009819CE" w:rsidRDefault="00CA13E2" w:rsidP="00CA13E2">
      <w:pPr>
        <w:rPr>
          <w:rFonts w:eastAsia="Calibri" w:cstheme="minorBidi"/>
        </w:rPr>
      </w:pPr>
      <w:r w:rsidRPr="009819CE">
        <w:rPr>
          <w:rFonts w:eastAsia="Calibri" w:cstheme="minorBidi"/>
        </w:rPr>
        <w:t>In</w:t>
      </w:r>
      <w:r w:rsidR="00292EC3" w:rsidRPr="009819CE">
        <w:rPr>
          <w:rFonts w:eastAsia="Calibri" w:cstheme="minorBidi"/>
        </w:rPr>
        <w:t xml:space="preserve"> </w:t>
      </w:r>
      <w:r w:rsidR="009C3B62" w:rsidRPr="009819CE">
        <w:rPr>
          <w:rFonts w:eastAsia="Calibri" w:cstheme="minorBidi"/>
        </w:rPr>
        <w:t xml:space="preserve">Pacific </w:t>
      </w:r>
      <w:r w:rsidR="00292EC3" w:rsidRPr="009819CE">
        <w:rPr>
          <w:rFonts w:cstheme="minorBidi"/>
        </w:rPr>
        <w:t>whiteleg shrimp</w:t>
      </w:r>
      <w:r w:rsidR="00292EC3" w:rsidRPr="009819CE">
        <w:rPr>
          <w:rFonts w:cstheme="minorBidi"/>
          <w:i/>
          <w:iCs/>
        </w:rPr>
        <w:t xml:space="preserve"> </w:t>
      </w:r>
      <w:r w:rsidR="00292EC3" w:rsidRPr="009819CE">
        <w:rPr>
          <w:rFonts w:cstheme="minorBidi"/>
        </w:rPr>
        <w:t>(</w:t>
      </w:r>
      <w:r w:rsidR="009C3B62" w:rsidRPr="009819CE">
        <w:rPr>
          <w:rFonts w:cstheme="minorBidi"/>
          <w:i/>
          <w:iCs/>
        </w:rPr>
        <w:t xml:space="preserve">Penaeus </w:t>
      </w:r>
      <w:r w:rsidR="00292EC3" w:rsidRPr="009819CE">
        <w:rPr>
          <w:rFonts w:cstheme="minorBidi"/>
          <w:i/>
          <w:iCs/>
        </w:rPr>
        <w:t>vannamei</w:t>
      </w:r>
      <w:r w:rsidR="00292EC3" w:rsidRPr="009819CE">
        <w:rPr>
          <w:rFonts w:cstheme="minorBidi"/>
        </w:rPr>
        <w:t xml:space="preserve">) </w:t>
      </w:r>
      <w:r w:rsidRPr="009819CE">
        <w:rPr>
          <w:rFonts w:eastAsia="Calibri" w:cstheme="minorBidi"/>
        </w:rPr>
        <w:t xml:space="preserve"> </w:t>
      </w:r>
      <w:r w:rsidR="003E0B26" w:rsidRPr="009819CE">
        <w:rPr>
          <w:rFonts w:eastAsia="Calibri" w:cstheme="minorBidi"/>
        </w:rPr>
        <w:t xml:space="preserve">infected </w:t>
      </w:r>
      <w:r w:rsidRPr="009819CE">
        <w:rPr>
          <w:rFonts w:eastAsia="Calibri" w:cstheme="minorBidi"/>
        </w:rPr>
        <w:t xml:space="preserve">with </w:t>
      </w:r>
      <w:r w:rsidR="006C2F37" w:rsidRPr="009819CE">
        <w:rPr>
          <w:rFonts w:eastAsia="Calibri" w:cstheme="minorBidi"/>
        </w:rPr>
        <w:t xml:space="preserve">white spot syndrome virus </w:t>
      </w:r>
      <w:r w:rsidRPr="009819CE">
        <w:rPr>
          <w:rFonts w:eastAsia="Calibri" w:cstheme="minorBidi"/>
        </w:rPr>
        <w:t xml:space="preserve">(WSSV), gut microbiota shifts included increased </w:t>
      </w:r>
      <w:r w:rsidRPr="009819CE">
        <w:rPr>
          <w:rFonts w:eastAsia="Calibri" w:cstheme="minorBidi"/>
          <w:i/>
          <w:iCs/>
        </w:rPr>
        <w:t>Proteobacteria</w:t>
      </w:r>
      <w:r w:rsidRPr="009819CE">
        <w:rPr>
          <w:rFonts w:eastAsia="Calibri" w:cstheme="minorBidi"/>
        </w:rPr>
        <w:t xml:space="preserve"> and </w:t>
      </w:r>
      <w:r w:rsidRPr="009819CE">
        <w:rPr>
          <w:rFonts w:eastAsia="Calibri" w:cstheme="minorBidi"/>
          <w:i/>
          <w:iCs/>
        </w:rPr>
        <w:t>Fusobacteria</w:t>
      </w:r>
      <w:r w:rsidRPr="009819CE">
        <w:rPr>
          <w:rFonts w:eastAsia="Calibri" w:cstheme="minorBidi"/>
        </w:rPr>
        <w:t xml:space="preserve">, </w:t>
      </w:r>
      <w:r w:rsidR="002D3E68" w:rsidRPr="009819CE">
        <w:rPr>
          <w:rFonts w:eastAsia="Calibri" w:cstheme="minorBidi"/>
        </w:rPr>
        <w:t xml:space="preserve">and </w:t>
      </w:r>
      <w:r w:rsidRPr="009819CE">
        <w:rPr>
          <w:rFonts w:eastAsia="Calibri" w:cstheme="minorBidi"/>
        </w:rPr>
        <w:t xml:space="preserve">potential pathogens like </w:t>
      </w:r>
      <w:r w:rsidRPr="009819CE">
        <w:rPr>
          <w:rFonts w:eastAsia="Calibri" w:cstheme="minorBidi"/>
          <w:i/>
          <w:iCs/>
        </w:rPr>
        <w:t>Arcobacter</w:t>
      </w:r>
      <w:r w:rsidRPr="009819CE">
        <w:rPr>
          <w:rFonts w:eastAsia="Calibri" w:cstheme="minorBidi"/>
        </w:rPr>
        <w:t xml:space="preserve">, and decreased </w:t>
      </w:r>
      <w:r w:rsidRPr="009819CE">
        <w:rPr>
          <w:rFonts w:eastAsia="Calibri" w:cstheme="minorBidi"/>
          <w:i/>
          <w:iCs/>
        </w:rPr>
        <w:t>Bacteroidetes</w:t>
      </w:r>
      <w:r w:rsidRPr="009819CE">
        <w:rPr>
          <w:rFonts w:eastAsia="Calibri" w:cstheme="minorBidi"/>
        </w:rPr>
        <w:t xml:space="preserve"> and </w:t>
      </w:r>
      <w:r w:rsidRPr="009819CE">
        <w:rPr>
          <w:rFonts w:eastAsia="Calibri" w:cstheme="minorBidi"/>
          <w:i/>
          <w:iCs/>
        </w:rPr>
        <w:t>Tenericutes</w:t>
      </w:r>
      <w:r w:rsidRPr="009819CE">
        <w:rPr>
          <w:rFonts w:eastAsia="Calibri" w:cstheme="minorBidi"/>
        </w:rPr>
        <w:t xml:space="preserve">, while overall richness and diversity remained unaffected </w:t>
      </w:r>
      <w:r w:rsidRPr="009819CE">
        <w:rPr>
          <w:rFonts w:eastAsia="Calibri" w:cstheme="minorBidi"/>
        </w:rPr>
        <w:fldChar w:fldCharType="begin"/>
      </w:r>
      <w:r w:rsidR="00ED1A9E" w:rsidRPr="009819CE">
        <w:rPr>
          <w:rFonts w:eastAsia="Calibri" w:cstheme="minorBidi"/>
        </w:rPr>
        <w:instrText xml:space="preserve"> ADDIN EN.CITE &lt;EndNote&gt;&lt;Cite&gt;&lt;Author&gt;Wang&lt;/Author&gt;&lt;Year&gt;2019&lt;/Year&gt;&lt;RecNum&gt;506&lt;/RecNum&gt;&lt;DisplayText&gt;(Wang et al., 2019)&lt;/DisplayText&gt;&lt;record&gt;&lt;rec-number&gt;506&lt;/rec-number&gt;&lt;foreign-keys&gt;&lt;key app="EN" db-id="sd9wrx9fj09rx3erprsx999o0r5aprvp2zse" timestamp="1687855901" guid="57228eac-687c-442e-aeb1-84bb20c10c42"&gt;506&lt;/key&gt;&lt;/foreign-keys&gt;&lt;ref-type name="Journal Article"&gt;17&lt;/ref-type&gt;&lt;contributors&gt;&lt;authors&gt;&lt;author&gt;Wang, Jun&lt;/author&gt;&lt;author&gt;Huang, Youjia&lt;/author&gt;&lt;author&gt;Xu, Kaihang&lt;/author&gt;&lt;author&gt;Zhang, Xiaoyong&lt;/author&gt;&lt;author&gt;Sun, Hongyan&lt;/author&gt;&lt;author&gt;Fan, Lanfen&lt;/author&gt;&lt;author&gt;Yan, Muting&lt;/author&gt;&lt;/authors&gt;&lt;/contributors&gt;&lt;titles&gt;&lt;title&gt;&lt;style face="normal" font="default" size="100%"&gt;White spot syndrome virus (WSSV) infection impacts intestinal microbiota composition and function in &lt;/style&gt;&lt;style face="italic" font="default" size="100%"&gt;Litopenaeus vannamei&lt;/style&gt;&lt;/title&gt;&lt;secondary-title&gt;Fish and Shellfish Immunology&lt;/secondary-title&gt;&lt;/titles&gt;&lt;periodical&gt;&lt;full-title&gt;Fish and Shellfish Immunology&lt;/full-title&gt;&lt;/periodical&gt;&lt;pages&gt;130-137&lt;/pages&gt;&lt;volume&gt;84&lt;/volume&gt;&lt;number&gt;July 2018&lt;/number&gt;&lt;keywords&gt;&lt;keyword&gt;Intestinal microbiota&lt;/keyword&gt;&lt;keyword&gt;Litopenaeus vannamei&lt;/keyword&gt;&lt;keyword&gt;WSSV&lt;/keyword&gt;&lt;/keywords&gt;&lt;dates&gt;&lt;year&gt;2019&lt;/year&gt;&lt;pub-dates&gt;&lt;date&gt;2019/1//&lt;/date&gt;&lt;/pub-dates&gt;&lt;/dates&gt;&lt;publisher&gt;Elsevier&lt;/publisher&gt;&lt;urls&gt;&lt;related-urls&gt;&lt;url&gt;https://doi.org/10.1016/j.fsi.2018.09.076&lt;/url&gt;&lt;url&gt;https://linkinghub.elsevier.com/retrieve/pii/S105046481830620X&lt;/url&gt;&lt;/related-urls&gt;&lt;/urls&gt;&lt;electronic-resource-num&gt;10.1016/j.fsi.2018.09.076&lt;/electronic-resource-num&gt;&lt;/record&gt;&lt;/Cite&gt;&lt;/EndNote&gt;</w:instrText>
      </w:r>
      <w:r w:rsidRPr="009819CE">
        <w:rPr>
          <w:rFonts w:eastAsia="Calibri" w:cstheme="minorBidi"/>
        </w:rPr>
        <w:fldChar w:fldCharType="separate"/>
      </w:r>
      <w:r w:rsidR="00D50EFF" w:rsidRPr="007268F5">
        <w:rPr>
          <w:rFonts w:eastAsia="Calibri" w:cstheme="minorBidi"/>
        </w:rPr>
        <w:t>(</w:t>
      </w:r>
      <w:hyperlink w:anchor="_ENREF_344" w:tooltip="Wang, 2019 #506" w:history="1">
        <w:r w:rsidR="00950097" w:rsidRPr="007268F5">
          <w:rPr>
            <w:rFonts w:eastAsia="Calibri" w:cstheme="minorBidi"/>
          </w:rPr>
          <w:t>Wang et al., 2019</w:t>
        </w:r>
      </w:hyperlink>
      <w:r w:rsidR="00D50EFF" w:rsidRPr="007268F5">
        <w:rPr>
          <w:rFonts w:eastAsia="Calibri" w:cstheme="minorBidi"/>
        </w:rPr>
        <w:t>)</w:t>
      </w:r>
      <w:r w:rsidRPr="009819CE">
        <w:rPr>
          <w:rFonts w:eastAsia="Calibri" w:cstheme="minorBidi"/>
        </w:rPr>
        <w:fldChar w:fldCharType="end"/>
      </w:r>
      <w:r w:rsidRPr="009819CE">
        <w:rPr>
          <w:rFonts w:eastAsia="Calibri" w:cstheme="minorBidi"/>
        </w:rPr>
        <w:t>.</w:t>
      </w:r>
      <w:r w:rsidR="00CC1718" w:rsidRPr="00FA7D47">
        <w:rPr>
          <w:rFonts w:eastAsia="Calibri" w:cstheme="minorBidi"/>
        </w:rPr>
        <w:t xml:space="preserve"> The s</w:t>
      </w:r>
      <w:r w:rsidR="00894F3A" w:rsidRPr="009819CE">
        <w:rPr>
          <w:rFonts w:eastAsia="Calibri" w:cstheme="minorBidi"/>
        </w:rPr>
        <w:t>ame species infected with w</w:t>
      </w:r>
      <w:r w:rsidRPr="009819CE">
        <w:rPr>
          <w:rFonts w:eastAsia="Calibri" w:cstheme="minorBidi"/>
        </w:rPr>
        <w:t xml:space="preserve">hite </w:t>
      </w:r>
      <w:r w:rsidR="00894F3A" w:rsidRPr="009819CE">
        <w:rPr>
          <w:rFonts w:eastAsia="Calibri" w:cstheme="minorBidi"/>
        </w:rPr>
        <w:t xml:space="preserve">faeces syndrome </w:t>
      </w:r>
      <w:r w:rsidRPr="009819CE">
        <w:rPr>
          <w:rFonts w:eastAsia="Calibri" w:cstheme="minorBidi"/>
        </w:rPr>
        <w:t xml:space="preserve">(WFS) showed increased </w:t>
      </w:r>
      <w:r w:rsidRPr="009819CE">
        <w:rPr>
          <w:rFonts w:eastAsia="Calibri" w:cstheme="minorBidi"/>
          <w:i/>
          <w:iCs/>
        </w:rPr>
        <w:t>Candidatus Bacilloplasma</w:t>
      </w:r>
      <w:r w:rsidRPr="009819CE">
        <w:rPr>
          <w:rFonts w:eastAsia="Calibri" w:cstheme="minorBidi"/>
        </w:rPr>
        <w:t xml:space="preserve"> and </w:t>
      </w:r>
      <w:r w:rsidRPr="009819CE">
        <w:rPr>
          <w:rFonts w:eastAsia="Calibri" w:cstheme="minorBidi"/>
          <w:i/>
          <w:iCs/>
        </w:rPr>
        <w:t>Phascolarctobacterium</w:t>
      </w:r>
      <w:r w:rsidRPr="009819CE">
        <w:rPr>
          <w:rFonts w:eastAsia="Calibri" w:cstheme="minorBidi"/>
        </w:rPr>
        <w:t xml:space="preserve">, while </w:t>
      </w:r>
      <w:r w:rsidRPr="009819CE">
        <w:rPr>
          <w:rFonts w:eastAsia="Calibri" w:cstheme="minorBidi"/>
          <w:i/>
          <w:iCs/>
        </w:rPr>
        <w:t>Paracoccus</w:t>
      </w:r>
      <w:r w:rsidRPr="009819CE">
        <w:rPr>
          <w:rFonts w:eastAsia="Calibri" w:cstheme="minorBidi"/>
        </w:rPr>
        <w:t xml:space="preserve"> and </w:t>
      </w:r>
      <w:r w:rsidRPr="009819CE">
        <w:rPr>
          <w:rFonts w:eastAsia="Calibri" w:cstheme="minorBidi"/>
          <w:i/>
          <w:iCs/>
        </w:rPr>
        <w:t>Lactococcus</w:t>
      </w:r>
      <w:r w:rsidRPr="009819CE">
        <w:rPr>
          <w:rFonts w:eastAsia="Calibri" w:cstheme="minorBidi"/>
        </w:rPr>
        <w:t xml:space="preserve"> spp. decreased, reflecting disease severity </w:t>
      </w:r>
      <w:r w:rsidRPr="009819CE">
        <w:rPr>
          <w:rFonts w:eastAsia="Calibri" w:cstheme="minorBidi"/>
        </w:rPr>
        <w:fldChar w:fldCharType="begin"/>
      </w:r>
      <w:r w:rsidR="00ED1A9E" w:rsidRPr="009819CE">
        <w:rPr>
          <w:rFonts w:eastAsia="Calibri" w:cstheme="minorBidi"/>
        </w:rPr>
        <w:instrText xml:space="preserve"> ADDIN EN.CITE &lt;EndNote&gt;&lt;Cite&gt;&lt;Author&gt;Hou&lt;/Author&gt;&lt;Year&gt;2018&lt;/Year&gt;&lt;RecNum&gt;608&lt;/RecNum&gt;&lt;DisplayText&gt;(Hou et al., 2018)&lt;/DisplayText&gt;&lt;record&gt;&lt;rec-number&gt;608&lt;/rec-number&gt;&lt;foreign-keys&gt;&lt;key app="EN" db-id="sd9wrx9fj09rx3erprsx999o0r5aprvp2zse" timestamp="1687855901" guid="b22f03e2-a5a2-4fc1-a731-cdde26094384"&gt;608&lt;/key&gt;&lt;/foreign-keys&gt;&lt;ref-type name="Journal Article"&gt;17&lt;/ref-type&gt;&lt;contributors&gt;&lt;authors&gt;&lt;author&gt;Hou, Dongwei&lt;/author&gt;&lt;author&gt;Huang, Zhijian&lt;/author&gt;&lt;author&gt;Zeng, Shenzheng&lt;/author&gt;&lt;author&gt;Liu, Jian&lt;/author&gt;&lt;author&gt;Wei, Dongdong&lt;/author&gt;&lt;author&gt;Deng, Xisha&lt;/author&gt;&lt;author&gt;Weng, Shaoping&lt;/author&gt;&lt;author&gt;Yan, Qingyun&lt;/author&gt;&lt;author&gt;He, Jianguo&lt;/author&gt;&lt;/authors&gt;&lt;/contributors&gt;&lt;titles&gt;&lt;title&gt;Intestinal bacterial signatures of white feces syndrome in shrimp&lt;/title&gt;&lt;secondary-title&gt;Applied Microbiology and Biotechnology&lt;/secondary-title&gt;&lt;/titles&gt;&lt;periodical&gt;&lt;full-title&gt;Applied Microbiology and Biotechnology&lt;/full-title&gt;&lt;/periodical&gt;&lt;pages&gt;3701-3709&lt;/pages&gt;&lt;volume&gt;102&lt;/volume&gt;&lt;number&gt;8&lt;/number&gt;&lt;keywords&gt;&lt;keyword&gt;Biotechnology&lt;/keyword&gt;&lt;keyword&gt;Microbial Genetics and Genomics&lt;/keyword&gt;&lt;keyword&gt;Microbiology&lt;/keyword&gt;&lt;keyword&gt;Shrimp&lt;/keyword&gt;&lt;keyword&gt;White feces syndrome&lt;/keyword&gt;&lt;/keywords&gt;&lt;dates&gt;&lt;year&gt;2018&lt;/year&gt;&lt;pub-dates&gt;&lt;date&gt;2018/3//&lt;/date&gt;&lt;/pub-dates&gt;&lt;/dates&gt;&lt;publisher&gt;Springer&lt;/publisher&gt;&lt;urls&gt;&lt;related-urls&gt;&lt;url&gt;https://link.springer.com/article/10.1007/s00253-018-8855-2&lt;/url&gt;&lt;/related-urls&gt;&lt;/urls&gt;&lt;electronic-resource-num&gt;10.1007/S00253-018-8855-2&lt;/electronic-resource-num&gt;&lt;/record&gt;&lt;/Cite&gt;&lt;/EndNote&gt;</w:instrText>
      </w:r>
      <w:r w:rsidRPr="009819CE">
        <w:rPr>
          <w:rFonts w:eastAsia="Calibri" w:cstheme="minorBidi"/>
        </w:rPr>
        <w:fldChar w:fldCharType="separate"/>
      </w:r>
      <w:r w:rsidR="00D50EFF" w:rsidRPr="007268F5">
        <w:rPr>
          <w:rFonts w:eastAsia="Calibri" w:cstheme="minorBidi"/>
        </w:rPr>
        <w:t>(</w:t>
      </w:r>
      <w:hyperlink w:anchor="_ENREF_139" w:tooltip="Hou, 2018 #608" w:history="1">
        <w:r w:rsidR="00950097" w:rsidRPr="007268F5">
          <w:rPr>
            <w:rFonts w:eastAsia="Calibri" w:cstheme="minorBidi"/>
          </w:rPr>
          <w:t>Hou et al., 2018</w:t>
        </w:r>
      </w:hyperlink>
      <w:r w:rsidR="00D50EFF" w:rsidRPr="007268F5">
        <w:rPr>
          <w:rFonts w:eastAsia="Calibri" w:cstheme="minorBidi"/>
        </w:rPr>
        <w:t>)</w:t>
      </w:r>
      <w:r w:rsidRPr="009819CE">
        <w:rPr>
          <w:rFonts w:eastAsia="Calibri" w:cstheme="minorBidi"/>
        </w:rPr>
        <w:fldChar w:fldCharType="end"/>
      </w:r>
      <w:r w:rsidR="00AB2D52" w:rsidRPr="009819CE">
        <w:rPr>
          <w:rFonts w:eastAsia="Calibri" w:cstheme="minorBidi"/>
        </w:rPr>
        <w:t xml:space="preserve">. </w:t>
      </w:r>
      <w:r w:rsidRPr="009819CE">
        <w:rPr>
          <w:rFonts w:eastAsia="Calibri" w:cstheme="minorBidi"/>
        </w:rPr>
        <w:t xml:space="preserve">The rise of </w:t>
      </w:r>
      <w:r w:rsidR="00032F36" w:rsidRPr="009819CE">
        <w:rPr>
          <w:rFonts w:eastAsia="Calibri" w:cstheme="minorBidi"/>
          <w:i/>
          <w:iCs/>
        </w:rPr>
        <w:t>Candidatus Bacilloplasma</w:t>
      </w:r>
      <w:r w:rsidRPr="009819CE">
        <w:rPr>
          <w:rFonts w:eastAsia="Calibri" w:cstheme="minorBidi"/>
        </w:rPr>
        <w:t xml:space="preserve"> in WFS-infected shrimp was linked to reduced diversity, consistent with findings in WFS-infected guts </w:t>
      </w:r>
      <w:r w:rsidRPr="009819CE">
        <w:rPr>
          <w:rFonts w:eastAsia="Calibri" w:cstheme="minorBidi"/>
        </w:rPr>
        <w:fldChar w:fldCharType="begin"/>
      </w:r>
      <w:r w:rsidR="00D50EFF" w:rsidRPr="009819CE">
        <w:rPr>
          <w:rFonts w:eastAsia="Calibri" w:cstheme="minorBidi"/>
        </w:rPr>
        <w:instrText xml:space="preserve"> ADDIN EN.CITE &lt;EndNote&gt;&lt;Cite&gt;&lt;Author&gt;Huang&lt;/Author&gt;&lt;Year&gt;2020&lt;/Year&gt;&lt;RecNum&gt;812&lt;/RecNum&gt;&lt;DisplayText&gt;(Huang et al., 2020c)&lt;/DisplayText&gt;&lt;record&gt;&lt;rec-number&gt;812&lt;/rec-number&gt;&lt;foreign-keys&gt;&lt;key app="EN" db-id="sd9wrx9fj09rx3erprsx999o0r5aprvp2zse" timestamp="1687855901" guid="5297cf3b-0131-48ee-b9ec-229cd7a544d2"&gt;812&lt;/key&gt;&lt;/foreign-keys&gt;&lt;ref-type name="Journal Article"&gt;17&lt;/ref-type&gt;&lt;contributors&gt;&lt;authors&gt;&lt;author&gt;Huang, Zhijian&lt;/author&gt;&lt;author&gt;Zeng, Shenzheng&lt;/author&gt;&lt;author&gt;Xiong, Jinbo&lt;/author&gt;&lt;author&gt;Hou, Dongwei&lt;/author&gt;&lt;author&gt;Zhou, Renjun&lt;/author&gt;&lt;author&gt;Xing, Chengguang&lt;/author&gt;&lt;author&gt;Wei, Dongdong&lt;/author&gt;&lt;author&gt;Deng, Xisha&lt;/author&gt;&lt;author&gt;Yu, Lingfei&lt;/author&gt;&lt;author&gt;Wang, Hao&lt;/author&gt;&lt;author&gt;Deng, Zhixuan&lt;/author&gt;&lt;author&gt;Weng, Shaoping&lt;/author&gt;&lt;author&gt;Kriengkrai, Satapornvanit&lt;/author&gt;&lt;author&gt;Ning, Daliang&lt;/author&gt;&lt;author&gt;Zhou, Jizhong&lt;/author&gt;&lt;author&gt;He, Jianguo&lt;/author&gt;&lt;/authors&gt;&lt;/contributors&gt;&lt;titles&gt;&lt;title&gt;Microecological Koch&amp;apos;s postulates reveal that intestinal microbiota dysbiosis contributes to shrimp white feces syndrome&lt;/title&gt;&lt;secondary-title&gt;Microbiome&lt;/secondary-title&gt;&lt;/titles&gt;&lt;periodical&gt;&lt;full-title&gt;Microbiome&lt;/full-title&gt;&lt;/periodical&gt;&lt;volume&gt;8&lt;/volume&gt;&lt;number&gt;1&lt;/number&gt;&lt;keywords&gt;&lt;keyword&gt;Intestinal microbiota&lt;/keyword&gt;&lt;keyword&gt;Intestinal microbiota transplantation&lt;/keyword&gt;&lt;keyword&gt;Microecological Koch&amp;apos;s postulates&lt;/keyword&gt;&lt;keyword&gt;Pacific white shrimp&lt;/keyword&gt;&lt;keyword&gt;White feces syndrome&lt;/keyword&gt;&lt;/keywords&gt;&lt;dates&gt;&lt;year&gt;2020&lt;/year&gt;&lt;pub-dates&gt;&lt;date&gt;2020/3//&lt;/date&gt;&lt;/pub-dates&gt;&lt;/dates&gt;&lt;publisher&gt;BioMed Central Ltd.&lt;/publisher&gt;&lt;urls&gt;&lt;/urls&gt;&lt;electronic-resource-num&gt;10.1186/S40168-020-00802-3&lt;/electronic-resource-num&gt;&lt;/record&gt;&lt;/Cite&gt;&lt;/EndNote&gt;</w:instrText>
      </w:r>
      <w:r w:rsidRPr="009819CE">
        <w:rPr>
          <w:rFonts w:eastAsia="Calibri" w:cstheme="minorBidi"/>
        </w:rPr>
        <w:fldChar w:fldCharType="separate"/>
      </w:r>
      <w:r w:rsidR="00D50EFF" w:rsidRPr="009819CE">
        <w:rPr>
          <w:rFonts w:eastAsia="Calibri" w:cstheme="minorBidi"/>
        </w:rPr>
        <w:t>(</w:t>
      </w:r>
      <w:hyperlink w:anchor="_ENREF_148" w:tooltip="Huang, 2020 #812" w:history="1">
        <w:r w:rsidR="00950097" w:rsidRPr="009819CE">
          <w:rPr>
            <w:rFonts w:eastAsia="Calibri" w:cstheme="minorBidi"/>
          </w:rPr>
          <w:t>Huang et al., 2020c</w:t>
        </w:r>
      </w:hyperlink>
      <w:r w:rsidR="00D50EFF" w:rsidRPr="009819CE">
        <w:rPr>
          <w:rFonts w:eastAsia="Calibri" w:cstheme="minorBidi"/>
        </w:rPr>
        <w:t>)</w:t>
      </w:r>
      <w:r w:rsidRPr="009819CE">
        <w:rPr>
          <w:rFonts w:eastAsia="Calibri" w:cstheme="minorBidi"/>
        </w:rPr>
        <w:fldChar w:fldCharType="end"/>
      </w:r>
      <w:r w:rsidRPr="009819CE">
        <w:rPr>
          <w:rFonts w:eastAsia="Calibri" w:cstheme="minorBidi"/>
        </w:rPr>
        <w:t xml:space="preserve">. Cotton shrimp-like disease (CLS) exhibited no bacterial diversity differences, but higher richness, with increased </w:t>
      </w:r>
      <w:r w:rsidRPr="009819CE">
        <w:rPr>
          <w:rFonts w:eastAsia="Calibri" w:cstheme="minorBidi"/>
          <w:i/>
          <w:iCs/>
        </w:rPr>
        <w:t>Tenacibaculum</w:t>
      </w:r>
      <w:r w:rsidRPr="009819CE">
        <w:rPr>
          <w:rFonts w:eastAsia="Calibri" w:cstheme="minorBidi"/>
        </w:rPr>
        <w:t xml:space="preserve"> and trace </w:t>
      </w:r>
      <w:r w:rsidRPr="009819CE">
        <w:rPr>
          <w:rFonts w:eastAsia="Calibri" w:cstheme="minorBidi"/>
          <w:i/>
          <w:iCs/>
        </w:rPr>
        <w:t>Rickettsiaceae</w:t>
      </w:r>
      <w:r w:rsidRPr="009819CE">
        <w:rPr>
          <w:rFonts w:eastAsia="Calibri" w:cstheme="minorBidi"/>
        </w:rPr>
        <w:t xml:space="preserve">. Phylum-level gut microbiota resembled </w:t>
      </w:r>
      <w:r w:rsidR="00D94DC1" w:rsidRPr="00FA7D47">
        <w:rPr>
          <w:rFonts w:eastAsia="Calibri" w:cstheme="minorBidi"/>
        </w:rPr>
        <w:t>“healthy”</w:t>
      </w:r>
      <w:r w:rsidRPr="009819CE">
        <w:rPr>
          <w:rFonts w:eastAsia="Calibri" w:cstheme="minorBidi"/>
        </w:rPr>
        <w:t xml:space="preserve"> individuals, but disease-related networks showed reduced interspecies interaction </w:t>
      </w:r>
      <w:r w:rsidRPr="009819CE">
        <w:rPr>
          <w:rFonts w:eastAsia="Calibri" w:cstheme="minorBidi"/>
        </w:rPr>
        <w:fldChar w:fldCharType="begin"/>
      </w:r>
      <w:r w:rsidR="00ED1A9E" w:rsidRPr="009819CE">
        <w:rPr>
          <w:rFonts w:eastAsia="Calibri" w:cstheme="minorBidi"/>
        </w:rPr>
        <w:instrText xml:space="preserve"> ADDIN EN.CITE &lt;EndNote&gt;&lt;Cite&gt;&lt;Author&gt;Zhou&lt;/Author&gt;&lt;Year&gt;2019&lt;/Year&gt;&lt;RecNum&gt;642&lt;/RecNum&gt;&lt;DisplayText&gt;(Zhou et al., 2019)&lt;/DisplayText&gt;&lt;record&gt;&lt;rec-number&gt;642&lt;/rec-number&gt;&lt;foreign-keys&gt;&lt;key app="EN" db-id="sd9wrx9fj09rx3erprsx999o0r5aprvp2zse" timestamp="1687855901" guid="004439f6-68bf-468f-b4e2-7bac7f755d68"&gt;642&lt;/key&gt;&lt;/foreign-keys&gt;&lt;ref-type name="Journal Article"&gt;17&lt;/ref-type&gt;&lt;contributors&gt;&lt;authors&gt;&lt;author&gt;Zhou, Li&lt;/author&gt;&lt;author&gt;Chen, Chengzhuang&lt;/author&gt;&lt;author&gt;Xie, Jia&lt;/author&gt;&lt;author&gt;Xu, Chang&lt;/author&gt;&lt;author&gt;Zhao, Qun&lt;/author&gt;&lt;author&gt;Qin, Jian G.&lt;/author&gt;&lt;author&gt;Chen, Liqiao&lt;/author&gt;&lt;author&gt;Li, Erchao&lt;/author&gt;&lt;/authors&gt;&lt;/contributors&gt;&lt;titles&gt;&lt;title&gt;&lt;style face="normal" font="default" size="100%"&gt;Intestinal bacterial signatures of the “cotton shrimp-like” disease explain the change of growth performance and immune responses in Pacific white shrimp (&lt;/style&gt;&lt;style face="italic" font="default" size="100%"&gt;Litopenaeus vannamei&lt;/style&gt;&lt;style face="normal" font="default" size="100%"&gt;)&lt;/style&gt;&lt;/title&gt;&lt;secondary-title&gt;Fish and Shellfish Immunology&lt;/secondary-title&gt;&lt;/titles&gt;&lt;periodical&gt;&lt;full-title&gt;Fish and Shellfish Immunology&lt;/full-title&gt;&lt;/periodical&gt;&lt;pages&gt;629-636&lt;/pages&gt;&lt;volume&gt;92&lt;/volume&gt;&lt;keywords&gt;&lt;keyword&gt;Growth performance&lt;/keyword&gt;&lt;keyword&gt;Immune responses&lt;/keyword&gt;&lt;keyword&gt;Intestinal microbiota&lt;/keyword&gt;&lt;keyword&gt;Litopenaeus vannamei&lt;/keyword&gt;&lt;keyword&gt;“Cotton shrimp-like” disease&lt;/keyword&gt;&lt;/keywords&gt;&lt;dates&gt;&lt;year&gt;2019&lt;/year&gt;&lt;pub-dates&gt;&lt;date&gt;2019/9//&lt;/date&gt;&lt;/pub-dates&gt;&lt;/dates&gt;&lt;publisher&gt;Academic Press&lt;/publisher&gt;&lt;urls&gt;&lt;/urls&gt;&lt;electronic-resource-num&gt;10.1016/J.FSI.2019.06.054&lt;/electronic-resource-num&gt;&lt;/record&gt;&lt;/Cite&gt;&lt;/EndNote&gt;</w:instrText>
      </w:r>
      <w:r w:rsidRPr="009819CE">
        <w:rPr>
          <w:rFonts w:eastAsia="Calibri" w:cstheme="minorBidi"/>
        </w:rPr>
        <w:fldChar w:fldCharType="separate"/>
      </w:r>
      <w:r w:rsidR="00D50EFF" w:rsidRPr="007268F5">
        <w:rPr>
          <w:rFonts w:eastAsia="Calibri" w:cstheme="minorBidi"/>
        </w:rPr>
        <w:t>(</w:t>
      </w:r>
      <w:hyperlink w:anchor="_ENREF_380" w:tooltip="Zhou, 2019 #642" w:history="1">
        <w:r w:rsidR="00950097" w:rsidRPr="007268F5">
          <w:rPr>
            <w:rFonts w:eastAsia="Calibri" w:cstheme="minorBidi"/>
          </w:rPr>
          <w:t>Zhou et al., 2019</w:t>
        </w:r>
      </w:hyperlink>
      <w:r w:rsidR="00D50EFF" w:rsidRPr="007268F5">
        <w:rPr>
          <w:rFonts w:eastAsia="Calibri" w:cstheme="minorBidi"/>
        </w:rPr>
        <w:t>)</w:t>
      </w:r>
      <w:r w:rsidRPr="009819CE">
        <w:rPr>
          <w:rFonts w:eastAsia="Calibri" w:cstheme="minorBidi"/>
        </w:rPr>
        <w:fldChar w:fldCharType="end"/>
      </w:r>
      <w:r w:rsidRPr="009819CE">
        <w:rPr>
          <w:rFonts w:eastAsia="Calibri" w:cstheme="minorBidi"/>
        </w:rPr>
        <w:t xml:space="preserve">. Blue body syndrome' (BBS) in </w:t>
      </w:r>
      <w:r w:rsidR="00E94D67" w:rsidRPr="009819CE">
        <w:rPr>
          <w:rFonts w:cstheme="minorBidi"/>
        </w:rPr>
        <w:t>whiteleg shrimp</w:t>
      </w:r>
      <w:r w:rsidR="00E94D67" w:rsidRPr="009819CE">
        <w:rPr>
          <w:rFonts w:cstheme="minorBidi"/>
          <w:i/>
          <w:iCs/>
        </w:rPr>
        <w:t xml:space="preserve"> </w:t>
      </w:r>
      <w:r w:rsidR="00E94D67" w:rsidRPr="009819CE">
        <w:rPr>
          <w:rFonts w:cstheme="minorBidi"/>
        </w:rPr>
        <w:t>(</w:t>
      </w:r>
      <w:r w:rsidR="00E94D67" w:rsidRPr="009819CE">
        <w:rPr>
          <w:rFonts w:cstheme="minorBidi"/>
          <w:i/>
          <w:iCs/>
        </w:rPr>
        <w:t>Penaeus vannamei</w:t>
      </w:r>
      <w:r w:rsidR="00E94D67" w:rsidRPr="009819CE">
        <w:rPr>
          <w:rFonts w:cstheme="minorBidi"/>
        </w:rPr>
        <w:t xml:space="preserve">) </w:t>
      </w:r>
      <w:r w:rsidRPr="009819CE">
        <w:rPr>
          <w:rFonts w:eastAsia="Calibri" w:cstheme="minorBidi"/>
        </w:rPr>
        <w:t xml:space="preserve">had no discernible differences in gut composition or alpha diversity compared to </w:t>
      </w:r>
      <w:r w:rsidR="00D94DC1" w:rsidRPr="00FA7D47">
        <w:rPr>
          <w:rFonts w:eastAsia="Calibri" w:cstheme="minorBidi"/>
        </w:rPr>
        <w:t>“healthy”</w:t>
      </w:r>
      <w:r w:rsidRPr="009819CE">
        <w:rPr>
          <w:rFonts w:eastAsia="Calibri" w:cstheme="minorBidi"/>
        </w:rPr>
        <w:t xml:space="preserve"> individuals. However, </w:t>
      </w:r>
      <w:r w:rsidR="00784F57" w:rsidRPr="009819CE">
        <w:rPr>
          <w:rFonts w:eastAsia="Calibri" w:cstheme="minorBidi"/>
        </w:rPr>
        <w:t>non-metric multidimensional scaling (</w:t>
      </w:r>
      <w:r w:rsidRPr="009819CE">
        <w:rPr>
          <w:rFonts w:eastAsia="Calibri" w:cstheme="minorBidi"/>
        </w:rPr>
        <w:t>NMDS</w:t>
      </w:r>
      <w:r w:rsidR="00784F57" w:rsidRPr="009819CE">
        <w:rPr>
          <w:rFonts w:eastAsia="Calibri" w:cstheme="minorBidi"/>
        </w:rPr>
        <w:t>)</w:t>
      </w:r>
      <w:r w:rsidRPr="009819CE">
        <w:rPr>
          <w:rFonts w:eastAsia="Calibri" w:cstheme="minorBidi"/>
        </w:rPr>
        <w:t xml:space="preserve"> analysis revealed a distinct gut microbiota pattern in BBS-infected individuals, potentially indicating compromised environmental filtering </w:t>
      </w:r>
      <w:r w:rsidRPr="009819CE">
        <w:rPr>
          <w:rFonts w:eastAsia="Calibri" w:cstheme="minorBidi"/>
        </w:rPr>
        <w:fldChar w:fldCharType="begin"/>
      </w:r>
      <w:r w:rsidR="003353A0" w:rsidRPr="009819CE">
        <w:rPr>
          <w:rFonts w:eastAsia="Calibri" w:cstheme="minorBidi"/>
        </w:rPr>
        <w:instrText xml:space="preserve"> ADDIN EN.CITE &lt;EndNote&gt;&lt;Cite&gt;&lt;Author&gt;Liang&lt;/Author&gt;&lt;Year&gt;2020&lt;/Year&gt;&lt;RecNum&gt;643&lt;/RecNum&gt;&lt;DisplayText&gt;(Liang et al., 2020)&lt;/DisplayText&gt;&lt;record&gt;&lt;rec-number&gt;643&lt;/rec-number&gt;&lt;foreign-keys&gt;&lt;key app="EN" db-id="sd9wrx9fj09rx3erprsx999o0r5aprvp2zse" timestamp="1687855901" guid="40ccd1df-a88f-47e8-aeca-bebbecacf427"&gt;643&lt;/key&gt;&lt;/foreign-keys&gt;&lt;ref-type name="Journal Article"&gt;17&lt;/ref-type&gt;&lt;contributors&gt;&lt;authors&gt;&lt;author&gt;Liang, Qing Jian&lt;/author&gt;&lt;author&gt;Li, Zhong Hua&lt;/author&gt;&lt;author&gt;Ou, Mufei&lt;/author&gt;&lt;author&gt;Wu, Xu Jian&lt;/author&gt;&lt;author&gt;Qiao, Xueli&lt;/author&gt;&lt;author&gt;Wei, Wei&lt;/author&gt;&lt;author&gt;Liu, Yuan&lt;/author&gt;&lt;author&gt;Ye, Jian Min&lt;/author&gt;&lt;author&gt;Wang, Weina&lt;/author&gt;&lt;/authors&gt;&lt;/contributors&gt;&lt;titles&gt;&lt;title&gt;&lt;style face="normal" font="default" size="100%"&gt;Hypoimmunity and intestinal bacterial imbalance are closely associated with blue body syndrome in cultured &lt;/style&gt;&lt;style face="italic" font="default" size="100%"&gt;Penaeus vannamei&lt;/style&gt;&lt;/title&gt;&lt;secondary-title&gt;Aquaculture&lt;/secondary-title&gt;&lt;/titles&gt;&lt;periodical&gt;&lt;full-title&gt;Aquaculture&lt;/full-title&gt;&lt;/periodical&gt;&lt;pages&gt;735118-735118&lt;/pages&gt;&lt;volume&gt;522&lt;/volume&gt;&lt;keywords&gt;&lt;keyword&gt;Antimicrobial peptides&lt;/keyword&gt;&lt;keyword&gt;Blue body syndrome&lt;/keyword&gt;&lt;keyword&gt;Intestinal microbiota&lt;/keyword&gt;&lt;keyword&gt;Penaeus vannamei&lt;/keyword&gt;&lt;/keywords&gt;&lt;dates&gt;&lt;year&gt;2020&lt;/year&gt;&lt;pub-dates&gt;&lt;date&gt;2020/5//&lt;/date&gt;&lt;/pub-dates&gt;&lt;/dates&gt;&lt;publisher&gt;Elsevier&lt;/publisher&gt;&lt;urls&gt;&lt;/urls&gt;&lt;electronic-resource-num&gt;10.1016/J.AQUACULTURE.2020.735118&lt;/electronic-resource-num&gt;&lt;/record&gt;&lt;/Cite&gt;&lt;/EndNote&gt;</w:instrText>
      </w:r>
      <w:r w:rsidRPr="009819CE">
        <w:rPr>
          <w:rFonts w:eastAsia="Calibri" w:cstheme="minorBidi"/>
        </w:rPr>
        <w:fldChar w:fldCharType="separate"/>
      </w:r>
      <w:r w:rsidR="00D50EFF" w:rsidRPr="007268F5">
        <w:rPr>
          <w:rFonts w:eastAsia="Calibri" w:cstheme="minorBidi"/>
        </w:rPr>
        <w:t>(</w:t>
      </w:r>
      <w:hyperlink w:anchor="_ENREF_187" w:tooltip="Liang, 2020 #643" w:history="1">
        <w:r w:rsidR="00950097" w:rsidRPr="007268F5">
          <w:rPr>
            <w:rFonts w:eastAsia="Calibri" w:cstheme="minorBidi"/>
          </w:rPr>
          <w:t>Liang et al., 2020</w:t>
        </w:r>
      </w:hyperlink>
      <w:r w:rsidR="00D50EFF" w:rsidRPr="007268F5">
        <w:rPr>
          <w:rFonts w:eastAsia="Calibri" w:cstheme="minorBidi"/>
        </w:rPr>
        <w:t>)</w:t>
      </w:r>
      <w:r w:rsidRPr="009819CE">
        <w:rPr>
          <w:rFonts w:eastAsia="Calibri" w:cstheme="minorBidi"/>
        </w:rPr>
        <w:fldChar w:fldCharType="end"/>
      </w:r>
      <w:r w:rsidRPr="009819CE">
        <w:rPr>
          <w:rFonts w:eastAsia="Calibri" w:cstheme="minorBidi"/>
        </w:rPr>
        <w:t>.</w:t>
      </w:r>
    </w:p>
    <w:p w14:paraId="059CF437" w14:textId="438486CF" w:rsidR="00E54D98" w:rsidRPr="009819CE" w:rsidRDefault="00CA13E2" w:rsidP="003770F8">
      <w:pPr>
        <w:rPr>
          <w:rFonts w:eastAsia="Calibri"/>
        </w:rPr>
      </w:pPr>
      <w:r w:rsidRPr="009819CE">
        <w:rPr>
          <w:rFonts w:eastAsia="Calibri"/>
        </w:rPr>
        <w:t>Compared to</w:t>
      </w:r>
      <w:r w:rsidR="00051191" w:rsidRPr="009819CE">
        <w:rPr>
          <w:rFonts w:eastAsia="Calibri"/>
        </w:rPr>
        <w:t xml:space="preserve"> studies on</w:t>
      </w:r>
      <w:r w:rsidRPr="009819CE">
        <w:rPr>
          <w:rFonts w:eastAsia="Calibri"/>
        </w:rPr>
        <w:t xml:space="preserve"> gut </w:t>
      </w:r>
      <w:r w:rsidR="00051191" w:rsidRPr="009819CE">
        <w:rPr>
          <w:rFonts w:eastAsia="Calibri"/>
        </w:rPr>
        <w:t>microbiome</w:t>
      </w:r>
      <w:r w:rsidRPr="009819CE">
        <w:rPr>
          <w:rFonts w:eastAsia="Calibri"/>
        </w:rPr>
        <w:t xml:space="preserve">, </w:t>
      </w:r>
      <w:r w:rsidR="0096752F" w:rsidRPr="009819CE">
        <w:rPr>
          <w:rFonts w:eastAsia="Calibri"/>
        </w:rPr>
        <w:t xml:space="preserve">data on microbiome changes in the </w:t>
      </w:r>
      <w:r w:rsidRPr="009819CE">
        <w:rPr>
          <w:rFonts w:eastAsia="Calibri"/>
        </w:rPr>
        <w:t>haemolymph</w:t>
      </w:r>
      <w:r w:rsidR="0096752F" w:rsidRPr="009819CE">
        <w:rPr>
          <w:rFonts w:eastAsia="Calibri"/>
        </w:rPr>
        <w:t xml:space="preserve"> within the context of</w:t>
      </w:r>
      <w:r w:rsidRPr="009819CE">
        <w:rPr>
          <w:rFonts w:eastAsia="Calibri"/>
        </w:rPr>
        <w:t xml:space="preserve"> disease are limited. </w:t>
      </w:r>
      <w:r w:rsidR="00E54D98" w:rsidRPr="009819CE">
        <w:rPr>
          <w:rFonts w:eastAsia="Calibri"/>
        </w:rPr>
        <w:t>Research on the haemolymph microbiota of the mud crab (</w:t>
      </w:r>
      <w:r w:rsidR="00E54D98" w:rsidRPr="009819CE">
        <w:rPr>
          <w:rFonts w:eastAsia="Calibri"/>
          <w:i/>
          <w:iCs/>
        </w:rPr>
        <w:t>Scylla paramamosain</w:t>
      </w:r>
      <w:r w:rsidR="00E54D98" w:rsidRPr="009819CE">
        <w:rPr>
          <w:rFonts w:eastAsia="Calibri"/>
        </w:rPr>
        <w:t xml:space="preserve">) suggests a significant correlation between the specific composition and structure of the microbiota and the host's ability to resist pathogens </w:t>
      </w:r>
      <w:r w:rsidR="00E54D98" w:rsidRPr="009819CE">
        <w:fldChar w:fldCharType="begin"/>
      </w:r>
      <w:r w:rsidR="00E54D98" w:rsidRPr="009819CE">
        <w:instrText xml:space="preserve"> ADDIN EN.CITE &lt;EndNote&gt;&lt;Cite&gt;&lt;Author&gt;Zhang&lt;/Author&gt;&lt;Year&gt;2018&lt;/Year&gt;&lt;RecNum&gt;641&lt;/RecNum&gt;&lt;DisplayText&gt;(Zhang et al., 2018)&lt;/DisplayText&gt;&lt;record&gt;&lt;rec-number&gt;641&lt;/rec-number&gt;&lt;foreign-keys&gt;&lt;key app="EN" db-id="sd9wrx9fj09rx3erprsx999o0r5aprvp2zse" timestamp="1687855901" guid="5547930d-27f7-4231-82da-f12b2ccd4471"&gt;641&lt;/key&gt;&lt;/foreign-keys&gt;&lt;ref-type name="Journal Article"&gt;17&lt;/ref-type&gt;&lt;contributors&gt;&lt;authors&gt;&lt;author&gt;Zhang, Xinxu&lt;/author&gt;&lt;author&gt;Sun, Zaiqiao&lt;/author&gt;&lt;author&gt;Zhang, Xusheng&lt;/author&gt;&lt;author&gt;Zhang, Ming&lt;/author&gt;&lt;author&gt;Li, Shengkang&lt;/author&gt;&lt;/authors&gt;&lt;/contributors&gt;&lt;titles&gt;&lt;title&gt;Hemolymph microbiomes of three aquatic invertebrates as revealed by a new cell extraction method&lt;/title&gt;&lt;secondary-title&gt;Applied and Environmental Microbiology&lt;/secondary-title&gt;&lt;/titles&gt;&lt;periodical&gt;&lt;full-title&gt;Applied and Environmental Microbiology&lt;/full-title&gt;&lt;/periodical&gt;&lt;volume&gt;84&lt;/volume&gt;&lt;number&gt;8&lt;/number&gt;&lt;keywords&gt;&lt;keyword&gt;Aquatic invertebrates&lt;/keyword&gt;&lt;keyword&gt;Cell extraction&lt;/keyword&gt;&lt;keyword&gt;Hemolymph&lt;/keyword&gt;&lt;keyword&gt;Microbiome&lt;/keyword&gt;&lt;/keywords&gt;&lt;dates&gt;&lt;year&gt;2018&lt;/year&gt;&lt;pub-dates&gt;&lt;date&gt;2018/4//&lt;/date&gt;&lt;/pub-dates&gt;&lt;/dates&gt;&lt;publisher&gt;American Society for Microbiology&lt;/publisher&gt;&lt;urls&gt;&lt;related-urls&gt;&lt;url&gt;https://journals.asm.org/doi/abs/10.1128/AEM.02824-17&lt;/url&gt;&lt;/related-urls&gt;&lt;/urls&gt;&lt;electronic-resource-num&gt;10.1128/AEM.02824-17/SUPPL_FILE/ZAM008188443S1.PDF&lt;/electronic-resource-num&gt;&lt;/record&gt;&lt;/Cite&gt;&lt;/EndNote&gt;</w:instrText>
      </w:r>
      <w:r w:rsidR="00E54D98" w:rsidRPr="009819CE">
        <w:fldChar w:fldCharType="separate"/>
      </w:r>
      <w:r w:rsidR="00E54D98" w:rsidRPr="009819CE">
        <w:t>(</w:t>
      </w:r>
      <w:hyperlink w:anchor="_ENREF_374" w:tooltip="Zhang, 2018 #641" w:history="1">
        <w:r w:rsidR="00950097" w:rsidRPr="009819CE">
          <w:t>Zhang et al., 2018</w:t>
        </w:r>
      </w:hyperlink>
      <w:r w:rsidR="00E54D98" w:rsidRPr="009819CE">
        <w:t>)</w:t>
      </w:r>
      <w:r w:rsidR="00E54D98" w:rsidRPr="009819CE">
        <w:fldChar w:fldCharType="end"/>
      </w:r>
      <w:r w:rsidR="00E54D98" w:rsidRPr="009819CE">
        <w:t xml:space="preserve">. </w:t>
      </w:r>
      <w:r w:rsidR="00E54D98" w:rsidRPr="009819CE">
        <w:rPr>
          <w:rFonts w:eastAsia="Calibri"/>
        </w:rPr>
        <w:t>Similarly, the microbiota structure within the h</w:t>
      </w:r>
      <w:r w:rsidR="00014BB5" w:rsidRPr="009819CE">
        <w:rPr>
          <w:rFonts w:eastAsia="Calibri"/>
        </w:rPr>
        <w:t>a</w:t>
      </w:r>
      <w:r w:rsidR="00E54D98" w:rsidRPr="009819CE">
        <w:rPr>
          <w:rFonts w:eastAsia="Calibri"/>
        </w:rPr>
        <w:t>emolymph of the Chinese mitten crab (</w:t>
      </w:r>
      <w:r w:rsidR="00E54D98" w:rsidRPr="009819CE">
        <w:rPr>
          <w:rFonts w:eastAsia="Calibri"/>
          <w:i/>
          <w:iCs/>
        </w:rPr>
        <w:t>Eriocheir sinensis</w:t>
      </w:r>
      <w:r w:rsidR="00E54D98" w:rsidRPr="009819CE">
        <w:rPr>
          <w:rFonts w:eastAsia="Calibri"/>
        </w:rPr>
        <w:t xml:space="preserve">) was observed to change in response to external pathogens, resulting in the disappearance or emergence of specific bacterial taxa </w:t>
      </w:r>
      <w:r w:rsidR="00E54D98" w:rsidRPr="009819CE">
        <w:fldChar w:fldCharType="begin"/>
      </w:r>
      <w:r w:rsidR="00ED1A9E" w:rsidRPr="009819CE">
        <w:instrText xml:space="preserve"> ADDIN EN.CITE &lt;EndNote&gt;&lt;Cite&gt;&lt;Author&gt;Kong&lt;/Author&gt;&lt;Year&gt;2023&lt;/Year&gt;&lt;RecNum&gt;1934&lt;/RecNum&gt;&lt;DisplayText&gt;(Kong et al., 2023)&lt;/DisplayText&gt;&lt;record&gt;&lt;rec-number&gt;1934&lt;/rec-number&gt;&lt;foreign-keys&gt;&lt;key app="EN" db-id="sd9wrx9fj09rx3erprsx999o0r5aprvp2zse" timestamp="1720522090" guid="5129fded-cbc3-4891-b971-1d841e39c681"&gt;1934&lt;/key&gt;&lt;/foreign-keys&gt;&lt;ref-type name="Journal Article"&gt;17&lt;/ref-type&gt;&lt;contributors&gt;&lt;authors&gt;&lt;author&gt;Kong, Tongtong&lt;/author&gt;&lt;author&gt;Fan, Xinyue&lt;/author&gt;&lt;author&gt;Tran, Ngoc Tuan&lt;/author&gt;&lt;/authors&gt;&lt;/contributors&gt;&lt;titles&gt;&lt;title&gt;&lt;style face="normal" font="default" size="100%"&gt;Changes in haemolymph microbiota of Chinese mitten crab (&lt;/style&gt;&lt;style face="italic" font="default" size="100%"&gt;Eriocheir sinensis&lt;/style&gt;&lt;style face="normal" font="default" size="100%"&gt;) in response to&lt;/style&gt;&lt;style face="italic" font="default" size="100%"&gt; Aeromonas hydrophila &lt;/style&gt;&lt;style face="normal" font="default" size="100%"&gt;or &lt;/style&gt;&lt;style face="italic" font="default" size="100%"&gt;Staphylococcus aureus&lt;/style&gt;&lt;style face="normal" font="default" size="100%"&gt; infection&lt;/style&gt;&lt;/title&gt;&lt;secondary-title&gt;Animals&lt;/secondary-title&gt;&lt;/titles&gt;&lt;periodical&gt;&lt;full-title&gt;Animals&lt;/full-title&gt;&lt;/periodical&gt;&lt;pages&gt;3058&lt;/pages&gt;&lt;volume&gt;13&lt;/volume&gt;&lt;number&gt;19&lt;/number&gt;&lt;dates&gt;&lt;year&gt;2023&lt;/year&gt;&lt;/dates&gt;&lt;isbn&gt;2076-2615&lt;/isbn&gt;&lt;accession-num&gt;doi:10.3390/ani13193058&lt;/accession-num&gt;&lt;urls&gt;&lt;related-urls&gt;&lt;url&gt;https://www.mdpi.com/2076-2615/13/19/3058&lt;/url&gt;&lt;url&gt;https://www.ncbi.nlm.nih.gov/pmc/articles/PMC10571569/pdf/animals-13-03058.pdf&lt;/url&gt;&lt;/related-urls&gt;&lt;/urls&gt;&lt;/record&gt;&lt;/Cite&gt;&lt;/EndNote&gt;</w:instrText>
      </w:r>
      <w:r w:rsidR="00E54D98" w:rsidRPr="009819CE">
        <w:fldChar w:fldCharType="separate"/>
      </w:r>
      <w:r w:rsidR="00E54D98" w:rsidRPr="007268F5">
        <w:t>(</w:t>
      </w:r>
      <w:hyperlink w:anchor="_ENREF_166" w:tooltip="Kong, 2023 #1934" w:history="1">
        <w:r w:rsidR="00950097" w:rsidRPr="007268F5">
          <w:t>Kong et al., 2023</w:t>
        </w:r>
      </w:hyperlink>
      <w:r w:rsidR="00E54D98" w:rsidRPr="007268F5">
        <w:t>)</w:t>
      </w:r>
      <w:r w:rsidR="00E54D98" w:rsidRPr="009819CE">
        <w:fldChar w:fldCharType="end"/>
      </w:r>
      <w:r w:rsidR="00E54D98" w:rsidRPr="009819CE">
        <w:t xml:space="preserve">. </w:t>
      </w:r>
      <w:r w:rsidR="00E54D98" w:rsidRPr="009819CE">
        <w:rPr>
          <w:rFonts w:eastAsia="Calibri"/>
        </w:rPr>
        <w:t xml:space="preserve">These findings </w:t>
      </w:r>
      <w:r w:rsidR="00A338C7" w:rsidRPr="009819CE">
        <w:rPr>
          <w:rFonts w:eastAsia="Calibri"/>
        </w:rPr>
        <w:t>mirror</w:t>
      </w:r>
      <w:r w:rsidR="00E54D98" w:rsidRPr="009819CE">
        <w:rPr>
          <w:rFonts w:eastAsia="Calibri"/>
        </w:rPr>
        <w:t xml:space="preserve"> an earlier study where the gut microbiota of the mud crab (</w:t>
      </w:r>
      <w:r w:rsidR="00E54D98" w:rsidRPr="009819CE">
        <w:rPr>
          <w:rFonts w:eastAsia="Calibri"/>
          <w:i/>
          <w:iCs/>
        </w:rPr>
        <w:t>Scylla paramamosain</w:t>
      </w:r>
      <w:r w:rsidR="00E54D98" w:rsidRPr="009819CE">
        <w:rPr>
          <w:rFonts w:eastAsia="Calibri"/>
        </w:rPr>
        <w:t xml:space="preserve">) was also affected following challenges with WSSV or </w:t>
      </w:r>
      <w:r w:rsidR="00E54D98" w:rsidRPr="009819CE">
        <w:rPr>
          <w:rFonts w:eastAsia="Calibri"/>
          <w:i/>
          <w:iCs/>
        </w:rPr>
        <w:t>Aeromonas hydrophila</w:t>
      </w:r>
      <w:r w:rsidR="00E54D98" w:rsidRPr="009819CE">
        <w:rPr>
          <w:rFonts w:eastAsia="Calibri"/>
        </w:rPr>
        <w:t xml:space="preserve"> </w:t>
      </w:r>
      <w:r w:rsidR="00E54D98" w:rsidRPr="009819CE">
        <w:fldChar w:fldCharType="begin"/>
      </w:r>
      <w:r w:rsidR="00836889" w:rsidRPr="009819CE">
        <w:instrText xml:space="preserve"> ADDIN EN.CITE &lt;EndNote&gt;&lt;Cite&gt;&lt;Author&gt;Lin&lt;/Author&gt;&lt;Year&gt;2020&lt;/Year&gt;&lt;RecNum&gt;1935&lt;/RecNum&gt;&lt;DisplayText&gt;(Lin et al., 2020)&lt;/DisplayText&gt;&lt;record&gt;&lt;rec-number&gt;1935&lt;/rec-number&gt;&lt;foreign-keys&gt;&lt;key app="EN" db-id="sd9wrx9fj09rx3erprsx999o0r5aprvp2zse" timestamp="1720523346" guid="7a11bc05-8f8c-4aa5-89b8-6784f4bb3b7c"&gt;1935&lt;/key&gt;&lt;/foreign-keys&gt;&lt;ref-type name="Journal Article"&gt;17&lt;/ref-type&gt;&lt;contributors&gt;&lt;authors&gt;&lt;author&gt;Lin, Shanmeng&lt;/author&gt;&lt;author&gt;Kong, Tongtong&lt;/author&gt;&lt;author&gt;Ren, Xin&lt;/author&gt;&lt;author&gt;Li, Shengkang&lt;/author&gt;&lt;author&gt;Gong, Yi&lt;/author&gt;&lt;/authors&gt;&lt;/contributors&gt;&lt;titles&gt;&lt;title&gt;&lt;style face="normal" font="default" size="100%"&gt;Elucidation of Gut Microbiota in Mud Crab &lt;/style&gt;&lt;style face="italic" font="default" size="100%"&gt;Scylla paramamosain &lt;/style&gt;&lt;style face="normal" font="default" size="100%"&gt;Challenged to WSSV and &lt;/style&gt;&lt;style face="italic" font="default" size="100%"&gt;Aeromonas hydrophila&lt;/style&gt;&lt;/title&gt;&lt;secondary-title&gt;Marine Biotechnology&lt;/secondary-title&gt;&lt;/titles&gt;&lt;periodical&gt;&lt;full-title&gt;Marine Biotechnology&lt;/full-title&gt;&lt;/periodical&gt;&lt;pages&gt;661-672&lt;/pages&gt;&lt;volume&gt;22&lt;/volume&gt;&lt;number&gt;5&lt;/number&gt;&lt;dates&gt;&lt;year&gt;2020&lt;/year&gt;&lt;pub-dates&gt;&lt;date&gt;2020/10/01&lt;/date&gt;&lt;/pub-dates&gt;&lt;/dates&gt;&lt;isbn&gt;1436-2236&lt;/isbn&gt;&lt;urls&gt;&lt;related-urls&gt;&lt;url&gt;https://doi.org/10.1007/s10126-020-09987-y&lt;/url&gt;&lt;url&gt;https://link.springer.com/article/10.1007/s10126-020-09987-y&lt;/url&gt;&lt;/related-urls&gt;&lt;/urls&gt;&lt;electronic-resource-num&gt;10.1007/s10126-020-09987-y&lt;/electronic-resource-num&gt;&lt;/record&gt;&lt;/Cite&gt;&lt;/EndNote&gt;</w:instrText>
      </w:r>
      <w:r w:rsidR="00E54D98" w:rsidRPr="009819CE">
        <w:fldChar w:fldCharType="separate"/>
      </w:r>
      <w:r w:rsidR="00E54D98" w:rsidRPr="007268F5">
        <w:t>(</w:t>
      </w:r>
      <w:hyperlink w:anchor="_ENREF_189" w:tooltip="Lin, 2020 #1935" w:history="1">
        <w:r w:rsidR="00950097" w:rsidRPr="007268F5">
          <w:t>Lin et al., 2020</w:t>
        </w:r>
      </w:hyperlink>
      <w:r w:rsidR="00E54D98" w:rsidRPr="007268F5">
        <w:t>)</w:t>
      </w:r>
      <w:r w:rsidR="00E54D98" w:rsidRPr="009819CE">
        <w:fldChar w:fldCharType="end"/>
      </w:r>
      <w:r w:rsidR="00E54D98" w:rsidRPr="009819CE">
        <w:t>.</w:t>
      </w:r>
    </w:p>
    <w:p w14:paraId="217E3715" w14:textId="7321EC8A" w:rsidR="00376CAF" w:rsidRPr="009819CE" w:rsidRDefault="00CA13E2" w:rsidP="00376CAF">
      <w:pPr>
        <w:rPr>
          <w:rFonts w:cstheme="minorBidi"/>
        </w:rPr>
      </w:pPr>
      <w:r w:rsidRPr="009819CE">
        <w:rPr>
          <w:rFonts w:cstheme="minorBidi"/>
        </w:rPr>
        <w:t xml:space="preserve">In conclusion, microbiome exploration in </w:t>
      </w:r>
      <w:r w:rsidR="008C39E9" w:rsidRPr="009819CE">
        <w:rPr>
          <w:rFonts w:cstheme="minorBidi"/>
        </w:rPr>
        <w:t>Norway lobster (</w:t>
      </w:r>
      <w:r w:rsidR="00C31E47" w:rsidRPr="009819CE">
        <w:rPr>
          <w:rFonts w:cstheme="minorBidi"/>
          <w:i/>
          <w:iCs/>
        </w:rPr>
        <w:t>Nephrops</w:t>
      </w:r>
      <w:r w:rsidRPr="009819CE">
        <w:rPr>
          <w:rFonts w:cstheme="minorBidi"/>
        </w:rPr>
        <w:t xml:space="preserve"> </w:t>
      </w:r>
      <w:r w:rsidR="008C39E9" w:rsidRPr="009819CE">
        <w:rPr>
          <w:rFonts w:cstheme="minorBidi"/>
          <w:i/>
          <w:iCs/>
        </w:rPr>
        <w:t>norvegicus</w:t>
      </w:r>
      <w:r w:rsidR="008C39E9" w:rsidRPr="009819CE">
        <w:rPr>
          <w:rFonts w:cstheme="minorBidi"/>
        </w:rPr>
        <w:t xml:space="preserve">) </w:t>
      </w:r>
      <w:r w:rsidRPr="009819CE">
        <w:rPr>
          <w:rFonts w:cstheme="minorBidi"/>
        </w:rPr>
        <w:t xml:space="preserve">haemolymph and gut using High-Throughput Sequencing (HTS) technology remains largely </w:t>
      </w:r>
      <w:r w:rsidR="003C443B" w:rsidRPr="009819CE">
        <w:rPr>
          <w:rFonts w:cstheme="minorBidi"/>
        </w:rPr>
        <w:t>unknown</w:t>
      </w:r>
      <w:r w:rsidRPr="009819CE">
        <w:rPr>
          <w:rFonts w:cstheme="minorBidi"/>
        </w:rPr>
        <w:t xml:space="preserve">. </w:t>
      </w:r>
      <w:r w:rsidR="00B67966" w:rsidRPr="009819CE">
        <w:rPr>
          <w:rFonts w:cstheme="minorBidi"/>
        </w:rPr>
        <w:t xml:space="preserve">Despite extensive studies on microbiomes in various crustacean hosts, specific microbial associates within the haemolymph and gut of </w:t>
      </w:r>
      <w:r w:rsidR="00C31E47" w:rsidRPr="009819CE">
        <w:rPr>
          <w:rFonts w:cstheme="minorBidi"/>
          <w:i/>
          <w:iCs/>
        </w:rPr>
        <w:t>Nephrops</w:t>
      </w:r>
      <w:r w:rsidR="00B67966" w:rsidRPr="009819CE">
        <w:rPr>
          <w:rFonts w:cstheme="minorBidi"/>
        </w:rPr>
        <w:t xml:space="preserve">, including interactions with </w:t>
      </w:r>
      <w:r w:rsidR="009D03F4" w:rsidRPr="009819CE">
        <w:rPr>
          <w:rFonts w:cstheme="minorBidi"/>
          <w:i/>
          <w:iCs/>
        </w:rPr>
        <w:t>Hematodinium</w:t>
      </w:r>
      <w:r w:rsidR="00B67966" w:rsidRPr="009819CE">
        <w:rPr>
          <w:rFonts w:cstheme="minorBidi"/>
        </w:rPr>
        <w:t xml:space="preserve"> sp., have yet to be comprehensively examined using advanced technology.</w:t>
      </w:r>
      <w:bookmarkStart w:id="167" w:name="_Toc94799267"/>
    </w:p>
    <w:p w14:paraId="3285C767" w14:textId="292F9545" w:rsidR="00CA13E2" w:rsidRPr="009819CE" w:rsidRDefault="00CA13E2" w:rsidP="00CA13E2">
      <w:pPr>
        <w:pStyle w:val="Heading2"/>
        <w:rPr>
          <w:rFonts w:cstheme="minorBidi"/>
        </w:rPr>
      </w:pPr>
      <w:bookmarkStart w:id="168" w:name="_Toc204106609"/>
      <w:r w:rsidRPr="009819CE">
        <w:rPr>
          <w:rFonts w:cstheme="minorBidi"/>
        </w:rPr>
        <w:t xml:space="preserve">Aims </w:t>
      </w:r>
      <w:bookmarkEnd w:id="167"/>
      <w:r w:rsidRPr="009819CE">
        <w:rPr>
          <w:rFonts w:cstheme="minorBidi"/>
        </w:rPr>
        <w:t>and objectives</w:t>
      </w:r>
      <w:bookmarkEnd w:id="168"/>
    </w:p>
    <w:p w14:paraId="513F7BAE" w14:textId="50A36F59" w:rsidR="00CA13E2" w:rsidRPr="009819CE" w:rsidRDefault="00CA13E2" w:rsidP="00CA13E2">
      <w:pPr>
        <w:spacing w:before="0" w:after="0"/>
        <w:rPr>
          <w:rFonts w:cstheme="minorBidi"/>
        </w:rPr>
      </w:pPr>
      <w:r w:rsidRPr="009819CE">
        <w:rPr>
          <w:rFonts w:cstheme="minorBidi"/>
        </w:rPr>
        <w:t xml:space="preserve">Since the 1980s, the parasitic dinoflagellate </w:t>
      </w:r>
      <w:r w:rsidR="009D03F4" w:rsidRPr="009819CE">
        <w:rPr>
          <w:rFonts w:cstheme="minorBidi"/>
          <w:i/>
        </w:rPr>
        <w:t>Hematodinium</w:t>
      </w:r>
      <w:r w:rsidRPr="009819CE">
        <w:rPr>
          <w:rFonts w:cstheme="minorBidi"/>
        </w:rPr>
        <w:t xml:space="preserve"> sp. has been identified as </w:t>
      </w:r>
      <w:r w:rsidR="003032D4" w:rsidRPr="00FA7D47">
        <w:rPr>
          <w:rFonts w:cstheme="minorBidi"/>
        </w:rPr>
        <w:t xml:space="preserve"> a driver of </w:t>
      </w:r>
      <w:r w:rsidR="00CE0EF4" w:rsidRPr="009819CE">
        <w:rPr>
          <w:rFonts w:cstheme="minorBidi"/>
        </w:rPr>
        <w:t xml:space="preserve">mortality </w:t>
      </w:r>
      <w:r w:rsidRPr="009819CE">
        <w:rPr>
          <w:rFonts w:cstheme="minorBidi"/>
        </w:rPr>
        <w:t xml:space="preserve">in wild populations of </w:t>
      </w:r>
      <w:r w:rsidR="00C31E47" w:rsidRPr="009819CE">
        <w:rPr>
          <w:rFonts w:cstheme="minorBidi"/>
          <w:i/>
        </w:rPr>
        <w:t>Nephrops</w:t>
      </w:r>
      <w:r w:rsidRPr="009819CE">
        <w:rPr>
          <w:rFonts w:cstheme="minorBidi"/>
          <w:i/>
        </w:rPr>
        <w:t xml:space="preserve"> </w:t>
      </w:r>
      <w:r w:rsidRPr="009819CE">
        <w:rPr>
          <w:rFonts w:cstheme="minorBidi"/>
        </w:rPr>
        <w:t>in the Clyde Sea Area (CSA). Since the last sampling a decade ago</w:t>
      </w:r>
      <w:r w:rsidR="00087DB5" w:rsidRPr="009819CE">
        <w:rPr>
          <w:rFonts w:cstheme="minorBidi"/>
        </w:rPr>
        <w:t xml:space="preserve"> </w:t>
      </w:r>
      <w:r w:rsidR="006B7F76" w:rsidRPr="009819CE">
        <w:rPr>
          <w:rFonts w:cstheme="minorBidi"/>
        </w:rPr>
        <w:fldChar w:fldCharType="begin"/>
      </w:r>
      <w:r w:rsidR="001976BB" w:rsidRPr="009819CE">
        <w:rPr>
          <w:rFonts w:cstheme="minorBidi"/>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6B7F76" w:rsidRPr="009819CE">
        <w:rPr>
          <w:rFonts w:cstheme="minorBidi"/>
        </w:rPr>
        <w:fldChar w:fldCharType="separate"/>
      </w:r>
      <w:r w:rsidR="00A8698B" w:rsidRPr="007268F5">
        <w:rPr>
          <w:rFonts w:cstheme="minorBidi"/>
        </w:rPr>
        <w:t>(</w:t>
      </w:r>
      <w:hyperlink w:anchor="_ENREF_29" w:tooltip="Beevers, 2012 #377" w:history="1">
        <w:r w:rsidR="00950097" w:rsidRPr="007268F5">
          <w:rPr>
            <w:rFonts w:cstheme="minorBidi"/>
          </w:rPr>
          <w:t>Beevers et al., 2012</w:t>
        </w:r>
      </w:hyperlink>
      <w:r w:rsidR="00A8698B" w:rsidRPr="007268F5">
        <w:rPr>
          <w:rFonts w:cstheme="minorBidi"/>
        </w:rPr>
        <w:t>)</w:t>
      </w:r>
      <w:r w:rsidR="006B7F76" w:rsidRPr="009819CE">
        <w:rPr>
          <w:rFonts w:cstheme="minorBidi"/>
        </w:rPr>
        <w:fldChar w:fldCharType="end"/>
      </w:r>
      <w:r w:rsidRPr="009819CE">
        <w:rPr>
          <w:rFonts w:cstheme="minorBidi"/>
        </w:rPr>
        <w:t xml:space="preserve">, there </w:t>
      </w:r>
      <w:r w:rsidR="0069308F" w:rsidRPr="00FA7D47">
        <w:rPr>
          <w:rFonts w:cstheme="minorBidi"/>
        </w:rPr>
        <w:t xml:space="preserve">has been </w:t>
      </w:r>
      <w:r w:rsidRPr="009819CE">
        <w:rPr>
          <w:rFonts w:cstheme="minorBidi"/>
        </w:rPr>
        <w:t xml:space="preserve">a lack of updated information on the prevalence of </w:t>
      </w:r>
      <w:r w:rsidR="009D03F4" w:rsidRPr="009819CE">
        <w:rPr>
          <w:rFonts w:cstheme="minorBidi"/>
          <w:i/>
          <w:iCs/>
        </w:rPr>
        <w:t>Hematodinium</w:t>
      </w:r>
      <w:r w:rsidRPr="009819CE">
        <w:rPr>
          <w:rFonts w:cstheme="minorBidi"/>
        </w:rPr>
        <w:t xml:space="preserve"> sp. infection in </w:t>
      </w:r>
      <w:r w:rsidR="00C31E47" w:rsidRPr="009819CE">
        <w:rPr>
          <w:rFonts w:cstheme="minorBidi"/>
          <w:i/>
          <w:iCs/>
        </w:rPr>
        <w:t>Nephrops</w:t>
      </w:r>
      <w:r w:rsidRPr="009819CE">
        <w:rPr>
          <w:rFonts w:cstheme="minorBidi"/>
        </w:rPr>
        <w:t xml:space="preserve"> populations within the CSA. It is key to determine if the infection is still present, and if so, whether its prevalence has increased, decreased, or remained stable over time. </w:t>
      </w:r>
    </w:p>
    <w:p w14:paraId="2E3B028F" w14:textId="01F81313" w:rsidR="00CA13E2" w:rsidRPr="009819CE" w:rsidRDefault="00CA13E2" w:rsidP="00CA13E2">
      <w:pPr>
        <w:spacing w:before="0" w:after="0"/>
        <w:rPr>
          <w:rFonts w:cstheme="minorBidi"/>
          <w:color w:val="FF0000"/>
        </w:rPr>
      </w:pPr>
      <w:r w:rsidRPr="009819CE">
        <w:rPr>
          <w:rFonts w:cstheme="minorBidi"/>
        </w:rPr>
        <w:t>Host-parasite interactions involve host</w:t>
      </w:r>
      <w:r w:rsidR="00BD44BE" w:rsidRPr="009819CE">
        <w:rPr>
          <w:rFonts w:cstheme="minorBidi"/>
        </w:rPr>
        <w:t>,</w:t>
      </w:r>
      <w:r w:rsidRPr="009819CE">
        <w:rPr>
          <w:rFonts w:cstheme="minorBidi"/>
        </w:rPr>
        <w:t xml:space="preserve"> </w:t>
      </w:r>
      <w:r w:rsidR="00BD44BE" w:rsidRPr="009819CE">
        <w:rPr>
          <w:rFonts w:cstheme="minorBidi"/>
        </w:rPr>
        <w:t xml:space="preserve">microorganisms </w:t>
      </w:r>
      <w:r w:rsidRPr="009819CE">
        <w:rPr>
          <w:rFonts w:cstheme="minorBidi"/>
        </w:rPr>
        <w:t xml:space="preserve">and parasite-associated microorganisms that contribute to phenotypic changes. Understanding the role of </w:t>
      </w:r>
      <w:r w:rsidR="00C06436" w:rsidRPr="009819CE">
        <w:rPr>
          <w:rFonts w:cstheme="minorBidi"/>
        </w:rPr>
        <w:t xml:space="preserve">the </w:t>
      </w:r>
      <w:r w:rsidRPr="009819CE">
        <w:rPr>
          <w:rFonts w:cstheme="minorBidi"/>
        </w:rPr>
        <w:t xml:space="preserve">microbiome, including investigating the pathobiome associated with </w:t>
      </w:r>
      <w:r w:rsidR="009D03F4" w:rsidRPr="009819CE">
        <w:rPr>
          <w:rFonts w:cstheme="minorBidi"/>
          <w:i/>
          <w:iCs/>
        </w:rPr>
        <w:t>Hematodinium</w:t>
      </w:r>
      <w:r w:rsidRPr="009819CE">
        <w:rPr>
          <w:rFonts w:cstheme="minorBidi"/>
        </w:rPr>
        <w:t xml:space="preserve"> sp. infection in </w:t>
      </w:r>
      <w:r w:rsidR="00C31E47" w:rsidRPr="009819CE">
        <w:rPr>
          <w:rFonts w:cstheme="minorBidi"/>
          <w:i/>
          <w:iCs/>
        </w:rPr>
        <w:t>Nephrops</w:t>
      </w:r>
      <w:r w:rsidRPr="009819CE">
        <w:rPr>
          <w:rFonts w:cstheme="minorBidi"/>
        </w:rPr>
        <w:t xml:space="preserve">, is crucial for comprehending </w:t>
      </w:r>
      <w:r w:rsidR="00E92B85" w:rsidRPr="009819CE">
        <w:rPr>
          <w:rFonts w:cstheme="minorBidi"/>
        </w:rPr>
        <w:t>disease progression</w:t>
      </w:r>
      <w:r w:rsidRPr="009819CE">
        <w:rPr>
          <w:rFonts w:cstheme="minorBidi"/>
        </w:rPr>
        <w:t xml:space="preserve">. To understand </w:t>
      </w:r>
      <w:r w:rsidR="009D03F4" w:rsidRPr="009819CE">
        <w:rPr>
          <w:rFonts w:cstheme="minorBidi"/>
          <w:i/>
          <w:iCs/>
        </w:rPr>
        <w:t>Hematodinium</w:t>
      </w:r>
      <w:r w:rsidRPr="009819CE">
        <w:rPr>
          <w:rFonts w:cstheme="minorBidi"/>
        </w:rPr>
        <w:t xml:space="preserve"> sp. infection in </w:t>
      </w:r>
      <w:r w:rsidR="00C31E47" w:rsidRPr="009819CE">
        <w:rPr>
          <w:rFonts w:cstheme="minorBidi"/>
          <w:i/>
          <w:iCs/>
        </w:rPr>
        <w:t>Nephrops</w:t>
      </w:r>
      <w:r w:rsidRPr="009819CE">
        <w:rPr>
          <w:rFonts w:cstheme="minorBidi"/>
        </w:rPr>
        <w:t xml:space="preserve">, it is necessary to establish the </w:t>
      </w:r>
      <w:r w:rsidR="00D94DC1" w:rsidRPr="00FA7D47">
        <w:rPr>
          <w:rFonts w:cstheme="minorBidi"/>
        </w:rPr>
        <w:t>“healthy”</w:t>
      </w:r>
      <w:r w:rsidRPr="009819CE">
        <w:rPr>
          <w:rFonts w:cstheme="minorBidi"/>
        </w:rPr>
        <w:t xml:space="preserve"> bacterial baseline microbiome in the host. This baseline knowledge will serve as a reference for identifying changes in the microbiome composition caused by </w:t>
      </w:r>
      <w:r w:rsidR="009D03F4" w:rsidRPr="009819CE">
        <w:rPr>
          <w:rFonts w:cstheme="minorBidi"/>
          <w:i/>
          <w:iCs/>
        </w:rPr>
        <w:t>Hematodinium</w:t>
      </w:r>
      <w:r w:rsidRPr="009819CE">
        <w:rPr>
          <w:rFonts w:cstheme="minorBidi"/>
        </w:rPr>
        <w:t xml:space="preserve"> sp. infection and its potential implications for host health. </w:t>
      </w:r>
    </w:p>
    <w:p w14:paraId="09EEF4CC" w14:textId="20A9CD1E" w:rsidR="00CA13E2" w:rsidRPr="009819CE" w:rsidRDefault="00CA13E2" w:rsidP="00CA13E2">
      <w:pPr>
        <w:spacing w:before="0" w:after="0"/>
        <w:rPr>
          <w:rFonts w:cstheme="minorBidi"/>
        </w:rPr>
      </w:pPr>
      <w:r w:rsidRPr="009819CE">
        <w:rPr>
          <w:rFonts w:cstheme="minorBidi"/>
        </w:rPr>
        <w:t xml:space="preserve">While it is known that </w:t>
      </w:r>
      <w:r w:rsidR="009D03F4" w:rsidRPr="009819CE">
        <w:rPr>
          <w:rFonts w:cstheme="minorBidi"/>
          <w:i/>
          <w:iCs/>
        </w:rPr>
        <w:t>Hematodinium</w:t>
      </w:r>
      <w:r w:rsidRPr="009819CE">
        <w:rPr>
          <w:rFonts w:cstheme="minorBidi"/>
        </w:rPr>
        <w:t xml:space="preserve"> significantly depletes the nutrients of its host to fuel its own growth, </w:t>
      </w:r>
      <w:r w:rsidR="00C06436" w:rsidRPr="009819CE">
        <w:rPr>
          <w:rFonts w:cstheme="minorBidi"/>
        </w:rPr>
        <w:t xml:space="preserve">understanding </w:t>
      </w:r>
      <w:r w:rsidRPr="009819CE">
        <w:rPr>
          <w:rFonts w:cstheme="minorBidi"/>
        </w:rPr>
        <w:t xml:space="preserve">the lipid metabolic interconnections between </w:t>
      </w:r>
      <w:r w:rsidR="00C31E47" w:rsidRPr="009819CE">
        <w:rPr>
          <w:rFonts w:cstheme="minorBidi"/>
          <w:i/>
          <w:iCs/>
        </w:rPr>
        <w:t>Nephrops</w:t>
      </w:r>
      <w:r w:rsidRPr="009819CE">
        <w:rPr>
          <w:rFonts w:cstheme="minorBidi"/>
        </w:rPr>
        <w:t xml:space="preserve"> and </w:t>
      </w:r>
      <w:r w:rsidR="009D03F4" w:rsidRPr="009819CE">
        <w:rPr>
          <w:rFonts w:cstheme="minorBidi"/>
          <w:i/>
          <w:iCs/>
        </w:rPr>
        <w:t>Hematodinium</w:t>
      </w:r>
      <w:r w:rsidRPr="009819CE">
        <w:rPr>
          <w:rFonts w:cstheme="minorBidi"/>
        </w:rPr>
        <w:t xml:space="preserve"> sp. is of </w:t>
      </w:r>
      <w:r w:rsidR="0083139C" w:rsidRPr="009819CE">
        <w:rPr>
          <w:rFonts w:cstheme="minorBidi"/>
        </w:rPr>
        <w:t>great</w:t>
      </w:r>
      <w:r w:rsidRPr="009819CE">
        <w:rPr>
          <w:rFonts w:cstheme="minorBidi"/>
        </w:rPr>
        <w:t xml:space="preserve"> importance. Examining the specific types and quantities of lipids scavenged by the parasite from the host during the progression of the disease will offer valuable insights into the strategies employed by the parasite to acquire nutrients. </w:t>
      </w:r>
    </w:p>
    <w:p w14:paraId="2F31F008" w14:textId="77777777" w:rsidR="00CA13E2" w:rsidRPr="009819CE" w:rsidRDefault="00CA13E2" w:rsidP="00CA13E2">
      <w:pPr>
        <w:spacing w:before="0" w:after="0"/>
        <w:rPr>
          <w:rFonts w:eastAsia="Calibri" w:cstheme="minorBidi"/>
        </w:rPr>
      </w:pPr>
      <w:r w:rsidRPr="009819CE">
        <w:rPr>
          <w:rFonts w:cstheme="minorBidi"/>
        </w:rPr>
        <w:t xml:space="preserve"> As such, the objectives were:</w:t>
      </w:r>
    </w:p>
    <w:p w14:paraId="29D2260B" w14:textId="7AC9438E" w:rsidR="00CA13E2" w:rsidRPr="009819CE" w:rsidRDefault="00CA13E2" w:rsidP="00CA13E2">
      <w:pPr>
        <w:numPr>
          <w:ilvl w:val="0"/>
          <w:numId w:val="18"/>
        </w:numPr>
        <w:spacing w:before="0" w:after="0"/>
        <w:contextualSpacing/>
        <w:rPr>
          <w:rFonts w:cstheme="minorBidi"/>
        </w:rPr>
      </w:pPr>
      <w:r w:rsidRPr="009819CE">
        <w:rPr>
          <w:rFonts w:cstheme="minorBidi"/>
        </w:rPr>
        <w:t xml:space="preserve">To update prevalence </w:t>
      </w:r>
      <w:r w:rsidR="00CF368D" w:rsidRPr="009819CE">
        <w:rPr>
          <w:rFonts w:cstheme="minorBidi"/>
        </w:rPr>
        <w:t xml:space="preserve">values of </w:t>
      </w:r>
      <w:r w:rsidRPr="009819CE">
        <w:rPr>
          <w:rFonts w:cstheme="minorBidi"/>
        </w:rPr>
        <w:t xml:space="preserve">patent infection of </w:t>
      </w:r>
      <w:r w:rsidR="009D03F4" w:rsidRPr="009819CE">
        <w:rPr>
          <w:rFonts w:cstheme="minorBidi"/>
          <w:i/>
          <w:iCs/>
        </w:rPr>
        <w:t>Hematodinium</w:t>
      </w:r>
      <w:r w:rsidRPr="009819CE">
        <w:rPr>
          <w:rFonts w:cstheme="minorBidi"/>
        </w:rPr>
        <w:t xml:space="preserve"> sp. in </w:t>
      </w:r>
      <w:r w:rsidR="00C31E47" w:rsidRPr="009819CE">
        <w:rPr>
          <w:rFonts w:cstheme="minorBidi"/>
          <w:i/>
          <w:iCs/>
        </w:rPr>
        <w:t>Nephrops</w:t>
      </w:r>
      <w:r w:rsidRPr="009819CE">
        <w:rPr>
          <w:rFonts w:cstheme="minorBidi"/>
        </w:rPr>
        <w:t xml:space="preserve"> in the CSA over an entire annual cycle using the BCM and PM methodologies, and to evaluate further host traits associated with patent infection (Chapter 2).</w:t>
      </w:r>
    </w:p>
    <w:p w14:paraId="7E0A443E" w14:textId="0E8F2326" w:rsidR="00CA13E2" w:rsidRPr="009819CE" w:rsidRDefault="00CA13E2" w:rsidP="00CA13E2">
      <w:pPr>
        <w:numPr>
          <w:ilvl w:val="0"/>
          <w:numId w:val="18"/>
        </w:numPr>
        <w:spacing w:before="0" w:after="0"/>
        <w:contextualSpacing/>
        <w:rPr>
          <w:rFonts w:cstheme="minorBidi"/>
        </w:rPr>
      </w:pPr>
      <w:r w:rsidRPr="009819CE">
        <w:rPr>
          <w:rFonts w:cstheme="minorBidi"/>
        </w:rPr>
        <w:t xml:space="preserve">To characterize the </w:t>
      </w:r>
      <w:r w:rsidR="00D94DC1" w:rsidRPr="00FA7D47">
        <w:rPr>
          <w:rFonts w:cstheme="minorBidi"/>
        </w:rPr>
        <w:t>“healthy”</w:t>
      </w:r>
      <w:r w:rsidRPr="009819CE">
        <w:rPr>
          <w:rFonts w:cstheme="minorBidi"/>
        </w:rPr>
        <w:t xml:space="preserve"> bacterial baseline microbiome in the gut and haemolymph of </w:t>
      </w:r>
      <w:r w:rsidR="00C31E47" w:rsidRPr="009819CE">
        <w:rPr>
          <w:rFonts w:cstheme="minorBidi"/>
          <w:i/>
          <w:iCs/>
        </w:rPr>
        <w:t>Nephrops</w:t>
      </w:r>
      <w:r w:rsidRPr="009819CE">
        <w:rPr>
          <w:rFonts w:cstheme="minorBidi"/>
          <w:i/>
          <w:iCs/>
        </w:rPr>
        <w:t xml:space="preserve"> </w:t>
      </w:r>
      <w:r w:rsidRPr="009819CE">
        <w:rPr>
          <w:rFonts w:cstheme="minorBidi"/>
        </w:rPr>
        <w:t xml:space="preserve">using High-Throughput Sequencing (HTS) and to investigate the presence of a pathobiome associated with </w:t>
      </w:r>
      <w:r w:rsidR="009D03F4" w:rsidRPr="009819CE">
        <w:rPr>
          <w:rFonts w:cstheme="minorBidi"/>
          <w:i/>
          <w:iCs/>
        </w:rPr>
        <w:t>Hematodinium</w:t>
      </w:r>
      <w:r w:rsidRPr="009819CE">
        <w:rPr>
          <w:rFonts w:cstheme="minorBidi"/>
        </w:rPr>
        <w:t xml:space="preserve"> sp. infection, aiming to understand their potential contributions to the phenotypic changes resulting from </w:t>
      </w:r>
      <w:r w:rsidR="009D03F4" w:rsidRPr="009819CE">
        <w:rPr>
          <w:rFonts w:cstheme="minorBidi"/>
          <w:i/>
          <w:iCs/>
        </w:rPr>
        <w:t>Hematodinium</w:t>
      </w:r>
      <w:r w:rsidRPr="009819CE">
        <w:rPr>
          <w:rFonts w:cstheme="minorBidi"/>
        </w:rPr>
        <w:t xml:space="preserve"> sp. infection (Chapter 3).</w:t>
      </w:r>
    </w:p>
    <w:p w14:paraId="6AE8ECF7" w14:textId="3E9211BC" w:rsidR="00CA13E2" w:rsidRPr="009819CE" w:rsidRDefault="00CA13E2" w:rsidP="00CA13E2">
      <w:pPr>
        <w:numPr>
          <w:ilvl w:val="0"/>
          <w:numId w:val="18"/>
        </w:numPr>
        <w:spacing w:before="0" w:after="0"/>
        <w:contextualSpacing/>
        <w:rPr>
          <w:rFonts w:cstheme="minorBidi"/>
        </w:rPr>
      </w:pPr>
      <w:r w:rsidRPr="009819CE">
        <w:rPr>
          <w:rFonts w:cstheme="minorBidi"/>
        </w:rPr>
        <w:t xml:space="preserve">To characterize the lipid composition, including the lipid class and fatty acid composition, in both spores and the hepatopancreas of </w:t>
      </w:r>
      <w:r w:rsidR="009D03F4" w:rsidRPr="009819CE">
        <w:rPr>
          <w:rFonts w:cstheme="minorBidi"/>
          <w:i/>
          <w:iCs/>
        </w:rPr>
        <w:t>Hematodinium</w:t>
      </w:r>
      <w:r w:rsidRPr="009819CE">
        <w:rPr>
          <w:rFonts w:cstheme="minorBidi"/>
        </w:rPr>
        <w:t xml:space="preserve">-infected and non-infected </w:t>
      </w:r>
      <w:r w:rsidR="00C31E47" w:rsidRPr="009819CE">
        <w:rPr>
          <w:rFonts w:cstheme="minorBidi"/>
          <w:i/>
          <w:iCs/>
        </w:rPr>
        <w:t>Nephrops</w:t>
      </w:r>
      <w:r w:rsidRPr="009819CE">
        <w:rPr>
          <w:rFonts w:cstheme="minorBidi"/>
        </w:rPr>
        <w:t>, including sporulated individuals. (Chapter 4).</w:t>
      </w:r>
    </w:p>
    <w:p w14:paraId="00886047" w14:textId="77777777" w:rsidR="009C3F77" w:rsidRPr="009819CE" w:rsidRDefault="009C3F77" w:rsidP="00515266">
      <w:pPr>
        <w:rPr>
          <w:rFonts w:cstheme="minorBidi"/>
        </w:rPr>
      </w:pPr>
    </w:p>
    <w:p w14:paraId="42448AEF" w14:textId="77777777" w:rsidR="00451E49" w:rsidRPr="009819CE" w:rsidRDefault="00451E49" w:rsidP="00515266">
      <w:pPr>
        <w:rPr>
          <w:rFonts w:cstheme="minorBidi"/>
        </w:rPr>
        <w:sectPr w:rsidR="00451E49" w:rsidRPr="009819CE" w:rsidSect="00DD1102">
          <w:pgSz w:w="11906" w:h="16838" w:code="9"/>
          <w:pgMar w:top="1440" w:right="1440" w:bottom="1440" w:left="1440" w:header="709" w:footer="709" w:gutter="0"/>
          <w:cols w:space="518"/>
          <w:docGrid w:linePitch="360"/>
        </w:sectPr>
      </w:pPr>
    </w:p>
    <w:p w14:paraId="65EB1657" w14:textId="1E98BD9A" w:rsidR="00A60CBB" w:rsidRPr="009819CE" w:rsidRDefault="00A60CBB" w:rsidP="00E22ACF">
      <w:pPr>
        <w:pStyle w:val="Heading1"/>
      </w:pPr>
      <w:bookmarkStart w:id="169" w:name="_Toc204106610"/>
      <w:bookmarkStart w:id="170" w:name="_Hlk130977131"/>
      <w:bookmarkEnd w:id="28"/>
      <w:r w:rsidRPr="009819CE">
        <w:t xml:space="preserve">Prevalence of </w:t>
      </w:r>
      <w:r w:rsidR="009D03F4" w:rsidRPr="009819CE">
        <w:rPr>
          <w:i/>
        </w:rPr>
        <w:t>Hematodinium</w:t>
      </w:r>
      <w:r w:rsidRPr="009819CE">
        <w:t xml:space="preserve"> sp. in Norway lobsters (</w:t>
      </w:r>
      <w:r w:rsidR="00C31E47" w:rsidRPr="009819CE">
        <w:rPr>
          <w:i/>
        </w:rPr>
        <w:t>Nephrops</w:t>
      </w:r>
      <w:r w:rsidRPr="009819CE">
        <w:t xml:space="preserve"> </w:t>
      </w:r>
      <w:r w:rsidRPr="009819CE">
        <w:rPr>
          <w:i/>
          <w:iCs/>
        </w:rPr>
        <w:t>norvegicus</w:t>
      </w:r>
      <w:r w:rsidRPr="009819CE">
        <w:t>) from the Clyde Sea area</w:t>
      </w:r>
      <w:bookmarkEnd w:id="169"/>
    </w:p>
    <w:p w14:paraId="763636E8" w14:textId="6AD83FE5" w:rsidR="00F723B8" w:rsidRPr="00FA7D47" w:rsidRDefault="00496F77" w:rsidP="009C3F77">
      <w:pPr>
        <w:pStyle w:val="Heading2"/>
        <w:rPr>
          <w:rFonts w:cstheme="minorBidi"/>
        </w:rPr>
      </w:pPr>
      <w:bookmarkStart w:id="171" w:name="_Toc204106611"/>
      <w:r w:rsidRPr="00FA7D47">
        <w:rPr>
          <w:rFonts w:cstheme="minorBidi"/>
        </w:rPr>
        <w:t>Abstract</w:t>
      </w:r>
      <w:bookmarkEnd w:id="171"/>
    </w:p>
    <w:p w14:paraId="37EFDA4E" w14:textId="298288B1" w:rsidR="00496F77" w:rsidRPr="00FA7D47" w:rsidRDefault="00496F77" w:rsidP="007268F5">
      <w:pPr>
        <w:rPr>
          <w:rFonts w:cstheme="minorBidi"/>
        </w:rPr>
      </w:pPr>
      <w:r w:rsidRPr="00FA7D47">
        <w:rPr>
          <w:rFonts w:cstheme="minorBidi"/>
          <w:shd w:val="clear" w:color="auto" w:fill="FFFFFF"/>
        </w:rPr>
        <w:t>The Norway lobster, </w:t>
      </w:r>
      <w:r w:rsidRPr="00FA7D47">
        <w:rPr>
          <w:rFonts w:cstheme="minorBidi"/>
          <w:i/>
          <w:iCs/>
          <w:shd w:val="clear" w:color="auto" w:fill="FFFFFF"/>
        </w:rPr>
        <w:t>Nephrops norvegicus</w:t>
      </w:r>
      <w:r w:rsidRPr="00FA7D47">
        <w:rPr>
          <w:rFonts w:cstheme="minorBidi"/>
          <w:shd w:val="clear" w:color="auto" w:fill="FFFFFF"/>
        </w:rPr>
        <w:t xml:space="preserve">, is an important </w:t>
      </w:r>
      <w:r w:rsidR="009317B0">
        <w:rPr>
          <w:rFonts w:cstheme="minorBidi"/>
          <w:shd w:val="clear" w:color="auto" w:fill="FFFFFF"/>
        </w:rPr>
        <w:t>benthic decapod species</w:t>
      </w:r>
      <w:r w:rsidRPr="00FA7D47">
        <w:rPr>
          <w:rFonts w:cstheme="minorBidi"/>
          <w:shd w:val="clear" w:color="auto" w:fill="FFFFFF"/>
        </w:rPr>
        <w:t xml:space="preserve"> and supports valuable fisheries across Europe. </w:t>
      </w:r>
      <w:r w:rsidRPr="00FA7D47">
        <w:rPr>
          <w:rFonts w:cstheme="minorBidi"/>
          <w:i/>
          <w:iCs/>
          <w:shd w:val="clear" w:color="auto" w:fill="FFFFFF"/>
        </w:rPr>
        <w:t>Nephrops</w:t>
      </w:r>
      <w:r w:rsidRPr="00FA7D47">
        <w:rPr>
          <w:rFonts w:cstheme="minorBidi"/>
          <w:shd w:val="clear" w:color="auto" w:fill="FFFFFF"/>
        </w:rPr>
        <w:t> are susceptible to infection by </w:t>
      </w:r>
      <w:r w:rsidRPr="00FA7D47">
        <w:rPr>
          <w:rFonts w:cstheme="minorBidi"/>
          <w:i/>
          <w:iCs/>
          <w:shd w:val="clear" w:color="auto" w:fill="FFFFFF"/>
        </w:rPr>
        <w:t>Hematodinium</w:t>
      </w:r>
      <w:r w:rsidRPr="00FA7D47">
        <w:rPr>
          <w:rFonts w:cstheme="minorBidi"/>
          <w:shd w:val="clear" w:color="auto" w:fill="FFFFFF"/>
        </w:rPr>
        <w:t> sp., an endoparasitic dinoflagellate that causes morbidity and mortality. From an epizootiological perspective, the Clyde Sea Area (CSA; west of Scotland) is the best-studied </w:t>
      </w:r>
      <w:r w:rsidRPr="00FA7D47">
        <w:rPr>
          <w:rFonts w:cstheme="minorBidi"/>
          <w:i/>
          <w:iCs/>
          <w:shd w:val="clear" w:color="auto" w:fill="FFFFFF"/>
        </w:rPr>
        <w:t>Hematodinium</w:t>
      </w:r>
      <w:r w:rsidRPr="00FA7D47">
        <w:rPr>
          <w:rFonts w:cstheme="minorBidi"/>
          <w:shd w:val="clear" w:color="auto" w:fill="FFFFFF"/>
        </w:rPr>
        <w:t>–</w:t>
      </w:r>
      <w:r w:rsidRPr="00FA7D47">
        <w:rPr>
          <w:rFonts w:cstheme="minorBidi"/>
          <w:i/>
          <w:iCs/>
          <w:shd w:val="clear" w:color="auto" w:fill="FFFFFF"/>
        </w:rPr>
        <w:t>Nephrops</w:t>
      </w:r>
      <w:r w:rsidRPr="00FA7D47">
        <w:rPr>
          <w:rFonts w:cstheme="minorBidi"/>
          <w:shd w:val="clear" w:color="auto" w:fill="FFFFFF"/>
        </w:rPr>
        <w:t> pathosystem, with historical data available between 1988 and 2008. We have revisited this pathosystem by curating and updating prevalence values, differentiating host traits associated with disease exposure and progression</w:t>
      </w:r>
      <w:r w:rsidR="002A2987" w:rsidRPr="00FA7D47">
        <w:rPr>
          <w:rFonts w:cstheme="minorBidi"/>
          <w:shd w:val="clear" w:color="auto" w:fill="FFFFFF"/>
        </w:rPr>
        <w:t xml:space="preserve">. </w:t>
      </w:r>
      <w:r w:rsidRPr="00FA7D47">
        <w:rPr>
          <w:rFonts w:cstheme="minorBidi"/>
          <w:shd w:val="clear" w:color="auto" w:fill="FFFFFF"/>
        </w:rPr>
        <w:t>Prevalence from a 2018/2019 survey (involving 1739 lobsters) revealed </w:t>
      </w:r>
      <w:r w:rsidR="009317B0">
        <w:rPr>
          <w:rFonts w:cstheme="minorBidi"/>
          <w:shd w:val="clear" w:color="auto" w:fill="FFFFFF"/>
        </w:rPr>
        <w:t xml:space="preserve">that </w:t>
      </w:r>
      <w:r w:rsidRPr="00FA7D47">
        <w:rPr>
          <w:rFonts w:cstheme="minorBidi"/>
          <w:i/>
          <w:iCs/>
          <w:shd w:val="clear" w:color="auto" w:fill="FFFFFF"/>
        </w:rPr>
        <w:t>Hematodinium</w:t>
      </w:r>
      <w:r w:rsidRPr="00FA7D47">
        <w:rPr>
          <w:rFonts w:cstheme="minorBidi"/>
          <w:shd w:val="clear" w:color="auto" w:fill="FFFFFF"/>
        </w:rPr>
        <w:t> sp. still mounts a synchronized patent infection in the CSA; hence this pathogen can be considered as enzootic in this location. We highlight for the first time that </w:t>
      </w:r>
      <w:r w:rsidRPr="00FA7D47">
        <w:rPr>
          <w:rFonts w:cstheme="minorBidi"/>
          <w:i/>
          <w:iCs/>
          <w:shd w:val="clear" w:color="auto" w:fill="FFFFFF"/>
        </w:rPr>
        <w:t>Nephrops</w:t>
      </w:r>
      <w:r w:rsidRPr="00FA7D47">
        <w:rPr>
          <w:rFonts w:cstheme="minorBidi"/>
          <w:shd w:val="clear" w:color="auto" w:fill="FFFFFF"/>
        </w:rPr>
        <w:t> size is associated with high severity infection, while females are more exposed to </w:t>
      </w:r>
      <w:r w:rsidRPr="00FA7D47">
        <w:rPr>
          <w:rFonts w:cstheme="minorBidi"/>
          <w:i/>
          <w:iCs/>
          <w:shd w:val="clear" w:color="auto" w:fill="FFFFFF"/>
        </w:rPr>
        <w:t>Hematodinium</w:t>
      </w:r>
      <w:r w:rsidRPr="00FA7D47">
        <w:rPr>
          <w:rFonts w:cstheme="minorBidi"/>
          <w:shd w:val="clear" w:color="auto" w:fill="FFFFFF"/>
        </w:rPr>
        <w:t> sp. More generally,</w:t>
      </w:r>
      <w:r w:rsidR="002A2987" w:rsidRPr="00FA7D47">
        <w:rPr>
          <w:rFonts w:cstheme="minorBidi"/>
          <w:i/>
          <w:iCs/>
          <w:shd w:val="clear" w:color="auto" w:fill="FFFFFF"/>
        </w:rPr>
        <w:t xml:space="preserve"> </w:t>
      </w:r>
      <w:r w:rsidRPr="00FA7D47">
        <w:rPr>
          <w:rFonts w:cstheme="minorBidi"/>
          <w:i/>
          <w:iCs/>
          <w:shd w:val="clear" w:color="auto" w:fill="FFFFFF"/>
        </w:rPr>
        <w:t>Hematodinium</w:t>
      </w:r>
      <w:r w:rsidRPr="00FA7D47">
        <w:rPr>
          <w:rFonts w:cstheme="minorBidi"/>
          <w:shd w:val="clear" w:color="auto" w:fill="FFFFFF"/>
        </w:rPr>
        <w:t> sp. patent infections peak in spring/summer and reach their nadir during autumn. We contend that </w:t>
      </w:r>
      <w:r w:rsidRPr="00FA7D47">
        <w:rPr>
          <w:rFonts w:cstheme="minorBidi"/>
          <w:i/>
          <w:iCs/>
          <w:shd w:val="clear" w:color="auto" w:fill="FFFFFF"/>
        </w:rPr>
        <w:t>Hematodinium</w:t>
      </w:r>
      <w:r w:rsidRPr="00FA7D47">
        <w:rPr>
          <w:rFonts w:cstheme="minorBidi"/>
          <w:shd w:val="clear" w:color="auto" w:fill="FFFFFF"/>
        </w:rPr>
        <w:t> must be considered one of the most important pathogens of decapod crustaceans in temperate waters.</w:t>
      </w:r>
    </w:p>
    <w:p w14:paraId="798F08BC" w14:textId="73AE0657" w:rsidR="00A60CBB" w:rsidRPr="009819CE" w:rsidRDefault="00A60CBB" w:rsidP="009C3F77">
      <w:pPr>
        <w:pStyle w:val="Heading2"/>
        <w:rPr>
          <w:rFonts w:cstheme="minorBidi"/>
        </w:rPr>
      </w:pPr>
      <w:bookmarkStart w:id="172" w:name="_Toc204106612"/>
      <w:r w:rsidRPr="009819CE">
        <w:rPr>
          <w:rFonts w:cstheme="minorBidi"/>
        </w:rPr>
        <w:t>Introduction</w:t>
      </w:r>
      <w:bookmarkEnd w:id="172"/>
    </w:p>
    <w:p w14:paraId="72ADD5F8" w14:textId="1FD8BF22" w:rsidR="00F36ABA" w:rsidRPr="009819CE" w:rsidRDefault="00F36ABA" w:rsidP="00F36ABA">
      <w:pPr>
        <w:rPr>
          <w:rFonts w:cstheme="minorBidi"/>
        </w:rPr>
      </w:pPr>
      <w:r w:rsidRPr="009819CE">
        <w:rPr>
          <w:rFonts w:cstheme="minorBidi"/>
        </w:rPr>
        <w:t xml:space="preserve">The Norway lobster, </w:t>
      </w:r>
      <w:r w:rsidR="00C31E47" w:rsidRPr="009819CE">
        <w:rPr>
          <w:rFonts w:cstheme="minorBidi"/>
          <w:i/>
          <w:iCs/>
        </w:rPr>
        <w:t>Nephrops</w:t>
      </w:r>
      <w:r w:rsidRPr="009819CE">
        <w:rPr>
          <w:rFonts w:cstheme="minorBidi"/>
          <w:i/>
          <w:iCs/>
        </w:rPr>
        <w:t xml:space="preserve"> norvegicus</w:t>
      </w:r>
      <w:r w:rsidRPr="009819CE">
        <w:rPr>
          <w:rFonts w:cstheme="minorBidi"/>
        </w:rPr>
        <w:t xml:space="preserve"> (Linn</w:t>
      </w:r>
      <w:r w:rsidR="009317B0">
        <w:rPr>
          <w:rFonts w:cstheme="minorBidi"/>
        </w:rPr>
        <w:t>ae</w:t>
      </w:r>
      <w:r w:rsidRPr="009819CE">
        <w:rPr>
          <w:rFonts w:cstheme="minorBidi"/>
        </w:rPr>
        <w:t xml:space="preserve">us, 1758), is a benthic crustacean of the order Decapoda (Class: Malacostraca), also known as Dublin Bay prawn, scampi, and langoustine. The species is distributed widely across the continental shelves of the North-East Atlantic, the Mediterranean and the Adriatic seas. </w:t>
      </w:r>
      <w:r w:rsidRPr="009819CE">
        <w:rPr>
          <w:rFonts w:cstheme="minorBidi"/>
          <w:i/>
        </w:rPr>
        <w:t>N. norvegicus</w:t>
      </w:r>
      <w:r w:rsidRPr="009819CE">
        <w:rPr>
          <w:rFonts w:cstheme="minorBidi"/>
          <w:iCs/>
        </w:rPr>
        <w:t xml:space="preserve"> (hereafter, </w:t>
      </w:r>
      <w:r w:rsidR="00C31E47" w:rsidRPr="009819CE">
        <w:rPr>
          <w:rFonts w:cstheme="minorBidi"/>
          <w:i/>
        </w:rPr>
        <w:t>Nephrops</w:t>
      </w:r>
      <w:r w:rsidRPr="009819CE">
        <w:rPr>
          <w:rFonts w:cstheme="minorBidi"/>
          <w:iCs/>
        </w:rPr>
        <w:t xml:space="preserve">) distribution is limited by the extent of suitable muddy sediment in which animals construct burrows </w:t>
      </w:r>
      <w:r w:rsidRPr="009819CE">
        <w:rPr>
          <w:rFonts w:cstheme="minorBidi"/>
          <w:iCs/>
        </w:rPr>
        <w:fldChar w:fldCharType="begin"/>
      </w:r>
      <w:r w:rsidR="00D50EFF" w:rsidRPr="009819CE">
        <w:rPr>
          <w:rFonts w:cstheme="minorBidi"/>
          <w:iCs/>
        </w:rPr>
        <w:instrText xml:space="preserve"> ADDIN EN.CITE &lt;EndNote&gt;&lt;Cite&gt;&lt;Author&gt;Johnson&lt;/Author&gt;&lt;Year&gt;2013&lt;/Year&gt;&lt;RecNum&gt;246&lt;/RecNum&gt;&lt;DisplayText&gt;(Johnson et al., 2013)&lt;/DisplayText&gt;&lt;record&gt;&lt;rec-number&gt;246&lt;/rec-number&gt;&lt;foreign-keys&gt;&lt;key app="EN" db-id="sd9wrx9fj09rx3erprsx999o0r5aprvp2zse" timestamp="1687855901" guid="1435e6d3-b32f-4895-aa3b-acc752e1a318"&gt;246&lt;/key&gt;&lt;/foreign-keys&gt;&lt;ref-type name="Book Section"&gt;5&lt;/ref-type&gt;&lt;contributors&gt;&lt;authors&gt;&lt;author&gt;Johnson, Mark P.&lt;/author&gt;&lt;author&gt;Lordan, Colm&lt;/author&gt;&lt;author&gt;Power, Anne Marie&lt;/author&gt;&lt;/authors&gt;&lt;/contributors&gt;&lt;titles&gt;&lt;title&gt;&lt;style face="normal" font="default" size="100%"&gt;Chapter Two - Habitat and Ecology of &lt;/style&gt;&lt;style face="italic" font="default" size="100%"&gt;Nephrops norvegicus&lt;/style&gt;&lt;/title&gt;&lt;secondary-title&gt;Advances in Marine Biology&lt;/secondary-title&gt;&lt;/titles&gt;&lt;periodical&gt;&lt;full-title&gt;Advances in Marine Biology&lt;/full-title&gt;&lt;/periodical&gt;&lt;pages&gt;27-63&lt;/pages&gt;&lt;volume&gt;64&lt;/volume&gt;&lt;edition&gt;1&lt;/edition&gt;&lt;keywords&gt;&lt;keyword&gt;Catch&lt;/keyword&gt;&lt;keyword&gt;Density&lt;/keyword&gt;&lt;keyword&gt;Distribution&lt;/keyword&gt;&lt;keyword&gt;Ecosystem functions&lt;/keyword&gt;&lt;keyword&gt;Fishery interactions&lt;/keyword&gt;&lt;keyword&gt;Growth&lt;/keyword&gt;&lt;keyword&gt;Sediment&lt;/keyword&gt;&lt;keyword&gt;Size&lt;/keyword&gt;&lt;/keywords&gt;&lt;dates&gt;&lt;year&gt;2013&lt;/year&gt;&lt;/dates&gt;&lt;publisher&gt;Elsevier Ltd.&lt;/publisher&gt;&lt;isbn&gt;9780124104662&lt;/isbn&gt;&lt;urls&gt;&lt;related-urls&gt;&lt;url&gt;http://dx.doi.org/10.1016/B978-0-12-410466-2.00002-9&lt;/url&gt;&lt;/related-urls&gt;&lt;/urls&gt;&lt;electronic-resource-num&gt;10.1016/B978-0-12-410466-2.00002-9&lt;/electronic-resource-num&gt;&lt;/record&gt;&lt;/Cite&gt;&lt;/EndNote&gt;</w:instrText>
      </w:r>
      <w:r w:rsidRPr="009819CE">
        <w:rPr>
          <w:rFonts w:cstheme="minorBidi"/>
          <w:iCs/>
        </w:rPr>
        <w:fldChar w:fldCharType="separate"/>
      </w:r>
      <w:r w:rsidR="00D50EFF" w:rsidRPr="009819CE">
        <w:rPr>
          <w:rFonts w:cstheme="minorBidi"/>
          <w:iCs/>
        </w:rPr>
        <w:t>(</w:t>
      </w:r>
      <w:hyperlink w:anchor="_ENREF_158" w:tooltip="Johnson, 2013 #246" w:history="1">
        <w:r w:rsidR="00950097" w:rsidRPr="009819CE">
          <w:rPr>
            <w:rFonts w:cstheme="minorBidi"/>
            <w:iCs/>
          </w:rPr>
          <w:t>Johnson et al., 2013</w:t>
        </w:r>
      </w:hyperlink>
      <w:r w:rsidR="00D50EFF" w:rsidRPr="009819CE">
        <w:rPr>
          <w:rFonts w:cstheme="minorBidi"/>
          <w:iCs/>
        </w:rPr>
        <w:t>)</w:t>
      </w:r>
      <w:r w:rsidRPr="009819CE">
        <w:rPr>
          <w:rFonts w:cstheme="minorBidi"/>
          <w:iCs/>
        </w:rPr>
        <w:fldChar w:fldCharType="end"/>
      </w:r>
      <w:r w:rsidRPr="009819CE">
        <w:rPr>
          <w:rFonts w:cstheme="minorBidi"/>
          <w:iCs/>
        </w:rPr>
        <w:t xml:space="preserve">. At dawn and dusk </w:t>
      </w:r>
      <w:r w:rsidR="00C31E47" w:rsidRPr="009819CE">
        <w:rPr>
          <w:rFonts w:cstheme="minorBidi"/>
          <w:i/>
        </w:rPr>
        <w:t>Nephrops</w:t>
      </w:r>
      <w:r w:rsidRPr="009819CE">
        <w:rPr>
          <w:rFonts w:cstheme="minorBidi"/>
          <w:iCs/>
        </w:rPr>
        <w:t xml:space="preserve"> emerge from their burrows to feed for short periods of time </w:t>
      </w:r>
      <w:r w:rsidRPr="009819CE">
        <w:rPr>
          <w:rFonts w:cstheme="minorBidi"/>
          <w:iCs/>
        </w:rPr>
        <w:fldChar w:fldCharType="begin"/>
      </w:r>
      <w:r w:rsidR="00A8698B" w:rsidRPr="009819CE">
        <w:rPr>
          <w:rFonts w:cstheme="minorBidi"/>
          <w:iCs/>
        </w:rPr>
        <w:instrText xml:space="preserve"> ADDIN EN.CITE &lt;EndNote&gt;&lt;Cite&gt;&lt;Author&gt;Aguzzi&lt;/Author&gt;&lt;Year&gt;2021&lt;/Year&gt;&lt;RecNum&gt;982&lt;/RecNum&gt;&lt;DisplayText&gt;(Aguzzi et al., 2021)&lt;/DisplayText&gt;&lt;record&gt;&lt;rec-number&gt;982&lt;/rec-number&gt;&lt;foreign-keys&gt;&lt;key app="EN" db-id="sd9wrx9fj09rx3erprsx999o0r5aprvp2zse" timestamp="1687855901" guid="4bd66641-9264-4f8c-bf8a-05500de3509b"&gt;982&lt;/key&gt;&lt;/foreign-keys&gt;&lt;ref-type name="Journal Article"&gt;17&lt;/ref-type&gt;&lt;contributors&gt;&lt;authors&gt;&lt;author&gt;Aguzzi, Jacopo&lt;/author&gt;&lt;author&gt;Bahamon, Nixon&lt;/author&gt;&lt;author&gt;Doyle, Jennifer&lt;/author&gt;&lt;author&gt;Lordan, Colm&lt;/author&gt;&lt;author&gt;Tuck, Ian D.&lt;/author&gt;&lt;author&gt;Chiarini, Matteo&lt;/author&gt;&lt;author&gt;Martinelli, Michela&lt;/author&gt;&lt;author&gt;Company, Joan B.&lt;/author&gt;&lt;/authors&gt;&lt;/contributors&gt;&lt;titles&gt;&lt;title&gt;&lt;style face="normal" font="default" size="100%"&gt;Burrow emergence rhythms of &lt;/style&gt;&lt;style face="italic" font="default" size="100%"&gt;Nephrops norvegicus&lt;/style&gt;&lt;style face="normal" font="default" size="100%"&gt; by UWTV and surveying biases&lt;/style&gt;&lt;/title&gt;&lt;secondary-title&gt;Scientific Reports&lt;/secondary-title&gt;&lt;/titles&gt;&lt;periodical&gt;&lt;full-title&gt;Scientific Reports&lt;/full-title&gt;&lt;/periodical&gt;&lt;pages&gt;1-13&lt;/pages&gt;&lt;volume&gt;11&lt;/volume&gt;&lt;number&gt;1&lt;/number&gt;&lt;edition&gt;20210311&lt;/edition&gt;&lt;keywords&gt;&lt;keyword&gt;Ecology&lt;/keyword&gt;&lt;keyword&gt;Ecosystem services&lt;/keyword&gt;&lt;/keywords&gt;&lt;dates&gt;&lt;year&gt;2021&lt;/year&gt;&lt;pub-dates&gt;&lt;date&gt;2021/3//&lt;/date&gt;&lt;/pub-dates&gt;&lt;/dates&gt;&lt;publisher&gt;Nature Publishing Group&lt;/publisher&gt;&lt;isbn&gt;2045-2322 (Electronic)&amp;#xD;2045-2322 (Linking)&lt;/isbn&gt;&lt;accession-num&gt;33707595&lt;/accession-num&gt;&lt;urls&gt;&lt;related-urls&gt;&lt;url&gt;https://www.nature.com/articles/s41598-021-85240-3&lt;/url&gt;&lt;/related-urls&gt;&lt;/urls&gt;&lt;custom1&gt;The authors declare no competing interests.&lt;/custom1&gt;&lt;custom2&gt;PMC7970996&lt;/custom2&gt;&lt;electronic-resource-num&gt;10.1038/s41598-021-85240-3&lt;/electronic-resource-num&gt;&lt;remote-database-name&gt;PubMed-not-MEDLINE&lt;/remote-database-name&gt;&lt;remote-database-provider&gt;NLM&lt;/remote-database-provider&gt;&lt;/record&gt;&lt;/Cite&gt;&lt;/EndNote&gt;</w:instrText>
      </w:r>
      <w:r w:rsidRPr="009819CE">
        <w:rPr>
          <w:rFonts w:cstheme="minorBidi"/>
          <w:iCs/>
        </w:rPr>
        <w:fldChar w:fldCharType="separate"/>
      </w:r>
      <w:r w:rsidR="00A8698B" w:rsidRPr="009819CE">
        <w:rPr>
          <w:rFonts w:cstheme="minorBidi"/>
          <w:iCs/>
        </w:rPr>
        <w:t>(</w:t>
      </w:r>
      <w:hyperlink w:anchor="_ENREF_2" w:tooltip="Aguzzi, 2021 #982" w:history="1">
        <w:r w:rsidR="00950097" w:rsidRPr="009819CE">
          <w:rPr>
            <w:rFonts w:cstheme="minorBidi"/>
            <w:iCs/>
          </w:rPr>
          <w:t>Aguzzi et al., 2021</w:t>
        </w:r>
      </w:hyperlink>
      <w:r w:rsidR="00A8698B" w:rsidRPr="009819CE">
        <w:rPr>
          <w:rFonts w:cstheme="minorBidi"/>
          <w:iCs/>
        </w:rPr>
        <w:t>)</w:t>
      </w:r>
      <w:r w:rsidRPr="009819CE">
        <w:rPr>
          <w:rFonts w:cstheme="minorBidi"/>
          <w:iCs/>
        </w:rPr>
        <w:fldChar w:fldCharType="end"/>
      </w:r>
      <w:r w:rsidRPr="009819CE">
        <w:rPr>
          <w:rFonts w:cstheme="minorBidi"/>
          <w:iCs/>
        </w:rPr>
        <w:t>.</w:t>
      </w:r>
      <w:r w:rsidRPr="009819CE">
        <w:rPr>
          <w:rFonts w:cstheme="minorBidi"/>
          <w:i/>
        </w:rPr>
        <w:t xml:space="preserve"> </w:t>
      </w:r>
      <w:r w:rsidRPr="009819CE">
        <w:rPr>
          <w:rFonts w:cstheme="minorBidi"/>
        </w:rPr>
        <w:t xml:space="preserve">Most </w:t>
      </w:r>
      <w:r w:rsidR="00C31E47" w:rsidRPr="009819CE">
        <w:rPr>
          <w:rFonts w:cstheme="minorBidi"/>
          <w:i/>
        </w:rPr>
        <w:t>Nephrops</w:t>
      </w:r>
      <w:r w:rsidRPr="009819CE">
        <w:rPr>
          <w:rFonts w:cstheme="minorBidi"/>
        </w:rPr>
        <w:t xml:space="preserve"> are caught by trawlers </w:t>
      </w:r>
      <w:r w:rsidRPr="009819CE">
        <w:rPr>
          <w:rFonts w:cstheme="minorBidi"/>
        </w:rPr>
        <w:fldChar w:fldCharType="begin"/>
      </w:r>
      <w:r w:rsidR="00ED1A9E" w:rsidRPr="009819CE">
        <w:rPr>
          <w:rFonts w:cstheme="minorBidi"/>
        </w:rPr>
        <w:instrText xml:space="preserve"> ADDIN EN.CITE &lt;EndNote&gt;&lt;Cite&gt;&lt;Author&gt;Bell&lt;/Author&gt;&lt;Year&gt;2013&lt;/Year&gt;&lt;RecNum&gt;454&lt;/RecNum&gt;&lt;DisplayText&gt;(Bell et al., 2013)&lt;/DisplayText&gt;&lt;record&gt;&lt;rec-number&gt;454&lt;/rec-number&gt;&lt;foreign-keys&gt;&lt;key app="EN" db-id="sd9wrx9fj09rx3erprsx999o0r5aprvp2zse" timestamp="1687855901" guid="553eea7c-5def-4db4-96c4-6c0b3d32d4e8"&gt;454&lt;/key&gt;&lt;/foreign-keys&gt;&lt;ref-type name="Book Section"&gt;5&lt;/ref-type&gt;&lt;contributors&gt;&lt;authors&gt;&lt;author&gt;Bell, Mike&lt;/author&gt;&lt;author&gt;Tuck, Ian D.&lt;/author&gt;&lt;author&gt;Dobby, Helen&lt;/author&gt;&lt;/authors&gt;&lt;/contributors&gt;&lt;titles&gt;&lt;title&gt;&lt;style face="italic" font="default" size="100%"&gt;Nephrops&lt;/style&gt;&lt;style face="normal" font="default" size="100%"&gt; species&lt;/style&gt;&lt;/title&gt;&lt;secondary-title&gt;Lobsters: biology, management, aquaculture and fisheries&lt;/secondary-title&gt;&lt;/titles&gt;&lt;pages&gt;357-413&lt;/pages&gt;&lt;keywords&gt;&lt;keyword&gt;Biology&lt;/keyword&gt;&lt;keyword&gt;Fisheries&lt;/keyword&gt;&lt;keyword&gt;Metanephrops&lt;/keyword&gt;&lt;keyword&gt;Nephrops&lt;/keyword&gt;&lt;keyword&gt;Noway lobster&lt;/keyword&gt;&lt;/keywords&gt;&lt;dates&gt;&lt;year&gt;2013&lt;/year&gt;&lt;pub-dates&gt;&lt;date&gt;2013/7//&lt;/date&gt;&lt;/pub-dates&gt;&lt;/dates&gt;&lt;pub-location&gt;Oxford, UK&lt;/pub-location&gt;&lt;publisher&gt;John Wiley &amp;amp; Sons, Ltd&lt;/publisher&gt;&lt;isbn&gt;9781118517444&lt;/isbn&gt;&lt;urls&gt;&lt;related-urls&gt;&lt;url&gt;http://doi.wiley.com/10.1002/9781118517444.ch12&lt;/url&gt;&lt;/related-urls&gt;&lt;/urls&gt;&lt;electronic-resource-num&gt;10.1002/9781118517444.ch12&lt;/electronic-resource-num&gt;&lt;/record&gt;&lt;/Cite&gt;&lt;/EndNote&gt;</w:instrText>
      </w:r>
      <w:r w:rsidRPr="009819CE">
        <w:rPr>
          <w:rFonts w:cstheme="minorBidi"/>
        </w:rPr>
        <w:fldChar w:fldCharType="separate"/>
      </w:r>
      <w:r w:rsidR="00A8698B" w:rsidRPr="007268F5">
        <w:rPr>
          <w:rFonts w:cstheme="minorBidi"/>
        </w:rPr>
        <w:t>(</w:t>
      </w:r>
      <w:hyperlink w:anchor="_ENREF_31" w:tooltip="Bell, 2013 #454" w:history="1">
        <w:r w:rsidR="00950097" w:rsidRPr="007268F5">
          <w:rPr>
            <w:rFonts w:cstheme="minorBidi"/>
          </w:rPr>
          <w:t>Bell et al., 2013</w:t>
        </w:r>
      </w:hyperlink>
      <w:r w:rsidR="00A8698B" w:rsidRPr="007268F5">
        <w:rPr>
          <w:rFonts w:cstheme="minorBidi"/>
        </w:rPr>
        <w:t>)</w:t>
      </w:r>
      <w:r w:rsidRPr="009819CE">
        <w:rPr>
          <w:rFonts w:cstheme="minorBidi"/>
        </w:rPr>
        <w:fldChar w:fldCharType="end"/>
      </w:r>
      <w:r w:rsidRPr="009819CE">
        <w:rPr>
          <w:rFonts w:cstheme="minorBidi"/>
        </w:rPr>
        <w:t xml:space="preserve">, but creel fisheries (baited traps) are also locally important, particularly on the West Coast of Scotland. In 2019, the Scottish fleet landed 23,000 tonnes of trawled </w:t>
      </w:r>
      <w:r w:rsidR="00C31E47" w:rsidRPr="009819CE">
        <w:rPr>
          <w:rFonts w:cstheme="minorBidi"/>
          <w:i/>
          <w:iCs/>
        </w:rPr>
        <w:t>Nephrops</w:t>
      </w:r>
      <w:r w:rsidRPr="009819CE">
        <w:rPr>
          <w:rFonts w:cstheme="minorBidi"/>
        </w:rPr>
        <w:t xml:space="preserve">, with the West Coast of Scotland contributing 8,029 tonnes </w:t>
      </w:r>
      <w:r w:rsidRPr="009819CE">
        <w:rPr>
          <w:rFonts w:cstheme="minorBidi"/>
        </w:rPr>
        <w:fldChar w:fldCharType="begin"/>
      </w:r>
      <w:r w:rsidR="00ED1A9E" w:rsidRPr="009819CE">
        <w:rPr>
          <w:rFonts w:cstheme="minorBidi"/>
        </w:rPr>
        <w:instrText xml:space="preserve"> ADDIN EN.CITE &lt;EndNote&gt;&lt;Cite&gt;&lt;Author&gt;Marine Scotland&lt;/Author&gt;&lt;Year&gt;2020&lt;/Year&gt;&lt;RecNum&gt;508&lt;/RecNum&gt;&lt;DisplayText&gt;(Marine Scotland, 2020)&lt;/DisplayText&gt;&lt;record&gt;&lt;rec-number&gt;508&lt;/rec-number&gt;&lt;foreign-keys&gt;&lt;key app="EN" db-id="sd9wrx9fj09rx3erprsx999o0r5aprvp2zse" timestamp="1687855901" guid="92a0934f-6d90-440d-a673-ac813dcadfa9"&gt;508&lt;/key&gt;&lt;/foreign-keys&gt;&lt;ref-type name="Report"&gt;27&lt;/ref-type&gt;&lt;contributors&gt;&lt;authors&gt;&lt;author&gt;Marine Scotland, &lt;/author&gt;&lt;/authors&gt;&lt;/contributors&gt;&lt;titles&gt;&lt;title&gt;Scottish Sea fisheries&lt;/title&gt;&lt;secondary-title&gt;The Scottish Government&lt;/secondary-title&gt;&lt;/titles&gt;&lt;pages&gt;5-112&lt;/pages&gt;&lt;dates&gt;&lt;year&gt;2020&lt;/year&gt;&lt;/dates&gt;&lt;pub-location&gt;Scotland&lt;/pub-location&gt;&lt;urls&gt;&lt;related-urls&gt;&lt;url&gt;https://www.gov.scot/publications/scottish-sea-fisheries-statistics-2019/pages/6/&lt;/url&gt;&lt;/related-urls&gt;&lt;/urls&gt;&lt;/record&gt;&lt;/Cite&gt;&lt;/EndNote&gt;</w:instrText>
      </w:r>
      <w:r w:rsidRPr="009819CE">
        <w:rPr>
          <w:rFonts w:cstheme="minorBidi"/>
        </w:rPr>
        <w:fldChar w:fldCharType="separate"/>
      </w:r>
      <w:r w:rsidR="00D50EFF" w:rsidRPr="007268F5">
        <w:rPr>
          <w:rFonts w:cstheme="minorBidi"/>
        </w:rPr>
        <w:t>(</w:t>
      </w:r>
      <w:hyperlink w:anchor="_ENREF_204" w:tooltip="Marine Scotland, 2020 #508" w:history="1">
        <w:r w:rsidR="00950097" w:rsidRPr="007268F5">
          <w:rPr>
            <w:rFonts w:cstheme="minorBidi"/>
          </w:rPr>
          <w:t>Marine Scotland, 2020</w:t>
        </w:r>
      </w:hyperlink>
      <w:r w:rsidR="00D50EFF" w:rsidRPr="007268F5">
        <w:rPr>
          <w:rFonts w:cstheme="minorBidi"/>
        </w:rPr>
        <w:t>)</w:t>
      </w:r>
      <w:r w:rsidRPr="009819CE">
        <w:rPr>
          <w:rFonts w:cstheme="minorBidi"/>
        </w:rPr>
        <w:fldChar w:fldCharType="end"/>
      </w:r>
      <w:r w:rsidRPr="009819CE">
        <w:rPr>
          <w:rFonts w:cstheme="minorBidi"/>
        </w:rPr>
        <w:t xml:space="preserve">. In the UK, </w:t>
      </w:r>
      <w:r w:rsidR="00C31E47" w:rsidRPr="009819CE">
        <w:rPr>
          <w:rFonts w:cstheme="minorBidi"/>
          <w:i/>
          <w:iCs/>
        </w:rPr>
        <w:t>Nephrops</w:t>
      </w:r>
      <w:r w:rsidRPr="009819CE">
        <w:rPr>
          <w:rFonts w:cstheme="minorBidi"/>
          <w:i/>
          <w:iCs/>
        </w:rPr>
        <w:t xml:space="preserve"> </w:t>
      </w:r>
      <w:r w:rsidRPr="009819CE">
        <w:rPr>
          <w:rFonts w:cstheme="minorBidi"/>
        </w:rPr>
        <w:t xml:space="preserve">represents the second most valuable fished species (£91m at first sale), the most valuable shellfish stock and the only shellfish species subject to quota </w:t>
      </w:r>
      <w:r w:rsidRPr="009819CE">
        <w:rPr>
          <w:rFonts w:cstheme="minorBidi"/>
        </w:rPr>
        <w:fldChar w:fldCharType="begin">
          <w:fldData xml:space="preserve">PEVuZE5vdGU+PENpdGU+PEF1dGhvcj5MZXRzY2hlcnQ8L0F1dGhvcj48WWVhcj4yMDIxPC9ZZWFy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PEVuZE5vdGU+PENpdGU+PEF1dGhvcj5MZXRzY2hlcnQ8L0F1dGhvcj48WWVhcj4yMDIxPC9ZZWFy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73" w:tooltip="Letschert, 2021 #855" w:history="1">
        <w:r w:rsidR="00950097" w:rsidRPr="007268F5">
          <w:rPr>
            <w:rFonts w:cstheme="minorBidi"/>
          </w:rPr>
          <w:t>Letschert et al., 2021</w:t>
        </w:r>
      </w:hyperlink>
      <w:r w:rsidR="00D50EFF" w:rsidRPr="007268F5">
        <w:rPr>
          <w:rFonts w:cstheme="minorBidi"/>
        </w:rPr>
        <w:t xml:space="preserve">; </w:t>
      </w:r>
      <w:hyperlink w:anchor="_ENREF_204" w:tooltip="Marine Scotland, 2020 #508" w:history="1">
        <w:r w:rsidR="00950097" w:rsidRPr="007268F5">
          <w:rPr>
            <w:rFonts w:cstheme="minorBidi"/>
          </w:rPr>
          <w:t>Marine Scotland, 2020</w:t>
        </w:r>
      </w:hyperlink>
      <w:r w:rsidR="00D50EFF" w:rsidRPr="007268F5">
        <w:rPr>
          <w:rFonts w:cstheme="minorBidi"/>
        </w:rPr>
        <w:t xml:space="preserve">; </w:t>
      </w:r>
      <w:hyperlink w:anchor="_ENREF_274" w:tooltip="Sea Food Scotland, 2021 #857" w:history="1">
        <w:r w:rsidR="00950097" w:rsidRPr="007268F5">
          <w:rPr>
            <w:rFonts w:cstheme="minorBidi"/>
          </w:rPr>
          <w:t>Sea Food Scotland, 2021</w:t>
        </w:r>
      </w:hyperlink>
      <w:r w:rsidR="00D50EFF" w:rsidRPr="007268F5">
        <w:rPr>
          <w:rFonts w:cstheme="minorBidi"/>
        </w:rPr>
        <w:t>)</w:t>
      </w:r>
      <w:r w:rsidRPr="009819CE">
        <w:rPr>
          <w:rFonts w:cstheme="minorBidi"/>
        </w:rPr>
        <w:fldChar w:fldCharType="end"/>
      </w:r>
      <w:r w:rsidRPr="009819CE">
        <w:rPr>
          <w:rFonts w:cstheme="minorBidi"/>
        </w:rPr>
        <w:t xml:space="preserve">. </w:t>
      </w:r>
    </w:p>
    <w:p w14:paraId="11F67BCA" w14:textId="0AF212A5" w:rsidR="00F36ABA" w:rsidRPr="009819CE" w:rsidRDefault="00F36ABA" w:rsidP="00F36ABA">
      <w:pPr>
        <w:rPr>
          <w:rFonts w:cstheme="minorBidi"/>
        </w:rPr>
      </w:pPr>
      <w:r w:rsidRPr="009819CE">
        <w:rPr>
          <w:rFonts w:cstheme="minorBidi"/>
        </w:rPr>
        <w:t xml:space="preserve">Worldwide </w:t>
      </w:r>
      <w:r w:rsidR="007316F9" w:rsidRPr="009819CE">
        <w:rPr>
          <w:rFonts w:cstheme="minorBidi"/>
        </w:rPr>
        <w:t>decapod</w:t>
      </w:r>
      <w:r w:rsidR="007316F9" w:rsidRPr="009819CE">
        <w:rPr>
          <w:rFonts w:cstheme="minorBidi"/>
          <w:i/>
          <w:iCs/>
        </w:rPr>
        <w:t xml:space="preserve"> </w:t>
      </w:r>
      <w:r w:rsidRPr="009819CE">
        <w:rPr>
          <w:rFonts w:cstheme="minorBidi"/>
        </w:rPr>
        <w:t xml:space="preserve">populations are susceptible to an infectious disease caused by the endoparasitic dinoflagellate </w:t>
      </w:r>
      <w:r w:rsidR="009D03F4" w:rsidRPr="009819CE">
        <w:rPr>
          <w:rFonts w:cstheme="minorBidi"/>
          <w:i/>
          <w:iCs/>
        </w:rPr>
        <w:t>Hematodinium</w:t>
      </w:r>
      <w:r w:rsidRPr="009819CE">
        <w:rPr>
          <w:rFonts w:cstheme="minorBidi"/>
          <w:i/>
          <w:iCs/>
        </w:rPr>
        <w:t xml:space="preserve"> </w:t>
      </w:r>
      <w:r w:rsidRPr="009819CE">
        <w:rPr>
          <w:rFonts w:cstheme="minorBidi"/>
        </w:rPr>
        <w:fldChar w:fldCharType="begin">
          <w:fldData xml:space="preserve">PEVuZE5vdGU+PENpdGU+PEF1dGhvcj5TdGVudGlmb3JkPC9BdXRob3I+PFllYXI+MjAwNTwvWWVh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PEVuZE5vdGU+PENpdGU+PEF1dGhvcj5TdGVudGlmb3JkPC9BdXRob3I+PFllYXI+MjAwNTwvWWVh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75" w:tooltip="Li, 2021 #453" w:history="1">
        <w:r w:rsidR="00950097" w:rsidRPr="007268F5">
          <w:rPr>
            <w:rFonts w:cstheme="minorBidi"/>
          </w:rPr>
          <w:t>Li et al., 2021a</w:t>
        </w:r>
      </w:hyperlink>
      <w:r w:rsidR="00D50EFF" w:rsidRPr="007268F5">
        <w:rPr>
          <w:rFonts w:cstheme="minorBidi"/>
        </w:rPr>
        <w:t xml:space="preserve">; </w:t>
      </w:r>
      <w:hyperlink w:anchor="_ENREF_310" w:tooltip="Stentiford, 2005 #156" w:history="1">
        <w:r w:rsidR="00950097" w:rsidRPr="007268F5">
          <w:rPr>
            <w:rFonts w:cstheme="minorBidi"/>
          </w:rPr>
          <w:t>Stentiford and Shields, 2005</w:t>
        </w:r>
      </w:hyperlink>
      <w:r w:rsidR="00D50EFF" w:rsidRPr="007268F5">
        <w:rPr>
          <w:rFonts w:cstheme="minorBidi"/>
        </w:rPr>
        <w:t>)</w:t>
      </w:r>
      <w:r w:rsidRPr="009819CE">
        <w:rPr>
          <w:rFonts w:cstheme="minorBidi"/>
        </w:rPr>
        <w:fldChar w:fldCharType="end"/>
      </w:r>
      <w:r w:rsidRPr="009819CE">
        <w:rPr>
          <w:rFonts w:cstheme="minorBidi"/>
        </w:rPr>
        <w:t xml:space="preserve">. </w:t>
      </w:r>
      <w:r w:rsidR="009D03F4" w:rsidRPr="009819CE">
        <w:rPr>
          <w:rFonts w:cstheme="minorBidi"/>
          <w:i/>
          <w:iCs/>
        </w:rPr>
        <w:t>Hematodinium</w:t>
      </w:r>
      <w:r w:rsidRPr="009819CE">
        <w:rPr>
          <w:rFonts w:cstheme="minorBidi"/>
        </w:rPr>
        <w:t xml:space="preserve"> belongs to the family </w:t>
      </w:r>
      <w:r w:rsidRPr="009819CE">
        <w:rPr>
          <w:rFonts w:cstheme="minorBidi"/>
          <w:i/>
          <w:iCs/>
        </w:rPr>
        <w:t>Syndiniceae</w:t>
      </w:r>
      <w:r w:rsidRPr="009819CE">
        <w:rPr>
          <w:rFonts w:cstheme="minorBidi"/>
        </w:rPr>
        <w:t xml:space="preserve">, order </w:t>
      </w:r>
      <w:r w:rsidRPr="009819CE">
        <w:rPr>
          <w:rFonts w:cstheme="minorBidi"/>
          <w:i/>
          <w:iCs/>
        </w:rPr>
        <w:t>Syndinida</w:t>
      </w:r>
      <w:r w:rsidRPr="009819CE">
        <w:rPr>
          <w:rFonts w:cstheme="minorBidi"/>
        </w:rPr>
        <w:t xml:space="preserve">, Class </w:t>
      </w:r>
      <w:r w:rsidRPr="009819CE">
        <w:rPr>
          <w:rFonts w:cstheme="minorBidi"/>
          <w:i/>
          <w:iCs/>
        </w:rPr>
        <w:t>Dinophyceae</w:t>
      </w:r>
      <w:r w:rsidRPr="009819CE">
        <w:rPr>
          <w:rFonts w:cstheme="minorBidi"/>
        </w:rPr>
        <w:t xml:space="preserve">. At present, there are only two defined species of this genus: </w:t>
      </w:r>
      <w:r w:rsidR="009D03F4" w:rsidRPr="009819CE">
        <w:rPr>
          <w:rFonts w:cstheme="minorBidi"/>
          <w:i/>
          <w:iCs/>
        </w:rPr>
        <w:t>Hematodinium</w:t>
      </w:r>
      <w:r w:rsidRPr="009819CE">
        <w:rPr>
          <w:rFonts w:cstheme="minorBidi"/>
          <w:i/>
          <w:iCs/>
        </w:rPr>
        <w:t xml:space="preserve"> perezi</w:t>
      </w:r>
      <w:r w:rsidRPr="009819CE">
        <w:rPr>
          <w:rFonts w:cstheme="minorBidi"/>
        </w:rPr>
        <w:t xml:space="preserve"> and </w:t>
      </w:r>
      <w:r w:rsidR="009D03F4" w:rsidRPr="009819CE">
        <w:rPr>
          <w:rFonts w:cstheme="minorBidi"/>
          <w:i/>
          <w:iCs/>
        </w:rPr>
        <w:t>Hematodinium</w:t>
      </w:r>
      <w:r w:rsidRPr="009819CE">
        <w:rPr>
          <w:rFonts w:cstheme="minorBidi"/>
          <w:i/>
          <w:iCs/>
        </w:rPr>
        <w:t xml:space="preserve"> australis</w:t>
      </w:r>
      <w:r w:rsidRPr="009819CE">
        <w:rPr>
          <w:rFonts w:cstheme="minorBidi"/>
        </w:rPr>
        <w:t xml:space="preserve"> </w:t>
      </w:r>
      <w:r w:rsidRPr="009819CE">
        <w:rPr>
          <w:rFonts w:cstheme="minorBidi"/>
        </w:rPr>
        <w:fldChar w:fldCharType="begin">
          <w:fldData xml:space="preserve">PEVuZE5vdGU+PENpdGU+PEF1dGhvcj5DaGF0dG9uPC9BdXRob3I+PFllYXI+MTkzMDwvWWVhcj48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</w:fldData>
        </w:fldChar>
      </w:r>
      <w:r w:rsidR="0073279A" w:rsidRPr="009819CE">
        <w:rPr>
          <w:rFonts w:cstheme="minorBidi"/>
        </w:rPr>
        <w:instrText xml:space="preserve"> ADDIN EN.CITE </w:instrText>
      </w:r>
      <w:r w:rsidR="0073279A" w:rsidRPr="009819CE">
        <w:rPr>
          <w:rFonts w:cstheme="minorBidi"/>
        </w:rPr>
        <w:fldChar w:fldCharType="begin">
          <w:fldData xml:space="preserve">PEVuZE5vdGU+PENpdGU+PEF1dGhvcj5DaGF0dG9uPC9BdXRob3I+PFllYXI+MTkzMDwvWWVhcj48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</w:fldData>
        </w:fldChar>
      </w:r>
      <w:r w:rsidR="0073279A" w:rsidRPr="009819CE">
        <w:rPr>
          <w:rFonts w:cstheme="minorBidi"/>
        </w:rPr>
        <w:instrText xml:space="preserve"> ADDIN EN.CITE.DATA </w:instrText>
      </w:r>
      <w:r w:rsidR="0073279A" w:rsidRPr="009819CE">
        <w:rPr>
          <w:rFonts w:cstheme="minorBidi"/>
        </w:rPr>
      </w:r>
      <w:r w:rsidR="0073279A" w:rsidRPr="009819CE">
        <w:rPr>
          <w:rFonts w:cstheme="minorBidi"/>
        </w:rPr>
        <w:fldChar w:fldCharType="end"/>
      </w:r>
      <w:r w:rsidRPr="009819CE">
        <w:rPr>
          <w:rFonts w:cstheme="minorBidi"/>
        </w:rPr>
      </w:r>
      <w:r w:rsidRPr="009819CE">
        <w:rPr>
          <w:rFonts w:cstheme="minorBidi"/>
        </w:rPr>
        <w:fldChar w:fldCharType="separate"/>
      </w:r>
      <w:r w:rsidR="00C51217" w:rsidRPr="007268F5">
        <w:rPr>
          <w:rFonts w:cstheme="minorBidi"/>
        </w:rPr>
        <w:t>(</w:t>
      </w:r>
      <w:hyperlink w:anchor="_ENREF_45" w:tooltip="Chatton, 1930 #185" w:history="1">
        <w:r w:rsidR="00950097" w:rsidRPr="007268F5">
          <w:rPr>
            <w:rFonts w:cstheme="minorBidi"/>
          </w:rPr>
          <w:t>Chatton and Poisson, 1930</w:t>
        </w:r>
      </w:hyperlink>
      <w:r w:rsidR="00C51217" w:rsidRPr="007268F5">
        <w:rPr>
          <w:rFonts w:cstheme="minorBidi"/>
        </w:rPr>
        <w:t xml:space="preserve">; </w:t>
      </w:r>
      <w:hyperlink w:anchor="_ENREF_151" w:tooltip="Hudson, 1994 #425" w:history="1">
        <w:r w:rsidR="00950097" w:rsidRPr="007268F5">
          <w:rPr>
            <w:rFonts w:cstheme="minorBidi"/>
          </w:rPr>
          <w:t>Hudson and Shields, 1994</w:t>
        </w:r>
      </w:hyperlink>
      <w:r w:rsidR="00C51217" w:rsidRPr="007268F5">
        <w:rPr>
          <w:rFonts w:cstheme="minorBidi"/>
        </w:rPr>
        <w:t>)</w:t>
      </w:r>
      <w:r w:rsidRPr="009819CE">
        <w:rPr>
          <w:rFonts w:cstheme="minorBidi"/>
        </w:rPr>
        <w:fldChar w:fldCharType="end"/>
      </w:r>
      <w:r w:rsidRPr="009819CE">
        <w:rPr>
          <w:rFonts w:cstheme="minorBidi"/>
        </w:rPr>
        <w:t xml:space="preserve">. The </w:t>
      </w:r>
      <w:r w:rsidR="009D03F4" w:rsidRPr="009819CE">
        <w:rPr>
          <w:rFonts w:cstheme="minorBidi"/>
          <w:i/>
          <w:iCs/>
        </w:rPr>
        <w:t>Hematodinium</w:t>
      </w:r>
      <w:r w:rsidRPr="009819CE">
        <w:rPr>
          <w:rFonts w:cstheme="minorBidi"/>
        </w:rPr>
        <w:t xml:space="preserve"> species associated with </w:t>
      </w:r>
      <w:r w:rsidR="00C31E47" w:rsidRPr="009819CE">
        <w:rPr>
          <w:rFonts w:cstheme="minorBidi"/>
          <w:i/>
          <w:iCs/>
        </w:rPr>
        <w:t>Nephrops</w:t>
      </w:r>
      <w:r w:rsidRPr="009819CE">
        <w:rPr>
          <w:rFonts w:cstheme="minorBidi"/>
        </w:rPr>
        <w:t xml:space="preserve"> in the West Coast of Scotland is a separate species from the two previously described  </w:t>
      </w:r>
      <w:r w:rsidRPr="009819CE">
        <w:rPr>
          <w:rFonts w:cstheme="minorBidi"/>
        </w:rPr>
        <w:fldChar w:fldCharType="begin"/>
      </w:r>
      <w:r w:rsidR="00D50EFF" w:rsidRPr="009819CE">
        <w:rPr>
          <w:rFonts w:cstheme="minorBidi"/>
        </w:rPr>
        <w:instrText xml:space="preserve"> ADDIN EN.CITE &lt;EndNote&gt;&lt;Cite&gt;&lt;Author&gt;Stentiford&lt;/Author&gt;&lt;Year&gt;2005&lt;/Year&gt;&lt;RecNum&gt;156&lt;/RecNum&gt;&lt;DisplayText&gt;(Stentiford and Shields, 2005)&lt;/DisplayText&gt;&lt;record&gt;&lt;rec-number&gt;156&lt;/rec-number&gt;&lt;foreign-keys&gt;&lt;key app="EN" db-id="sd9wrx9fj09rx3erprsx999o0r5aprvp2zse" timestamp="1687855901" guid="f898d037-301b-4944-b879-7b243ff3fb71"&gt;156&lt;/key&gt;&lt;/foreign-keys&gt;&lt;ref-type name="Journal Article"&gt;17&lt;/ref-type&gt;&lt;contributors&gt;&lt;authors&gt;&lt;author&gt;Stentiford, Grant D.&lt;/author&gt;&lt;author&gt;Shields, Jeffrey D.&lt;/author&gt;&lt;/authors&gt;&lt;/contributors&gt;&lt;titles&gt;&lt;title&gt;&lt;style face="normal" font="default" size="100%"&gt;A review of the parasitic dinoflagellates &lt;/style&gt;&lt;style face="italic" font="default" size="100%"&gt;Hematodinium s&lt;/style&gt;&lt;style face="normal" font="default" size="100%"&gt;pecies and &lt;/style&gt;&lt;style face="italic" font="default" size="100%"&gt;Hematodinium&lt;/style&gt;&lt;style face="normal" font="default" size="100%"&gt;-like infections in marine crustaceans&lt;/style&gt;&lt;/title&gt;&lt;secondary-title&gt;Diseases of Aquatic Organisms&lt;/secondary-title&gt;&lt;/titles&gt;&lt;periodical&gt;&lt;full-title&gt;Diseases of Aquatic Organisms&lt;/full-title&gt;&lt;/periodical&gt;&lt;pages&gt;47-70&lt;/pages&gt;&lt;volume&gt;66&lt;/volume&gt;&lt;number&gt;1&lt;/number&gt;&lt;keywords&gt;&lt;keyword&gt;Crab&lt;/keyword&gt;&lt;keyword&gt;Disease&lt;/keyword&gt;&lt;keyword&gt;Fishery&lt;/keyword&gt;&lt;keyword&gt;Life cycle&lt;/keyword&gt;&lt;keyword&gt;Lobster&lt;/keyword&gt;&lt;keyword&gt;Pathology&lt;/keyword&gt;&lt;keyword&gt;Physiology&lt;/keyword&gt;&lt;keyword&gt;Population&lt;/keyword&gt;&lt;/keywords&gt;&lt;dates&gt;&lt;year&gt;2005&lt;/year&gt;&lt;/dates&gt;&lt;urls&gt;&lt;related-urls&gt;&lt;url&gt;http://www.int-res.com/abstracts/dao/v66/n1/p47-70/&lt;/url&gt;&lt;url&gt;https://www.int-res.com/articles/dao2005/66/d066p047.pdf&lt;/url&gt;&lt;/related-urls&gt;&lt;/urls&gt;&lt;electronic-resource-num&gt;10.3354/dao066047&lt;/electronic-resource-num&gt;&lt;/record&gt;&lt;/Cite&gt;&lt;/EndNote&gt;</w:instrText>
      </w:r>
      <w:r w:rsidRPr="009819CE">
        <w:rPr>
          <w:rFonts w:cstheme="minorBidi"/>
        </w:rPr>
        <w:fldChar w:fldCharType="separate"/>
      </w:r>
      <w:r w:rsidR="00D50EFF" w:rsidRPr="009819CE">
        <w:rPr>
          <w:rFonts w:cstheme="minorBidi"/>
        </w:rPr>
        <w:t>(</w:t>
      </w:r>
      <w:hyperlink w:anchor="_ENREF_310" w:tooltip="Stentiford, 2005 #156" w:history="1">
        <w:r w:rsidR="00950097" w:rsidRPr="009819CE">
          <w:rPr>
            <w:rFonts w:cstheme="minorBidi"/>
          </w:rPr>
          <w:t>Stentiford and Shields, 2005</w:t>
        </w:r>
      </w:hyperlink>
      <w:r w:rsidR="00D50EFF" w:rsidRPr="009819CE">
        <w:rPr>
          <w:rFonts w:cstheme="minorBidi"/>
        </w:rPr>
        <w:t>)</w:t>
      </w:r>
      <w:r w:rsidRPr="009819CE">
        <w:rPr>
          <w:rFonts w:cstheme="minorBidi"/>
        </w:rPr>
        <w:fldChar w:fldCharType="end"/>
      </w:r>
      <w:r w:rsidRPr="009819CE">
        <w:rPr>
          <w:rFonts w:cstheme="minorBidi"/>
        </w:rPr>
        <w:t xml:space="preserve">, and is yet to be formally identified, so will therefore be referred to as </w:t>
      </w:r>
      <w:r w:rsidR="009D03F4" w:rsidRPr="009819CE">
        <w:rPr>
          <w:rFonts w:cstheme="minorBidi"/>
          <w:i/>
          <w:iCs/>
        </w:rPr>
        <w:t>Hematodinium</w:t>
      </w:r>
      <w:r w:rsidRPr="009819CE">
        <w:rPr>
          <w:rFonts w:cstheme="minorBidi"/>
        </w:rPr>
        <w:t xml:space="preserve"> sp. </w:t>
      </w:r>
      <w:r w:rsidRPr="009819CE">
        <w:rPr>
          <w:rStyle w:val="Emphasis"/>
          <w:rFonts w:cstheme="minorBidi"/>
          <w:i w:val="0"/>
          <w:iCs w:val="0"/>
          <w:color w:val="0E101A"/>
        </w:rPr>
        <w:t xml:space="preserve">Only marine crustaceans have been reported to be infected with </w:t>
      </w:r>
      <w:r w:rsidR="009D03F4" w:rsidRPr="009819CE">
        <w:rPr>
          <w:rStyle w:val="Emphasis"/>
          <w:rFonts w:cstheme="minorBidi"/>
          <w:color w:val="0E101A"/>
        </w:rPr>
        <w:t>Hematodinium</w:t>
      </w:r>
      <w:r w:rsidRPr="009819CE">
        <w:rPr>
          <w:rStyle w:val="Emphasis"/>
          <w:rFonts w:cstheme="minorBidi"/>
          <w:color w:val="0E101A"/>
        </w:rPr>
        <w:t xml:space="preserve"> </w:t>
      </w:r>
      <w:r w:rsidRPr="009819CE">
        <w:rPr>
          <w:rStyle w:val="Emphasis"/>
          <w:rFonts w:cstheme="minorBidi"/>
          <w:i w:val="0"/>
          <w:iCs w:val="0"/>
          <w:color w:val="0E101A"/>
        </w:rPr>
        <w:t xml:space="preserve">species </w:t>
      </w:r>
      <w:r w:rsidRPr="009819CE">
        <w:rPr>
          <w:rStyle w:val="Emphasis"/>
          <w:rFonts w:cstheme="minorBidi"/>
          <w:i w:val="0"/>
          <w:iCs w:val="0"/>
          <w:color w:val="0E101A"/>
        </w:rPr>
        <w:fldChar w:fldCharType="begin"/>
      </w:r>
      <w:r w:rsidR="00D50EFF" w:rsidRPr="009819CE">
        <w:rPr>
          <w:rStyle w:val="Emphasis"/>
          <w:rFonts w:cstheme="minorBidi"/>
          <w:i w:val="0"/>
          <w:iCs w:val="0"/>
          <w:color w:val="0E101A"/>
        </w:rPr>
        <w:instrText xml:space="preserve"> ADDIN EN.CITE &lt;EndNote&gt;&lt;Cite&gt;&lt;Author&gt;Shields&lt;/Author&gt;&lt;Year&gt;1994&lt;/Year&gt;&lt;RecNum&gt;100&lt;/RecNum&gt;&lt;DisplayText&gt;(Shields, 1994)&lt;/DisplayText&gt;&lt;record&gt;&lt;rec-number&gt;100&lt;/rec-number&gt;&lt;foreign-keys&gt;&lt;key app="EN" db-id="sd9wrx9fj09rx3erprsx999o0r5aprvp2zse" timestamp="1687855901" guid="e7949e2d-78a2-4920-aa7e-b3655adbb6b5"&gt;100&lt;/key&gt;&lt;/foreign-keys&gt;&lt;ref-type name="Journal Article"&gt;17&lt;/ref-type&gt;&lt;contributors&gt;&lt;authors&gt;&lt;author&gt;Shields, Jeffrey D.&lt;/author&gt;&lt;/authors&gt;&lt;/contributors&gt;&lt;titles&gt;&lt;title&gt;The parasitic dinoflagellates of marine crustaceans&lt;/title&gt;&lt;secondary-title&gt;Annual Review of Fish Diseases&lt;/secondary-title&gt;&lt;/titles&gt;&lt;periodical&gt;&lt;full-title&gt;Annual Review of Fish Diseases&lt;/full-title&gt;&lt;/periodical&gt;&lt;pages&gt;241-271&lt;/pages&gt;&lt;volume&gt;4&lt;/volume&gt;&lt;keywords&gt;&lt;keyword&gt;Actinodinium&lt;/keyword&gt;&lt;keyword&gt;Atelodinium&lt;/keyword&gt;&lt;keyword&gt;Blastodinium&lt;/keyword&gt;&lt;keyword&gt;Chytriodinium&lt;/keyword&gt;&lt;keyword&gt;Dissodinium&lt;/keyword&gt;&lt;keyword&gt;Ellobiocystis&lt;/keyword&gt;&lt;keyword&gt;Ellobiopsis&lt;/keyword&gt;&lt;keyword&gt;Epizootiology&lt;/keyword&gt;&lt;keyword&gt;Hematodinium&lt;/keyword&gt;&lt;keyword&gt;Life cycle&lt;/keyword&gt;&lt;keyword&gt;Paradinium&lt;/keyword&gt;&lt;keyword&gt;Parallobiopsis&lt;/keyword&gt;&lt;keyword&gt;Pathology&lt;/keyword&gt;&lt;keyword&gt;Rhizellobiopsis&lt;/keyword&gt;&lt;keyword&gt;Schizochytriodinium&lt;/keyword&gt;&lt;keyword&gt;Syltodinium&lt;/keyword&gt;&lt;keyword&gt;Syndinium&lt;/keyword&gt;&lt;keyword&gt;Taxonomy&lt;/keyword&gt;&lt;keyword&gt;Thalassomyces&lt;/keyword&gt;&lt;keyword&gt;Trypanodinium&lt;/keyword&gt;&lt;/keywords&gt;&lt;dates&gt;&lt;year&gt;1994&lt;/year&gt;&lt;pub-dates&gt;&lt;date&gt;1994/1//&lt;/date&gt;&lt;/pub-dates&gt;&lt;/dates&gt;&lt;urls&gt;&lt;related-urls&gt;&lt;url&gt;https://linkinghub.elsevier.com/retrieve/pii/0959803094900310&lt;/url&gt;&lt;url&gt;https://www.sciencedirect.com/science/article/abs/pii/0959803094900310?via%3Dihub&lt;/url&gt;&lt;/related-urls&gt;&lt;/urls&gt;&lt;electronic-resource-num&gt;10.1016/0959-8030(94)90031-0&lt;/electronic-resource-num&gt;&lt;/record&gt;&lt;/Cite&gt;&lt;/EndNote&gt;</w:instrText>
      </w:r>
      <w:r w:rsidRPr="009819CE">
        <w:rPr>
          <w:rStyle w:val="Emphasis"/>
          <w:rFonts w:cstheme="minorBidi"/>
          <w:i w:val="0"/>
          <w:iCs w:val="0"/>
          <w:color w:val="0E101A"/>
        </w:rPr>
        <w:fldChar w:fldCharType="separate"/>
      </w:r>
      <w:r w:rsidR="00D50EFF" w:rsidRPr="009819CE">
        <w:rPr>
          <w:rStyle w:val="Emphasis"/>
          <w:rFonts w:cstheme="minorBidi"/>
          <w:i w:val="0"/>
          <w:iCs w:val="0"/>
          <w:color w:val="0E101A"/>
        </w:rPr>
        <w:t>(</w:t>
      </w:r>
      <w:hyperlink w:anchor="_ENREF_278" w:tooltip="Shields, 1994 #100" w:history="1">
        <w:r w:rsidR="00950097" w:rsidRPr="009819CE">
          <w:rPr>
            <w:rStyle w:val="Emphasis"/>
            <w:rFonts w:cstheme="minorBidi"/>
            <w:i w:val="0"/>
            <w:iCs w:val="0"/>
            <w:color w:val="0E101A"/>
          </w:rPr>
          <w:t>Shields, 1994</w:t>
        </w:r>
      </w:hyperlink>
      <w:r w:rsidR="00D50EFF" w:rsidRPr="009819CE">
        <w:rPr>
          <w:rStyle w:val="Emphasis"/>
          <w:rFonts w:cstheme="minorBidi"/>
          <w:i w:val="0"/>
          <w:iCs w:val="0"/>
          <w:color w:val="0E101A"/>
        </w:rPr>
        <w:t>)</w:t>
      </w:r>
      <w:r w:rsidRPr="009819CE">
        <w:rPr>
          <w:rStyle w:val="Emphasis"/>
          <w:rFonts w:cstheme="minorBidi"/>
          <w:i w:val="0"/>
          <w:iCs w:val="0"/>
          <w:color w:val="0E101A"/>
        </w:rPr>
        <w:fldChar w:fldCharType="end"/>
      </w:r>
      <w:r w:rsidRPr="009819CE">
        <w:rPr>
          <w:rFonts w:cstheme="minorBidi"/>
          <w:i/>
        </w:rPr>
        <w:t>.</w:t>
      </w:r>
      <w:r w:rsidRPr="009819CE">
        <w:rPr>
          <w:rFonts w:cstheme="minorBidi"/>
        </w:rPr>
        <w:t xml:space="preserve"> To date, the presence of </w:t>
      </w:r>
      <w:r w:rsidR="009D03F4" w:rsidRPr="009819CE">
        <w:rPr>
          <w:rFonts w:cstheme="minorBidi"/>
          <w:i/>
          <w:iCs/>
        </w:rPr>
        <w:t>Hematodinium</w:t>
      </w:r>
      <w:r w:rsidRPr="009819CE">
        <w:rPr>
          <w:rFonts w:cstheme="minorBidi"/>
        </w:rPr>
        <w:t xml:space="preserve"> has been reported in over 40 commercially important crustacean species around the world (reviewed by </w:t>
      </w:r>
      <w:r w:rsidRPr="009819CE">
        <w:rPr>
          <w:rFonts w:cstheme="minorBidi"/>
        </w:rPr>
        <w:fldChar w:fldCharType="begin">
          <w:fldData xml:space="preserve">PEVuZE5vdGU+PENpdGUgQXV0aG9yWWVhcj0iMSI+PEF1dGhvcj5TdGVudGlmb3JkPC9BdXRob3I+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PEVuZE5vdGU+PENpdGUgQXV0aG9yWWVhcj0iMSI+PEF1dGhvcj5TdGVudGlmb3JkPC9BdXRob3I+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hyperlink w:anchor="_ENREF_175" w:tooltip="Li, 2021 #453" w:history="1">
        <w:r w:rsidR="00950097" w:rsidRPr="007268F5">
          <w:rPr>
            <w:rFonts w:cstheme="minorBidi"/>
          </w:rPr>
          <w:t>Li et al. (2021a)</w:t>
        </w:r>
      </w:hyperlink>
      <w:r w:rsidR="00D50EFF" w:rsidRPr="007268F5">
        <w:rPr>
          <w:rFonts w:cstheme="minorBidi"/>
        </w:rPr>
        <w:t xml:space="preserve">; </w:t>
      </w:r>
      <w:hyperlink w:anchor="_ENREF_310" w:tooltip="Stentiford, 2005 #156" w:history="1">
        <w:r w:rsidR="00950097" w:rsidRPr="007268F5">
          <w:rPr>
            <w:rFonts w:cstheme="minorBidi"/>
          </w:rPr>
          <w:t>Stentiford and Shields (2005)</w:t>
        </w:r>
      </w:hyperlink>
      <w:r w:rsidRPr="009819CE">
        <w:rPr>
          <w:rFonts w:cstheme="minorBidi"/>
        </w:rPr>
        <w:fldChar w:fldCharType="end"/>
      </w:r>
      <w:r w:rsidRPr="009819CE">
        <w:rPr>
          <w:rFonts w:cstheme="minorBidi"/>
        </w:rPr>
        <w:t xml:space="preserve">). </w:t>
      </w:r>
      <w:r w:rsidR="00541DC9" w:rsidRPr="00FA7D47">
        <w:rPr>
          <w:rFonts w:cstheme="minorBidi"/>
        </w:rPr>
        <w:t xml:space="preserve">High </w:t>
      </w:r>
      <w:r w:rsidRPr="009819CE">
        <w:rPr>
          <w:rFonts w:cstheme="minorBidi"/>
        </w:rPr>
        <w:t xml:space="preserve">levels of infection by </w:t>
      </w:r>
      <w:r w:rsidR="009D03F4" w:rsidRPr="009819CE">
        <w:rPr>
          <w:rFonts w:cstheme="minorBidi"/>
          <w:i/>
          <w:iCs/>
        </w:rPr>
        <w:t>Hematodinium</w:t>
      </w:r>
      <w:r w:rsidRPr="009819CE">
        <w:rPr>
          <w:rFonts w:cstheme="minorBidi"/>
        </w:rPr>
        <w:t xml:space="preserve"> parasites in crustacean species cause economic losses through increased mortality and by making the product unmarketable </w:t>
      </w:r>
      <w:r w:rsidRPr="009819CE">
        <w:rPr>
          <w:rFonts w:cstheme="minorBidi"/>
        </w:rPr>
        <w:fldChar w:fldCharType="begin">
          <w:fldData xml:space="preserve">PEVuZE5vdGU+PENpdGU+PEF1dGhvcj5NZXllcnM8L0F1dGhvcj48WWVhcj4xOTg3PC9ZZWFyPjxS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</w:fldData>
        </w:fldChar>
      </w:r>
      <w:r w:rsidR="003353A0" w:rsidRPr="009819CE">
        <w:rPr>
          <w:rFonts w:cstheme="minorBidi"/>
        </w:rPr>
        <w:instrText xml:space="preserve"> ADDIN EN.CITE </w:instrText>
      </w:r>
      <w:r w:rsidR="003353A0" w:rsidRPr="009819CE">
        <w:rPr>
          <w:rFonts w:cstheme="minorBidi"/>
        </w:rPr>
        <w:fldChar w:fldCharType="begin">
          <w:fldData xml:space="preserve">PEVuZE5vdGU+PENpdGU+PEF1dGhvcj5NZXllcnM8L0F1dGhvcj48WWVhcj4xOTg3PC9ZZWFyPjxS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</w:fldData>
        </w:fldChar>
      </w:r>
      <w:r w:rsidR="003353A0" w:rsidRPr="009819CE">
        <w:rPr>
          <w:rFonts w:cstheme="minorBidi"/>
        </w:rPr>
        <w:instrText xml:space="preserve"> ADDIN EN.CITE.DATA </w:instrText>
      </w:r>
      <w:r w:rsidR="003353A0" w:rsidRPr="009819CE">
        <w:rPr>
          <w:rFonts w:cstheme="minorBidi"/>
        </w:rPr>
      </w:r>
      <w:r w:rsidR="003353A0"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0" w:tooltip="Albalat, 2012 #24" w:history="1">
        <w:r w:rsidR="00950097" w:rsidRPr="007268F5">
          <w:rPr>
            <w:rFonts w:cstheme="minorBidi"/>
          </w:rPr>
          <w:t>Albalat et al., 2012</w:t>
        </w:r>
      </w:hyperlink>
      <w:r w:rsidR="00D50EFF" w:rsidRPr="007268F5">
        <w:rPr>
          <w:rFonts w:cstheme="minorBidi"/>
        </w:rPr>
        <w:t xml:space="preserve">; </w:t>
      </w:r>
      <w:hyperlink w:anchor="_ENREF_217" w:tooltip="Meyers, 1987 #428" w:history="1">
        <w:r w:rsidR="00950097" w:rsidRPr="007268F5">
          <w:rPr>
            <w:rFonts w:cstheme="minorBidi"/>
          </w:rPr>
          <w:t>Meyers et al., 1987</w:t>
        </w:r>
      </w:hyperlink>
      <w:r w:rsidR="00D50EFF" w:rsidRPr="007268F5">
        <w:rPr>
          <w:rFonts w:cstheme="minorBidi"/>
        </w:rPr>
        <w:t>)</w:t>
      </w:r>
      <w:r w:rsidRPr="009819CE">
        <w:rPr>
          <w:rFonts w:cstheme="minorBidi"/>
        </w:rPr>
        <w:fldChar w:fldCharType="end"/>
      </w:r>
      <w:r w:rsidRPr="009819CE">
        <w:rPr>
          <w:rFonts w:cstheme="minorBidi"/>
          <w:color w:val="0070C0"/>
        </w:rPr>
        <w:t>.</w:t>
      </w:r>
    </w:p>
    <w:p w14:paraId="37F7BA97" w14:textId="7825D133" w:rsidR="00F36ABA" w:rsidRPr="009819CE" w:rsidRDefault="00F36ABA" w:rsidP="00F36ABA">
      <w:pPr>
        <w:rPr>
          <w:rFonts w:cstheme="minorBidi"/>
        </w:rPr>
      </w:pPr>
      <w:r w:rsidRPr="009819CE">
        <w:rPr>
          <w:rFonts w:cstheme="minorBidi"/>
        </w:rPr>
        <w:t xml:space="preserve">The Clyde Sea Area (CSA), on the West Coast of Scotland is one of the best studied </w:t>
      </w:r>
      <w:r w:rsidR="009D03F4" w:rsidRPr="009819CE">
        <w:rPr>
          <w:rFonts w:cstheme="minorBidi"/>
          <w:i/>
          <w:iCs/>
        </w:rPr>
        <w:t>Hematodinium</w:t>
      </w:r>
      <w:r w:rsidRPr="009819CE">
        <w:rPr>
          <w:rFonts w:cstheme="minorBidi"/>
        </w:rPr>
        <w:t>-</w:t>
      </w:r>
      <w:r w:rsidR="00C31E47" w:rsidRPr="009819CE">
        <w:rPr>
          <w:rFonts w:cstheme="minorBidi"/>
          <w:i/>
        </w:rPr>
        <w:t>Nephrops</w:t>
      </w:r>
      <w:r w:rsidRPr="009819CE">
        <w:rPr>
          <w:rFonts w:cstheme="minorBidi"/>
        </w:rPr>
        <w:t xml:space="preserve"> pathosystems </w:t>
      </w:r>
      <w:r w:rsidRPr="009819CE">
        <w:rPr>
          <w:rFonts w:cstheme="minorBidi"/>
        </w:rPr>
        <w:fldChar w:fldCharType="begin">
          <w:fldData xml:space="preserve">PEVuZE5vdGU+PENpdGU+PEF1dGhvcj5GaWVsZDwvQXV0aG9yPjxZZWFyPjE5OTI8L1llYXI+PFJl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=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PEVuZE5vdGU+PENpdGU+PEF1dGhvcj5GaWVsZDwvQXV0aG9yPjxZZWFyPjE5OTI8L1llYXI+PFJl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=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A82560" w:rsidRPr="007268F5">
        <w:rPr>
          <w:rFonts w:cstheme="minorBidi"/>
        </w:rPr>
        <w:t>(</w:t>
      </w:r>
      <w:hyperlink w:anchor="_ENREF_29" w:tooltip="Beevers, 2012 #377" w:history="1">
        <w:r w:rsidR="00950097" w:rsidRPr="007268F5">
          <w:rPr>
            <w:rFonts w:cstheme="minorBidi"/>
          </w:rPr>
          <w:t>Beevers et al., 2012</w:t>
        </w:r>
      </w:hyperlink>
      <w:r w:rsidR="00A82560" w:rsidRPr="007268F5">
        <w:rPr>
          <w:rFonts w:cstheme="minorBidi"/>
        </w:rPr>
        <w:t xml:space="preserve">; </w:t>
      </w:r>
      <w:hyperlink w:anchor="_ENREF_93" w:tooltip="Field, 1996 #105" w:history="1">
        <w:r w:rsidR="00950097" w:rsidRPr="007268F5">
          <w:rPr>
            <w:rFonts w:cstheme="minorBidi"/>
          </w:rPr>
          <w:t>Field and Appleton, 1996</w:t>
        </w:r>
      </w:hyperlink>
      <w:r w:rsidR="00A82560" w:rsidRPr="007268F5">
        <w:rPr>
          <w:rFonts w:cstheme="minorBidi"/>
        </w:rPr>
        <w:t xml:space="preserve">; </w:t>
      </w:r>
      <w:hyperlink w:anchor="_ENREF_95" w:tooltip="Field, 1992 #448" w:history="1">
        <w:r w:rsidR="00950097" w:rsidRPr="007268F5">
          <w:rPr>
            <w:rFonts w:cstheme="minorBidi"/>
          </w:rPr>
          <w:t>Field et al., 1992</w:t>
        </w:r>
      </w:hyperlink>
      <w:r w:rsidR="00A82560" w:rsidRPr="007268F5">
        <w:rPr>
          <w:rFonts w:cstheme="minorBidi"/>
        </w:rPr>
        <w:t xml:space="preserve">; </w:t>
      </w:r>
      <w:hyperlink w:anchor="_ENREF_96" w:tooltip="Field, 1998 #1686" w:history="1">
        <w:r w:rsidR="00950097" w:rsidRPr="007268F5">
          <w:rPr>
            <w:rFonts w:cstheme="minorBidi"/>
          </w:rPr>
          <w:t>Field et al., 1998</w:t>
        </w:r>
      </w:hyperlink>
      <w:r w:rsidR="00A82560" w:rsidRPr="007268F5">
        <w:rPr>
          <w:rFonts w:cstheme="minorBidi"/>
        </w:rPr>
        <w:t xml:space="preserve">; </w:t>
      </w:r>
      <w:hyperlink w:anchor="_ENREF_288" w:tooltip="Small, 2004 #242" w:history="1">
        <w:r w:rsidR="00950097" w:rsidRPr="007268F5">
          <w:rPr>
            <w:rFonts w:cstheme="minorBidi"/>
          </w:rPr>
          <w:t>Small, 2004</w:t>
        </w:r>
      </w:hyperlink>
      <w:r w:rsidR="00A82560" w:rsidRPr="007268F5">
        <w:rPr>
          <w:rFonts w:cstheme="minorBidi"/>
        </w:rPr>
        <w:t xml:space="preserve">; </w:t>
      </w:r>
      <w:hyperlink w:anchor="_ENREF_297" w:tooltip="Stentiford, 2001 #124" w:history="1">
        <w:r w:rsidR="00950097" w:rsidRPr="007268F5">
          <w:rPr>
            <w:rFonts w:cstheme="minorBidi"/>
          </w:rPr>
          <w:t>Stentiford et al., 2001a</w:t>
        </w:r>
      </w:hyperlink>
      <w:r w:rsidR="00A82560" w:rsidRPr="007268F5">
        <w:rPr>
          <w:rFonts w:cstheme="minorBidi"/>
        </w:rPr>
        <w:t xml:space="preserve">; </w:t>
      </w:r>
      <w:hyperlink w:anchor="_ENREF_309" w:tooltip="Stentiford, 2001 #1822" w:history="1">
        <w:r w:rsidR="00950097" w:rsidRPr="007268F5">
          <w:rPr>
            <w:rFonts w:cstheme="minorBidi"/>
          </w:rPr>
          <w:t>Stentiford et al., 2001d</w:t>
        </w:r>
      </w:hyperlink>
      <w:r w:rsidR="00A82560" w:rsidRPr="007268F5">
        <w:rPr>
          <w:rFonts w:cstheme="minorBidi"/>
        </w:rPr>
        <w:t>)</w:t>
      </w:r>
      <w:r w:rsidRPr="009819CE">
        <w:rPr>
          <w:rFonts w:cstheme="minorBidi"/>
        </w:rPr>
        <w:fldChar w:fldCharType="end"/>
      </w:r>
      <w:r w:rsidRPr="009819CE">
        <w:rPr>
          <w:rFonts w:cstheme="minorBidi"/>
        </w:rPr>
        <w:t xml:space="preserve">. The first study reporting the presence of </w:t>
      </w:r>
      <w:r w:rsidR="009D03F4" w:rsidRPr="009819CE">
        <w:rPr>
          <w:rFonts w:cstheme="minorBidi"/>
          <w:i/>
          <w:iCs/>
        </w:rPr>
        <w:t>Hematodinium</w:t>
      </w:r>
      <w:r w:rsidRPr="009819CE">
        <w:rPr>
          <w:rFonts w:cstheme="minorBidi"/>
        </w:rPr>
        <w:t xml:space="preserve"> sp. infection in this area was in the early 1990s by Field, who reported prevalence levels above 80% </w:t>
      </w:r>
      <w:r w:rsidRPr="009819CE">
        <w:rPr>
          <w:rFonts w:cstheme="minorBidi"/>
        </w:rPr>
        <w:fldChar w:fldCharType="begin"/>
      </w:r>
      <w:r w:rsidR="00D50EFF" w:rsidRPr="009819CE">
        <w:rPr>
          <w:rFonts w:cstheme="minorBidi"/>
        </w:rPr>
        <w:instrText xml:space="preserve"> ADDIN EN.CITE &lt;EndNote&gt;&lt;Cite&gt;&lt;Author&gt;Field&lt;/Author&gt;&lt;Year&gt;1992&lt;/Year&gt;&lt;RecNum&gt;448&lt;/RecNum&gt;&lt;DisplayText&gt;(Field et al., 1992)&lt;/DisplayText&gt;&lt;record&gt;&lt;rec-number&gt;448&lt;/rec-number&gt;&lt;foreign-keys&gt;&lt;key app="EN" db-id="sd9wrx9fj09rx3erprsx999o0r5aprvp2zse" timestamp="1687855901" guid="b78ef845-3f27-43af-9d07-d8676723e1bf"&gt;448&lt;/key&gt;&lt;/foreign-keys&gt;&lt;ref-type name="Journal Article"&gt;17&lt;/ref-type&gt;&lt;contributors&gt;&lt;authors&gt;&lt;author&gt;Field, Robert Henry&lt;/author&gt;&lt;author&gt;Chapman, C. J.&lt;/author&gt;&lt;author&gt;Taylor, A. C.&lt;/author&gt;&lt;author&gt;Neil, Douglas M.&lt;/author&gt;&lt;author&gt;Vickerman, Keith&lt;/author&gt;&lt;/authors&gt;&lt;/contributors&gt;&lt;titles&gt;&lt;title&gt;&lt;style face="normal" font="default" size="100%"&gt;Infection of the Norway lobster &lt;/style&gt;&lt;style face="italic" font="default" size="100%"&gt;Nephrons norvegicus&lt;/style&gt;&lt;style face="normal" font="default" size="100%"&gt; by a &lt;/style&gt;&lt;style face="italic" font="default" size="100%"&gt;Hematodinium&lt;/style&gt;&lt;style face="normal" font="default" size="100%"&gt;-like species of dinoflagellate on the west coast of Scotland&lt;/style&gt;&lt;/title&gt;&lt;secondary-title&gt;Diseases of Aquatic Organisms&lt;/secondary-title&gt;&lt;/titles&gt;&lt;periodical&gt;&lt;full-title&gt;Diseases of Aquatic Organisms&lt;/full-title&gt;&lt;/periodical&gt;&lt;pages&gt;1-15&lt;/pages&gt;&lt;volume&gt;13&lt;/volume&gt;&lt;number&gt;1&lt;/number&gt;&lt;dates&gt;&lt;year&gt;1992&lt;/year&gt;&lt;/dates&gt;&lt;publisher&gt;Elsevier&lt;/publisher&gt;&lt;urls&gt;&lt;related-urls&gt;&lt;url&gt;http://www.int-res.com/articles/dao/13/d013p001.pdf&lt;/url&gt;&lt;/related-urls&gt;&lt;/urls&gt;&lt;electronic-resource-num&gt;10.3354/dao013001&lt;/electronic-resource-num&gt;&lt;/record&gt;&lt;/Cite&gt;&lt;/EndNote&gt;</w:instrText>
      </w:r>
      <w:r w:rsidRPr="009819CE">
        <w:rPr>
          <w:rFonts w:cstheme="minorBidi"/>
        </w:rPr>
        <w:fldChar w:fldCharType="separate"/>
      </w:r>
      <w:r w:rsidR="00D50EFF" w:rsidRPr="009819CE">
        <w:rPr>
          <w:rFonts w:cstheme="minorBidi"/>
        </w:rPr>
        <w:t>(</w:t>
      </w:r>
      <w:hyperlink w:anchor="_ENREF_95" w:tooltip="Field, 1992 #448" w:history="1">
        <w:r w:rsidR="00950097" w:rsidRPr="009819CE">
          <w:rPr>
            <w:rFonts w:cstheme="minorBidi"/>
          </w:rPr>
          <w:t>Field et al., 1992</w:t>
        </w:r>
      </w:hyperlink>
      <w:r w:rsidR="00D50EFF" w:rsidRPr="009819CE">
        <w:rPr>
          <w:rFonts w:cstheme="minorBidi"/>
        </w:rPr>
        <w:t>)</w:t>
      </w:r>
      <w:r w:rsidRPr="009819CE">
        <w:rPr>
          <w:rFonts w:cstheme="minorBidi"/>
        </w:rPr>
        <w:fldChar w:fldCharType="end"/>
      </w:r>
      <w:r w:rsidRPr="009819CE">
        <w:rPr>
          <w:rFonts w:cstheme="minorBidi"/>
        </w:rPr>
        <w:t xml:space="preserve">. However, prevalence values reported thereafter were at a lower but more relatively constant level of around 25-30% </w:t>
      </w:r>
      <w:r w:rsidRPr="009819CE">
        <w:rPr>
          <w:rFonts w:cstheme="minorBidi"/>
        </w:rPr>
        <w:fldChar w:fldCharType="begin">
          <w:fldData xml:space="preserve">PEVuZE5vdGU+PENpdGU+PEF1dGhvcj5TdGVudGlmb3JkPC9BdXRob3I+PFllYXI+MjAwMTwvWWVh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</w:fldData>
        </w:fldChar>
      </w:r>
      <w:r w:rsidR="001976BB" w:rsidRPr="009819CE">
        <w:rPr>
          <w:rFonts w:cstheme="minorBidi"/>
        </w:rPr>
        <w:instrText xml:space="preserve"> ADDIN EN.CITE </w:instrText>
      </w:r>
      <w:r w:rsidR="001976BB" w:rsidRPr="009819CE">
        <w:rPr>
          <w:rFonts w:cstheme="minorBidi"/>
        </w:rPr>
        <w:fldChar w:fldCharType="begin">
          <w:fldData xml:space="preserve">PEVuZE5vdGU+PENpdGU+PEF1dGhvcj5TdGVudGlmb3JkPC9BdXRob3I+PFllYXI+MjAwMTwvWWVh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</w:fldData>
        </w:fldChar>
      </w:r>
      <w:r w:rsidR="001976BB" w:rsidRPr="009819CE">
        <w:rPr>
          <w:rFonts w:cstheme="minorBidi"/>
        </w:rPr>
        <w:instrText xml:space="preserve"> ADDIN EN.CITE.DATA </w:instrText>
      </w:r>
      <w:r w:rsidR="001976BB" w:rsidRPr="009819CE">
        <w:rPr>
          <w:rFonts w:cstheme="minorBidi"/>
        </w:rPr>
      </w:r>
      <w:r w:rsidR="001976BB"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9" w:tooltip="Beevers, 2012 #377" w:history="1">
        <w:r w:rsidR="00950097" w:rsidRPr="007268F5">
          <w:rPr>
            <w:rFonts w:cstheme="minorBidi"/>
          </w:rPr>
          <w:t>Beevers et al., 2012</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w:t>
      </w:r>
    </w:p>
    <w:p w14:paraId="35BE1443" w14:textId="47A17B08" w:rsidR="00F36ABA" w:rsidRPr="009819CE" w:rsidRDefault="00F36ABA" w:rsidP="00F36ABA">
      <w:pPr>
        <w:rPr>
          <w:rFonts w:cstheme="minorBidi"/>
        </w:rPr>
      </w:pPr>
      <w:r w:rsidRPr="009819CE">
        <w:rPr>
          <w:rFonts w:cstheme="minorBidi"/>
        </w:rPr>
        <w:t xml:space="preserve">Biological rhythms or seasonality can confer an advantage for the survival, dispersion and perpetuation of parasites </w:t>
      </w:r>
      <w:r w:rsidRPr="009819CE">
        <w:rPr>
          <w:rFonts w:cstheme="minorBidi"/>
        </w:rPr>
        <w:fldChar w:fldCharType="begin"/>
      </w:r>
      <w:r w:rsidR="00ED1A9E" w:rsidRPr="009819CE">
        <w:rPr>
          <w:rFonts w:cstheme="minorBidi"/>
        </w:rPr>
        <w:instrText xml:space="preserve"> ADDIN EN.CITE &lt;EndNote&gt;&lt;Cite&gt;&lt;Author&gt;Reece&lt;/Author&gt;&lt;Year&gt;2017&lt;/Year&gt;&lt;RecNum&gt;901&lt;/RecNum&gt;&lt;DisplayText&gt;(Reece et al., 2017)&lt;/DisplayText&gt;&lt;record&gt;&lt;rec-number&gt;901&lt;/rec-number&gt;&lt;foreign-keys&gt;&lt;key app="EN" db-id="sd9wrx9fj09rx3erprsx999o0r5aprvp2zse" timestamp="1687855901" guid="fa72063c-eb3b-4e0e-912c-e7d90e96d3da"&gt;901&lt;/key&gt;&lt;/foreign-keys&gt;&lt;ref-type name="Journal Article"&gt;17&lt;/ref-type&gt;&lt;contributors&gt;&lt;authors&gt;&lt;author&gt;Reece, Sarah E.&lt;/author&gt;&lt;author&gt;Prior, Kimberley F.&lt;/author&gt;&lt;author&gt;Mideo, Nicole&lt;/author&gt;&lt;/authors&gt;&lt;/contributors&gt;&lt;titles&gt;&lt;title&gt;The life and times of parasites: rhythms in strategies for within-host survival and between-host transmission&lt;/title&gt;&lt;secondary-title&gt;Journal of Biological Rhythms&lt;/secondary-title&gt;&lt;/titles&gt;&lt;periodical&gt;&lt;full-title&gt;Journal of Biological Rhythms&lt;/full-title&gt;&lt;/periodical&gt;&lt;pages&gt;516-516&lt;/pages&gt;&lt;volume&gt;32&lt;/volume&gt;&lt;number&gt;6&lt;/number&gt;&lt;keywords&gt;&lt;keyword&gt;Plasmodium&lt;/keyword&gt;&lt;keyword&gt;adaptation&lt;/keyword&gt;&lt;keyword&gt;chronobiology&lt;/keyword&gt;&lt;keyword&gt;circadian rhythm&lt;/keyword&gt;&lt;keyword&gt;fitness&lt;/keyword&gt;&lt;keyword&gt;host-parasite interactions&lt;/keyword&gt;&lt;keyword&gt;life history&lt;/keyword&gt;&lt;keyword&gt;phenotypic plasticity&lt;/keyword&gt;&lt;keyword&gt;transmission&lt;/keyword&gt;&lt;/keywords&gt;&lt;dates&gt;&lt;year&gt;2017&lt;/year&gt;&lt;pub-dates&gt;&lt;date&gt;2017/12//&lt;/date&gt;&lt;/pub-dates&gt;&lt;/dates&gt;&lt;publisher&gt;SAGE Publications&lt;/publisher&gt;&lt;urls&gt;&lt;related-urls&gt;&lt;url&gt;/pmc/articles/PMC5734377/&lt;/url&gt;&lt;url&gt;/pmc/articles/PMC5734377/?report=abstract&lt;/url&gt;&lt;url&gt;https://www.ncbi.nlm.nih.gov/pmc/articles/PMC5734377/&lt;/url&gt;&lt;/related-urls&gt;&lt;/urls&gt;&lt;electronic-resource-num&gt;10.1177/0748730417718904&lt;/electronic-resource-num&gt;&lt;/record&gt;&lt;/Cite&gt;&lt;/EndNote&gt;</w:instrText>
      </w:r>
      <w:r w:rsidRPr="009819CE">
        <w:rPr>
          <w:rFonts w:cstheme="minorBidi"/>
        </w:rPr>
        <w:fldChar w:fldCharType="separate"/>
      </w:r>
      <w:r w:rsidR="00D50EFF" w:rsidRPr="007268F5">
        <w:rPr>
          <w:rFonts w:cstheme="minorBidi"/>
        </w:rPr>
        <w:t>(</w:t>
      </w:r>
      <w:hyperlink w:anchor="_ENREF_254" w:tooltip="Reece, 2017 #901" w:history="1">
        <w:r w:rsidR="00950097" w:rsidRPr="007268F5">
          <w:rPr>
            <w:rFonts w:cstheme="minorBidi"/>
          </w:rPr>
          <w:t>Reece et al., 2017</w:t>
        </w:r>
      </w:hyperlink>
      <w:r w:rsidR="00D50EFF" w:rsidRPr="007268F5">
        <w:rPr>
          <w:rFonts w:cstheme="minorBidi"/>
        </w:rPr>
        <w:t>)</w:t>
      </w:r>
      <w:r w:rsidRPr="009819CE">
        <w:rPr>
          <w:rFonts w:cstheme="minorBidi"/>
        </w:rPr>
        <w:fldChar w:fldCharType="end"/>
      </w:r>
      <w:r w:rsidRPr="009819CE">
        <w:rPr>
          <w:rFonts w:cstheme="minorBidi"/>
        </w:rPr>
        <w:t xml:space="preserve"> including </w:t>
      </w:r>
      <w:r w:rsidR="009D03F4" w:rsidRPr="009819CE">
        <w:rPr>
          <w:rFonts w:cstheme="minorBidi"/>
          <w:i/>
          <w:iCs/>
        </w:rPr>
        <w:t>Hematodinium</w:t>
      </w:r>
      <w:r w:rsidRPr="009819CE">
        <w:rPr>
          <w:rFonts w:cstheme="minorBidi"/>
          <w:i/>
          <w:iCs/>
        </w:rPr>
        <w:t xml:space="preserve"> </w:t>
      </w:r>
      <w:r w:rsidRPr="009819CE">
        <w:rPr>
          <w:rFonts w:cstheme="minorBidi"/>
        </w:rPr>
        <w:t>sp</w:t>
      </w:r>
      <w:r w:rsidRPr="009819CE">
        <w:rPr>
          <w:rFonts w:cstheme="minorBidi"/>
          <w:i/>
          <w:iCs/>
        </w:rPr>
        <w:t>.</w:t>
      </w:r>
      <w:r w:rsidRPr="009819CE">
        <w:rPr>
          <w:rFonts w:cstheme="minorBidi"/>
        </w:rPr>
        <w:t xml:space="preserve">. During the peak of </w:t>
      </w:r>
      <w:r w:rsidR="009D03F4" w:rsidRPr="009819CE">
        <w:rPr>
          <w:rFonts w:cstheme="minorBidi"/>
          <w:i/>
          <w:iCs/>
        </w:rPr>
        <w:t>Hematodinium</w:t>
      </w:r>
      <w:r w:rsidRPr="009819CE">
        <w:rPr>
          <w:rFonts w:cstheme="minorBidi"/>
        </w:rPr>
        <w:t xml:space="preserve"> sp. infection, a large proportion of heavily infected animals sporulate, resulting in</w:t>
      </w:r>
      <w:r w:rsidRPr="009819CE">
        <w:rPr>
          <w:rFonts w:cstheme="minorBidi"/>
          <w:shd w:val="clear" w:color="auto" w:fill="FFFFFF"/>
        </w:rPr>
        <w:t xml:space="preserve"> a mass release of parasitic spores mainly via the gills, which ultimately causes the death of the host. </w:t>
      </w:r>
      <w:r w:rsidRPr="009819CE">
        <w:rPr>
          <w:rFonts w:cstheme="minorBidi"/>
        </w:rPr>
        <w:t xml:space="preserve">According to their size, dinospores can be classified as macrospores (16-20 </w:t>
      </w:r>
      <w:r w:rsidR="00F57362" w:rsidRPr="009819CE">
        <w:rPr>
          <w:rFonts w:cstheme="minorBidi"/>
        </w:rPr>
        <w:t>µ</w:t>
      </w:r>
      <w:r w:rsidRPr="009819CE">
        <w:rPr>
          <w:rFonts w:cstheme="minorBidi"/>
        </w:rPr>
        <w:t xml:space="preserve">m long) or microspores (11-14 </w:t>
      </w:r>
      <w:r w:rsidR="00F57362" w:rsidRPr="009819CE">
        <w:rPr>
          <w:rFonts w:cstheme="minorBidi"/>
        </w:rPr>
        <w:t>µ</w:t>
      </w:r>
      <w:r w:rsidRPr="009819CE">
        <w:rPr>
          <w:rFonts w:cstheme="minorBidi"/>
        </w:rPr>
        <w:t xml:space="preserve">m long) </w:t>
      </w:r>
      <w:r w:rsidRPr="009819CE">
        <w:rPr>
          <w:rFonts w:cstheme="minorBidi"/>
        </w:rPr>
        <w:fldChar w:fldCharType="begin">
          <w:fldData xml:space="preserve">PEVuZE5vdGU+PENpdGU+PEF1dGhvcj5BcHBsZXRvbjwvQXV0aG9yPjxZZWFyPjE5OTY8L1llYXI+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</w:fldData>
        </w:fldChar>
      </w:r>
      <w:r w:rsidR="005F31D5">
        <w:rPr>
          <w:rFonts w:cstheme="minorBidi"/>
        </w:rPr>
        <w:instrText xml:space="preserve"> ADDIN EN.CITE </w:instrText>
      </w:r>
      <w:r w:rsidR="005F31D5">
        <w:rPr>
          <w:rFonts w:cstheme="minorBidi"/>
        </w:rPr>
        <w:fldChar w:fldCharType="begin">
          <w:fldData xml:space="preserve">PEVuZE5vdGU+PENpdGU+PEF1dGhvcj5BcHBsZXRvbjwvQXV0aG9yPjxZZWFyPjE5OTY8L1llYXI+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</w:fldData>
        </w:fldChar>
      </w:r>
      <w:r w:rsidR="005F31D5">
        <w:rPr>
          <w:rFonts w:cstheme="minorBidi"/>
        </w:rPr>
        <w:instrText xml:space="preserve"> ADDIN EN.CITE.DATA </w:instrText>
      </w:r>
      <w:r w:rsidR="005F31D5">
        <w:rPr>
          <w:rFonts w:cstheme="minorBidi"/>
        </w:rPr>
      </w:r>
      <w:r w:rsidR="005F31D5">
        <w:rPr>
          <w:rFonts w:cstheme="minorBidi"/>
        </w:rPr>
        <w:fldChar w:fldCharType="end"/>
      </w:r>
      <w:r w:rsidRPr="009819CE">
        <w:rPr>
          <w:rFonts w:cstheme="minorBidi"/>
        </w:rPr>
      </w:r>
      <w:r w:rsidRPr="009819CE">
        <w:rPr>
          <w:rFonts w:cstheme="minorBidi"/>
        </w:rPr>
        <w:fldChar w:fldCharType="separate"/>
      </w:r>
      <w:r w:rsidR="00A8698B" w:rsidRPr="005F31D5">
        <w:rPr>
          <w:rFonts w:cstheme="minorBidi"/>
          <w:noProof/>
        </w:rPr>
        <w:t>(</w:t>
      </w:r>
      <w:hyperlink w:anchor="_ENREF_16" w:tooltip="Appleton, 1996 #108" w:history="1">
        <w:r w:rsidR="00950097" w:rsidRPr="005F31D5">
          <w:rPr>
            <w:rFonts w:cstheme="minorBidi"/>
            <w:noProof/>
          </w:rPr>
          <w:t>Appleton, 1996</w:t>
        </w:r>
      </w:hyperlink>
      <w:r w:rsidR="00A8698B" w:rsidRPr="005F31D5">
        <w:rPr>
          <w:rFonts w:cstheme="minorBidi"/>
          <w:noProof/>
        </w:rPr>
        <w:t xml:space="preserve">; </w:t>
      </w:r>
      <w:hyperlink w:anchor="_ENREF_17" w:tooltip="Appleton, 1996 #106" w:history="1">
        <w:r w:rsidR="00950097" w:rsidRPr="005F31D5">
          <w:rPr>
            <w:rFonts w:cstheme="minorBidi"/>
            <w:noProof/>
          </w:rPr>
          <w:t>Appleton and Vickerman, 1996</w:t>
        </w:r>
      </w:hyperlink>
      <w:r w:rsidR="00A8698B" w:rsidRPr="005F31D5">
        <w:rPr>
          <w:rFonts w:cstheme="minorBidi"/>
          <w:noProof/>
        </w:rPr>
        <w:t>)</w:t>
      </w:r>
      <w:r w:rsidRPr="009819CE">
        <w:rPr>
          <w:rFonts w:cstheme="minorBidi"/>
        </w:rPr>
        <w:fldChar w:fldCharType="end"/>
      </w:r>
      <w:r w:rsidRPr="009819CE">
        <w:rPr>
          <w:rFonts w:cstheme="minorBidi"/>
        </w:rPr>
        <w:t xml:space="preserve">. Macrospores and microspores can survive outside the host (approximately 73 days for macrospores and 52 days for microspores </w:t>
      </w:r>
      <w:r w:rsidRPr="009819CE">
        <w:rPr>
          <w:rFonts w:cstheme="minorBidi"/>
        </w:rPr>
        <w:fldChar w:fldCharType="begin"/>
      </w:r>
      <w:r w:rsidR="003353A0" w:rsidRPr="009819CE">
        <w:rPr>
          <w:rFonts w:cstheme="minorBidi"/>
        </w:rPr>
        <w:instrText xml:space="preserve"> ADDIN EN.CITE &lt;EndNote&gt;&lt;Cite&gt;&lt;Author&gt;Meyers&lt;/Author&gt;&lt;Year&gt;1987&lt;/Year&gt;&lt;RecNum&gt;428&lt;/RecNum&gt;&lt;DisplayText&gt;(Meyers et al., 1987)&lt;/DisplayText&gt;&lt;record&gt;&lt;rec-number&gt;428&lt;/rec-number&gt;&lt;foreign-keys&gt;&lt;key app="EN" db-id="sd9wrx9fj09rx3erprsx999o0r5aprvp2zse" timestamp="1687855901" guid="07b7bca2-a40c-4357-8d84-ee552c362691"&gt;428&lt;/key&gt;&lt;/foreign-keys&gt;&lt;ref-type name="Journal Article"&gt;17&lt;/ref-type&gt;&lt;contributors&gt;&lt;authors&gt;&lt;author&gt;Meyers, T. R.&lt;/author&gt;&lt;author&gt;Koeneman, T. M.&lt;/author&gt;&lt;author&gt;Botelho, Catherine&lt;/author&gt;&lt;author&gt;Short, Sally&lt;/author&gt;&lt;/authors&gt;&lt;/contributors&gt;&lt;titles&gt;&lt;title&gt;&lt;style face="normal" font="default" size="100%"&gt;Bitter crab disease: a fatal dinoflagellate infection and marketing problem for Alaskan Tanner crabs &lt;/style&gt;&lt;style face="italic" font="default" size="100%"&gt;Chionoecetes bairdi&lt;/style&gt;&lt;/title&gt;&lt;secondary-title&gt;Diseases of Aquatic Organisms&lt;/secondary-title&gt;&lt;/titles&gt;&lt;periodical&gt;&lt;full-title&gt;Diseases of Aquatic Organisms&lt;/full-title&gt;&lt;/periodical&gt;&lt;pages&gt;195-216&lt;/pages&gt;&lt;volume&gt;3&lt;/volume&gt;&lt;number&gt;November&lt;/number&gt;&lt;dates&gt;&lt;year&gt;1987&lt;/year&gt;&lt;/dates&gt;&lt;urls&gt;&lt;related-urls&gt;&lt;url&gt;http://www.int-res.com/articles/dao/3/d003p195.pdf&lt;/url&gt;&lt;/related-urls&gt;&lt;/urls&gt;&lt;electronic-resource-num&gt;10.3354/dao003195&lt;/electronic-resource-num&gt;&lt;/record&gt;&lt;/Cite&gt;&lt;/EndNote&gt;</w:instrText>
      </w:r>
      <w:r w:rsidRPr="009819CE">
        <w:rPr>
          <w:rFonts w:cstheme="minorBidi"/>
        </w:rPr>
        <w:fldChar w:fldCharType="separate"/>
      </w:r>
      <w:r w:rsidR="00D50EFF" w:rsidRPr="007268F5">
        <w:rPr>
          <w:rFonts w:cstheme="minorBidi"/>
        </w:rPr>
        <w:t>(</w:t>
      </w:r>
      <w:hyperlink w:anchor="_ENREF_217" w:tooltip="Meyers, 1987 #428" w:history="1">
        <w:r w:rsidR="00950097" w:rsidRPr="007268F5">
          <w:rPr>
            <w:rFonts w:cstheme="minorBidi"/>
          </w:rPr>
          <w:t>Meyers et al., 1987</w:t>
        </w:r>
      </w:hyperlink>
      <w:r w:rsidR="00D50EFF" w:rsidRPr="007268F5">
        <w:rPr>
          <w:rFonts w:cstheme="minorBidi"/>
        </w:rPr>
        <w:t>)</w:t>
      </w:r>
      <w:r w:rsidRPr="009819CE">
        <w:rPr>
          <w:rFonts w:cstheme="minorBidi"/>
        </w:rPr>
        <w:fldChar w:fldCharType="end"/>
      </w:r>
      <w:r w:rsidRPr="009819CE">
        <w:rPr>
          <w:rFonts w:cstheme="minorBidi"/>
        </w:rPr>
        <w:t xml:space="preserve"> and are thought to be the</w:t>
      </w:r>
      <w:r w:rsidR="00EC2B18" w:rsidRPr="00FA7D47">
        <w:rPr>
          <w:rFonts w:cstheme="minorBidi"/>
        </w:rPr>
        <w:t xml:space="preserve"> infective stages for the disease</w:t>
      </w:r>
      <w:r w:rsidRPr="009819CE">
        <w:rPr>
          <w:rFonts w:cstheme="minorBidi"/>
        </w:rPr>
        <w:t xml:space="preserve"> </w:t>
      </w:r>
      <w:r w:rsidRPr="009819CE">
        <w:rPr>
          <w:rFonts w:cstheme="minorBidi"/>
        </w:rPr>
        <w:fldChar w:fldCharType="begin"/>
      </w:r>
      <w:r w:rsidR="00231B97" w:rsidRPr="009819CE">
        <w:rPr>
          <w:rFonts w:cstheme="minorBidi"/>
        </w:rPr>
        <w:instrText xml:space="preserve"> ADDIN EN.CITE &lt;EndNote&gt;&lt;Cite&gt;&lt;Author&gt;Frischer&lt;/Author&gt;&lt;Year&gt;2006&lt;/Year&gt;&lt;RecNum&gt;382&lt;/RecNum&gt;&lt;DisplayText&gt;(Frischer et al., 2006)&lt;/DisplayText&gt;&lt;record&gt;&lt;rec-number&gt;382&lt;/rec-number&gt;&lt;foreign-keys&gt;&lt;key app="EN" db-id="sd9wrx9fj09rx3erprsx999o0r5aprvp2zse" timestamp="1687855901" guid="d5a500df-6f6a-4c2a-9edd-aebb31323dac"&gt;382&lt;/key&gt;&lt;/foreign-keys&gt;&lt;ref-type name="Journal Article"&gt;17&lt;/ref-type&gt;&lt;contributors&gt;&lt;authors&gt;&lt;author&gt;Frischer, Marc E.&lt;/author&gt;&lt;author&gt;Lee, R. F.&lt;/author&gt;&lt;author&gt;Sheppard, M. A.&lt;/author&gt;&lt;author&gt;Mauer, A.&lt;/author&gt;&lt;author&gt;Rambow, F.&lt;/author&gt;&lt;author&gt;Neumann, M.&lt;/author&gt;&lt;author&gt;Brofft, J. E.&lt;/author&gt;&lt;author&gt;Wizenmann, T.&lt;/author&gt;&lt;author&gt;Danforth, J. M.&lt;/author&gt;&lt;/authors&gt;&lt;/contributors&gt;&lt;titles&gt;&lt;title&gt;&lt;style face="normal" font="default" size="100%"&gt;Evidence for a free-living life stage of the blue crab parasitic dinoflagelate, &lt;/style&gt;&lt;style face="italic" font="default" size="100%"&gt;Hematodinium&lt;/style&gt;&lt;style face="normal" font="default" size="100%"&gt; sp&lt;/style&gt;&lt;/title&gt;&lt;secondary-title&gt;Harmful Algae&lt;/secondary-title&gt;&lt;/titles&gt;&lt;periodical&gt;&lt;full-title&gt;Harmful Algae&lt;/full-title&gt;&lt;/periodical&gt;&lt;pages&gt;548-557&lt;/pages&gt;&lt;volume&gt;5&lt;/volume&gt;&lt;number&gt;5&lt;/number&gt;&lt;keywords&gt;&lt;keyword&gt;Blue crab&lt;/keyword&gt;&lt;keyword&gt;Hematodinium sp.&lt;/keyword&gt;&lt;keyword&gt;Quantitative PCR&lt;/keyword&gt;&lt;keyword&gt;South Atlantic Bight&lt;/keyword&gt;&lt;/keywords&gt;&lt;dates&gt;&lt;year&gt;2006&lt;/year&gt;&lt;pub-dates&gt;&lt;date&gt;2006/10//&lt;/date&gt;&lt;/pub-dates&gt;&lt;/dates&gt;&lt;urls&gt;&lt;related-urls&gt;&lt;url&gt;https://linkinghub.elsevier.com/retrieve/pii/S1568988305001125&lt;/url&gt;&lt;/related-urls&gt;&lt;/urls&gt;&lt;electronic-resource-num&gt;10.1016/j.hal.2005.11.002&lt;/electronic-resource-num&gt;&lt;/record&gt;&lt;/Cite&gt;&lt;/EndNote&gt;</w:instrText>
      </w:r>
      <w:r w:rsidRPr="009819CE">
        <w:rPr>
          <w:rFonts w:cstheme="minorBidi"/>
        </w:rPr>
        <w:fldChar w:fldCharType="separate"/>
      </w:r>
      <w:r w:rsidR="00D50EFF" w:rsidRPr="007268F5">
        <w:rPr>
          <w:rFonts w:cstheme="minorBidi"/>
        </w:rPr>
        <w:t>(</w:t>
      </w:r>
      <w:hyperlink w:anchor="_ENREF_104" w:tooltip="Frischer, 2006 #382" w:history="1">
        <w:r w:rsidR="00950097" w:rsidRPr="007268F5">
          <w:rPr>
            <w:rFonts w:cstheme="minorBidi"/>
          </w:rPr>
          <w:t>Frischer et al., 2006</w:t>
        </w:r>
      </w:hyperlink>
      <w:r w:rsidR="00D50EFF" w:rsidRPr="007268F5">
        <w:rPr>
          <w:rFonts w:cstheme="minorBidi"/>
        </w:rPr>
        <w:t>)</w:t>
      </w:r>
      <w:r w:rsidRPr="009819CE">
        <w:rPr>
          <w:rFonts w:cstheme="minorBidi"/>
        </w:rPr>
        <w:fldChar w:fldCharType="end"/>
      </w:r>
      <w:r w:rsidRPr="009819CE">
        <w:rPr>
          <w:rFonts w:cstheme="minorBidi"/>
        </w:rPr>
        <w:t xml:space="preserve">. Therefore, spores are most likely present in the environment in large numbers up until early June. The transmission routes for </w:t>
      </w:r>
      <w:r w:rsidR="009D03F4" w:rsidRPr="009819CE">
        <w:rPr>
          <w:rFonts w:cstheme="minorBidi"/>
          <w:i/>
          <w:iCs/>
        </w:rPr>
        <w:t>Hematodinium</w:t>
      </w:r>
      <w:r w:rsidRPr="009819CE">
        <w:rPr>
          <w:rFonts w:cstheme="minorBidi"/>
        </w:rPr>
        <w:t xml:space="preserve"> sp. remain unknown, yet waterborne transmission may be the most effective pathway </w:t>
      </w:r>
      <w:r w:rsidRPr="009819CE">
        <w:rPr>
          <w:rFonts w:cstheme="minorBidi"/>
        </w:rPr>
        <w:fldChar w:fldCharType="begin">
          <w:fldData xml:space="preserve">PEVuZE5vdGU+PENpdGU+PEF1dGhvcj5TdGVudGlmb3JkPC9BdXRob3I+PFllYXI+MjAwNTwvWWVh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=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PEVuZE5vdGU+PENpdGU+PEF1dGhvcj5TdGVudGlmb3JkPC9BdXRob3I+PFllYXI+MjAwNTwvWWVh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=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44" w:tooltip="Huang, 2021 #472" w:history="1">
        <w:r w:rsidR="00950097" w:rsidRPr="007268F5">
          <w:rPr>
            <w:rFonts w:cstheme="minorBidi"/>
          </w:rPr>
          <w:t>Huang et al., 2021</w:t>
        </w:r>
      </w:hyperlink>
      <w:r w:rsidR="00D50EFF" w:rsidRPr="007268F5">
        <w:rPr>
          <w:rFonts w:cstheme="minorBidi"/>
        </w:rPr>
        <w:t xml:space="preserve">; </w:t>
      </w:r>
      <w:hyperlink w:anchor="_ENREF_175" w:tooltip="Li, 2021 #453" w:history="1">
        <w:r w:rsidR="00950097" w:rsidRPr="007268F5">
          <w:rPr>
            <w:rFonts w:cstheme="minorBidi"/>
          </w:rPr>
          <w:t>Li et al., 2021a</w:t>
        </w:r>
      </w:hyperlink>
      <w:r w:rsidR="00D50EFF" w:rsidRPr="007268F5">
        <w:rPr>
          <w:rFonts w:cstheme="minorBidi"/>
        </w:rPr>
        <w:t xml:space="preserve">; </w:t>
      </w:r>
      <w:hyperlink w:anchor="_ENREF_310" w:tooltip="Stentiford, 2005 #156" w:history="1">
        <w:r w:rsidR="00950097" w:rsidRPr="007268F5">
          <w:rPr>
            <w:rFonts w:cstheme="minorBidi"/>
          </w:rPr>
          <w:t>Stentiford and Shields, 2005</w:t>
        </w:r>
      </w:hyperlink>
      <w:r w:rsidR="00D50EFF" w:rsidRPr="007268F5">
        <w:rPr>
          <w:rFonts w:cstheme="minorBidi"/>
        </w:rPr>
        <w:t>)</w:t>
      </w:r>
      <w:r w:rsidRPr="009819CE">
        <w:rPr>
          <w:rFonts w:cstheme="minorBidi"/>
        </w:rPr>
        <w:fldChar w:fldCharType="end"/>
      </w:r>
      <w:r w:rsidRPr="009819CE">
        <w:rPr>
          <w:rFonts w:cstheme="minorBidi"/>
        </w:rPr>
        <w:t xml:space="preserve">. Dinospores may enter </w:t>
      </w:r>
      <w:r w:rsidR="00C31E47" w:rsidRPr="009819CE">
        <w:rPr>
          <w:rFonts w:cstheme="minorBidi"/>
          <w:i/>
          <w:iCs/>
        </w:rPr>
        <w:t>Nephrops</w:t>
      </w:r>
      <w:r w:rsidRPr="009819CE">
        <w:rPr>
          <w:rFonts w:cstheme="minorBidi"/>
        </w:rPr>
        <w:t xml:space="preserve"> via the gills, via damage, such as punctures in the integument </w:t>
      </w:r>
      <w:r w:rsidRPr="009819CE">
        <w:rPr>
          <w:rFonts w:cstheme="minorBidi"/>
        </w:rPr>
        <w:fldChar w:fldCharType="begin"/>
      </w:r>
      <w:r w:rsidR="00D50EFF" w:rsidRPr="009819CE">
        <w:rPr>
          <w:rFonts w:cstheme="minorBidi"/>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Pr="009819CE">
        <w:rPr>
          <w:rFonts w:cstheme="minorBidi"/>
        </w:rPr>
        <w:fldChar w:fldCharType="separate"/>
      </w:r>
      <w:r w:rsidR="00D50EFF" w:rsidRPr="009819CE">
        <w:rPr>
          <w:rFonts w:cstheme="minorBidi"/>
        </w:rPr>
        <w:t>(</w:t>
      </w:r>
      <w:hyperlink w:anchor="_ENREF_125" w:tooltip="Hanif, 2013 #351" w:history="1">
        <w:r w:rsidR="00950097" w:rsidRPr="009819CE">
          <w:rPr>
            <w:rFonts w:cstheme="minorBidi"/>
          </w:rPr>
          <w:t>Hanif et al., 2013</w:t>
        </w:r>
      </w:hyperlink>
      <w:r w:rsidR="00D50EFF" w:rsidRPr="009819CE">
        <w:rPr>
          <w:rFonts w:cstheme="minorBidi"/>
        </w:rPr>
        <w:t>)</w:t>
      </w:r>
      <w:r w:rsidRPr="009819CE">
        <w:rPr>
          <w:rFonts w:cstheme="minorBidi"/>
        </w:rPr>
        <w:fldChar w:fldCharType="end"/>
      </w:r>
      <w:r w:rsidRPr="009819CE">
        <w:rPr>
          <w:rFonts w:cstheme="minorBidi"/>
        </w:rPr>
        <w:t xml:space="preserve"> or through the softened exoskeleton of recently moulted individuals </w:t>
      </w:r>
      <w:r w:rsidRPr="009819CE">
        <w:rPr>
          <w:rFonts w:cstheme="minorBidi"/>
        </w:rPr>
        <w:fldChar w:fldCharType="begin"/>
      </w:r>
      <w:r w:rsidR="00ED1A9E" w:rsidRPr="009819CE">
        <w:rPr>
          <w:rFonts w:cstheme="minorBidi"/>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rPr>
        <w:fldChar w:fldCharType="separate"/>
      </w:r>
      <w:r w:rsidR="00D50EFF" w:rsidRPr="007268F5">
        <w:rPr>
          <w:rFonts w:cstheme="minorBidi"/>
        </w:rPr>
        <w:t>(</w:t>
      </w:r>
      <w:hyperlink w:anchor="_ENREF_241" w:tooltip="Pagenkopp Lohan, 2012 #25" w:history="1">
        <w:r w:rsidR="00950097" w:rsidRPr="007268F5">
          <w:rPr>
            <w:rFonts w:cstheme="minorBidi"/>
          </w:rPr>
          <w:t>Pagenkopp Lohan et al., 2012</w:t>
        </w:r>
      </w:hyperlink>
      <w:r w:rsidR="00D50EFF" w:rsidRPr="007268F5">
        <w:rPr>
          <w:rFonts w:cstheme="minorBidi"/>
        </w:rPr>
        <w:t>)</w:t>
      </w:r>
      <w:r w:rsidRPr="009819CE">
        <w:rPr>
          <w:rFonts w:cstheme="minorBidi"/>
        </w:rPr>
        <w:fldChar w:fldCharType="end"/>
      </w:r>
      <w:r w:rsidRPr="009819CE">
        <w:rPr>
          <w:rFonts w:cstheme="minorBidi"/>
        </w:rPr>
        <w:t>.</w:t>
      </w:r>
    </w:p>
    <w:p w14:paraId="581C2D46" w14:textId="4D88E240" w:rsidR="00F36ABA" w:rsidRPr="009819CE" w:rsidRDefault="00F36ABA" w:rsidP="00F36ABA">
      <w:pPr>
        <w:rPr>
          <w:rFonts w:cstheme="minorBidi"/>
        </w:rPr>
      </w:pPr>
      <w:r w:rsidRPr="009819CE">
        <w:rPr>
          <w:rFonts w:cstheme="minorBidi"/>
        </w:rPr>
        <w:t xml:space="preserve">From an </w:t>
      </w:r>
      <w:r w:rsidR="003367CF" w:rsidRPr="00FA7D47">
        <w:rPr>
          <w:rFonts w:cstheme="minorBidi"/>
        </w:rPr>
        <w:t xml:space="preserve">epidemiological </w:t>
      </w:r>
      <w:r w:rsidRPr="009819CE">
        <w:rPr>
          <w:rFonts w:cstheme="minorBidi"/>
        </w:rPr>
        <w:t xml:space="preserve">perspective, the occurrence of </w:t>
      </w:r>
      <w:r w:rsidR="009D03F4" w:rsidRPr="009819CE">
        <w:rPr>
          <w:rFonts w:cstheme="minorBidi"/>
          <w:i/>
          <w:iCs/>
        </w:rPr>
        <w:t>Hematodinium</w:t>
      </w:r>
      <w:r w:rsidRPr="009819CE">
        <w:rPr>
          <w:rFonts w:cstheme="minorBidi"/>
        </w:rPr>
        <w:t xml:space="preserve"> sp. in the CSA is characterised by an annual seasonal peak of apparent infection that takes place during the late winter and early spring </w:t>
      </w:r>
      <w:r w:rsidRPr="009819CE">
        <w:rPr>
          <w:rFonts w:cstheme="minorBidi"/>
        </w:rPr>
        <w:fldChar w:fldCharType="begin">
          <w:fldData xml:space="preserve">PEVuZE5vdGU+PENpdGU+PEF1dGhvcj5CZWV2ZXJzPC9BdXRob3I+PFllYXI+MjAxMjwvWWVhcj48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</w:fldData>
        </w:fldChar>
      </w:r>
      <w:r w:rsidR="001976BB" w:rsidRPr="009819CE">
        <w:rPr>
          <w:rFonts w:cstheme="minorBidi"/>
        </w:rPr>
        <w:instrText xml:space="preserve"> ADDIN EN.CITE </w:instrText>
      </w:r>
      <w:r w:rsidR="001976BB" w:rsidRPr="009819CE">
        <w:rPr>
          <w:rFonts w:cstheme="minorBidi"/>
        </w:rPr>
        <w:fldChar w:fldCharType="begin">
          <w:fldData xml:space="preserve">PEVuZE5vdGU+PENpdGU+PEF1dGhvcj5CZWV2ZXJzPC9BdXRob3I+PFllYXI+MjAxMjwvWWVhcj48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</w:fldData>
        </w:fldChar>
      </w:r>
      <w:r w:rsidR="001976BB" w:rsidRPr="009819CE">
        <w:rPr>
          <w:rFonts w:cstheme="minorBidi"/>
        </w:rPr>
        <w:instrText xml:space="preserve"> ADDIN EN.CITE.DATA </w:instrText>
      </w:r>
      <w:r w:rsidR="001976BB" w:rsidRPr="009819CE">
        <w:rPr>
          <w:rFonts w:cstheme="minorBidi"/>
        </w:rPr>
      </w:r>
      <w:r w:rsidR="001976BB"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9" w:tooltip="Beevers, 2012 #377" w:history="1">
        <w:r w:rsidR="00950097" w:rsidRPr="007268F5">
          <w:rPr>
            <w:rFonts w:cstheme="minorBidi"/>
          </w:rPr>
          <w:t>Beevers et al., 2012</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However, studies have shown that there are different levels of infection. For instance, infection in </w:t>
      </w:r>
      <w:r w:rsidR="00C31E47" w:rsidRPr="009819CE">
        <w:rPr>
          <w:rFonts w:cstheme="minorBidi"/>
          <w:i/>
          <w:iCs/>
        </w:rPr>
        <w:t>Nephrops</w:t>
      </w:r>
      <w:r w:rsidRPr="009819CE">
        <w:rPr>
          <w:rFonts w:cstheme="minorBidi"/>
        </w:rPr>
        <w:t xml:space="preserve"> cannot be detected visually if the number of </w:t>
      </w:r>
      <w:r w:rsidR="009D03F4" w:rsidRPr="009819CE">
        <w:rPr>
          <w:rFonts w:cstheme="minorBidi"/>
          <w:i/>
          <w:iCs/>
        </w:rPr>
        <w:t>Hematodinium</w:t>
      </w:r>
      <w:r w:rsidRPr="009819CE">
        <w:rPr>
          <w:rFonts w:cstheme="minorBidi"/>
        </w:rPr>
        <w:t xml:space="preserve"> sp. cells present in the haemolymph and organs is low (&lt; 20% of the haemolymph cells are parasite cells). This is defined as </w:t>
      </w:r>
      <w:r w:rsidRPr="009819CE">
        <w:rPr>
          <w:rFonts w:cstheme="minorBidi"/>
          <w:b/>
        </w:rPr>
        <w:t>sub-patent infection</w:t>
      </w:r>
      <w:r w:rsidRPr="009819CE">
        <w:rPr>
          <w:rFonts w:cstheme="minorBidi"/>
        </w:rPr>
        <w:t xml:space="preserve">. As the infection intensifies, aggregations of parasite cells within the pleopod can be detected using low power light microscopy, a detection method (the so-called ‘pleopod method’ (PM)), that categorises infection intensity based on a 4-point scale </w:t>
      </w:r>
      <w:r w:rsidRPr="009819CE">
        <w:rPr>
          <w:rFonts w:cstheme="minorBidi"/>
        </w:rPr>
        <w:fldChar w:fldCharType="begin"/>
      </w:r>
      <w:r w:rsidR="00E9418B" w:rsidRPr="009819CE">
        <w:rPr>
          <w:rFonts w:cstheme="minorBidi"/>
        </w:rPr>
        <w:instrText xml:space="preserve"> ADDIN EN.CITE &lt;EndNote&gt;&lt;Cite&gt;&lt;Author&gt;Field&lt;/Author&gt;&lt;Year&gt;1995&lt;/Year&gt;&lt;RecNum&gt;101&lt;/RecNum&gt;&lt;DisplayText&gt;(Field and Appleton, 1995)&lt;/DisplayText&gt;&lt;record&gt;&lt;rec-number&gt;101&lt;/rec-number&gt;&lt;foreign-keys&gt;&lt;key app="EN" db-id="sd9wrx9fj09rx3erprsx999o0r5aprvp2zse" timestamp="1687855901" guid="af46a6d3-1f44-4c30-bcdc-1ba35f3e4fdf"&gt;101&lt;/key&gt;&lt;/foreign-keys&gt;&lt;ref-type name="Journal Article"&gt;17&lt;/ref-type&gt;&lt;contributors&gt;&lt;authors&gt;&lt;author&gt;Field, Robert Henry&lt;/author&gt;&lt;author&gt;Appleton, Paul Lauwrance&lt;/author&gt;&lt;/authors&gt;&lt;/contributors&gt;&lt;titles&gt;&lt;title&gt;&lt;style face="normal" font="default" size="100%"&gt;A &lt;/style&gt;&lt;style face="italic" font="default" size="100%"&gt;Hematodinium&lt;/style&gt;&lt;style face="normal" font="default" size="100%"&gt;-like dinoflagellate infection of the Norway lobster &lt;/style&gt;&lt;style face="italic" font="default" size="100%"&gt;Nephrops norvegicus&lt;/style&gt;&lt;style face="normal" font="default" size="100%"&gt;: observations on pathology and progression of infection&lt;/style&gt;&lt;/title&gt;&lt;secondary-title&gt;Diseases of Aquatic Organisms&lt;/secondary-title&gt;&lt;/titles&gt;&lt;periodical&gt;&lt;full-title&gt;Diseases of Aquatic Organisms&lt;/full-title&gt;&lt;/periodical&gt;&lt;pages&gt;115-128&lt;/pages&gt;&lt;volume&gt;22&lt;/volume&gt;&lt;number&gt;2&lt;/number&gt;&lt;keywords&gt;&lt;keyword&gt;Crustacea&lt;/keyword&gt;&lt;keyword&gt;Hematodinium sp.&lt;/keyword&gt;&lt;keyword&gt;Nephrops norvegicus&lt;/keyword&gt;&lt;keyword&gt;parasitic dinoflagellate&lt;/keyword&gt;&lt;keyword&gt;pathology&lt;/keyword&gt;&lt;/keywords&gt;&lt;dates&gt;&lt;year&gt;1995&lt;/year&gt;&lt;/dates&gt;&lt;urls&gt;&lt;related-urls&gt;&lt;url&gt;http://www.int-res.com/abstracts/dao/v22/n2/p115-128/&lt;/url&gt;&lt;url&gt;https://www.int-res.com/articles/dao/22/d022p115.pdf&lt;/url&gt;&lt;/related-urls&gt;&lt;/urls&gt;&lt;electronic-resource-num&gt;10.3354/dao022115&lt;/electronic-resource-num&gt;&lt;/record&gt;&lt;/Cite&gt;&lt;/EndNote&gt;</w:instrText>
      </w:r>
      <w:r w:rsidRPr="009819CE">
        <w:rPr>
          <w:rFonts w:cstheme="minorBidi"/>
        </w:rPr>
        <w:fldChar w:fldCharType="separate"/>
      </w:r>
      <w:r w:rsidR="00E9418B" w:rsidRPr="007268F5">
        <w:rPr>
          <w:rFonts w:cstheme="minorBidi"/>
        </w:rPr>
        <w:t>(</w:t>
      </w:r>
      <w:hyperlink w:anchor="_ENREF_92" w:tooltip="Field, 1995 #101" w:history="1">
        <w:r w:rsidR="00950097" w:rsidRPr="007268F5">
          <w:rPr>
            <w:rFonts w:cstheme="minorBidi"/>
          </w:rPr>
          <w:t>Field and Appleton, 1995</w:t>
        </w:r>
      </w:hyperlink>
      <w:r w:rsidR="00E9418B" w:rsidRPr="007268F5">
        <w:rPr>
          <w:rFonts w:cstheme="minorBidi"/>
        </w:rPr>
        <w:t>)</w:t>
      </w:r>
      <w:r w:rsidRPr="009819CE">
        <w:rPr>
          <w:rFonts w:cstheme="minorBidi"/>
        </w:rPr>
        <w:fldChar w:fldCharType="end"/>
      </w:r>
      <w:r w:rsidRPr="009819CE">
        <w:rPr>
          <w:rFonts w:cstheme="minorBidi"/>
        </w:rPr>
        <w:t>. Ultimately, hyperpigmentation in the carapace also develops, so that heavily infected animals can be visually recognized using this so-called ‘body colour method’ (BCM).</w:t>
      </w:r>
      <w:r w:rsidR="00D936F3" w:rsidRPr="009819CE">
        <w:rPr>
          <w:rFonts w:cstheme="minorBidi"/>
        </w:rPr>
        <w:t xml:space="preserve"> </w:t>
      </w:r>
      <w:r w:rsidRPr="009819CE">
        <w:rPr>
          <w:rFonts w:cstheme="minorBidi"/>
        </w:rPr>
        <w:t xml:space="preserve">It comprises abnormally yellow/orange body colouration, frequently accompanied by decolouration within the chelipeds, opacity of the musculature between the cheliped joints and a milky-white appearance of the haemolymph </w:t>
      </w:r>
      <w:r w:rsidRPr="009819CE">
        <w:rPr>
          <w:rFonts w:cstheme="minorBidi"/>
        </w:rPr>
        <w:fldChar w:fldCharType="begin"/>
      </w:r>
      <w:r w:rsidR="00ED1A9E" w:rsidRPr="009819CE">
        <w:rPr>
          <w:rFonts w:cstheme="minorBidi"/>
        </w:rPr>
        <w:instrText xml:space="preserve"> ADDIN EN.CITE &lt;EndNote&gt;&lt;Cite&gt;&lt;Author&gt;Field&lt;/Author&gt;&lt;Year&gt;1992&lt;/Year&gt;&lt;RecNum&gt;481&lt;/RecNum&gt;&lt;DisplayText&gt;(Field,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Pr="009819CE">
        <w:rPr>
          <w:rFonts w:cstheme="minorBidi"/>
        </w:rPr>
        <w:fldChar w:fldCharType="separate"/>
      </w:r>
      <w:r w:rsidR="00D50EFF" w:rsidRPr="007268F5">
        <w:rPr>
          <w:rFonts w:cstheme="minorBidi"/>
        </w:rPr>
        <w:t>(</w:t>
      </w:r>
      <w:hyperlink w:anchor="_ENREF_91" w:tooltip="Field, 1992 #481" w:history="1">
        <w:r w:rsidR="00950097" w:rsidRPr="007268F5">
          <w:rPr>
            <w:rFonts w:cstheme="minorBidi"/>
          </w:rPr>
          <w:t>Field, 1992</w:t>
        </w:r>
      </w:hyperlink>
      <w:r w:rsidR="00D50EFF" w:rsidRPr="007268F5">
        <w:rPr>
          <w:rFonts w:cstheme="minorBidi"/>
        </w:rPr>
        <w:t>)</w:t>
      </w:r>
      <w:r w:rsidRPr="009819CE">
        <w:rPr>
          <w:rFonts w:cstheme="minorBidi"/>
        </w:rPr>
        <w:fldChar w:fldCharType="end"/>
      </w:r>
      <w:r w:rsidRPr="009819CE">
        <w:rPr>
          <w:rFonts w:cstheme="minorBidi"/>
        </w:rPr>
        <w:t xml:space="preserve">. The condition detected by both BCM and by PM is defined as </w:t>
      </w:r>
      <w:r w:rsidRPr="009819CE">
        <w:rPr>
          <w:rFonts w:cstheme="minorBidi"/>
          <w:b/>
        </w:rPr>
        <w:t xml:space="preserve">patent infection </w:t>
      </w:r>
      <w:r w:rsidRPr="009819CE">
        <w:rPr>
          <w:rFonts w:cstheme="minorBidi"/>
          <w:bCs/>
        </w:rPr>
        <w:fldChar w:fldCharType="begin"/>
      </w:r>
      <w:r w:rsidR="001976BB" w:rsidRPr="009819CE">
        <w:rPr>
          <w:rFonts w:cstheme="minorBidi"/>
          <w:bCs/>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Pr="009819CE">
        <w:rPr>
          <w:rFonts w:cstheme="minorBidi"/>
          <w:bCs/>
        </w:rPr>
        <w:fldChar w:fldCharType="separate"/>
      </w:r>
      <w:r w:rsidR="00A8698B" w:rsidRPr="007268F5">
        <w:rPr>
          <w:rFonts w:cstheme="minorBidi"/>
          <w:bCs/>
        </w:rPr>
        <w:t>(</w:t>
      </w:r>
      <w:hyperlink w:anchor="_ENREF_29" w:tooltip="Beevers, 2012 #377" w:history="1">
        <w:r w:rsidR="00950097" w:rsidRPr="007268F5">
          <w:rPr>
            <w:rFonts w:cstheme="minorBidi"/>
            <w:bCs/>
          </w:rPr>
          <w:t>Beevers et al., 2012</w:t>
        </w:r>
      </w:hyperlink>
      <w:r w:rsidR="00A8698B" w:rsidRPr="007268F5">
        <w:rPr>
          <w:rFonts w:cstheme="minorBidi"/>
          <w:bCs/>
        </w:rPr>
        <w:t>)</w:t>
      </w:r>
      <w:r w:rsidRPr="009819CE">
        <w:rPr>
          <w:rFonts w:cstheme="minorBidi"/>
          <w:bCs/>
        </w:rPr>
        <w:fldChar w:fldCharType="end"/>
      </w:r>
      <w:r w:rsidRPr="009819CE">
        <w:rPr>
          <w:rFonts w:cstheme="minorBidi"/>
          <w:bCs/>
        </w:rPr>
        <w:t>.</w:t>
      </w:r>
      <w:r w:rsidRPr="009819CE">
        <w:rPr>
          <w:rFonts w:cstheme="minorBidi"/>
        </w:rPr>
        <w:t xml:space="preserve"> </w:t>
      </w:r>
    </w:p>
    <w:p w14:paraId="4C01B597" w14:textId="70571798" w:rsidR="00F36ABA" w:rsidRPr="009819CE" w:rsidRDefault="00F36ABA" w:rsidP="00F36ABA">
      <w:pPr>
        <w:rPr>
          <w:rFonts w:cstheme="minorBidi"/>
        </w:rPr>
      </w:pPr>
      <w:r w:rsidRPr="009819CE">
        <w:rPr>
          <w:rFonts w:cstheme="minorBidi"/>
        </w:rPr>
        <w:t xml:space="preserve">In early studies, the BCM and PM were used to diagnose </w:t>
      </w:r>
      <w:r w:rsidR="009D03F4" w:rsidRPr="009819CE">
        <w:rPr>
          <w:rFonts w:cstheme="minorBidi"/>
          <w:i/>
          <w:iCs/>
        </w:rPr>
        <w:t>Hematodinium</w:t>
      </w:r>
      <w:r w:rsidRPr="009819CE">
        <w:rPr>
          <w:rFonts w:cstheme="minorBidi"/>
          <w:i/>
          <w:iCs/>
        </w:rPr>
        <w:t xml:space="preserve"> </w:t>
      </w:r>
      <w:r w:rsidRPr="009819CE">
        <w:rPr>
          <w:rFonts w:cstheme="minorBidi"/>
        </w:rPr>
        <w:t xml:space="preserve">sp. prevalence in the CSA </w:t>
      </w:r>
      <w:r w:rsidRPr="009819CE">
        <w:rPr>
          <w:rFonts w:cstheme="minorBidi"/>
        </w:rPr>
        <w:fldChar w:fldCharType="begin">
          <w:fldData xml:space="preserve">PEVuZE5vdGU+PENpdGU+PEF1dGhvcj5TdGVudGlmb3JkPC9BdXRob3I+PFllYXI+MjAwMTwvWWVh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</w:fldData>
        </w:fldChar>
      </w:r>
      <w:r w:rsidR="008F34E4" w:rsidRPr="009819CE">
        <w:rPr>
          <w:rFonts w:cstheme="minorBidi"/>
        </w:rPr>
        <w:instrText xml:space="preserve"> ADDIN EN.CITE </w:instrText>
      </w:r>
      <w:r w:rsidR="008F34E4" w:rsidRPr="009819CE">
        <w:rPr>
          <w:rFonts w:cstheme="minorBidi"/>
        </w:rPr>
        <w:fldChar w:fldCharType="begin">
          <w:fldData xml:space="preserve">PEVuZE5vdGU+PENpdGU+PEF1dGhvcj5TdGVudGlmb3JkPC9BdXRob3I+PFllYXI+MjAwMTwvWWVh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</w:fldData>
        </w:fldChar>
      </w:r>
      <w:r w:rsidR="008F34E4" w:rsidRPr="009819CE">
        <w:rPr>
          <w:rFonts w:cstheme="minorBidi"/>
        </w:rPr>
        <w:instrText xml:space="preserve"> ADDIN EN.CITE.DATA </w:instrText>
      </w:r>
      <w:r w:rsidR="008F34E4" w:rsidRPr="009819CE">
        <w:rPr>
          <w:rFonts w:cstheme="minorBidi"/>
        </w:rPr>
      </w:r>
      <w:r w:rsidR="008F34E4" w:rsidRPr="009819CE">
        <w:rPr>
          <w:rFonts w:cstheme="minorBidi"/>
        </w:rPr>
        <w:fldChar w:fldCharType="end"/>
      </w:r>
      <w:r w:rsidRPr="009819CE">
        <w:rPr>
          <w:rFonts w:cstheme="minorBidi"/>
        </w:rPr>
      </w:r>
      <w:r w:rsidRPr="009819CE">
        <w:rPr>
          <w:rFonts w:cstheme="minorBidi"/>
        </w:rPr>
        <w:fldChar w:fldCharType="separate"/>
      </w:r>
      <w:r w:rsidR="00E215B3" w:rsidRPr="007268F5">
        <w:rPr>
          <w:rFonts w:cstheme="minorBidi"/>
        </w:rPr>
        <w:t>(</w:t>
      </w:r>
      <w:hyperlink w:anchor="_ENREF_96" w:tooltip="Field, 1998 #1686" w:history="1">
        <w:r w:rsidR="00950097" w:rsidRPr="007268F5">
          <w:rPr>
            <w:rFonts w:cstheme="minorBidi"/>
          </w:rPr>
          <w:t>Field et al., 1998</w:t>
        </w:r>
      </w:hyperlink>
      <w:r w:rsidR="00E215B3" w:rsidRPr="007268F5">
        <w:rPr>
          <w:rFonts w:cstheme="minorBidi"/>
        </w:rPr>
        <w:t xml:space="preserve">; </w:t>
      </w:r>
      <w:hyperlink w:anchor="_ENREF_297" w:tooltip="Stentiford, 2001 #124" w:history="1">
        <w:r w:rsidR="00950097" w:rsidRPr="007268F5">
          <w:rPr>
            <w:rFonts w:cstheme="minorBidi"/>
          </w:rPr>
          <w:t>Stentiford et al., 2001a</w:t>
        </w:r>
      </w:hyperlink>
      <w:r w:rsidR="00E215B3" w:rsidRPr="007268F5">
        <w:rPr>
          <w:rFonts w:cstheme="minorBidi"/>
        </w:rPr>
        <w:t>)</w:t>
      </w:r>
      <w:r w:rsidRPr="009819CE">
        <w:rPr>
          <w:rFonts w:cstheme="minorBidi"/>
        </w:rPr>
        <w:fldChar w:fldCharType="end"/>
      </w:r>
      <w:r w:rsidRPr="009819CE">
        <w:rPr>
          <w:rFonts w:cstheme="minorBidi"/>
          <w:color w:val="000000"/>
        </w:rPr>
        <w:t xml:space="preserve">, </w:t>
      </w:r>
      <w:r w:rsidRPr="009819CE">
        <w:rPr>
          <w:rFonts w:cstheme="minorBidi"/>
        </w:rPr>
        <w:t xml:space="preserve">but with the development of more sensitive diagnostic methods, it has become clear that only the patent infection can be classed as a seasonal event </w:t>
      </w:r>
      <w:r w:rsidRPr="009819CE">
        <w:rPr>
          <w:rFonts w:cstheme="minorBidi"/>
        </w:rPr>
        <w:fldChar w:fldCharType="begin"/>
      </w:r>
      <w:r w:rsidR="001976BB" w:rsidRPr="009819CE">
        <w:rPr>
          <w:rFonts w:cstheme="minorBidi"/>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Pr="009819CE">
        <w:rPr>
          <w:rFonts w:cstheme="minorBidi"/>
        </w:rPr>
        <w:fldChar w:fldCharType="separate"/>
      </w:r>
      <w:r w:rsidR="00A8698B" w:rsidRPr="007268F5">
        <w:rPr>
          <w:rFonts w:cstheme="minorBidi"/>
        </w:rPr>
        <w:t>(</w:t>
      </w:r>
      <w:hyperlink w:anchor="_ENREF_29" w:tooltip="Beevers, 2012 #377" w:history="1">
        <w:r w:rsidR="00950097" w:rsidRPr="007268F5">
          <w:rPr>
            <w:rFonts w:cstheme="minorBidi"/>
          </w:rPr>
          <w:t>Beevers et al., 2012</w:t>
        </w:r>
      </w:hyperlink>
      <w:r w:rsidR="00A8698B" w:rsidRPr="007268F5">
        <w:rPr>
          <w:rFonts w:cstheme="minorBidi"/>
        </w:rPr>
        <w:t>)</w:t>
      </w:r>
      <w:r w:rsidRPr="009819CE">
        <w:rPr>
          <w:rFonts w:cstheme="minorBidi"/>
        </w:rPr>
        <w:fldChar w:fldCharType="end"/>
      </w:r>
      <w:r w:rsidRPr="009819CE">
        <w:rPr>
          <w:rFonts w:cstheme="minorBidi"/>
        </w:rPr>
        <w:t xml:space="preserve">. A western blot immunoassay technique was first used by </w:t>
      </w:r>
      <w:hyperlink w:anchor="_ENREF_309" w:tooltip="Stentiford, 2001 #1822" w:history="1">
        <w:r w:rsidR="00950097" w:rsidRPr="009819CE">
          <w:rPr>
            <w:rFonts w:cstheme="minorBidi"/>
          </w:rPr>
          <w:fldChar w:fldCharType="begin">
            <w:fldData xml:space="preserve">PEVuZE5vdGU+PENpdGUgQXV0aG9yWWVhcj0iMSI+PEF1dGhvcj5TdGVudGlmb3JkPC9BdXRob3I+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</w:fldData>
          </w:fldChar>
        </w:r>
        <w:r w:rsidR="00950097" w:rsidRPr="009819CE">
          <w:rPr>
            <w:rFonts w:cstheme="minorBidi"/>
          </w:rPr>
          <w:instrText xml:space="preserve"> ADDIN EN.CITE </w:instrText>
        </w:r>
        <w:r w:rsidR="00950097" w:rsidRPr="009819CE">
          <w:rPr>
            <w:rFonts w:cstheme="minorBidi"/>
          </w:rPr>
          <w:fldChar w:fldCharType="begin">
            <w:fldData xml:space="preserve">PEVuZE5vdGU+PENpdGUgQXV0aG9yWWVhcj0iMSI+PEF1dGhvcj5TdGVudGlmb3JkPC9BdXRob3I+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</w:fldData>
          </w:fldChar>
        </w:r>
        <w:r w:rsidR="00950097" w:rsidRPr="009819CE">
          <w:rPr>
            <w:rFonts w:cstheme="minorBidi"/>
          </w:rPr>
          <w:instrText xml:space="preserve"> ADDIN EN.CITE.DATA </w:instrText>
        </w:r>
        <w:r w:rsidR="00950097" w:rsidRPr="009819CE">
          <w:rPr>
            <w:rFonts w:cstheme="minorBidi"/>
          </w:rPr>
        </w:r>
        <w:r w:rsidR="00950097" w:rsidRPr="009819CE">
          <w:rPr>
            <w:rFonts w:cstheme="minorBidi"/>
          </w:rPr>
          <w:fldChar w:fldCharType="end"/>
        </w:r>
        <w:r w:rsidR="00950097" w:rsidRPr="009819CE">
          <w:rPr>
            <w:rFonts w:cstheme="minorBidi"/>
          </w:rPr>
        </w:r>
        <w:r w:rsidR="00950097" w:rsidRPr="009819CE">
          <w:rPr>
            <w:rFonts w:cstheme="minorBidi"/>
          </w:rPr>
          <w:fldChar w:fldCharType="separate"/>
        </w:r>
        <w:r w:rsidR="00950097" w:rsidRPr="007268F5">
          <w:rPr>
            <w:rFonts w:cstheme="minorBidi"/>
          </w:rPr>
          <w:t>Stentiford et al. (2001d)</w:t>
        </w:r>
        <w:r w:rsidR="00950097" w:rsidRPr="009819CE">
          <w:rPr>
            <w:rFonts w:cstheme="minorBidi"/>
          </w:rPr>
          <w:fldChar w:fldCharType="end"/>
        </w:r>
      </w:hyperlink>
      <w:r w:rsidR="00A82560" w:rsidRPr="009819CE">
        <w:rPr>
          <w:rFonts w:cstheme="minorBidi"/>
        </w:rPr>
        <w:t xml:space="preserve"> </w:t>
      </w:r>
      <w:r w:rsidRPr="009819CE">
        <w:rPr>
          <w:rFonts w:cstheme="minorBidi"/>
        </w:rPr>
        <w:t xml:space="preserve">to detect sub-patent </w:t>
      </w:r>
      <w:r w:rsidR="009D03F4" w:rsidRPr="009819CE">
        <w:rPr>
          <w:rFonts w:cstheme="minorBidi"/>
          <w:i/>
          <w:iCs/>
        </w:rPr>
        <w:t>Hematodinium</w:t>
      </w:r>
      <w:r w:rsidRPr="009819CE">
        <w:rPr>
          <w:rFonts w:cstheme="minorBidi"/>
        </w:rPr>
        <w:t xml:space="preserve"> sp. prevalence in the CSA. In that study, </w:t>
      </w:r>
      <w:r w:rsidR="009D03F4" w:rsidRPr="009819CE">
        <w:rPr>
          <w:rFonts w:cstheme="minorBidi"/>
          <w:i/>
          <w:iCs/>
        </w:rPr>
        <w:t>Hematodinium</w:t>
      </w:r>
      <w:r w:rsidRPr="009819CE">
        <w:rPr>
          <w:rFonts w:cstheme="minorBidi"/>
        </w:rPr>
        <w:t xml:space="preserve"> sp. prevalence was detected during autumn months for the first time. Moreover, in a later study </w:t>
      </w:r>
      <w:hyperlink w:anchor="_ENREF_29" w:tooltip="Beevers, 2012 #377" w:history="1">
        <w:r w:rsidR="00950097" w:rsidRPr="009819CE">
          <w:rPr>
            <w:rFonts w:cstheme="minorBidi"/>
          </w:rPr>
          <w:fldChar w:fldCharType="begin"/>
        </w:r>
        <w:r w:rsidR="00950097" w:rsidRPr="009819CE">
          <w:rPr>
            <w:rFonts w:cstheme="minorBidi"/>
          </w:rPr>
          <w:instrText xml:space="preserve"> ADDIN EN.CITE &lt;EndNote&gt;&lt;Cite AuthorYear="1"&gt;&lt;Author&gt;Beevers&lt;/Author&gt;&lt;Year&gt;2012&lt;/Year&gt;&lt;RecNum&gt;377&lt;/RecNum&gt;&lt;DisplayText&gt;Beevers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950097" w:rsidRPr="009819CE">
          <w:rPr>
            <w:rFonts w:cstheme="minorBidi"/>
          </w:rPr>
          <w:fldChar w:fldCharType="separate"/>
        </w:r>
        <w:r w:rsidR="00950097" w:rsidRPr="007268F5">
          <w:rPr>
            <w:rFonts w:cstheme="minorBidi"/>
          </w:rPr>
          <w:t>Beevers et al. (2012)</w:t>
        </w:r>
        <w:r w:rsidR="00950097" w:rsidRPr="009819CE">
          <w:rPr>
            <w:rFonts w:cstheme="minorBidi"/>
          </w:rPr>
          <w:fldChar w:fldCharType="end"/>
        </w:r>
      </w:hyperlink>
      <w:r w:rsidRPr="009819CE">
        <w:rPr>
          <w:rFonts w:cstheme="minorBidi"/>
        </w:rPr>
        <w:t xml:space="preserve"> found low-level sub-patent infection throughout the entire year using highly sensitive PCR and ELISA methods. </w:t>
      </w:r>
    </w:p>
    <w:p w14:paraId="78A02F8E" w14:textId="416B9E89" w:rsidR="00F36ABA" w:rsidRPr="009819CE" w:rsidRDefault="009D03F4" w:rsidP="00F36ABA">
      <w:pPr>
        <w:rPr>
          <w:rFonts w:cstheme="minorBidi"/>
        </w:rPr>
      </w:pPr>
      <w:r w:rsidRPr="009819CE">
        <w:rPr>
          <w:rFonts w:cstheme="minorBidi"/>
          <w:i/>
          <w:iCs/>
        </w:rPr>
        <w:t>Hematodinium</w:t>
      </w:r>
      <w:r w:rsidR="00F36ABA" w:rsidRPr="009819CE">
        <w:rPr>
          <w:rFonts w:cstheme="minorBidi"/>
        </w:rPr>
        <w:t xml:space="preserve"> sp. infection has continued to be found in CSA populations at relatively high incidence levels since its discovery in the late 1980s </w:t>
      </w:r>
      <w:r w:rsidR="00F36ABA" w:rsidRPr="009819CE">
        <w:rPr>
          <w:rFonts w:cstheme="minorBidi"/>
        </w:rPr>
        <w:fldChar w:fldCharType="begin">
          <w:fldData xml:space="preserve">PEVuZE5vdGU+PENpdGU+PEF1dGhvcj5CZWV2ZXJzPC9BdXRob3I+PFllYXI+MjAxMjwvWWVhcj48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</w:fldData>
        </w:fldChar>
      </w:r>
      <w:r w:rsidR="008F34E4" w:rsidRPr="009819CE">
        <w:rPr>
          <w:rFonts w:cstheme="minorBidi"/>
        </w:rPr>
        <w:instrText xml:space="preserve"> ADDIN EN.CITE </w:instrText>
      </w:r>
      <w:r w:rsidR="008F34E4" w:rsidRPr="009819CE">
        <w:rPr>
          <w:rFonts w:cstheme="minorBidi"/>
        </w:rPr>
        <w:fldChar w:fldCharType="begin">
          <w:fldData xml:space="preserve">PEVuZE5vdGU+PENpdGU+PEF1dGhvcj5CZWV2ZXJzPC9BdXRob3I+PFllYXI+MjAxMjwvWWVhcj48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</w:fldData>
        </w:fldChar>
      </w:r>
      <w:r w:rsidR="008F34E4" w:rsidRPr="009819CE">
        <w:rPr>
          <w:rFonts w:cstheme="minorBidi"/>
        </w:rPr>
        <w:instrText xml:space="preserve"> ADDIN EN.CITE.DATA </w:instrText>
      </w:r>
      <w:r w:rsidR="008F34E4" w:rsidRPr="009819CE">
        <w:rPr>
          <w:rFonts w:cstheme="minorBidi"/>
        </w:rPr>
      </w:r>
      <w:r w:rsidR="008F34E4" w:rsidRPr="009819CE">
        <w:rPr>
          <w:rFonts w:cstheme="minorBidi"/>
        </w:rPr>
        <w:fldChar w:fldCharType="end"/>
      </w:r>
      <w:r w:rsidR="00F36ABA" w:rsidRPr="009819CE">
        <w:rPr>
          <w:rFonts w:cstheme="minorBidi"/>
        </w:rPr>
      </w:r>
      <w:r w:rsidR="00F36ABA" w:rsidRPr="009819CE">
        <w:rPr>
          <w:rFonts w:cstheme="minorBidi"/>
        </w:rPr>
        <w:fldChar w:fldCharType="separate"/>
      </w:r>
      <w:r w:rsidR="00D50EFF" w:rsidRPr="007268F5">
        <w:rPr>
          <w:rFonts w:cstheme="minorBidi"/>
        </w:rPr>
        <w:t>(</w:t>
      </w:r>
      <w:hyperlink w:anchor="_ENREF_29" w:tooltip="Beevers, 2012 #377" w:history="1">
        <w:r w:rsidR="00950097" w:rsidRPr="007268F5">
          <w:rPr>
            <w:rFonts w:cstheme="minorBidi"/>
          </w:rPr>
          <w:t>Beevers et al., 2012</w:t>
        </w:r>
      </w:hyperlink>
      <w:r w:rsidR="00D50EFF" w:rsidRPr="007268F5">
        <w:rPr>
          <w:rFonts w:cstheme="minorBidi"/>
        </w:rPr>
        <w:t xml:space="preserve">; </w:t>
      </w:r>
      <w:hyperlink w:anchor="_ENREF_96" w:tooltip="Field, 1998 #1686" w:history="1">
        <w:r w:rsidR="00950097" w:rsidRPr="007268F5">
          <w:rPr>
            <w:rFonts w:cstheme="minorBidi"/>
          </w:rPr>
          <w:t>Field et al., 1998</w:t>
        </w:r>
      </w:hyperlink>
      <w:r w:rsidR="00D50EFF" w:rsidRPr="007268F5">
        <w:rPr>
          <w:rFonts w:cstheme="minorBidi"/>
        </w:rPr>
        <w:t>)</w:t>
      </w:r>
      <w:r w:rsidR="00F36ABA" w:rsidRPr="009819CE">
        <w:rPr>
          <w:rFonts w:cstheme="minorBidi"/>
        </w:rPr>
        <w:fldChar w:fldCharType="end"/>
      </w:r>
      <w:r w:rsidR="00F36ABA" w:rsidRPr="009819CE">
        <w:rPr>
          <w:rFonts w:cstheme="minorBidi"/>
        </w:rPr>
        <w:t xml:space="preserve">. The highest overall patent (pleopod-derived) prevalence values recorded in these studies were 84% (March 1991) </w:t>
      </w:r>
      <w:r w:rsidR="00F36ABA" w:rsidRPr="009819CE">
        <w:rPr>
          <w:rFonts w:cstheme="minorBidi"/>
        </w:rPr>
        <w:fldChar w:fldCharType="begin"/>
      </w:r>
      <w:r w:rsidR="00ED1A9E" w:rsidRPr="009819CE">
        <w:rPr>
          <w:rFonts w:cstheme="minorBidi"/>
        </w:rPr>
        <w:instrText xml:space="preserve"> ADDIN EN.CITE &lt;EndNote&gt;&lt;Cite&gt;&lt;Author&gt;Field&lt;/Author&gt;&lt;Year&gt;1992&lt;/Year&gt;&lt;RecNum&gt;481&lt;/RecNum&gt;&lt;DisplayText&gt;(Field,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00F36ABA" w:rsidRPr="009819CE">
        <w:rPr>
          <w:rFonts w:cstheme="minorBidi"/>
        </w:rPr>
        <w:fldChar w:fldCharType="separate"/>
      </w:r>
      <w:r w:rsidR="00D50EFF" w:rsidRPr="007268F5">
        <w:rPr>
          <w:rFonts w:cstheme="minorBidi"/>
        </w:rPr>
        <w:t>(</w:t>
      </w:r>
      <w:hyperlink w:anchor="_ENREF_91" w:tooltip="Field, 1992 #481" w:history="1">
        <w:r w:rsidR="00950097" w:rsidRPr="007268F5">
          <w:rPr>
            <w:rFonts w:cstheme="minorBidi"/>
          </w:rPr>
          <w:t>Field, 1992</w:t>
        </w:r>
      </w:hyperlink>
      <w:r w:rsidR="00D50EFF" w:rsidRPr="007268F5">
        <w:rPr>
          <w:rFonts w:cstheme="minorBidi"/>
        </w:rPr>
        <w:t>)</w:t>
      </w:r>
      <w:r w:rsidR="00F36ABA" w:rsidRPr="009819CE">
        <w:rPr>
          <w:rFonts w:cstheme="minorBidi"/>
        </w:rPr>
        <w:fldChar w:fldCharType="end"/>
      </w:r>
      <w:r w:rsidR="00F36ABA" w:rsidRPr="009819CE">
        <w:rPr>
          <w:rFonts w:cstheme="minorBidi"/>
        </w:rPr>
        <w:t xml:space="preserve">; 23.70% (May 1998), 21.60% (February 1999), and 19.90% (April 2000), </w:t>
      </w:r>
      <w:r w:rsidR="00F36ABA" w:rsidRPr="009819CE">
        <w:rPr>
          <w:rFonts w:cstheme="minorBidi"/>
        </w:rPr>
        <w:fldChar w:fldCharType="begin"/>
      </w:r>
      <w:r w:rsidR="00D50EFF" w:rsidRPr="009819CE">
        <w:rPr>
          <w:rFonts w:cstheme="minorBidi"/>
        </w:rPr>
        <w:instrText xml:space="preserve"> ADDIN EN.CITE &lt;EndNote&gt;&lt;Cite&gt;&lt;Author&gt;Stentiford&lt;/Author&gt;&lt;Year&gt;2001&lt;/Year&gt;&lt;RecNum&gt;124&lt;/RecNum&gt;&lt;DisplayText&gt;(Stentiford et al., 2001a)&lt;/DisplayText&gt;&lt;record&gt;&lt;rec-number&gt;124&lt;/rec-number&gt;&lt;foreign-keys&gt;&lt;key app="EN" db-id="sd9wrx9fj09rx3erprsx999o0r5aprvp2zse" timestamp="1687855901" guid="09c5d39b-f816-4e12-ae84-6f5c91f6c410"&gt;124&lt;/key&gt;&lt;/foreign-keys&gt;&lt;ref-type name="Journal Article"&gt;17&lt;/ref-type&gt;&lt;contributors&gt;&lt;authors&gt;&lt;author&gt;Stentiford, Grant&lt;/author&gt;&lt;author&gt;Neil, Douglas M.&lt;/author&gt;&lt;author&gt;Atkinson, Robert James A.&lt;/author&gt;&lt;/authors&gt;&lt;/contributors&gt;&lt;titles&gt;&lt;title&gt;&lt;style face="normal" font="default" size="100%"&gt;The relationship of &lt;/style&gt;&lt;style face="italic" font="default" size="100%"&gt;Hematodinium &lt;/style&gt;&lt;style face="normal" font="default" size="100%"&gt;infection prevalence in a Scottish &lt;/style&gt;&lt;style face="italic" font="default" size="100%"&gt;Nephrops norvegicus&lt;/style&gt;&lt;style face="normal" font="default" size="100%"&gt; population to season, moulting and sex&lt;/style&gt;&lt;/title&gt;&lt;secondary-title&gt;ICES Journal of Marine Science&lt;/secondary-title&gt;&lt;/titles&gt;&lt;periodical&gt;&lt;full-title&gt;ICES Journal of Marine Science&lt;/full-title&gt;&lt;/periodical&gt;&lt;pages&gt;814-823&lt;/pages&gt;&lt;volume&gt;58&lt;/volume&gt;&lt;number&gt;4&lt;/number&gt;&lt;keywords&gt;&lt;keyword&gt;Hematodinium&lt;/keyword&gt;&lt;keyword&gt;Infection prevalence&lt;/keyword&gt;&lt;keyword&gt;Moult cycle&lt;/keyword&gt;&lt;keyword&gt;Nephrops norvegicus&lt;/keyword&gt;&lt;keyword&gt;Parasite&lt;/keyword&gt;&lt;/keywords&gt;&lt;dates&gt;&lt;year&gt;2001&lt;/year&gt;&lt;pub-dates&gt;&lt;date&gt;2001/8//&lt;/date&gt;&lt;/pub-dates&gt;&lt;/dates&gt;&lt;urls&gt;&lt;related-urls&gt;&lt;url&gt;https://academic.oup.com/icesjms/article-lookup/doi/10.1006/jmsc.2001.1072&lt;/url&gt;&lt;/related-urls&gt;&lt;/urls&gt;&lt;electronic-resource-num&gt;10.1006/jmsc.2001.1072&lt;/electronic-resource-num&gt;&lt;/record&gt;&lt;/Cite&gt;&lt;/EndNote&gt;</w:instrText>
      </w:r>
      <w:r w:rsidR="00F36ABA" w:rsidRPr="009819CE">
        <w:rPr>
          <w:rFonts w:cstheme="minorBidi"/>
        </w:rPr>
        <w:fldChar w:fldCharType="separate"/>
      </w:r>
      <w:r w:rsidR="00D50EFF" w:rsidRPr="009819CE">
        <w:rPr>
          <w:rFonts w:cstheme="minorBidi"/>
        </w:rPr>
        <w:t>(</w:t>
      </w:r>
      <w:hyperlink w:anchor="_ENREF_297" w:tooltip="Stentiford, 2001 #124" w:history="1">
        <w:r w:rsidR="00950097" w:rsidRPr="009819CE">
          <w:rPr>
            <w:rFonts w:cstheme="minorBidi"/>
          </w:rPr>
          <w:t>Stentiford et al., 2001a</w:t>
        </w:r>
      </w:hyperlink>
      <w:r w:rsidR="00D50EFF" w:rsidRPr="009819CE">
        <w:rPr>
          <w:rFonts w:cstheme="minorBidi"/>
        </w:rPr>
        <w:t>)</w:t>
      </w:r>
      <w:r w:rsidR="00F36ABA" w:rsidRPr="009819CE">
        <w:rPr>
          <w:rFonts w:cstheme="minorBidi"/>
        </w:rPr>
        <w:fldChar w:fldCharType="end"/>
      </w:r>
      <w:r w:rsidR="00F36ABA" w:rsidRPr="009819CE">
        <w:rPr>
          <w:rFonts w:cstheme="minorBidi"/>
        </w:rPr>
        <w:t>; and 14% (February 2008)</w:t>
      </w:r>
      <w:r w:rsidR="00F36ABA" w:rsidRPr="009819CE">
        <w:rPr>
          <w:rFonts w:cstheme="minorBidi"/>
          <w:color w:val="000000"/>
        </w:rPr>
        <w:t xml:space="preserve">, </w:t>
      </w:r>
      <w:r w:rsidR="00F36ABA" w:rsidRPr="009819CE">
        <w:rPr>
          <w:rFonts w:cstheme="minorBidi"/>
          <w:color w:val="000000"/>
        </w:rPr>
        <w:fldChar w:fldCharType="begin"/>
      </w:r>
      <w:r w:rsidR="001976BB" w:rsidRPr="009819CE">
        <w:rPr>
          <w:rFonts w:cstheme="minorBidi"/>
          <w:color w:val="000000"/>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F36ABA" w:rsidRPr="009819CE">
        <w:rPr>
          <w:rFonts w:cstheme="minorBidi"/>
          <w:color w:val="000000"/>
        </w:rPr>
        <w:fldChar w:fldCharType="separate"/>
      </w:r>
      <w:r w:rsidR="00A8698B" w:rsidRPr="007268F5">
        <w:rPr>
          <w:rFonts w:cstheme="minorBidi"/>
          <w:color w:val="000000"/>
        </w:rPr>
        <w:t>(</w:t>
      </w:r>
      <w:hyperlink w:anchor="_ENREF_29" w:tooltip="Beevers, 2012 #377" w:history="1">
        <w:r w:rsidR="00950097" w:rsidRPr="007268F5">
          <w:rPr>
            <w:rFonts w:cstheme="minorBidi"/>
            <w:color w:val="000000"/>
          </w:rPr>
          <w:t>Beevers et al., 2012</w:t>
        </w:r>
      </w:hyperlink>
      <w:r w:rsidR="00A8698B" w:rsidRPr="007268F5">
        <w:rPr>
          <w:rFonts w:cstheme="minorBidi"/>
          <w:color w:val="000000"/>
        </w:rPr>
        <w:t>)</w:t>
      </w:r>
      <w:r w:rsidR="00F36ABA" w:rsidRPr="009819CE">
        <w:rPr>
          <w:rFonts w:cstheme="minorBidi"/>
          <w:color w:val="000000"/>
        </w:rPr>
        <w:fldChar w:fldCharType="end"/>
      </w:r>
      <w:r w:rsidR="00F36ABA" w:rsidRPr="009819CE">
        <w:rPr>
          <w:rFonts w:cstheme="minorBidi"/>
          <w:color w:val="000000"/>
        </w:rPr>
        <w:t>.</w:t>
      </w:r>
      <w:r w:rsidR="00F36ABA" w:rsidRPr="009819CE">
        <w:rPr>
          <w:rFonts w:cstheme="minorBidi"/>
        </w:rPr>
        <w:t xml:space="preserve"> The highest sub-patent ELISA-derived prevalence values were 20% (March 2003)</w:t>
      </w:r>
      <w:r w:rsidR="00185743" w:rsidRPr="009819CE">
        <w:rPr>
          <w:rFonts w:cstheme="minorBidi"/>
        </w:rPr>
        <w:t xml:space="preserve"> </w:t>
      </w:r>
      <w:r w:rsidR="00F36ABA" w:rsidRPr="009819CE">
        <w:rPr>
          <w:rFonts w:cstheme="minorBidi"/>
        </w:rPr>
        <w:fldChar w:fldCharType="begin"/>
      </w:r>
      <w:r w:rsidR="001E2A24" w:rsidRPr="009819CE">
        <w:rPr>
          <w:rFonts w:cstheme="minorBidi"/>
        </w:rPr>
        <w:instrText xml:space="preserve"> ADDIN EN.CITE &lt;EndNote&gt;&lt;Cite&gt;&lt;Author&gt;Small&lt;/Author&gt;&lt;Year&gt;2004&lt;/Year&gt;&lt;RecNum&gt;242&lt;/RecNum&gt;&lt;DisplayText&gt;(Small, 2004)&lt;/DisplayText&gt;&lt;record&gt;&lt;rec-number&gt;242&lt;/rec-number&gt;&lt;foreign-keys&gt;&lt;key app="EN" db-id="sd9wrx9fj09rx3erprsx999o0r5aprvp2zse" timestamp="1687855901" guid="9ba35068-1abf-4bc9-add1-0aecabcfbf43"&gt;242&lt;/key&gt;&lt;/foreign-keys&gt;&lt;ref-type name="Thesis"&gt;32&lt;/ref-type&gt;&lt;contributors&gt;&lt;authors&gt;&lt;author&gt;Small, Hamish J.&lt;/author&gt;&lt;/authors&gt;&lt;/contributors&gt;&lt;titles&gt;&lt;title&gt;&lt;style face="normal" font="default" size="100%"&gt;Infections of the Norway lobster, &lt;/style&gt;&lt;style face="italic" font="default" size="100%"&gt;Nephrops norvegicus&lt;/style&gt;&lt;style face="normal" font="default" size="100%"&gt; (L.) by dinoflagellate and ciliate parasites&lt;/style&gt;&lt;/title&gt;&lt;secondary-title&gt;Division of Environmental and Evolutionary Biology, Institute of Biomedical and Life Sciences&lt;/secondary-title&gt;&lt;/titles&gt;&lt;pages&gt;1-216&lt;/pages&gt;&lt;dates&gt;&lt;year&gt;2004&lt;/year&gt;&lt;/dates&gt;&lt;publisher&gt;University of Glasgow&lt;/publisher&gt;&lt;accession-num&gt;Thesis 13447&lt;/accession-num&gt;&lt;urls&gt;&lt;related-urls&gt;&lt;url&gt;https://eleanor.lib.gla.ac.uk/record=b2191276&lt;/url&gt;&lt;/related-urls&gt;&lt;/urls&gt;&lt;/record&gt;&lt;/Cite&gt;&lt;/EndNote&gt;</w:instrText>
      </w:r>
      <w:r w:rsidR="00F36ABA" w:rsidRPr="009819CE">
        <w:rPr>
          <w:rFonts w:cstheme="minorBidi"/>
        </w:rPr>
        <w:fldChar w:fldCharType="separate"/>
      </w:r>
      <w:r w:rsidR="00D50EFF" w:rsidRPr="007268F5">
        <w:rPr>
          <w:rFonts w:cstheme="minorBidi"/>
        </w:rPr>
        <w:t>(</w:t>
      </w:r>
      <w:hyperlink w:anchor="_ENREF_288" w:tooltip="Small, 2004 #242" w:history="1">
        <w:r w:rsidR="00950097" w:rsidRPr="007268F5">
          <w:rPr>
            <w:rFonts w:cstheme="minorBidi"/>
          </w:rPr>
          <w:t>Small, 2004</w:t>
        </w:r>
      </w:hyperlink>
      <w:r w:rsidR="00D50EFF" w:rsidRPr="007268F5">
        <w:rPr>
          <w:rFonts w:cstheme="minorBidi"/>
        </w:rPr>
        <w:t>)</w:t>
      </w:r>
      <w:r w:rsidR="00F36ABA" w:rsidRPr="009819CE">
        <w:rPr>
          <w:rFonts w:cstheme="minorBidi"/>
        </w:rPr>
        <w:fldChar w:fldCharType="end"/>
      </w:r>
      <w:r w:rsidR="00F36ABA" w:rsidRPr="009819CE">
        <w:rPr>
          <w:rFonts w:cstheme="minorBidi"/>
        </w:rPr>
        <w:t xml:space="preserve">, 23% (February 2008) </w:t>
      </w:r>
      <w:r w:rsidR="00F36ABA" w:rsidRPr="009819CE">
        <w:rPr>
          <w:rFonts w:cstheme="minorBidi"/>
          <w:color w:val="000000"/>
        </w:rPr>
        <w:fldChar w:fldCharType="begin"/>
      </w:r>
      <w:r w:rsidR="001976BB" w:rsidRPr="009819CE">
        <w:rPr>
          <w:rFonts w:cstheme="minorBidi"/>
          <w:color w:val="000000"/>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F36ABA" w:rsidRPr="009819CE">
        <w:rPr>
          <w:rFonts w:cstheme="minorBidi"/>
          <w:color w:val="000000"/>
        </w:rPr>
        <w:fldChar w:fldCharType="separate"/>
      </w:r>
      <w:r w:rsidR="00A8698B" w:rsidRPr="007268F5">
        <w:rPr>
          <w:rFonts w:cstheme="minorBidi"/>
          <w:color w:val="000000"/>
        </w:rPr>
        <w:t>(</w:t>
      </w:r>
      <w:hyperlink w:anchor="_ENREF_29" w:tooltip="Beevers, 2012 #377" w:history="1">
        <w:r w:rsidR="00950097" w:rsidRPr="007268F5">
          <w:rPr>
            <w:rFonts w:cstheme="minorBidi"/>
            <w:color w:val="000000"/>
          </w:rPr>
          <w:t>Beevers et al., 2012</w:t>
        </w:r>
      </w:hyperlink>
      <w:r w:rsidR="00A8698B" w:rsidRPr="007268F5">
        <w:rPr>
          <w:rFonts w:cstheme="minorBidi"/>
          <w:color w:val="000000"/>
        </w:rPr>
        <w:t>)</w:t>
      </w:r>
      <w:r w:rsidR="00F36ABA" w:rsidRPr="009819CE">
        <w:rPr>
          <w:rFonts w:cstheme="minorBidi"/>
          <w:color w:val="000000"/>
        </w:rPr>
        <w:fldChar w:fldCharType="end"/>
      </w:r>
      <w:r w:rsidR="00F36ABA" w:rsidRPr="009819CE">
        <w:rPr>
          <w:rFonts w:cstheme="minorBidi"/>
          <w:color w:val="000000"/>
        </w:rPr>
        <w:t xml:space="preserve"> </w:t>
      </w:r>
      <w:r w:rsidR="00F36ABA" w:rsidRPr="009819CE">
        <w:rPr>
          <w:rFonts w:cstheme="minorBidi"/>
        </w:rPr>
        <w:t xml:space="preserve">and up to 28% by PCR and ELISA method combined (February 2008) </w:t>
      </w:r>
      <w:r w:rsidR="00F36ABA" w:rsidRPr="009819CE">
        <w:rPr>
          <w:rFonts w:cstheme="minorBidi"/>
          <w:color w:val="000000"/>
        </w:rPr>
        <w:fldChar w:fldCharType="begin"/>
      </w:r>
      <w:r w:rsidR="001976BB" w:rsidRPr="009819CE">
        <w:rPr>
          <w:rFonts w:cstheme="minorBidi"/>
          <w:color w:val="000000"/>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F36ABA" w:rsidRPr="009819CE">
        <w:rPr>
          <w:rFonts w:cstheme="minorBidi"/>
          <w:color w:val="000000"/>
        </w:rPr>
        <w:fldChar w:fldCharType="separate"/>
      </w:r>
      <w:r w:rsidR="00A8698B" w:rsidRPr="007268F5">
        <w:rPr>
          <w:rFonts w:cstheme="minorBidi"/>
          <w:color w:val="000000"/>
        </w:rPr>
        <w:t>(</w:t>
      </w:r>
      <w:hyperlink w:anchor="_ENREF_29" w:tooltip="Beevers, 2012 #377" w:history="1">
        <w:r w:rsidR="00950097" w:rsidRPr="007268F5">
          <w:rPr>
            <w:rFonts w:cstheme="minorBidi"/>
            <w:color w:val="000000"/>
          </w:rPr>
          <w:t>Beevers et al., 2012</w:t>
        </w:r>
      </w:hyperlink>
      <w:r w:rsidR="00A8698B" w:rsidRPr="007268F5">
        <w:rPr>
          <w:rFonts w:cstheme="minorBidi"/>
          <w:color w:val="000000"/>
        </w:rPr>
        <w:t>)</w:t>
      </w:r>
      <w:r w:rsidR="00F36ABA" w:rsidRPr="009819CE">
        <w:rPr>
          <w:rFonts w:cstheme="minorBidi"/>
          <w:color w:val="000000"/>
        </w:rPr>
        <w:fldChar w:fldCharType="end"/>
      </w:r>
      <w:r w:rsidR="00F36ABA" w:rsidRPr="009819CE">
        <w:rPr>
          <w:rFonts w:cstheme="minorBidi"/>
          <w:color w:val="000000"/>
        </w:rPr>
        <w:t>.</w:t>
      </w:r>
    </w:p>
    <w:p w14:paraId="344D424A" w14:textId="58CAF054" w:rsidR="00F36ABA" w:rsidRPr="009819CE" w:rsidRDefault="00F36ABA" w:rsidP="00F36ABA">
      <w:pPr>
        <w:rPr>
          <w:rFonts w:cstheme="minorBidi"/>
        </w:rPr>
      </w:pPr>
      <w:r w:rsidRPr="009819CE">
        <w:rPr>
          <w:rFonts w:cstheme="minorBidi"/>
        </w:rPr>
        <w:t xml:space="preserve">When considering prevalence values, it is relevant to bear in mind that burrow emergence patterns are also influenced by </w:t>
      </w:r>
      <w:r w:rsidR="009D03F4" w:rsidRPr="009819CE">
        <w:rPr>
          <w:rFonts w:cstheme="minorBidi"/>
          <w:i/>
          <w:iCs/>
        </w:rPr>
        <w:t>Hematodinium</w:t>
      </w:r>
      <w:r w:rsidRPr="009819CE">
        <w:rPr>
          <w:rFonts w:cstheme="minorBidi"/>
        </w:rPr>
        <w:t xml:space="preserve"> sp. infection (</w:t>
      </w:r>
      <w:r w:rsidR="00AA4C8F" w:rsidRPr="009819CE">
        <w:rPr>
          <w:rFonts w:cstheme="minorBidi"/>
        </w:rPr>
        <w:t>see</w:t>
      </w:r>
      <w:r w:rsidR="00617356" w:rsidRPr="00FA7D47">
        <w:rPr>
          <w:rFonts w:cstheme="minorBidi"/>
        </w:rPr>
        <w:t xml:space="preserve"> section</w:t>
      </w:r>
      <w:r w:rsidRPr="009819CE">
        <w:rPr>
          <w:rFonts w:cstheme="minorBidi"/>
        </w:rPr>
        <w:t xml:space="preserve"> </w:t>
      </w:r>
      <w:r w:rsidR="00617356" w:rsidRPr="009819CE">
        <w:rPr>
          <w:rFonts w:cstheme="minorBidi"/>
          <w:b/>
          <w:bCs/>
        </w:rPr>
        <w:fldChar w:fldCharType="begin"/>
      </w:r>
      <w:r w:rsidR="00617356" w:rsidRPr="009819CE">
        <w:rPr>
          <w:rFonts w:cstheme="minorBidi"/>
          <w:b/>
          <w:bCs/>
        </w:rPr>
        <w:instrText xml:space="preserve"> REF _Ref193538265 \r \h </w:instrText>
      </w:r>
      <w:r w:rsidR="00617356" w:rsidRPr="009819CE">
        <w:rPr>
          <w:rFonts w:cstheme="minorBidi"/>
          <w:b/>
          <w:bCs/>
        </w:rPr>
      </w:r>
      <w:r w:rsidR="00617356" w:rsidRPr="009819CE">
        <w:rPr>
          <w:rFonts w:cstheme="minorBidi"/>
          <w:b/>
          <w:bCs/>
        </w:rPr>
        <w:fldChar w:fldCharType="separate"/>
      </w:r>
      <w:r w:rsidR="008549FC">
        <w:rPr>
          <w:rFonts w:cstheme="minorBidi"/>
          <w:b/>
          <w:bCs/>
        </w:rPr>
        <w:t>1.1.4</w:t>
      </w:r>
      <w:r w:rsidR="00617356" w:rsidRPr="009819CE">
        <w:rPr>
          <w:rFonts w:cstheme="minorBidi"/>
          <w:b/>
          <w:bCs/>
        </w:rPr>
        <w:fldChar w:fldCharType="end"/>
      </w:r>
      <w:r w:rsidRPr="009819CE">
        <w:rPr>
          <w:rFonts w:cstheme="minorBidi"/>
        </w:rPr>
        <w:t xml:space="preserve">). Compared to uninfected </w:t>
      </w:r>
      <w:r w:rsidR="00C31E47" w:rsidRPr="009819CE">
        <w:rPr>
          <w:rFonts w:cstheme="minorBidi"/>
          <w:i/>
        </w:rPr>
        <w:t>Nephrops</w:t>
      </w:r>
      <w:r w:rsidRPr="009819CE">
        <w:rPr>
          <w:rFonts w:cstheme="minorBidi"/>
        </w:rPr>
        <w:t xml:space="preserve">, individuals at advanced stages of infection spend significantly more time outside their burrows </w:t>
      </w:r>
      <w:r w:rsidRPr="009819CE">
        <w:rPr>
          <w:rFonts w:cstheme="minorBidi"/>
        </w:rPr>
        <w:fldChar w:fldCharType="begin">
          <w:fldData xml:space="preserve">PEVuZE5vdGU+PENpdGU+PEF1dGhvcj5GaWVsZDwvQXV0aG9yPjxZZWFyPjE5OTg8L1llYXI+PFJl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</w:fldData>
        </w:fldChar>
      </w:r>
      <w:r w:rsidR="008F34E4" w:rsidRPr="009819CE">
        <w:rPr>
          <w:rFonts w:cstheme="minorBidi"/>
        </w:rPr>
        <w:instrText xml:space="preserve"> ADDIN EN.CITE </w:instrText>
      </w:r>
      <w:r w:rsidR="008F34E4" w:rsidRPr="009819CE">
        <w:rPr>
          <w:rFonts w:cstheme="minorBidi"/>
        </w:rPr>
        <w:fldChar w:fldCharType="begin">
          <w:fldData xml:space="preserve">PEVuZE5vdGU+PENpdGU+PEF1dGhvcj5GaWVsZDwvQXV0aG9yPjxZZWFyPjE5OTg8L1llYXI+PFJl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</w:fldData>
        </w:fldChar>
      </w:r>
      <w:r w:rsidR="008F34E4" w:rsidRPr="009819CE">
        <w:rPr>
          <w:rFonts w:cstheme="minorBidi"/>
        </w:rPr>
        <w:instrText xml:space="preserve"> ADDIN EN.CITE.DATA </w:instrText>
      </w:r>
      <w:r w:rsidR="008F34E4" w:rsidRPr="009819CE">
        <w:rPr>
          <w:rFonts w:cstheme="minorBidi"/>
        </w:rPr>
      </w:r>
      <w:r w:rsidR="008F34E4"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96" w:tooltip="Field, 1998 #1686" w:history="1">
        <w:r w:rsidR="00950097" w:rsidRPr="007268F5">
          <w:rPr>
            <w:rFonts w:cstheme="minorBidi"/>
          </w:rPr>
          <w:t>Field et al., 1998</w:t>
        </w:r>
      </w:hyperlink>
      <w:r w:rsidR="00D50EFF" w:rsidRPr="007268F5">
        <w:rPr>
          <w:rFonts w:cstheme="minorBidi"/>
        </w:rPr>
        <w:t xml:space="preserve">; </w:t>
      </w:r>
      <w:hyperlink w:anchor="_ENREF_306" w:tooltip="Stentiford, 2001 #362" w:history="1">
        <w:r w:rsidR="00950097" w:rsidRPr="007268F5">
          <w:rPr>
            <w:rFonts w:cstheme="minorBidi"/>
          </w:rPr>
          <w:t>Stentiford et al., 2001c</w:t>
        </w:r>
      </w:hyperlink>
      <w:r w:rsidR="00D50EFF" w:rsidRPr="007268F5">
        <w:rPr>
          <w:rFonts w:cstheme="minorBidi"/>
        </w:rPr>
        <w:t>)</w:t>
      </w:r>
      <w:r w:rsidRPr="009819CE">
        <w:rPr>
          <w:rFonts w:cstheme="minorBidi"/>
        </w:rPr>
        <w:fldChar w:fldCharType="end"/>
      </w:r>
      <w:r w:rsidRPr="009819CE">
        <w:rPr>
          <w:rFonts w:cstheme="minorBidi"/>
        </w:rPr>
        <w:t xml:space="preserve">. Infected individuals may spend more time hunting for food due to the high energy demands of </w:t>
      </w:r>
      <w:r w:rsidR="009D03F4" w:rsidRPr="009819CE">
        <w:rPr>
          <w:rFonts w:cstheme="minorBidi"/>
          <w:i/>
          <w:iCs/>
        </w:rPr>
        <w:t>Hematodinium</w:t>
      </w:r>
      <w:r w:rsidRPr="009819CE">
        <w:rPr>
          <w:rFonts w:cstheme="minorBidi"/>
        </w:rPr>
        <w:t xml:space="preserve"> sp. infection. </w:t>
      </w:r>
      <w:r w:rsidR="00C31E47" w:rsidRPr="009819CE">
        <w:rPr>
          <w:rFonts w:cstheme="minorBidi"/>
          <w:i/>
          <w:iCs/>
        </w:rPr>
        <w:t>Nephrops</w:t>
      </w:r>
      <w:r w:rsidRPr="009819CE">
        <w:rPr>
          <w:rFonts w:cstheme="minorBidi"/>
        </w:rPr>
        <w:t xml:space="preserve"> also exhibit a progressive loss of swimming ability with a reduction in tail flips, swim bouts, and total distance travelled as the infection progresses </w:t>
      </w:r>
      <w:r w:rsidRPr="009819CE">
        <w:rPr>
          <w:rFonts w:cstheme="minorBidi"/>
        </w:rPr>
        <w:fldChar w:fldCharType="begin"/>
      </w:r>
      <w:r w:rsidR="00D50EFF" w:rsidRPr="009819CE">
        <w:rPr>
          <w:rFonts w:cstheme="minorBidi"/>
        </w:rPr>
        <w:instrText xml:space="preserve"> ADDIN EN.CITE &lt;EndNote&gt;&lt;Cite&gt;&lt;Author&gt;Stentiford&lt;/Author&gt;&lt;Year&gt;2000&lt;/Year&gt;&lt;RecNum&gt;260&lt;/RecNum&gt;&lt;DisplayText&gt;(Stentiford et al., 2000a)&lt;/DisplayText&gt;&lt;record&gt;&lt;rec-number&gt;260&lt;/rec-number&gt;&lt;foreign-keys&gt;&lt;key app="EN" db-id="sd9wrx9fj09rx3erprsx999o0r5aprvp2zse" timestamp="1687855901" guid="4033b574-bec2-4287-a7d8-41cda0b73665"&gt;260&lt;/key&gt;&lt;/foreign-keys&gt;&lt;ref-type name="Journal Article"&gt;17&lt;/ref-type&gt;&lt;contributors&gt;&lt;authors&gt;&lt;author&gt;Stentiford, Grant D.&lt;/author&gt;&lt;author&gt;Neil, Douglas M.&lt;/author&gt;&lt;author&gt;Atkinson, Robert James A.&lt;/author&gt;&lt;author&gt;Bailey, N.&lt;/author&gt;&lt;/authors&gt;&lt;/contributors&gt;&lt;titles&gt;&lt;title&gt;&lt;style face="normal" font="default" size="100%"&gt;An analysis of swimming performance in the Norway lobster,&lt;/style&gt;&lt;style face="italic" font="default" size="100%"&gt; Nephrops norvegicus&lt;/style&gt;&lt;style face="normal" font="default" size="100%"&gt; L. infected by a parasitic dinoflagellate of the genus &lt;/style&gt;&lt;style face="italic" font="default" size="100%"&gt;Hematodinium&lt;/style&gt;&lt;/title&gt;&lt;secondary-title&gt;Journal of Experimental Marine Biology and Ecology&lt;/secondary-title&gt;&lt;/titles&gt;&lt;periodical&gt;&lt;full-title&gt;Journal of Experimental Marine Biology and Ecology&lt;/full-title&gt;&lt;/periodical&gt;&lt;pages&gt;169-181&lt;/pages&gt;&lt;volume&gt;247&lt;/volume&gt;&lt;number&gt;2&lt;/number&gt;&lt;dates&gt;&lt;year&gt;2000&lt;/year&gt;&lt;pub-dates&gt;&lt;date&gt;2000/5//&lt;/date&gt;&lt;/pub-dates&gt;&lt;/dates&gt;&lt;urls&gt;&lt;related-urls&gt;&lt;url&gt;https://linkinghub.elsevier.com/retrieve/pii/S0022098100001465&lt;/url&gt;&lt;/related-urls&gt;&lt;/urls&gt;&lt;electronic-resource-num&gt;10.1016/S0022-0981(00)00146-5&lt;/electronic-resource-num&gt;&lt;/record&gt;&lt;/Cite&gt;&lt;/EndNote&gt;</w:instrText>
      </w:r>
      <w:r w:rsidRPr="009819CE">
        <w:rPr>
          <w:rFonts w:cstheme="minorBidi"/>
        </w:rPr>
        <w:fldChar w:fldCharType="separate"/>
      </w:r>
      <w:r w:rsidR="00D50EFF" w:rsidRPr="009819CE">
        <w:rPr>
          <w:rFonts w:cstheme="minorBidi"/>
        </w:rPr>
        <w:t>(</w:t>
      </w:r>
      <w:hyperlink w:anchor="_ENREF_307" w:tooltip="Stentiford, 2000 #260" w:history="1">
        <w:r w:rsidR="00950097" w:rsidRPr="009819CE">
          <w:rPr>
            <w:rFonts w:cstheme="minorBidi"/>
          </w:rPr>
          <w:t>Stentiford et al., 2000a</w:t>
        </w:r>
      </w:hyperlink>
      <w:r w:rsidR="00D50EFF" w:rsidRPr="009819CE">
        <w:rPr>
          <w:rFonts w:cstheme="minorBidi"/>
        </w:rPr>
        <w:t>)</w:t>
      </w:r>
      <w:r w:rsidRPr="009819CE">
        <w:rPr>
          <w:rFonts w:cstheme="minorBidi"/>
        </w:rPr>
        <w:fldChar w:fldCharType="end"/>
      </w:r>
      <w:r w:rsidRPr="009819CE">
        <w:rPr>
          <w:rFonts w:cstheme="minorBidi"/>
        </w:rPr>
        <w:t xml:space="preserve">. Additionally, infected animals are less likely to recover from exhaustive swimming than </w:t>
      </w:r>
      <w:r w:rsidR="00D94DC1" w:rsidRPr="00FA7D47">
        <w:rPr>
          <w:rFonts w:cstheme="minorBidi"/>
        </w:rPr>
        <w:t>“healthy”</w:t>
      </w:r>
      <w:r w:rsidRPr="009819CE">
        <w:rPr>
          <w:rFonts w:cstheme="minorBidi"/>
        </w:rPr>
        <w:t xml:space="preserve"> animals </w:t>
      </w:r>
      <w:r w:rsidRPr="009819CE">
        <w:rPr>
          <w:rFonts w:cstheme="minorBidi"/>
        </w:rPr>
        <w:fldChar w:fldCharType="begin"/>
      </w:r>
      <w:r w:rsidR="00D50EFF" w:rsidRPr="009819CE">
        <w:rPr>
          <w:rFonts w:cstheme="minorBidi"/>
        </w:rPr>
        <w:instrText xml:space="preserve"> ADDIN EN.CITE &lt;EndNote&gt;&lt;Cite&gt;&lt;Author&gt;Stentiford&lt;/Author&gt;&lt;Year&gt;2015&lt;/Year&gt;&lt;RecNum&gt;387&lt;/RecNum&gt;&lt;DisplayText&gt;(Stentiford et al., 2015)&lt;/DisplayText&gt;&lt;record&gt;&lt;rec-number&gt;387&lt;/rec-number&gt;&lt;foreign-keys&gt;&lt;key app="EN" db-id="sd9wrx9fj09rx3erprsx999o0r5aprvp2zse" timestamp="1687855901" guid="74d1817f-d3c2-4c2e-b1e8-7bc05f285a64"&gt;387&lt;/key&gt;&lt;/foreign-keys&gt;&lt;ref-type name="Journal Article"&gt;17&lt;/ref-type&gt;&lt;contributors&gt;&lt;authors&gt;&lt;author&gt;Stentiford, Grant D.&lt;/author&gt;&lt;author&gt;Neil, Douglas M.&lt;/author&gt;&lt;author&gt;Albalat, Amaya&lt;/author&gt;&lt;author&gt;Milligan, Robert James&lt;/author&gt;&lt;author&gt;Bailey, N.&lt;/author&gt;&lt;/authors&gt;&lt;/contributors&gt;&lt;titles&gt;&lt;title&gt;&lt;style face="normal" font="default" size="100%"&gt;The effect of parasitic infection by &lt;/style&gt;&lt;style face="italic" font="default" size="100%"&gt;Hematodinium&lt;/style&gt;&lt;style face="normal" font="default" size="100%"&gt; sp. on escape swimming and subsequent recovery in the Norway lobster, &lt;/style&gt;&lt;style face="italic" font="default" size="100%"&gt;Nephrops norvegicus &lt;/style&gt;&lt;style face="normal" font="default" size="100%"&gt;(L.)&lt;/style&gt;&lt;/title&gt;&lt;secondary-title&gt;Journal of Crustacean Biology&lt;/secondary-title&gt;&lt;/titles&gt;&lt;periodical&gt;&lt;full-title&gt;Journal of Crustacean Biology&lt;/full-title&gt;&lt;/periodical&gt;&lt;pages&gt;1-10&lt;/pages&gt;&lt;volume&gt;35&lt;/volume&gt;&lt;number&gt;1&lt;/number&gt;&lt;keywords&gt;&lt;keyword&gt;Hematodinium&lt;/keyword&gt;&lt;keyword&gt;Nephrops norvegicus&lt;/keyword&gt;&lt;keyword&gt;escape swimming&lt;/keyword&gt;&lt;keyword&gt;parasite infection&lt;/keyword&gt;&lt;/keywords&gt;&lt;dates&gt;&lt;year&gt;2015&lt;/year&gt;&lt;pub-dates&gt;&lt;date&gt;2015/1//&lt;/date&gt;&lt;/pub-dates&gt;&lt;/dates&gt;&lt;urls&gt;&lt;related-urls&gt;&lt;url&gt;https://academic.oup.com/jcb/article-lookup/doi/10.1163/1937240X-00002296&lt;/url&gt;&lt;/related-urls&gt;&lt;/urls&gt;&lt;electronic-resource-num&gt;10.1163/1937240X-00002296&lt;/electronic-resource-num&gt;&lt;/record&gt;&lt;/Cite&gt;&lt;/EndNote&gt;</w:instrText>
      </w:r>
      <w:r w:rsidRPr="009819CE">
        <w:rPr>
          <w:rFonts w:cstheme="minorBidi"/>
        </w:rPr>
        <w:fldChar w:fldCharType="separate"/>
      </w:r>
      <w:r w:rsidR="00D50EFF" w:rsidRPr="009819CE">
        <w:rPr>
          <w:rFonts w:cstheme="minorBidi"/>
        </w:rPr>
        <w:t>(</w:t>
      </w:r>
      <w:hyperlink w:anchor="_ENREF_305" w:tooltip="Stentiford, 2015 #387" w:history="1">
        <w:r w:rsidR="00950097" w:rsidRPr="009819CE">
          <w:rPr>
            <w:rFonts w:cstheme="minorBidi"/>
          </w:rPr>
          <w:t>Stentiford et al., 2015</w:t>
        </w:r>
      </w:hyperlink>
      <w:r w:rsidR="00D50EFF" w:rsidRPr="009819CE">
        <w:rPr>
          <w:rFonts w:cstheme="minorBidi"/>
        </w:rPr>
        <w:t>)</w:t>
      </w:r>
      <w:r w:rsidRPr="009819CE">
        <w:rPr>
          <w:rFonts w:cstheme="minorBidi"/>
        </w:rPr>
        <w:fldChar w:fldCharType="end"/>
      </w:r>
      <w:r w:rsidRPr="009819CE">
        <w:rPr>
          <w:rFonts w:cstheme="minorBidi"/>
        </w:rPr>
        <w:t>. As a result of these various changes in behaviour, individuals at advanced stages of infection might be more susceptible to capture both by natural predators (</w:t>
      </w:r>
      <w:r w:rsidR="00E167FA" w:rsidRPr="009819CE">
        <w:rPr>
          <w:rFonts w:cstheme="minorBidi"/>
        </w:rPr>
        <w:t>e.g.</w:t>
      </w:r>
      <w:r w:rsidRPr="009819CE">
        <w:rPr>
          <w:rFonts w:cstheme="minorBidi"/>
        </w:rPr>
        <w:t xml:space="preserve"> cod) and by fishing gear (e.g. bottom trawls). In the latter case, an analysis of the catch may lead to an overestimation of the prevalence of patently-infected </w:t>
      </w:r>
      <w:r w:rsidR="00C31E47" w:rsidRPr="009819CE">
        <w:rPr>
          <w:rFonts w:cstheme="minorBidi"/>
          <w:i/>
          <w:iCs/>
        </w:rPr>
        <w:t>Nephrops</w:t>
      </w:r>
      <w:r w:rsidRPr="009819CE">
        <w:rPr>
          <w:rFonts w:cstheme="minorBidi"/>
          <w:i/>
          <w:iCs/>
        </w:rPr>
        <w:t xml:space="preserve"> </w:t>
      </w:r>
      <w:r w:rsidRPr="009819CE">
        <w:rPr>
          <w:rFonts w:cstheme="minorBidi"/>
          <w:iCs/>
        </w:rPr>
        <w:t>in</w:t>
      </w:r>
      <w:r w:rsidRPr="009819CE">
        <w:rPr>
          <w:rFonts w:cstheme="minorBidi"/>
          <w:i/>
          <w:iCs/>
        </w:rPr>
        <w:t xml:space="preserve"> </w:t>
      </w:r>
      <w:r w:rsidRPr="009819CE">
        <w:rPr>
          <w:rFonts w:cstheme="minorBidi"/>
          <w:iCs/>
        </w:rPr>
        <w:t xml:space="preserve">the whole natural population </w:t>
      </w:r>
      <w:r w:rsidRPr="009819CE">
        <w:rPr>
          <w:rFonts w:cstheme="minorBidi"/>
          <w:iCs/>
        </w:rPr>
        <w:fldChar w:fldCharType="begin">
          <w:fldData xml:space="preserve">PEVuZE5vdGU+PENpdGU+PEF1dGhvcj5TdGVudGlmb3JkPC9BdXRob3I+PFllYXI+MjAwMTwvWWVh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</w:fldData>
        </w:fldChar>
      </w:r>
      <w:r w:rsidR="001976BB" w:rsidRPr="009819CE">
        <w:rPr>
          <w:rFonts w:cstheme="minorBidi"/>
          <w:iCs/>
        </w:rPr>
        <w:instrText xml:space="preserve"> ADDIN EN.CITE </w:instrText>
      </w:r>
      <w:r w:rsidR="001976BB" w:rsidRPr="009819CE">
        <w:rPr>
          <w:rFonts w:cstheme="minorBidi"/>
          <w:iCs/>
        </w:rPr>
        <w:fldChar w:fldCharType="begin">
          <w:fldData xml:space="preserve">PEVuZE5vdGU+PENpdGU+PEF1dGhvcj5TdGVudGlmb3JkPC9BdXRob3I+PFllYXI+MjAwMTwvWWVh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</w:fldData>
        </w:fldChar>
      </w:r>
      <w:r w:rsidR="001976BB" w:rsidRPr="009819CE">
        <w:rPr>
          <w:rFonts w:cstheme="minorBidi"/>
          <w:iCs/>
        </w:rPr>
        <w:instrText xml:space="preserve"> ADDIN EN.CITE.DATA </w:instrText>
      </w:r>
      <w:r w:rsidR="001976BB" w:rsidRPr="009819CE">
        <w:rPr>
          <w:rFonts w:cstheme="minorBidi"/>
          <w:iCs/>
        </w:rPr>
      </w:r>
      <w:r w:rsidR="001976BB" w:rsidRPr="009819CE">
        <w:rPr>
          <w:rFonts w:cstheme="minorBidi"/>
          <w:iCs/>
        </w:rPr>
        <w:fldChar w:fldCharType="end"/>
      </w:r>
      <w:r w:rsidRPr="009819CE">
        <w:rPr>
          <w:rFonts w:cstheme="minorBidi"/>
          <w:iCs/>
        </w:rPr>
      </w:r>
      <w:r w:rsidRPr="009819CE">
        <w:rPr>
          <w:rFonts w:cstheme="minorBidi"/>
          <w:iCs/>
        </w:rPr>
        <w:fldChar w:fldCharType="separate"/>
      </w:r>
      <w:r w:rsidR="00D50EFF" w:rsidRPr="007268F5">
        <w:rPr>
          <w:rFonts w:cstheme="minorBidi"/>
          <w:iCs/>
        </w:rPr>
        <w:t>(</w:t>
      </w:r>
      <w:hyperlink w:anchor="_ENREF_29" w:tooltip="Beevers, 2012 #377" w:history="1">
        <w:r w:rsidR="00950097" w:rsidRPr="007268F5">
          <w:rPr>
            <w:rFonts w:cstheme="minorBidi"/>
            <w:iCs/>
          </w:rPr>
          <w:t>Beevers et al., 2012</w:t>
        </w:r>
      </w:hyperlink>
      <w:r w:rsidR="00D50EFF" w:rsidRPr="007268F5">
        <w:rPr>
          <w:rFonts w:cstheme="minorBidi"/>
          <w:iCs/>
        </w:rPr>
        <w:t xml:space="preserve">; </w:t>
      </w:r>
      <w:hyperlink w:anchor="_ENREF_306" w:tooltip="Stentiford, 2001 #362" w:history="1">
        <w:r w:rsidR="00950097" w:rsidRPr="007268F5">
          <w:rPr>
            <w:rFonts w:cstheme="minorBidi"/>
            <w:iCs/>
          </w:rPr>
          <w:t>Stentiford et al., 2001c</w:t>
        </w:r>
      </w:hyperlink>
      <w:r w:rsidR="00D50EFF" w:rsidRPr="007268F5">
        <w:rPr>
          <w:rFonts w:cstheme="minorBidi"/>
          <w:iCs/>
        </w:rPr>
        <w:t>)</w:t>
      </w:r>
      <w:r w:rsidRPr="009819CE">
        <w:rPr>
          <w:rFonts w:cstheme="minorBidi"/>
          <w:iCs/>
        </w:rPr>
        <w:fldChar w:fldCharType="end"/>
      </w:r>
      <w:r w:rsidRPr="009819CE">
        <w:rPr>
          <w:rFonts w:cstheme="minorBidi"/>
          <w:iCs/>
        </w:rPr>
        <w:t>.</w:t>
      </w:r>
      <w:r w:rsidRPr="009819CE">
        <w:rPr>
          <w:rFonts w:cstheme="minorBidi"/>
        </w:rPr>
        <w:t xml:space="preserve"> However, the fact that </w:t>
      </w:r>
      <w:r w:rsidR="00262954" w:rsidRPr="00FA7D47">
        <w:rPr>
          <w:rFonts w:cstheme="minorBidi"/>
        </w:rPr>
        <w:t xml:space="preserve">infected </w:t>
      </w:r>
      <w:r w:rsidR="00C31E47" w:rsidRPr="009819CE">
        <w:rPr>
          <w:rFonts w:cstheme="minorBidi"/>
          <w:i/>
          <w:iCs/>
        </w:rPr>
        <w:t>Nephrops</w:t>
      </w:r>
      <w:r w:rsidRPr="009819CE">
        <w:rPr>
          <w:rFonts w:cstheme="minorBidi"/>
        </w:rPr>
        <w:t xml:space="preserve"> would also be more exposed to predatory effects may to some extent counteract such potential overestimation </w:t>
      </w:r>
      <w:r w:rsidRPr="009819CE">
        <w:rPr>
          <w:rFonts w:cstheme="minorBidi"/>
        </w:rPr>
        <w:fldChar w:fldCharType="begin"/>
      </w:r>
      <w:r w:rsidR="00D50EFF" w:rsidRPr="009819CE">
        <w:rPr>
          <w:rFonts w:cstheme="minorBidi"/>
        </w:rPr>
        <w:instrText xml:space="preserve"> ADDIN EN.CITE &lt;EndNote&gt;&lt;Cite&gt;&lt;Author&gt;Stentiford&lt;/Author&gt;&lt;Year&gt;2001&lt;/Year&gt;&lt;RecNum&gt;124&lt;/RecNum&gt;&lt;DisplayText&gt;(Stentiford et al., 2001a)&lt;/DisplayText&gt;&lt;record&gt;&lt;rec-number&gt;124&lt;/rec-number&gt;&lt;foreign-keys&gt;&lt;key app="EN" db-id="sd9wrx9fj09rx3erprsx999o0r5aprvp2zse" timestamp="1687855901" guid="09c5d39b-f816-4e12-ae84-6f5c91f6c410"&gt;124&lt;/key&gt;&lt;/foreign-keys&gt;&lt;ref-type name="Journal Article"&gt;17&lt;/ref-type&gt;&lt;contributors&gt;&lt;authors&gt;&lt;author&gt;Stentiford, Grant&lt;/author&gt;&lt;author&gt;Neil, Douglas M.&lt;/author&gt;&lt;author&gt;Atkinson, Robert James A.&lt;/author&gt;&lt;/authors&gt;&lt;/contributors&gt;&lt;titles&gt;&lt;title&gt;&lt;style face="normal" font="default" size="100%"&gt;The relationship of &lt;/style&gt;&lt;style face="italic" font="default" size="100%"&gt;Hematodinium &lt;/style&gt;&lt;style face="normal" font="default" size="100%"&gt;infection prevalence in a Scottish &lt;/style&gt;&lt;style face="italic" font="default" size="100%"&gt;Nephrops norvegicus&lt;/style&gt;&lt;style face="normal" font="default" size="100%"&gt; population to season, moulting and sex&lt;/style&gt;&lt;/title&gt;&lt;secondary-title&gt;ICES Journal of Marine Science&lt;/secondary-title&gt;&lt;/titles&gt;&lt;periodical&gt;&lt;full-title&gt;ICES Journal of Marine Science&lt;/full-title&gt;&lt;/periodical&gt;&lt;pages&gt;814-823&lt;/pages&gt;&lt;volume&gt;58&lt;/volume&gt;&lt;number&gt;4&lt;/number&gt;&lt;keywords&gt;&lt;keyword&gt;Hematodinium&lt;/keyword&gt;&lt;keyword&gt;Infection prevalence&lt;/keyword&gt;&lt;keyword&gt;Moult cycle&lt;/keyword&gt;&lt;keyword&gt;Nephrops norvegicus&lt;/keyword&gt;&lt;keyword&gt;Parasite&lt;/keyword&gt;&lt;/keywords&gt;&lt;dates&gt;&lt;year&gt;2001&lt;/year&gt;&lt;pub-dates&gt;&lt;date&gt;2001/8//&lt;/date&gt;&lt;/pub-dates&gt;&lt;/dates&gt;&lt;urls&gt;&lt;related-urls&gt;&lt;url&gt;https://academic.oup.com/icesjms/article-lookup/doi/10.1006/jmsc.2001.1072&lt;/url&gt;&lt;/related-urls&gt;&lt;/urls&gt;&lt;electronic-resource-num&gt;10.1006/jmsc.2001.1072&lt;/electronic-resource-num&gt;&lt;/record&gt;&lt;/Cite&gt;&lt;/EndNote&gt;</w:instrText>
      </w:r>
      <w:r w:rsidRPr="009819CE">
        <w:rPr>
          <w:rFonts w:cstheme="minorBidi"/>
        </w:rPr>
        <w:fldChar w:fldCharType="separate"/>
      </w:r>
      <w:r w:rsidR="00D50EFF" w:rsidRPr="009819CE">
        <w:rPr>
          <w:rFonts w:cstheme="minorBidi"/>
        </w:rPr>
        <w:t>(</w:t>
      </w:r>
      <w:hyperlink w:anchor="_ENREF_297" w:tooltip="Stentiford, 2001 #124" w:history="1">
        <w:r w:rsidR="00950097" w:rsidRPr="009819CE">
          <w:rPr>
            <w:rFonts w:cstheme="minorBidi"/>
          </w:rPr>
          <w:t>Stentiford et al., 2001a</w:t>
        </w:r>
      </w:hyperlink>
      <w:r w:rsidR="00D50EFF" w:rsidRPr="009819CE">
        <w:rPr>
          <w:rFonts w:cstheme="minorBidi"/>
        </w:rPr>
        <w:t>)</w:t>
      </w:r>
      <w:r w:rsidRPr="009819CE">
        <w:rPr>
          <w:rFonts w:cstheme="minorBidi"/>
        </w:rPr>
        <w:fldChar w:fldCharType="end"/>
      </w:r>
      <w:r w:rsidRPr="009819CE">
        <w:rPr>
          <w:rFonts w:cstheme="minorBidi"/>
        </w:rPr>
        <w:t xml:space="preserve">.  </w:t>
      </w:r>
    </w:p>
    <w:p w14:paraId="12F4D359" w14:textId="713A3EEC" w:rsidR="00F36ABA" w:rsidRPr="009819CE" w:rsidRDefault="00F36ABA" w:rsidP="00F36ABA">
      <w:pPr>
        <w:rPr>
          <w:rFonts w:cstheme="minorBidi"/>
        </w:rPr>
      </w:pPr>
      <w:r w:rsidRPr="009819CE">
        <w:rPr>
          <w:rFonts w:cstheme="minorBidi"/>
        </w:rPr>
        <w:t xml:space="preserve">Patent infection of </w:t>
      </w:r>
      <w:r w:rsidR="00C31E47" w:rsidRPr="009819CE">
        <w:rPr>
          <w:rFonts w:cstheme="minorBidi"/>
          <w:i/>
          <w:iCs/>
        </w:rPr>
        <w:t>Nephrops</w:t>
      </w:r>
      <w:r w:rsidRPr="009819CE">
        <w:rPr>
          <w:rFonts w:cstheme="minorBidi"/>
        </w:rPr>
        <w:t xml:space="preserve"> with </w:t>
      </w:r>
      <w:r w:rsidR="009D03F4" w:rsidRPr="009819CE">
        <w:rPr>
          <w:rFonts w:cstheme="minorBidi"/>
          <w:i/>
          <w:iCs/>
        </w:rPr>
        <w:t>Hematodinium</w:t>
      </w:r>
      <w:r w:rsidRPr="009819CE">
        <w:rPr>
          <w:rFonts w:cstheme="minorBidi"/>
        </w:rPr>
        <w:t xml:space="preserve"> sp. appear to be fatal possibly due to a combination of factors. These include the disruption of gas transport, tissue oxygen deprivation, depletion of energy reserves, and dysregulated immune responses caused by the uncontrolled growth of the parasite in </w:t>
      </w:r>
      <w:r w:rsidR="00C31E47" w:rsidRPr="009819CE">
        <w:rPr>
          <w:rFonts w:cstheme="minorBidi"/>
          <w:i/>
          <w:iCs/>
        </w:rPr>
        <w:t>Nephrops</w:t>
      </w:r>
      <w:r w:rsidRPr="009819CE">
        <w:rPr>
          <w:rFonts w:cstheme="minorBidi"/>
        </w:rPr>
        <w:t xml:space="preserve"> haemolymph </w:t>
      </w:r>
      <w:r w:rsidRPr="009819CE">
        <w:rPr>
          <w:rFonts w:cstheme="minorBidi"/>
        </w:rPr>
        <w:fldChar w:fldCharType="begin">
          <w:fldData xml:space="preserve">PEVuZE5vdGU+PENpdGU+PEF1dGhvcj5Db2F0ZXM8L0F1dGhvcj48WWVhcj4yMDIzPC9ZZWFyPjxS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</w:fldData>
        </w:fldChar>
      </w:r>
      <w:r w:rsidR="00871B4F">
        <w:rPr>
          <w:rFonts w:cstheme="minorBidi"/>
        </w:rPr>
        <w:instrText xml:space="preserve"> ADDIN EN.CITE </w:instrText>
      </w:r>
      <w:r w:rsidR="00871B4F">
        <w:rPr>
          <w:rFonts w:cstheme="minorBidi"/>
        </w:rPr>
        <w:fldChar w:fldCharType="begin">
          <w:fldData xml:space="preserve">PEVuZE5vdGU+PENpdGU+PEF1dGhvcj5Db2F0ZXM8L0F1dGhvcj48WWVhcj4yMDIzPC9ZZWFyPjxS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904A9E" w:rsidRPr="00871B4F">
        <w:rPr>
          <w:rFonts w:cstheme="minorBidi"/>
          <w:noProof/>
        </w:rPr>
        <w:t>(</w:t>
      </w:r>
      <w:hyperlink w:anchor="_ENREF_55" w:tooltip="Coates, 2023 #1304" w:history="1">
        <w:r w:rsidR="00950097" w:rsidRPr="00871B4F">
          <w:rPr>
            <w:rFonts w:cstheme="minorBidi"/>
            <w:noProof/>
          </w:rPr>
          <w:t>Coates et al., 2023</w:t>
        </w:r>
      </w:hyperlink>
      <w:r w:rsidR="00904A9E" w:rsidRPr="00871B4F">
        <w:rPr>
          <w:rFonts w:cstheme="minorBidi"/>
          <w:noProof/>
        </w:rPr>
        <w:t xml:space="preserve">; </w:t>
      </w:r>
      <w:hyperlink w:anchor="_ENREF_95" w:tooltip="Field, 1992 #448" w:history="1">
        <w:r w:rsidR="00950097" w:rsidRPr="00871B4F">
          <w:rPr>
            <w:rFonts w:cstheme="minorBidi"/>
            <w:noProof/>
          </w:rPr>
          <w:t>Field et al., 1992</w:t>
        </w:r>
      </w:hyperlink>
      <w:r w:rsidR="00904A9E" w:rsidRPr="00871B4F">
        <w:rPr>
          <w:rFonts w:cstheme="minorBidi"/>
          <w:noProof/>
        </w:rPr>
        <w:t xml:space="preserve">; </w:t>
      </w:r>
      <w:hyperlink w:anchor="_ENREF_260" w:tooltip="Rowley, 2015 #78" w:history="1">
        <w:r w:rsidR="00950097" w:rsidRPr="00871B4F">
          <w:rPr>
            <w:rFonts w:cstheme="minorBidi"/>
            <w:noProof/>
          </w:rPr>
          <w:t>Rowley et al., 2015</w:t>
        </w:r>
      </w:hyperlink>
      <w:r w:rsidR="00904A9E" w:rsidRPr="00871B4F">
        <w:rPr>
          <w:rFonts w:cstheme="minorBidi"/>
          <w:noProof/>
        </w:rPr>
        <w:t>)</w:t>
      </w:r>
      <w:r w:rsidRPr="009819CE">
        <w:rPr>
          <w:rFonts w:cstheme="minorBidi"/>
        </w:rPr>
        <w:fldChar w:fldCharType="end"/>
      </w:r>
      <w:r w:rsidR="00053835" w:rsidRPr="009819CE">
        <w:rPr>
          <w:rFonts w:cstheme="minorBidi"/>
        </w:rPr>
        <w:t xml:space="preserve"> (</w:t>
      </w:r>
      <w:r w:rsidR="00AA4C8F" w:rsidRPr="009819CE">
        <w:rPr>
          <w:rFonts w:cstheme="minorBidi"/>
        </w:rPr>
        <w:t>see</w:t>
      </w:r>
      <w:r w:rsidR="00053835" w:rsidRPr="009819CE">
        <w:rPr>
          <w:rFonts w:cstheme="minorBidi"/>
        </w:rPr>
        <w:t xml:space="preserve"> </w:t>
      </w:r>
      <w:r w:rsidR="00AA4C8F" w:rsidRPr="009819CE">
        <w:rPr>
          <w:rFonts w:cstheme="minorBidi"/>
        </w:rPr>
        <w:t>section</w:t>
      </w:r>
      <w:r w:rsidR="00053835" w:rsidRPr="009819CE">
        <w:rPr>
          <w:rFonts w:cstheme="minorBidi"/>
        </w:rPr>
        <w:t xml:space="preserve"> </w:t>
      </w:r>
      <w:r w:rsidR="002839B1" w:rsidRPr="009819CE">
        <w:rPr>
          <w:rFonts w:cstheme="minorBidi"/>
          <w:b/>
          <w:bCs/>
        </w:rPr>
        <w:fldChar w:fldCharType="begin"/>
      </w:r>
      <w:r w:rsidR="002839B1" w:rsidRPr="009819CE">
        <w:rPr>
          <w:rFonts w:cstheme="minorBidi"/>
          <w:b/>
          <w:bCs/>
        </w:rPr>
        <w:instrText xml:space="preserve"> REF _Ref163488245 \r \h  \* MERGEFORMAT </w:instrText>
      </w:r>
      <w:r w:rsidR="002839B1" w:rsidRPr="009819CE">
        <w:rPr>
          <w:rFonts w:cstheme="minorBidi"/>
          <w:b/>
          <w:bCs/>
        </w:rPr>
      </w:r>
      <w:r w:rsidR="002839B1" w:rsidRPr="009819CE">
        <w:rPr>
          <w:rFonts w:cstheme="minorBidi"/>
          <w:b/>
          <w:bCs/>
        </w:rPr>
        <w:fldChar w:fldCharType="separate"/>
      </w:r>
      <w:r w:rsidR="008549FC">
        <w:rPr>
          <w:rFonts w:cstheme="minorBidi"/>
          <w:b/>
          <w:bCs/>
        </w:rPr>
        <w:t>1.5</w:t>
      </w:r>
      <w:r w:rsidR="002839B1" w:rsidRPr="009819CE">
        <w:rPr>
          <w:rFonts w:cstheme="minorBidi"/>
          <w:b/>
          <w:bCs/>
        </w:rPr>
        <w:fldChar w:fldCharType="end"/>
      </w:r>
      <w:r w:rsidR="002839B1" w:rsidRPr="009819CE">
        <w:rPr>
          <w:rFonts w:cstheme="minorBidi"/>
        </w:rPr>
        <w:t>)</w:t>
      </w:r>
      <w:r w:rsidRPr="009819CE">
        <w:rPr>
          <w:rFonts w:cstheme="minorBidi"/>
        </w:rPr>
        <w:t xml:space="preserve">. The prevalence of </w:t>
      </w:r>
      <w:r w:rsidR="009D03F4" w:rsidRPr="009819CE">
        <w:rPr>
          <w:rFonts w:cstheme="minorBidi"/>
          <w:i/>
          <w:iCs/>
        </w:rPr>
        <w:t>Hematodinium</w:t>
      </w:r>
      <w:r w:rsidRPr="009819CE">
        <w:rPr>
          <w:rFonts w:cstheme="minorBidi"/>
        </w:rPr>
        <w:t xml:space="preserve"> sp. in decapod crustaceans, including </w:t>
      </w:r>
      <w:r w:rsidR="00C31E47" w:rsidRPr="009819CE">
        <w:rPr>
          <w:rFonts w:cstheme="minorBidi"/>
          <w:i/>
          <w:iCs/>
        </w:rPr>
        <w:t>Nephrops</w:t>
      </w:r>
      <w:r w:rsidRPr="009819CE">
        <w:rPr>
          <w:rFonts w:cstheme="minorBidi"/>
        </w:rPr>
        <w:t xml:space="preserve">, has been associated with both size and sex, with smaller individuals generally being more susceptible to infection </w:t>
      </w:r>
      <w:r w:rsidRPr="009819CE">
        <w:rPr>
          <w:rFonts w:cstheme="minorBidi"/>
        </w:rPr>
        <w:fldChar w:fldCharType="begin">
          <w:fldData xml:space="preserve">PEVuZE5vdGU+PENpdGU+PEF1dGhvcj5FYXRvbjwvQXV0aG9yPjxZZWFyPjE5OTE8L1llYXI+PFJl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</w:fldData>
        </w:fldChar>
      </w:r>
      <w:r w:rsidR="00871B4F">
        <w:rPr>
          <w:rFonts w:cstheme="minorBidi"/>
        </w:rPr>
        <w:instrText xml:space="preserve"> ADDIN EN.CITE </w:instrText>
      </w:r>
      <w:r w:rsidR="00871B4F">
        <w:rPr>
          <w:rFonts w:cstheme="minorBidi"/>
        </w:rPr>
        <w:fldChar w:fldCharType="begin">
          <w:fldData xml:space="preserve">PEVuZE5vdGU+PENpdGU+PEF1dGhvcj5FYXRvbjwvQXV0aG9yPjxZZWFyPjE5OTE8L1llYXI+PFJl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871B4F">
        <w:rPr>
          <w:rFonts w:cstheme="minorBidi"/>
          <w:noProof/>
        </w:rPr>
        <w:t>(</w:t>
      </w:r>
      <w:hyperlink w:anchor="_ENREF_61" w:tooltip="Davies, 2019 #222" w:history="1">
        <w:r w:rsidR="00950097" w:rsidRPr="00871B4F">
          <w:rPr>
            <w:rFonts w:cstheme="minorBidi"/>
            <w:noProof/>
          </w:rPr>
          <w:t>Davies et al., 2019</w:t>
        </w:r>
      </w:hyperlink>
      <w:r w:rsidR="00D50EFF" w:rsidRPr="00871B4F">
        <w:rPr>
          <w:rFonts w:cstheme="minorBidi"/>
          <w:noProof/>
        </w:rPr>
        <w:t xml:space="preserve">; </w:t>
      </w:r>
      <w:hyperlink w:anchor="_ENREF_79" w:tooltip="Eaton, 1991 #396" w:history="1">
        <w:r w:rsidR="00950097" w:rsidRPr="00871B4F">
          <w:rPr>
            <w:rFonts w:cstheme="minorBidi"/>
            <w:noProof/>
          </w:rPr>
          <w:t>Eaton et al., 1991</w:t>
        </w:r>
      </w:hyperlink>
      <w:r w:rsidR="00D50EFF" w:rsidRPr="00871B4F">
        <w:rPr>
          <w:rFonts w:cstheme="minorBidi"/>
          <w:noProof/>
        </w:rPr>
        <w:t xml:space="preserve">; </w:t>
      </w:r>
      <w:hyperlink w:anchor="_ENREF_95" w:tooltip="Field, 1992 #448" w:history="1">
        <w:r w:rsidR="00950097" w:rsidRPr="00871B4F">
          <w:rPr>
            <w:rFonts w:cstheme="minorBidi"/>
            <w:noProof/>
          </w:rPr>
          <w:t>Field et al., 1992</w:t>
        </w:r>
      </w:hyperlink>
      <w:r w:rsidR="00D50EFF" w:rsidRPr="00871B4F">
        <w:rPr>
          <w:rFonts w:cstheme="minorBidi"/>
          <w:noProof/>
        </w:rPr>
        <w:t xml:space="preserve">; </w:t>
      </w:r>
      <w:hyperlink w:anchor="_ENREF_122" w:tooltip="Hamilton, 2009 #339" w:history="1">
        <w:r w:rsidR="00950097" w:rsidRPr="00871B4F">
          <w:rPr>
            <w:rFonts w:cstheme="minorBidi"/>
            <w:noProof/>
          </w:rPr>
          <w:t>Hamilton et al., 2009</w:t>
        </w:r>
      </w:hyperlink>
      <w:r w:rsidR="00D50EFF" w:rsidRPr="00871B4F">
        <w:rPr>
          <w:rFonts w:cstheme="minorBidi"/>
          <w:noProof/>
        </w:rPr>
        <w:t xml:space="preserve">; </w:t>
      </w:r>
      <w:hyperlink w:anchor="_ENREF_294" w:tooltip="Smith, 2021 #451" w:history="1">
        <w:r w:rsidR="00950097" w:rsidRPr="00871B4F">
          <w:rPr>
            <w:rFonts w:cstheme="minorBidi"/>
            <w:noProof/>
          </w:rPr>
          <w:t>Smith, 2021</w:t>
        </w:r>
      </w:hyperlink>
      <w:r w:rsidR="00D50EFF" w:rsidRPr="00871B4F">
        <w:rPr>
          <w:rFonts w:cstheme="minorBidi"/>
          <w:noProof/>
        </w:rPr>
        <w:t>)</w:t>
      </w:r>
      <w:r w:rsidRPr="009819CE">
        <w:rPr>
          <w:rFonts w:cstheme="minorBidi"/>
        </w:rPr>
        <w:fldChar w:fldCharType="end"/>
      </w:r>
      <w:r w:rsidRPr="009819CE">
        <w:rPr>
          <w:rFonts w:cstheme="minorBidi"/>
        </w:rPr>
        <w:t xml:space="preserve">. Additionally, there is evidence suggesting that moulting may play a significant role in the disease </w:t>
      </w:r>
      <w:r w:rsidRPr="009819CE">
        <w:rPr>
          <w:rFonts w:cstheme="minorBidi"/>
        </w:rPr>
        <w:fldChar w:fldCharType="begin">
          <w:fldData xml:space="preserve">PEVuZE5vdGU+PENpdGU+PEF1dGhvcj5NZXllcnM8L0F1dGhvcj48WWVhcj4xOTg3PC9ZZWFyPjxS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</w:fldData>
        </w:fldChar>
      </w:r>
      <w:r w:rsidR="00686B37" w:rsidRPr="009819CE">
        <w:rPr>
          <w:rFonts w:cstheme="minorBidi"/>
        </w:rPr>
        <w:instrText xml:space="preserve"> ADDIN EN.CITE </w:instrText>
      </w:r>
      <w:r w:rsidR="00686B37" w:rsidRPr="009819CE">
        <w:rPr>
          <w:rFonts w:cstheme="minorBidi"/>
        </w:rPr>
        <w:fldChar w:fldCharType="begin">
          <w:fldData xml:space="preserve">PEVuZE5vdGU+PENpdGU+PEF1dGhvcj5NZXllcnM8L0F1dGhvcj48WWVhcj4xOTg3PC9ZZWFyPjxS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</w:fldData>
        </w:fldChar>
      </w:r>
      <w:r w:rsidR="00686B37" w:rsidRPr="009819CE">
        <w:rPr>
          <w:rFonts w:cstheme="minorBidi"/>
        </w:rPr>
        <w:instrText xml:space="preserve"> ADDIN EN.CITE.DATA </w:instrText>
      </w:r>
      <w:r w:rsidR="00686B37" w:rsidRPr="009819CE">
        <w:rPr>
          <w:rFonts w:cstheme="minorBidi"/>
        </w:rPr>
      </w:r>
      <w:r w:rsidR="00686B37"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95" w:tooltip="Field, 1992 #448" w:history="1">
        <w:r w:rsidR="00950097" w:rsidRPr="007268F5">
          <w:rPr>
            <w:rFonts w:cstheme="minorBidi"/>
          </w:rPr>
          <w:t>Field et al., 1992</w:t>
        </w:r>
      </w:hyperlink>
      <w:r w:rsidR="00D50EFF" w:rsidRPr="007268F5">
        <w:rPr>
          <w:rFonts w:cstheme="minorBidi"/>
        </w:rPr>
        <w:t xml:space="preserve">; </w:t>
      </w:r>
      <w:hyperlink w:anchor="_ENREF_96" w:tooltip="Field, 1998 #1686" w:history="1">
        <w:r w:rsidR="00950097" w:rsidRPr="007268F5">
          <w:rPr>
            <w:rFonts w:cstheme="minorBidi"/>
          </w:rPr>
          <w:t>Field et al., 1998</w:t>
        </w:r>
      </w:hyperlink>
      <w:r w:rsidR="00D50EFF" w:rsidRPr="007268F5">
        <w:rPr>
          <w:rFonts w:cstheme="minorBidi"/>
        </w:rPr>
        <w:t xml:space="preserve">; </w:t>
      </w:r>
      <w:hyperlink w:anchor="_ENREF_216" w:tooltip="Messick, 2000 #335" w:history="1">
        <w:r w:rsidR="00950097" w:rsidRPr="007268F5">
          <w:rPr>
            <w:rFonts w:cstheme="minorBidi"/>
          </w:rPr>
          <w:t>Messick and Shields, 2000</w:t>
        </w:r>
      </w:hyperlink>
      <w:r w:rsidR="00D50EFF" w:rsidRPr="007268F5">
        <w:rPr>
          <w:rFonts w:cstheme="minorBidi"/>
        </w:rPr>
        <w:t xml:space="preserve">; </w:t>
      </w:r>
      <w:hyperlink w:anchor="_ENREF_217" w:tooltip="Meyers, 1987 #428" w:history="1">
        <w:r w:rsidR="00950097" w:rsidRPr="007268F5">
          <w:rPr>
            <w:rFonts w:cstheme="minorBidi"/>
          </w:rPr>
          <w:t>Meyers et al., 1987</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In the CSA, </w:t>
      </w:r>
      <w:r w:rsidRPr="009819CE">
        <w:rPr>
          <w:rFonts w:cstheme="minorBidi"/>
          <w:i/>
        </w:rPr>
        <w:t>Hematodinum</w:t>
      </w:r>
      <w:r w:rsidRPr="009819CE">
        <w:rPr>
          <w:rFonts w:cstheme="minorBidi"/>
        </w:rPr>
        <w:t xml:space="preserve"> sp. sporulation peaks in late spring, which coincides closely with the main moulting season for</w:t>
      </w:r>
      <w:r w:rsidRPr="009819CE">
        <w:rPr>
          <w:rFonts w:cstheme="minorBidi"/>
          <w:i/>
          <w:iCs/>
        </w:rPr>
        <w:t xml:space="preserve"> </w:t>
      </w:r>
      <w:r w:rsidR="00C31E47" w:rsidRPr="009819CE">
        <w:rPr>
          <w:rFonts w:cstheme="minorBidi"/>
          <w:i/>
          <w:iCs/>
        </w:rPr>
        <w:t>Nephrops</w:t>
      </w:r>
      <w:r w:rsidRPr="009819CE">
        <w:rPr>
          <w:rFonts w:cstheme="minorBidi"/>
          <w:i/>
          <w:iCs/>
        </w:rPr>
        <w:t xml:space="preserve"> </w:t>
      </w:r>
      <w:r w:rsidRPr="009819CE">
        <w:rPr>
          <w:rFonts w:cstheme="minorBidi"/>
        </w:rPr>
        <w:t>(</w:t>
      </w:r>
      <w:r w:rsidR="00AA4C8F" w:rsidRPr="009819CE">
        <w:rPr>
          <w:rFonts w:cstheme="minorBidi"/>
        </w:rPr>
        <w:t>see</w:t>
      </w:r>
      <w:r w:rsidRPr="009819CE">
        <w:rPr>
          <w:rFonts w:cstheme="minorBidi"/>
        </w:rPr>
        <w:t xml:space="preserve"> </w:t>
      </w:r>
      <w:r w:rsidR="00AA4C8F" w:rsidRPr="009819CE">
        <w:rPr>
          <w:rFonts w:cstheme="minorBidi"/>
        </w:rPr>
        <w:t>section</w:t>
      </w:r>
      <w:r w:rsidR="00C315F0" w:rsidRPr="009819CE">
        <w:rPr>
          <w:rFonts w:cstheme="minorBidi"/>
        </w:rPr>
        <w:t xml:space="preserve"> </w:t>
      </w:r>
      <w:r w:rsidR="00C315F0" w:rsidRPr="009819CE">
        <w:rPr>
          <w:rFonts w:cstheme="minorBidi"/>
          <w:b/>
          <w:bCs/>
        </w:rPr>
        <w:fldChar w:fldCharType="begin"/>
      </w:r>
      <w:r w:rsidR="00C315F0" w:rsidRPr="009819CE">
        <w:rPr>
          <w:rFonts w:cstheme="minorBidi"/>
          <w:b/>
          <w:bCs/>
        </w:rPr>
        <w:instrText xml:space="preserve"> REF _Ref157963259 \r \h  \* MERGEFORMAT </w:instrText>
      </w:r>
      <w:r w:rsidR="00C315F0" w:rsidRPr="009819CE">
        <w:rPr>
          <w:rFonts w:cstheme="minorBidi"/>
          <w:b/>
          <w:bCs/>
        </w:rPr>
      </w:r>
      <w:r w:rsidR="00C315F0" w:rsidRPr="009819CE">
        <w:rPr>
          <w:rFonts w:cstheme="minorBidi"/>
          <w:b/>
          <w:bCs/>
        </w:rPr>
        <w:fldChar w:fldCharType="separate"/>
      </w:r>
      <w:r w:rsidR="008549FC">
        <w:rPr>
          <w:rFonts w:cstheme="minorBidi"/>
          <w:b/>
          <w:bCs/>
        </w:rPr>
        <w:t>1.4</w:t>
      </w:r>
      <w:r w:rsidR="00C315F0" w:rsidRPr="009819CE">
        <w:rPr>
          <w:rFonts w:cstheme="minorBidi"/>
          <w:b/>
          <w:bCs/>
        </w:rPr>
        <w:fldChar w:fldCharType="end"/>
      </w:r>
      <w:r w:rsidRPr="009819CE">
        <w:rPr>
          <w:rFonts w:cstheme="minorBidi"/>
        </w:rPr>
        <w:t xml:space="preserve">). Therefore, it has been </w:t>
      </w:r>
      <w:r w:rsidRPr="009819CE">
        <w:rPr>
          <w:rFonts w:cstheme="minorBidi"/>
          <w:shd w:val="clear" w:color="auto" w:fill="FFFFFF"/>
        </w:rPr>
        <w:t xml:space="preserve">hypothesized that </w:t>
      </w:r>
      <w:r w:rsidRPr="009819CE">
        <w:rPr>
          <w:rFonts w:cstheme="minorBidi"/>
        </w:rPr>
        <w:t xml:space="preserve">the softened exoskeleton of recently-moulted individuals may facilitate </w:t>
      </w:r>
      <w:r w:rsidRPr="009819CE">
        <w:rPr>
          <w:rFonts w:cstheme="minorBidi"/>
          <w:shd w:val="clear" w:color="auto" w:fill="FFFFFF"/>
        </w:rPr>
        <w:t xml:space="preserve">the </w:t>
      </w:r>
      <w:r w:rsidR="009317B0">
        <w:rPr>
          <w:rFonts w:cstheme="minorBidi"/>
          <w:shd w:val="clear" w:color="auto" w:fill="FFFFFF"/>
        </w:rPr>
        <w:t>entry</w:t>
      </w:r>
      <w:r w:rsidR="009317B0" w:rsidRPr="009819CE">
        <w:rPr>
          <w:rFonts w:cstheme="minorBidi"/>
          <w:shd w:val="clear" w:color="auto" w:fill="FFFFFF"/>
        </w:rPr>
        <w:t xml:space="preserve"> </w:t>
      </w:r>
      <w:r w:rsidRPr="009819CE">
        <w:rPr>
          <w:rFonts w:cstheme="minorBidi"/>
          <w:shd w:val="clear" w:color="auto" w:fill="FFFFFF"/>
        </w:rPr>
        <w:t xml:space="preserve">of </w:t>
      </w:r>
      <w:r w:rsidR="009D03F4" w:rsidRPr="009819CE">
        <w:rPr>
          <w:rFonts w:cstheme="minorBidi"/>
          <w:i/>
          <w:iCs/>
          <w:shd w:val="clear" w:color="auto" w:fill="FFFFFF"/>
        </w:rPr>
        <w:t>Hematodinium</w:t>
      </w:r>
      <w:r w:rsidRPr="009819CE">
        <w:rPr>
          <w:rFonts w:cstheme="minorBidi"/>
          <w:shd w:val="clear" w:color="auto" w:fill="FFFFFF"/>
        </w:rPr>
        <w:t xml:space="preserve"> sp. </w:t>
      </w:r>
      <w:r w:rsidRPr="009819CE">
        <w:rPr>
          <w:rFonts w:cstheme="minorBidi"/>
        </w:rPr>
        <w:t>dinospores (</w:t>
      </w:r>
      <w:r w:rsidR="00267617" w:rsidRPr="00FA7D47">
        <w:rPr>
          <w:rFonts w:cstheme="minorBidi"/>
        </w:rPr>
        <w:t>dispersal stages</w:t>
      </w:r>
      <w:r w:rsidRPr="009819CE">
        <w:rPr>
          <w:rFonts w:cstheme="minorBidi"/>
        </w:rPr>
        <w:t xml:space="preserve">) into the host </w:t>
      </w:r>
      <w:r w:rsidRPr="009819CE">
        <w:rPr>
          <w:rFonts w:cstheme="minorBidi"/>
        </w:rPr>
        <w:fldChar w:fldCharType="begin"/>
      </w:r>
      <w:r w:rsidR="00ED1A9E" w:rsidRPr="009819CE">
        <w:rPr>
          <w:rFonts w:cstheme="minorBidi"/>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rPr>
        <w:fldChar w:fldCharType="separate"/>
      </w:r>
      <w:r w:rsidR="00D50EFF" w:rsidRPr="007268F5">
        <w:rPr>
          <w:rFonts w:cstheme="minorBidi"/>
        </w:rPr>
        <w:t>(</w:t>
      </w:r>
      <w:hyperlink w:anchor="_ENREF_241" w:tooltip="Pagenkopp Lohan, 2012 #25" w:history="1">
        <w:r w:rsidR="00950097" w:rsidRPr="007268F5">
          <w:rPr>
            <w:rFonts w:cstheme="minorBidi"/>
          </w:rPr>
          <w:t>Pagenkopp Lohan et al., 2012</w:t>
        </w:r>
      </w:hyperlink>
      <w:r w:rsidR="00D50EFF" w:rsidRPr="007268F5">
        <w:rPr>
          <w:rFonts w:cstheme="minorBidi"/>
        </w:rPr>
        <w:t>)</w:t>
      </w:r>
      <w:r w:rsidRPr="009819CE">
        <w:rPr>
          <w:rFonts w:cstheme="minorBidi"/>
        </w:rPr>
        <w:fldChar w:fldCharType="end"/>
      </w:r>
      <w:r w:rsidRPr="009819CE">
        <w:rPr>
          <w:rFonts w:cstheme="minorBidi"/>
        </w:rPr>
        <w:t xml:space="preserve">. Intermoult intervals increase with size, so that smaller individuals might be more susceptible to infection since they moult more frequently </w:t>
      </w:r>
      <w:r w:rsidRPr="009819CE">
        <w:rPr>
          <w:rFonts w:cstheme="minorBidi"/>
        </w:rPr>
        <w:fldChar w:fldCharType="begin"/>
      </w:r>
      <w:r w:rsidR="00D50EFF" w:rsidRPr="009819CE">
        <w:rPr>
          <w:rFonts w:cstheme="minorBidi"/>
        </w:rPr>
        <w:instrText xml:space="preserve"> ADDIN EN.CITE &lt;EndNote&gt;&lt;Cite&gt;&lt;Author&gt;Field&lt;/Author&gt;&lt;Year&gt;1992&lt;/Year&gt;&lt;RecNum&gt;448&lt;/RecNum&gt;&lt;DisplayText&gt;(Field et al., 1992)&lt;/DisplayText&gt;&lt;record&gt;&lt;rec-number&gt;448&lt;/rec-number&gt;&lt;foreign-keys&gt;&lt;key app="EN" db-id="sd9wrx9fj09rx3erprsx999o0r5aprvp2zse" timestamp="1687855901" guid="b78ef845-3f27-43af-9d07-d8676723e1bf"&gt;448&lt;/key&gt;&lt;/foreign-keys&gt;&lt;ref-type name="Journal Article"&gt;17&lt;/ref-type&gt;&lt;contributors&gt;&lt;authors&gt;&lt;author&gt;Field, Robert Henry&lt;/author&gt;&lt;author&gt;Chapman, C. J.&lt;/author&gt;&lt;author&gt;Taylor, A. C.&lt;/author&gt;&lt;author&gt;Neil, Douglas M.&lt;/author&gt;&lt;author&gt;Vickerman, Keith&lt;/author&gt;&lt;/authors&gt;&lt;/contributors&gt;&lt;titles&gt;&lt;title&gt;&lt;style face="normal" font="default" size="100%"&gt;Infection of the Norway lobster &lt;/style&gt;&lt;style face="italic" font="default" size="100%"&gt;Nephrons norvegicus&lt;/style&gt;&lt;style face="normal" font="default" size="100%"&gt; by a &lt;/style&gt;&lt;style face="italic" font="default" size="100%"&gt;Hematodinium&lt;/style&gt;&lt;style face="normal" font="default" size="100%"&gt;-like species of dinoflagellate on the west coast of Scotland&lt;/style&gt;&lt;/title&gt;&lt;secondary-title&gt;Diseases of Aquatic Organisms&lt;/secondary-title&gt;&lt;/titles&gt;&lt;periodical&gt;&lt;full-title&gt;Diseases of Aquatic Organisms&lt;/full-title&gt;&lt;/periodical&gt;&lt;pages&gt;1-15&lt;/pages&gt;&lt;volume&gt;13&lt;/volume&gt;&lt;number&gt;1&lt;/number&gt;&lt;dates&gt;&lt;year&gt;1992&lt;/year&gt;&lt;/dates&gt;&lt;publisher&gt;Elsevier&lt;/publisher&gt;&lt;urls&gt;&lt;related-urls&gt;&lt;url&gt;http://www.int-res.com/articles/dao/13/d013p001.pdf&lt;/url&gt;&lt;/related-urls&gt;&lt;/urls&gt;&lt;electronic-resource-num&gt;10.3354/dao013001&lt;/electronic-resource-num&gt;&lt;/record&gt;&lt;/Cite&gt;&lt;/EndNote&gt;</w:instrText>
      </w:r>
      <w:r w:rsidRPr="009819CE">
        <w:rPr>
          <w:rFonts w:cstheme="minorBidi"/>
        </w:rPr>
        <w:fldChar w:fldCharType="separate"/>
      </w:r>
      <w:r w:rsidR="00D50EFF" w:rsidRPr="009819CE">
        <w:rPr>
          <w:rFonts w:cstheme="minorBidi"/>
        </w:rPr>
        <w:t>(</w:t>
      </w:r>
      <w:hyperlink w:anchor="_ENREF_95" w:tooltip="Field, 1992 #448" w:history="1">
        <w:r w:rsidR="00950097" w:rsidRPr="009819CE">
          <w:rPr>
            <w:rFonts w:cstheme="minorBidi"/>
          </w:rPr>
          <w:t>Field et al., 1992</w:t>
        </w:r>
      </w:hyperlink>
      <w:r w:rsidR="00D50EFF" w:rsidRPr="009819CE">
        <w:rPr>
          <w:rFonts w:cstheme="minorBidi"/>
        </w:rPr>
        <w:t>)</w:t>
      </w:r>
      <w:r w:rsidRPr="009819CE">
        <w:rPr>
          <w:rFonts w:cstheme="minorBidi"/>
        </w:rPr>
        <w:fldChar w:fldCharType="end"/>
      </w:r>
      <w:r w:rsidRPr="009819CE">
        <w:rPr>
          <w:rFonts w:cstheme="minorBidi"/>
        </w:rPr>
        <w:t xml:space="preserve">. The increased prevalence of </w:t>
      </w:r>
      <w:r w:rsidR="009D03F4" w:rsidRPr="009819CE">
        <w:rPr>
          <w:rFonts w:cstheme="minorBidi"/>
          <w:i/>
          <w:iCs/>
        </w:rPr>
        <w:t>Hematodinium</w:t>
      </w:r>
      <w:r w:rsidRPr="009819CE">
        <w:rPr>
          <w:rFonts w:cstheme="minorBidi"/>
        </w:rPr>
        <w:t xml:space="preserve"> sp</w:t>
      </w:r>
      <w:r w:rsidRPr="009819CE">
        <w:rPr>
          <w:rFonts w:cstheme="minorBidi"/>
          <w:i/>
          <w:iCs/>
        </w:rPr>
        <w:t xml:space="preserve">. </w:t>
      </w:r>
      <w:r w:rsidRPr="009819CE">
        <w:rPr>
          <w:rFonts w:cstheme="minorBidi"/>
        </w:rPr>
        <w:t xml:space="preserve">among female </w:t>
      </w:r>
      <w:r w:rsidR="00C31E47" w:rsidRPr="009819CE">
        <w:rPr>
          <w:rFonts w:cstheme="minorBidi"/>
          <w:i/>
          <w:iCs/>
        </w:rPr>
        <w:t>Nephrops</w:t>
      </w:r>
      <w:r w:rsidRPr="009819CE">
        <w:rPr>
          <w:rFonts w:cstheme="minorBidi"/>
        </w:rPr>
        <w:t xml:space="preserve"> has been explained by the differing moulting periods between the sexes. Females in the CSA have a more defined moulting peak in the spring </w:t>
      </w:r>
      <w:r w:rsidRPr="009819CE">
        <w:rPr>
          <w:rFonts w:cstheme="minorBidi"/>
        </w:rPr>
        <w:fldChar w:fldCharType="begin"/>
      </w:r>
      <w:r w:rsidR="00D50EFF" w:rsidRPr="009819CE">
        <w:rPr>
          <w:rFonts w:cstheme="minorBidi"/>
        </w:rPr>
        <w:instrText xml:space="preserve"> ADDIN EN.CITE &lt;EndNote&gt;&lt;Cite&gt;&lt;Author&gt;Field&lt;/Author&gt;&lt;Year&gt;1992&lt;/Year&gt;&lt;RecNum&gt;448&lt;/RecNum&gt;&lt;DisplayText&gt;(Field et al., 1992)&lt;/DisplayText&gt;&lt;record&gt;&lt;rec-number&gt;448&lt;/rec-number&gt;&lt;foreign-keys&gt;&lt;key app="EN" db-id="sd9wrx9fj09rx3erprsx999o0r5aprvp2zse" timestamp="1687855901" guid="b78ef845-3f27-43af-9d07-d8676723e1bf"&gt;448&lt;/key&gt;&lt;/foreign-keys&gt;&lt;ref-type name="Journal Article"&gt;17&lt;/ref-type&gt;&lt;contributors&gt;&lt;authors&gt;&lt;author&gt;Field, Robert Henry&lt;/author&gt;&lt;author&gt;Chapman, C. J.&lt;/author&gt;&lt;author&gt;Taylor, A. C.&lt;/author&gt;&lt;author&gt;Neil, Douglas M.&lt;/author&gt;&lt;author&gt;Vickerman, Keith&lt;/author&gt;&lt;/authors&gt;&lt;/contributors&gt;&lt;titles&gt;&lt;title&gt;&lt;style face="normal" font="default" size="100%"&gt;Infection of the Norway lobster &lt;/style&gt;&lt;style face="italic" font="default" size="100%"&gt;Nephrons norvegicus&lt;/style&gt;&lt;style face="normal" font="default" size="100%"&gt; by a &lt;/style&gt;&lt;style face="italic" font="default" size="100%"&gt;Hematodinium&lt;/style&gt;&lt;style face="normal" font="default" size="100%"&gt;-like species of dinoflagellate on the west coast of Scotland&lt;/style&gt;&lt;/title&gt;&lt;secondary-title&gt;Diseases of Aquatic Organisms&lt;/secondary-title&gt;&lt;/titles&gt;&lt;periodical&gt;&lt;full-title&gt;Diseases of Aquatic Organisms&lt;/full-title&gt;&lt;/periodical&gt;&lt;pages&gt;1-15&lt;/pages&gt;&lt;volume&gt;13&lt;/volume&gt;&lt;number&gt;1&lt;/number&gt;&lt;dates&gt;&lt;year&gt;1992&lt;/year&gt;&lt;/dates&gt;&lt;publisher&gt;Elsevier&lt;/publisher&gt;&lt;urls&gt;&lt;related-urls&gt;&lt;url&gt;http://www.int-res.com/articles/dao/13/d013p001.pdf&lt;/url&gt;&lt;/related-urls&gt;&lt;/urls&gt;&lt;electronic-resource-num&gt;10.3354/dao013001&lt;/electronic-resource-num&gt;&lt;/record&gt;&lt;/Cite&gt;&lt;/EndNote&gt;</w:instrText>
      </w:r>
      <w:r w:rsidRPr="009819CE">
        <w:rPr>
          <w:rFonts w:cstheme="minorBidi"/>
        </w:rPr>
        <w:fldChar w:fldCharType="separate"/>
      </w:r>
      <w:r w:rsidR="00D50EFF" w:rsidRPr="009819CE">
        <w:rPr>
          <w:rFonts w:cstheme="minorBidi"/>
        </w:rPr>
        <w:t>(</w:t>
      </w:r>
      <w:hyperlink w:anchor="_ENREF_95" w:tooltip="Field, 1992 #448" w:history="1">
        <w:r w:rsidR="00950097" w:rsidRPr="009819CE">
          <w:rPr>
            <w:rFonts w:cstheme="minorBidi"/>
          </w:rPr>
          <w:t>Field et al., 1992</w:t>
        </w:r>
      </w:hyperlink>
      <w:r w:rsidR="00D50EFF" w:rsidRPr="009819CE">
        <w:rPr>
          <w:rFonts w:cstheme="minorBidi"/>
        </w:rPr>
        <w:t>)</w:t>
      </w:r>
      <w:r w:rsidRPr="009819CE">
        <w:rPr>
          <w:rFonts w:cstheme="minorBidi"/>
        </w:rPr>
        <w:fldChar w:fldCharType="end"/>
      </w:r>
      <w:r w:rsidRPr="009819CE">
        <w:rPr>
          <w:rFonts w:cstheme="minorBidi"/>
        </w:rPr>
        <w:t xml:space="preserve"> compared to males, which have no defined peak. A sharp peak in infection prevalence has been associated with an increase in synchrony in moult timing between males and females. In contrast, if male and female moulting times are completely separate, there is an extended ‘plateau’ of infection prevalence </w:t>
      </w:r>
      <w:r w:rsidRPr="009819CE">
        <w:rPr>
          <w:rFonts w:cstheme="minorBidi"/>
        </w:rPr>
        <w:fldChar w:fldCharType="begin"/>
      </w:r>
      <w:r w:rsidR="00D50EFF" w:rsidRPr="009819CE">
        <w:rPr>
          <w:rFonts w:cstheme="minorBidi"/>
        </w:rPr>
        <w:instrText xml:space="preserve"> ADDIN EN.CITE &lt;EndNote&gt;&lt;Cite&gt;&lt;Author&gt;Stentiford&lt;/Author&gt;&lt;Year&gt;2001&lt;/Year&gt;&lt;RecNum&gt;124&lt;/RecNum&gt;&lt;DisplayText&gt;(Stentiford et al., 2001a)&lt;/DisplayText&gt;&lt;record&gt;&lt;rec-number&gt;124&lt;/rec-number&gt;&lt;foreign-keys&gt;&lt;key app="EN" db-id="sd9wrx9fj09rx3erprsx999o0r5aprvp2zse" timestamp="1687855901" guid="09c5d39b-f816-4e12-ae84-6f5c91f6c410"&gt;124&lt;/key&gt;&lt;/foreign-keys&gt;&lt;ref-type name="Journal Article"&gt;17&lt;/ref-type&gt;&lt;contributors&gt;&lt;authors&gt;&lt;author&gt;Stentiford, Grant&lt;/author&gt;&lt;author&gt;Neil, Douglas M.&lt;/author&gt;&lt;author&gt;Atkinson, Robert James A.&lt;/author&gt;&lt;/authors&gt;&lt;/contributors&gt;&lt;titles&gt;&lt;title&gt;&lt;style face="normal" font="default" size="100%"&gt;The relationship of &lt;/style&gt;&lt;style face="italic" font="default" size="100%"&gt;Hematodinium &lt;/style&gt;&lt;style face="normal" font="default" size="100%"&gt;infection prevalence in a Scottish &lt;/style&gt;&lt;style face="italic" font="default" size="100%"&gt;Nephrops norvegicus&lt;/style&gt;&lt;style face="normal" font="default" size="100%"&gt; population to season, moulting and sex&lt;/style&gt;&lt;/title&gt;&lt;secondary-title&gt;ICES Journal of Marine Science&lt;/secondary-title&gt;&lt;/titles&gt;&lt;periodical&gt;&lt;full-title&gt;ICES Journal of Marine Science&lt;/full-title&gt;&lt;/periodical&gt;&lt;pages&gt;814-823&lt;/pages&gt;&lt;volume&gt;58&lt;/volume&gt;&lt;number&gt;4&lt;/number&gt;&lt;keywords&gt;&lt;keyword&gt;Hematodinium&lt;/keyword&gt;&lt;keyword&gt;Infection prevalence&lt;/keyword&gt;&lt;keyword&gt;Moult cycle&lt;/keyword&gt;&lt;keyword&gt;Nephrops norvegicus&lt;/keyword&gt;&lt;keyword&gt;Parasite&lt;/keyword&gt;&lt;/keywords&gt;&lt;dates&gt;&lt;year&gt;2001&lt;/year&gt;&lt;pub-dates&gt;&lt;date&gt;2001/8//&lt;/date&gt;&lt;/pub-dates&gt;&lt;/dates&gt;&lt;urls&gt;&lt;related-urls&gt;&lt;url&gt;https://academic.oup.com/icesjms/article-lookup/doi/10.1006/jmsc.2001.1072&lt;/url&gt;&lt;/related-urls&gt;&lt;/urls&gt;&lt;electronic-resource-num&gt;10.1006/jmsc.2001.1072&lt;/electronic-resource-num&gt;&lt;/record&gt;&lt;/Cite&gt;&lt;/EndNote&gt;</w:instrText>
      </w:r>
      <w:r w:rsidRPr="009819CE">
        <w:rPr>
          <w:rFonts w:cstheme="minorBidi"/>
        </w:rPr>
        <w:fldChar w:fldCharType="separate"/>
      </w:r>
      <w:r w:rsidR="00D50EFF" w:rsidRPr="009819CE">
        <w:rPr>
          <w:rFonts w:cstheme="minorBidi"/>
        </w:rPr>
        <w:t>(</w:t>
      </w:r>
      <w:hyperlink w:anchor="_ENREF_297" w:tooltip="Stentiford, 2001 #124" w:history="1">
        <w:r w:rsidR="00950097" w:rsidRPr="009819CE">
          <w:rPr>
            <w:rFonts w:cstheme="minorBidi"/>
          </w:rPr>
          <w:t>Stentiford et al., 2001a</w:t>
        </w:r>
      </w:hyperlink>
      <w:r w:rsidR="00D50EFF" w:rsidRPr="009819CE">
        <w:rPr>
          <w:rFonts w:cstheme="minorBidi"/>
        </w:rPr>
        <w:t>)</w:t>
      </w:r>
      <w:r w:rsidRPr="009819CE">
        <w:rPr>
          <w:rFonts w:cstheme="minorBidi"/>
        </w:rPr>
        <w:fldChar w:fldCharType="end"/>
      </w:r>
      <w:r w:rsidRPr="009819CE">
        <w:rPr>
          <w:rFonts w:cstheme="minorBidi"/>
        </w:rPr>
        <w:t xml:space="preserve">. However, the extent to which moulting, size, and sex influence the susceptibility of </w:t>
      </w:r>
      <w:r w:rsidR="00C31E47" w:rsidRPr="009819CE">
        <w:rPr>
          <w:rFonts w:cstheme="minorBidi"/>
          <w:i/>
          <w:iCs/>
        </w:rPr>
        <w:t>Nephrops</w:t>
      </w:r>
      <w:r w:rsidRPr="009819CE">
        <w:rPr>
          <w:rFonts w:cstheme="minorBidi"/>
        </w:rPr>
        <w:t xml:space="preserve"> to </w:t>
      </w:r>
      <w:r w:rsidR="009D03F4" w:rsidRPr="009819CE">
        <w:rPr>
          <w:rFonts w:cstheme="minorBidi"/>
          <w:i/>
          <w:iCs/>
        </w:rPr>
        <w:t>Hematodinium</w:t>
      </w:r>
      <w:r w:rsidRPr="009819CE">
        <w:rPr>
          <w:rFonts w:cstheme="minorBidi"/>
        </w:rPr>
        <w:t xml:space="preserve"> sp. or the likelihood of developing severe infections remains unclear.</w:t>
      </w:r>
    </w:p>
    <w:p w14:paraId="555CB53A" w14:textId="338CF5FD" w:rsidR="00F36ABA" w:rsidRPr="009819CE" w:rsidRDefault="00F36ABA" w:rsidP="00F36ABA">
      <w:pPr>
        <w:rPr>
          <w:rFonts w:cstheme="minorBidi"/>
        </w:rPr>
      </w:pPr>
      <w:r w:rsidRPr="009819CE">
        <w:rPr>
          <w:rFonts w:cstheme="minorBidi"/>
        </w:rPr>
        <w:t xml:space="preserve">Although </w:t>
      </w:r>
      <w:r w:rsidR="009D03F4" w:rsidRPr="009819CE">
        <w:rPr>
          <w:rFonts w:cstheme="minorBidi"/>
          <w:i/>
          <w:iCs/>
        </w:rPr>
        <w:t>Hematodinium</w:t>
      </w:r>
      <w:r w:rsidRPr="009819CE">
        <w:rPr>
          <w:rFonts w:cstheme="minorBidi"/>
        </w:rPr>
        <w:t xml:space="preserve"> sp. prevalence has been reported to be higher in females, little is known about the effects of </w:t>
      </w:r>
      <w:r w:rsidR="009D03F4" w:rsidRPr="009819CE">
        <w:rPr>
          <w:rFonts w:cstheme="minorBidi"/>
          <w:i/>
          <w:iCs/>
        </w:rPr>
        <w:t>Hematodinium</w:t>
      </w:r>
      <w:r w:rsidRPr="009819CE">
        <w:rPr>
          <w:rFonts w:cstheme="minorBidi"/>
        </w:rPr>
        <w:t xml:space="preserve"> sp. on gonad development and reproductive capability. </w:t>
      </w:r>
      <w:hyperlink w:anchor="_ENREF_226" w:tooltip="Mouat, 2002 #128" w:history="1">
        <w:r w:rsidR="00950097" w:rsidRPr="009819CE">
          <w:rPr>
            <w:rFonts w:cstheme="minorBidi"/>
          </w:rPr>
          <w:fldChar w:fldCharType="begin"/>
        </w:r>
        <w:r w:rsidR="00950097" w:rsidRPr="009819CE">
          <w:rPr>
            <w:rFonts w:cstheme="minorBidi"/>
          </w:rPr>
          <w:instrText xml:space="preserve"> ADDIN EN.CITE &lt;EndNote&gt;&lt;Cite AuthorYear="1"&gt;&lt;Author&gt;Mouat&lt;/Author&gt;&lt;Year&gt;2002&lt;/Year&gt;&lt;RecNum&gt;128&lt;/RecNum&gt;&lt;DisplayText&gt;Mouat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00950097" w:rsidRPr="009819CE">
          <w:rPr>
            <w:rFonts w:cstheme="minorBidi"/>
          </w:rPr>
          <w:fldChar w:fldCharType="separate"/>
        </w:r>
        <w:r w:rsidR="00950097" w:rsidRPr="009819CE">
          <w:rPr>
            <w:rFonts w:cstheme="minorBidi"/>
          </w:rPr>
          <w:t>Mouat (2002)</w:t>
        </w:r>
        <w:r w:rsidR="00950097" w:rsidRPr="009819CE">
          <w:rPr>
            <w:rFonts w:cstheme="minorBidi"/>
          </w:rPr>
          <w:fldChar w:fldCharType="end"/>
        </w:r>
      </w:hyperlink>
      <w:r w:rsidRPr="009819CE">
        <w:rPr>
          <w:rFonts w:cstheme="minorBidi"/>
        </w:rPr>
        <w:t xml:space="preserve"> found that the ovaries of </w:t>
      </w:r>
      <w:r w:rsidR="000A0342" w:rsidRPr="009819CE">
        <w:rPr>
          <w:rFonts w:cstheme="minorBidi"/>
        </w:rPr>
        <w:t>patently infected</w:t>
      </w:r>
      <w:r w:rsidRPr="009819CE">
        <w:rPr>
          <w:rFonts w:cstheme="minorBidi"/>
        </w:rPr>
        <w:t xml:space="preserve"> females (according to the BCM) did not show any development even in mature, moulted individuals. Parasite cells filled the haemal spaces of the ovaries of infected females and multinucleate filamentous plasmodial cells were observed attached to basal laminae. In addition, </w:t>
      </w:r>
      <w:hyperlink w:anchor="_ENREF_226" w:tooltip="Mouat, 2002 #128" w:history="1">
        <w:r w:rsidR="00950097" w:rsidRPr="009819CE">
          <w:rPr>
            <w:rFonts w:cstheme="minorBidi"/>
          </w:rPr>
          <w:fldChar w:fldCharType="begin"/>
        </w:r>
        <w:r w:rsidR="00950097" w:rsidRPr="009819CE">
          <w:rPr>
            <w:rFonts w:cstheme="minorBidi"/>
          </w:rPr>
          <w:instrText xml:space="preserve"> ADDIN EN.CITE &lt;EndNote&gt;&lt;Cite AuthorYear="1"&gt;&lt;Author&gt;Mouat&lt;/Author&gt;&lt;Year&gt;2002&lt;/Year&gt;&lt;RecNum&gt;128&lt;/RecNum&gt;&lt;DisplayText&gt;Mouat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00950097" w:rsidRPr="009819CE">
          <w:rPr>
            <w:rFonts w:cstheme="minorBidi"/>
          </w:rPr>
          <w:fldChar w:fldCharType="separate"/>
        </w:r>
        <w:r w:rsidR="00950097" w:rsidRPr="009819CE">
          <w:rPr>
            <w:rFonts w:cstheme="minorBidi"/>
          </w:rPr>
          <w:t>Mouat (2002)</w:t>
        </w:r>
        <w:r w:rsidR="00950097" w:rsidRPr="009819CE">
          <w:rPr>
            <w:rFonts w:cstheme="minorBidi"/>
          </w:rPr>
          <w:fldChar w:fldCharType="end"/>
        </w:r>
      </w:hyperlink>
      <w:r w:rsidRPr="009819CE">
        <w:rPr>
          <w:rFonts w:cstheme="minorBidi"/>
        </w:rPr>
        <w:t xml:space="preserve"> reported substantial tissue disruption and evidence that ovarian development had been halted. Similar observations were reported by </w:t>
      </w:r>
      <w:hyperlink w:anchor="_ENREF_34" w:tooltip="Briggs, 2002 #374" w:history="1">
        <w:r w:rsidR="00950097" w:rsidRPr="009819CE">
          <w:rPr>
            <w:rFonts w:cstheme="minorBidi"/>
          </w:rPr>
          <w:fldChar w:fldCharType="begin"/>
        </w:r>
        <w:r w:rsidR="00950097" w:rsidRPr="009819CE">
          <w:rPr>
            <w:rFonts w:cstheme="minorBidi"/>
          </w:rPr>
          <w:instrText xml:space="preserve"> ADDIN EN.CITE &lt;EndNote&gt;&lt;Cite AuthorYear="1"&gt;&lt;Author&gt;Briggs&lt;/Author&gt;&lt;Year&gt;2002&lt;/Year&gt;&lt;RecNum&gt;374&lt;/RecNum&gt;&lt;DisplayText&gt;Briggs and McAliskey (2002)&lt;/DisplayText&gt;&lt;record&gt;&lt;rec-number&gt;374&lt;/rec-number&gt;&lt;foreign-keys&gt;&lt;key app="EN" db-id="sd9wrx9fj09rx3erprsx999o0r5aprvp2zse" timestamp="1687855901" guid="fffb00b5-cdee-4035-9ba9-fbd2e8e33433"&gt;374&lt;/key&gt;&lt;/foreign-keys&gt;&lt;ref-type name="Journal Article"&gt;17&lt;/ref-type&gt;&lt;contributors&gt;&lt;authors&gt;&lt;author&gt;Briggs, R. P.&lt;/author&gt;&lt;author&gt;McAliskey, M.&lt;/author&gt;&lt;/authors&gt;&lt;/contributors&gt;&lt;titles&gt;&lt;title&gt;&lt;style face="normal" font="default" size="100%"&gt;The prevalence of &lt;/style&gt;&lt;style face="italic" font="default" size="100%"&gt;Hematodinium&lt;/style&gt;&lt;style face="normal" font="default" size="100%"&gt; in &lt;/style&gt;&lt;style face="italic" font="default" size="100%"&gt;Nephrops norvegicus &lt;/style&gt;&lt;style face="normal" font="default" size="100%"&gt;from the western Irish Sea&lt;/style&gt;&lt;/title&gt;&lt;secondary-title&gt;Journal of the Marine Biological Association of the United Kingdom&lt;/secondary-title&gt;&lt;/titles&gt;&lt;periodical&gt;&lt;full-title&gt;Journal of the Marine Biological Association of the United Kingdom&lt;/full-title&gt;&lt;/periodical&gt;&lt;pages&gt;427-433&lt;/pages&gt;&lt;volume&gt;82&lt;/volume&gt;&lt;number&gt;3&lt;/number&gt;&lt;dates&gt;&lt;year&gt;2002&lt;/year&gt;&lt;pub-dates&gt;&lt;date&gt;2002/6//&lt;/date&gt;&lt;/pub-dates&gt;&lt;/dates&gt;&lt;urls&gt;&lt;related-urls&gt;&lt;url&gt;https://www.cambridge.org/core/product/identifier/S0025315402005684/type/journal_article&lt;/url&gt;&lt;url&gt;https://www.cambridge.org/core/journals/journal-of-the-marine-biological-association-of-the-united-kingdom/article/abs/prevalence-of-hematodinium-in-nephrops-norvegicus-from-the-western-irish-sea/F62274CA5D9F0DADB8129BB1E188BBD5&lt;/url&gt;&lt;/related-urls&gt;&lt;/urls&gt;&lt;electronic-resource-num&gt;10.1017/S0025315402005684&lt;/electronic-resource-num&gt;&lt;/record&gt;&lt;/Cite&gt;&lt;/EndNote&gt;</w:instrText>
        </w:r>
        <w:r w:rsidR="00950097" w:rsidRPr="009819CE">
          <w:rPr>
            <w:rFonts w:cstheme="minorBidi"/>
          </w:rPr>
          <w:fldChar w:fldCharType="separate"/>
        </w:r>
        <w:r w:rsidR="00950097" w:rsidRPr="009819CE">
          <w:rPr>
            <w:rFonts w:cstheme="minorBidi"/>
          </w:rPr>
          <w:t>Briggs and McAliskey (2002)</w:t>
        </w:r>
        <w:r w:rsidR="00950097" w:rsidRPr="009819CE">
          <w:rPr>
            <w:rFonts w:cstheme="minorBidi"/>
          </w:rPr>
          <w:fldChar w:fldCharType="end"/>
        </w:r>
      </w:hyperlink>
      <w:r w:rsidRPr="009819CE">
        <w:rPr>
          <w:rFonts w:cstheme="minorBidi"/>
        </w:rPr>
        <w:t xml:space="preserve"> in infected female </w:t>
      </w:r>
      <w:r w:rsidR="00C31E47" w:rsidRPr="009819CE">
        <w:rPr>
          <w:rFonts w:cstheme="minorBidi"/>
          <w:i/>
          <w:iCs/>
        </w:rPr>
        <w:t>Nephrops</w:t>
      </w:r>
      <w:r w:rsidRPr="009819CE">
        <w:rPr>
          <w:rFonts w:cstheme="minorBidi"/>
        </w:rPr>
        <w:t xml:space="preserve"> (according to the BCM) from the Irish Sea. Developing vite</w:t>
      </w:r>
      <w:r w:rsidR="00480A06" w:rsidRPr="00FA7D47">
        <w:rPr>
          <w:rFonts w:cstheme="minorBidi"/>
        </w:rPr>
        <w:t>l</w:t>
      </w:r>
      <w:r w:rsidRPr="009819CE">
        <w:rPr>
          <w:rFonts w:cstheme="minorBidi"/>
        </w:rPr>
        <w:t xml:space="preserve">logenic oocytes were visible in infected females, but they were degraded and showed signs of pressure necrosis. Developing oocytes indicate that ovarian maturation had begun prior to patent infection. The infection seems to cause apoptosis in germ cells as well as degradation of oocytes </w:t>
      </w:r>
      <w:r w:rsidRPr="009819CE">
        <w:rPr>
          <w:rFonts w:cstheme="minorBidi"/>
        </w:rPr>
        <w:fldChar w:fldCharType="begin"/>
      </w:r>
      <w:r w:rsidR="00D50EFF" w:rsidRPr="009819CE">
        <w:rPr>
          <w:rFonts w:cstheme="minorBidi"/>
        </w:rPr>
        <w:instrText xml:space="preserve"> ADDIN EN.CITE &lt;EndNote&gt;&lt;Cite&gt;&lt;Author&gt;Mouat&lt;/Author&gt;&lt;Year&gt;2002&lt;/Year&gt;&lt;RecNum&gt;128&lt;/RecNum&gt;&lt;DisplayText&gt;(Mouat,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Pr="009819CE">
        <w:rPr>
          <w:rFonts w:cstheme="minorBidi"/>
        </w:rPr>
        <w:fldChar w:fldCharType="separate"/>
      </w:r>
      <w:r w:rsidR="00D50EFF" w:rsidRPr="009819CE">
        <w:rPr>
          <w:rFonts w:cstheme="minorBidi"/>
        </w:rPr>
        <w:t>(</w:t>
      </w:r>
      <w:hyperlink w:anchor="_ENREF_226" w:tooltip="Mouat, 2002 #128" w:history="1">
        <w:r w:rsidR="00950097" w:rsidRPr="009819CE">
          <w:rPr>
            <w:rFonts w:cstheme="minorBidi"/>
          </w:rPr>
          <w:t>Mouat, 2002</w:t>
        </w:r>
      </w:hyperlink>
      <w:r w:rsidR="00D50EFF" w:rsidRPr="009819CE">
        <w:rPr>
          <w:rFonts w:cstheme="minorBidi"/>
        </w:rPr>
        <w:t>)</w:t>
      </w:r>
      <w:r w:rsidRPr="009819CE">
        <w:rPr>
          <w:rFonts w:cstheme="minorBidi"/>
        </w:rPr>
        <w:fldChar w:fldCharType="end"/>
      </w:r>
      <w:r w:rsidRPr="009819CE">
        <w:rPr>
          <w:rFonts w:cstheme="minorBidi"/>
        </w:rPr>
        <w:t xml:space="preserve">. The pathology of the testes in </w:t>
      </w:r>
      <w:r w:rsidR="009D03F4" w:rsidRPr="009819CE">
        <w:rPr>
          <w:rFonts w:cstheme="minorBidi"/>
          <w:i/>
          <w:iCs/>
        </w:rPr>
        <w:t>Hematodinium</w:t>
      </w:r>
      <w:r w:rsidRPr="009819CE">
        <w:rPr>
          <w:rFonts w:cstheme="minorBidi"/>
          <w:i/>
          <w:iCs/>
        </w:rPr>
        <w:t>-</w:t>
      </w:r>
      <w:r w:rsidRPr="009819CE">
        <w:rPr>
          <w:rFonts w:cstheme="minorBidi"/>
          <w:iCs/>
        </w:rPr>
        <w:t>infected</w:t>
      </w:r>
      <w:r w:rsidRPr="009819CE">
        <w:rPr>
          <w:rFonts w:cstheme="minorBidi"/>
        </w:rPr>
        <w:t xml:space="preserve"> male </w:t>
      </w:r>
      <w:r w:rsidR="00C31E47" w:rsidRPr="009819CE">
        <w:rPr>
          <w:rFonts w:cstheme="minorBidi"/>
          <w:i/>
          <w:iCs/>
        </w:rPr>
        <w:t>Nephrops</w:t>
      </w:r>
      <w:r w:rsidRPr="009819CE">
        <w:rPr>
          <w:rFonts w:cstheme="minorBidi"/>
        </w:rPr>
        <w:t xml:space="preserve"> differs from that described for the female ovaries. The testes of heavily infected males showed no sign of disruption, and sperm were visible in the tubules </w:t>
      </w:r>
      <w:r w:rsidRPr="009819CE">
        <w:rPr>
          <w:rFonts w:cstheme="minorBidi"/>
        </w:rPr>
        <w:fldChar w:fldCharType="begin"/>
      </w:r>
      <w:r w:rsidR="00D50EFF" w:rsidRPr="009819CE">
        <w:rPr>
          <w:rFonts w:cstheme="minorBidi"/>
        </w:rPr>
        <w:instrText xml:space="preserve"> ADDIN EN.CITE &lt;EndNote&gt;&lt;Cite&gt;&lt;Author&gt;Mouat&lt;/Author&gt;&lt;Year&gt;2002&lt;/Year&gt;&lt;RecNum&gt;128&lt;/RecNum&gt;&lt;DisplayText&gt;(Mouat,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Pr="009819CE">
        <w:rPr>
          <w:rFonts w:cstheme="minorBidi"/>
        </w:rPr>
        <w:fldChar w:fldCharType="separate"/>
      </w:r>
      <w:r w:rsidR="00D50EFF" w:rsidRPr="009819CE">
        <w:rPr>
          <w:rFonts w:cstheme="minorBidi"/>
        </w:rPr>
        <w:t>(</w:t>
      </w:r>
      <w:hyperlink w:anchor="_ENREF_226" w:tooltip="Mouat, 2002 #128" w:history="1">
        <w:r w:rsidR="00950097" w:rsidRPr="009819CE">
          <w:rPr>
            <w:rFonts w:cstheme="minorBidi"/>
          </w:rPr>
          <w:t>Mouat, 2002</w:t>
        </w:r>
      </w:hyperlink>
      <w:r w:rsidR="00D50EFF" w:rsidRPr="009819CE">
        <w:rPr>
          <w:rFonts w:cstheme="minorBidi"/>
        </w:rPr>
        <w:t>)</w:t>
      </w:r>
      <w:r w:rsidRPr="009819CE">
        <w:rPr>
          <w:rFonts w:cstheme="minorBidi"/>
        </w:rPr>
        <w:fldChar w:fldCharType="end"/>
      </w:r>
      <w:r w:rsidRPr="009819CE">
        <w:rPr>
          <w:rFonts w:cstheme="minorBidi"/>
        </w:rPr>
        <w:t>.</w:t>
      </w:r>
    </w:p>
    <w:p w14:paraId="60A15F3D" w14:textId="58034EFC" w:rsidR="00F36ABA" w:rsidRPr="009819CE" w:rsidRDefault="00F36ABA" w:rsidP="00F36ABA">
      <w:pPr>
        <w:rPr>
          <w:rFonts w:cstheme="minorBidi"/>
        </w:rPr>
      </w:pPr>
      <w:r w:rsidRPr="009819CE">
        <w:rPr>
          <w:rFonts w:cstheme="minorBidi"/>
        </w:rPr>
        <w:t xml:space="preserve">According to </w:t>
      </w:r>
      <w:hyperlink w:anchor="_ENREF_226" w:tooltip="Mouat, 2002 #128" w:history="1">
        <w:r w:rsidR="00950097" w:rsidRPr="009819CE">
          <w:rPr>
            <w:rFonts w:cstheme="minorBidi"/>
          </w:rPr>
          <w:fldChar w:fldCharType="begin"/>
        </w:r>
        <w:r w:rsidR="00950097" w:rsidRPr="009819CE">
          <w:rPr>
            <w:rFonts w:cstheme="minorBidi"/>
          </w:rPr>
          <w:instrText xml:space="preserve"> ADDIN EN.CITE &lt;EndNote&gt;&lt;Cite AuthorYear="1"&gt;&lt;Author&gt;Mouat&lt;/Author&gt;&lt;Year&gt;2002&lt;/Year&gt;&lt;RecNum&gt;128&lt;/RecNum&gt;&lt;DisplayText&gt;Mouat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00950097" w:rsidRPr="009819CE">
          <w:rPr>
            <w:rFonts w:cstheme="minorBidi"/>
          </w:rPr>
          <w:fldChar w:fldCharType="separate"/>
        </w:r>
        <w:r w:rsidR="00950097" w:rsidRPr="009819CE">
          <w:rPr>
            <w:rFonts w:cstheme="minorBidi"/>
          </w:rPr>
          <w:t>Mouat (2002)</w:t>
        </w:r>
        <w:r w:rsidR="00950097" w:rsidRPr="009819CE">
          <w:rPr>
            <w:rFonts w:cstheme="minorBidi"/>
          </w:rPr>
          <w:fldChar w:fldCharType="end"/>
        </w:r>
      </w:hyperlink>
      <w:r w:rsidRPr="009819CE">
        <w:rPr>
          <w:rFonts w:cstheme="minorBidi"/>
        </w:rPr>
        <w:t xml:space="preserve">, the effects of </w:t>
      </w:r>
      <w:r w:rsidR="009D03F4" w:rsidRPr="009819CE">
        <w:rPr>
          <w:rFonts w:cstheme="minorBidi"/>
          <w:i/>
          <w:iCs/>
        </w:rPr>
        <w:t>Hematodinium</w:t>
      </w:r>
      <w:r w:rsidRPr="009819CE">
        <w:rPr>
          <w:rFonts w:cstheme="minorBidi"/>
        </w:rPr>
        <w:t xml:space="preserve"> sp. infection on the ovaries of females could prevent 30-40% of breeding females from reproducing in a given year. Future recruitment of </w:t>
      </w:r>
      <w:r w:rsidR="00C31E47" w:rsidRPr="009819CE">
        <w:rPr>
          <w:rFonts w:cstheme="minorBidi"/>
          <w:i/>
          <w:iCs/>
        </w:rPr>
        <w:t>Nephrops</w:t>
      </w:r>
      <w:r w:rsidRPr="009819CE">
        <w:rPr>
          <w:rFonts w:cstheme="minorBidi"/>
        </w:rPr>
        <w:t xml:space="preserve"> in the CSA may be adversely affected by this. However, so far all of these studies have based on the BCM used on catches at the time of infection peak, and no information is available on ovary status at the earlier stages of infection.</w:t>
      </w:r>
    </w:p>
    <w:p w14:paraId="29CF99F4" w14:textId="29D7AF25" w:rsidR="00F36ABA" w:rsidRPr="009819CE" w:rsidRDefault="00F36ABA" w:rsidP="00F36ABA">
      <w:pPr>
        <w:rPr>
          <w:rFonts w:cstheme="minorBidi"/>
        </w:rPr>
      </w:pPr>
      <w:r w:rsidRPr="009819CE">
        <w:rPr>
          <w:rFonts w:cstheme="minorBidi"/>
        </w:rPr>
        <w:t xml:space="preserve">The aim of the present study was to update prevalence measures for patent infection of </w:t>
      </w:r>
      <w:r w:rsidR="009D03F4" w:rsidRPr="009819CE">
        <w:rPr>
          <w:rFonts w:cstheme="minorBidi"/>
          <w:i/>
        </w:rPr>
        <w:t>Hematodinium</w:t>
      </w:r>
      <w:r w:rsidRPr="009819CE">
        <w:rPr>
          <w:rFonts w:cstheme="minorBidi"/>
        </w:rPr>
        <w:t xml:space="preserve"> sp. in </w:t>
      </w:r>
      <w:r w:rsidR="00C31E47" w:rsidRPr="009819CE">
        <w:rPr>
          <w:rFonts w:cstheme="minorBidi"/>
          <w:i/>
        </w:rPr>
        <w:t>Nephrops</w:t>
      </w:r>
      <w:r w:rsidRPr="009819CE">
        <w:rPr>
          <w:rFonts w:cstheme="minorBidi"/>
        </w:rPr>
        <w:t xml:space="preserve"> in the CSA over an entire annual cycle using the BCM and PM methodologies, and to evaluate further host traits associated with patent infection. The updated prevalence values will allow us to determine whether the infection has persisted for a significant period (30 years) and might therefore be regarded with a high degree of confidence as truly enzootic rather than epidemic. Particular attention has been paid to the effect of </w:t>
      </w:r>
      <w:r w:rsidR="009D03F4" w:rsidRPr="009819CE">
        <w:rPr>
          <w:rFonts w:cstheme="minorBidi"/>
          <w:i/>
          <w:iCs/>
        </w:rPr>
        <w:t>Hematodinium</w:t>
      </w:r>
      <w:r w:rsidRPr="009819CE">
        <w:rPr>
          <w:rFonts w:cstheme="minorBidi"/>
        </w:rPr>
        <w:t xml:space="preserve"> sp. infection on female </w:t>
      </w:r>
      <w:r w:rsidR="00C31E47" w:rsidRPr="009819CE">
        <w:rPr>
          <w:rFonts w:cstheme="minorBidi"/>
          <w:i/>
          <w:iCs/>
        </w:rPr>
        <w:t>Nephrops</w:t>
      </w:r>
      <w:r w:rsidRPr="009819CE">
        <w:rPr>
          <w:rFonts w:cstheme="minorBidi"/>
        </w:rPr>
        <w:t xml:space="preserve"> at each of the four stages of infection (detectable by PM), in order to assess any impacts on their reproductive capacity. </w:t>
      </w:r>
    </w:p>
    <w:p w14:paraId="1C51E39C" w14:textId="77777777" w:rsidR="00F36ABA" w:rsidRPr="009819CE" w:rsidRDefault="00F36ABA" w:rsidP="00F36ABA">
      <w:pPr>
        <w:pStyle w:val="Heading2"/>
        <w:rPr>
          <w:rFonts w:cstheme="minorBidi"/>
        </w:rPr>
      </w:pPr>
      <w:r w:rsidRPr="009819CE">
        <w:rPr>
          <w:rFonts w:cstheme="minorBidi"/>
        </w:rPr>
        <w:t xml:space="preserve"> </w:t>
      </w:r>
      <w:bookmarkStart w:id="173" w:name="_Toc204106613"/>
      <w:r w:rsidRPr="009819CE">
        <w:rPr>
          <w:rFonts w:cstheme="minorBidi"/>
        </w:rPr>
        <w:t>Material and Methods</w:t>
      </w:r>
      <w:bookmarkEnd w:id="173"/>
    </w:p>
    <w:p w14:paraId="33DCCA14" w14:textId="36FCE1AA" w:rsidR="00567ACE" w:rsidRPr="009819CE" w:rsidRDefault="00567ACE" w:rsidP="00567ACE">
      <w:pPr>
        <w:pStyle w:val="Heading3"/>
        <w:rPr>
          <w:rFonts w:cstheme="minorBidi"/>
        </w:rPr>
      </w:pPr>
      <w:bookmarkStart w:id="174" w:name="_Toc204106614"/>
      <w:r w:rsidRPr="009819CE">
        <w:rPr>
          <w:rFonts w:cstheme="minorBidi"/>
        </w:rPr>
        <w:t>Ethic</w:t>
      </w:r>
      <w:r w:rsidR="00AB1F71" w:rsidRPr="00FA7D47">
        <w:rPr>
          <w:rFonts w:cstheme="minorBidi"/>
        </w:rPr>
        <w:t>s</w:t>
      </w:r>
      <w:r w:rsidRPr="009819CE">
        <w:rPr>
          <w:rFonts w:cstheme="minorBidi"/>
        </w:rPr>
        <w:t xml:space="preserve"> statement</w:t>
      </w:r>
      <w:bookmarkEnd w:id="174"/>
    </w:p>
    <w:p w14:paraId="717D82F4" w14:textId="3CDFFE56" w:rsidR="00C25CC0" w:rsidRPr="009819CE" w:rsidRDefault="00567ACE" w:rsidP="00C25CC0">
      <w:pPr>
        <w:rPr>
          <w:b/>
        </w:rPr>
      </w:pPr>
      <w:r w:rsidRPr="009819CE">
        <w:rPr>
          <w:rFonts w:eastAsia="Calibri" w:cstheme="minorBidi"/>
          <w:color w:val="000000" w:themeColor="text1"/>
        </w:rPr>
        <w:t xml:space="preserve">The study protocol was approved by the University of Stirling Animal Welfare and Ethical Review Body (AWERB (18/19) </w:t>
      </w:r>
      <w:r w:rsidR="000C7D42" w:rsidRPr="009819CE">
        <w:rPr>
          <w:rFonts w:eastAsia="Calibri" w:cstheme="minorBidi"/>
          <w:color w:val="000000" w:themeColor="text1"/>
        </w:rPr>
        <w:t>039</w:t>
      </w:r>
      <w:r w:rsidRPr="009819CE">
        <w:rPr>
          <w:rFonts w:eastAsia="Calibri" w:cstheme="minorBidi"/>
          <w:color w:val="000000" w:themeColor="text1"/>
        </w:rPr>
        <w:t>).</w:t>
      </w:r>
      <w:r w:rsidR="00C25CC0" w:rsidRPr="009819CE">
        <w:rPr>
          <w:b/>
        </w:rPr>
        <w:t xml:space="preserve"> </w:t>
      </w:r>
    </w:p>
    <w:p w14:paraId="0C959378" w14:textId="77777777" w:rsidR="00F36ABA" w:rsidRPr="009819CE" w:rsidRDefault="00F36ABA" w:rsidP="009A5465">
      <w:pPr>
        <w:pStyle w:val="Heading3"/>
        <w:rPr>
          <w:rFonts w:cstheme="minorBidi"/>
          <w:iCs/>
        </w:rPr>
      </w:pPr>
      <w:bookmarkStart w:id="175" w:name="_Toc204106615"/>
      <w:r w:rsidRPr="009819CE">
        <w:rPr>
          <w:rFonts w:cstheme="minorBidi"/>
        </w:rPr>
        <w:t>Sample collection</w:t>
      </w:r>
      <w:bookmarkEnd w:id="175"/>
      <w:r w:rsidRPr="009819CE">
        <w:rPr>
          <w:rFonts w:cstheme="minorBidi"/>
        </w:rPr>
        <w:t xml:space="preserve"> </w:t>
      </w:r>
    </w:p>
    <w:p w14:paraId="6147141F" w14:textId="771CFAB6" w:rsidR="00F36ABA" w:rsidRPr="009819CE" w:rsidRDefault="00F36ABA" w:rsidP="00F36ABA">
      <w:pPr>
        <w:rPr>
          <w:rFonts w:cstheme="minorBidi"/>
        </w:rPr>
      </w:pPr>
      <w:r w:rsidRPr="009819CE">
        <w:rPr>
          <w:rFonts w:cstheme="minorBidi"/>
        </w:rPr>
        <w:t>Trawls were conducted monthly from November 2018 to October 2019 (12 months) aboard the commercial vessel Eilidh Anne GK2. The main capture site was the Largs-Fairly Channel (LFC) in the CSA, Scotland (</w:t>
      </w:r>
      <w:r w:rsidR="00AA4C8F" w:rsidRPr="009819CE">
        <w:rPr>
          <w:rFonts w:cstheme="minorBidi"/>
        </w:rPr>
        <w:t>see</w:t>
      </w:r>
      <w:r w:rsidRPr="009819CE">
        <w:rPr>
          <w:rFonts w:cstheme="minorBidi"/>
        </w:rPr>
        <w:t xml:space="preserve"> </w:t>
      </w:r>
      <w:r w:rsidRPr="009819CE">
        <w:rPr>
          <w:rFonts w:cstheme="minorBidi"/>
        </w:rPr>
        <w:fldChar w:fldCharType="begin"/>
      </w:r>
      <w:r w:rsidRPr="009819CE">
        <w:rPr>
          <w:rFonts w:cstheme="minorBidi"/>
        </w:rPr>
        <w:instrText xml:space="preserve"> REF _Ref114486306 \h  \* MERGEFORMAT </w:instrText>
      </w:r>
      <w:r w:rsidRPr="009819CE">
        <w:rPr>
          <w:rFonts w:cstheme="minorBidi"/>
        </w:rPr>
      </w:r>
      <w:r w:rsidRPr="009819CE">
        <w:rPr>
          <w:rFonts w:cstheme="minorBidi"/>
        </w:rPr>
        <w:fldChar w:fldCharType="separate"/>
      </w:r>
      <w:r w:rsidR="008549FC" w:rsidRPr="008549FC">
        <w:rPr>
          <w:rFonts w:cstheme="minorBidi"/>
          <w:b/>
          <w:bCs/>
        </w:rPr>
        <w:t>Figure 2.1</w:t>
      </w:r>
      <w:r w:rsidRPr="009819CE">
        <w:rPr>
          <w:rFonts w:cstheme="minorBidi"/>
        </w:rPr>
        <w:fldChar w:fldCharType="end"/>
      </w:r>
      <w:r w:rsidRPr="009819CE">
        <w:rPr>
          <w:rFonts w:cstheme="minorBidi"/>
        </w:rPr>
        <w:t xml:space="preserve"> and</w:t>
      </w:r>
      <w:r w:rsidR="00BA0759" w:rsidRPr="009819CE">
        <w:rPr>
          <w:rFonts w:cstheme="minorBidi"/>
        </w:rPr>
        <w:t xml:space="preserve"> </w:t>
      </w:r>
      <w:r w:rsidR="008157E5" w:rsidRPr="009819CE">
        <w:rPr>
          <w:rFonts w:cstheme="minorBidi"/>
          <w:color w:val="000000" w:themeColor="text1"/>
        </w:rPr>
        <w:t>supplementary</w:t>
      </w:r>
      <w:r w:rsidR="00EA53FD" w:rsidRPr="009819CE">
        <w:rPr>
          <w:rFonts w:cstheme="minorBidi"/>
        </w:rPr>
        <w:t xml:space="preserve"> </w:t>
      </w:r>
      <w:r w:rsidR="00EA5AD9" w:rsidRPr="009819CE">
        <w:rPr>
          <w:rFonts w:cstheme="minorBidi"/>
        </w:rPr>
        <w:fldChar w:fldCharType="begin"/>
      </w:r>
      <w:r w:rsidR="00EA5AD9" w:rsidRPr="009819CE">
        <w:rPr>
          <w:rFonts w:cstheme="minorBidi"/>
        </w:rPr>
        <w:instrText xml:space="preserve"> REF _Ref171357879 \h </w:instrText>
      </w:r>
      <w:r w:rsidR="008B0BF3" w:rsidRPr="009819CE">
        <w:rPr>
          <w:rFonts w:cstheme="minorBidi"/>
        </w:rPr>
        <w:instrText xml:space="preserve"> \* MERGEFORMAT </w:instrText>
      </w:r>
      <w:r w:rsidR="00EA5AD9" w:rsidRPr="009819CE">
        <w:rPr>
          <w:rFonts w:cstheme="minorBidi"/>
        </w:rPr>
      </w:r>
      <w:r w:rsidR="00EA5AD9" w:rsidRPr="009819CE">
        <w:rPr>
          <w:rFonts w:cstheme="minorBidi"/>
        </w:rPr>
        <w:fldChar w:fldCharType="separate"/>
      </w:r>
      <w:r w:rsidR="008549FC" w:rsidRPr="009819CE">
        <w:rPr>
          <w:rFonts w:cstheme="minorBidi"/>
          <w:b/>
        </w:rPr>
        <w:t xml:space="preserve">Table S2. </w:t>
      </w:r>
      <w:r w:rsidR="008549FC">
        <w:rPr>
          <w:rFonts w:cstheme="minorBidi"/>
          <w:b/>
        </w:rPr>
        <w:t>1</w:t>
      </w:r>
      <w:r w:rsidR="00EA5AD9" w:rsidRPr="009819CE">
        <w:rPr>
          <w:rFonts w:cstheme="minorBidi"/>
        </w:rPr>
        <w:fldChar w:fldCharType="end"/>
      </w:r>
      <w:r w:rsidRPr="009819CE">
        <w:rPr>
          <w:rFonts w:cstheme="minorBidi"/>
        </w:rPr>
        <w:t xml:space="preserve">). </w:t>
      </w:r>
      <w:r w:rsidR="00C31E47" w:rsidRPr="009819CE">
        <w:rPr>
          <w:rFonts w:cstheme="minorBidi"/>
          <w:i/>
          <w:iCs/>
        </w:rPr>
        <w:t>Nephrops</w:t>
      </w:r>
      <w:r w:rsidRPr="009819CE">
        <w:rPr>
          <w:rFonts w:cstheme="minorBidi"/>
        </w:rPr>
        <w:t xml:space="preserve"> were caught at depths of between 22-74 m, using a commercial net of 86 mm diamond mesh and 3 mm compact twine size. The average trawling time was 84.5 ± 20.5 min. All trawls in this study occurred during crepuscular periods (dawn for all months except July, where samples were collected at dusk). </w:t>
      </w:r>
      <w:r w:rsidR="00C31E47" w:rsidRPr="009819CE">
        <w:rPr>
          <w:rFonts w:cstheme="minorBidi"/>
          <w:i/>
          <w:iCs/>
        </w:rPr>
        <w:t>Nephrops</w:t>
      </w:r>
      <w:r w:rsidRPr="009819CE">
        <w:rPr>
          <w:rFonts w:cstheme="minorBidi"/>
        </w:rPr>
        <w:t xml:space="preserve"> were separated from by-catch on-board, and a random subset of 150 </w:t>
      </w:r>
      <w:r w:rsidRPr="009819CE">
        <w:rPr>
          <w:rFonts w:cstheme="minorBidi"/>
          <w:iCs/>
        </w:rPr>
        <w:t>animals</w:t>
      </w:r>
      <w:r w:rsidRPr="009819CE">
        <w:rPr>
          <w:rFonts w:cstheme="minorBidi"/>
        </w:rPr>
        <w:t xml:space="preserve"> was retained for the individual assessment of sex, carapace length (CL), damage, shell hardness, infection (by BCM) and vigour index </w:t>
      </w:r>
      <w:r w:rsidRPr="009819CE">
        <w:rPr>
          <w:rFonts w:cstheme="minorBidi"/>
        </w:rPr>
        <w:fldChar w:fldCharType="begin"/>
      </w:r>
      <w:r w:rsidR="00A8698B" w:rsidRPr="009819CE">
        <w:rPr>
          <w:rFonts w:cstheme="minorBidi"/>
        </w:rPr>
        <w:instrText xml:space="preserve"> ADDIN EN.CITE &lt;EndNote&gt;&lt;Cite&gt;&lt;Author&gt;Albalat&lt;/Author&gt;&lt;Year&gt;2017&lt;/Year&gt;&lt;RecNum&gt;886&lt;/RecNum&gt;&lt;DisplayText&gt;(Albalat et al., 2017)&lt;/DisplayText&gt;&lt;record&gt;&lt;rec-number&gt;886&lt;/rec-number&gt;&lt;foreign-keys&gt;&lt;key app="EN" db-id="sd9wrx9fj09rx3erprsx999o0r5aprvp2zse" timestamp="1687855901" guid="e9f2d16b-8a06-49c1-8e0a-71bfe52208ad"&gt;886&lt;/key&gt;&lt;/foreign-keys&gt;&lt;ref-type name="Journal Article"&gt;17&lt;/ref-type&gt;&lt;contributors&gt;&lt;authors&gt;&lt;author&gt;Albalat, Amaya&lt;/author&gt;&lt;author&gt;Sinclair, Simon&lt;/author&gt;&lt;author&gt;Neil, Douglas&lt;/author&gt;&lt;/authors&gt;&lt;/contributors&gt;&lt;titles&gt;&lt;title&gt;&lt;style face="normal" font="default" size="100%"&gt;Validation of a vigour index for trawl-caught Norway lobsters (&lt;/style&gt;&lt;style face="italic" font="default" size="100%"&gt;Nephrops norvegicus&lt;/style&gt;&lt;style face="normal" font="default" size="100%"&gt;) destined for the live market: underlying links to both physiological condition and survivability&lt;/style&gt;&lt;/title&gt;&lt;secondary-title&gt;Fisheries Research&lt;/secondary-title&gt;&lt;/titles&gt;&lt;periodical&gt;&lt;full-title&gt;Fisheries Research&lt;/full-title&gt;&lt;/periodical&gt;&lt;pages&gt;25-29&lt;/pages&gt;&lt;volume&gt;191&lt;/volume&gt;&lt;keywords&gt;&lt;keyword&gt;Live transport&lt;/keyword&gt;&lt;keyword&gt;Mortality&lt;/keyword&gt;&lt;keyword&gt;Nephrops norvegicus&lt;/keyword&gt;&lt;keyword&gt;Norway lobster&lt;/keyword&gt;&lt;keyword&gt;Physiology&lt;/keyword&gt;&lt;keyword&gt;Vigour&lt;/keyword&gt;&lt;/keywords&gt;&lt;dates&gt;&lt;year&gt;2017&lt;/year&gt;&lt;pub-dates&gt;&lt;date&gt;2017/7//&lt;/date&gt;&lt;/pub-dates&gt;&lt;/dates&gt;&lt;publisher&gt;Elsevier&lt;/publisher&gt;&lt;urls&gt;&lt;related-urls&gt;&lt;url&gt;https://www.sciencedirect.com/science/article/abs/pii/S016578361730053X?via%3Dihub&lt;/url&gt;&lt;/related-urls&gt;&lt;/urls&gt;&lt;electronic-resource-num&gt;10.1016/J.FISHRES.2017.02.016&lt;/electronic-resource-num&gt;&lt;/record&gt;&lt;/Cite&gt;&lt;/EndNote&gt;</w:instrText>
      </w:r>
      <w:r w:rsidRPr="009819CE">
        <w:rPr>
          <w:rFonts w:cstheme="minorBidi"/>
        </w:rPr>
        <w:fldChar w:fldCharType="separate"/>
      </w:r>
      <w:r w:rsidR="00A8698B" w:rsidRPr="009819CE">
        <w:rPr>
          <w:rFonts w:cstheme="minorBidi"/>
        </w:rPr>
        <w:t>(</w:t>
      </w:r>
      <w:hyperlink w:anchor="_ENREF_12" w:tooltip="Albalat, 2017 #886" w:history="1">
        <w:r w:rsidR="00950097" w:rsidRPr="009819CE">
          <w:rPr>
            <w:rFonts w:cstheme="minorBidi"/>
          </w:rPr>
          <w:t>Albalat et al., 2017</w:t>
        </w:r>
      </w:hyperlink>
      <w:r w:rsidR="00A8698B" w:rsidRPr="009819CE">
        <w:rPr>
          <w:rFonts w:cstheme="minorBidi"/>
        </w:rPr>
        <w:t>)</w:t>
      </w:r>
      <w:r w:rsidRPr="009819CE">
        <w:rPr>
          <w:rFonts w:cstheme="minorBidi"/>
        </w:rPr>
        <w:fldChar w:fldCharType="end"/>
      </w:r>
      <w:r w:rsidRPr="009819CE">
        <w:rPr>
          <w:rFonts w:cstheme="minorBidi"/>
        </w:rPr>
        <w:t xml:space="preserve">. CL (mm) was measured from the rim of the eye socket to the posterior mid-point of the carapace using a calliper. To assign size at onset </w:t>
      </w:r>
      <w:r w:rsidR="008F4B57" w:rsidRPr="00FA7D47">
        <w:rPr>
          <w:rFonts w:cstheme="minorBidi"/>
        </w:rPr>
        <w:t xml:space="preserve">of sexual </w:t>
      </w:r>
      <w:r w:rsidRPr="009819CE">
        <w:rPr>
          <w:rFonts w:cstheme="minorBidi"/>
        </w:rPr>
        <w:t xml:space="preserve">maturity </w:t>
      </w:r>
      <w:r w:rsidR="008F4B57" w:rsidRPr="00FA7D47">
        <w:rPr>
          <w:rFonts w:cstheme="minorBidi"/>
        </w:rPr>
        <w:t>(SOM)</w:t>
      </w:r>
      <w:r w:rsidRPr="009819CE">
        <w:rPr>
          <w:rFonts w:cstheme="minorBidi"/>
        </w:rPr>
        <w:t xml:space="preserve"> </w:t>
      </w:r>
      <w:r w:rsidRPr="009819CE">
        <w:rPr>
          <w:rFonts w:cstheme="minorBidi"/>
        </w:rPr>
        <w:fldChar w:fldCharType="begin">
          <w:fldData xml:space="preserve">PEVuZE5vdGU+PENpdGU+PEF1dGhvcj5UdWNrPC9BdXRob3I+PFllYXI+MjAwMDwvWWVhcj48UmVj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</w:fldData>
        </w:fldChar>
      </w:r>
      <w:r w:rsidR="00E11994" w:rsidRPr="009819CE">
        <w:rPr>
          <w:rFonts w:cstheme="minorBidi"/>
        </w:rPr>
        <w:instrText xml:space="preserve"> ADDIN EN.CITE </w:instrText>
      </w:r>
      <w:r w:rsidR="00E11994" w:rsidRPr="009819CE">
        <w:rPr>
          <w:rFonts w:cstheme="minorBidi"/>
        </w:rPr>
        <w:fldChar w:fldCharType="begin">
          <w:fldData xml:space="preserve">PEVuZE5vdGU+PENpdGU+PEF1dGhvcj5UdWNrPC9BdXRob3I+PFllYXI+MjAwMDwvWWVhcj48UmVj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</w:fldData>
        </w:fldChar>
      </w:r>
      <w:r w:rsidR="00E11994" w:rsidRPr="009819CE">
        <w:rPr>
          <w:rFonts w:cstheme="minorBidi"/>
        </w:rPr>
        <w:instrText xml:space="preserve"> ADDIN EN.CITE.DATA </w:instrText>
      </w:r>
      <w:r w:rsidR="00E11994" w:rsidRPr="009819CE">
        <w:rPr>
          <w:rFonts w:cstheme="minorBidi"/>
        </w:rPr>
      </w:r>
      <w:r w:rsidR="00E11994"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50" w:tooltip="Queirós, 2013 #859" w:history="1">
        <w:r w:rsidR="00950097" w:rsidRPr="007268F5">
          <w:rPr>
            <w:rFonts w:cstheme="minorBidi"/>
          </w:rPr>
          <w:t>Queirós et al., 2013</w:t>
        </w:r>
      </w:hyperlink>
      <w:r w:rsidR="00D50EFF" w:rsidRPr="007268F5">
        <w:rPr>
          <w:rFonts w:cstheme="minorBidi"/>
        </w:rPr>
        <w:t xml:space="preserve">; </w:t>
      </w:r>
      <w:hyperlink w:anchor="_ENREF_330" w:tooltip="Tuck, 2000 #860" w:history="1">
        <w:r w:rsidR="00950097" w:rsidRPr="007268F5">
          <w:rPr>
            <w:rFonts w:cstheme="minorBidi"/>
          </w:rPr>
          <w:t>Tuck et al., 2000</w:t>
        </w:r>
      </w:hyperlink>
      <w:r w:rsidR="00D50EFF" w:rsidRPr="007268F5">
        <w:rPr>
          <w:rFonts w:cstheme="minorBidi"/>
        </w:rPr>
        <w:t xml:space="preserve">; </w:t>
      </w:r>
      <w:hyperlink w:anchor="_ENREF_352" w:tooltip="Watts, 2016 #199" w:history="1">
        <w:r w:rsidR="00950097" w:rsidRPr="007268F5">
          <w:rPr>
            <w:rFonts w:cstheme="minorBidi"/>
          </w:rPr>
          <w:t>Watts et al., 2016</w:t>
        </w:r>
      </w:hyperlink>
      <w:r w:rsidR="00D50EFF" w:rsidRPr="007268F5">
        <w:rPr>
          <w:rFonts w:cstheme="minorBidi"/>
        </w:rPr>
        <w:t>)</w:t>
      </w:r>
      <w:r w:rsidRPr="009819CE">
        <w:rPr>
          <w:rFonts w:cstheme="minorBidi"/>
        </w:rPr>
        <w:fldChar w:fldCharType="end"/>
      </w:r>
      <w:r w:rsidRPr="009819CE">
        <w:rPr>
          <w:rFonts w:cstheme="minorBidi"/>
        </w:rPr>
        <w:t>, females with CLs &lt;26 mm were classified as immature and females with CLs ≥26 mm were classified as mature. Males with CLs &lt;29 mm were classified as immature, while males with CLs ≥29 mm were classified as mature. Carapace hardness (</w:t>
      </w:r>
      <w:r w:rsidR="00C967F0" w:rsidRPr="00FA7D47">
        <w:rPr>
          <w:rFonts w:cstheme="minorBidi"/>
        </w:rPr>
        <w:t>moult index</w:t>
      </w:r>
      <w:r w:rsidRPr="009819CE">
        <w:rPr>
          <w:rFonts w:cstheme="minorBidi"/>
        </w:rPr>
        <w:t xml:space="preserve"> “midx”) was estimated by squeezing the sides of the carapace just behind the head </w:t>
      </w:r>
      <w:r w:rsidRPr="009819CE">
        <w:rPr>
          <w:rFonts w:cstheme="minorBidi"/>
        </w:rPr>
        <w:fldChar w:fldCharType="begin"/>
      </w:r>
      <w:r w:rsidR="00D50EFF" w:rsidRPr="009819CE">
        <w:rPr>
          <w:rFonts w:cstheme="minorBidi"/>
        </w:rPr>
        <w:instrText xml:space="preserve"> ADDIN EN.CITE &lt;EndNote&gt;&lt;Cite&gt;&lt;Author&gt;Milligan&lt;/Author&gt;&lt;Year&gt;2009&lt;/Year&gt;&lt;RecNum&gt;336&lt;/RecNum&gt;&lt;DisplayText&gt;(Milligan et al., 2009)&lt;/DisplayText&gt;&lt;record&gt;&lt;rec-number&gt;336&lt;/rec-number&gt;&lt;foreign-keys&gt;&lt;key app="EN" db-id="sd9wrx9fj09rx3erprsx999o0r5aprvp2zse" timestamp="1687855901" guid="dbbf4a45-7f8d-4658-9be8-6f05d67a0d9d"&gt;336&lt;/key&gt;&lt;/foreign-keys&gt;&lt;ref-type name="Journal Article"&gt;17&lt;/ref-type&gt;&lt;contributors&gt;&lt;authors&gt;&lt;author&gt;Milligan, R. J.&lt;/author&gt;&lt;author&gt;Albalat, Amaya&lt;/author&gt;&lt;author&gt;Atkinson, Robert James A.&lt;/author&gt;&lt;author&gt;Neil, D. M.&lt;/author&gt;&lt;/authors&gt;&lt;/contributors&gt;&lt;titles&gt;&lt;title&gt;&lt;style face="normal" font="default" size="100%"&gt;The effects of trawling on the physical condition of the Norway lobster &lt;/style&gt;&lt;style face="italic" font="default" size="100%"&gt;Nephrops norvegicus&lt;/style&gt;&lt;style face="normal" font="default" size="100%"&gt; in relation to seasonal cycles in the Clyde Sea area&lt;/style&gt;&lt;/title&gt;&lt;secondary-title&gt;ICES Journal of Marine Science&lt;/secondary-title&gt;&lt;/titles&gt;&lt;periodical&gt;&lt;full-title&gt;ICES Journal of Marine Science&lt;/full-title&gt;&lt;/periodical&gt;&lt;pages&gt;488-494&lt;/pages&gt;&lt;volume&gt;66&lt;/volume&gt;&lt;number&gt;3&lt;/number&gt;&lt;keywords&gt;&lt;keyword&gt;Clyde&lt;/keyword&gt;&lt;keyword&gt;Damage&lt;/keyword&gt;&lt;keyword&gt;Injury&lt;/keyword&gt;&lt;keyword&gt;Management&lt;/keyword&gt;&lt;keyword&gt;Nephrops norvegicus&lt;/keyword&gt;&lt;keyword&gt;Trawling&lt;/keyword&gt;&lt;/keywords&gt;&lt;dates&gt;&lt;year&gt;2009&lt;/year&gt;&lt;pub-dates&gt;&lt;date&gt;2009/4//&lt;/date&gt;&lt;/pub-dates&gt;&lt;/dates&gt;&lt;urls&gt;&lt;related-urls&gt;&lt;url&gt;https://academic.oup.com/icesjms/article/66/3/488/816719&lt;/url&gt;&lt;/related-urls&gt;&lt;/urls&gt;&lt;electronic-resource-num&gt;10.1093/icesjms/fsp018&lt;/electronic-resource-num&gt;&lt;/record&gt;&lt;/Cite&gt;&lt;/EndNote&gt;</w:instrText>
      </w:r>
      <w:r w:rsidRPr="009819CE">
        <w:rPr>
          <w:rFonts w:cstheme="minorBidi"/>
        </w:rPr>
        <w:fldChar w:fldCharType="separate"/>
      </w:r>
      <w:r w:rsidR="00D50EFF" w:rsidRPr="009819CE">
        <w:rPr>
          <w:rFonts w:cstheme="minorBidi"/>
        </w:rPr>
        <w:t>(</w:t>
      </w:r>
      <w:hyperlink w:anchor="_ENREF_221" w:tooltip="Milligan, 2009 #336" w:history="1">
        <w:r w:rsidR="00950097" w:rsidRPr="009819CE">
          <w:rPr>
            <w:rFonts w:cstheme="minorBidi"/>
          </w:rPr>
          <w:t>Milligan et al., 2009</w:t>
        </w:r>
      </w:hyperlink>
      <w:r w:rsidR="00D50EFF" w:rsidRPr="009819CE">
        <w:rPr>
          <w:rFonts w:cstheme="minorBidi"/>
        </w:rPr>
        <w:t>)</w:t>
      </w:r>
      <w:r w:rsidRPr="009819CE">
        <w:rPr>
          <w:rFonts w:cstheme="minorBidi"/>
        </w:rPr>
        <w:fldChar w:fldCharType="end"/>
      </w:r>
      <w:r w:rsidRPr="009819CE">
        <w:rPr>
          <w:rFonts w:cstheme="minorBidi"/>
        </w:rPr>
        <w:t xml:space="preserve">. </w:t>
      </w:r>
    </w:p>
    <w:p w14:paraId="40435C02" w14:textId="77777777" w:rsidR="00F36ABA" w:rsidRPr="009819CE" w:rsidRDefault="00F36ABA" w:rsidP="00F36ABA">
      <w:pPr>
        <w:rPr>
          <w:rFonts w:cstheme="minorBidi"/>
        </w:rPr>
      </w:pPr>
    </w:p>
    <w:tbl>
      <w:tblPr>
        <w:tblStyle w:val="TableGrid"/>
        <w:tblpPr w:leftFromText="180" w:rightFromText="180" w:vertAnchor="text" w:horzAnchor="margin" w:tblpY="-30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3476CC34" w14:textId="77777777" w:rsidTr="007D6607">
        <w:tc>
          <w:tcPr>
            <w:tcW w:w="5000" w:type="pct"/>
          </w:tcPr>
          <w:p w14:paraId="732D85E6" w14:textId="77777777" w:rsidR="00F36ABA" w:rsidRPr="009819CE" w:rsidRDefault="00F36ABA" w:rsidP="007D6607">
            <w:pPr>
              <w:jc w:val="center"/>
              <w:rPr>
                <w:rFonts w:cstheme="minorBidi"/>
                <w:lang w:val="en-GB"/>
              </w:rPr>
            </w:pPr>
            <w:r w:rsidRPr="00FF34FE">
              <w:rPr>
                <w:rFonts w:cstheme="minorBidi"/>
                <w:noProof/>
              </w:rPr>
              <w:drawing>
                <wp:inline distT="0" distB="0" distL="0" distR="0" wp14:anchorId="3895D64B" wp14:editId="297B3498">
                  <wp:extent cx="5124481" cy="6488817"/>
                  <wp:effectExtent l="0" t="0" r="0" b="7620"/>
                  <wp:docPr id="52" name="Picture 52" descr="A map of the coast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map of the coast of the united states&#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76049" cy="6554115"/>
                          </a:xfrm>
                          <a:prstGeom prst="rect">
                            <a:avLst/>
                          </a:prstGeom>
                          <a:noFill/>
                          <a:ln>
                            <a:noFill/>
                          </a:ln>
                        </pic:spPr>
                      </pic:pic>
                    </a:graphicData>
                  </a:graphic>
                </wp:inline>
              </w:drawing>
            </w:r>
          </w:p>
        </w:tc>
      </w:tr>
      <w:tr w:rsidR="00F36ABA" w:rsidRPr="00FA7D47" w14:paraId="1CB74E0A" w14:textId="77777777" w:rsidTr="007D6607">
        <w:tc>
          <w:tcPr>
            <w:tcW w:w="5000" w:type="pct"/>
          </w:tcPr>
          <w:p w14:paraId="4C84C646" w14:textId="05BC9761" w:rsidR="00F36ABA" w:rsidRPr="009819CE" w:rsidRDefault="00F36ABA" w:rsidP="007D6607">
            <w:pPr>
              <w:spacing w:line="240" w:lineRule="auto"/>
              <w:rPr>
                <w:rFonts w:cstheme="minorBidi"/>
                <w:sz w:val="22"/>
                <w:szCs w:val="22"/>
                <w:lang w:val="en-GB"/>
              </w:rPr>
            </w:pPr>
            <w:bookmarkStart w:id="176" w:name="_Ref114486306"/>
            <w:bookmarkStart w:id="177" w:name="_Toc204106707"/>
            <w:r w:rsidRPr="009819CE">
              <w:rPr>
                <w:rFonts w:cstheme="minorBidi"/>
                <w:b/>
                <w:bCs/>
                <w:sz w:val="22"/>
                <w:szCs w:val="22"/>
                <w:lang w:val="en-GB"/>
              </w:rPr>
              <w:t xml:space="preserve">Figure </w:t>
            </w:r>
            <w:r w:rsidRPr="007268F5">
              <w:rPr>
                <w:rFonts w:cstheme="minorBidi"/>
                <w:b/>
                <w:bCs/>
              </w:rPr>
              <w:fldChar w:fldCharType="begin"/>
            </w:r>
            <w:r w:rsidRPr="009819CE">
              <w:rPr>
                <w:rFonts w:cstheme="minorBidi"/>
                <w:b/>
                <w:bCs/>
                <w:sz w:val="22"/>
                <w:szCs w:val="22"/>
                <w:lang w:val="en-GB"/>
              </w:rPr>
              <w:instrText xml:space="preserve"> STYLEREF 1 \s </w:instrText>
            </w:r>
            <w:r w:rsidRPr="007268F5">
              <w:rPr>
                <w:rFonts w:cstheme="minorBidi"/>
                <w:b/>
                <w:bCs/>
              </w:rPr>
              <w:fldChar w:fldCharType="separate"/>
            </w:r>
            <w:r w:rsidR="008549FC">
              <w:rPr>
                <w:rFonts w:cstheme="minorBidi"/>
                <w:b/>
                <w:bCs/>
                <w:noProof/>
                <w:sz w:val="22"/>
                <w:szCs w:val="22"/>
                <w:lang w:val="en-GB"/>
              </w:rPr>
              <w:t>2</w:t>
            </w:r>
            <w:r w:rsidRPr="007268F5">
              <w:rPr>
                <w:rFonts w:cstheme="minorBidi"/>
                <w:b/>
                <w:bCs/>
              </w:rPr>
              <w:fldChar w:fldCharType="end"/>
            </w:r>
            <w:r w:rsidRPr="009819CE">
              <w:rPr>
                <w:rFonts w:cstheme="minorBidi"/>
                <w:b/>
                <w:bCs/>
                <w:sz w:val="22"/>
                <w:szCs w:val="22"/>
                <w:lang w:val="en-GB"/>
              </w:rPr>
              <w:t>.</w:t>
            </w:r>
            <w:r w:rsidRPr="007268F5">
              <w:rPr>
                <w:rFonts w:cstheme="minorBidi"/>
                <w:b/>
                <w:bCs/>
              </w:rPr>
              <w:fldChar w:fldCharType="begin"/>
            </w:r>
            <w:r w:rsidRPr="009819CE">
              <w:rPr>
                <w:rFonts w:cstheme="minorBidi"/>
                <w:b/>
                <w:bCs/>
                <w:sz w:val="22"/>
                <w:szCs w:val="22"/>
                <w:lang w:val="en-GB"/>
              </w:rPr>
              <w:instrText xml:space="preserve"> SEQ Figure \* ARABIC \s 1 </w:instrText>
            </w:r>
            <w:r w:rsidRPr="007268F5">
              <w:rPr>
                <w:rFonts w:cstheme="minorBidi"/>
                <w:b/>
                <w:bCs/>
              </w:rPr>
              <w:fldChar w:fldCharType="separate"/>
            </w:r>
            <w:r w:rsidR="008549FC">
              <w:rPr>
                <w:rFonts w:cstheme="minorBidi"/>
                <w:b/>
                <w:bCs/>
                <w:noProof/>
                <w:sz w:val="22"/>
                <w:szCs w:val="22"/>
                <w:lang w:val="en-GB"/>
              </w:rPr>
              <w:t>1</w:t>
            </w:r>
            <w:r w:rsidRPr="007268F5">
              <w:rPr>
                <w:rFonts w:cstheme="minorBidi"/>
                <w:b/>
                <w:bCs/>
              </w:rPr>
              <w:fldChar w:fldCharType="end"/>
            </w:r>
            <w:bookmarkEnd w:id="176"/>
            <w:r w:rsidRPr="009819CE">
              <w:rPr>
                <w:rFonts w:cstheme="minorBidi"/>
                <w:sz w:val="22"/>
                <w:szCs w:val="22"/>
                <w:lang w:val="en-GB"/>
              </w:rPr>
              <w:t xml:space="preserve"> Map of the Clyde Sea Area (CSA) indicating the sampling transects conducted during November 2018- October 2019.</w:t>
            </w:r>
            <w:r w:rsidR="00925661" w:rsidRPr="00FA7D47">
              <w:rPr>
                <w:rFonts w:cstheme="minorBidi"/>
                <w:sz w:val="22"/>
                <w:szCs w:val="22"/>
                <w:lang w:val="en-GB"/>
              </w:rPr>
              <w:t xml:space="preserve"> Asteris</w:t>
            </w:r>
            <w:r w:rsidR="009317B0">
              <w:rPr>
                <w:rFonts w:cstheme="minorBidi"/>
                <w:sz w:val="22"/>
                <w:szCs w:val="22"/>
                <w:lang w:val="en-GB"/>
              </w:rPr>
              <w:t>k</w:t>
            </w:r>
            <w:r w:rsidR="00925661" w:rsidRPr="00FA7D47">
              <w:rPr>
                <w:rFonts w:cstheme="minorBidi"/>
                <w:sz w:val="22"/>
                <w:szCs w:val="22"/>
                <w:lang w:val="en-GB"/>
              </w:rPr>
              <w:t xml:space="preserve"> (</w:t>
            </w:r>
            <w:r w:rsidR="00AE05AB" w:rsidRPr="00FA7D47">
              <w:rPr>
                <w:rFonts w:cstheme="minorBidi"/>
                <w:sz w:val="22"/>
                <w:szCs w:val="22"/>
                <w:lang w:val="en-GB"/>
              </w:rPr>
              <w:t>*</w:t>
            </w:r>
            <w:r w:rsidR="00925661" w:rsidRPr="00FA7D47">
              <w:rPr>
                <w:rFonts w:cstheme="minorBidi"/>
                <w:sz w:val="22"/>
                <w:szCs w:val="22"/>
                <w:lang w:val="en-GB"/>
              </w:rPr>
              <w:t>)</w:t>
            </w:r>
            <w:r w:rsidR="00AE05AB" w:rsidRPr="00FA7D47">
              <w:rPr>
                <w:rFonts w:cstheme="minorBidi"/>
                <w:sz w:val="22"/>
                <w:szCs w:val="22"/>
                <w:lang w:val="en-GB"/>
              </w:rPr>
              <w:t xml:space="preserve"> </w:t>
            </w:r>
            <w:r w:rsidR="00701589" w:rsidRPr="00FA7D47">
              <w:rPr>
                <w:rFonts w:cstheme="minorBidi"/>
                <w:sz w:val="22"/>
                <w:szCs w:val="22"/>
                <w:lang w:val="en-GB"/>
              </w:rPr>
              <w:t>indicates a second sampling conducted that same date.</w:t>
            </w:r>
            <w:bookmarkEnd w:id="177"/>
          </w:p>
        </w:tc>
      </w:tr>
    </w:tbl>
    <w:p w14:paraId="67B1D110" w14:textId="77777777" w:rsidR="0074089F" w:rsidRPr="009819CE" w:rsidRDefault="0074089F" w:rsidP="0074089F">
      <w:pPr>
        <w:rPr>
          <w:rFonts w:cstheme="minorBidi"/>
        </w:rPr>
        <w:sectPr w:rsidR="0074089F" w:rsidRPr="009819CE" w:rsidSect="003A7A28">
          <w:headerReference w:type="default" r:id="rId50"/>
          <w:footerReference w:type="default" r:id="rId51"/>
          <w:pgSz w:w="11906" w:h="16838" w:code="9"/>
          <w:pgMar w:top="1440" w:right="1440" w:bottom="1440" w:left="1440" w:header="709" w:footer="709" w:gutter="0"/>
          <w:cols w:space="518"/>
          <w:docGrid w:linePitch="360"/>
        </w:sectPr>
      </w:pPr>
    </w:p>
    <w:p w14:paraId="1D874642" w14:textId="5FE75B63" w:rsidR="00F36ABA" w:rsidRPr="009819CE" w:rsidRDefault="00F36ABA" w:rsidP="009A5465">
      <w:pPr>
        <w:pStyle w:val="Heading3"/>
        <w:rPr>
          <w:rFonts w:cstheme="minorBidi"/>
        </w:rPr>
      </w:pPr>
      <w:bookmarkStart w:id="178" w:name="_Toc204106616"/>
      <w:r w:rsidRPr="009819CE">
        <w:rPr>
          <w:rFonts w:cstheme="minorBidi"/>
        </w:rPr>
        <w:t>Body colour method (BCM) examination</w:t>
      </w:r>
      <w:bookmarkEnd w:id="178"/>
    </w:p>
    <w:p w14:paraId="699F25AB" w14:textId="7B2A3B84" w:rsidR="00F36ABA" w:rsidRPr="009819CE" w:rsidRDefault="00C31E47" w:rsidP="00F36ABA">
      <w:pPr>
        <w:rPr>
          <w:rFonts w:cstheme="minorBidi"/>
        </w:rPr>
      </w:pPr>
      <w:r w:rsidRPr="009819CE">
        <w:rPr>
          <w:rFonts w:cstheme="minorBidi"/>
          <w:i/>
        </w:rPr>
        <w:t>Nephrops</w:t>
      </w:r>
      <w:r w:rsidR="00F36ABA" w:rsidRPr="009819CE">
        <w:rPr>
          <w:rFonts w:cstheme="minorBidi"/>
        </w:rPr>
        <w:t xml:space="preserve"> that are heavily infected with </w:t>
      </w:r>
      <w:r w:rsidR="009D03F4" w:rsidRPr="009819CE">
        <w:rPr>
          <w:rFonts w:cstheme="minorBidi"/>
          <w:i/>
        </w:rPr>
        <w:t>Hematodinium</w:t>
      </w:r>
      <w:r w:rsidR="00F36ABA" w:rsidRPr="009819CE">
        <w:rPr>
          <w:rFonts w:cstheme="minorBidi"/>
        </w:rPr>
        <w:t xml:space="preserve"> sp. can be rapidly assessed in the field by a trained observer capable of recognising apparent changes in the animal's appearance (</w:t>
      </w:r>
      <w:r w:rsidR="00F36ABA" w:rsidRPr="009819CE">
        <w:rPr>
          <w:rFonts w:cstheme="minorBidi"/>
        </w:rPr>
        <w:fldChar w:fldCharType="begin"/>
      </w:r>
      <w:r w:rsidR="00F36ABA" w:rsidRPr="009819CE">
        <w:rPr>
          <w:rFonts w:cstheme="minorBidi"/>
        </w:rPr>
        <w:instrText xml:space="preserve"> REF _Ref110710102 \h  \* MERGEFORMAT </w:instrText>
      </w:r>
      <w:r w:rsidR="00F36ABA" w:rsidRPr="009819CE">
        <w:rPr>
          <w:rFonts w:cstheme="minorBidi"/>
        </w:rPr>
      </w:r>
      <w:r w:rsidR="00F36ABA" w:rsidRPr="009819CE">
        <w:rPr>
          <w:rFonts w:cstheme="minorBidi"/>
        </w:rPr>
        <w:fldChar w:fldCharType="separate"/>
      </w:r>
      <w:r w:rsidR="008549FC" w:rsidRPr="008549FC">
        <w:rPr>
          <w:rFonts w:cstheme="minorBidi"/>
          <w:b/>
          <w:bCs/>
        </w:rPr>
        <w:t>Figure 2.2</w:t>
      </w:r>
      <w:r w:rsidR="00F36ABA" w:rsidRPr="009819CE">
        <w:rPr>
          <w:rFonts w:cstheme="minorBidi"/>
        </w:rPr>
        <w:fldChar w:fldCharType="end"/>
      </w:r>
      <w:r w:rsidR="00F36ABA" w:rsidRPr="009819CE">
        <w:rPr>
          <w:rFonts w:cstheme="minorBidi"/>
        </w:rPr>
        <w:t xml:space="preserve">). In general, this consists of an abnormally yellow/orange body colouration, a discolouration/pigment loss within extremities, opacity of the musculature between the limb joints and a milky-white appearance of the haemolymph </w:t>
      </w:r>
      <w:r w:rsidR="00F36ABA" w:rsidRPr="009819CE">
        <w:rPr>
          <w:rFonts w:cstheme="minorBidi"/>
        </w:rPr>
        <w:fldChar w:fldCharType="begin"/>
      </w:r>
      <w:r w:rsidR="00ED1A9E" w:rsidRPr="009819CE">
        <w:rPr>
          <w:rFonts w:cstheme="minorBidi"/>
        </w:rPr>
        <w:instrText xml:space="preserve"> ADDIN EN.CITE &lt;EndNote&gt;&lt;Cite&gt;&lt;Author&gt;Field&lt;/Author&gt;&lt;Year&gt;1992&lt;/Year&gt;&lt;RecNum&gt;481&lt;/RecNum&gt;&lt;DisplayText&gt;(Field,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00F36ABA" w:rsidRPr="009819CE">
        <w:rPr>
          <w:rFonts w:cstheme="minorBidi"/>
        </w:rPr>
        <w:fldChar w:fldCharType="separate"/>
      </w:r>
      <w:r w:rsidR="00D50EFF" w:rsidRPr="007268F5">
        <w:rPr>
          <w:rFonts w:cstheme="minorBidi"/>
        </w:rPr>
        <w:t>(</w:t>
      </w:r>
      <w:hyperlink w:anchor="_ENREF_91" w:tooltip="Field, 1992 #481" w:history="1">
        <w:r w:rsidR="00950097" w:rsidRPr="007268F5">
          <w:rPr>
            <w:rFonts w:cstheme="minorBidi"/>
          </w:rPr>
          <w:t>Field, 1992</w:t>
        </w:r>
      </w:hyperlink>
      <w:r w:rsidR="00D50EFF" w:rsidRPr="007268F5">
        <w:rPr>
          <w:rFonts w:cstheme="minorBidi"/>
        </w:rPr>
        <w:t>)</w:t>
      </w:r>
      <w:r w:rsidR="00F36ABA" w:rsidRPr="009819CE">
        <w:rPr>
          <w:rFonts w:cstheme="minorBidi"/>
        </w:rPr>
        <w:fldChar w:fldCharType="end"/>
      </w:r>
      <w:r w:rsidR="005C17F4" w:rsidRPr="009819CE">
        <w:rPr>
          <w:rFonts w:cstheme="minorBid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3A8855F0" w14:textId="77777777" w:rsidTr="007D6607">
        <w:tc>
          <w:tcPr>
            <w:tcW w:w="9350" w:type="dxa"/>
          </w:tcPr>
          <w:p w14:paraId="19750D34" w14:textId="77777777" w:rsidR="00F36ABA" w:rsidRPr="009819CE" w:rsidRDefault="00F36ABA" w:rsidP="007D6607">
            <w:pPr>
              <w:jc w:val="center"/>
              <w:rPr>
                <w:rFonts w:cstheme="minorBidi"/>
                <w:b/>
                <w:lang w:val="en-GB"/>
              </w:rPr>
            </w:pPr>
            <w:r w:rsidRPr="00FF34FE">
              <w:rPr>
                <w:rFonts w:cstheme="minorBidi"/>
                <w:noProof/>
              </w:rPr>
              <w:drawing>
                <wp:inline distT="0" distB="0" distL="0" distR="0" wp14:anchorId="3CDD7EAA" wp14:editId="18511926">
                  <wp:extent cx="5044965" cy="3458711"/>
                  <wp:effectExtent l="0" t="0" r="3810" b="8890"/>
                  <wp:docPr id="5" name="Picture 5" descr="A group of lobs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bsters&#10;&#10;Description automatically generated with medium confidence"/>
                          <pic:cNvPicPr/>
                        </pic:nvPicPr>
                        <pic:blipFill>
                          <a:blip r:embed="rId52">
                            <a:extLst>
                              <a:ext uri="{BEBA8EAE-BF5A-486C-A8C5-ECC9F3942E4B}">
                                <a14:imgProps xmlns:a14="http://schemas.microsoft.com/office/drawing/2010/main">
                                  <a14:imgLayer r:embed="rId53">
                                    <a14:imgEffect>
                                      <a14:saturation sat="112000"/>
                                    </a14:imgEffect>
                                  </a14:imgLayer>
                                </a14:imgProps>
                              </a:ext>
                            </a:extLst>
                          </a:blip>
                          <a:stretch>
                            <a:fillRect/>
                          </a:stretch>
                        </pic:blipFill>
                        <pic:spPr>
                          <a:xfrm>
                            <a:off x="0" y="0"/>
                            <a:ext cx="5082300" cy="3484307"/>
                          </a:xfrm>
                          <a:prstGeom prst="rect">
                            <a:avLst/>
                          </a:prstGeom>
                        </pic:spPr>
                      </pic:pic>
                    </a:graphicData>
                  </a:graphic>
                </wp:inline>
              </w:drawing>
            </w:r>
          </w:p>
        </w:tc>
      </w:tr>
      <w:tr w:rsidR="00F36ABA" w:rsidRPr="00FA7D47" w14:paraId="41032F12" w14:textId="77777777" w:rsidTr="007D6607">
        <w:tc>
          <w:tcPr>
            <w:tcW w:w="9350" w:type="dxa"/>
          </w:tcPr>
          <w:p w14:paraId="1B55AE0F" w14:textId="64B884CA" w:rsidR="00F36ABA" w:rsidRPr="009819CE" w:rsidRDefault="00F36ABA" w:rsidP="007D6607">
            <w:pPr>
              <w:spacing w:line="240" w:lineRule="auto"/>
              <w:rPr>
                <w:rFonts w:cstheme="minorBidi"/>
                <w:b/>
                <w:sz w:val="22"/>
                <w:szCs w:val="22"/>
                <w:lang w:val="en-GB"/>
              </w:rPr>
            </w:pPr>
            <w:bookmarkStart w:id="179" w:name="_Ref110710102"/>
            <w:r w:rsidRPr="009819CE">
              <w:rPr>
                <w:rFonts w:cstheme="minorBidi"/>
                <w:b/>
                <w:bCs/>
                <w:sz w:val="22"/>
                <w:szCs w:val="22"/>
                <w:lang w:val="en-GB"/>
              </w:rPr>
              <w:t>Figure 2.</w:t>
            </w:r>
            <w:r w:rsidRPr="007268F5">
              <w:rPr>
                <w:rFonts w:cstheme="minorBidi"/>
                <w:b/>
                <w:bCs/>
                <w:sz w:val="22"/>
                <w:szCs w:val="22"/>
              </w:rPr>
              <w:fldChar w:fldCharType="begin"/>
            </w:r>
            <w:r w:rsidRPr="009819CE">
              <w:rPr>
                <w:rFonts w:cstheme="minorBidi"/>
                <w:b/>
                <w:bCs/>
                <w:sz w:val="22"/>
                <w:szCs w:val="22"/>
                <w:lang w:val="en-GB"/>
              </w:rPr>
              <w:instrText xml:space="preserve"> STYLEREF 1 \s </w:instrText>
            </w:r>
            <w:r w:rsidRPr="007268F5">
              <w:rPr>
                <w:rFonts w:cstheme="minorBidi"/>
                <w:b/>
                <w:bCs/>
                <w:sz w:val="22"/>
                <w:szCs w:val="22"/>
              </w:rPr>
              <w:fldChar w:fldCharType="separate"/>
            </w:r>
            <w:r w:rsidR="008549FC">
              <w:rPr>
                <w:rFonts w:cstheme="minorBidi"/>
                <w:b/>
                <w:bCs/>
                <w:noProof/>
                <w:sz w:val="22"/>
                <w:szCs w:val="22"/>
                <w:lang w:val="en-GB"/>
              </w:rPr>
              <w:t>2</w:t>
            </w:r>
            <w:r w:rsidRPr="007268F5">
              <w:rPr>
                <w:rFonts w:cstheme="minorBidi"/>
                <w:b/>
                <w:bCs/>
                <w:sz w:val="22"/>
                <w:szCs w:val="22"/>
              </w:rPr>
              <w:fldChar w:fldCharType="end"/>
            </w:r>
            <w:bookmarkEnd w:id="179"/>
            <w:r w:rsidRPr="009819CE">
              <w:rPr>
                <w:rFonts w:cstheme="minorBidi"/>
                <w:i/>
                <w:iCs/>
                <w:sz w:val="22"/>
                <w:szCs w:val="22"/>
                <w:lang w:val="en-GB"/>
              </w:rPr>
              <w:t xml:space="preserve"> </w:t>
            </w:r>
            <w:r w:rsidR="009D03F4" w:rsidRPr="009819CE">
              <w:rPr>
                <w:rFonts w:cstheme="minorBidi"/>
                <w:i/>
                <w:iCs/>
                <w:sz w:val="22"/>
                <w:szCs w:val="22"/>
                <w:lang w:val="en-GB"/>
              </w:rPr>
              <w:t>Hematodinium</w:t>
            </w:r>
            <w:r w:rsidRPr="009819CE">
              <w:rPr>
                <w:rFonts w:cstheme="minorBidi"/>
                <w:sz w:val="22"/>
                <w:szCs w:val="22"/>
                <w:lang w:val="en-GB"/>
              </w:rPr>
              <w:t xml:space="preserve"> infected and non-infected </w:t>
            </w:r>
            <w:r w:rsidR="00C31E47" w:rsidRPr="009819CE">
              <w:rPr>
                <w:rFonts w:cstheme="minorBidi"/>
                <w:i/>
                <w:iCs/>
                <w:sz w:val="22"/>
                <w:szCs w:val="22"/>
                <w:lang w:val="en-GB"/>
              </w:rPr>
              <w:t>Nephrops</w:t>
            </w:r>
            <w:r w:rsidRPr="009819CE">
              <w:rPr>
                <w:rFonts w:cstheme="minorBidi"/>
                <w:sz w:val="22"/>
                <w:szCs w:val="22"/>
                <w:lang w:val="en-GB"/>
              </w:rPr>
              <w:t xml:space="preserve"> based on body colour method (BCM) </w:t>
            </w:r>
            <w:r w:rsidR="00F37F18" w:rsidRPr="007268F5">
              <w:rPr>
                <w:rFonts w:cstheme="minorBidi"/>
                <w:sz w:val="22"/>
                <w:szCs w:val="22"/>
              </w:rPr>
              <w:fldChar w:fldCharType="begin"/>
            </w:r>
            <w:r w:rsidR="00ED1A9E" w:rsidRPr="009819CE">
              <w:rPr>
                <w:rFonts w:cstheme="minorBidi"/>
                <w:sz w:val="22"/>
                <w:szCs w:val="22"/>
              </w:rPr>
              <w:instrText xml:space="preserve"> ADDIN EN.CITE &lt;EndNote&gt;&lt;Cite&gt;&lt;Author&gt;Field&lt;/Author&gt;&lt;Year&gt;1992&lt;/Year&gt;&lt;RecNum&gt;481&lt;/RecNum&gt;&lt;DisplayText&gt;(Field,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00F37F18" w:rsidRPr="007268F5">
              <w:rPr>
                <w:rFonts w:cstheme="minorBidi"/>
                <w:sz w:val="22"/>
                <w:szCs w:val="22"/>
              </w:rPr>
              <w:fldChar w:fldCharType="separate"/>
            </w:r>
            <w:r w:rsidR="00F37F18" w:rsidRPr="007268F5">
              <w:rPr>
                <w:rFonts w:cstheme="minorBidi"/>
                <w:sz w:val="22"/>
                <w:szCs w:val="22"/>
              </w:rPr>
              <w:t>(</w:t>
            </w:r>
            <w:hyperlink w:anchor="_ENREF_91" w:tooltip="Field, 1992 #481" w:history="1">
              <w:r w:rsidR="00950097" w:rsidRPr="007268F5">
                <w:rPr>
                  <w:rFonts w:cstheme="minorBidi"/>
                  <w:sz w:val="22"/>
                  <w:szCs w:val="22"/>
                </w:rPr>
                <w:t>Field, 1992</w:t>
              </w:r>
            </w:hyperlink>
            <w:r w:rsidR="00F37F18" w:rsidRPr="007268F5">
              <w:rPr>
                <w:rFonts w:cstheme="minorBidi"/>
                <w:sz w:val="22"/>
                <w:szCs w:val="22"/>
              </w:rPr>
              <w:t>)</w:t>
            </w:r>
            <w:r w:rsidR="00F37F18" w:rsidRPr="007268F5">
              <w:rPr>
                <w:rFonts w:cstheme="minorBidi"/>
                <w:sz w:val="22"/>
                <w:szCs w:val="22"/>
              </w:rPr>
              <w:fldChar w:fldCharType="end"/>
            </w:r>
            <w:r w:rsidR="00F37F18" w:rsidRPr="009819CE">
              <w:rPr>
                <w:rFonts w:cstheme="minorBidi"/>
                <w:sz w:val="22"/>
                <w:szCs w:val="22"/>
                <w:lang w:val="en-GB"/>
              </w:rPr>
              <w:t xml:space="preserve">. </w:t>
            </w:r>
            <w:r w:rsidRPr="009819CE">
              <w:rPr>
                <w:rFonts w:cstheme="minorBidi"/>
                <w:sz w:val="22"/>
                <w:szCs w:val="22"/>
                <w:lang w:val="en-GB"/>
              </w:rPr>
              <w:t xml:space="preserve">Infected individuals possess an abnormal orange colouration compared to </w:t>
            </w:r>
            <w:r w:rsidR="00D94DC1" w:rsidRPr="00FA7D47">
              <w:rPr>
                <w:rFonts w:cstheme="minorBidi"/>
                <w:sz w:val="22"/>
                <w:szCs w:val="22"/>
                <w:lang w:val="en-GB"/>
              </w:rPr>
              <w:t>“healthy”</w:t>
            </w:r>
            <w:r w:rsidRPr="009819CE">
              <w:rPr>
                <w:rFonts w:cstheme="minorBidi"/>
                <w:sz w:val="22"/>
                <w:szCs w:val="22"/>
                <w:lang w:val="en-GB"/>
              </w:rPr>
              <w:t xml:space="preserve"> non-infected individuals which have a more natural pale-orange colouration. </w:t>
            </w:r>
            <w:r w:rsidR="00B74E88" w:rsidRPr="00FA7D47">
              <w:rPr>
                <w:rFonts w:cstheme="minorBidi"/>
                <w:sz w:val="22"/>
                <w:szCs w:val="22"/>
                <w:lang w:val="en-GB"/>
              </w:rPr>
              <w:t>Source: I, Martin.</w:t>
            </w:r>
          </w:p>
        </w:tc>
      </w:tr>
    </w:tbl>
    <w:p w14:paraId="32E792FE" w14:textId="24A5224B" w:rsidR="00F36ABA" w:rsidRPr="009819CE" w:rsidRDefault="00F36ABA" w:rsidP="00F36ABA">
      <w:pPr>
        <w:rPr>
          <w:rFonts w:cstheme="minorBidi"/>
        </w:rPr>
      </w:pPr>
      <w:r w:rsidRPr="009819CE">
        <w:rPr>
          <w:rFonts w:cstheme="minorBidi"/>
        </w:rPr>
        <w:t>Animals were directly placed in individual codified plastic bags and were kept and transported on ice to the University of Stirling.</w:t>
      </w:r>
    </w:p>
    <w:p w14:paraId="78FEE0DA" w14:textId="77777777" w:rsidR="00F36ABA" w:rsidRPr="009819CE" w:rsidRDefault="00F36ABA" w:rsidP="009A5465">
      <w:pPr>
        <w:pStyle w:val="Heading3"/>
        <w:rPr>
          <w:rFonts w:cstheme="minorBidi"/>
          <w:iCs/>
        </w:rPr>
      </w:pPr>
      <w:bookmarkStart w:id="180" w:name="_Ref157965743"/>
      <w:bookmarkStart w:id="181" w:name="_Toc204106617"/>
      <w:r w:rsidRPr="009819CE">
        <w:rPr>
          <w:rFonts w:cstheme="minorBidi"/>
        </w:rPr>
        <w:t>Pleopod method (PM) examination</w:t>
      </w:r>
      <w:bookmarkEnd w:id="180"/>
      <w:bookmarkEnd w:id="181"/>
    </w:p>
    <w:p w14:paraId="65050F71" w14:textId="08BE9480" w:rsidR="00F36ABA" w:rsidRPr="009819CE" w:rsidRDefault="00F36ABA" w:rsidP="00F36ABA">
      <w:pPr>
        <w:rPr>
          <w:rFonts w:cstheme="minorBidi"/>
        </w:rPr>
      </w:pPr>
      <w:r w:rsidRPr="009819CE">
        <w:rPr>
          <w:rFonts w:cstheme="minorBidi"/>
        </w:rPr>
        <w:t xml:space="preserve"> On arrival at the University of Stirling, a pleopod sample from each animal was taken for microscope examination. To this end, the second pair of pleopods (both left and right) were cut and frozen at -20°C to prevent bacterial colonisation. Samples were processed within 72 h, but longer storage periods (months) have been shown not to alter the quality of the samples </w:t>
      </w:r>
      <w:sdt>
        <w:sdtPr>
          <w:rPr>
            <w:rFonts w:cstheme="minorBidi"/>
            <w:color w:val="000000"/>
          </w:rPr>
          <w:tag w:val="MENDELEY_CITATION_v3_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"/>
          <w:id w:val="1480571044"/>
          <w:placeholder>
            <w:docPart w:val="755D6C1DEA034087AFF45BDE21332C14"/>
          </w:placeholder>
        </w:sdtPr>
        <w:sdtEndPr/>
        <w:sdtContent>
          <w:r w:rsidRPr="009819CE">
            <w:rPr>
              <w:rFonts w:cstheme="minorBidi"/>
              <w:color w:val="000000"/>
            </w:rPr>
            <w:t>(White and Rochette 2019)</w:t>
          </w:r>
        </w:sdtContent>
      </w:sdt>
      <w:r w:rsidRPr="009819CE">
        <w:rPr>
          <w:rFonts w:cstheme="minorBidi"/>
        </w:rPr>
        <w:t xml:space="preserve">. Pleopods were placed on slides with 0.4 µl of </w:t>
      </w:r>
      <w:r w:rsidR="00C31E47" w:rsidRPr="009819CE">
        <w:rPr>
          <w:rFonts w:cstheme="minorBidi"/>
          <w:i/>
        </w:rPr>
        <w:t>Nephrops</w:t>
      </w:r>
      <w:r w:rsidRPr="009819CE">
        <w:rPr>
          <w:rFonts w:cstheme="minorBidi"/>
        </w:rPr>
        <w:t xml:space="preserve"> saline: NaCl, 27.99 g/L; KCl, 0.95 g/L; CaCl</w:t>
      </w:r>
      <w:r w:rsidRPr="009819CE">
        <w:rPr>
          <w:rFonts w:cstheme="minorBidi"/>
          <w:vertAlign w:val="subscript"/>
        </w:rPr>
        <w:t>2</w:t>
      </w:r>
      <w:r w:rsidRPr="009819CE">
        <w:rPr>
          <w:rFonts w:cstheme="minorBidi"/>
        </w:rPr>
        <w:t xml:space="preserve"> 2.014 g/L; MgSO</w:t>
      </w:r>
      <w:r w:rsidRPr="009819CE">
        <w:rPr>
          <w:rFonts w:cstheme="minorBidi"/>
          <w:vertAlign w:val="subscript"/>
        </w:rPr>
        <w:t>4</w:t>
      </w:r>
      <w:r w:rsidRPr="009819CE">
        <w:rPr>
          <w:rFonts w:cstheme="minorBidi"/>
        </w:rPr>
        <w:t>, 2.465 g/L; Na</w:t>
      </w:r>
      <w:r w:rsidRPr="009819CE">
        <w:rPr>
          <w:rFonts w:cstheme="minorBidi"/>
          <w:vertAlign w:val="subscript"/>
        </w:rPr>
        <w:t>2</w:t>
      </w:r>
      <w:r w:rsidRPr="009819CE">
        <w:rPr>
          <w:rFonts w:cstheme="minorBidi"/>
        </w:rPr>
        <w:t>SO</w:t>
      </w:r>
      <w:r w:rsidRPr="009819CE">
        <w:rPr>
          <w:rFonts w:cstheme="minorBidi"/>
          <w:vertAlign w:val="subscript"/>
        </w:rPr>
        <w:t>4</w:t>
      </w:r>
      <w:r w:rsidRPr="009819CE">
        <w:rPr>
          <w:rFonts w:cstheme="minorBidi"/>
        </w:rPr>
        <w:t xml:space="preserve">, 0.554 g/L; HEPES, 1.92 g/L, pH 7.8)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 xml:space="preserve"> and photographed using an Olympus camera mounted on a light microscope. </w:t>
      </w:r>
    </w:p>
    <w:p w14:paraId="0E2E52D2" w14:textId="48FB43D0" w:rsidR="00F36ABA" w:rsidRPr="009819CE" w:rsidRDefault="00272268" w:rsidP="00F36ABA">
      <w:pPr>
        <w:rPr>
          <w:rFonts w:cstheme="minorBidi"/>
        </w:rPr>
      </w:pPr>
      <w:r w:rsidRPr="00FA7D47">
        <w:rPr>
          <w:rFonts w:cstheme="minorBidi"/>
        </w:rPr>
        <w:t>Moult</w:t>
      </w:r>
      <w:r w:rsidR="00F36ABA" w:rsidRPr="009819CE">
        <w:rPr>
          <w:rFonts w:cstheme="minorBidi"/>
        </w:rPr>
        <w:t xml:space="preserve"> stage (ms) was evaluated by examination of pleopod morphology from the microscopic images for each individual animal, following the categorisation by </w:t>
      </w:r>
      <w:sdt>
        <w:sdtPr>
          <w:rPr>
            <w:rFonts w:cstheme="minorBidi"/>
            <w:color w:val="000000"/>
          </w:rPr>
          <w:tag w:val="MENDELEY_CITATION_v3_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"/>
          <w:id w:val="-1087459385"/>
          <w:placeholder>
            <w:docPart w:val="788FFD5128954FDFA16BAD61D1E618D6"/>
          </w:placeholder>
        </w:sdtPr>
        <w:sdtEndPr/>
        <w:sdtContent>
          <w:r w:rsidR="00F36ABA" w:rsidRPr="009819CE">
            <w:rPr>
              <w:rFonts w:cstheme="minorBidi"/>
              <w:color w:val="000000"/>
            </w:rPr>
            <w:t>Philp and Marteinsdottír (2013)</w:t>
          </w:r>
        </w:sdtContent>
      </w:sdt>
      <w:r w:rsidR="00F36ABA" w:rsidRPr="009819CE">
        <w:rPr>
          <w:rFonts w:cstheme="minorBidi"/>
        </w:rPr>
        <w:t xml:space="preserve">. In this case, animals were classified as early post-moult (A+B), intermoult (C) or pre-moult (D). </w:t>
      </w:r>
    </w:p>
    <w:p w14:paraId="222C03EE" w14:textId="5E8406C9" w:rsidR="00F36ABA" w:rsidRPr="009819CE" w:rsidRDefault="00F36ABA" w:rsidP="00F36ABA">
      <w:pPr>
        <w:rPr>
          <w:rFonts w:cstheme="minorBidi"/>
        </w:rPr>
      </w:pPr>
      <w:r w:rsidRPr="009819CE">
        <w:rPr>
          <w:rFonts w:cstheme="minorBidi"/>
        </w:rPr>
        <w:t xml:space="preserve">Photographs were also examined for parasite aggregation using the so-called ‘pleopod method’ (PM) described by </w:t>
      </w:r>
      <w:hyperlink w:anchor="_ENREF_95" w:tooltip="Field, 1992 #448" w:history="1">
        <w:r w:rsidR="00950097" w:rsidRPr="009819CE">
          <w:rPr>
            <w:rFonts w:cstheme="minorBidi"/>
          </w:rPr>
          <w:fldChar w:fldCharType="begin"/>
        </w:r>
        <w:r w:rsidR="00950097" w:rsidRPr="009819CE">
          <w:rPr>
            <w:rFonts w:cstheme="minorBidi"/>
          </w:rPr>
          <w:instrText xml:space="preserve"> ADDIN EN.CITE &lt;EndNote&gt;&lt;Cite AuthorYear="1"&gt;&lt;Author&gt;Field&lt;/Author&gt;&lt;Year&gt;1992&lt;/Year&gt;&lt;RecNum&gt;448&lt;/RecNum&gt;&lt;DisplayText&gt;Field et al. (1992)&lt;/DisplayText&gt;&lt;record&gt;&lt;rec-number&gt;448&lt;/rec-number&gt;&lt;foreign-keys&gt;&lt;key app="EN" db-id="sd9wrx9fj09rx3erprsx999o0r5aprvp2zse" timestamp="1687855901" guid="b78ef845-3f27-43af-9d07-d8676723e1bf"&gt;448&lt;/key&gt;&lt;/foreign-keys&gt;&lt;ref-type name="Journal Article"&gt;17&lt;/ref-type&gt;&lt;contributors&gt;&lt;authors&gt;&lt;author&gt;Field, Robert Henry&lt;/author&gt;&lt;author&gt;Chapman, C. J.&lt;/author&gt;&lt;author&gt;Taylor, A. C.&lt;/author&gt;&lt;author&gt;Neil, Douglas M.&lt;/author&gt;&lt;author&gt;Vickerman, Keith&lt;/author&gt;&lt;/authors&gt;&lt;/contributors&gt;&lt;titles&gt;&lt;title&gt;&lt;style face="normal" font="default" size="100%"&gt;Infection of the Norway lobster &lt;/style&gt;&lt;style face="italic" font="default" size="100%"&gt;Nephrons norvegicus&lt;/style&gt;&lt;style face="normal" font="default" size="100%"&gt; by a &lt;/style&gt;&lt;style face="italic" font="default" size="100%"&gt;Hematodinium&lt;/style&gt;&lt;style face="normal" font="default" size="100%"&gt;-like species of dinoflagellate on the west coast of Scotland&lt;/style&gt;&lt;/title&gt;&lt;secondary-title&gt;Diseases of Aquatic Organisms&lt;/secondary-title&gt;&lt;/titles&gt;&lt;periodical&gt;&lt;full-title&gt;Diseases of Aquatic Organisms&lt;/full-title&gt;&lt;/periodical&gt;&lt;pages&gt;1-15&lt;/pages&gt;&lt;volume&gt;13&lt;/volume&gt;&lt;number&gt;1&lt;/number&gt;&lt;dates&gt;&lt;year&gt;1992&lt;/year&gt;&lt;/dates&gt;&lt;publisher&gt;Elsevier&lt;/publisher&gt;&lt;urls&gt;&lt;related-urls&gt;&lt;url&gt;http://www.int-res.com/articles/dao/13/d013p001.pdf&lt;/url&gt;&lt;/related-urls&gt;&lt;/urls&gt;&lt;electronic-resource-num&gt;10.3354/dao013001&lt;/electronic-resource-num&gt;&lt;/record&gt;&lt;/Cite&gt;&lt;/EndNote&gt;</w:instrText>
        </w:r>
        <w:r w:rsidR="00950097" w:rsidRPr="009819CE">
          <w:rPr>
            <w:rFonts w:cstheme="minorBidi"/>
          </w:rPr>
          <w:fldChar w:fldCharType="separate"/>
        </w:r>
        <w:r w:rsidR="00950097" w:rsidRPr="009819CE">
          <w:rPr>
            <w:rFonts w:cstheme="minorBidi"/>
          </w:rPr>
          <w:t>Field et al. (1992)</w:t>
        </w:r>
        <w:r w:rsidR="00950097" w:rsidRPr="009819CE">
          <w:rPr>
            <w:rFonts w:cstheme="minorBidi"/>
          </w:rPr>
          <w:fldChar w:fldCharType="end"/>
        </w:r>
      </w:hyperlink>
      <w:r w:rsidRPr="009819CE">
        <w:rPr>
          <w:rFonts w:cstheme="minorBidi"/>
        </w:rPr>
        <w:t>, where dense aggregations of the parasite appeared as darkened areas, and these could be categorised on a scale from 0-4 (</w:t>
      </w:r>
      <w:r w:rsidRPr="009819CE">
        <w:rPr>
          <w:rFonts w:cstheme="minorBidi"/>
        </w:rPr>
        <w:fldChar w:fldCharType="begin"/>
      </w:r>
      <w:r w:rsidRPr="009819CE">
        <w:rPr>
          <w:rFonts w:cstheme="minorBidi"/>
        </w:rPr>
        <w:instrText xml:space="preserve"> REF _Ref110710032 \h  \* MERGEFORMAT </w:instrText>
      </w:r>
      <w:r w:rsidRPr="009819CE">
        <w:rPr>
          <w:rFonts w:cstheme="minorBidi"/>
        </w:rPr>
      </w:r>
      <w:r w:rsidRPr="009819CE">
        <w:rPr>
          <w:rFonts w:cstheme="minorBidi"/>
        </w:rPr>
        <w:fldChar w:fldCharType="separate"/>
      </w:r>
      <w:r w:rsidR="008549FC" w:rsidRPr="008549FC">
        <w:rPr>
          <w:rFonts w:cstheme="minorBidi"/>
          <w:b/>
        </w:rPr>
        <w:t>Figure 2.2</w:t>
      </w:r>
      <w:r w:rsidRPr="009819CE">
        <w:rPr>
          <w:rFonts w:cstheme="minorBidi"/>
        </w:rPr>
        <w:fldChar w:fldCharType="end"/>
      </w:r>
      <w:r w:rsidRPr="009819CE">
        <w:rPr>
          <w:rFonts w:cstheme="minorBidi"/>
        </w:rPr>
        <w:t xml:space="preserve">). Due to the subjectivity of this score-based method, images that could not be unambiguously assigned to one of the four categories were scored by a second independent observer. Finally, at the end of the one-year sampling, all images were re-evaluated by the two observers. Cross-examination was done to avoid inconsistencies over time.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3A02651A" w14:textId="77777777" w:rsidTr="007D6607">
        <w:tc>
          <w:tcPr>
            <w:tcW w:w="9350" w:type="dxa"/>
          </w:tcPr>
          <w:p w14:paraId="0D9F7970" w14:textId="77777777" w:rsidR="00F36ABA" w:rsidRPr="009819CE" w:rsidRDefault="00F36ABA" w:rsidP="007D6607">
            <w:pPr>
              <w:rPr>
                <w:rFonts w:cstheme="minorBidi"/>
                <w:lang w:val="en-GB"/>
              </w:rPr>
            </w:pPr>
            <w:r w:rsidRPr="00FF34FE">
              <w:rPr>
                <w:rFonts w:cstheme="minorBidi"/>
                <w:noProof/>
              </w:rPr>
              <w:drawing>
                <wp:inline distT="0" distB="0" distL="0" distR="0" wp14:anchorId="7A3E9507" wp14:editId="4DE81FA9">
                  <wp:extent cx="5614922" cy="1952625"/>
                  <wp:effectExtent l="0" t="0" r="5080" b="0"/>
                  <wp:docPr id="15" name="Picture 15" descr="A close-up of a tire tr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tire tread&#10;&#10;Description automatically generated"/>
                          <pic:cNvPicPr/>
                        </pic:nvPicPr>
                        <pic:blipFill>
                          <a:blip r:embed="rId54">
                            <a:extLst>
                              <a:ext uri="{BEBA8EAE-BF5A-486C-A8C5-ECC9F3942E4B}">
                                <a14:imgProps xmlns:a14="http://schemas.microsoft.com/office/drawing/2010/main">
                                  <a14:imgLayer r:embed="rId55">
                                    <a14:imgEffect>
                                      <a14:saturation sat="132000"/>
                                    </a14:imgEffect>
                                  </a14:imgLayer>
                                </a14:imgProps>
                              </a:ext>
                            </a:extLst>
                          </a:blip>
                          <a:stretch>
                            <a:fillRect/>
                          </a:stretch>
                        </pic:blipFill>
                        <pic:spPr>
                          <a:xfrm>
                            <a:off x="0" y="0"/>
                            <a:ext cx="5616507" cy="1953176"/>
                          </a:xfrm>
                          <a:prstGeom prst="rect">
                            <a:avLst/>
                          </a:prstGeom>
                        </pic:spPr>
                      </pic:pic>
                    </a:graphicData>
                  </a:graphic>
                </wp:inline>
              </w:drawing>
            </w:r>
          </w:p>
        </w:tc>
      </w:tr>
      <w:tr w:rsidR="00F36ABA" w:rsidRPr="00FA7D47" w14:paraId="1558D075" w14:textId="77777777" w:rsidTr="007D6607">
        <w:tc>
          <w:tcPr>
            <w:tcW w:w="9350" w:type="dxa"/>
          </w:tcPr>
          <w:p w14:paraId="08ED5EC1" w14:textId="728D3028" w:rsidR="00F36ABA" w:rsidRPr="009819CE" w:rsidRDefault="00F36ABA" w:rsidP="007D6607">
            <w:pPr>
              <w:spacing w:line="240" w:lineRule="auto"/>
              <w:rPr>
                <w:rFonts w:cstheme="minorBidi"/>
                <w:sz w:val="22"/>
                <w:szCs w:val="22"/>
                <w:lang w:val="en-GB"/>
              </w:rPr>
            </w:pPr>
            <w:bookmarkStart w:id="182" w:name="_Ref110710032"/>
            <w:bookmarkStart w:id="183" w:name="_Toc204106708"/>
            <w:r w:rsidRPr="009819CE">
              <w:rPr>
                <w:rFonts w:cstheme="minorBidi"/>
                <w:b/>
                <w:sz w:val="22"/>
                <w:szCs w:val="22"/>
                <w:lang w:val="en-GB"/>
              </w:rPr>
              <w:t>Figure 2.</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2</w:t>
            </w:r>
            <w:r w:rsidRPr="007268F5">
              <w:rPr>
                <w:rFonts w:cstheme="minorBidi"/>
                <w:b/>
              </w:rPr>
              <w:fldChar w:fldCharType="end"/>
            </w:r>
            <w:bookmarkEnd w:id="182"/>
            <w:r w:rsidRPr="009819CE">
              <w:rPr>
                <w:rFonts w:cstheme="minorBidi"/>
                <w:sz w:val="22"/>
                <w:szCs w:val="22"/>
                <w:lang w:val="en-GB"/>
              </w:rPr>
              <w:t xml:space="preserve"> </w:t>
            </w:r>
            <w:r w:rsidR="009D03F4" w:rsidRPr="009819CE">
              <w:rPr>
                <w:rFonts w:cstheme="minorBidi"/>
                <w:i/>
                <w:sz w:val="22"/>
                <w:szCs w:val="22"/>
                <w:lang w:val="en-GB"/>
              </w:rPr>
              <w:t>Hematodinium</w:t>
            </w:r>
            <w:r w:rsidRPr="009819CE">
              <w:rPr>
                <w:rFonts w:cstheme="minorBidi"/>
                <w:sz w:val="22"/>
                <w:szCs w:val="22"/>
                <w:lang w:val="en-GB"/>
              </w:rPr>
              <w:t xml:space="preserve"> infection severity categorized on a four-point scale using the pleopod method (PM) </w:t>
            </w:r>
            <w:sdt>
              <w:sdtPr>
                <w:rPr>
                  <w:rFonts w:cstheme="minorBidi"/>
                  <w:color w:val="000000"/>
                </w:rPr>
                <w:tag w:val="MENDELEY_CITATION_v3_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"/>
                <w:id w:val="83896033"/>
                <w:placeholder>
                  <w:docPart w:val="16AA4681B1834A88997D223FB5A1445C"/>
                </w:placeholder>
              </w:sdtPr>
              <w:sdtEndPr/>
              <w:sdtContent>
                <w:r w:rsidRPr="007268F5">
                  <w:rPr>
                    <w:rFonts w:cstheme="minorBidi"/>
                    <w:color w:val="000000"/>
                    <w:sz w:val="22"/>
                    <w:szCs w:val="22"/>
                  </w:rPr>
                  <w:t>(Field and Appleton 1995)</w:t>
                </w:r>
              </w:sdtContent>
            </w:sdt>
            <w:r w:rsidRPr="009819CE">
              <w:rPr>
                <w:rFonts w:cstheme="minorBidi"/>
                <w:sz w:val="22"/>
                <w:szCs w:val="22"/>
                <w:lang w:val="en-GB"/>
              </w:rPr>
              <w:t>. Bar = 0.5 mm.</w:t>
            </w:r>
            <w:bookmarkEnd w:id="183"/>
            <w:r w:rsidRPr="009819CE">
              <w:rPr>
                <w:rFonts w:cstheme="minorBidi"/>
                <w:sz w:val="22"/>
                <w:szCs w:val="22"/>
                <w:lang w:val="en-GB"/>
              </w:rPr>
              <w:t xml:space="preserve"> </w:t>
            </w:r>
          </w:p>
        </w:tc>
      </w:tr>
    </w:tbl>
    <w:p w14:paraId="6D652538" w14:textId="77777777" w:rsidR="00706EB5" w:rsidRPr="009819CE" w:rsidRDefault="00706EB5" w:rsidP="008514A8">
      <w:pPr>
        <w:rPr>
          <w:rFonts w:cstheme="minorBidi"/>
        </w:rPr>
        <w:sectPr w:rsidR="00706EB5" w:rsidRPr="009819CE" w:rsidSect="003A7A28">
          <w:type w:val="continuous"/>
          <w:pgSz w:w="11906" w:h="16838" w:code="9"/>
          <w:pgMar w:top="1440" w:right="1440" w:bottom="1440" w:left="1440" w:header="709" w:footer="709" w:gutter="0"/>
          <w:cols w:space="518"/>
          <w:docGrid w:linePitch="360"/>
        </w:sectPr>
      </w:pPr>
    </w:p>
    <w:p w14:paraId="0B41D0C7" w14:textId="2905FC74" w:rsidR="00F36ABA" w:rsidRPr="009819CE" w:rsidRDefault="00F36ABA" w:rsidP="009A5465">
      <w:pPr>
        <w:pStyle w:val="Heading3"/>
        <w:rPr>
          <w:rFonts w:cstheme="minorBidi"/>
          <w:iCs/>
        </w:rPr>
      </w:pPr>
      <w:bookmarkStart w:id="184" w:name="_Toc204106618"/>
      <w:r w:rsidRPr="009819CE">
        <w:rPr>
          <w:rFonts w:cstheme="minorBidi"/>
        </w:rPr>
        <w:t xml:space="preserve">Female </w:t>
      </w:r>
      <w:r w:rsidR="00C31E47" w:rsidRPr="009819CE">
        <w:rPr>
          <w:rFonts w:cstheme="minorBidi"/>
          <w:i/>
        </w:rPr>
        <w:t>Nephrops</w:t>
      </w:r>
      <w:bookmarkEnd w:id="184"/>
    </w:p>
    <w:p w14:paraId="76F32593" w14:textId="527642D2" w:rsidR="00F36ABA" w:rsidRPr="009819CE" w:rsidRDefault="00F36ABA" w:rsidP="00F36ABA">
      <w:pPr>
        <w:rPr>
          <w:rFonts w:cstheme="minorBidi"/>
        </w:rPr>
      </w:pPr>
      <w:r w:rsidRPr="009819CE">
        <w:rPr>
          <w:rFonts w:cstheme="minorBidi"/>
        </w:rPr>
        <w:t xml:space="preserve">For each month, samples consisting of 20-30 female </w:t>
      </w:r>
      <w:r w:rsidR="00C31E47" w:rsidRPr="009819CE">
        <w:rPr>
          <w:rFonts w:cstheme="minorBidi"/>
          <w:i/>
          <w:iCs/>
        </w:rPr>
        <w:t>Nephrops</w:t>
      </w:r>
      <w:r w:rsidRPr="009819CE">
        <w:rPr>
          <w:rFonts w:cstheme="minorBidi"/>
        </w:rPr>
        <w:t xml:space="preserve"> were taken from the original 150 sample subset (</w:t>
      </w:r>
      <w:r w:rsidRPr="009819CE">
        <w:rPr>
          <w:rFonts w:cstheme="minorBidi"/>
          <w:iCs/>
        </w:rPr>
        <w:t>n=330</w:t>
      </w:r>
      <w:r w:rsidRPr="009819CE">
        <w:rPr>
          <w:rFonts w:cstheme="minorBidi"/>
        </w:rPr>
        <w:t xml:space="preserve"> total for the whole sampling period). These animals were screened for patent infection by BCM and PM. The following parameters were recorded for each female: total weight (excluding first pereiopods or chelipeds), gonad and hepatopancreas weight (n=292), and maturity stage. Ovary maturation stage was also recorded using the scale by </w:t>
      </w:r>
      <w:hyperlink w:anchor="_ENREF_87" w:tooltip="Farmer, 1974 #571" w:history="1">
        <w:r w:rsidR="00950097" w:rsidRPr="009819CE">
          <w:rPr>
            <w:rFonts w:cstheme="minorBidi"/>
          </w:rPr>
          <w:fldChar w:fldCharType="begin"/>
        </w:r>
        <w:r w:rsidR="00950097" w:rsidRPr="009819CE">
          <w:rPr>
            <w:rFonts w:cstheme="minorBidi"/>
          </w:rPr>
          <w:instrText xml:space="preserve"> ADDIN EN.CITE &lt;EndNote&gt;&lt;Cite AuthorYear="1"&gt;&lt;Author&gt;Farmer&lt;/Author&gt;&lt;Year&gt;1974&lt;/Year&gt;&lt;RecNum&gt;571&lt;/RecNum&gt;&lt;DisplayText&gt;Farmer (1974)&lt;/DisplayText&gt;&lt;record&gt;&lt;rec-number&gt;571&lt;/rec-number&gt;&lt;foreign-keys&gt;&lt;key app="EN" db-id="sd9wrx9fj09rx3erprsx999o0r5aprvp2zse" timestamp="1687855901" guid="04fc3025-f0af-4744-9aed-0c5e1ab43b95"&gt;571&lt;/key&gt;&lt;/foreign-keys&gt;&lt;ref-type name="Journal Article"&gt;17&lt;/ref-type&gt;&lt;contributors&gt;&lt;authors&gt;&lt;author&gt;Farmer, A. S&lt;/author&gt;&lt;/authors&gt;&lt;/contributors&gt;&lt;titles&gt;&lt;title&gt;&lt;style face="normal" font="default" size="100%"&gt;The development of the external sexual characters of &lt;/style&gt;&lt;style face="italic" font="default" size="100%"&gt;Nephrops norvegicus&lt;/style&gt;&lt;style face="normal" font="default" size="100%"&gt; (L.) (Decapoda: &lt;/style&gt;&lt;style face="italic" font="default" size="100%"&gt;Nephropidae&lt;/style&gt;&lt;style face="normal" font="default" size="100%"&gt;)&lt;/style&gt;&lt;/title&gt;&lt;secondary-title&gt;Journal of Natural History&lt;/secondary-title&gt;&lt;/titles&gt;&lt;periodical&gt;&lt;full-title&gt;Journal of Natural History&lt;/full-title&gt;&lt;/periodical&gt;&lt;pages&gt;241-255&lt;/pages&gt;&lt;volume&gt;8&lt;/volume&gt;&lt;number&gt;3&lt;/number&gt;&lt;dates&gt;&lt;year&gt;1974&lt;/year&gt;&lt;pub-dates&gt;&lt;date&gt;1974/6//&lt;/date&gt;&lt;/pub-dates&gt;&lt;/dates&gt;&lt;publisher&gt;Taylor &amp;amp; Francis Group&lt;/publisher&gt;&lt;urls&gt;&lt;related-urls&gt;&lt;url&gt;http://www.tandfonline.com/doi/abs/10.1080/00222937400770231&lt;/url&gt;&lt;/related-urls&gt;&lt;/urls&gt;&lt;electronic-resource-num&gt;10.1080/00222937400770231&lt;/electronic-resource-num&gt;&lt;/record&gt;&lt;/Cite&gt;&lt;/EndNote&gt;</w:instrText>
        </w:r>
        <w:r w:rsidR="00950097" w:rsidRPr="009819CE">
          <w:rPr>
            <w:rFonts w:cstheme="minorBidi"/>
          </w:rPr>
          <w:fldChar w:fldCharType="separate"/>
        </w:r>
        <w:r w:rsidR="00950097" w:rsidRPr="009819CE">
          <w:rPr>
            <w:rFonts w:cstheme="minorBidi"/>
          </w:rPr>
          <w:t>Farmer (1974)</w:t>
        </w:r>
        <w:r w:rsidR="00950097" w:rsidRPr="009819CE">
          <w:rPr>
            <w:rFonts w:cstheme="minorBidi"/>
          </w:rPr>
          <w:fldChar w:fldCharType="end"/>
        </w:r>
      </w:hyperlink>
      <w:r w:rsidRPr="009819CE">
        <w:rPr>
          <w:rFonts w:cstheme="minorBidi"/>
          <w:color w:val="000000"/>
        </w:rPr>
        <w:t>, which is</w:t>
      </w:r>
      <w:r w:rsidRPr="009819CE">
        <w:rPr>
          <w:rFonts w:cstheme="minorBidi"/>
        </w:rPr>
        <w:t xml:space="preserve"> based on the ovary colour. Females were classified as immature (stage 0, white ovary), early maturing (stage 1, cream ovary), late-maturing (stage 2, pale green ovary), mature (stage 3/4, dark green ovary) and with reabsorbing ovaries (stage 5, mottled green and cream ovary). The study also documented all berried females. Values of gonadosomatic index [GSI = (gonad wet weight)/ (body wet weight) x 100] and hepatosomatic index [HSI = (hepatopancreas weight)/ (body wet weight) x 100] were calculated.  </w:t>
      </w:r>
    </w:p>
    <w:p w14:paraId="68F57CF3" w14:textId="3DC5CC4B" w:rsidR="00F36ABA" w:rsidRPr="009819CE" w:rsidRDefault="00F36ABA" w:rsidP="009A5465">
      <w:pPr>
        <w:pStyle w:val="Heading3"/>
        <w:rPr>
          <w:rFonts w:cstheme="minorBidi"/>
          <w:iCs/>
        </w:rPr>
      </w:pPr>
      <w:bookmarkStart w:id="185" w:name="_Toc204106619"/>
      <w:r w:rsidRPr="009819CE">
        <w:rPr>
          <w:rFonts w:cstheme="minorBidi"/>
        </w:rPr>
        <w:t xml:space="preserve">Statistical </w:t>
      </w:r>
      <w:r w:rsidR="00DD1102">
        <w:rPr>
          <w:rFonts w:cstheme="minorBidi"/>
        </w:rPr>
        <w:t>a</w:t>
      </w:r>
      <w:r w:rsidRPr="009819CE">
        <w:rPr>
          <w:rFonts w:cstheme="minorBidi"/>
        </w:rPr>
        <w:t>nalysis</w:t>
      </w:r>
      <w:bookmarkEnd w:id="185"/>
    </w:p>
    <w:p w14:paraId="2CC75C8E" w14:textId="5CCB3E8D" w:rsidR="00F36ABA" w:rsidRPr="009819CE" w:rsidRDefault="00F36ABA" w:rsidP="00F36ABA">
      <w:pPr>
        <w:rPr>
          <w:rFonts w:cstheme="minorBidi"/>
        </w:rPr>
      </w:pPr>
      <w:r w:rsidRPr="009819CE">
        <w:rPr>
          <w:rFonts w:cstheme="minorBidi"/>
        </w:rPr>
        <w:t xml:space="preserve">Statistical analysis was performed in RStudio Version 4.1.2. As some pleopod stages were under-represented (number of observations from Stage 0 to Stage 4: 1510, 165, 31, 22, 11), a new pleopod status "ps2" was created, combining stages 1-4 into a unique pleopod status (stage 0 "Negative" and stage 1-4 "Positive"). Multivariate analysis with mixed quantitative variables (carapace length “CL”) and categorical variables (date, sex, </w:t>
      </w:r>
      <w:r w:rsidR="00C967F0" w:rsidRPr="00FA7D47">
        <w:rPr>
          <w:rFonts w:cstheme="minorBidi"/>
        </w:rPr>
        <w:t>moult index</w:t>
      </w:r>
      <w:r w:rsidRPr="009819CE">
        <w:rPr>
          <w:rFonts w:cstheme="minorBidi"/>
        </w:rPr>
        <w:t xml:space="preserve"> “midx” or </w:t>
      </w:r>
      <w:r w:rsidR="00C967F0" w:rsidRPr="00FA7D47">
        <w:rPr>
          <w:rFonts w:cstheme="minorBidi"/>
        </w:rPr>
        <w:t>moult stage</w:t>
      </w:r>
      <w:r w:rsidRPr="009819CE">
        <w:rPr>
          <w:rFonts w:cstheme="minorBidi"/>
        </w:rPr>
        <w:t xml:space="preserve"> “ms”) were executed to identify patterns in the data associated with </w:t>
      </w:r>
      <w:r w:rsidR="009D03F4" w:rsidRPr="009819CE">
        <w:rPr>
          <w:rFonts w:cstheme="minorBidi"/>
          <w:i/>
          <w:iCs/>
        </w:rPr>
        <w:t>Hematodinium</w:t>
      </w:r>
      <w:r w:rsidRPr="009819CE">
        <w:rPr>
          <w:rFonts w:cstheme="minorBidi"/>
        </w:rPr>
        <w:t xml:space="preserve"> sp. prevalence based on BCM and PM. Two Binomial Generalised Linear Models, or binomial GLMM (glmer function in the lme4 R package</w:t>
      </w:r>
      <w:r w:rsidR="00D467E7" w:rsidRPr="009819CE">
        <w:rPr>
          <w:rFonts w:cstheme="minorBidi"/>
        </w:rPr>
        <w:t xml:space="preserve"> </w:t>
      </w:r>
      <w:r w:rsidR="00D467E7" w:rsidRPr="009819CE">
        <w:rPr>
          <w:rFonts w:cstheme="minorBidi"/>
        </w:rPr>
        <w:fldChar w:fldCharType="begin"/>
      </w:r>
      <w:r w:rsidR="00D467E7" w:rsidRPr="009819CE">
        <w:rPr>
          <w:rFonts w:cstheme="minorBidi"/>
        </w:rPr>
        <w:instrText xml:space="preserve"> ADDIN EN.CITE &lt;EndNote&gt;&lt;Cite&gt;&lt;Author&gt;Bates&lt;/Author&gt;&lt;Year&gt;2015&lt;/Year&gt;&lt;RecNum&gt;890&lt;/RecNum&gt;&lt;DisplayText&gt;(Bates et al., 2015)&lt;/DisplayText&gt;&lt;record&gt;&lt;rec-number&gt;890&lt;/rec-number&gt;&lt;foreign-keys&gt;&lt;key app="EN" db-id="sd9wrx9fj09rx3erprsx999o0r5aprvp2zse" timestamp="1687855901" guid="2952f604-56f0-4e9b-8cf6-85e8c2747fb6"&gt;890&lt;/key&gt;&lt;/foreign-keys&gt;&lt;ref-type name="Journal Article"&gt;17&lt;/ref-type&gt;&lt;contributors&gt;&lt;authors&gt;&lt;author&gt;Bates, Douglas&lt;/author&gt;&lt;author&gt;Mächler, Martin&lt;/author&gt;&lt;author&gt;Bolker, Benjamin M.&lt;/author&gt;&lt;author&gt;Walker, Steven C.&lt;/author&gt;&lt;/authors&gt;&lt;/contributors&gt;&lt;titles&gt;&lt;title&gt;Fitting linear mixed-effects models using lme4&lt;/title&gt;&lt;secondary-title&gt;Journal of Statistical Software&lt;/secondary-title&gt;&lt;/titles&gt;&lt;periodical&gt;&lt;full-title&gt;Journal of Statistical Software&lt;/full-title&gt;&lt;/periodical&gt;&lt;pages&gt;1-48&lt;/pages&gt;&lt;volume&gt;67&lt;/volume&gt;&lt;number&gt;1&lt;/number&gt;&lt;keywords&gt;&lt;keyword&gt;Cholesky decomposition&lt;/keyword&gt;&lt;keyword&gt;linear mixed models&lt;/keyword&gt;&lt;keyword&gt;penalized least squares&lt;/keyword&gt;&lt;/keywords&gt;&lt;dates&gt;&lt;year&gt;2015&lt;/year&gt;&lt;pub-dates&gt;&lt;date&gt;2015/10//&lt;/date&gt;&lt;/pub-dates&gt;&lt;/dates&gt;&lt;publisher&gt;American Statistical Association&lt;/publisher&gt;&lt;urls&gt;&lt;related-urls&gt;&lt;url&gt;https://www.jstatsoft.org/index.php/jss/article/view/v067i01&lt;/url&gt;&lt;/related-urls&gt;&lt;/urls&gt;&lt;electronic-resource-num&gt;10.18637/JSS.V067.I01&lt;/electronic-resource-num&gt;&lt;/record&gt;&lt;/Cite&gt;&lt;/EndNote&gt;</w:instrText>
      </w:r>
      <w:r w:rsidR="00D467E7" w:rsidRPr="009819CE">
        <w:rPr>
          <w:rFonts w:cstheme="minorBidi"/>
        </w:rPr>
        <w:fldChar w:fldCharType="separate"/>
      </w:r>
      <w:r w:rsidR="00D467E7" w:rsidRPr="009819CE">
        <w:rPr>
          <w:rFonts w:cstheme="minorBidi"/>
        </w:rPr>
        <w:t>(</w:t>
      </w:r>
      <w:hyperlink w:anchor="_ENREF_25" w:tooltip="Bates, 2015 #890" w:history="1">
        <w:r w:rsidR="00950097" w:rsidRPr="009819CE">
          <w:rPr>
            <w:rFonts w:cstheme="minorBidi"/>
          </w:rPr>
          <w:t>Bates et al., 2015</w:t>
        </w:r>
      </w:hyperlink>
      <w:r w:rsidR="00D467E7" w:rsidRPr="009819CE">
        <w:rPr>
          <w:rFonts w:cstheme="minorBidi"/>
        </w:rPr>
        <w:t>)</w:t>
      </w:r>
      <w:r w:rsidR="00D467E7" w:rsidRPr="009819CE">
        <w:rPr>
          <w:rFonts w:cstheme="minorBidi"/>
        </w:rPr>
        <w:fldChar w:fldCharType="end"/>
      </w:r>
      <w:r w:rsidR="000374C1" w:rsidRPr="00FA7D47">
        <w:rPr>
          <w:rFonts w:cstheme="minorBidi"/>
        </w:rPr>
        <w:t>;</w:t>
      </w:r>
      <w:r w:rsidRPr="009819CE">
        <w:rPr>
          <w:rFonts w:cstheme="minorBidi"/>
        </w:rPr>
        <w:t xml:space="preserve"> were applied using either BCM or PM (1-4 stages combined; “ps2”), ‘date’ as a random factor and the remaining variables (CL, sex and </w:t>
      </w:r>
      <w:r w:rsidR="00C967F0" w:rsidRPr="00FA7D47">
        <w:rPr>
          <w:rFonts w:cstheme="minorBidi"/>
        </w:rPr>
        <w:t>moult stage</w:t>
      </w:r>
      <w:r w:rsidRPr="009819CE">
        <w:rPr>
          <w:rFonts w:cstheme="minorBidi"/>
        </w:rPr>
        <w:t xml:space="preserve"> or </w:t>
      </w:r>
      <w:r w:rsidR="00C967F0" w:rsidRPr="00FA7D47">
        <w:rPr>
          <w:rFonts w:cstheme="minorBidi"/>
        </w:rPr>
        <w:t>moult index</w:t>
      </w:r>
      <w:r w:rsidRPr="009819CE">
        <w:rPr>
          <w:rFonts w:cstheme="minorBidi"/>
        </w:rPr>
        <w:t xml:space="preserve">) as fixed factors. </w:t>
      </w:r>
    </w:p>
    <w:p w14:paraId="77368B19" w14:textId="41C793FB" w:rsidR="00F36ABA" w:rsidRPr="009819CE" w:rsidRDefault="00F36ABA" w:rsidP="00F36ABA">
      <w:pPr>
        <w:rPr>
          <w:rFonts w:cstheme="minorBidi"/>
          <w:color w:val="000000"/>
        </w:rPr>
      </w:pPr>
      <w:r w:rsidRPr="009819CE">
        <w:rPr>
          <w:rFonts w:cstheme="minorBidi"/>
        </w:rPr>
        <w:t xml:space="preserve">Standard methods to compare the means of two or more groups were executed to evaluate differences in CL between males and females in relation to infection (based on BCM and PM), </w:t>
      </w:r>
      <w:r w:rsidR="00C967F0" w:rsidRPr="00FA7D47">
        <w:rPr>
          <w:rFonts w:cstheme="minorBidi"/>
        </w:rPr>
        <w:t>moult index</w:t>
      </w:r>
      <w:r w:rsidRPr="009819CE">
        <w:rPr>
          <w:rFonts w:cstheme="minorBidi"/>
        </w:rPr>
        <w:t xml:space="preserve"> (hard, soft, jelly), </w:t>
      </w:r>
      <w:r w:rsidR="00C967F0" w:rsidRPr="00FA7D47">
        <w:rPr>
          <w:rFonts w:cstheme="minorBidi"/>
        </w:rPr>
        <w:t>moult stage</w:t>
      </w:r>
      <w:r w:rsidRPr="009819CE">
        <w:rPr>
          <w:rFonts w:cstheme="minorBidi"/>
        </w:rPr>
        <w:t xml:space="preserve"> (inter-moult, pre-</w:t>
      </w:r>
      <w:r w:rsidR="004D475B" w:rsidRPr="009819CE">
        <w:rPr>
          <w:rFonts w:cstheme="minorBidi"/>
        </w:rPr>
        <w:t>moult,</w:t>
      </w:r>
      <w:r w:rsidRPr="009819CE">
        <w:rPr>
          <w:rFonts w:cstheme="minorBidi"/>
        </w:rPr>
        <w:t xml:space="preserve"> and post-moult), and date. Homogeneity of variance was tested using either Levene test (“leveneTest”) </w:t>
      </w:r>
      <w:r w:rsidRPr="009819CE">
        <w:rPr>
          <w:rFonts w:cstheme="minorBidi"/>
        </w:rPr>
        <w:fldChar w:fldCharType="begin"/>
      </w:r>
      <w:r w:rsidR="00D50EFF" w:rsidRPr="009819CE">
        <w:rPr>
          <w:rFonts w:cstheme="minorBidi"/>
        </w:rPr>
        <w:instrText xml:space="preserve"> ADDIN EN.CITE &lt;EndNote&gt;&lt;Cite&gt;&lt;Author&gt;Fox&lt;/Author&gt;&lt;Year&gt;2019&lt;/Year&gt;&lt;RecNum&gt;888&lt;/RecNum&gt;&lt;DisplayText&gt;(Fox and Weisberg, 2019)&lt;/DisplayText&gt;&lt;record&gt;&lt;rec-number&gt;888&lt;/rec-number&gt;&lt;foreign-keys&gt;&lt;key app="EN" db-id="sd9wrx9fj09rx3erprsx999o0r5aprvp2zse" timestamp="1687855901" guid="8d3ed228-aa05-4c39-8b13-e190c9785178"&gt;888&lt;/key&gt;&lt;/foreign-keys&gt;&lt;ref-type name="Book"&gt;6&lt;/ref-type&gt;&lt;contributors&gt;&lt;authors&gt;&lt;author&gt;Fox, John&lt;/author&gt;&lt;author&gt;Weisberg, Sanford&lt;/author&gt;&lt;/authors&gt;&lt;/contributors&gt;&lt;titles&gt;&lt;title&gt;An R Companion to Applied Regression - John Fox, Sanford Weisberg - Google Books&lt;/title&gt;&lt;/titles&gt;&lt;pages&gt;1-571&lt;/pages&gt;&lt;dates&gt;&lt;year&gt;2019&lt;/year&gt;&lt;/dates&gt;&lt;pub-location&gt;United States of America&lt;/pub-location&gt;&lt;isbn&gt;978-1-5443-3647-3&lt;/isbn&gt;&lt;urls&gt;&lt;related-urls&gt;&lt;url&gt;https://books.google.co.uk/books?hl=en&amp;amp;lr=&amp;amp;id=uPNrDwAAQBAJ&amp;amp;oi=fnd&amp;amp;pg=PP1&amp;amp;dq=Fox,+J.+and+Weisberg,+S.+(2019)+An+R+Companion+to+Applied+Regression,+Third+Edition,+Sage.&amp;amp;ots=MwK3dC1u98&amp;amp;sig=jxr5LZZzFBNLHhqASha_nEx6Qes#v=onepage&amp;amp;q&amp;amp;f=false&lt;/url&gt;&lt;/related-urls&gt;&lt;/urls&gt;&lt;/record&gt;&lt;/Cite&gt;&lt;/EndNote&gt;</w:instrText>
      </w:r>
      <w:r w:rsidRPr="009819CE">
        <w:rPr>
          <w:rFonts w:cstheme="minorBidi"/>
        </w:rPr>
        <w:fldChar w:fldCharType="separate"/>
      </w:r>
      <w:r w:rsidR="00D50EFF" w:rsidRPr="009819CE">
        <w:rPr>
          <w:rFonts w:cstheme="minorBidi"/>
        </w:rPr>
        <w:t>(</w:t>
      </w:r>
      <w:hyperlink w:anchor="_ENREF_99" w:tooltip="Fox, 2019 #888" w:history="1">
        <w:r w:rsidR="00950097" w:rsidRPr="009819CE">
          <w:rPr>
            <w:rFonts w:cstheme="minorBidi"/>
          </w:rPr>
          <w:t>Fox and Weisberg, 2019</w:t>
        </w:r>
      </w:hyperlink>
      <w:r w:rsidR="00D50EFF" w:rsidRPr="009819CE">
        <w:rPr>
          <w:rFonts w:cstheme="minorBidi"/>
        </w:rPr>
        <w:t>)</w:t>
      </w:r>
      <w:r w:rsidRPr="009819CE">
        <w:rPr>
          <w:rFonts w:cstheme="minorBidi"/>
        </w:rPr>
        <w:fldChar w:fldCharType="end"/>
      </w:r>
      <w:r w:rsidRPr="009819CE">
        <w:rPr>
          <w:rFonts w:cstheme="minorBidi"/>
        </w:rPr>
        <w:t xml:space="preserve"> or Shapiro test (“shapiro.test”) </w:t>
      </w:r>
      <w:r w:rsidRPr="009819CE">
        <w:rPr>
          <w:rFonts w:cstheme="minorBidi"/>
        </w:rPr>
        <w:fldChar w:fldCharType="begin"/>
      </w:r>
      <w:r w:rsidR="00ED1A9E" w:rsidRPr="009819CE">
        <w:rPr>
          <w:rFonts w:cstheme="minorBidi"/>
        </w:rPr>
        <w:instrText xml:space="preserve"> ADDIN EN.CITE &lt;EndNote&gt;&lt;Cite&gt;&lt;Author&gt;Royston&lt;/Author&gt;&lt;Year&gt;1982&lt;/Year&gt;&lt;RecNum&gt;889&lt;/RecNum&gt;&lt;DisplayText&gt;(Royston, 1982)&lt;/DisplayText&gt;&lt;record&gt;&lt;rec-number&gt;889&lt;/rec-number&gt;&lt;foreign-keys&gt;&lt;key app="EN" db-id="sd9wrx9fj09rx3erprsx999o0r5aprvp2zse" timestamp="1687855901" guid="e5cd2346-592c-4e64-9128-22a221627196"&gt;889&lt;/key&gt;&lt;/foreign-keys&gt;&lt;ref-type name="Journal Article"&gt;17&lt;/ref-type&gt;&lt;contributors&gt;&lt;authors&gt;&lt;author&gt;Royston, J. P.&lt;/author&gt;&lt;/authors&gt;&lt;/contributors&gt;&lt;titles&gt;&lt;title&gt;An extension of Shapiro and Wilk&amp;apos;s W test for normality to large samples&lt;/title&gt;&lt;secondary-title&gt;Applied Statistics&lt;/secondary-title&gt;&lt;/titles&gt;&lt;periodical&gt;&lt;full-title&gt;Applied Statistics&lt;/full-title&gt;&lt;/periodical&gt;&lt;pages&gt;115-115&lt;/pages&gt;&lt;volume&gt;31&lt;/volume&gt;&lt;number&gt;2&lt;/number&gt;&lt;dates&gt;&lt;year&gt;1982&lt;/year&gt;&lt;/dates&gt;&lt;publisher&gt;JSTOR&lt;/publisher&gt;&lt;urls&gt;&lt;/urls&gt;&lt;electronic-resource-num&gt;10.2307/2347973&lt;/electronic-resource-num&gt;&lt;/record&gt;&lt;/Cite&gt;&lt;/EndNote&gt;</w:instrText>
      </w:r>
      <w:r w:rsidRPr="009819CE">
        <w:rPr>
          <w:rFonts w:cstheme="minorBidi"/>
        </w:rPr>
        <w:fldChar w:fldCharType="separate"/>
      </w:r>
      <w:r w:rsidR="00D50EFF" w:rsidRPr="007268F5">
        <w:rPr>
          <w:rFonts w:cstheme="minorBidi"/>
        </w:rPr>
        <w:t>(</w:t>
      </w:r>
      <w:hyperlink w:anchor="_ENREF_261" w:tooltip="Royston, 1982 #889" w:history="1">
        <w:r w:rsidR="00950097" w:rsidRPr="007268F5">
          <w:rPr>
            <w:rFonts w:cstheme="minorBidi"/>
          </w:rPr>
          <w:t>Royston, 1982</w:t>
        </w:r>
      </w:hyperlink>
      <w:r w:rsidR="00D50EFF" w:rsidRPr="007268F5">
        <w:rPr>
          <w:rFonts w:cstheme="minorBidi"/>
        </w:rPr>
        <w:t>)</w:t>
      </w:r>
      <w:r w:rsidRPr="009819CE">
        <w:rPr>
          <w:rFonts w:cstheme="minorBidi"/>
        </w:rPr>
        <w:fldChar w:fldCharType="end"/>
      </w:r>
      <w:r w:rsidRPr="009819CE">
        <w:rPr>
          <w:rFonts w:cstheme="minorBidi"/>
        </w:rPr>
        <w:t xml:space="preserve">.  </w:t>
      </w:r>
      <w:r w:rsidR="00E80AF4">
        <w:rPr>
          <w:rFonts w:cstheme="minorBidi"/>
        </w:rPr>
        <w:t>t-test</w:t>
      </w:r>
      <w:r w:rsidRPr="009819CE">
        <w:rPr>
          <w:rFonts w:cstheme="minorBidi"/>
        </w:rPr>
        <w:t xml:space="preserve"> (“t.test”) </w:t>
      </w:r>
      <w:r w:rsidRPr="009819CE">
        <w:rPr>
          <w:rFonts w:cstheme="minorBidi"/>
        </w:rPr>
        <w:fldChar w:fldCharType="begin"/>
      </w:r>
      <w:r w:rsidR="00EE7FB9">
        <w:rPr>
          <w:rFonts w:cstheme="minorBidi"/>
        </w:rPr>
        <w:instrText xml:space="preserve"> ADDIN EN.CITE &lt;EndNote&gt;&lt;Cite&gt;&lt;Author&gt;Student&lt;/Author&gt;&lt;Year&gt;1908&lt;/Year&gt;&lt;RecNum&gt;891&lt;/RecNum&gt;&lt;DisplayText&gt;(Student, 1908)&lt;/DisplayText&gt;&lt;record&gt;&lt;rec-number&gt;891&lt;/rec-number&gt;&lt;foreign-keys&gt;&lt;key app="EN" db-id="sd9wrx9fj09rx3erprsx999o0r5aprvp2zse" timestamp="1687855901" guid="7141df37-94ea-4803-9b10-8fa16aed55e0"&gt;891&lt;/key&gt;&lt;/foreign-keys&gt;&lt;ref-type name="Journal Article"&gt;17&lt;/ref-type&gt;&lt;contributors&gt;&lt;authors&gt;&lt;author&gt;Student,&lt;/author&gt;&lt;/authors&gt;&lt;/contributors&gt;&lt;titles&gt;&lt;title&gt;The probable error of a mean&lt;/title&gt;&lt;secondary-title&gt;Biometrika&lt;/secondary-title&gt;&lt;/titles&gt;&lt;periodical&gt;&lt;full-title&gt;Biometrika&lt;/full-title&gt;&lt;/periodical&gt;&lt;pages&gt;1-1&lt;/pages&gt;&lt;volume&gt;6&lt;/volume&gt;&lt;number&gt;1&lt;/number&gt;&lt;dates&gt;&lt;year&gt;1908&lt;/year&gt;&lt;pub-dates&gt;&lt;date&gt;1908/3//&lt;/date&gt;&lt;/pub-dates&gt;&lt;/dates&gt;&lt;publisher&gt;JSTOR&lt;/publisher&gt;&lt;urls&gt;&lt;/urls&gt;&lt;electronic-resource-num&gt;10.2307/2331554&lt;/electronic-resource-num&gt;&lt;/record&gt;&lt;/Cite&gt;&lt;/EndNote&gt;</w:instrText>
      </w:r>
      <w:r w:rsidRPr="009819CE">
        <w:rPr>
          <w:rFonts w:cstheme="minorBidi"/>
        </w:rPr>
        <w:fldChar w:fldCharType="separate"/>
      </w:r>
      <w:r w:rsidR="00D50EFF" w:rsidRPr="009819CE">
        <w:rPr>
          <w:rFonts w:cstheme="minorBidi"/>
          <w:noProof/>
        </w:rPr>
        <w:t>(</w:t>
      </w:r>
      <w:hyperlink w:anchor="_ENREF_312" w:tooltip="Student, 1908 #891" w:history="1">
        <w:r w:rsidR="00950097" w:rsidRPr="009819CE">
          <w:rPr>
            <w:rFonts w:cstheme="minorBidi"/>
            <w:noProof/>
          </w:rPr>
          <w:t>Student, 1908</w:t>
        </w:r>
      </w:hyperlink>
      <w:r w:rsidR="00D50EFF" w:rsidRPr="009819CE">
        <w:rPr>
          <w:rFonts w:cstheme="minorBidi"/>
          <w:noProof/>
        </w:rPr>
        <w:t>)</w:t>
      </w:r>
      <w:r w:rsidRPr="009819CE">
        <w:rPr>
          <w:rFonts w:cstheme="minorBidi"/>
        </w:rPr>
        <w:fldChar w:fldCharType="end"/>
      </w:r>
      <w:r w:rsidRPr="009819CE">
        <w:rPr>
          <w:rFonts w:cstheme="minorBidi"/>
        </w:rPr>
        <w:t xml:space="preserve">  was used to compare the mean of two groups if homogeneity of variance was achieved (parametric), otherwise Wilcoxon test (“wilcox.test()”) </w:t>
      </w:r>
      <w:r w:rsidRPr="009819CE">
        <w:rPr>
          <w:rFonts w:cstheme="minorBidi"/>
        </w:rPr>
        <w:fldChar w:fldCharType="begin"/>
      </w:r>
      <w:r w:rsidR="00D50EFF" w:rsidRPr="009819CE">
        <w:rPr>
          <w:rFonts w:cstheme="minorBidi"/>
        </w:rPr>
        <w:instrText xml:space="preserve"> ADDIN EN.CITE &lt;EndNote&gt;&lt;Cite&gt;&lt;Author&gt;Hollander&lt;/Author&gt;&lt;Year&gt;2013&lt;/Year&gt;&lt;RecNum&gt;892&lt;/RecNum&gt;&lt;DisplayText&gt;(Hollander et al., 2013)&lt;/DisplayText&gt;&lt;record&gt;&lt;rec-number&gt;892&lt;/rec-number&gt;&lt;foreign-keys&gt;&lt;key app="EN" db-id="sd9wrx9fj09rx3erprsx999o0r5aprvp2zse" timestamp="1687855901" guid="b2faf6ec-f6a8-4c6b-b78c-5f232753e4b6"&gt;892&lt;/key&gt;&lt;/foreign-keys&gt;&lt;ref-type name="Book"&gt;6&lt;/ref-type&gt;&lt;contributors&gt;&lt;authors&gt;&lt;author&gt;Hollander, Myles&lt;/author&gt;&lt;author&gt;Wolfe, Douglas A.&lt;/author&gt;&lt;author&gt;Chicken, Eric&lt;/author&gt;&lt;/authors&gt;&lt;/contributors&gt;&lt;titles&gt;&lt;title&gt;Nonparametric statistical methods, Wiley Series in Probability and Statistics&lt;/title&gt;&lt;/titles&gt;&lt;pages&gt;848-848&lt;/pages&gt;&lt;dates&gt;&lt;year&gt;2013&lt;/year&gt;&lt;/dates&gt;&lt;publisher&gt;Wiley&lt;/publisher&gt;&lt;isbn&gt;978-0-470-38737-5&lt;/isbn&gt;&lt;urls&gt;&lt;related-urls&gt;&lt;url&gt;https://www.wiley.com/en-us/Nonparametric+Statistical+Methods%2C+3rd+Edition-p-9780470387375&lt;/url&gt;&lt;/related-urls&gt;&lt;/urls&gt;&lt;/record&gt;&lt;/Cite&gt;&lt;/EndNote&gt;</w:instrText>
      </w:r>
      <w:r w:rsidRPr="009819CE">
        <w:rPr>
          <w:rFonts w:cstheme="minorBidi"/>
        </w:rPr>
        <w:fldChar w:fldCharType="separate"/>
      </w:r>
      <w:r w:rsidR="00D50EFF" w:rsidRPr="009819CE">
        <w:rPr>
          <w:rFonts w:cstheme="minorBidi"/>
        </w:rPr>
        <w:t>(</w:t>
      </w:r>
      <w:hyperlink w:anchor="_ENREF_133" w:tooltip="Hollander, 2013 #892" w:history="1">
        <w:r w:rsidR="00950097" w:rsidRPr="009819CE">
          <w:rPr>
            <w:rFonts w:cstheme="minorBidi"/>
          </w:rPr>
          <w:t>Hollander et al., 2013</w:t>
        </w:r>
      </w:hyperlink>
      <w:r w:rsidR="00D50EFF" w:rsidRPr="009819CE">
        <w:rPr>
          <w:rFonts w:cstheme="minorBidi"/>
        </w:rPr>
        <w:t>)</w:t>
      </w:r>
      <w:r w:rsidRPr="009819CE">
        <w:rPr>
          <w:rFonts w:cstheme="minorBidi"/>
        </w:rPr>
        <w:fldChar w:fldCharType="end"/>
      </w:r>
      <w:r w:rsidRPr="009819CE">
        <w:rPr>
          <w:rFonts w:cstheme="minorBidi"/>
        </w:rPr>
        <w:t xml:space="preserve"> was implemented (non-parametric). Similarly, ANOVA (“aov()” or “anova()”) </w:t>
      </w:r>
      <w:r w:rsidRPr="009819CE">
        <w:rPr>
          <w:rFonts w:cstheme="minorBidi"/>
        </w:rPr>
        <w:fldChar w:fldCharType="begin"/>
      </w:r>
      <w:r w:rsidR="00EE7FB9">
        <w:rPr>
          <w:rFonts w:cstheme="minorBidi"/>
        </w:rPr>
        <w:instrText xml:space="preserve"> ADDIN EN.CITE &lt;EndNote&gt;&lt;Cite&gt;&lt;Author&gt;Chambers&lt;/Author&gt;&lt;Year&gt;1992&lt;/Year&gt;&lt;RecNum&gt;893&lt;/RecNum&gt;&lt;DisplayText&gt;(Chambers and Hastie, 1992)&lt;/DisplayText&gt;&lt;record&gt;&lt;rec-number&gt;893&lt;/rec-number&gt;&lt;foreign-keys&gt;&lt;key app="EN" db-id="sd9wrx9fj09rx3erprsx999o0r5aprvp2zse" timestamp="1687855901" guid="a996e13e-6184-4903-95fd-d5b3bfb45adb"&gt;893&lt;/key&gt;&lt;/foreign-keys&gt;&lt;ref-type name="Book"&gt;6&lt;/ref-type&gt;&lt;contributors&gt;&lt;authors&gt;&lt;author&gt;Chambers, John M.,&lt;/author&gt;&lt;author&gt;Hastie, Trevor&lt;/author&gt;&lt;/authors&gt;&lt;/contributors&gt;&lt;titles&gt;&lt;title&gt;Statistical models in S&lt;/title&gt;&lt;/titles&gt;&lt;pages&gt;608-608&lt;/pages&gt;&lt;dates&gt;&lt;year&gt;1992&lt;/year&gt;&lt;/dates&gt;&lt;publisher&gt;Chapman &amp;amp; Hall/CRC&lt;/publisher&gt;&lt;isbn&gt;9780412830402&lt;/isbn&gt;&lt;urls&gt;&lt;related-urls&gt;&lt;url&gt;https://www.routledge.com/Statistical-Models-in-S/Chambers-Hastie/p/book/9780412830402&lt;/url&gt;&lt;/related-urls&gt;&lt;/urls&gt;&lt;/record&gt;&lt;/Cite&gt;&lt;/EndNote&gt;</w:instrText>
      </w:r>
      <w:r w:rsidRPr="009819CE">
        <w:rPr>
          <w:rFonts w:cstheme="minorBidi"/>
        </w:rPr>
        <w:fldChar w:fldCharType="separate"/>
      </w:r>
      <w:r w:rsidR="00A8698B" w:rsidRPr="009819CE">
        <w:rPr>
          <w:rFonts w:cstheme="minorBidi"/>
          <w:noProof/>
        </w:rPr>
        <w:t>(</w:t>
      </w:r>
      <w:hyperlink w:anchor="_ENREF_44" w:tooltip="Chambers, 1992 #893" w:history="1">
        <w:r w:rsidR="00950097" w:rsidRPr="009819CE">
          <w:rPr>
            <w:rFonts w:cstheme="minorBidi"/>
            <w:noProof/>
          </w:rPr>
          <w:t>Chambers and Hastie, 1992</w:t>
        </w:r>
      </w:hyperlink>
      <w:r w:rsidR="00A8698B" w:rsidRPr="009819CE">
        <w:rPr>
          <w:rFonts w:cstheme="minorBidi"/>
          <w:noProof/>
        </w:rPr>
        <w:t>)</w:t>
      </w:r>
      <w:r w:rsidRPr="009819CE">
        <w:rPr>
          <w:rFonts w:cstheme="minorBidi"/>
        </w:rPr>
        <w:fldChar w:fldCharType="end"/>
      </w:r>
      <w:r w:rsidRPr="009819CE">
        <w:rPr>
          <w:rFonts w:cstheme="minorBidi"/>
        </w:rPr>
        <w:t xml:space="preserve"> was used to compare multiple groups (parametric) and Kruskal-Wallis (“kruskal.test()”) </w:t>
      </w:r>
      <w:r w:rsidRPr="009819CE">
        <w:rPr>
          <w:rFonts w:cstheme="minorBidi"/>
        </w:rPr>
        <w:fldChar w:fldCharType="begin"/>
      </w:r>
      <w:r w:rsidR="00D50EFF" w:rsidRPr="009819CE">
        <w:rPr>
          <w:rFonts w:cstheme="minorBidi"/>
        </w:rPr>
        <w:instrText xml:space="preserve"> ADDIN EN.CITE &lt;EndNote&gt;&lt;Cite&gt;&lt;Author&gt;Hollander&lt;/Author&gt;&lt;Year&gt;2013&lt;/Year&gt;&lt;RecNum&gt;892&lt;/RecNum&gt;&lt;DisplayText&gt;(Hollander et al., 2013)&lt;/DisplayText&gt;&lt;record&gt;&lt;rec-number&gt;892&lt;/rec-number&gt;&lt;foreign-keys&gt;&lt;key app="EN" db-id="sd9wrx9fj09rx3erprsx999o0r5aprvp2zse" timestamp="1687855901" guid="b2faf6ec-f6a8-4c6b-b78c-5f232753e4b6"&gt;892&lt;/key&gt;&lt;/foreign-keys&gt;&lt;ref-type name="Book"&gt;6&lt;/ref-type&gt;&lt;contributors&gt;&lt;authors&gt;&lt;author&gt;Hollander, Myles&lt;/author&gt;&lt;author&gt;Wolfe, Douglas A.&lt;/author&gt;&lt;author&gt;Chicken, Eric&lt;/author&gt;&lt;/authors&gt;&lt;/contributors&gt;&lt;titles&gt;&lt;title&gt;Nonparametric statistical methods, Wiley Series in Probability and Statistics&lt;/title&gt;&lt;/titles&gt;&lt;pages&gt;848-848&lt;/pages&gt;&lt;dates&gt;&lt;year&gt;2013&lt;/year&gt;&lt;/dates&gt;&lt;publisher&gt;Wiley&lt;/publisher&gt;&lt;isbn&gt;978-0-470-38737-5&lt;/isbn&gt;&lt;urls&gt;&lt;related-urls&gt;&lt;url&gt;https://www.wiley.com/en-us/Nonparametric+Statistical+Methods%2C+3rd+Edition-p-9780470387375&lt;/url&gt;&lt;/related-urls&gt;&lt;/urls&gt;&lt;/record&gt;&lt;/Cite&gt;&lt;/EndNote&gt;</w:instrText>
      </w:r>
      <w:r w:rsidRPr="009819CE">
        <w:rPr>
          <w:rFonts w:cstheme="minorBidi"/>
        </w:rPr>
        <w:fldChar w:fldCharType="separate"/>
      </w:r>
      <w:r w:rsidR="00D50EFF" w:rsidRPr="009819CE">
        <w:rPr>
          <w:rFonts w:cstheme="minorBidi"/>
        </w:rPr>
        <w:t>(</w:t>
      </w:r>
      <w:hyperlink w:anchor="_ENREF_133" w:tooltip="Hollander, 2013 #892" w:history="1">
        <w:r w:rsidR="00950097" w:rsidRPr="009819CE">
          <w:rPr>
            <w:rFonts w:cstheme="minorBidi"/>
          </w:rPr>
          <w:t>Hollander et al., 2013</w:t>
        </w:r>
      </w:hyperlink>
      <w:r w:rsidR="00D50EFF" w:rsidRPr="009819CE">
        <w:rPr>
          <w:rFonts w:cstheme="minorBidi"/>
        </w:rPr>
        <w:t>)</w:t>
      </w:r>
      <w:r w:rsidRPr="009819CE">
        <w:rPr>
          <w:rFonts w:cstheme="minorBidi"/>
        </w:rPr>
        <w:fldChar w:fldCharType="end"/>
      </w:r>
      <w:r w:rsidRPr="009819CE">
        <w:rPr>
          <w:rFonts w:cstheme="minorBidi"/>
        </w:rPr>
        <w:t xml:space="preserve"> to compare multiple groups (non-parametric)</w:t>
      </w:r>
      <w:r w:rsidRPr="009819CE">
        <w:rPr>
          <w:rFonts w:cstheme="minorBidi"/>
          <w:color w:val="000000"/>
        </w:rPr>
        <w:t xml:space="preserve">. Percentage data such as the HSI and the GSI </w:t>
      </w:r>
      <w:r w:rsidRPr="009819CE">
        <w:rPr>
          <w:rFonts w:cstheme="minorBidi"/>
        </w:rPr>
        <w:t xml:space="preserve">within the female population, </w:t>
      </w:r>
      <w:r w:rsidRPr="009819CE">
        <w:rPr>
          <w:rFonts w:cstheme="minorBidi"/>
          <w:color w:val="000000"/>
        </w:rPr>
        <w:t xml:space="preserve">were arcsine transformed prior to applying any statistical analysis. </w:t>
      </w:r>
      <w:r w:rsidRPr="009819CE">
        <w:rPr>
          <w:rFonts w:cstheme="minorBidi"/>
        </w:rPr>
        <w:t>P values &lt; 0.05 were considered significant.</w:t>
      </w:r>
    </w:p>
    <w:p w14:paraId="02834448" w14:textId="77777777" w:rsidR="00F36ABA" w:rsidRPr="009819CE" w:rsidRDefault="00F36ABA" w:rsidP="00F36ABA">
      <w:pPr>
        <w:pStyle w:val="Heading2"/>
        <w:rPr>
          <w:rFonts w:cstheme="minorBidi"/>
        </w:rPr>
      </w:pPr>
      <w:bookmarkStart w:id="186" w:name="_Toc204106620"/>
      <w:r w:rsidRPr="009819CE">
        <w:rPr>
          <w:rFonts w:cstheme="minorBidi"/>
        </w:rPr>
        <w:t>Results</w:t>
      </w:r>
      <w:bookmarkEnd w:id="186"/>
    </w:p>
    <w:p w14:paraId="00DF3DED" w14:textId="77D8F9DC" w:rsidR="00F36ABA" w:rsidRPr="009819CE" w:rsidRDefault="00C31E47" w:rsidP="009A5465">
      <w:pPr>
        <w:pStyle w:val="Heading3"/>
        <w:rPr>
          <w:rFonts w:cstheme="minorBidi"/>
          <w:iCs/>
        </w:rPr>
      </w:pPr>
      <w:bookmarkStart w:id="187" w:name="_Toc204106621"/>
      <w:r w:rsidRPr="009819CE">
        <w:rPr>
          <w:rFonts w:cstheme="minorBidi"/>
          <w:i/>
        </w:rPr>
        <w:t>Nephrops</w:t>
      </w:r>
      <w:r w:rsidR="00F36ABA" w:rsidRPr="009819CE">
        <w:rPr>
          <w:rFonts w:cstheme="minorBidi"/>
        </w:rPr>
        <w:t xml:space="preserve"> population trends</w:t>
      </w:r>
      <w:bookmarkEnd w:id="187"/>
    </w:p>
    <w:p w14:paraId="0F575052" w14:textId="27E8A5B5" w:rsidR="00F36ABA" w:rsidRPr="009819CE" w:rsidRDefault="00F36ABA" w:rsidP="002E71D1">
      <w:pPr>
        <w:rPr>
          <w:rFonts w:cstheme="minorBidi"/>
        </w:rPr>
      </w:pPr>
      <w:r w:rsidRPr="009819CE">
        <w:rPr>
          <w:rFonts w:cstheme="minorBidi"/>
        </w:rPr>
        <w:t xml:space="preserve">The sex ratio of </w:t>
      </w:r>
      <w:r w:rsidR="00C31E47" w:rsidRPr="009819CE">
        <w:rPr>
          <w:rFonts w:cstheme="minorBidi"/>
          <w:i/>
        </w:rPr>
        <w:t>Nephrops</w:t>
      </w:r>
      <w:r w:rsidRPr="009819CE">
        <w:rPr>
          <w:rFonts w:cstheme="minorBidi"/>
        </w:rPr>
        <w:t xml:space="preserve"> trawled from November 2018 to September 2019, including both patently infected animals by BCM and PM and non-infected animals</w:t>
      </w:r>
      <w:r w:rsidR="00A04676" w:rsidRPr="00FA7D47">
        <w:rPr>
          <w:rFonts w:cstheme="minorBidi"/>
        </w:rPr>
        <w:t xml:space="preserve"> (by PM)</w:t>
      </w:r>
      <w:r w:rsidRPr="009819CE">
        <w:rPr>
          <w:rFonts w:cstheme="minorBidi"/>
        </w:rPr>
        <w:t xml:space="preserve">, is depicted in </w:t>
      </w:r>
      <w:r w:rsidRPr="009819CE">
        <w:rPr>
          <w:rFonts w:cstheme="minorBidi"/>
          <w:b/>
          <w:bCs/>
        </w:rPr>
        <w:fldChar w:fldCharType="begin"/>
      </w:r>
      <w:r w:rsidRPr="009819CE">
        <w:rPr>
          <w:rFonts w:cstheme="minorBidi"/>
        </w:rPr>
        <w:instrText xml:space="preserve"> REF _Ref114492000 \h </w:instrText>
      </w:r>
      <w:r w:rsidRPr="009819CE">
        <w:rPr>
          <w:rFonts w:cstheme="minorBidi"/>
          <w:b/>
          <w:bCs/>
        </w:rPr>
        <w:instrText xml:space="preserve"> \* MERGEFORMAT </w:instrText>
      </w:r>
      <w:r w:rsidRPr="009819CE">
        <w:rPr>
          <w:rFonts w:cstheme="minorBidi"/>
          <w:b/>
          <w:bCs/>
        </w:rPr>
      </w:r>
      <w:r w:rsidRPr="009819CE">
        <w:rPr>
          <w:rFonts w:cstheme="minorBidi"/>
          <w:b/>
          <w:bCs/>
        </w:rPr>
        <w:fldChar w:fldCharType="separate"/>
      </w:r>
      <w:r w:rsidR="008549FC" w:rsidRPr="008549FC">
        <w:rPr>
          <w:rFonts w:cstheme="minorBidi"/>
          <w:b/>
        </w:rPr>
        <w:t>Figure 2.3</w:t>
      </w:r>
      <w:r w:rsidRPr="009819CE">
        <w:rPr>
          <w:rFonts w:cstheme="minorBidi"/>
          <w:b/>
          <w:bCs/>
        </w:rPr>
        <w:fldChar w:fldCharType="end"/>
      </w:r>
      <w:r w:rsidRPr="009819CE">
        <w:rPr>
          <w:rFonts w:cstheme="minorBidi"/>
        </w:rPr>
        <w:t>. During the period from November to April, males were the predominant gender in the trawl catch, accounting for 62% to 71% of the specimens. However, from May to August, the percentage of females exceeded that of males, with values ranging from 79% to 84%. Overall, the number of males (n=847) and females (n=892) examined in this study was relatively similar. Additional information regarding the sex ratio can be found in</w:t>
      </w:r>
      <w:r w:rsidR="00BA0759" w:rsidRPr="009819CE">
        <w:rPr>
          <w:rFonts w:cstheme="minorBidi"/>
        </w:rPr>
        <w:t xml:space="preserve"> </w:t>
      </w:r>
      <w:r w:rsidR="008157E5" w:rsidRPr="009819CE">
        <w:rPr>
          <w:rFonts w:cstheme="minorBidi"/>
          <w:color w:val="000000" w:themeColor="text1"/>
        </w:rPr>
        <w:t>supplementary</w:t>
      </w:r>
      <w:r w:rsidR="007E20D0" w:rsidRPr="009819CE">
        <w:rPr>
          <w:rFonts w:cstheme="minorBidi"/>
        </w:rPr>
        <w:t xml:space="preserve"> </w:t>
      </w:r>
      <w:r w:rsidR="007E20D0" w:rsidRPr="009819CE">
        <w:rPr>
          <w:rFonts w:cstheme="minorBidi"/>
        </w:rPr>
        <w:fldChar w:fldCharType="begin"/>
      </w:r>
      <w:r w:rsidR="007E20D0" w:rsidRPr="009819CE">
        <w:rPr>
          <w:rFonts w:cstheme="minorBidi"/>
        </w:rPr>
        <w:instrText xml:space="preserve"> REF _Ref171357929 \h </w:instrText>
      </w:r>
      <w:r w:rsidR="008B0BF3" w:rsidRPr="009819CE">
        <w:rPr>
          <w:rFonts w:cstheme="minorBidi"/>
        </w:rPr>
        <w:instrText xml:space="preserve"> \* MERGEFORMAT </w:instrText>
      </w:r>
      <w:r w:rsidR="007E20D0" w:rsidRPr="009819CE">
        <w:rPr>
          <w:rFonts w:cstheme="minorBidi"/>
        </w:rPr>
      </w:r>
      <w:r w:rsidR="007E20D0" w:rsidRPr="009819CE">
        <w:rPr>
          <w:rFonts w:cstheme="minorBidi"/>
        </w:rPr>
        <w:fldChar w:fldCharType="separate"/>
      </w:r>
      <w:r w:rsidR="008549FC" w:rsidRPr="009819CE">
        <w:rPr>
          <w:rFonts w:cstheme="minorBidi"/>
          <w:b/>
          <w:bCs/>
        </w:rPr>
        <w:t xml:space="preserve">Table S2. </w:t>
      </w:r>
      <w:r w:rsidR="008549FC">
        <w:rPr>
          <w:rFonts w:cstheme="minorBidi"/>
          <w:b/>
          <w:bCs/>
        </w:rPr>
        <w:t>2</w:t>
      </w:r>
      <w:r w:rsidR="007E20D0" w:rsidRPr="009819CE">
        <w:rPr>
          <w:rFonts w:cstheme="minorBidi"/>
        </w:rPr>
        <w:fldChar w:fldCharType="end"/>
      </w:r>
      <w:r w:rsidRPr="009819CE">
        <w:rPr>
          <w:rFonts w:cstheme="minorBid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5A2B63D3" w14:textId="77777777" w:rsidTr="007D6607">
        <w:tc>
          <w:tcPr>
            <w:tcW w:w="9350" w:type="dxa"/>
          </w:tcPr>
          <w:p w14:paraId="23B10C23" w14:textId="77777777" w:rsidR="00F36ABA" w:rsidRPr="009819CE" w:rsidRDefault="00F36ABA" w:rsidP="007D6607">
            <w:pPr>
              <w:spacing w:line="240" w:lineRule="auto"/>
              <w:rPr>
                <w:rFonts w:cstheme="minorBidi"/>
                <w:lang w:val="en-GB"/>
              </w:rPr>
            </w:pPr>
            <w:r w:rsidRPr="00FF34FE">
              <w:rPr>
                <w:rFonts w:cstheme="minorBidi"/>
                <w:noProof/>
              </w:rPr>
              <w:drawing>
                <wp:inline distT="0" distB="0" distL="0" distR="0" wp14:anchorId="5D136272" wp14:editId="4BB49744">
                  <wp:extent cx="5486400" cy="3657600"/>
                  <wp:effectExtent l="0" t="0" r="0" b="0"/>
                  <wp:docPr id="9" name="Picture 9"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with numbers and a line&#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tc>
      </w:tr>
      <w:tr w:rsidR="00F36ABA" w:rsidRPr="00FA7D47" w14:paraId="480AC63E" w14:textId="77777777" w:rsidTr="007D6607">
        <w:tc>
          <w:tcPr>
            <w:tcW w:w="9350" w:type="dxa"/>
          </w:tcPr>
          <w:p w14:paraId="4DA18226" w14:textId="7F8DEEF2" w:rsidR="00F36ABA" w:rsidRPr="009819CE" w:rsidRDefault="00F36ABA" w:rsidP="007D6607">
            <w:pPr>
              <w:spacing w:line="240" w:lineRule="auto"/>
              <w:rPr>
                <w:rFonts w:cstheme="minorBidi"/>
                <w:sz w:val="22"/>
                <w:szCs w:val="22"/>
                <w:lang w:val="en-GB"/>
              </w:rPr>
            </w:pPr>
            <w:bookmarkStart w:id="188" w:name="_Ref114492000"/>
            <w:bookmarkStart w:id="189" w:name="_Toc204106709"/>
            <w:r w:rsidRPr="009819CE">
              <w:rPr>
                <w:rFonts w:cstheme="minorBidi"/>
                <w:b/>
                <w:sz w:val="22"/>
                <w:szCs w:val="22"/>
                <w:lang w:val="en-GB"/>
              </w:rPr>
              <w:t>Figure 2.</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3</w:t>
            </w:r>
            <w:r w:rsidRPr="007268F5">
              <w:rPr>
                <w:rFonts w:cstheme="minorBidi"/>
                <w:b/>
              </w:rPr>
              <w:fldChar w:fldCharType="end"/>
            </w:r>
            <w:bookmarkEnd w:id="188"/>
            <w:r w:rsidRPr="009819CE">
              <w:rPr>
                <w:rFonts w:cstheme="minorBidi"/>
                <w:sz w:val="22"/>
                <w:szCs w:val="22"/>
                <w:lang w:val="en-GB"/>
              </w:rPr>
              <w:t xml:space="preserve"> Sex ratio distribution found in the monthly samples of </w:t>
            </w:r>
            <w:r w:rsidR="00C31E47" w:rsidRPr="009819CE">
              <w:rPr>
                <w:rFonts w:cstheme="minorBidi"/>
                <w:i/>
                <w:sz w:val="22"/>
                <w:szCs w:val="22"/>
                <w:lang w:val="en-GB"/>
              </w:rPr>
              <w:t>Nephrops</w:t>
            </w:r>
            <w:r w:rsidRPr="009819CE">
              <w:rPr>
                <w:rFonts w:cstheme="minorBidi"/>
                <w:sz w:val="22"/>
                <w:szCs w:val="22"/>
                <w:lang w:val="en-GB"/>
              </w:rPr>
              <w:t xml:space="preserve"> captured from the CSA site between November 2018 and September 2019.</w:t>
            </w:r>
            <w:bookmarkEnd w:id="189"/>
          </w:p>
        </w:tc>
      </w:tr>
    </w:tbl>
    <w:p w14:paraId="60641B94" w14:textId="77777777" w:rsidR="00F36ABA" w:rsidRPr="009819CE" w:rsidRDefault="00F36ABA" w:rsidP="00F36ABA">
      <w:pPr>
        <w:rPr>
          <w:rFonts w:cstheme="minorBidi"/>
        </w:rPr>
      </w:pPr>
    </w:p>
    <w:p w14:paraId="7B82DB8C" w14:textId="15B7CBEA" w:rsidR="00F36ABA" w:rsidRPr="009819CE" w:rsidRDefault="00F36ABA" w:rsidP="00F36ABA">
      <w:pPr>
        <w:rPr>
          <w:rFonts w:cstheme="minorBidi"/>
        </w:rPr>
      </w:pPr>
      <w:r w:rsidRPr="009819CE">
        <w:rPr>
          <w:rFonts w:cstheme="minorBidi"/>
        </w:rPr>
        <w:t xml:space="preserve">Female carapace length (CL) ranged from 18.3 to 59.3 mm, while males had CL measurements ranging from 19.6 to 56.6 mm. The distribution of CL for each sex throughout the sampling period can be observed in </w:t>
      </w:r>
      <w:r w:rsidRPr="009819CE">
        <w:rPr>
          <w:rFonts w:cstheme="minorBidi"/>
        </w:rPr>
        <w:fldChar w:fldCharType="begin"/>
      </w:r>
      <w:r w:rsidRPr="009819CE">
        <w:rPr>
          <w:rFonts w:cstheme="minorBidi"/>
        </w:rPr>
        <w:instrText xml:space="preserve"> REF _Ref114501248 \h  \* MERGEFORMAT </w:instrText>
      </w:r>
      <w:r w:rsidRPr="009819CE">
        <w:rPr>
          <w:rFonts w:cstheme="minorBidi"/>
        </w:rPr>
      </w:r>
      <w:r w:rsidRPr="009819CE">
        <w:rPr>
          <w:rFonts w:cstheme="minorBidi"/>
        </w:rPr>
        <w:fldChar w:fldCharType="separate"/>
      </w:r>
      <w:r w:rsidR="008549FC" w:rsidRPr="009819CE">
        <w:rPr>
          <w:rFonts w:cstheme="minorBidi"/>
          <w:b/>
        </w:rPr>
        <w:t>Figure 2.</w:t>
      </w:r>
      <w:r w:rsidR="008549FC" w:rsidRPr="008549FC">
        <w:rPr>
          <w:rFonts w:cstheme="minorBidi"/>
          <w:b/>
        </w:rPr>
        <w:t>4</w:t>
      </w:r>
      <w:r w:rsidRPr="009819CE">
        <w:rPr>
          <w:rFonts w:cstheme="minorBidi"/>
        </w:rPr>
        <w:fldChar w:fldCharType="end"/>
      </w:r>
      <w:r w:rsidRPr="009819CE">
        <w:rPr>
          <w:rFonts w:cstheme="minorBidi"/>
        </w:rPr>
        <w:t>. During the winter, the majority of females (81.8%) had a CL less than 30 mm, whereas during the summer, the majority (86.2%) had a CL greater than 30 mm. Notably, significant differences in carapace length were observed across all four seasons (Kruskal-Wallis: cl ~ season, data=res; df=3; P=2.2e-16)</w:t>
      </w:r>
      <w:r w:rsidR="00A543D0" w:rsidRPr="009819CE">
        <w:rPr>
          <w:rFonts w:cstheme="minorBidi"/>
        </w:rPr>
        <w:t xml:space="preserve"> (refer to</w:t>
      </w:r>
      <w:r w:rsidR="00BA0759" w:rsidRPr="009819CE">
        <w:rPr>
          <w:rFonts w:cstheme="minorBidi"/>
        </w:rPr>
        <w:t xml:space="preserve"> </w:t>
      </w:r>
      <w:r w:rsidR="008157E5" w:rsidRPr="009819CE">
        <w:rPr>
          <w:rFonts w:cstheme="minorBidi"/>
          <w:color w:val="000000" w:themeColor="text1"/>
        </w:rPr>
        <w:t>supplementary</w:t>
      </w:r>
      <w:r w:rsidR="00BA0759" w:rsidRPr="009819CE">
        <w:rPr>
          <w:rFonts w:cstheme="minorBidi"/>
          <w:color w:val="000000" w:themeColor="text1"/>
        </w:rPr>
        <w:t xml:space="preserve"> </w:t>
      </w:r>
      <w:r w:rsidR="00A543D0" w:rsidRPr="009819CE">
        <w:rPr>
          <w:rStyle w:val="CommentReference"/>
          <w:rFonts w:eastAsia="Calibri" w:cs="Arial"/>
        </w:rPr>
        <w:fldChar w:fldCharType="begin"/>
      </w:r>
      <w:r w:rsidR="00A543D0" w:rsidRPr="009819CE">
        <w:rPr>
          <w:rFonts w:cstheme="minorBidi"/>
        </w:rPr>
        <w:instrText xml:space="preserve"> REF _Ref171357929 \h </w:instrText>
      </w:r>
      <w:r w:rsidR="008B0BF3" w:rsidRPr="009819CE">
        <w:rPr>
          <w:rStyle w:val="CommentReference"/>
          <w:rFonts w:eastAsia="Calibri" w:cs="Arial"/>
        </w:rPr>
        <w:instrText xml:space="preserve"> \* MERGEFORMAT </w:instrText>
      </w:r>
      <w:r w:rsidR="00A543D0" w:rsidRPr="009819CE">
        <w:rPr>
          <w:rStyle w:val="CommentReference"/>
          <w:rFonts w:eastAsia="Calibri" w:cs="Arial"/>
        </w:rPr>
      </w:r>
      <w:r w:rsidR="00A543D0" w:rsidRPr="009819CE">
        <w:rPr>
          <w:rStyle w:val="CommentReference"/>
          <w:rFonts w:eastAsia="Calibri" w:cs="Arial"/>
        </w:rPr>
        <w:fldChar w:fldCharType="separate"/>
      </w:r>
      <w:r w:rsidR="008549FC" w:rsidRPr="009819CE">
        <w:rPr>
          <w:rFonts w:cstheme="minorBidi"/>
          <w:b/>
          <w:bCs/>
        </w:rPr>
        <w:t xml:space="preserve">Table S2. </w:t>
      </w:r>
      <w:r w:rsidR="008549FC">
        <w:rPr>
          <w:rFonts w:cstheme="minorBidi"/>
          <w:b/>
          <w:bCs/>
        </w:rPr>
        <w:t>2</w:t>
      </w:r>
      <w:r w:rsidR="00A543D0" w:rsidRPr="009819CE">
        <w:rPr>
          <w:rStyle w:val="CommentReference"/>
          <w:rFonts w:eastAsia="Calibri" w:cs="Arial"/>
        </w:rPr>
        <w:fldChar w:fldCharType="end"/>
      </w:r>
      <w:r w:rsidR="00A543D0" w:rsidRPr="009819CE">
        <w:rPr>
          <w:rFonts w:cstheme="minorBidi"/>
        </w:rPr>
        <w:t>)</w:t>
      </w:r>
      <w:r w:rsidRPr="009819CE">
        <w:rPr>
          <w:rFonts w:cstheme="minorBidi"/>
        </w:rPr>
        <w:t>, dates (Kruskal-Wallis: cl ~ date, data=res; df=11; P=2.2e-16), and between sexes (Wilcoxon: cl ~ sex, data=res; df=1; P=7.3e-05).</w:t>
      </w:r>
    </w:p>
    <w:tbl>
      <w:tblPr>
        <w:tblStyle w:val="TableGrid"/>
        <w:tblpPr w:leftFromText="180" w:rightFromText="180" w:vertAnchor="text" w:horzAnchor="margin"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7ACBC85B" w14:textId="77777777" w:rsidTr="007268F5">
        <w:trPr>
          <w:trHeight w:val="6379"/>
        </w:trPr>
        <w:tc>
          <w:tcPr>
            <w:tcW w:w="5000" w:type="pct"/>
          </w:tcPr>
          <w:p w14:paraId="0C3CF544" w14:textId="1FECC3DF" w:rsidR="00571CBC" w:rsidRPr="007268F5" w:rsidRDefault="00571CBC" w:rsidP="00571CBC">
            <w:pPr>
              <w:pStyle w:val="NormalWeb"/>
              <w:rPr>
                <w:rFonts w:ascii="Times New Roman" w:hAnsi="Times New Roman"/>
                <w:lang w:val="en-GB"/>
              </w:rPr>
            </w:pPr>
            <w:r w:rsidRPr="00FF34FE">
              <w:rPr>
                <w:rFonts w:ascii="Times New Roman" w:hAnsi="Times New Roman"/>
                <w:noProof/>
              </w:rPr>
              <w:drawing>
                <wp:inline distT="0" distB="0" distL="0" distR="0" wp14:anchorId="1FC60F12" wp14:editId="4E231396">
                  <wp:extent cx="5647699" cy="3765550"/>
                  <wp:effectExtent l="0" t="0" r="0" b="6350"/>
                  <wp:docPr id="8450694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47723" cy="3765566"/>
                          </a:xfrm>
                          <a:prstGeom prst="rect">
                            <a:avLst/>
                          </a:prstGeom>
                          <a:noFill/>
                          <a:ln>
                            <a:noFill/>
                          </a:ln>
                        </pic:spPr>
                      </pic:pic>
                    </a:graphicData>
                  </a:graphic>
                </wp:inline>
              </w:drawing>
            </w:r>
          </w:p>
          <w:p w14:paraId="662D8171" w14:textId="1999EF5F" w:rsidR="00F36ABA" w:rsidRPr="009819CE" w:rsidRDefault="00F36ABA" w:rsidP="007D6607">
            <w:pPr>
              <w:spacing w:after="0" w:line="240" w:lineRule="auto"/>
              <w:jc w:val="center"/>
              <w:rPr>
                <w:rFonts w:cstheme="minorBidi"/>
                <w:lang w:val="en-GB"/>
              </w:rPr>
            </w:pPr>
          </w:p>
        </w:tc>
      </w:tr>
      <w:tr w:rsidR="00F36ABA" w:rsidRPr="00FA7D47" w14:paraId="78D566BE" w14:textId="77777777" w:rsidTr="007D6607">
        <w:tc>
          <w:tcPr>
            <w:tcW w:w="5000" w:type="pct"/>
          </w:tcPr>
          <w:p w14:paraId="76D23202" w14:textId="1A65769E" w:rsidR="00F36ABA" w:rsidRPr="009819CE" w:rsidRDefault="00F36ABA" w:rsidP="007D6607">
            <w:pPr>
              <w:pStyle w:val="Labels"/>
              <w:rPr>
                <w:rFonts w:asciiTheme="minorBidi" w:hAnsiTheme="minorBidi" w:cstheme="minorBidi"/>
                <w:lang w:val="en-GB"/>
              </w:rPr>
            </w:pPr>
            <w:bookmarkStart w:id="190" w:name="_Ref114501248"/>
            <w:bookmarkStart w:id="191" w:name="_Toc204106710"/>
            <w:r w:rsidRPr="009819CE">
              <w:rPr>
                <w:rFonts w:asciiTheme="minorBidi" w:hAnsiTheme="minorBidi" w:cstheme="minorBidi"/>
                <w:b/>
                <w:bCs w:val="0"/>
                <w:lang w:val="en-GB"/>
              </w:rPr>
              <w:t>Figure 2.</w:t>
            </w:r>
            <w:r w:rsidRPr="009819CE">
              <w:rPr>
                <w:rFonts w:asciiTheme="minorBidi" w:hAnsiTheme="minorBidi" w:cstheme="minorBidi"/>
                <w:b/>
                <w:bCs w:val="0"/>
                <w:lang w:val="en-GB"/>
              </w:rPr>
              <w:fldChar w:fldCharType="begin"/>
            </w:r>
            <w:r w:rsidRPr="009819CE">
              <w:rPr>
                <w:rFonts w:asciiTheme="minorBidi" w:hAnsiTheme="minorBidi" w:cstheme="minorBidi"/>
                <w:b/>
                <w:bCs w:val="0"/>
                <w:lang w:val="en-GB"/>
              </w:rPr>
              <w:instrText xml:space="preserve"> SEQ Figure \* ARABIC \s 1 </w:instrText>
            </w:r>
            <w:r w:rsidRPr="009819CE">
              <w:rPr>
                <w:rFonts w:asciiTheme="minorBidi" w:hAnsiTheme="minorBidi" w:cstheme="minorBidi"/>
                <w:b/>
                <w:bCs w:val="0"/>
                <w:lang w:val="en-GB"/>
              </w:rPr>
              <w:fldChar w:fldCharType="separate"/>
            </w:r>
            <w:r w:rsidR="008549FC">
              <w:rPr>
                <w:rFonts w:asciiTheme="minorBidi" w:hAnsiTheme="minorBidi" w:cstheme="minorBidi"/>
                <w:b/>
                <w:bCs w:val="0"/>
                <w:noProof/>
                <w:lang w:val="en-GB"/>
              </w:rPr>
              <w:t>4</w:t>
            </w:r>
            <w:r w:rsidRPr="009819CE">
              <w:rPr>
                <w:rFonts w:asciiTheme="minorBidi" w:hAnsiTheme="minorBidi" w:cstheme="minorBidi"/>
                <w:b/>
                <w:bCs w:val="0"/>
                <w:lang w:val="en-GB"/>
              </w:rPr>
              <w:fldChar w:fldCharType="end"/>
            </w:r>
            <w:bookmarkEnd w:id="190"/>
            <w:r w:rsidRPr="009819CE">
              <w:rPr>
                <w:rFonts w:asciiTheme="minorBidi" w:hAnsiTheme="minorBidi" w:cstheme="minorBidi"/>
                <w:lang w:val="en-GB"/>
              </w:rPr>
              <w:t xml:space="preserve"> </w:t>
            </w:r>
            <w:r w:rsidR="004F0BD1" w:rsidRPr="00FA7D47">
              <w:rPr>
                <w:rFonts w:asciiTheme="minorBidi" w:hAnsiTheme="minorBidi" w:cstheme="minorBidi"/>
                <w:lang w:val="en-GB"/>
              </w:rPr>
              <w:t xml:space="preserve">Mean </w:t>
            </w:r>
            <w:r w:rsidRPr="009819CE">
              <w:rPr>
                <w:rFonts w:asciiTheme="minorBidi" w:hAnsiTheme="minorBidi" w:cstheme="minorBidi"/>
                <w:lang w:val="en-GB"/>
              </w:rPr>
              <w:t xml:space="preserve">CL (mm) of males and females found in the monthly samples of </w:t>
            </w:r>
            <w:r w:rsidR="00C31E47" w:rsidRPr="009819CE">
              <w:rPr>
                <w:rFonts w:asciiTheme="minorBidi" w:hAnsiTheme="minorBidi" w:cstheme="minorBidi"/>
                <w:i/>
                <w:lang w:val="en-GB"/>
              </w:rPr>
              <w:t>Nephrops</w:t>
            </w:r>
            <w:r w:rsidRPr="009819CE">
              <w:rPr>
                <w:rFonts w:asciiTheme="minorBidi" w:hAnsiTheme="minorBidi" w:cstheme="minorBidi"/>
                <w:lang w:val="en-GB"/>
              </w:rPr>
              <w:t xml:space="preserve"> captured from the CSA site between November </w:t>
            </w:r>
            <w:r w:rsidRPr="009819CE">
              <w:rPr>
                <w:rFonts w:asciiTheme="minorBidi" w:hAnsiTheme="minorBidi" w:cstheme="minorBidi"/>
                <w:szCs w:val="22"/>
                <w:lang w:val="en-GB"/>
              </w:rPr>
              <w:t>2018</w:t>
            </w:r>
            <w:r w:rsidRPr="009819CE">
              <w:rPr>
                <w:rFonts w:asciiTheme="minorBidi" w:hAnsiTheme="minorBidi" w:cstheme="minorBidi"/>
                <w:lang w:val="en-GB"/>
              </w:rPr>
              <w:t xml:space="preserve"> and September 2019</w:t>
            </w:r>
            <w:bookmarkEnd w:id="191"/>
          </w:p>
        </w:tc>
      </w:tr>
    </w:tbl>
    <w:p w14:paraId="2DD37625" w14:textId="77777777" w:rsidR="00F36ABA" w:rsidRPr="009819CE" w:rsidRDefault="00F36ABA" w:rsidP="00F36ABA">
      <w:pPr>
        <w:rPr>
          <w:rFonts w:cstheme="minorBidi"/>
        </w:rPr>
      </w:pPr>
    </w:p>
    <w:p w14:paraId="24682B4E" w14:textId="05A1B233" w:rsidR="00F36ABA" w:rsidRPr="009819CE" w:rsidRDefault="00F36ABA" w:rsidP="00F36ABA">
      <w:pPr>
        <w:rPr>
          <w:rFonts w:cstheme="minorBidi"/>
        </w:rPr>
      </w:pPr>
      <w:r w:rsidRPr="009819CE">
        <w:rPr>
          <w:rFonts w:cstheme="minorBidi"/>
        </w:rPr>
        <w:t xml:space="preserve">The distribution of mature and immature individuals across the sampling period is presented in </w:t>
      </w:r>
      <w:r w:rsidRPr="009819CE">
        <w:rPr>
          <w:rFonts w:cstheme="minorBidi"/>
          <w:b/>
          <w:bCs/>
        </w:rPr>
        <w:fldChar w:fldCharType="begin"/>
      </w:r>
      <w:r w:rsidRPr="009819CE">
        <w:rPr>
          <w:rFonts w:cstheme="minorBidi"/>
          <w:b/>
          <w:bCs/>
        </w:rPr>
        <w:instrText xml:space="preserve"> REF _Ref110878947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2.5</w:t>
      </w:r>
      <w:r w:rsidRPr="009819CE">
        <w:rPr>
          <w:rFonts w:cstheme="minorBidi"/>
          <w:b/>
          <w:bCs/>
        </w:rPr>
        <w:fldChar w:fldCharType="end"/>
      </w:r>
      <w:r w:rsidRPr="009819CE">
        <w:rPr>
          <w:rFonts w:cstheme="minorBidi"/>
        </w:rPr>
        <w:t xml:space="preserve"> and</w:t>
      </w:r>
      <w:r w:rsidR="00BA0759" w:rsidRPr="009819CE">
        <w:rPr>
          <w:rFonts w:cstheme="minorBidi"/>
        </w:rPr>
        <w:t xml:space="preserve"> </w:t>
      </w:r>
      <w:r w:rsidR="008157E5" w:rsidRPr="009819CE">
        <w:rPr>
          <w:rFonts w:cstheme="minorBidi"/>
          <w:color w:val="000000" w:themeColor="text1"/>
        </w:rPr>
        <w:t>supplementary</w:t>
      </w:r>
      <w:r w:rsidR="002D70F3" w:rsidRPr="009819CE">
        <w:rPr>
          <w:rFonts w:cstheme="minorBidi"/>
        </w:rPr>
        <w:t xml:space="preserve"> </w:t>
      </w:r>
      <w:r w:rsidR="002D70F3" w:rsidRPr="009819CE">
        <w:rPr>
          <w:rFonts w:cstheme="minorBidi"/>
        </w:rPr>
        <w:fldChar w:fldCharType="begin"/>
      </w:r>
      <w:r w:rsidR="002D70F3" w:rsidRPr="009819CE">
        <w:rPr>
          <w:rFonts w:cstheme="minorBidi"/>
        </w:rPr>
        <w:instrText xml:space="preserve"> REF _Ref171357929 \h </w:instrText>
      </w:r>
      <w:r w:rsidR="008B0BF3" w:rsidRPr="009819CE">
        <w:rPr>
          <w:rFonts w:cstheme="minorBidi"/>
        </w:rPr>
        <w:instrText xml:space="preserve"> \* MERGEFORMAT </w:instrText>
      </w:r>
      <w:r w:rsidR="002D70F3" w:rsidRPr="009819CE">
        <w:rPr>
          <w:rFonts w:cstheme="minorBidi"/>
        </w:rPr>
      </w:r>
      <w:r w:rsidR="002D70F3" w:rsidRPr="009819CE">
        <w:rPr>
          <w:rFonts w:cstheme="minorBidi"/>
        </w:rPr>
        <w:fldChar w:fldCharType="separate"/>
      </w:r>
      <w:r w:rsidR="008549FC" w:rsidRPr="009819CE">
        <w:rPr>
          <w:rFonts w:cstheme="minorBidi"/>
          <w:b/>
          <w:bCs/>
        </w:rPr>
        <w:t xml:space="preserve">Table S2. </w:t>
      </w:r>
      <w:r w:rsidR="008549FC">
        <w:rPr>
          <w:rFonts w:cstheme="minorBidi"/>
          <w:b/>
          <w:bCs/>
        </w:rPr>
        <w:t>2</w:t>
      </w:r>
      <w:r w:rsidR="002D70F3" w:rsidRPr="009819CE">
        <w:rPr>
          <w:rFonts w:cstheme="minorBidi"/>
        </w:rPr>
        <w:fldChar w:fldCharType="end"/>
      </w:r>
      <w:r w:rsidRPr="009819CE">
        <w:rPr>
          <w:rFonts w:cstheme="minorBidi"/>
        </w:rPr>
        <w:t>. Mature individuals were prevalent throughout the year, with female individuals reaching 100% maturity in July. Among males, immature specimens were observed at all sampling points, with November having the highest proportion of immature individuals (51.58%).</w:t>
      </w:r>
    </w:p>
    <w:p w14:paraId="335996CF" w14:textId="77777777" w:rsidR="00334D2E" w:rsidRPr="009819CE" w:rsidRDefault="00334D2E" w:rsidP="00F36ABA">
      <w:pPr>
        <w:rPr>
          <w:rFonts w:cstheme="minorBidi"/>
        </w:rPr>
        <w:sectPr w:rsidR="00334D2E" w:rsidRPr="009819CE" w:rsidSect="00706EB5">
          <w:pgSz w:w="11906" w:h="16838" w:code="9"/>
          <w:pgMar w:top="1440" w:right="1440" w:bottom="1440" w:left="1440" w:header="709" w:footer="709" w:gutter="0"/>
          <w:cols w:space="51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35BA8B1F" w14:textId="77777777" w:rsidTr="007D6607">
        <w:tc>
          <w:tcPr>
            <w:tcW w:w="5000" w:type="pct"/>
            <w:shd w:val="clear" w:color="auto" w:fill="auto"/>
          </w:tcPr>
          <w:p w14:paraId="28112B65" w14:textId="3EC35989" w:rsidR="00F36ABA" w:rsidRPr="007268F5" w:rsidRDefault="0068481A" w:rsidP="007268F5">
            <w:pPr>
              <w:spacing w:before="100" w:beforeAutospacing="1" w:after="100" w:afterAutospacing="1" w:line="240" w:lineRule="auto"/>
              <w:jc w:val="center"/>
              <w:rPr>
                <w:rFonts w:ascii="Times New Roman" w:hAnsi="Times New Roman"/>
                <w:lang w:val="en-GB"/>
              </w:rPr>
            </w:pPr>
            <w:r w:rsidRPr="00FF34FE">
              <w:rPr>
                <w:rFonts w:ascii="Times New Roman" w:hAnsi="Times New Roman"/>
                <w:noProof/>
              </w:rPr>
              <w:drawing>
                <wp:inline distT="0" distB="0" distL="0" distR="0" wp14:anchorId="4949A49F" wp14:editId="5371B6A9">
                  <wp:extent cx="3034858" cy="7283450"/>
                  <wp:effectExtent l="0" t="0" r="0" b="0"/>
                  <wp:docPr id="196356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45090" cy="7308005"/>
                          </a:xfrm>
                          <a:prstGeom prst="rect">
                            <a:avLst/>
                          </a:prstGeom>
                          <a:noFill/>
                          <a:ln>
                            <a:noFill/>
                          </a:ln>
                        </pic:spPr>
                      </pic:pic>
                    </a:graphicData>
                  </a:graphic>
                </wp:inline>
              </w:drawing>
            </w:r>
          </w:p>
        </w:tc>
      </w:tr>
      <w:tr w:rsidR="00F36ABA" w:rsidRPr="00FA7D47" w14:paraId="26677C9A" w14:textId="77777777" w:rsidTr="007D6607">
        <w:tc>
          <w:tcPr>
            <w:tcW w:w="5000" w:type="pct"/>
            <w:shd w:val="clear" w:color="auto" w:fill="auto"/>
          </w:tcPr>
          <w:p w14:paraId="5077FE66" w14:textId="344FB044" w:rsidR="00F36ABA" w:rsidRPr="009819CE" w:rsidRDefault="00F36ABA" w:rsidP="007D6607">
            <w:pPr>
              <w:spacing w:line="240" w:lineRule="auto"/>
              <w:rPr>
                <w:rFonts w:cstheme="minorBidi"/>
                <w:sz w:val="22"/>
                <w:szCs w:val="22"/>
                <w:lang w:val="en-GB"/>
              </w:rPr>
            </w:pPr>
            <w:bookmarkStart w:id="192" w:name="_Ref110878947"/>
            <w:bookmarkStart w:id="193" w:name="_Toc204106711"/>
            <w:r w:rsidRPr="009819CE">
              <w:rPr>
                <w:rFonts w:cstheme="minorBidi"/>
                <w:b/>
                <w:sz w:val="22"/>
                <w:szCs w:val="22"/>
                <w:lang w:val="en-GB"/>
              </w:rPr>
              <w:t>Figure 2.</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5</w:t>
            </w:r>
            <w:r w:rsidRPr="007268F5">
              <w:rPr>
                <w:rFonts w:cstheme="minorBidi"/>
                <w:b/>
              </w:rPr>
              <w:fldChar w:fldCharType="end"/>
            </w:r>
            <w:bookmarkEnd w:id="192"/>
            <w:r w:rsidRPr="009819CE">
              <w:rPr>
                <w:rFonts w:cstheme="minorBidi"/>
                <w:sz w:val="22"/>
                <w:szCs w:val="22"/>
                <w:lang w:val="en-GB"/>
              </w:rPr>
              <w:t xml:space="preserve"> </w:t>
            </w:r>
            <w:r w:rsidRPr="009819CE">
              <w:rPr>
                <w:rFonts w:cstheme="minorBidi"/>
                <w:bCs/>
                <w:sz w:val="22"/>
                <w:szCs w:val="22"/>
                <w:lang w:val="en-GB"/>
              </w:rPr>
              <w:t>(A)</w:t>
            </w:r>
            <w:r w:rsidRPr="009819CE">
              <w:rPr>
                <w:rFonts w:cstheme="minorBidi"/>
                <w:sz w:val="22"/>
                <w:szCs w:val="22"/>
                <w:lang w:val="en-GB"/>
              </w:rPr>
              <w:t xml:space="preserve"> Overall percentage (%) of mature (CL ≥ 26 mm for females; ≥ 29mm for males) and immature (CL &lt; 26 mm for females; &lt; 29mm for males) </w:t>
            </w:r>
            <w:r w:rsidR="00C31E47" w:rsidRPr="009819CE">
              <w:rPr>
                <w:rFonts w:cstheme="minorBidi"/>
                <w:i/>
                <w:iCs/>
                <w:sz w:val="22"/>
                <w:szCs w:val="22"/>
                <w:lang w:val="en-GB"/>
              </w:rPr>
              <w:t>Nephrops</w:t>
            </w:r>
            <w:r w:rsidRPr="009819CE">
              <w:rPr>
                <w:rFonts w:cstheme="minorBidi"/>
                <w:sz w:val="22"/>
                <w:szCs w:val="22"/>
                <w:lang w:val="en-GB"/>
              </w:rPr>
              <w:t xml:space="preserve"> in the monthly samples captured from the CSA site between November 2018 and September 2019. (B) Percentage (%) of mature/immature males. (C) Percentage (%) of</w:t>
            </w:r>
            <w:r w:rsidR="003279E8" w:rsidRPr="009819CE">
              <w:rPr>
                <w:rFonts w:cstheme="minorBidi"/>
                <w:sz w:val="22"/>
                <w:szCs w:val="22"/>
                <w:lang w:val="en-GB"/>
              </w:rPr>
              <w:t xml:space="preserve"> </w:t>
            </w:r>
            <w:r w:rsidRPr="009819CE">
              <w:rPr>
                <w:rFonts w:cstheme="minorBidi"/>
                <w:sz w:val="22"/>
                <w:szCs w:val="22"/>
                <w:lang w:val="en-GB"/>
              </w:rPr>
              <w:t>mature/immature females.</w:t>
            </w:r>
            <w:bookmarkEnd w:id="193"/>
          </w:p>
        </w:tc>
      </w:tr>
    </w:tbl>
    <w:p w14:paraId="5BA8C2EB" w14:textId="77777777" w:rsidR="00F36ABA" w:rsidRPr="009819CE" w:rsidRDefault="00F36ABA" w:rsidP="00F36ABA">
      <w:pPr>
        <w:rPr>
          <w:rFonts w:cstheme="minorBidi"/>
        </w:rPr>
        <w:sectPr w:rsidR="00F36ABA" w:rsidRPr="009819CE" w:rsidSect="003A7A28">
          <w:type w:val="continuous"/>
          <w:pgSz w:w="11906" w:h="16838" w:code="9"/>
          <w:pgMar w:top="1440" w:right="1440" w:bottom="1440" w:left="1440" w:header="709" w:footer="709" w:gutter="0"/>
          <w:cols w:space="518"/>
          <w:docGrid w:linePitch="360"/>
        </w:sectPr>
      </w:pPr>
    </w:p>
    <w:p w14:paraId="744A9566" w14:textId="263C9AE0" w:rsidR="00F36ABA" w:rsidRPr="009819CE" w:rsidRDefault="00F36ABA" w:rsidP="00F36ABA">
      <w:pPr>
        <w:rPr>
          <w:rFonts w:cstheme="minorBidi"/>
        </w:rPr>
      </w:pPr>
      <w:r w:rsidRPr="009819CE">
        <w:rPr>
          <w:rFonts w:cstheme="minorBidi"/>
        </w:rPr>
        <w:t>Three categories of moulting based on carapace hardness (</w:t>
      </w:r>
      <w:r w:rsidR="00C967F0" w:rsidRPr="00FA7D47">
        <w:rPr>
          <w:rFonts w:cstheme="minorBidi"/>
        </w:rPr>
        <w:t>moult index</w:t>
      </w:r>
      <w:r w:rsidRPr="009819CE">
        <w:rPr>
          <w:rFonts w:cstheme="minorBidi"/>
        </w:rPr>
        <w:t>) were observed in the sampled population: hard (83.6%), soft (14.1%), and jelly (2.3%) (</w:t>
      </w:r>
      <w:r w:rsidRPr="009819CE">
        <w:rPr>
          <w:rFonts w:cstheme="minorBidi"/>
          <w:b/>
          <w:bCs/>
        </w:rPr>
        <w:t>Figure 2.6</w:t>
      </w:r>
      <w:r w:rsidRPr="009819CE">
        <w:rPr>
          <w:rFonts w:cstheme="minorBidi"/>
        </w:rPr>
        <w:t>A-C). The majority of trawled individuals belonged to the 'hard' category for both males (91.7%) and females (75.9%). However, in May, the 'soft' category was more prevalent among females, accounting for 60% of the individuals. Females exhibited a notable synchronization of moulting during this month, whereas males did not show such synchrony. There were more females classified as 'soft' and 'jelly' compared to males. The peak occurrence of 'jelly' females was in April (14.</w:t>
      </w:r>
      <w:r w:rsidR="003C7345" w:rsidRPr="00FA7D47">
        <w:rPr>
          <w:rFonts w:cstheme="minorBidi"/>
        </w:rPr>
        <w:t>2</w:t>
      </w:r>
      <w:r w:rsidRPr="009819CE">
        <w:rPr>
          <w:rFonts w:cstheme="minorBidi"/>
        </w:rPr>
        <w:t>%), while 'jelly' males peaked in August (6.</w:t>
      </w:r>
      <w:r w:rsidR="003C7345" w:rsidRPr="00FA7D47">
        <w:rPr>
          <w:rFonts w:cstheme="minorBidi"/>
        </w:rPr>
        <w:t>5</w:t>
      </w:r>
      <w:r w:rsidRPr="009819CE">
        <w:rPr>
          <w:rFonts w:cstheme="minorBidi"/>
        </w:rPr>
        <w:t>%), indicating distinct moulting timings.</w:t>
      </w:r>
    </w:p>
    <w:p w14:paraId="6C5256B3" w14:textId="583229FE" w:rsidR="00F36ABA" w:rsidRPr="009819CE" w:rsidRDefault="00F36ABA" w:rsidP="00F36ABA">
      <w:pPr>
        <w:rPr>
          <w:rFonts w:cstheme="minorBidi"/>
        </w:rPr>
      </w:pPr>
      <w:r w:rsidRPr="009819CE">
        <w:rPr>
          <w:rFonts w:cstheme="minorBidi"/>
        </w:rPr>
        <w:t xml:space="preserve">The </w:t>
      </w:r>
      <w:r w:rsidR="00C967F0" w:rsidRPr="00FA7D47">
        <w:rPr>
          <w:rFonts w:cstheme="minorBidi"/>
        </w:rPr>
        <w:t>moult stage</w:t>
      </w:r>
      <w:r w:rsidRPr="009819CE">
        <w:rPr>
          <w:rFonts w:cstheme="minorBidi"/>
        </w:rPr>
        <w:t xml:space="preserve"> determined by examining pleopod morphology under light microscopy is depicted in </w:t>
      </w:r>
      <w:r w:rsidRPr="009819CE">
        <w:rPr>
          <w:rFonts w:cstheme="minorBidi"/>
        </w:rPr>
        <w:fldChar w:fldCharType="begin"/>
      </w:r>
      <w:r w:rsidRPr="009819CE">
        <w:rPr>
          <w:rFonts w:cstheme="minorBidi"/>
        </w:rPr>
        <w:instrText xml:space="preserve"> REF _Ref109146257 \h  \* MERGEFORMAT </w:instrText>
      </w:r>
      <w:r w:rsidRPr="009819CE">
        <w:rPr>
          <w:rFonts w:cstheme="minorBidi"/>
        </w:rPr>
      </w:r>
      <w:r w:rsidRPr="009819CE">
        <w:rPr>
          <w:rFonts w:cstheme="minorBidi"/>
        </w:rPr>
        <w:fldChar w:fldCharType="separate"/>
      </w:r>
      <w:r w:rsidR="008549FC" w:rsidRPr="008549FC">
        <w:rPr>
          <w:rFonts w:cstheme="minorBidi"/>
          <w:b/>
        </w:rPr>
        <w:t>Figure 2.6</w:t>
      </w:r>
      <w:r w:rsidRPr="009819CE">
        <w:rPr>
          <w:rFonts w:cstheme="minorBidi"/>
        </w:rPr>
        <w:fldChar w:fldCharType="end"/>
      </w:r>
      <w:r w:rsidRPr="009819CE">
        <w:rPr>
          <w:rFonts w:cstheme="minorBidi"/>
        </w:rPr>
        <w:t>D-F. Throughout the year, the intermoult stage was predominant, accounting for 81.7% of males and 6</w:t>
      </w:r>
      <w:r w:rsidR="00796FE9" w:rsidRPr="00FA7D47">
        <w:rPr>
          <w:rFonts w:cstheme="minorBidi"/>
        </w:rPr>
        <w:t>9</w:t>
      </w:r>
      <w:r w:rsidRPr="009819CE">
        <w:rPr>
          <w:rFonts w:cstheme="minorBidi"/>
        </w:rPr>
        <w:t>% of females. However, during the spring and summer months, there were notable occurrences of pre-moult and post-moult individuals (</w:t>
      </w:r>
      <w:r w:rsidRPr="009819CE">
        <w:rPr>
          <w:rFonts w:cstheme="minorBidi"/>
        </w:rPr>
        <w:fldChar w:fldCharType="begin"/>
      </w:r>
      <w:r w:rsidRPr="009819CE">
        <w:rPr>
          <w:rFonts w:cstheme="minorBidi"/>
        </w:rPr>
        <w:instrText xml:space="preserve"> REF _Ref109146257 \h  \* MERGEFORMAT </w:instrText>
      </w:r>
      <w:r w:rsidRPr="009819CE">
        <w:rPr>
          <w:rFonts w:cstheme="minorBidi"/>
        </w:rPr>
      </w:r>
      <w:r w:rsidRPr="009819CE">
        <w:rPr>
          <w:rFonts w:cstheme="minorBidi"/>
        </w:rPr>
        <w:fldChar w:fldCharType="separate"/>
      </w:r>
      <w:r w:rsidR="008549FC" w:rsidRPr="008549FC">
        <w:rPr>
          <w:rFonts w:cstheme="minorBidi"/>
          <w:b/>
        </w:rPr>
        <w:t>Figure 2.6</w:t>
      </w:r>
      <w:r w:rsidRPr="009819CE">
        <w:rPr>
          <w:rFonts w:cstheme="minorBidi"/>
        </w:rPr>
        <w:fldChar w:fldCharType="end"/>
      </w:r>
      <w:r w:rsidR="00B70E09" w:rsidRPr="009819CE">
        <w:rPr>
          <w:rFonts w:cstheme="minorBidi"/>
        </w:rPr>
        <w:t>D</w:t>
      </w:r>
      <w:r w:rsidRPr="009819CE">
        <w:rPr>
          <w:rFonts w:cstheme="minorBidi"/>
        </w:rPr>
        <w:t xml:space="preserve">). Females exhibited strong synchrony in moulting based on their </w:t>
      </w:r>
      <w:r w:rsidR="00C967F0" w:rsidRPr="00FA7D47">
        <w:rPr>
          <w:rFonts w:cstheme="minorBidi"/>
        </w:rPr>
        <w:t>moult stage</w:t>
      </w:r>
      <w:r w:rsidRPr="009819CE">
        <w:rPr>
          <w:rFonts w:cstheme="minorBidi"/>
        </w:rPr>
        <w:t>, with a peak in pre-moult individuals in April (30.9%) and a peak in post-moult individuals in May (71.8%) (</w:t>
      </w:r>
      <w:r w:rsidR="00B87FD6" w:rsidRPr="009819CE">
        <w:rPr>
          <w:rFonts w:cstheme="minorBidi"/>
        </w:rPr>
        <w:fldChar w:fldCharType="begin"/>
      </w:r>
      <w:r w:rsidR="00B87FD6" w:rsidRPr="009819CE">
        <w:rPr>
          <w:rFonts w:cstheme="minorBidi"/>
        </w:rPr>
        <w:instrText xml:space="preserve"> REF _Ref109146257 \h  \* MERGEFORMAT </w:instrText>
      </w:r>
      <w:r w:rsidR="00B87FD6" w:rsidRPr="009819CE">
        <w:rPr>
          <w:rFonts w:cstheme="minorBidi"/>
        </w:rPr>
      </w:r>
      <w:r w:rsidR="00B87FD6" w:rsidRPr="009819CE">
        <w:rPr>
          <w:rFonts w:cstheme="minorBidi"/>
        </w:rPr>
        <w:fldChar w:fldCharType="separate"/>
      </w:r>
      <w:r w:rsidR="008549FC" w:rsidRPr="008549FC">
        <w:rPr>
          <w:rFonts w:cstheme="minorBidi"/>
          <w:b/>
        </w:rPr>
        <w:t>Figure 2.6</w:t>
      </w:r>
      <w:r w:rsidR="00B87FD6" w:rsidRPr="009819CE">
        <w:rPr>
          <w:rFonts w:cstheme="minorBidi"/>
        </w:rPr>
        <w:fldChar w:fldCharType="end"/>
      </w:r>
      <w:r w:rsidR="002D091A" w:rsidRPr="009819CE">
        <w:rPr>
          <w:rFonts w:cstheme="minorBidi"/>
        </w:rPr>
        <w:t>F</w:t>
      </w:r>
      <w:r w:rsidRPr="009819CE">
        <w:rPr>
          <w:rFonts w:cstheme="minorBidi"/>
        </w:rPr>
        <w:t>). For males, the highest abundances of pre-moult and post-moult individuals were observed in July, accounting for 33.3% and 25%, respectively (</w:t>
      </w:r>
      <w:r w:rsidRPr="009819CE">
        <w:rPr>
          <w:rFonts w:cstheme="minorBidi"/>
        </w:rPr>
        <w:fldChar w:fldCharType="begin"/>
      </w:r>
      <w:r w:rsidRPr="009819CE">
        <w:rPr>
          <w:rFonts w:cstheme="minorBidi"/>
        </w:rPr>
        <w:instrText xml:space="preserve"> REF _Ref109146257 \h  \* MERGEFORMAT </w:instrText>
      </w:r>
      <w:r w:rsidRPr="009819CE">
        <w:rPr>
          <w:rFonts w:cstheme="minorBidi"/>
        </w:rPr>
      </w:r>
      <w:r w:rsidRPr="009819CE">
        <w:rPr>
          <w:rFonts w:cstheme="minorBidi"/>
        </w:rPr>
        <w:fldChar w:fldCharType="separate"/>
      </w:r>
      <w:r w:rsidR="008549FC" w:rsidRPr="008549FC">
        <w:rPr>
          <w:rFonts w:cstheme="minorBidi"/>
          <w:b/>
        </w:rPr>
        <w:t>Figure 2.6</w:t>
      </w:r>
      <w:r w:rsidRPr="009819CE">
        <w:rPr>
          <w:rFonts w:cstheme="minorBidi"/>
        </w:rPr>
        <w:fldChar w:fldCharType="end"/>
      </w:r>
      <w:r w:rsidR="0077415A" w:rsidRPr="009819CE">
        <w:rPr>
          <w:rFonts w:cstheme="minorBidi"/>
        </w:rPr>
        <w:t>E</w:t>
      </w:r>
      <w:r w:rsidRPr="009819CE">
        <w:rPr>
          <w:rFonts w:cstheme="minorBidi"/>
        </w:rPr>
        <w:t>). While there may be some subtle synchronization in male moulting during July, the timing differs between the sexes.</w:t>
      </w:r>
    </w:p>
    <w:p w14:paraId="2DD4F98E" w14:textId="77777777" w:rsidR="00F36ABA" w:rsidRPr="009819CE" w:rsidRDefault="00F36ABA" w:rsidP="00F36ABA">
      <w:pPr>
        <w:rPr>
          <w:rFonts w:cstheme="minorBidi"/>
        </w:rPr>
        <w:sectPr w:rsidR="00F36ABA" w:rsidRPr="009819CE" w:rsidSect="003A7A28">
          <w:pgSz w:w="11906" w:h="16838" w:code="9"/>
          <w:pgMar w:top="1440" w:right="1440" w:bottom="1440" w:left="1440" w:header="709" w:footer="709" w:gutter="0"/>
          <w:cols w:space="518"/>
          <w:docGrid w:linePitch="360"/>
        </w:sect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02F4CDA0" w14:textId="77777777" w:rsidTr="007D6607">
        <w:trPr>
          <w:trHeight w:val="8841"/>
          <w:jc w:val="center"/>
        </w:trPr>
        <w:tc>
          <w:tcPr>
            <w:tcW w:w="5000" w:type="pct"/>
          </w:tcPr>
          <w:p w14:paraId="5E767F0C" w14:textId="02281C28" w:rsidR="00F36ABA" w:rsidRPr="007268F5" w:rsidRDefault="00272268" w:rsidP="007268F5">
            <w:pPr>
              <w:spacing w:before="100" w:beforeAutospacing="1" w:after="100" w:afterAutospacing="1" w:line="240" w:lineRule="auto"/>
              <w:jc w:val="left"/>
              <w:rPr>
                <w:rFonts w:ascii="Times New Roman" w:hAnsi="Times New Roman"/>
                <w:lang w:val="en-GB"/>
              </w:rPr>
            </w:pPr>
            <w:r w:rsidRPr="00FF34FE">
              <w:rPr>
                <w:rFonts w:ascii="Times New Roman" w:hAnsi="Times New Roman"/>
                <w:noProof/>
              </w:rPr>
              <w:drawing>
                <wp:inline distT="0" distB="0" distL="0" distR="0" wp14:anchorId="59A4CB2E" wp14:editId="01F746D4">
                  <wp:extent cx="5607050" cy="5607050"/>
                  <wp:effectExtent l="0" t="0" r="0" b="0"/>
                  <wp:docPr id="4315573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07050" cy="5607050"/>
                          </a:xfrm>
                          <a:prstGeom prst="rect">
                            <a:avLst/>
                          </a:prstGeom>
                          <a:noFill/>
                          <a:ln>
                            <a:noFill/>
                          </a:ln>
                        </pic:spPr>
                      </pic:pic>
                    </a:graphicData>
                  </a:graphic>
                </wp:inline>
              </w:drawing>
            </w:r>
          </w:p>
        </w:tc>
      </w:tr>
      <w:tr w:rsidR="00F36ABA" w:rsidRPr="00FA7D47" w14:paraId="66D89477" w14:textId="77777777" w:rsidTr="007D6607">
        <w:trPr>
          <w:trHeight w:val="777"/>
          <w:jc w:val="center"/>
        </w:trPr>
        <w:tc>
          <w:tcPr>
            <w:tcW w:w="5000" w:type="pct"/>
          </w:tcPr>
          <w:p w14:paraId="04811393" w14:textId="7C0558FD" w:rsidR="00F36ABA" w:rsidRPr="009819CE" w:rsidRDefault="00F36ABA" w:rsidP="007D6607">
            <w:pPr>
              <w:spacing w:line="240" w:lineRule="auto"/>
              <w:rPr>
                <w:rFonts w:cstheme="minorBidi"/>
                <w:sz w:val="22"/>
                <w:szCs w:val="22"/>
                <w:lang w:val="en-GB"/>
              </w:rPr>
            </w:pPr>
            <w:bookmarkStart w:id="194" w:name="_Ref109146257"/>
            <w:bookmarkStart w:id="195" w:name="_Toc204106712"/>
            <w:r w:rsidRPr="009819CE">
              <w:rPr>
                <w:rFonts w:cstheme="minorBidi"/>
                <w:b/>
                <w:sz w:val="22"/>
                <w:szCs w:val="22"/>
                <w:lang w:val="en-GB"/>
              </w:rPr>
              <w:t>Figure 2.</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6</w:t>
            </w:r>
            <w:r w:rsidRPr="007268F5">
              <w:rPr>
                <w:rFonts w:cstheme="minorBidi"/>
                <w:b/>
              </w:rPr>
              <w:fldChar w:fldCharType="end"/>
            </w:r>
            <w:bookmarkEnd w:id="194"/>
            <w:r w:rsidRPr="009819CE">
              <w:rPr>
                <w:rFonts w:cstheme="minorBidi"/>
                <w:b/>
                <w:sz w:val="22"/>
                <w:szCs w:val="22"/>
                <w:lang w:val="en-GB"/>
              </w:rPr>
              <w:t xml:space="preserve"> </w:t>
            </w:r>
            <w:r w:rsidRPr="009819CE">
              <w:rPr>
                <w:rFonts w:cstheme="minorBidi"/>
                <w:sz w:val="22"/>
                <w:szCs w:val="22"/>
                <w:lang w:val="en-GB"/>
              </w:rPr>
              <w:t>Percentage (%) of (</w:t>
            </w:r>
            <w:r w:rsidRPr="007268F5">
              <w:rPr>
                <w:rFonts w:cstheme="minorBidi"/>
                <w:sz w:val="22"/>
                <w:szCs w:val="22"/>
              </w:rPr>
              <w:t xml:space="preserve">A-C) </w:t>
            </w:r>
            <w:r w:rsidR="00272268" w:rsidRPr="00FA7D47">
              <w:rPr>
                <w:rFonts w:cstheme="minorBidi"/>
                <w:sz w:val="22"/>
                <w:szCs w:val="22"/>
                <w:lang w:val="en-GB"/>
              </w:rPr>
              <w:t>Moult</w:t>
            </w:r>
            <w:r w:rsidRPr="009819CE">
              <w:rPr>
                <w:rFonts w:cstheme="minorBidi"/>
                <w:sz w:val="22"/>
                <w:szCs w:val="22"/>
                <w:lang w:val="en-GB"/>
              </w:rPr>
              <w:t xml:space="preserve"> index (hard, soft, jelly); (</w:t>
            </w:r>
            <w:r w:rsidRPr="007268F5">
              <w:rPr>
                <w:rFonts w:cstheme="minorBidi"/>
                <w:sz w:val="22"/>
                <w:szCs w:val="22"/>
              </w:rPr>
              <w:t>D-F)</w:t>
            </w:r>
            <w:r w:rsidRPr="009819CE">
              <w:rPr>
                <w:rFonts w:cstheme="minorBidi"/>
                <w:sz w:val="22"/>
                <w:szCs w:val="22"/>
                <w:lang w:val="en-GB"/>
              </w:rPr>
              <w:t xml:space="preserve"> </w:t>
            </w:r>
            <w:r w:rsidR="00272268" w:rsidRPr="00FA7D47">
              <w:rPr>
                <w:rFonts w:cstheme="minorBidi"/>
                <w:sz w:val="22"/>
                <w:szCs w:val="22"/>
                <w:lang w:val="en-GB"/>
              </w:rPr>
              <w:t>Moult</w:t>
            </w:r>
            <w:r w:rsidRPr="009819CE">
              <w:rPr>
                <w:rFonts w:cstheme="minorBidi"/>
                <w:sz w:val="22"/>
                <w:szCs w:val="22"/>
                <w:lang w:val="en-GB"/>
              </w:rPr>
              <w:t xml:space="preserve"> stage (post-moult; inter-moult, and pre-moult); for the sexes combined (</w:t>
            </w:r>
            <w:r w:rsidRPr="007268F5">
              <w:rPr>
                <w:rFonts w:cstheme="minorBidi"/>
                <w:sz w:val="22"/>
                <w:szCs w:val="22"/>
              </w:rPr>
              <w:t>A,D</w:t>
            </w:r>
            <w:r w:rsidRPr="009819CE">
              <w:rPr>
                <w:rFonts w:cstheme="minorBidi"/>
                <w:sz w:val="22"/>
                <w:szCs w:val="22"/>
                <w:lang w:val="en-GB"/>
              </w:rPr>
              <w:t>), males (</w:t>
            </w:r>
            <w:r w:rsidRPr="007268F5">
              <w:rPr>
                <w:rFonts w:cstheme="minorBidi"/>
                <w:sz w:val="22"/>
                <w:szCs w:val="22"/>
              </w:rPr>
              <w:t>B,E</w:t>
            </w:r>
            <w:r w:rsidRPr="009819CE">
              <w:rPr>
                <w:rFonts w:cstheme="minorBidi"/>
                <w:sz w:val="22"/>
                <w:szCs w:val="22"/>
                <w:lang w:val="en-GB"/>
              </w:rPr>
              <w:t>) and females (</w:t>
            </w:r>
            <w:r w:rsidRPr="007268F5">
              <w:rPr>
                <w:rFonts w:cstheme="minorBidi"/>
                <w:sz w:val="22"/>
                <w:szCs w:val="22"/>
              </w:rPr>
              <w:t>C,F</w:t>
            </w:r>
            <w:r w:rsidRPr="009819CE">
              <w:rPr>
                <w:rFonts w:cstheme="minorBidi"/>
                <w:sz w:val="22"/>
                <w:szCs w:val="22"/>
                <w:lang w:val="en-GB"/>
              </w:rPr>
              <w:t xml:space="preserve">) in the monthly samples of </w:t>
            </w:r>
            <w:r w:rsidR="00C31E47" w:rsidRPr="009819CE">
              <w:rPr>
                <w:rFonts w:cstheme="minorBidi"/>
                <w:i/>
                <w:sz w:val="22"/>
                <w:szCs w:val="22"/>
                <w:lang w:val="en-GB"/>
              </w:rPr>
              <w:t>Nephrops</w:t>
            </w:r>
            <w:r w:rsidRPr="009819CE">
              <w:rPr>
                <w:rFonts w:cstheme="minorBidi"/>
                <w:sz w:val="22"/>
                <w:szCs w:val="22"/>
                <w:lang w:val="en-GB"/>
              </w:rPr>
              <w:t xml:space="preserve"> captured from the CSA site between November 2018 and September 2019.</w:t>
            </w:r>
            <w:bookmarkEnd w:id="195"/>
          </w:p>
        </w:tc>
      </w:tr>
    </w:tbl>
    <w:p w14:paraId="1DC4948E" w14:textId="77777777" w:rsidR="00F36ABA" w:rsidRPr="009819CE" w:rsidRDefault="00F36ABA" w:rsidP="00F36ABA">
      <w:pPr>
        <w:rPr>
          <w:rFonts w:cstheme="minorBidi"/>
        </w:rPr>
        <w:sectPr w:rsidR="00F36ABA" w:rsidRPr="009819CE" w:rsidSect="003A7A28">
          <w:pgSz w:w="11906" w:h="16838" w:code="9"/>
          <w:pgMar w:top="1440" w:right="1440" w:bottom="1440" w:left="1440" w:header="709" w:footer="709" w:gutter="0"/>
          <w:cols w:space="518"/>
          <w:docGrid w:linePitch="360"/>
        </w:sectPr>
      </w:pPr>
    </w:p>
    <w:p w14:paraId="1983D565" w14:textId="167CC2A8" w:rsidR="00F36ABA" w:rsidRPr="009819CE" w:rsidRDefault="00F36ABA" w:rsidP="00F36ABA">
      <w:pPr>
        <w:rPr>
          <w:rFonts w:cstheme="minorBidi"/>
        </w:rPr>
      </w:pPr>
      <w:r w:rsidRPr="009819CE">
        <w:rPr>
          <w:rFonts w:cstheme="minorBidi"/>
        </w:rPr>
        <w:t xml:space="preserve">The distribution of moult stages according to size and sex is depicted in </w:t>
      </w:r>
      <w:r w:rsidRPr="009819CE">
        <w:rPr>
          <w:rFonts w:cstheme="minorBidi"/>
        </w:rPr>
        <w:fldChar w:fldCharType="begin"/>
      </w:r>
      <w:r w:rsidRPr="009819CE">
        <w:rPr>
          <w:rFonts w:cstheme="minorBidi"/>
        </w:rPr>
        <w:instrText xml:space="preserve"> REF _Ref109146470 \h  \* MERGEFORMAT </w:instrText>
      </w:r>
      <w:r w:rsidRPr="009819CE">
        <w:rPr>
          <w:rFonts w:cstheme="minorBidi"/>
        </w:rPr>
      </w:r>
      <w:r w:rsidRPr="009819CE">
        <w:rPr>
          <w:rFonts w:cstheme="minorBidi"/>
        </w:rPr>
        <w:fldChar w:fldCharType="separate"/>
      </w:r>
      <w:r w:rsidR="008549FC" w:rsidRPr="008549FC">
        <w:rPr>
          <w:rFonts w:cstheme="minorBidi"/>
          <w:b/>
        </w:rPr>
        <w:t>Figure 2.7</w:t>
      </w:r>
      <w:r w:rsidRPr="009819CE">
        <w:rPr>
          <w:rFonts w:cstheme="minorBidi"/>
        </w:rPr>
        <w:fldChar w:fldCharType="end"/>
      </w:r>
      <w:r w:rsidRPr="009819CE">
        <w:rPr>
          <w:rFonts w:cstheme="minorBidi"/>
        </w:rPr>
        <w:t xml:space="preserve">. Animals in the intermoult, pre-moult, and post-moult stages exhibited progressively increasing </w:t>
      </w:r>
      <w:r w:rsidR="000E34F9" w:rsidRPr="00FA7D47">
        <w:rPr>
          <w:rFonts w:cstheme="minorBidi"/>
        </w:rPr>
        <w:t xml:space="preserve">mean </w:t>
      </w:r>
      <w:r w:rsidRPr="009819CE">
        <w:rPr>
          <w:rFonts w:cstheme="minorBidi"/>
        </w:rPr>
        <w:t>carapace lengths (CL) of 32.5 ± 6.</w:t>
      </w:r>
      <w:r w:rsidR="0066679E" w:rsidRPr="00FA7D47">
        <w:rPr>
          <w:rFonts w:cstheme="minorBidi"/>
        </w:rPr>
        <w:t xml:space="preserve">4 </w:t>
      </w:r>
      <w:r w:rsidRPr="009819CE">
        <w:rPr>
          <w:rFonts w:cstheme="minorBidi"/>
        </w:rPr>
        <w:t>mm, 34.3 ± 7.</w:t>
      </w:r>
      <w:r w:rsidR="0066679E" w:rsidRPr="00FA7D47">
        <w:rPr>
          <w:rFonts w:cstheme="minorBidi"/>
        </w:rPr>
        <w:t xml:space="preserve">2 </w:t>
      </w:r>
      <w:r w:rsidRPr="009819CE">
        <w:rPr>
          <w:rFonts w:cstheme="minorBidi"/>
        </w:rPr>
        <w:t>mm, and 37.9 ± 7.</w:t>
      </w:r>
      <w:r w:rsidR="0066679E" w:rsidRPr="00FA7D47">
        <w:rPr>
          <w:rFonts w:cstheme="minorBidi"/>
        </w:rPr>
        <w:t xml:space="preserve">1 </w:t>
      </w:r>
      <w:r w:rsidRPr="009819CE">
        <w:rPr>
          <w:rFonts w:cstheme="minorBidi"/>
        </w:rPr>
        <w:t xml:space="preserve">mm, respectively. There were significant differences in CL among all the </w:t>
      </w:r>
      <w:r w:rsidR="00C967F0" w:rsidRPr="00FA7D47">
        <w:rPr>
          <w:rFonts w:cstheme="minorBidi"/>
        </w:rPr>
        <w:t>moult stage</w:t>
      </w:r>
      <w:r w:rsidRPr="009819CE">
        <w:rPr>
          <w:rFonts w:cstheme="minorBidi"/>
        </w:rPr>
        <w:t xml:space="preserve">s </w:t>
      </w:r>
      <w:r w:rsidR="00F60334" w:rsidRPr="00FA7D47">
        <w:rPr>
          <w:rFonts w:cstheme="minorBidi"/>
        </w:rPr>
        <w:t>(2-way ANOVA: cl ~ ms + sex, data = res; df(ms) = 2;</w:t>
      </w:r>
      <w:r w:rsidR="00E64F45" w:rsidRPr="00FA7D47">
        <w:rPr>
          <w:rFonts w:cstheme="minorBidi"/>
        </w:rPr>
        <w:t xml:space="preserve"> df(sex) = 1</w:t>
      </w:r>
      <w:r w:rsidR="003151A7" w:rsidRPr="00FA7D47">
        <w:rPr>
          <w:rFonts w:cstheme="minorBidi"/>
        </w:rPr>
        <w:t>;</w:t>
      </w:r>
      <w:r w:rsidR="00F60334" w:rsidRPr="00FA7D47">
        <w:rPr>
          <w:rFonts w:cstheme="minorBidi"/>
        </w:rPr>
        <w:t xml:space="preserve"> n = 1739</w:t>
      </w:r>
      <w:r w:rsidR="006B2227" w:rsidRPr="00FA7D47">
        <w:rPr>
          <w:rFonts w:cstheme="minorBidi"/>
        </w:rPr>
        <w:t xml:space="preserve">; </w:t>
      </w:r>
      <w:r w:rsidR="001A7712" w:rsidRPr="00FA7D47">
        <w:t xml:space="preserve">F(ms) = 87.85, </w:t>
      </w:r>
      <w:r w:rsidR="006B2227" w:rsidRPr="00FA7D47">
        <w:rPr>
          <w:rFonts w:cstheme="minorBidi"/>
        </w:rPr>
        <w:t>p&lt;0.05</w:t>
      </w:r>
      <w:r w:rsidR="00F60334" w:rsidRPr="00FA7D47">
        <w:rPr>
          <w:rFonts w:cstheme="minorBidi"/>
        </w:rPr>
        <w:t>)</w:t>
      </w:r>
      <w:r w:rsidRPr="009819CE">
        <w:rPr>
          <w:rFonts w:cstheme="minorBidi"/>
        </w:rPr>
        <w:t xml:space="preserve">, indicating variations in size throughout the moulting process. However, no significant differences in CL were observed between sexes within each </w:t>
      </w:r>
      <w:r w:rsidR="00C967F0" w:rsidRPr="00FA7D47">
        <w:rPr>
          <w:rFonts w:cstheme="minorBidi"/>
        </w:rPr>
        <w:t>moult stage</w:t>
      </w:r>
      <w:r w:rsidRPr="009819CE">
        <w:rPr>
          <w:rFonts w:cstheme="minorBidi"/>
        </w:rPr>
        <w:t xml:space="preserve"> </w:t>
      </w:r>
      <w:r w:rsidR="009F7CAD" w:rsidRPr="00FA7D47">
        <w:rPr>
          <w:rFonts w:cstheme="minorBidi"/>
        </w:rPr>
        <w:t xml:space="preserve">(2-way ANOVA: cl ~ ms + sex, data = res; df(ms) = 2; df(sex) = 1; n = 1739; </w:t>
      </w:r>
      <w:r w:rsidR="00E64F45" w:rsidRPr="00FA7D47">
        <w:t xml:space="preserve">F(sex) = 2.79; </w:t>
      </w:r>
      <w:r w:rsidR="009F7CAD" w:rsidRPr="00FA7D47">
        <w:rPr>
          <w:rFonts w:cstheme="minorBidi"/>
        </w:rPr>
        <w:t>p&gt;0.05)</w:t>
      </w:r>
      <w:r w:rsidRPr="009819CE">
        <w:rPr>
          <w:rFonts w:cstheme="minorBidi"/>
        </w:rPr>
        <w:t xml:space="preserve">, suggesting that males and females displayed similar size distributions within specific </w:t>
      </w:r>
      <w:r w:rsidR="00C967F0" w:rsidRPr="00FA7D47">
        <w:rPr>
          <w:rFonts w:cstheme="minorBidi"/>
        </w:rPr>
        <w:t>moult stage</w:t>
      </w:r>
      <w:r w:rsidRPr="009819CE">
        <w:rPr>
          <w:rFonts w:cstheme="minorBidi"/>
        </w:rPr>
        <w:t>s.</w:t>
      </w:r>
    </w:p>
    <w:p w14:paraId="719E33F1" w14:textId="77777777" w:rsidR="00F36ABA" w:rsidRPr="009819CE" w:rsidRDefault="00F36ABA" w:rsidP="00F36ABA">
      <w:pPr>
        <w:rPr>
          <w:rFonts w:cstheme="minorBidi"/>
        </w:rPr>
        <w:sectPr w:rsidR="00F36ABA" w:rsidRPr="009819CE" w:rsidSect="003A7A28">
          <w:type w:val="continuous"/>
          <w:pgSz w:w="11906" w:h="16838" w:code="9"/>
          <w:pgMar w:top="1440" w:right="1440" w:bottom="1440" w:left="1440" w:header="709" w:footer="709" w:gutter="0"/>
          <w:cols w:space="802"/>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36ABA" w:rsidRPr="00FA7D47" w14:paraId="5409D369" w14:textId="77777777" w:rsidTr="007D6607">
        <w:tc>
          <w:tcPr>
            <w:tcW w:w="9016" w:type="dxa"/>
          </w:tcPr>
          <w:p w14:paraId="5D3BA3DA" w14:textId="05F8EA4E" w:rsidR="00F36ABA" w:rsidRPr="009819CE" w:rsidRDefault="00433114" w:rsidP="007D6607">
            <w:pPr>
              <w:jc w:val="center"/>
              <w:rPr>
                <w:rFonts w:cstheme="minorBidi"/>
                <w:lang w:val="en-GB"/>
              </w:rPr>
            </w:pPr>
            <w:r w:rsidRPr="00FF34FE">
              <w:rPr>
                <w:noProof/>
              </w:rPr>
              <w:drawing>
                <wp:inline distT="0" distB="0" distL="0" distR="0" wp14:anchorId="3EBD66E6" wp14:editId="6C5853DD">
                  <wp:extent cx="4096724" cy="7023100"/>
                  <wp:effectExtent l="0" t="0" r="0" b="6350"/>
                  <wp:docPr id="17630489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120538" cy="7063925"/>
                          </a:xfrm>
                          <a:prstGeom prst="rect">
                            <a:avLst/>
                          </a:prstGeom>
                          <a:noFill/>
                          <a:ln>
                            <a:noFill/>
                          </a:ln>
                        </pic:spPr>
                      </pic:pic>
                    </a:graphicData>
                  </a:graphic>
                </wp:inline>
              </w:drawing>
            </w:r>
          </w:p>
        </w:tc>
      </w:tr>
      <w:tr w:rsidR="00F36ABA" w:rsidRPr="00FA7D47" w14:paraId="5ED3E2D3" w14:textId="77777777" w:rsidTr="007D6607">
        <w:tc>
          <w:tcPr>
            <w:tcW w:w="9016" w:type="dxa"/>
          </w:tcPr>
          <w:p w14:paraId="18004E98" w14:textId="21590C71" w:rsidR="00F36ABA" w:rsidRPr="009819CE" w:rsidRDefault="00F36ABA" w:rsidP="007D6607">
            <w:pPr>
              <w:spacing w:line="240" w:lineRule="auto"/>
              <w:rPr>
                <w:rFonts w:cstheme="minorBidi"/>
                <w:sz w:val="22"/>
                <w:szCs w:val="22"/>
                <w:lang w:val="en-GB"/>
              </w:rPr>
            </w:pPr>
            <w:bookmarkStart w:id="196" w:name="_Ref109146470"/>
            <w:bookmarkStart w:id="197" w:name="_Toc204106713"/>
            <w:r w:rsidRPr="009819CE">
              <w:rPr>
                <w:rFonts w:cstheme="minorBidi"/>
                <w:b/>
                <w:sz w:val="22"/>
                <w:szCs w:val="22"/>
                <w:lang w:val="en-GB"/>
              </w:rPr>
              <w:t>Figure 2.</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7</w:t>
            </w:r>
            <w:r w:rsidRPr="007268F5">
              <w:rPr>
                <w:rFonts w:cstheme="minorBidi"/>
                <w:b/>
              </w:rPr>
              <w:fldChar w:fldCharType="end"/>
            </w:r>
            <w:bookmarkEnd w:id="196"/>
            <w:r w:rsidRPr="009819CE">
              <w:rPr>
                <w:rFonts w:cstheme="minorBidi"/>
                <w:b/>
                <w:sz w:val="22"/>
                <w:szCs w:val="22"/>
                <w:lang w:val="en-GB"/>
              </w:rPr>
              <w:t xml:space="preserve"> </w:t>
            </w:r>
            <w:r w:rsidRPr="009819CE">
              <w:rPr>
                <w:rFonts w:cstheme="minorBidi"/>
                <w:bCs/>
                <w:sz w:val="22"/>
                <w:szCs w:val="22"/>
                <w:lang w:val="en-GB"/>
              </w:rPr>
              <w:t>(A)</w:t>
            </w:r>
            <w:r w:rsidRPr="007268F5">
              <w:rPr>
                <w:rFonts w:cstheme="minorBidi"/>
                <w:bCs/>
                <w:sz w:val="22"/>
                <w:szCs w:val="22"/>
              </w:rPr>
              <w:t xml:space="preserve"> </w:t>
            </w:r>
            <w:r w:rsidRPr="009819CE">
              <w:rPr>
                <w:rFonts w:cstheme="minorBidi"/>
                <w:bCs/>
                <w:sz w:val="22"/>
                <w:szCs w:val="22"/>
                <w:lang w:val="en-GB"/>
              </w:rPr>
              <w:t xml:space="preserve">Distribution of carapace length (CL) </w:t>
            </w:r>
            <w:r w:rsidR="00C87439" w:rsidRPr="007268F5">
              <w:rPr>
                <w:bCs/>
                <w:sz w:val="22"/>
                <w:szCs w:val="22"/>
              </w:rPr>
              <w:t>(males and females combined),</w:t>
            </w:r>
            <w:r w:rsidRPr="009819CE">
              <w:rPr>
                <w:rFonts w:cstheme="minorBidi"/>
                <w:bCs/>
                <w:sz w:val="22"/>
                <w:szCs w:val="22"/>
                <w:lang w:val="en-GB"/>
              </w:rPr>
              <w:t xml:space="preserve"> according to </w:t>
            </w:r>
            <w:r w:rsidR="00C967F0" w:rsidRPr="00FA7D47">
              <w:rPr>
                <w:rFonts w:cstheme="minorBidi"/>
                <w:bCs/>
                <w:sz w:val="22"/>
                <w:szCs w:val="22"/>
                <w:lang w:val="en-GB"/>
              </w:rPr>
              <w:t>moult stage</w:t>
            </w:r>
            <w:r w:rsidRPr="009819CE">
              <w:rPr>
                <w:rFonts w:cstheme="minorBidi"/>
                <w:bCs/>
                <w:sz w:val="22"/>
                <w:szCs w:val="22"/>
                <w:lang w:val="en-GB"/>
              </w:rPr>
              <w:t>s (post-moult; inter-moult, and pre-moult</w:t>
            </w:r>
            <w:r w:rsidR="00C825E3" w:rsidRPr="00FA7D47">
              <w:rPr>
                <w:rFonts w:cstheme="minorBidi"/>
                <w:bCs/>
                <w:sz w:val="22"/>
                <w:szCs w:val="22"/>
                <w:lang w:val="en-GB"/>
              </w:rPr>
              <w:t>).</w:t>
            </w:r>
            <w:r w:rsidRPr="009819CE">
              <w:rPr>
                <w:rFonts w:cstheme="minorBidi"/>
                <w:bCs/>
                <w:sz w:val="22"/>
                <w:szCs w:val="22"/>
                <w:lang w:val="en-GB"/>
              </w:rPr>
              <w:t xml:space="preserve"> (</w:t>
            </w:r>
            <w:r w:rsidRPr="007268F5">
              <w:rPr>
                <w:rFonts w:cstheme="minorBidi"/>
                <w:bCs/>
                <w:sz w:val="22"/>
                <w:szCs w:val="22"/>
              </w:rPr>
              <w:t>B</w:t>
            </w:r>
            <w:r w:rsidRPr="009819CE">
              <w:rPr>
                <w:rFonts w:cstheme="minorBidi"/>
                <w:bCs/>
                <w:sz w:val="22"/>
                <w:szCs w:val="22"/>
                <w:lang w:val="en-GB"/>
              </w:rPr>
              <w:t>) Male carapace</w:t>
            </w:r>
            <w:r w:rsidR="004733D3" w:rsidRPr="00FA7D47">
              <w:rPr>
                <w:rFonts w:cstheme="minorBidi"/>
                <w:bCs/>
                <w:sz w:val="22"/>
                <w:szCs w:val="22"/>
                <w:lang w:val="en-GB"/>
              </w:rPr>
              <w:t xml:space="preserve"> length</w:t>
            </w:r>
            <w:r w:rsidRPr="009819CE">
              <w:rPr>
                <w:rFonts w:cstheme="minorBidi"/>
                <w:bCs/>
                <w:sz w:val="22"/>
                <w:szCs w:val="22"/>
                <w:lang w:val="en-GB"/>
              </w:rPr>
              <w:t xml:space="preserve"> distribution </w:t>
            </w:r>
            <w:r w:rsidR="004733D3" w:rsidRPr="00FA7D47">
              <w:rPr>
                <w:rFonts w:cstheme="minorBidi"/>
                <w:bCs/>
                <w:sz w:val="22"/>
                <w:szCs w:val="22"/>
                <w:lang w:val="en-GB"/>
              </w:rPr>
              <w:t xml:space="preserve">by </w:t>
            </w:r>
            <w:r w:rsidR="00C967F0" w:rsidRPr="00FA7D47">
              <w:rPr>
                <w:rFonts w:cstheme="minorBidi"/>
                <w:bCs/>
                <w:sz w:val="22"/>
                <w:szCs w:val="22"/>
                <w:lang w:val="en-GB"/>
              </w:rPr>
              <w:t>moult stage</w:t>
            </w:r>
            <w:r w:rsidR="004733D3" w:rsidRPr="00FA7D47">
              <w:rPr>
                <w:rFonts w:cstheme="minorBidi"/>
                <w:bCs/>
                <w:sz w:val="22"/>
                <w:szCs w:val="22"/>
                <w:lang w:val="en-GB"/>
              </w:rPr>
              <w:t>.</w:t>
            </w:r>
            <w:r w:rsidRPr="009819CE">
              <w:rPr>
                <w:rFonts w:cstheme="minorBidi"/>
                <w:bCs/>
                <w:sz w:val="22"/>
                <w:szCs w:val="22"/>
                <w:lang w:val="en-GB"/>
              </w:rPr>
              <w:t xml:space="preserve"> (</w:t>
            </w:r>
            <w:r w:rsidRPr="007268F5">
              <w:rPr>
                <w:rFonts w:cstheme="minorBidi"/>
                <w:bCs/>
                <w:sz w:val="22"/>
                <w:szCs w:val="22"/>
              </w:rPr>
              <w:t>C</w:t>
            </w:r>
            <w:r w:rsidRPr="009819CE">
              <w:rPr>
                <w:rFonts w:cstheme="minorBidi"/>
                <w:bCs/>
                <w:sz w:val="22"/>
                <w:szCs w:val="22"/>
                <w:lang w:val="en-GB"/>
              </w:rPr>
              <w:t xml:space="preserve">) Female carapace </w:t>
            </w:r>
            <w:r w:rsidR="004733D3" w:rsidRPr="00FA7D47">
              <w:rPr>
                <w:rFonts w:cstheme="minorBidi"/>
                <w:bCs/>
                <w:sz w:val="22"/>
                <w:szCs w:val="22"/>
                <w:lang w:val="en-GB"/>
              </w:rPr>
              <w:t xml:space="preserve">length </w:t>
            </w:r>
            <w:r w:rsidRPr="009819CE">
              <w:rPr>
                <w:rFonts w:cstheme="minorBidi"/>
                <w:bCs/>
                <w:sz w:val="22"/>
                <w:szCs w:val="22"/>
                <w:lang w:val="en-GB"/>
              </w:rPr>
              <w:t xml:space="preserve">distribution </w:t>
            </w:r>
            <w:r w:rsidR="004733D3" w:rsidRPr="00FA7D47">
              <w:rPr>
                <w:rFonts w:cstheme="minorBidi"/>
                <w:bCs/>
                <w:sz w:val="22"/>
                <w:szCs w:val="22"/>
                <w:lang w:val="en-GB"/>
              </w:rPr>
              <w:t>by</w:t>
            </w:r>
            <w:r w:rsidRPr="009819CE">
              <w:rPr>
                <w:rFonts w:cstheme="minorBidi"/>
                <w:bCs/>
                <w:sz w:val="22"/>
                <w:szCs w:val="22"/>
                <w:lang w:val="en-GB"/>
              </w:rPr>
              <w:t xml:space="preserve"> </w:t>
            </w:r>
            <w:r w:rsidR="00C967F0" w:rsidRPr="00FA7D47">
              <w:rPr>
                <w:rFonts w:cstheme="minorBidi"/>
                <w:bCs/>
                <w:sz w:val="22"/>
                <w:szCs w:val="22"/>
                <w:lang w:val="en-GB"/>
              </w:rPr>
              <w:t>moult stage</w:t>
            </w:r>
            <w:r w:rsidR="004733D3" w:rsidRPr="00FA7D47">
              <w:rPr>
                <w:rFonts w:cstheme="minorBidi"/>
                <w:bCs/>
                <w:sz w:val="22"/>
                <w:szCs w:val="22"/>
                <w:lang w:val="en-GB"/>
              </w:rPr>
              <w:t xml:space="preserve">. </w:t>
            </w:r>
            <w:r w:rsidR="003C5E18" w:rsidRPr="00FA7D47">
              <w:rPr>
                <w:rFonts w:cstheme="minorBidi"/>
                <w:bCs/>
                <w:sz w:val="22"/>
                <w:szCs w:val="22"/>
                <w:lang w:val="en-GB"/>
              </w:rPr>
              <w:t xml:space="preserve">Each graph shows the number of individuals (count) per carapace length </w:t>
            </w:r>
            <w:r w:rsidR="00D159F5" w:rsidRPr="00FA7D47">
              <w:rPr>
                <w:rFonts w:cstheme="minorBidi"/>
                <w:bCs/>
                <w:sz w:val="22"/>
                <w:szCs w:val="22"/>
                <w:lang w:val="en-GB"/>
              </w:rPr>
              <w:t xml:space="preserve">size </w:t>
            </w:r>
            <w:r w:rsidR="003C5E18" w:rsidRPr="00FA7D47">
              <w:rPr>
                <w:rFonts w:cstheme="minorBidi"/>
                <w:bCs/>
                <w:sz w:val="22"/>
                <w:szCs w:val="22"/>
                <w:lang w:val="en-GB"/>
              </w:rPr>
              <w:t xml:space="preserve">for each </w:t>
            </w:r>
            <w:r w:rsidR="00C967F0" w:rsidRPr="00FA7D47">
              <w:rPr>
                <w:rFonts w:cstheme="minorBidi"/>
                <w:bCs/>
                <w:sz w:val="22"/>
                <w:szCs w:val="22"/>
                <w:lang w:val="en-GB"/>
              </w:rPr>
              <w:t>moult stage</w:t>
            </w:r>
            <w:r w:rsidR="003C5E18" w:rsidRPr="00FA7D47">
              <w:rPr>
                <w:rFonts w:cstheme="minorBidi"/>
                <w:bCs/>
                <w:sz w:val="22"/>
                <w:szCs w:val="22"/>
                <w:lang w:val="en-GB"/>
              </w:rPr>
              <w:t xml:space="preserve">, providing insight into the absolute abundance and size distribution of </w:t>
            </w:r>
            <w:r w:rsidR="003C5E18" w:rsidRPr="007268F5">
              <w:rPr>
                <w:rFonts w:cstheme="minorBidi"/>
                <w:bCs/>
                <w:i/>
                <w:iCs/>
                <w:sz w:val="22"/>
                <w:szCs w:val="22"/>
              </w:rPr>
              <w:t>Nephrops</w:t>
            </w:r>
            <w:r w:rsidR="003C5E18" w:rsidRPr="00FA7D47">
              <w:rPr>
                <w:rFonts w:cstheme="minorBidi"/>
                <w:bCs/>
                <w:sz w:val="22"/>
                <w:szCs w:val="22"/>
                <w:lang w:val="en-GB"/>
              </w:rPr>
              <w:t xml:space="preserve"> in different </w:t>
            </w:r>
            <w:r w:rsidR="00C967F0" w:rsidRPr="00FA7D47">
              <w:rPr>
                <w:rFonts w:cstheme="minorBidi"/>
                <w:bCs/>
                <w:sz w:val="22"/>
                <w:szCs w:val="22"/>
                <w:lang w:val="en-GB"/>
              </w:rPr>
              <w:t>moult stage</w:t>
            </w:r>
            <w:r w:rsidR="00D159F5" w:rsidRPr="00FA7D47">
              <w:rPr>
                <w:rFonts w:cstheme="minorBidi"/>
                <w:bCs/>
                <w:sz w:val="22"/>
                <w:szCs w:val="22"/>
                <w:lang w:val="en-GB"/>
              </w:rPr>
              <w:t>s</w:t>
            </w:r>
            <w:r w:rsidR="003C5E18" w:rsidRPr="00FA7D47">
              <w:rPr>
                <w:rFonts w:cstheme="minorBidi"/>
                <w:bCs/>
                <w:sz w:val="22"/>
                <w:szCs w:val="22"/>
                <w:lang w:val="en-GB"/>
              </w:rPr>
              <w:t>.</w:t>
            </w:r>
            <w:bookmarkEnd w:id="197"/>
          </w:p>
        </w:tc>
      </w:tr>
    </w:tbl>
    <w:p w14:paraId="01B1AF0B" w14:textId="77777777" w:rsidR="00F36ABA" w:rsidRPr="009819CE" w:rsidRDefault="00F36ABA" w:rsidP="00F36ABA">
      <w:pPr>
        <w:rPr>
          <w:rFonts w:cstheme="minorBidi"/>
        </w:rPr>
        <w:sectPr w:rsidR="00F36ABA" w:rsidRPr="009819CE" w:rsidSect="003A7A28">
          <w:pgSz w:w="11906" w:h="16838" w:code="9"/>
          <w:pgMar w:top="1440" w:right="1440" w:bottom="1440" w:left="1440" w:header="283" w:footer="283" w:gutter="0"/>
          <w:cols w:space="802"/>
          <w:docGrid w:linePitch="360"/>
        </w:sectPr>
      </w:pPr>
    </w:p>
    <w:p w14:paraId="1894EC2D" w14:textId="069870B6" w:rsidR="00F36ABA" w:rsidRPr="009819CE" w:rsidRDefault="00F36ABA" w:rsidP="009A5465">
      <w:pPr>
        <w:pStyle w:val="Heading3"/>
        <w:rPr>
          <w:rFonts w:cstheme="minorBidi"/>
          <w:iCs/>
        </w:rPr>
      </w:pPr>
      <w:bookmarkStart w:id="198" w:name="_Toc204106622"/>
      <w:r w:rsidRPr="009819CE">
        <w:rPr>
          <w:rFonts w:cstheme="minorBidi"/>
        </w:rPr>
        <w:t xml:space="preserve">Prevalence of </w:t>
      </w:r>
      <w:r w:rsidR="009D03F4" w:rsidRPr="009819CE">
        <w:rPr>
          <w:rFonts w:cstheme="minorBidi"/>
          <w:i/>
        </w:rPr>
        <w:t>Hematodinium</w:t>
      </w:r>
      <w:r w:rsidRPr="009819CE">
        <w:rPr>
          <w:rFonts w:cstheme="minorBidi"/>
        </w:rPr>
        <w:t xml:space="preserve"> sp. in the CSA</w:t>
      </w:r>
      <w:bookmarkEnd w:id="198"/>
    </w:p>
    <w:p w14:paraId="24353027" w14:textId="1E2B1E91" w:rsidR="00F36ABA" w:rsidRPr="009819CE" w:rsidRDefault="00F36ABA" w:rsidP="00F36ABA">
      <w:pPr>
        <w:rPr>
          <w:rFonts w:cstheme="minorBidi"/>
        </w:rPr>
      </w:pPr>
      <w:r w:rsidRPr="009819CE">
        <w:rPr>
          <w:rFonts w:cstheme="minorBidi"/>
        </w:rPr>
        <w:t xml:space="preserve">BCM and PM were </w:t>
      </w:r>
      <w:r w:rsidR="00263821" w:rsidRPr="009819CE">
        <w:rPr>
          <w:rFonts w:cstheme="minorBidi"/>
        </w:rPr>
        <w:t xml:space="preserve">used </w:t>
      </w:r>
      <w:r w:rsidRPr="009819CE">
        <w:rPr>
          <w:rFonts w:cstheme="minorBidi"/>
        </w:rPr>
        <w:t xml:space="preserve">to assess the prevalence of patent </w:t>
      </w:r>
      <w:r w:rsidR="009D03F4" w:rsidRPr="009819CE">
        <w:rPr>
          <w:rFonts w:cstheme="minorBidi"/>
          <w:i/>
          <w:iCs/>
        </w:rPr>
        <w:t>Hematodinium</w:t>
      </w:r>
      <w:r w:rsidRPr="009819CE">
        <w:rPr>
          <w:rFonts w:cstheme="minorBidi"/>
        </w:rPr>
        <w:t xml:space="preserve"> sp. infection in all screened animals from the CSA. PM-positive animals were detected consistently throughout the year, indicating the presence of infection. In contrast, BCM-based infection was observed only from January to May. The peak of patent infection occurred in March, with 15.6% prevalence based on BCM and 33.3% prevalence based on PM (</w:t>
      </w:r>
      <w:r w:rsidRPr="009819CE">
        <w:rPr>
          <w:rFonts w:cstheme="minorBidi"/>
        </w:rPr>
        <w:fldChar w:fldCharType="begin"/>
      </w:r>
      <w:r w:rsidRPr="009819CE">
        <w:rPr>
          <w:rFonts w:cstheme="minorBidi"/>
        </w:rPr>
        <w:instrText xml:space="preserve"> REF _Ref110930384 \h  \* MERGEFORMAT </w:instrText>
      </w:r>
      <w:r w:rsidRPr="009819CE">
        <w:rPr>
          <w:rFonts w:cstheme="minorBidi"/>
        </w:rPr>
      </w:r>
      <w:r w:rsidRPr="009819CE">
        <w:rPr>
          <w:rFonts w:cstheme="minorBidi"/>
        </w:rPr>
        <w:fldChar w:fldCharType="separate"/>
      </w:r>
      <w:r w:rsidR="008549FC" w:rsidRPr="008549FC">
        <w:rPr>
          <w:rFonts w:cstheme="minorBidi"/>
          <w:b/>
        </w:rPr>
        <w:t>Figure 2.8</w:t>
      </w:r>
      <w:r w:rsidRPr="009819CE">
        <w:rPr>
          <w:rFonts w:cstheme="minorBidi"/>
        </w:rPr>
        <w:fldChar w:fldCharType="end"/>
      </w:r>
      <w:r w:rsidRPr="009819CE">
        <w:rPr>
          <w:rFonts w:cstheme="minorBidi"/>
        </w:rPr>
        <w:t>). Additionally, PM revealed a second peak of infection in July (21.5%).</w:t>
      </w:r>
    </w:p>
    <w:p w14:paraId="2784FC52" w14:textId="16038FAB" w:rsidR="00F36ABA" w:rsidRPr="009819CE" w:rsidRDefault="00F36ABA" w:rsidP="00F36ABA">
      <w:pPr>
        <w:rPr>
          <w:rFonts w:cstheme="minorBidi"/>
        </w:rPr>
      </w:pPr>
      <w:r w:rsidRPr="009819CE">
        <w:rPr>
          <w:rFonts w:cstheme="minorBidi"/>
        </w:rPr>
        <w:t xml:space="preserve">During the peak of patent infection, female </w:t>
      </w:r>
      <w:r w:rsidR="00C31E47" w:rsidRPr="009819CE">
        <w:rPr>
          <w:rFonts w:cstheme="minorBidi"/>
          <w:i/>
          <w:iCs/>
        </w:rPr>
        <w:t>Nephrops</w:t>
      </w:r>
      <w:r w:rsidRPr="009819CE">
        <w:rPr>
          <w:rFonts w:cstheme="minorBidi"/>
        </w:rPr>
        <w:t xml:space="preserve"> exhibited higher infection levels compared to males. In March, female infection rates reached 20.83% by BCM and 45.83% by PM, while males displayed infection rates of 12.64% by BCM and 26.44% by PM (</w:t>
      </w:r>
      <w:r w:rsidRPr="009819CE">
        <w:rPr>
          <w:rFonts w:cstheme="minorBidi"/>
          <w:b/>
          <w:bCs/>
        </w:rPr>
        <w:t>Figure 2.9</w:t>
      </w:r>
      <w:r w:rsidRPr="009819CE">
        <w:rPr>
          <w:rFonts w:cstheme="minorBidi"/>
        </w:rPr>
        <w:t>). For further information on patent infection based on BCM and PM, refer to</w:t>
      </w:r>
      <w:r w:rsidR="00EA5AD9" w:rsidRPr="009819CE">
        <w:rPr>
          <w:rFonts w:cstheme="minorBidi"/>
        </w:rPr>
        <w:t xml:space="preserve"> </w:t>
      </w:r>
      <w:r w:rsidR="008157E5" w:rsidRPr="009819CE">
        <w:rPr>
          <w:rFonts w:cstheme="minorBidi"/>
          <w:color w:val="000000" w:themeColor="text1"/>
        </w:rPr>
        <w:t>supplementary</w:t>
      </w:r>
      <w:r w:rsidR="00BA0759" w:rsidRPr="009819CE">
        <w:rPr>
          <w:rFonts w:cstheme="minorBidi"/>
        </w:rPr>
        <w:t xml:space="preserve"> </w:t>
      </w:r>
      <w:r w:rsidR="00BF269C" w:rsidRPr="009819CE">
        <w:rPr>
          <w:rFonts w:cstheme="minorBidi"/>
        </w:rPr>
        <w:fldChar w:fldCharType="begin"/>
      </w:r>
      <w:r w:rsidR="00BF269C" w:rsidRPr="009819CE">
        <w:rPr>
          <w:rFonts w:cstheme="minorBidi"/>
        </w:rPr>
        <w:instrText xml:space="preserve"> REF _Ref171357929 \h </w:instrText>
      </w:r>
      <w:r w:rsidR="008B0BF3" w:rsidRPr="009819CE">
        <w:rPr>
          <w:rFonts w:cstheme="minorBidi"/>
        </w:rPr>
        <w:instrText xml:space="preserve"> \* MERGEFORMAT </w:instrText>
      </w:r>
      <w:r w:rsidR="00BF269C" w:rsidRPr="009819CE">
        <w:rPr>
          <w:rFonts w:cstheme="minorBidi"/>
        </w:rPr>
      </w:r>
      <w:r w:rsidR="00BF269C" w:rsidRPr="009819CE">
        <w:rPr>
          <w:rFonts w:cstheme="minorBidi"/>
        </w:rPr>
        <w:fldChar w:fldCharType="separate"/>
      </w:r>
      <w:r w:rsidR="008549FC" w:rsidRPr="009819CE">
        <w:rPr>
          <w:rFonts w:cstheme="minorBidi"/>
          <w:b/>
          <w:bCs/>
        </w:rPr>
        <w:t xml:space="preserve">Table S2. </w:t>
      </w:r>
      <w:r w:rsidR="008549FC">
        <w:rPr>
          <w:rFonts w:cstheme="minorBidi"/>
          <w:b/>
          <w:bCs/>
        </w:rPr>
        <w:t>2</w:t>
      </w:r>
      <w:r w:rsidR="00BF269C" w:rsidRPr="009819CE">
        <w:rPr>
          <w:rFonts w:cstheme="minorBidi"/>
        </w:rPr>
        <w:fldChar w:fldCharType="end"/>
      </w:r>
      <w:r w:rsidRPr="009819CE">
        <w:rPr>
          <w:rFonts w:cstheme="minorBidi"/>
        </w:rPr>
        <w:t>.</w:t>
      </w:r>
    </w:p>
    <w:p w14:paraId="33D09973" w14:textId="7AF859EE" w:rsidR="00F36ABA" w:rsidRPr="009819CE" w:rsidRDefault="00F36ABA" w:rsidP="00F36ABA">
      <w:pPr>
        <w:rPr>
          <w:rFonts w:cstheme="minorBidi"/>
        </w:rPr>
      </w:pPr>
      <w:r w:rsidRPr="009819CE">
        <w:rPr>
          <w:rFonts w:cstheme="minorBidi"/>
        </w:rPr>
        <w:t xml:space="preserve">To evaluate the severity of </w:t>
      </w:r>
      <w:r w:rsidR="009D03F4" w:rsidRPr="009819CE">
        <w:rPr>
          <w:rFonts w:cstheme="minorBidi"/>
          <w:i/>
          <w:iCs/>
        </w:rPr>
        <w:t>Hematodinium</w:t>
      </w:r>
      <w:r w:rsidRPr="009819CE">
        <w:rPr>
          <w:rFonts w:cstheme="minorBidi"/>
        </w:rPr>
        <w:t xml:space="preserve"> sp. infection, a 4-point scale was employed using the pleopod method (PM). The distribution of infection stages throughout the sampling period is illustrated in </w:t>
      </w:r>
      <w:r w:rsidRPr="009819CE">
        <w:rPr>
          <w:rFonts w:cstheme="minorBidi"/>
          <w:b/>
          <w:bCs/>
        </w:rPr>
        <w:fldChar w:fldCharType="begin"/>
      </w:r>
      <w:r w:rsidRPr="009819CE">
        <w:rPr>
          <w:rFonts w:cstheme="minorBidi"/>
          <w:b/>
          <w:bCs/>
        </w:rPr>
        <w:instrText xml:space="preserve"> REF _Ref98856826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2.10</w:t>
      </w:r>
      <w:r w:rsidRPr="009819CE">
        <w:rPr>
          <w:rFonts w:cstheme="minorBidi"/>
          <w:b/>
          <w:bCs/>
        </w:rPr>
        <w:fldChar w:fldCharType="end"/>
      </w:r>
      <w:r w:rsidRPr="009819CE">
        <w:rPr>
          <w:rFonts w:cstheme="minorBidi"/>
        </w:rPr>
        <w:t xml:space="preserve">. The disease progressed during the winter months and peaked in March, with more advanced infection stages present in the catch. Stage 1 infections were observed throughout the year, while stages 3 and 4 were limited to the period between January and May (Refer to </w:t>
      </w:r>
      <w:r w:rsidRPr="009819CE">
        <w:rPr>
          <w:rFonts w:cstheme="minorBidi"/>
          <w:b/>
          <w:bCs/>
        </w:rPr>
        <w:fldChar w:fldCharType="begin"/>
      </w:r>
      <w:r w:rsidRPr="009819CE">
        <w:rPr>
          <w:rFonts w:cstheme="minorBidi"/>
          <w:b/>
          <w:bCs/>
        </w:rPr>
        <w:instrText xml:space="preserve"> REF _Ref98856826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2.10</w:t>
      </w:r>
      <w:r w:rsidRPr="009819CE">
        <w:rPr>
          <w:rFonts w:cstheme="minorBidi"/>
          <w:b/>
          <w:bCs/>
        </w:rPr>
        <w:fldChar w:fldCharType="end"/>
      </w:r>
      <w:r w:rsidRPr="009819CE">
        <w:rPr>
          <w:rFonts w:cstheme="minorBidi"/>
          <w:b/>
          <w:bCs/>
        </w:rPr>
        <w:t xml:space="preserve"> </w:t>
      </w:r>
      <w:r w:rsidRPr="009819CE">
        <w:rPr>
          <w:rFonts w:cstheme="minorBidi"/>
        </w:rPr>
        <w:t>and</w:t>
      </w:r>
      <w:r w:rsidR="00BA0759" w:rsidRPr="009819CE">
        <w:rPr>
          <w:rFonts w:cstheme="minorBidi"/>
        </w:rPr>
        <w:t xml:space="preserve"> </w:t>
      </w:r>
      <w:r w:rsidR="008157E5" w:rsidRPr="009819CE">
        <w:rPr>
          <w:rFonts w:cstheme="minorBidi"/>
          <w:color w:val="000000" w:themeColor="text1"/>
        </w:rPr>
        <w:t>supplementary</w:t>
      </w:r>
      <w:r w:rsidR="00BF269C" w:rsidRPr="009819CE">
        <w:rPr>
          <w:rFonts w:cstheme="minorBidi"/>
        </w:rPr>
        <w:t xml:space="preserve"> </w:t>
      </w:r>
      <w:r w:rsidR="00892F64" w:rsidRPr="009819CE">
        <w:rPr>
          <w:rFonts w:cstheme="minorBidi"/>
        </w:rPr>
        <w:fldChar w:fldCharType="begin"/>
      </w:r>
      <w:r w:rsidR="00892F64" w:rsidRPr="009819CE">
        <w:rPr>
          <w:rFonts w:cstheme="minorBidi"/>
        </w:rPr>
        <w:instrText xml:space="preserve"> REF _Ref171357929 \h </w:instrText>
      </w:r>
      <w:r w:rsidR="008B0BF3" w:rsidRPr="009819CE">
        <w:rPr>
          <w:rFonts w:cstheme="minorBidi"/>
        </w:rPr>
        <w:instrText xml:space="preserve"> \* MERGEFORMAT </w:instrText>
      </w:r>
      <w:r w:rsidR="00892F64" w:rsidRPr="009819CE">
        <w:rPr>
          <w:rFonts w:cstheme="minorBidi"/>
        </w:rPr>
      </w:r>
      <w:r w:rsidR="00892F64" w:rsidRPr="009819CE">
        <w:rPr>
          <w:rFonts w:cstheme="minorBidi"/>
        </w:rPr>
        <w:fldChar w:fldCharType="separate"/>
      </w:r>
      <w:r w:rsidR="008549FC" w:rsidRPr="009819CE">
        <w:rPr>
          <w:rFonts w:cstheme="minorBidi"/>
          <w:b/>
          <w:bCs/>
        </w:rPr>
        <w:t xml:space="preserve">Table S2. </w:t>
      </w:r>
      <w:r w:rsidR="008549FC">
        <w:rPr>
          <w:rFonts w:cstheme="minorBidi"/>
          <w:b/>
          <w:bCs/>
        </w:rPr>
        <w:t>2</w:t>
      </w:r>
      <w:r w:rsidR="00892F64" w:rsidRPr="009819CE">
        <w:rPr>
          <w:rFonts w:cstheme="minorBidi"/>
        </w:rPr>
        <w:fldChar w:fldCharType="end"/>
      </w:r>
      <w:r w:rsidRPr="009819CE">
        <w:rPr>
          <w:rFonts w:cstheme="minorBidi"/>
        </w:rPr>
        <w:t xml:space="preserve"> for more details).</w:t>
      </w:r>
    </w:p>
    <w:p w14:paraId="649BAB70" w14:textId="77777777" w:rsidR="00F36ABA" w:rsidRPr="009819CE" w:rsidRDefault="00F36ABA" w:rsidP="00F36ABA">
      <w:pPr>
        <w:rPr>
          <w:rFonts w:cstheme="minorBidi"/>
        </w:rPr>
        <w:sectPr w:rsidR="00F36ABA" w:rsidRPr="009819CE" w:rsidSect="003A7A28">
          <w:pgSz w:w="11906" w:h="16838" w:code="9"/>
          <w:pgMar w:top="1440" w:right="1440" w:bottom="1440" w:left="1440" w:header="709" w:footer="709" w:gutter="0"/>
          <w:cols w:space="802"/>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5FECB5B9" w14:textId="77777777" w:rsidTr="007D6607">
        <w:tc>
          <w:tcPr>
            <w:tcW w:w="5000" w:type="pct"/>
          </w:tcPr>
          <w:p w14:paraId="430CDFA6" w14:textId="77777777" w:rsidR="00F36ABA" w:rsidRPr="009819CE" w:rsidRDefault="00F36ABA" w:rsidP="007D6607">
            <w:pPr>
              <w:spacing w:after="0"/>
              <w:jc w:val="center"/>
              <w:rPr>
                <w:rFonts w:cstheme="minorBidi"/>
                <w:lang w:val="en-GB"/>
              </w:rPr>
            </w:pPr>
            <w:r w:rsidRPr="00FF34FE">
              <w:rPr>
                <w:rFonts w:cstheme="minorBidi"/>
                <w:noProof/>
              </w:rPr>
              <w:drawing>
                <wp:inline distT="0" distB="0" distL="0" distR="0" wp14:anchorId="651EFD0E" wp14:editId="70DEDEEB">
                  <wp:extent cx="5132983" cy="3421988"/>
                  <wp:effectExtent l="0" t="0" r="0" b="7620"/>
                  <wp:docPr id="3" name="Imagen 2" descr="Gráfico, Gráfico de líneas&#10;&#10;Descripción generada automáticamente">
                    <a:extLst xmlns:a="http://schemas.openxmlformats.org/drawingml/2006/main">
                      <a:ext uri="{FF2B5EF4-FFF2-40B4-BE49-F238E27FC236}">
                        <a16:creationId xmlns:a16="http://schemas.microsoft.com/office/drawing/2014/main" id="{A3E77B8C-AF56-E6D0-3660-BF0821E16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Gráfico, Gráfico de líneas&#10;&#10;Descripción generada automáticamente">
                            <a:extLst>
                              <a:ext uri="{FF2B5EF4-FFF2-40B4-BE49-F238E27FC236}">
                                <a16:creationId xmlns:a16="http://schemas.microsoft.com/office/drawing/2014/main" id="{A3E77B8C-AF56-E6D0-3660-BF0821E16C8E}"/>
                              </a:ext>
                            </a:extLst>
                          </pic:cNvPr>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146169" cy="3430779"/>
                          </a:xfrm>
                          <a:prstGeom prst="rect">
                            <a:avLst/>
                          </a:prstGeom>
                        </pic:spPr>
                      </pic:pic>
                    </a:graphicData>
                  </a:graphic>
                </wp:inline>
              </w:drawing>
            </w:r>
          </w:p>
        </w:tc>
      </w:tr>
      <w:tr w:rsidR="00F36ABA" w:rsidRPr="00FA7D47" w14:paraId="20B96CC0" w14:textId="77777777" w:rsidTr="007D6607">
        <w:tc>
          <w:tcPr>
            <w:tcW w:w="5000" w:type="pct"/>
          </w:tcPr>
          <w:p w14:paraId="170472EB" w14:textId="4BFC0E84" w:rsidR="00F36ABA" w:rsidRPr="009819CE" w:rsidRDefault="00F36ABA" w:rsidP="007D6607">
            <w:pPr>
              <w:spacing w:after="0" w:line="240" w:lineRule="auto"/>
              <w:rPr>
                <w:rFonts w:cstheme="minorBidi"/>
                <w:sz w:val="22"/>
                <w:szCs w:val="22"/>
                <w:lang w:val="en-GB"/>
              </w:rPr>
            </w:pPr>
            <w:bookmarkStart w:id="199" w:name="_Ref110930384"/>
            <w:bookmarkStart w:id="200" w:name="_Toc204106714"/>
            <w:r w:rsidRPr="009819CE">
              <w:rPr>
                <w:rFonts w:cstheme="minorBidi"/>
                <w:b/>
                <w:sz w:val="22"/>
                <w:szCs w:val="22"/>
                <w:lang w:val="en-GB"/>
              </w:rPr>
              <w:t>Figure 2.</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8</w:t>
            </w:r>
            <w:r w:rsidRPr="007268F5">
              <w:rPr>
                <w:rFonts w:cstheme="minorBidi"/>
                <w:b/>
              </w:rPr>
              <w:fldChar w:fldCharType="end"/>
            </w:r>
            <w:bookmarkEnd w:id="199"/>
            <w:r w:rsidRPr="009819CE">
              <w:rPr>
                <w:rFonts w:cstheme="minorBidi"/>
                <w:sz w:val="22"/>
                <w:szCs w:val="22"/>
                <w:lang w:val="en-GB"/>
              </w:rPr>
              <w:t xml:space="preserve"> Overall percentage (%) of patent infection according to body-colour (BCM), and pleopod method (PM-stages 1-4) in monthly samples of </w:t>
            </w:r>
            <w:r w:rsidR="00C31E47" w:rsidRPr="009819CE">
              <w:rPr>
                <w:rFonts w:cstheme="minorBidi"/>
                <w:i/>
                <w:iCs/>
                <w:sz w:val="22"/>
                <w:szCs w:val="22"/>
                <w:lang w:val="en-GB"/>
              </w:rPr>
              <w:t>Nephrops</w:t>
            </w:r>
            <w:r w:rsidRPr="009819CE">
              <w:rPr>
                <w:rFonts w:cstheme="minorBidi"/>
                <w:sz w:val="22"/>
                <w:szCs w:val="22"/>
                <w:lang w:val="en-GB"/>
              </w:rPr>
              <w:t xml:space="preserve"> (</w:t>
            </w:r>
            <w:r w:rsidR="0013118E" w:rsidRPr="009819CE">
              <w:rPr>
                <w:sz w:val="22"/>
                <w:szCs w:val="22"/>
              </w:rPr>
              <w:t>males and females combined</w:t>
            </w:r>
            <w:r w:rsidRPr="009819CE">
              <w:rPr>
                <w:rFonts w:cstheme="minorBidi"/>
                <w:sz w:val="22"/>
                <w:szCs w:val="22"/>
                <w:lang w:val="en-GB"/>
              </w:rPr>
              <w:t>) captured from the CSA site between November 2018 and September 2019.</w:t>
            </w:r>
            <w:bookmarkEnd w:id="200"/>
          </w:p>
        </w:tc>
      </w:tr>
      <w:tr w:rsidR="00F36ABA" w:rsidRPr="00FA7D47" w14:paraId="4FA15360" w14:textId="77777777" w:rsidTr="007D6607">
        <w:trPr>
          <w:trHeight w:val="2846"/>
        </w:trPr>
        <w:tc>
          <w:tcPr>
            <w:tcW w:w="5000" w:type="pct"/>
          </w:tcPr>
          <w:p w14:paraId="048DD141" w14:textId="77777777" w:rsidR="00F36ABA" w:rsidRPr="009819CE" w:rsidRDefault="00F36ABA" w:rsidP="007D6607">
            <w:pPr>
              <w:spacing w:after="0"/>
              <w:jc w:val="center"/>
              <w:rPr>
                <w:rFonts w:cstheme="minorBidi"/>
                <w:lang w:val="en-GB"/>
              </w:rPr>
            </w:pPr>
            <w:r w:rsidRPr="00FF34FE">
              <w:rPr>
                <w:rFonts w:cstheme="minorBidi"/>
                <w:noProof/>
              </w:rPr>
              <w:drawing>
                <wp:inline distT="0" distB="0" distL="0" distR="0" wp14:anchorId="311ADF99" wp14:editId="6921BB80">
                  <wp:extent cx="5228349" cy="3485567"/>
                  <wp:effectExtent l="0" t="0" r="0" b="635"/>
                  <wp:docPr id="333087216" name="Imagen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87216" name="Imagen 1" descr="A graph with numbers and lines&#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244380" cy="3496254"/>
                          </a:xfrm>
                          <a:prstGeom prst="rect">
                            <a:avLst/>
                          </a:prstGeom>
                          <a:noFill/>
                          <a:ln>
                            <a:noFill/>
                          </a:ln>
                        </pic:spPr>
                      </pic:pic>
                    </a:graphicData>
                  </a:graphic>
                </wp:inline>
              </w:drawing>
            </w:r>
          </w:p>
        </w:tc>
      </w:tr>
      <w:tr w:rsidR="00F36ABA" w:rsidRPr="00FA7D47" w14:paraId="0AD24192" w14:textId="77777777" w:rsidTr="007D6607">
        <w:trPr>
          <w:trHeight w:val="794"/>
        </w:trPr>
        <w:tc>
          <w:tcPr>
            <w:tcW w:w="5000" w:type="pct"/>
          </w:tcPr>
          <w:p w14:paraId="7B085C85" w14:textId="75112904" w:rsidR="00F36ABA" w:rsidRPr="009819CE" w:rsidRDefault="00F36ABA" w:rsidP="007D6607">
            <w:pPr>
              <w:spacing w:after="0" w:line="240" w:lineRule="auto"/>
              <w:rPr>
                <w:rFonts w:cstheme="minorBidi"/>
                <w:sz w:val="22"/>
                <w:szCs w:val="22"/>
                <w:lang w:val="en-GB"/>
              </w:rPr>
            </w:pPr>
            <w:bookmarkStart w:id="201" w:name="_Ref98858811"/>
            <w:bookmarkStart w:id="202" w:name="_Ref98858808"/>
            <w:bookmarkStart w:id="203" w:name="_Toc204106715"/>
            <w:r w:rsidRPr="009819CE">
              <w:rPr>
                <w:rFonts w:cstheme="minorBidi"/>
                <w:b/>
                <w:sz w:val="22"/>
                <w:szCs w:val="22"/>
                <w:lang w:val="en-GB"/>
              </w:rPr>
              <w:t xml:space="preserve">Figure </w:t>
            </w:r>
            <w:r w:rsidRPr="007268F5">
              <w:rPr>
                <w:rFonts w:cstheme="minorBidi"/>
                <w:b/>
              </w:rPr>
              <w:fldChar w:fldCharType="begin"/>
            </w:r>
            <w:r w:rsidRPr="009819CE">
              <w:rPr>
                <w:rFonts w:cstheme="minorBidi"/>
                <w:b/>
                <w:sz w:val="22"/>
                <w:szCs w:val="22"/>
                <w:lang w:val="en-GB"/>
              </w:rPr>
              <w:instrText xml:space="preserve"> STYLEREF 1 \s </w:instrText>
            </w:r>
            <w:r w:rsidRPr="007268F5">
              <w:rPr>
                <w:rFonts w:cstheme="minorBidi"/>
                <w:b/>
              </w:rPr>
              <w:fldChar w:fldCharType="separate"/>
            </w:r>
            <w:r w:rsidR="008549FC">
              <w:rPr>
                <w:rFonts w:cstheme="minorBidi"/>
                <w:b/>
                <w:noProof/>
                <w:sz w:val="22"/>
                <w:szCs w:val="22"/>
                <w:lang w:val="en-GB"/>
              </w:rPr>
              <w:t>2</w:t>
            </w:r>
            <w:r w:rsidRPr="007268F5">
              <w:rPr>
                <w:rFonts w:cstheme="minorBidi"/>
                <w:b/>
              </w:rPr>
              <w:fldChar w:fldCharType="end"/>
            </w:r>
            <w:r w:rsidRPr="009819CE">
              <w:rPr>
                <w:rFonts w:cstheme="minorBidi"/>
                <w:b/>
                <w:sz w:val="22"/>
                <w:szCs w:val="22"/>
                <w:lang w:val="en-GB"/>
              </w:rPr>
              <w:t>.</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9</w:t>
            </w:r>
            <w:r w:rsidRPr="007268F5">
              <w:rPr>
                <w:rFonts w:cstheme="minorBidi"/>
                <w:b/>
              </w:rPr>
              <w:fldChar w:fldCharType="end"/>
            </w:r>
            <w:bookmarkEnd w:id="201"/>
            <w:r w:rsidRPr="009819CE">
              <w:rPr>
                <w:rFonts w:cstheme="minorBidi"/>
                <w:sz w:val="22"/>
                <w:szCs w:val="22"/>
                <w:lang w:val="en-GB"/>
              </w:rPr>
              <w:t xml:space="preserve"> Percentage (%) of patent infection by sex and diagnostic method (body-colour/pleopod methods) in monthly samples of </w:t>
            </w:r>
            <w:r w:rsidR="00C31E47" w:rsidRPr="009819CE">
              <w:rPr>
                <w:rFonts w:cstheme="minorBidi"/>
                <w:i/>
                <w:iCs/>
                <w:sz w:val="22"/>
                <w:szCs w:val="22"/>
                <w:lang w:val="en-GB"/>
              </w:rPr>
              <w:t>Nephrops</w:t>
            </w:r>
            <w:r w:rsidRPr="009819CE">
              <w:rPr>
                <w:rFonts w:cstheme="minorBidi"/>
                <w:sz w:val="22"/>
                <w:szCs w:val="22"/>
                <w:lang w:val="en-GB"/>
              </w:rPr>
              <w:t xml:space="preserve"> captured from the CSA site between November 2018 and September 2019</w:t>
            </w:r>
            <w:bookmarkEnd w:id="202"/>
            <w:r w:rsidRPr="009819CE">
              <w:rPr>
                <w:rFonts w:cstheme="minorBidi"/>
                <w:sz w:val="22"/>
                <w:szCs w:val="22"/>
                <w:lang w:val="en-GB"/>
              </w:rPr>
              <w:t>.</w:t>
            </w:r>
            <w:bookmarkEnd w:id="203"/>
          </w:p>
        </w:tc>
      </w:tr>
    </w:tbl>
    <w:p w14:paraId="3F2A3D34" w14:textId="77777777" w:rsidR="00F36ABA" w:rsidRPr="009819CE" w:rsidRDefault="00F36ABA" w:rsidP="00F36ABA">
      <w:pPr>
        <w:rPr>
          <w:rFonts w:cstheme="minorBidi"/>
        </w:rPr>
        <w:sectPr w:rsidR="00F36ABA" w:rsidRPr="009819CE" w:rsidSect="003A7A28">
          <w:pgSz w:w="11906" w:h="16838" w:code="9"/>
          <w:pgMar w:top="1440" w:right="1440" w:bottom="1440" w:left="1440" w:header="709" w:footer="709" w:gutter="0"/>
          <w:cols w:space="802"/>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4CE86875" w14:textId="77777777" w:rsidTr="007D6607">
        <w:trPr>
          <w:trHeight w:val="260"/>
        </w:trPr>
        <w:tc>
          <w:tcPr>
            <w:tcW w:w="5000" w:type="pct"/>
          </w:tcPr>
          <w:p w14:paraId="527AD273" w14:textId="5776B2BC" w:rsidR="00F36ABA" w:rsidRPr="007268F5" w:rsidRDefault="00980B24" w:rsidP="007268F5">
            <w:pPr>
              <w:pStyle w:val="NormalWeb"/>
              <w:jc w:val="center"/>
              <w:rPr>
                <w:rFonts w:ascii="Times New Roman" w:hAnsi="Times New Roman"/>
                <w:lang w:val="en-GB"/>
              </w:rPr>
            </w:pPr>
            <w:r w:rsidRPr="00FF34FE">
              <w:rPr>
                <w:rFonts w:ascii="Times New Roman" w:hAnsi="Times New Roman"/>
                <w:noProof/>
              </w:rPr>
              <w:drawing>
                <wp:inline distT="0" distB="0" distL="0" distR="0" wp14:anchorId="2F137373" wp14:editId="426CF22A">
                  <wp:extent cx="3956050" cy="7912100"/>
                  <wp:effectExtent l="0" t="0" r="6350" b="0"/>
                  <wp:docPr id="20063234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956050" cy="7912100"/>
                          </a:xfrm>
                          <a:prstGeom prst="rect">
                            <a:avLst/>
                          </a:prstGeom>
                          <a:noFill/>
                          <a:ln>
                            <a:noFill/>
                          </a:ln>
                        </pic:spPr>
                      </pic:pic>
                    </a:graphicData>
                  </a:graphic>
                </wp:inline>
              </w:drawing>
            </w:r>
          </w:p>
        </w:tc>
      </w:tr>
      <w:tr w:rsidR="00F36ABA" w:rsidRPr="00FA7D47" w14:paraId="08361508" w14:textId="77777777" w:rsidTr="007D6607">
        <w:trPr>
          <w:trHeight w:val="260"/>
        </w:trPr>
        <w:tc>
          <w:tcPr>
            <w:tcW w:w="5000" w:type="pct"/>
          </w:tcPr>
          <w:p w14:paraId="0AFC32D0" w14:textId="5A170364" w:rsidR="00F36ABA" w:rsidRPr="009819CE" w:rsidRDefault="00F36ABA" w:rsidP="007D6607">
            <w:pPr>
              <w:spacing w:line="240" w:lineRule="auto"/>
              <w:rPr>
                <w:rFonts w:cstheme="minorBidi"/>
                <w:sz w:val="22"/>
                <w:szCs w:val="22"/>
                <w:lang w:val="en-GB"/>
              </w:rPr>
            </w:pPr>
            <w:bookmarkStart w:id="204" w:name="_Ref98856826"/>
            <w:bookmarkStart w:id="205" w:name="_Ref99709402"/>
            <w:bookmarkStart w:id="206" w:name="_Toc204106716"/>
            <w:r w:rsidRPr="009819CE">
              <w:rPr>
                <w:rFonts w:cstheme="minorBidi"/>
                <w:b/>
                <w:bCs/>
                <w:sz w:val="22"/>
                <w:szCs w:val="22"/>
                <w:lang w:val="en-GB"/>
              </w:rPr>
              <w:t xml:space="preserve">Figure </w:t>
            </w:r>
            <w:r w:rsidRPr="007268F5">
              <w:rPr>
                <w:rFonts w:cstheme="minorBidi"/>
                <w:b/>
                <w:bCs/>
              </w:rPr>
              <w:fldChar w:fldCharType="begin"/>
            </w:r>
            <w:r w:rsidRPr="009819CE">
              <w:rPr>
                <w:rFonts w:cstheme="minorBidi"/>
                <w:b/>
                <w:bCs/>
                <w:sz w:val="22"/>
                <w:szCs w:val="22"/>
                <w:lang w:val="en-GB"/>
              </w:rPr>
              <w:instrText xml:space="preserve"> STYLEREF 1 \s </w:instrText>
            </w:r>
            <w:r w:rsidRPr="007268F5">
              <w:rPr>
                <w:rFonts w:cstheme="minorBidi"/>
                <w:b/>
                <w:bCs/>
              </w:rPr>
              <w:fldChar w:fldCharType="separate"/>
            </w:r>
            <w:r w:rsidR="008549FC">
              <w:rPr>
                <w:rFonts w:cstheme="minorBidi"/>
                <w:b/>
                <w:bCs/>
                <w:noProof/>
                <w:sz w:val="22"/>
                <w:szCs w:val="22"/>
                <w:lang w:val="en-GB"/>
              </w:rPr>
              <w:t>2</w:t>
            </w:r>
            <w:r w:rsidRPr="007268F5">
              <w:rPr>
                <w:rFonts w:cstheme="minorBidi"/>
                <w:b/>
                <w:bCs/>
              </w:rPr>
              <w:fldChar w:fldCharType="end"/>
            </w:r>
            <w:r w:rsidRPr="009819CE">
              <w:rPr>
                <w:rFonts w:cstheme="minorBidi"/>
                <w:b/>
                <w:bCs/>
                <w:sz w:val="22"/>
                <w:szCs w:val="22"/>
                <w:lang w:val="en-GB"/>
              </w:rPr>
              <w:t>.</w:t>
            </w:r>
            <w:r w:rsidRPr="007268F5">
              <w:rPr>
                <w:rFonts w:cstheme="minorBidi"/>
                <w:b/>
                <w:bCs/>
              </w:rPr>
              <w:fldChar w:fldCharType="begin"/>
            </w:r>
            <w:r w:rsidRPr="009819CE">
              <w:rPr>
                <w:rFonts w:cstheme="minorBidi"/>
                <w:b/>
                <w:bCs/>
                <w:sz w:val="22"/>
                <w:szCs w:val="22"/>
                <w:lang w:val="en-GB"/>
              </w:rPr>
              <w:instrText xml:space="preserve"> SEQ Figure \* ARABIC \s 1 </w:instrText>
            </w:r>
            <w:r w:rsidRPr="007268F5">
              <w:rPr>
                <w:rFonts w:cstheme="minorBidi"/>
                <w:b/>
                <w:bCs/>
              </w:rPr>
              <w:fldChar w:fldCharType="separate"/>
            </w:r>
            <w:r w:rsidR="008549FC">
              <w:rPr>
                <w:rFonts w:cstheme="minorBidi"/>
                <w:b/>
                <w:bCs/>
                <w:noProof/>
                <w:sz w:val="22"/>
                <w:szCs w:val="22"/>
                <w:lang w:val="en-GB"/>
              </w:rPr>
              <w:t>10</w:t>
            </w:r>
            <w:r w:rsidRPr="007268F5">
              <w:rPr>
                <w:rFonts w:cstheme="minorBidi"/>
                <w:b/>
                <w:bCs/>
              </w:rPr>
              <w:fldChar w:fldCharType="end"/>
            </w:r>
            <w:bookmarkEnd w:id="204"/>
            <w:r w:rsidRPr="009819CE">
              <w:rPr>
                <w:rFonts w:cstheme="minorBidi"/>
                <w:sz w:val="22"/>
                <w:szCs w:val="22"/>
                <w:lang w:val="en-GB"/>
              </w:rPr>
              <w:t xml:space="preserve"> A) Overall percentage (%) of patent infection </w:t>
            </w:r>
            <w:r w:rsidR="00DB0C9C">
              <w:rPr>
                <w:rFonts w:cstheme="minorBidi"/>
                <w:sz w:val="22"/>
                <w:szCs w:val="22"/>
                <w:lang w:val="en-GB"/>
              </w:rPr>
              <w:t xml:space="preserve">severity (S0-S4) </w:t>
            </w:r>
            <w:r w:rsidRPr="009819CE">
              <w:rPr>
                <w:rFonts w:cstheme="minorBidi"/>
                <w:sz w:val="22"/>
                <w:szCs w:val="22"/>
                <w:lang w:val="en-GB"/>
              </w:rPr>
              <w:t>according to pleopod method (PM). B) Male percentage (%) of patent infection (PM). C) Female percentage (%) of patent infection (PM).</w:t>
            </w:r>
            <w:bookmarkEnd w:id="205"/>
            <w:bookmarkEnd w:id="206"/>
            <w:r w:rsidRPr="009819CE">
              <w:rPr>
                <w:rFonts w:cstheme="minorBidi"/>
                <w:sz w:val="22"/>
                <w:szCs w:val="22"/>
                <w:lang w:val="en-GB"/>
              </w:rPr>
              <w:t xml:space="preserve">  </w:t>
            </w:r>
          </w:p>
        </w:tc>
      </w:tr>
    </w:tbl>
    <w:p w14:paraId="1DD1819D" w14:textId="77777777" w:rsidR="00F36ABA" w:rsidRPr="009819CE" w:rsidRDefault="00F36ABA" w:rsidP="00F36ABA">
      <w:pPr>
        <w:rPr>
          <w:rFonts w:cstheme="minorBidi"/>
        </w:rPr>
        <w:sectPr w:rsidR="00F36ABA" w:rsidRPr="009819CE" w:rsidSect="003A7A28">
          <w:type w:val="continuous"/>
          <w:pgSz w:w="11906" w:h="16838" w:code="9"/>
          <w:pgMar w:top="1440" w:right="1440" w:bottom="1440" w:left="1440" w:header="283" w:footer="283" w:gutter="0"/>
          <w:cols w:space="802"/>
          <w:docGrid w:linePitch="360"/>
        </w:sectPr>
      </w:pPr>
    </w:p>
    <w:p w14:paraId="0966363C" w14:textId="5F21659B" w:rsidR="00F36ABA" w:rsidRPr="009819CE" w:rsidRDefault="00F36ABA" w:rsidP="009A5465">
      <w:pPr>
        <w:pStyle w:val="Heading3"/>
        <w:rPr>
          <w:rFonts w:cstheme="minorBidi"/>
          <w:iCs/>
        </w:rPr>
      </w:pPr>
      <w:bookmarkStart w:id="207" w:name="_Toc204106623"/>
      <w:r w:rsidRPr="009819CE">
        <w:rPr>
          <w:rFonts w:cstheme="minorBidi"/>
        </w:rPr>
        <w:t xml:space="preserve">Variables associated with </w:t>
      </w:r>
      <w:r w:rsidR="009D03F4" w:rsidRPr="009819CE">
        <w:rPr>
          <w:rFonts w:cstheme="minorBidi"/>
          <w:i/>
        </w:rPr>
        <w:t>Hematodinium</w:t>
      </w:r>
      <w:r w:rsidRPr="009819CE">
        <w:rPr>
          <w:rFonts w:cstheme="minorBidi"/>
        </w:rPr>
        <w:t xml:space="preserve"> sp. patent infection</w:t>
      </w:r>
      <w:bookmarkEnd w:id="207"/>
    </w:p>
    <w:p w14:paraId="72F86EAF" w14:textId="7BCF4432" w:rsidR="00FA592B" w:rsidRPr="009819CE" w:rsidRDefault="00F36ABA" w:rsidP="00F36ABA">
      <w:pPr>
        <w:rPr>
          <w:rFonts w:cstheme="minorBidi"/>
        </w:rPr>
      </w:pPr>
      <w:bookmarkStart w:id="208" w:name="_Hlk138264913"/>
      <w:r w:rsidRPr="009819CE">
        <w:rPr>
          <w:rFonts w:cstheme="minorBidi"/>
        </w:rPr>
        <w:t xml:space="preserve">The findings of the  Binomial Generalised Linear Models (glmer, </w:t>
      </w:r>
      <w:hyperlink w:anchor="_ENREF_25" w:tooltip="Bates, 2015 #890" w:history="1">
        <w:r w:rsidR="00950097" w:rsidRPr="009819CE">
          <w:rPr>
            <w:rFonts w:cstheme="minorBidi"/>
          </w:rPr>
          <w:fldChar w:fldCharType="begin"/>
        </w:r>
        <w:r w:rsidR="00950097" w:rsidRPr="009819CE">
          <w:rPr>
            <w:rFonts w:cstheme="minorBidi"/>
          </w:rPr>
          <w:instrText xml:space="preserve"> ADDIN EN.CITE &lt;EndNote&gt;&lt;Cite AuthorYear="1"&gt;&lt;Author&gt;Bates&lt;/Author&gt;&lt;Year&gt;2015&lt;/Year&gt;&lt;RecNum&gt;890&lt;/RecNum&gt;&lt;DisplayText&gt;Bates et al. (2015)&lt;/DisplayText&gt;&lt;record&gt;&lt;rec-number&gt;890&lt;/rec-number&gt;&lt;foreign-keys&gt;&lt;key app="EN" db-id="sd9wrx9fj09rx3erprsx999o0r5aprvp2zse" timestamp="1687855901" guid="2952f604-56f0-4e9b-8cf6-85e8c2747fb6"&gt;890&lt;/key&gt;&lt;/foreign-keys&gt;&lt;ref-type name="Journal Article"&gt;17&lt;/ref-type&gt;&lt;contributors&gt;&lt;authors&gt;&lt;author&gt;Bates, Douglas&lt;/author&gt;&lt;author&gt;Mächler, Martin&lt;/author&gt;&lt;author&gt;Bolker, Benjamin M.&lt;/author&gt;&lt;author&gt;Walker, Steven C.&lt;/author&gt;&lt;/authors&gt;&lt;/contributors&gt;&lt;titles&gt;&lt;title&gt;Fitting linear mixed-effects models using lme4&lt;/title&gt;&lt;secondary-title&gt;Journal of Statistical Software&lt;/secondary-title&gt;&lt;/titles&gt;&lt;periodical&gt;&lt;full-title&gt;Journal of Statistical Software&lt;/full-title&gt;&lt;/periodical&gt;&lt;pages&gt;1-48&lt;/pages&gt;&lt;volume&gt;67&lt;/volume&gt;&lt;number&gt;1&lt;/number&gt;&lt;keywords&gt;&lt;keyword&gt;Cholesky decomposition&lt;/keyword&gt;&lt;keyword&gt;linear mixed models&lt;/keyword&gt;&lt;keyword&gt;penalized least squares&lt;/keyword&gt;&lt;/keywords&gt;&lt;dates&gt;&lt;year&gt;2015&lt;/year&gt;&lt;pub-dates&gt;&lt;date&gt;2015/10//&lt;/date&gt;&lt;/pub-dates&gt;&lt;/dates&gt;&lt;publisher&gt;American Statistical Association&lt;/publisher&gt;&lt;urls&gt;&lt;related-urls&gt;&lt;url&gt;https://www.jstatsoft.org/index.php/jss/article/view/v067i01&lt;/url&gt;&lt;/related-urls&gt;&lt;/urls&gt;&lt;electronic-resource-num&gt;10.18637/JSS.V067.I01&lt;/electronic-resource-num&gt;&lt;/record&gt;&lt;/Cite&gt;&lt;/EndNote&gt;</w:instrText>
        </w:r>
        <w:r w:rsidR="00950097" w:rsidRPr="009819CE">
          <w:rPr>
            <w:rFonts w:cstheme="minorBidi"/>
          </w:rPr>
          <w:fldChar w:fldCharType="separate"/>
        </w:r>
        <w:r w:rsidR="00950097" w:rsidRPr="009819CE">
          <w:rPr>
            <w:rFonts w:cstheme="minorBidi"/>
          </w:rPr>
          <w:t>Bates et al. (2015)</w:t>
        </w:r>
        <w:r w:rsidR="00950097" w:rsidRPr="009819CE">
          <w:rPr>
            <w:rFonts w:cstheme="minorBidi"/>
          </w:rPr>
          <w:fldChar w:fldCharType="end"/>
        </w:r>
      </w:hyperlink>
      <w:r w:rsidRPr="009819CE">
        <w:rPr>
          <w:rFonts w:cstheme="minorBidi"/>
          <w:color w:val="000000"/>
        </w:rPr>
        <w:t>)</w:t>
      </w:r>
      <w:r w:rsidRPr="009819CE">
        <w:rPr>
          <w:rFonts w:cstheme="minorBidi"/>
        </w:rPr>
        <w:t xml:space="preserve"> for BCM are displayed in </w:t>
      </w:r>
      <w:r w:rsidRPr="009819CE">
        <w:rPr>
          <w:rFonts w:cstheme="minorBidi"/>
          <w:b/>
          <w:bCs/>
        </w:rPr>
        <w:fldChar w:fldCharType="begin"/>
      </w:r>
      <w:r w:rsidRPr="009819CE">
        <w:rPr>
          <w:rFonts w:cstheme="minorBidi"/>
          <w:b/>
          <w:bCs/>
        </w:rPr>
        <w:instrText xml:space="preserve"> REF _Ref114817675 \h  \* MERGEFORMAT </w:instrText>
      </w:r>
      <w:r w:rsidRPr="009819CE">
        <w:rPr>
          <w:rFonts w:cstheme="minorBidi"/>
          <w:b/>
          <w:bCs/>
        </w:rPr>
      </w:r>
      <w:r w:rsidRPr="009819CE">
        <w:rPr>
          <w:rFonts w:cstheme="minorBidi"/>
          <w:b/>
          <w:bCs/>
        </w:rPr>
        <w:fldChar w:fldCharType="separate"/>
      </w:r>
      <w:r w:rsidR="008549FC" w:rsidRPr="008549FC">
        <w:rPr>
          <w:rFonts w:cstheme="minorBidi"/>
          <w:b/>
          <w:bCs/>
        </w:rPr>
        <w:t>Table 2.1</w:t>
      </w:r>
      <w:r w:rsidRPr="009819CE">
        <w:rPr>
          <w:rFonts w:cstheme="minorBidi"/>
          <w:b/>
          <w:bCs/>
        </w:rPr>
        <w:fldChar w:fldCharType="end"/>
      </w:r>
      <w:r w:rsidRPr="009819CE">
        <w:rPr>
          <w:rFonts w:cstheme="minorBidi"/>
        </w:rPr>
        <w:t xml:space="preserve">. Since </w:t>
      </w:r>
      <w:r w:rsidR="00C967F0" w:rsidRPr="00FA7D47">
        <w:rPr>
          <w:rFonts w:cstheme="minorBidi"/>
        </w:rPr>
        <w:t>moult</w:t>
      </w:r>
      <w:r w:rsidRPr="009819CE">
        <w:rPr>
          <w:rFonts w:cstheme="minorBidi"/>
        </w:rPr>
        <w:t xml:space="preserve"> was determined using two different methods, the models were run twice: once with </w:t>
      </w:r>
      <w:r w:rsidR="00C967F0" w:rsidRPr="00FA7D47">
        <w:rPr>
          <w:rFonts w:cstheme="minorBidi"/>
        </w:rPr>
        <w:t>moult</w:t>
      </w:r>
      <w:r w:rsidRPr="009819CE">
        <w:rPr>
          <w:rFonts w:cstheme="minorBidi"/>
        </w:rPr>
        <w:t xml:space="preserve"> recorded as '</w:t>
      </w:r>
      <w:r w:rsidR="00C967F0" w:rsidRPr="00FA7D47">
        <w:rPr>
          <w:rFonts w:cstheme="minorBidi"/>
        </w:rPr>
        <w:t>moult</w:t>
      </w:r>
      <w:r w:rsidRPr="009819CE">
        <w:rPr>
          <w:rFonts w:cstheme="minorBidi"/>
        </w:rPr>
        <w:t xml:space="preserve"> index' and another with </w:t>
      </w:r>
      <w:r w:rsidR="00C967F0" w:rsidRPr="00FA7D47">
        <w:rPr>
          <w:rFonts w:cstheme="minorBidi"/>
        </w:rPr>
        <w:t>moult</w:t>
      </w:r>
      <w:r w:rsidRPr="009819CE">
        <w:rPr>
          <w:rFonts w:cstheme="minorBidi"/>
        </w:rPr>
        <w:t xml:space="preserve"> recorded as '</w:t>
      </w:r>
      <w:r w:rsidR="00C967F0" w:rsidRPr="00FA7D47">
        <w:rPr>
          <w:rFonts w:cstheme="minorBidi"/>
        </w:rPr>
        <w:t>moult</w:t>
      </w:r>
      <w:r w:rsidRPr="009819CE">
        <w:rPr>
          <w:rFonts w:cstheme="minorBidi"/>
        </w:rPr>
        <w:t xml:space="preserve"> stage', the later can be found in</w:t>
      </w:r>
      <w:r w:rsidR="00BA0759" w:rsidRPr="009819CE">
        <w:rPr>
          <w:rFonts w:cstheme="minorBidi"/>
        </w:rPr>
        <w:t xml:space="preserve"> </w:t>
      </w:r>
      <w:r w:rsidR="008157E5" w:rsidRPr="009819CE">
        <w:rPr>
          <w:rFonts w:cstheme="minorBidi"/>
          <w:color w:val="000000" w:themeColor="text1"/>
        </w:rPr>
        <w:t>supplementary</w:t>
      </w:r>
      <w:r w:rsidRPr="009819CE">
        <w:rPr>
          <w:rFonts w:cstheme="minorBidi"/>
        </w:rPr>
        <w:t xml:space="preserve"> </w:t>
      </w:r>
      <w:r w:rsidR="00D4787D" w:rsidRPr="009819CE">
        <w:rPr>
          <w:rFonts w:cstheme="minorBidi"/>
        </w:rPr>
        <w:fldChar w:fldCharType="begin"/>
      </w:r>
      <w:r w:rsidR="00D4787D" w:rsidRPr="009819CE">
        <w:rPr>
          <w:rFonts w:cstheme="minorBidi"/>
        </w:rPr>
        <w:instrText xml:space="preserve"> REF _Ref171358046 \h </w:instrText>
      </w:r>
      <w:r w:rsidR="008B0BF3" w:rsidRPr="009819CE">
        <w:rPr>
          <w:rFonts w:cstheme="minorBidi"/>
        </w:rPr>
        <w:instrText xml:space="preserve"> \* MERGEFORMAT </w:instrText>
      </w:r>
      <w:r w:rsidR="00D4787D" w:rsidRPr="009819CE">
        <w:rPr>
          <w:rFonts w:cstheme="minorBidi"/>
        </w:rPr>
      </w:r>
      <w:r w:rsidR="00D4787D" w:rsidRPr="009819CE">
        <w:rPr>
          <w:rFonts w:cstheme="minorBidi"/>
        </w:rPr>
        <w:fldChar w:fldCharType="separate"/>
      </w:r>
      <w:r w:rsidR="008549FC" w:rsidRPr="009819CE">
        <w:rPr>
          <w:rFonts w:cstheme="minorBidi"/>
          <w:b/>
          <w:bCs/>
        </w:rPr>
        <w:t xml:space="preserve">Table S2. </w:t>
      </w:r>
      <w:r w:rsidR="008549FC">
        <w:rPr>
          <w:rFonts w:cstheme="minorBidi"/>
          <w:b/>
          <w:bCs/>
        </w:rPr>
        <w:t>3</w:t>
      </w:r>
      <w:r w:rsidR="00D4787D" w:rsidRPr="009819CE">
        <w:rPr>
          <w:rFonts w:cstheme="minorBidi"/>
        </w:rPr>
        <w:fldChar w:fldCharType="end"/>
      </w:r>
      <w:r w:rsidR="00D4787D" w:rsidRPr="007268F5">
        <w:rPr>
          <w:rFonts w:cstheme="minorBidi"/>
          <w:b/>
          <w:bCs/>
        </w:rPr>
        <w:t xml:space="preserve">. </w:t>
      </w:r>
      <w:r w:rsidRPr="009819CE">
        <w:rPr>
          <w:rFonts w:cstheme="minorBidi"/>
        </w:rPr>
        <w:t xml:space="preserve">The analysis revealed that BCM infection was associated with a decrease in carapace length (CL) and positively associated with the </w:t>
      </w:r>
      <w:r w:rsidR="00C967F0" w:rsidRPr="00FA7D47">
        <w:rPr>
          <w:rFonts w:cstheme="minorBidi"/>
        </w:rPr>
        <w:t>moult</w:t>
      </w:r>
      <w:r w:rsidRPr="009819CE">
        <w:rPr>
          <w:rFonts w:cstheme="minorBidi"/>
        </w:rPr>
        <w:t xml:space="preserve"> index category "soft" (glmer 1-glmer 3) (</w:t>
      </w:r>
      <w:r w:rsidRPr="009819CE">
        <w:rPr>
          <w:rFonts w:cstheme="minorBidi"/>
          <w:b/>
          <w:bCs/>
        </w:rPr>
        <w:t>Table 2.1</w:t>
      </w:r>
      <w:r w:rsidRPr="009819CE">
        <w:rPr>
          <w:rFonts w:cstheme="minorBidi"/>
        </w:rPr>
        <w:t xml:space="preserve">). However, there was no association between </w:t>
      </w:r>
      <w:r w:rsidR="00C967F0" w:rsidRPr="00FA7D47">
        <w:rPr>
          <w:rFonts w:cstheme="minorBidi"/>
        </w:rPr>
        <w:t>moult</w:t>
      </w:r>
      <w:r w:rsidRPr="009819CE">
        <w:rPr>
          <w:rFonts w:cstheme="minorBidi"/>
        </w:rPr>
        <w:t xml:space="preserve"> stage (ms) and BCM infection. Nested models were then used to simplify the model by removing non-significant effects from successive models. Both factors (</w:t>
      </w:r>
      <w:r w:rsidR="00C967F0" w:rsidRPr="00FA7D47">
        <w:rPr>
          <w:rFonts w:cstheme="minorBidi"/>
        </w:rPr>
        <w:t>moult</w:t>
      </w:r>
      <w:r w:rsidRPr="009819CE">
        <w:rPr>
          <w:rFonts w:cstheme="minorBidi"/>
        </w:rPr>
        <w:t xml:space="preserve"> index-soft and CL) remained significant from glmer1-glmer3 as well as individually in glmer4 and glmer5 (</w:t>
      </w:r>
      <w:r w:rsidR="00E2709D" w:rsidRPr="009819CE">
        <w:rPr>
          <w:rFonts w:cstheme="minorBidi"/>
        </w:rPr>
        <w:fldChar w:fldCharType="begin"/>
      </w:r>
      <w:r w:rsidR="00E2709D" w:rsidRPr="009819CE">
        <w:rPr>
          <w:rFonts w:cstheme="minorBidi"/>
        </w:rPr>
        <w:instrText xml:space="preserve"> REF _Ref140653859 \h </w:instrText>
      </w:r>
      <w:r w:rsidR="00E2709D" w:rsidRPr="009819CE">
        <w:rPr>
          <w:rFonts w:cstheme="minorBidi"/>
        </w:rPr>
      </w:r>
      <w:r w:rsidR="00E2709D" w:rsidRPr="009819CE">
        <w:rPr>
          <w:rFonts w:cstheme="minorBidi"/>
        </w:rPr>
        <w:fldChar w:fldCharType="separate"/>
      </w:r>
      <w:r w:rsidR="008549FC" w:rsidRPr="009819CE">
        <w:rPr>
          <w:rFonts w:cstheme="minorBidi"/>
          <w:b/>
        </w:rPr>
        <w:t xml:space="preserve">Table </w:t>
      </w:r>
      <w:r w:rsidR="008549FC">
        <w:rPr>
          <w:rFonts w:cstheme="minorBidi"/>
          <w:b/>
          <w:noProof/>
        </w:rPr>
        <w:t>2</w:t>
      </w:r>
      <w:r w:rsidR="008549FC">
        <w:rPr>
          <w:rFonts w:cstheme="minorBidi"/>
          <w:b/>
        </w:rPr>
        <w:t>.</w:t>
      </w:r>
      <w:r w:rsidR="008549FC">
        <w:rPr>
          <w:rFonts w:cstheme="minorBidi"/>
          <w:b/>
          <w:noProof/>
        </w:rPr>
        <w:t>2</w:t>
      </w:r>
      <w:r w:rsidR="00E2709D" w:rsidRPr="009819CE">
        <w:rPr>
          <w:rFonts w:cstheme="minorBidi"/>
        </w:rPr>
        <w:fldChar w:fldCharType="end"/>
      </w:r>
      <w:r w:rsidRPr="009819CE">
        <w:rPr>
          <w:rFonts w:cstheme="minorBidi"/>
        </w:rPr>
        <w:t xml:space="preserve">). Binomial Generalised Linear Models, (glmer) </w:t>
      </w:r>
      <w:r w:rsidRPr="009819CE">
        <w:rPr>
          <w:rFonts w:cstheme="minorBidi"/>
        </w:rPr>
        <w:fldChar w:fldCharType="begin"/>
      </w:r>
      <w:r w:rsidR="00A8698B" w:rsidRPr="009819CE">
        <w:rPr>
          <w:rFonts w:cstheme="minorBidi"/>
        </w:rPr>
        <w:instrText xml:space="preserve"> ADDIN EN.CITE &lt;EndNote&gt;&lt;Cite&gt;&lt;Author&gt;Bates&lt;/Author&gt;&lt;Year&gt;2015&lt;/Year&gt;&lt;RecNum&gt;890&lt;/RecNum&gt;&lt;DisplayText&gt;(Bates et al., 2015)&lt;/DisplayText&gt;&lt;record&gt;&lt;rec-number&gt;890&lt;/rec-number&gt;&lt;foreign-keys&gt;&lt;key app="EN" db-id="sd9wrx9fj09rx3erprsx999o0r5aprvp2zse" timestamp="1687855901" guid="2952f604-56f0-4e9b-8cf6-85e8c2747fb6"&gt;890&lt;/key&gt;&lt;/foreign-keys&gt;&lt;ref-type name="Journal Article"&gt;17&lt;/ref-type&gt;&lt;contributors&gt;&lt;authors&gt;&lt;author&gt;Bates, Douglas&lt;/author&gt;&lt;author&gt;Mächler, Martin&lt;/author&gt;&lt;author&gt;Bolker, Benjamin M.&lt;/author&gt;&lt;author&gt;Walker, Steven C.&lt;/author&gt;&lt;/authors&gt;&lt;/contributors&gt;&lt;titles&gt;&lt;title&gt;Fitting linear mixed-effects models using lme4&lt;/title&gt;&lt;secondary-title&gt;Journal of Statistical Software&lt;/secondary-title&gt;&lt;/titles&gt;&lt;periodical&gt;&lt;full-title&gt;Journal of Statistical Software&lt;/full-title&gt;&lt;/periodical&gt;&lt;pages&gt;1-48&lt;/pages&gt;&lt;volume&gt;67&lt;/volume&gt;&lt;number&gt;1&lt;/number&gt;&lt;keywords&gt;&lt;keyword&gt;Cholesky decomposition&lt;/keyword&gt;&lt;keyword&gt;linear mixed models&lt;/keyword&gt;&lt;keyword&gt;penalized least squares&lt;/keyword&gt;&lt;/keywords&gt;&lt;dates&gt;&lt;year&gt;2015&lt;/year&gt;&lt;pub-dates&gt;&lt;date&gt;2015/10//&lt;/date&gt;&lt;/pub-dates&gt;&lt;/dates&gt;&lt;publisher&gt;American Statistical Association&lt;/publisher&gt;&lt;urls&gt;&lt;related-urls&gt;&lt;url&gt;https://www.jstatsoft.org/index.php/jss/article/view/v067i01&lt;/url&gt;&lt;/related-urls&gt;&lt;/urls&gt;&lt;electronic-resource-num&gt;10.18637/JSS.V067.I01&lt;/electronic-resource-num&gt;&lt;/record&gt;&lt;/Cite&gt;&lt;/EndNote&gt;</w:instrText>
      </w:r>
      <w:r w:rsidRPr="009819CE">
        <w:rPr>
          <w:rFonts w:cstheme="minorBidi"/>
        </w:rPr>
        <w:fldChar w:fldCharType="separate"/>
      </w:r>
      <w:r w:rsidR="00A8698B" w:rsidRPr="009819CE">
        <w:rPr>
          <w:rFonts w:cstheme="minorBidi"/>
        </w:rPr>
        <w:t>(</w:t>
      </w:r>
      <w:hyperlink w:anchor="_ENREF_25" w:tooltip="Bates, 2015 #890" w:history="1">
        <w:r w:rsidR="00950097" w:rsidRPr="009819CE">
          <w:rPr>
            <w:rFonts w:cstheme="minorBidi"/>
          </w:rPr>
          <w:t>Bates et al., 2015</w:t>
        </w:r>
      </w:hyperlink>
      <w:r w:rsidR="00A8698B" w:rsidRPr="009819CE">
        <w:rPr>
          <w:rFonts w:cstheme="minorBidi"/>
        </w:rPr>
        <w:t>)</w:t>
      </w:r>
      <w:r w:rsidRPr="009819CE">
        <w:rPr>
          <w:rFonts w:cstheme="minorBidi"/>
        </w:rPr>
        <w:fldChar w:fldCharType="end"/>
      </w:r>
      <w:r w:rsidRPr="009819CE">
        <w:rPr>
          <w:rFonts w:cstheme="minorBidi"/>
        </w:rPr>
        <w:t xml:space="preserve"> were applied to the prevalence data according to the PM, with positive infection defined as pleopod stages 1-4 (ʻps2ʼ). As per this model, males have a lower infection risk according to the PM (ʻps2ʼ)</w:t>
      </w:r>
      <w:r w:rsidR="00E2709D" w:rsidRPr="009819CE">
        <w:rPr>
          <w:rFonts w:cstheme="minorBidi"/>
        </w:rPr>
        <w:t xml:space="preserve"> (</w:t>
      </w:r>
      <w:r w:rsidR="00E2709D" w:rsidRPr="009819CE">
        <w:rPr>
          <w:rFonts w:cstheme="minorBidi"/>
        </w:rPr>
        <w:fldChar w:fldCharType="begin"/>
      </w:r>
      <w:r w:rsidR="00E2709D" w:rsidRPr="009819CE">
        <w:rPr>
          <w:rFonts w:cstheme="minorBidi"/>
        </w:rPr>
        <w:instrText xml:space="preserve"> REF _Ref140653859 \h </w:instrText>
      </w:r>
      <w:r w:rsidR="00E2709D" w:rsidRPr="009819CE">
        <w:rPr>
          <w:rFonts w:cstheme="minorBidi"/>
        </w:rPr>
      </w:r>
      <w:r w:rsidR="00E2709D" w:rsidRPr="009819CE">
        <w:rPr>
          <w:rFonts w:cstheme="minorBidi"/>
        </w:rPr>
        <w:fldChar w:fldCharType="separate"/>
      </w:r>
      <w:r w:rsidR="008549FC" w:rsidRPr="009819CE">
        <w:rPr>
          <w:rFonts w:cstheme="minorBidi"/>
          <w:b/>
        </w:rPr>
        <w:t xml:space="preserve">Table </w:t>
      </w:r>
      <w:r w:rsidR="008549FC">
        <w:rPr>
          <w:rFonts w:cstheme="minorBidi"/>
          <w:b/>
          <w:noProof/>
        </w:rPr>
        <w:t>2</w:t>
      </w:r>
      <w:r w:rsidR="008549FC">
        <w:rPr>
          <w:rFonts w:cstheme="minorBidi"/>
          <w:b/>
        </w:rPr>
        <w:t>.</w:t>
      </w:r>
      <w:r w:rsidR="008549FC">
        <w:rPr>
          <w:rFonts w:cstheme="minorBidi"/>
          <w:b/>
          <w:noProof/>
        </w:rPr>
        <w:t>2</w:t>
      </w:r>
      <w:r w:rsidR="00E2709D" w:rsidRPr="009819CE">
        <w:rPr>
          <w:rFonts w:cstheme="minorBidi"/>
        </w:rPr>
        <w:fldChar w:fldCharType="end"/>
      </w:r>
      <w:r w:rsidR="00E2709D" w:rsidRPr="009819CE">
        <w:rPr>
          <w:rFonts w:cstheme="minorBidi"/>
        </w:rPr>
        <w:t xml:space="preserve">). </w:t>
      </w:r>
      <w:r w:rsidRPr="009819CE">
        <w:rPr>
          <w:rFonts w:cstheme="minorBidi"/>
        </w:rPr>
        <w:t xml:space="preserve"> </w:t>
      </w:r>
    </w:p>
    <w:p w14:paraId="69CD55E4" w14:textId="77777777" w:rsidR="00725064" w:rsidRPr="009819CE" w:rsidRDefault="00725064" w:rsidP="00F36ABA">
      <w:pPr>
        <w:rPr>
          <w:rFonts w:cstheme="minorBidi"/>
        </w:rPr>
      </w:pPr>
    </w:p>
    <w:p w14:paraId="028DB393" w14:textId="77777777" w:rsidR="00315E75" w:rsidRPr="009819CE" w:rsidRDefault="00315E75" w:rsidP="00F36ABA">
      <w:pPr>
        <w:rPr>
          <w:rFonts w:cstheme="minorBidi"/>
        </w:rPr>
        <w:sectPr w:rsidR="00315E75" w:rsidRPr="009819CE" w:rsidSect="003A7A28">
          <w:pgSz w:w="11906" w:h="16838" w:code="9"/>
          <w:pgMar w:top="1440" w:right="1440" w:bottom="1440" w:left="1440" w:header="709" w:footer="709" w:gutter="0"/>
          <w:cols w:space="802"/>
          <w:docGrid w:linePitch="360"/>
        </w:sectPr>
      </w:pPr>
    </w:p>
    <w:p w14:paraId="779C22EF" w14:textId="4E716E23" w:rsidR="00F36ABA" w:rsidRPr="009819CE" w:rsidRDefault="00F36ABA" w:rsidP="00F36ABA">
      <w:pPr>
        <w:pStyle w:val="Caption"/>
        <w:rPr>
          <w:rFonts w:asciiTheme="minorBidi" w:hAnsiTheme="minorBidi" w:cstheme="minorBidi"/>
        </w:rPr>
      </w:pPr>
      <w:bookmarkStart w:id="209" w:name="_Ref114817675"/>
      <w:bookmarkStart w:id="210" w:name="_Toc202273059"/>
      <w:bookmarkStart w:id="211" w:name="_Toc204106757"/>
      <w:bookmarkEnd w:id="208"/>
      <w:r w:rsidRPr="009819CE">
        <w:rPr>
          <w:rFonts w:asciiTheme="minorBidi" w:hAnsiTheme="minorBidi" w:cstheme="minorBidi"/>
          <w:b/>
        </w:rPr>
        <w:t xml:space="preserve">Table </w:t>
      </w:r>
      <w:r w:rsidR="0095522A">
        <w:rPr>
          <w:rFonts w:asciiTheme="minorBidi" w:hAnsiTheme="minorBidi" w:cstheme="minorBidi"/>
          <w:b/>
        </w:rPr>
        <w:fldChar w:fldCharType="begin"/>
      </w:r>
      <w:r w:rsidR="0095522A">
        <w:rPr>
          <w:rFonts w:asciiTheme="minorBidi" w:hAnsiTheme="minorBidi" w:cstheme="minorBidi"/>
          <w:b/>
        </w:rPr>
        <w:instrText xml:space="preserve"> STYLEREF 1 \s </w:instrText>
      </w:r>
      <w:r w:rsidR="0095522A">
        <w:rPr>
          <w:rFonts w:asciiTheme="minorBidi" w:hAnsiTheme="minorBidi" w:cstheme="minorBidi"/>
          <w:b/>
        </w:rPr>
        <w:fldChar w:fldCharType="separate"/>
      </w:r>
      <w:r w:rsidR="008549FC">
        <w:rPr>
          <w:rFonts w:asciiTheme="minorBidi" w:hAnsiTheme="minorBidi" w:cstheme="minorBidi"/>
          <w:b/>
          <w:noProof/>
        </w:rPr>
        <w:t>2</w:t>
      </w:r>
      <w:r w:rsidR="0095522A">
        <w:rPr>
          <w:rFonts w:asciiTheme="minorBidi" w:hAnsiTheme="minorBidi" w:cstheme="minorBidi"/>
          <w:b/>
        </w:rPr>
        <w:fldChar w:fldCharType="end"/>
      </w:r>
      <w:r w:rsidR="0095522A">
        <w:rPr>
          <w:rFonts w:asciiTheme="minorBidi" w:hAnsiTheme="minorBidi" w:cstheme="minorBidi"/>
          <w:b/>
        </w:rPr>
        <w:t>.</w:t>
      </w:r>
      <w:r w:rsidR="0095522A">
        <w:rPr>
          <w:rFonts w:asciiTheme="minorBidi" w:hAnsiTheme="minorBidi" w:cstheme="minorBidi"/>
          <w:b/>
        </w:rPr>
        <w:fldChar w:fldCharType="begin"/>
      </w:r>
      <w:r w:rsidR="0095522A">
        <w:rPr>
          <w:rFonts w:asciiTheme="minorBidi" w:hAnsiTheme="minorBidi" w:cstheme="minorBidi"/>
          <w:b/>
        </w:rPr>
        <w:instrText xml:space="preserve"> SEQ Table \* ARABIC \s 1 </w:instrText>
      </w:r>
      <w:r w:rsidR="0095522A">
        <w:rPr>
          <w:rFonts w:asciiTheme="minorBidi" w:hAnsiTheme="minorBidi" w:cstheme="minorBidi"/>
          <w:b/>
        </w:rPr>
        <w:fldChar w:fldCharType="separate"/>
      </w:r>
      <w:r w:rsidR="008549FC">
        <w:rPr>
          <w:rFonts w:asciiTheme="minorBidi" w:hAnsiTheme="minorBidi" w:cstheme="minorBidi"/>
          <w:b/>
          <w:noProof/>
        </w:rPr>
        <w:t>1</w:t>
      </w:r>
      <w:r w:rsidR="0095522A">
        <w:rPr>
          <w:rFonts w:asciiTheme="minorBidi" w:hAnsiTheme="minorBidi" w:cstheme="minorBidi"/>
          <w:b/>
        </w:rPr>
        <w:fldChar w:fldCharType="end"/>
      </w:r>
      <w:bookmarkEnd w:id="209"/>
      <w:r w:rsidRPr="009819CE">
        <w:rPr>
          <w:rFonts w:asciiTheme="minorBidi" w:hAnsiTheme="minorBidi" w:cstheme="minorBidi"/>
        </w:rPr>
        <w:t xml:space="preserve"> </w:t>
      </w:r>
      <w:r w:rsidRPr="009819CE">
        <w:rPr>
          <w:rStyle w:val="LabelsChar"/>
          <w:rFonts w:asciiTheme="minorBidi" w:hAnsiTheme="minorBidi" w:cstheme="minorBidi"/>
          <w:szCs w:val="24"/>
          <w:lang w:val="en-GB"/>
        </w:rPr>
        <w:t>Binomial Generalised Linear Models applied to BCM prevalence levels.</w:t>
      </w:r>
      <w:bookmarkEnd w:id="210"/>
      <w:bookmarkEnd w:id="211"/>
      <w:r w:rsidRPr="009819CE">
        <w:rPr>
          <w:rFonts w:asciiTheme="minorBidi" w:hAnsiTheme="minorBidi" w:cstheme="minorBidi"/>
        </w:rPr>
        <w:t xml:space="preserve"> </w:t>
      </w:r>
    </w:p>
    <w:tbl>
      <w:tblPr>
        <w:tblStyle w:val="TableGridLight1"/>
        <w:tblW w:w="5000" w:type="pct"/>
        <w:tblInd w:w="0" w:type="dxa"/>
        <w:tblLook w:val="04A0" w:firstRow="1" w:lastRow="0" w:firstColumn="1" w:lastColumn="0" w:noHBand="0" w:noVBand="1"/>
      </w:tblPr>
      <w:tblGrid>
        <w:gridCol w:w="3655"/>
        <w:gridCol w:w="1222"/>
        <w:gridCol w:w="1198"/>
        <w:gridCol w:w="754"/>
        <w:gridCol w:w="1151"/>
        <w:gridCol w:w="1071"/>
        <w:gridCol w:w="685"/>
      </w:tblGrid>
      <w:tr w:rsidR="00F36ABA" w:rsidRPr="00FA7D47" w14:paraId="113CDFD9" w14:textId="77777777" w:rsidTr="00FA592B">
        <w:trPr>
          <w:trHeight w:val="299"/>
        </w:trPr>
        <w:tc>
          <w:tcPr>
            <w:tcW w:w="1767" w:type="pct"/>
            <w:noWrap/>
            <w:hideMark/>
          </w:tcPr>
          <w:p w14:paraId="3BF514EC" w14:textId="77777777" w:rsidR="00F36ABA" w:rsidRPr="009819CE" w:rsidRDefault="00F36ABA" w:rsidP="007D6607">
            <w:pPr>
              <w:spacing w:line="240" w:lineRule="auto"/>
              <w:jc w:val="left"/>
              <w:rPr>
                <w:rFonts w:cstheme="minorBidi"/>
                <w:b/>
                <w:bCs/>
                <w:lang w:val="en-GB"/>
              </w:rPr>
            </w:pPr>
            <w:r w:rsidRPr="009819CE">
              <w:rPr>
                <w:rFonts w:cstheme="minorBidi"/>
                <w:b/>
                <w:bCs/>
                <w:lang w:val="en-GB"/>
              </w:rPr>
              <w:t xml:space="preserve">Binomial Generalised </w:t>
            </w:r>
          </w:p>
          <w:p w14:paraId="4430835E" w14:textId="77777777" w:rsidR="00F36ABA" w:rsidRPr="009819CE" w:rsidRDefault="00F36ABA" w:rsidP="007D6607">
            <w:pPr>
              <w:spacing w:line="240" w:lineRule="auto"/>
              <w:jc w:val="left"/>
              <w:rPr>
                <w:rFonts w:cstheme="minorBidi"/>
                <w:b/>
                <w:bCs/>
                <w:color w:val="000000"/>
                <w:lang w:val="en-GB"/>
              </w:rPr>
            </w:pPr>
            <w:r w:rsidRPr="009819CE">
              <w:rPr>
                <w:rFonts w:cstheme="minorBidi"/>
                <w:b/>
                <w:bCs/>
                <w:lang w:val="en-GB"/>
              </w:rPr>
              <w:t xml:space="preserve">Linear Models </w:t>
            </w:r>
          </w:p>
        </w:tc>
        <w:tc>
          <w:tcPr>
            <w:tcW w:w="652" w:type="pct"/>
            <w:vMerge w:val="restart"/>
            <w:hideMark/>
          </w:tcPr>
          <w:p w14:paraId="142C7AA1" w14:textId="77777777" w:rsidR="00F36ABA" w:rsidRPr="009819CE" w:rsidRDefault="00F36ABA" w:rsidP="007D6607">
            <w:pPr>
              <w:spacing w:line="240" w:lineRule="auto"/>
              <w:jc w:val="center"/>
              <w:rPr>
                <w:rFonts w:cstheme="minorBidi"/>
                <w:b/>
                <w:bCs/>
                <w:color w:val="000000"/>
                <w:lang w:val="en-GB"/>
              </w:rPr>
            </w:pPr>
            <w:r w:rsidRPr="009819CE">
              <w:rPr>
                <w:rFonts w:cstheme="minorBidi"/>
                <w:b/>
                <w:bCs/>
                <w:color w:val="000000"/>
                <w:lang w:val="en-GB"/>
              </w:rPr>
              <w:t>Factors</w:t>
            </w:r>
          </w:p>
          <w:p w14:paraId="09691EED" w14:textId="77777777" w:rsidR="00F36ABA" w:rsidRPr="009819CE" w:rsidRDefault="00F36ABA" w:rsidP="007D6607">
            <w:pPr>
              <w:spacing w:line="240" w:lineRule="auto"/>
              <w:jc w:val="center"/>
              <w:rPr>
                <w:rFonts w:cstheme="minorBidi"/>
                <w:b/>
                <w:bCs/>
                <w:color w:val="000000"/>
                <w:lang w:val="en-GB"/>
              </w:rPr>
            </w:pPr>
          </w:p>
        </w:tc>
        <w:tc>
          <w:tcPr>
            <w:tcW w:w="639" w:type="pct"/>
            <w:vMerge w:val="restart"/>
            <w:noWrap/>
            <w:hideMark/>
          </w:tcPr>
          <w:p w14:paraId="20D41290" w14:textId="77777777" w:rsidR="00F36ABA" w:rsidRPr="009819CE" w:rsidRDefault="00F36ABA" w:rsidP="007D6607">
            <w:pPr>
              <w:spacing w:line="240" w:lineRule="auto"/>
              <w:jc w:val="center"/>
              <w:rPr>
                <w:rFonts w:cstheme="minorBidi"/>
                <w:b/>
                <w:bCs/>
                <w:color w:val="000000"/>
                <w:lang w:val="en-GB"/>
              </w:rPr>
            </w:pPr>
            <w:r w:rsidRPr="009819CE">
              <w:rPr>
                <w:rFonts w:cstheme="minorBidi"/>
                <w:b/>
                <w:bCs/>
                <w:color w:val="000000"/>
                <w:lang w:val="en-GB"/>
              </w:rPr>
              <w:t>Estimate</w:t>
            </w:r>
          </w:p>
          <w:p w14:paraId="02D8D517" w14:textId="77777777" w:rsidR="00F36ABA" w:rsidRPr="009819CE" w:rsidRDefault="00F36ABA" w:rsidP="007D6607">
            <w:pPr>
              <w:spacing w:line="240" w:lineRule="auto"/>
              <w:jc w:val="center"/>
              <w:rPr>
                <w:rFonts w:cstheme="minorBidi"/>
                <w:b/>
                <w:bCs/>
                <w:color w:val="000000"/>
                <w:lang w:val="en-GB"/>
              </w:rPr>
            </w:pPr>
          </w:p>
        </w:tc>
        <w:tc>
          <w:tcPr>
            <w:tcW w:w="398" w:type="pct"/>
            <w:vMerge w:val="restart"/>
            <w:noWrap/>
            <w:hideMark/>
          </w:tcPr>
          <w:p w14:paraId="53737E5D" w14:textId="77777777" w:rsidR="00F36ABA" w:rsidRPr="009819CE" w:rsidRDefault="00F36ABA" w:rsidP="007D6607">
            <w:pPr>
              <w:spacing w:line="240" w:lineRule="auto"/>
              <w:jc w:val="center"/>
              <w:rPr>
                <w:rFonts w:cstheme="minorBidi"/>
                <w:b/>
                <w:bCs/>
                <w:color w:val="333333"/>
                <w:lang w:val="en-GB"/>
              </w:rPr>
            </w:pPr>
            <w:r w:rsidRPr="009819CE">
              <w:rPr>
                <w:rFonts w:cstheme="minorBidi"/>
                <w:b/>
                <w:bCs/>
                <w:color w:val="333333"/>
                <w:lang w:val="en-GB"/>
              </w:rPr>
              <w:t>SE</w:t>
            </w:r>
          </w:p>
          <w:p w14:paraId="10C399AC" w14:textId="77777777" w:rsidR="00F36ABA" w:rsidRPr="009819CE" w:rsidRDefault="00F36ABA" w:rsidP="007D6607">
            <w:pPr>
              <w:spacing w:line="240" w:lineRule="auto"/>
              <w:jc w:val="center"/>
              <w:rPr>
                <w:rFonts w:cstheme="minorBidi"/>
                <w:b/>
                <w:bCs/>
                <w:color w:val="333333"/>
                <w:lang w:val="en-GB"/>
              </w:rPr>
            </w:pPr>
          </w:p>
        </w:tc>
        <w:tc>
          <w:tcPr>
            <w:tcW w:w="614" w:type="pct"/>
            <w:vMerge w:val="restart"/>
            <w:noWrap/>
            <w:hideMark/>
          </w:tcPr>
          <w:p w14:paraId="3AEB0479" w14:textId="77777777" w:rsidR="00F36ABA" w:rsidRPr="009819CE" w:rsidRDefault="00F36ABA" w:rsidP="007D6607">
            <w:pPr>
              <w:spacing w:line="240" w:lineRule="auto"/>
              <w:jc w:val="center"/>
              <w:rPr>
                <w:rFonts w:cstheme="minorBidi"/>
                <w:b/>
                <w:bCs/>
                <w:color w:val="333333"/>
                <w:lang w:val="en-GB"/>
              </w:rPr>
            </w:pPr>
            <w:r w:rsidRPr="009819CE">
              <w:rPr>
                <w:rFonts w:cstheme="minorBidi"/>
                <w:b/>
                <w:bCs/>
                <w:color w:val="333333"/>
                <w:lang w:val="en-GB"/>
              </w:rPr>
              <w:t>z value</w:t>
            </w:r>
          </w:p>
          <w:p w14:paraId="65175725" w14:textId="77777777" w:rsidR="00F36ABA" w:rsidRPr="009819CE" w:rsidRDefault="00F36ABA" w:rsidP="007D6607">
            <w:pPr>
              <w:spacing w:line="240" w:lineRule="auto"/>
              <w:jc w:val="center"/>
              <w:rPr>
                <w:rFonts w:cstheme="minorBidi"/>
                <w:b/>
                <w:bCs/>
                <w:color w:val="333333"/>
                <w:lang w:val="en-GB"/>
              </w:rPr>
            </w:pPr>
          </w:p>
        </w:tc>
        <w:tc>
          <w:tcPr>
            <w:tcW w:w="570" w:type="pct"/>
            <w:vMerge w:val="restart"/>
            <w:noWrap/>
            <w:hideMark/>
          </w:tcPr>
          <w:p w14:paraId="4B770154" w14:textId="77777777" w:rsidR="00F36ABA" w:rsidRPr="009819CE" w:rsidRDefault="00F36ABA" w:rsidP="007D6607">
            <w:pPr>
              <w:spacing w:line="240" w:lineRule="auto"/>
              <w:jc w:val="center"/>
              <w:rPr>
                <w:rFonts w:cstheme="minorBidi"/>
                <w:b/>
                <w:bCs/>
                <w:color w:val="333333"/>
                <w:lang w:val="en-GB"/>
              </w:rPr>
            </w:pPr>
            <w:r w:rsidRPr="009819CE">
              <w:rPr>
                <w:rFonts w:cstheme="minorBidi"/>
                <w:b/>
                <w:bCs/>
                <w:color w:val="333333"/>
                <w:lang w:val="en-GB"/>
              </w:rPr>
              <w:t>Pr(&gt;|z|)</w:t>
            </w:r>
          </w:p>
          <w:p w14:paraId="2F7ADA05" w14:textId="77777777" w:rsidR="00F36ABA" w:rsidRPr="009819CE" w:rsidRDefault="00F36ABA" w:rsidP="007D6607">
            <w:pPr>
              <w:spacing w:line="240" w:lineRule="auto"/>
              <w:jc w:val="center"/>
              <w:rPr>
                <w:rFonts w:cstheme="minorBidi"/>
                <w:b/>
                <w:bCs/>
                <w:color w:val="333333"/>
                <w:lang w:val="en-GB"/>
              </w:rPr>
            </w:pPr>
          </w:p>
        </w:tc>
        <w:tc>
          <w:tcPr>
            <w:tcW w:w="360" w:type="pct"/>
            <w:vMerge w:val="restart"/>
            <w:noWrap/>
            <w:hideMark/>
          </w:tcPr>
          <w:p w14:paraId="170AB7E1" w14:textId="77777777" w:rsidR="00F36ABA" w:rsidRPr="009819CE" w:rsidRDefault="00F36ABA" w:rsidP="007D6607">
            <w:pPr>
              <w:spacing w:line="240" w:lineRule="auto"/>
              <w:jc w:val="center"/>
              <w:rPr>
                <w:rFonts w:cstheme="minorBidi"/>
                <w:b/>
                <w:bCs/>
                <w:color w:val="333333"/>
                <w:lang w:val="en-GB"/>
              </w:rPr>
            </w:pPr>
            <w:r w:rsidRPr="009819CE">
              <w:rPr>
                <w:rFonts w:cstheme="minorBidi"/>
                <w:b/>
                <w:bCs/>
                <w:color w:val="333333"/>
                <w:lang w:val="en-GB"/>
              </w:rPr>
              <w:t>Sign</w:t>
            </w:r>
          </w:p>
        </w:tc>
      </w:tr>
      <w:tr w:rsidR="00F36ABA" w:rsidRPr="00FA7D47" w14:paraId="497B0858" w14:textId="77777777" w:rsidTr="00FA592B">
        <w:trPr>
          <w:trHeight w:val="314"/>
        </w:trPr>
        <w:tc>
          <w:tcPr>
            <w:tcW w:w="1767" w:type="pct"/>
            <w:tcBorders>
              <w:bottom w:val="single" w:sz="4" w:space="0" w:color="BFBFBF"/>
            </w:tcBorders>
            <w:noWrap/>
            <w:hideMark/>
          </w:tcPr>
          <w:p w14:paraId="676448A5" w14:textId="77777777" w:rsidR="00F36ABA" w:rsidRPr="009819CE" w:rsidRDefault="00F36ABA" w:rsidP="007D6607">
            <w:pPr>
              <w:spacing w:line="240" w:lineRule="auto"/>
              <w:jc w:val="left"/>
              <w:rPr>
                <w:rFonts w:cstheme="minorBidi"/>
                <w:b/>
                <w:bCs/>
                <w:color w:val="000000"/>
                <w:lang w:val="en-GB"/>
              </w:rPr>
            </w:pPr>
            <w:r w:rsidRPr="009819CE">
              <w:rPr>
                <w:rFonts w:cstheme="minorBidi"/>
                <w:b/>
                <w:bCs/>
                <w:color w:val="000000"/>
                <w:lang w:val="en-GB"/>
              </w:rPr>
              <w:t>(Body-colour infection )</w:t>
            </w:r>
            <w:r w:rsidRPr="009819CE">
              <w:rPr>
                <w:rFonts w:cstheme="minorBidi"/>
                <w:color w:val="000000"/>
                <w:lang w:val="en-GB"/>
              </w:rPr>
              <w:t xml:space="preserve"> family="binomial"</w:t>
            </w:r>
          </w:p>
        </w:tc>
        <w:tc>
          <w:tcPr>
            <w:tcW w:w="652" w:type="pct"/>
            <w:vMerge/>
            <w:tcBorders>
              <w:bottom w:val="single" w:sz="4" w:space="0" w:color="BFBFBF"/>
            </w:tcBorders>
            <w:hideMark/>
          </w:tcPr>
          <w:p w14:paraId="0D43C05B" w14:textId="77777777" w:rsidR="00F36ABA" w:rsidRPr="00FA7D47" w:rsidRDefault="00F36ABA" w:rsidP="007D6607">
            <w:pPr>
              <w:spacing w:line="240" w:lineRule="auto"/>
              <w:jc w:val="left"/>
              <w:rPr>
                <w:rFonts w:cstheme="minorBidi"/>
                <w:b/>
                <w:bCs/>
                <w:color w:val="000000"/>
                <w:lang w:val="en-GB"/>
              </w:rPr>
            </w:pPr>
          </w:p>
        </w:tc>
        <w:tc>
          <w:tcPr>
            <w:tcW w:w="639" w:type="pct"/>
            <w:vMerge/>
            <w:tcBorders>
              <w:bottom w:val="single" w:sz="4" w:space="0" w:color="BFBFBF"/>
            </w:tcBorders>
            <w:hideMark/>
          </w:tcPr>
          <w:p w14:paraId="7B371170" w14:textId="77777777" w:rsidR="00F36ABA" w:rsidRPr="00FA7D47" w:rsidRDefault="00F36ABA" w:rsidP="007D6607">
            <w:pPr>
              <w:spacing w:line="240" w:lineRule="auto"/>
              <w:jc w:val="left"/>
              <w:rPr>
                <w:rFonts w:cstheme="minorBidi"/>
                <w:b/>
                <w:bCs/>
                <w:color w:val="000000"/>
                <w:lang w:val="en-GB"/>
              </w:rPr>
            </w:pPr>
          </w:p>
        </w:tc>
        <w:tc>
          <w:tcPr>
            <w:tcW w:w="398" w:type="pct"/>
            <w:vMerge/>
            <w:tcBorders>
              <w:bottom w:val="single" w:sz="4" w:space="0" w:color="BFBFBF"/>
            </w:tcBorders>
            <w:hideMark/>
          </w:tcPr>
          <w:p w14:paraId="0AA4E03D" w14:textId="77777777" w:rsidR="00F36ABA" w:rsidRPr="00FA7D47" w:rsidRDefault="00F36ABA" w:rsidP="007D6607">
            <w:pPr>
              <w:spacing w:line="240" w:lineRule="auto"/>
              <w:jc w:val="left"/>
              <w:rPr>
                <w:rFonts w:cstheme="minorBidi"/>
                <w:b/>
                <w:bCs/>
                <w:color w:val="333333"/>
                <w:lang w:val="en-GB"/>
              </w:rPr>
            </w:pPr>
          </w:p>
        </w:tc>
        <w:tc>
          <w:tcPr>
            <w:tcW w:w="614" w:type="pct"/>
            <w:vMerge/>
            <w:tcBorders>
              <w:bottom w:val="single" w:sz="4" w:space="0" w:color="BFBFBF"/>
            </w:tcBorders>
            <w:hideMark/>
          </w:tcPr>
          <w:p w14:paraId="723B4306" w14:textId="77777777" w:rsidR="00F36ABA" w:rsidRPr="00FA7D47" w:rsidRDefault="00F36ABA" w:rsidP="007D6607">
            <w:pPr>
              <w:spacing w:line="240" w:lineRule="auto"/>
              <w:jc w:val="left"/>
              <w:rPr>
                <w:rFonts w:cstheme="minorBidi"/>
                <w:b/>
                <w:bCs/>
                <w:color w:val="333333"/>
                <w:lang w:val="en-GB"/>
              </w:rPr>
            </w:pPr>
          </w:p>
        </w:tc>
        <w:tc>
          <w:tcPr>
            <w:tcW w:w="570" w:type="pct"/>
            <w:vMerge/>
            <w:tcBorders>
              <w:bottom w:val="single" w:sz="4" w:space="0" w:color="BFBFBF"/>
            </w:tcBorders>
            <w:hideMark/>
          </w:tcPr>
          <w:p w14:paraId="6687263A" w14:textId="77777777" w:rsidR="00F36ABA" w:rsidRPr="00FA7D47" w:rsidRDefault="00F36ABA" w:rsidP="007D6607">
            <w:pPr>
              <w:spacing w:line="240" w:lineRule="auto"/>
              <w:jc w:val="left"/>
              <w:rPr>
                <w:rFonts w:cstheme="minorBidi"/>
                <w:b/>
                <w:bCs/>
                <w:color w:val="333333"/>
                <w:lang w:val="en-GB"/>
              </w:rPr>
            </w:pPr>
          </w:p>
        </w:tc>
        <w:tc>
          <w:tcPr>
            <w:tcW w:w="360" w:type="pct"/>
            <w:vMerge/>
            <w:tcBorders>
              <w:bottom w:val="single" w:sz="4" w:space="0" w:color="BFBFBF"/>
            </w:tcBorders>
            <w:hideMark/>
          </w:tcPr>
          <w:p w14:paraId="69D27262" w14:textId="77777777" w:rsidR="00F36ABA" w:rsidRPr="00FA7D47" w:rsidRDefault="00F36ABA" w:rsidP="007D6607">
            <w:pPr>
              <w:spacing w:line="240" w:lineRule="auto"/>
              <w:jc w:val="left"/>
              <w:rPr>
                <w:rFonts w:cstheme="minorBidi"/>
                <w:b/>
                <w:bCs/>
                <w:color w:val="333333"/>
                <w:lang w:val="en-GB"/>
              </w:rPr>
            </w:pPr>
          </w:p>
        </w:tc>
      </w:tr>
      <w:tr w:rsidR="00F36ABA" w:rsidRPr="00FA7D47" w14:paraId="404CA816" w14:textId="77777777" w:rsidTr="00FA592B">
        <w:trPr>
          <w:trHeight w:val="314"/>
        </w:trPr>
        <w:tc>
          <w:tcPr>
            <w:tcW w:w="1767" w:type="pct"/>
            <w:tcBorders>
              <w:bottom w:val="nil"/>
              <w:right w:val="single" w:sz="4" w:space="0" w:color="BFBFBF"/>
            </w:tcBorders>
            <w:noWrap/>
            <w:hideMark/>
          </w:tcPr>
          <w:p w14:paraId="0FFC03A5" w14:textId="77777777" w:rsidR="00F36ABA" w:rsidRPr="009819CE" w:rsidRDefault="00F36ABA" w:rsidP="007D6607">
            <w:pPr>
              <w:spacing w:line="240" w:lineRule="auto"/>
              <w:jc w:val="left"/>
              <w:rPr>
                <w:rFonts w:cstheme="minorBidi"/>
                <w:color w:val="000000"/>
                <w:lang w:val="en-GB"/>
              </w:rPr>
            </w:pPr>
            <w:r w:rsidRPr="009819CE">
              <w:rPr>
                <w:rFonts w:cstheme="minorBidi"/>
                <w:b/>
                <w:bCs/>
                <w:color w:val="000000"/>
                <w:lang w:val="en-GB"/>
              </w:rPr>
              <w:t>glmer1</w:t>
            </w:r>
          </w:p>
        </w:tc>
        <w:tc>
          <w:tcPr>
            <w:tcW w:w="652" w:type="pct"/>
            <w:tcBorders>
              <w:left w:val="single" w:sz="4" w:space="0" w:color="BFBFBF"/>
              <w:bottom w:val="nil"/>
              <w:right w:val="single" w:sz="4" w:space="0" w:color="BFBFBF"/>
            </w:tcBorders>
            <w:noWrap/>
            <w:hideMark/>
          </w:tcPr>
          <w:p w14:paraId="52248517"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CL</w:t>
            </w:r>
          </w:p>
        </w:tc>
        <w:tc>
          <w:tcPr>
            <w:tcW w:w="639" w:type="pct"/>
            <w:tcBorders>
              <w:left w:val="single" w:sz="4" w:space="0" w:color="BFBFBF"/>
              <w:bottom w:val="nil"/>
              <w:right w:val="single" w:sz="4" w:space="0" w:color="BFBFBF"/>
            </w:tcBorders>
            <w:noWrap/>
            <w:hideMark/>
          </w:tcPr>
          <w:p w14:paraId="5E12AD61"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-0.236</w:t>
            </w:r>
          </w:p>
        </w:tc>
        <w:tc>
          <w:tcPr>
            <w:tcW w:w="398" w:type="pct"/>
            <w:tcBorders>
              <w:left w:val="single" w:sz="4" w:space="0" w:color="BFBFBF"/>
              <w:bottom w:val="nil"/>
              <w:right w:val="single" w:sz="4" w:space="0" w:color="BFBFBF"/>
            </w:tcBorders>
            <w:noWrap/>
            <w:hideMark/>
          </w:tcPr>
          <w:p w14:paraId="0D923CE8"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0.058</w:t>
            </w:r>
          </w:p>
        </w:tc>
        <w:tc>
          <w:tcPr>
            <w:tcW w:w="614" w:type="pct"/>
            <w:tcBorders>
              <w:left w:val="single" w:sz="4" w:space="0" w:color="BFBFBF"/>
              <w:bottom w:val="nil"/>
              <w:right w:val="single" w:sz="4" w:space="0" w:color="BFBFBF"/>
            </w:tcBorders>
            <w:noWrap/>
            <w:hideMark/>
          </w:tcPr>
          <w:p w14:paraId="3E373B84"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-4.100</w:t>
            </w:r>
          </w:p>
        </w:tc>
        <w:tc>
          <w:tcPr>
            <w:tcW w:w="570" w:type="pct"/>
            <w:tcBorders>
              <w:left w:val="single" w:sz="4" w:space="0" w:color="BFBFBF"/>
              <w:bottom w:val="nil"/>
              <w:right w:val="single" w:sz="4" w:space="0" w:color="BFBFBF"/>
            </w:tcBorders>
            <w:noWrap/>
            <w:hideMark/>
          </w:tcPr>
          <w:p w14:paraId="67F3095F"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4.13E-05</w:t>
            </w:r>
          </w:p>
        </w:tc>
        <w:tc>
          <w:tcPr>
            <w:tcW w:w="360" w:type="pct"/>
            <w:tcBorders>
              <w:left w:val="single" w:sz="4" w:space="0" w:color="BFBFBF"/>
              <w:bottom w:val="nil"/>
            </w:tcBorders>
            <w:noWrap/>
            <w:hideMark/>
          </w:tcPr>
          <w:p w14:paraId="71BB7A38"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3B11CD69" w14:textId="77777777" w:rsidTr="00FA592B">
        <w:trPr>
          <w:trHeight w:val="314"/>
        </w:trPr>
        <w:tc>
          <w:tcPr>
            <w:tcW w:w="1767" w:type="pct"/>
            <w:tcBorders>
              <w:top w:val="nil"/>
              <w:bottom w:val="single" w:sz="4" w:space="0" w:color="BFBFBF"/>
              <w:right w:val="single" w:sz="4" w:space="0" w:color="BFBFBF"/>
            </w:tcBorders>
            <w:noWrap/>
            <w:hideMark/>
          </w:tcPr>
          <w:p w14:paraId="57D923A4"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bc ~CL+ sex+ midx +  som+ date</w:t>
            </w:r>
          </w:p>
        </w:tc>
        <w:tc>
          <w:tcPr>
            <w:tcW w:w="652" w:type="pct"/>
            <w:tcBorders>
              <w:top w:val="nil"/>
              <w:left w:val="single" w:sz="4" w:space="0" w:color="BFBFBF"/>
              <w:bottom w:val="single" w:sz="4" w:space="0" w:color="BFBFBF"/>
              <w:right w:val="single" w:sz="4" w:space="0" w:color="BFBFBF"/>
            </w:tcBorders>
            <w:noWrap/>
            <w:hideMark/>
          </w:tcPr>
          <w:p w14:paraId="403927A4"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midx S</w:t>
            </w:r>
          </w:p>
        </w:tc>
        <w:tc>
          <w:tcPr>
            <w:tcW w:w="639" w:type="pct"/>
            <w:tcBorders>
              <w:top w:val="nil"/>
              <w:left w:val="single" w:sz="4" w:space="0" w:color="BFBFBF"/>
              <w:bottom w:val="single" w:sz="4" w:space="0" w:color="BFBFBF"/>
              <w:right w:val="single" w:sz="4" w:space="0" w:color="BFBFBF"/>
            </w:tcBorders>
            <w:noWrap/>
            <w:hideMark/>
          </w:tcPr>
          <w:p w14:paraId="6BB288FB"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1.071</w:t>
            </w:r>
          </w:p>
        </w:tc>
        <w:tc>
          <w:tcPr>
            <w:tcW w:w="398" w:type="pct"/>
            <w:tcBorders>
              <w:top w:val="nil"/>
              <w:left w:val="single" w:sz="4" w:space="0" w:color="BFBFBF"/>
              <w:bottom w:val="single" w:sz="4" w:space="0" w:color="BFBFBF"/>
              <w:right w:val="single" w:sz="4" w:space="0" w:color="BFBFBF"/>
            </w:tcBorders>
            <w:noWrap/>
            <w:hideMark/>
          </w:tcPr>
          <w:p w14:paraId="3B3DED2F"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0.393</w:t>
            </w:r>
          </w:p>
        </w:tc>
        <w:tc>
          <w:tcPr>
            <w:tcW w:w="614" w:type="pct"/>
            <w:tcBorders>
              <w:top w:val="nil"/>
              <w:left w:val="single" w:sz="4" w:space="0" w:color="BFBFBF"/>
              <w:bottom w:val="single" w:sz="4" w:space="0" w:color="BFBFBF"/>
              <w:right w:val="single" w:sz="4" w:space="0" w:color="BFBFBF"/>
            </w:tcBorders>
            <w:noWrap/>
            <w:hideMark/>
          </w:tcPr>
          <w:p w14:paraId="51C10268"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2.721</w:t>
            </w:r>
          </w:p>
        </w:tc>
        <w:tc>
          <w:tcPr>
            <w:tcW w:w="570" w:type="pct"/>
            <w:tcBorders>
              <w:top w:val="nil"/>
              <w:left w:val="single" w:sz="4" w:space="0" w:color="BFBFBF"/>
              <w:bottom w:val="single" w:sz="4" w:space="0" w:color="BFBFBF"/>
              <w:right w:val="single" w:sz="4" w:space="0" w:color="BFBFBF"/>
            </w:tcBorders>
            <w:noWrap/>
            <w:hideMark/>
          </w:tcPr>
          <w:p w14:paraId="748643EB"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6.50E-03</w:t>
            </w:r>
          </w:p>
        </w:tc>
        <w:tc>
          <w:tcPr>
            <w:tcW w:w="360" w:type="pct"/>
            <w:tcBorders>
              <w:top w:val="nil"/>
              <w:left w:val="single" w:sz="4" w:space="0" w:color="BFBFBF"/>
              <w:bottom w:val="single" w:sz="4" w:space="0" w:color="BFBFBF"/>
            </w:tcBorders>
            <w:noWrap/>
            <w:hideMark/>
          </w:tcPr>
          <w:p w14:paraId="5DE87D0A"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38583901" w14:textId="77777777" w:rsidTr="00FA592B">
        <w:trPr>
          <w:trHeight w:val="314"/>
        </w:trPr>
        <w:tc>
          <w:tcPr>
            <w:tcW w:w="1767" w:type="pct"/>
            <w:tcBorders>
              <w:bottom w:val="nil"/>
              <w:right w:val="single" w:sz="4" w:space="0" w:color="BFBFBF"/>
            </w:tcBorders>
            <w:noWrap/>
            <w:hideMark/>
          </w:tcPr>
          <w:p w14:paraId="35021AC0" w14:textId="77777777" w:rsidR="00F36ABA" w:rsidRPr="009819CE" w:rsidRDefault="00F36ABA" w:rsidP="007D6607">
            <w:pPr>
              <w:spacing w:line="240" w:lineRule="auto"/>
              <w:jc w:val="left"/>
              <w:rPr>
                <w:rFonts w:cstheme="minorBidi"/>
                <w:color w:val="000000"/>
                <w:lang w:val="en-GB"/>
              </w:rPr>
            </w:pPr>
            <w:r w:rsidRPr="009819CE">
              <w:rPr>
                <w:rFonts w:cstheme="minorBidi"/>
                <w:b/>
                <w:bCs/>
                <w:color w:val="000000"/>
                <w:lang w:val="en-GB"/>
              </w:rPr>
              <w:t>glmer2</w:t>
            </w:r>
          </w:p>
        </w:tc>
        <w:tc>
          <w:tcPr>
            <w:tcW w:w="652" w:type="pct"/>
            <w:tcBorders>
              <w:left w:val="single" w:sz="4" w:space="0" w:color="BFBFBF"/>
              <w:bottom w:val="nil"/>
              <w:right w:val="single" w:sz="4" w:space="0" w:color="BFBFBF"/>
            </w:tcBorders>
            <w:noWrap/>
            <w:hideMark/>
          </w:tcPr>
          <w:p w14:paraId="2CC8F6EB"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CL</w:t>
            </w:r>
          </w:p>
        </w:tc>
        <w:tc>
          <w:tcPr>
            <w:tcW w:w="639" w:type="pct"/>
            <w:tcBorders>
              <w:left w:val="single" w:sz="4" w:space="0" w:color="BFBFBF"/>
              <w:bottom w:val="nil"/>
              <w:right w:val="single" w:sz="4" w:space="0" w:color="BFBFBF"/>
            </w:tcBorders>
            <w:noWrap/>
            <w:hideMark/>
          </w:tcPr>
          <w:p w14:paraId="34B54D91"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-0.236</w:t>
            </w:r>
          </w:p>
        </w:tc>
        <w:tc>
          <w:tcPr>
            <w:tcW w:w="398" w:type="pct"/>
            <w:tcBorders>
              <w:left w:val="single" w:sz="4" w:space="0" w:color="BFBFBF"/>
              <w:bottom w:val="nil"/>
              <w:right w:val="single" w:sz="4" w:space="0" w:color="BFBFBF"/>
            </w:tcBorders>
            <w:noWrap/>
            <w:hideMark/>
          </w:tcPr>
          <w:p w14:paraId="2A6D965C"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0.058</w:t>
            </w:r>
          </w:p>
        </w:tc>
        <w:tc>
          <w:tcPr>
            <w:tcW w:w="614" w:type="pct"/>
            <w:tcBorders>
              <w:left w:val="single" w:sz="4" w:space="0" w:color="BFBFBF"/>
              <w:bottom w:val="nil"/>
              <w:right w:val="single" w:sz="4" w:space="0" w:color="BFBFBF"/>
            </w:tcBorders>
            <w:noWrap/>
            <w:hideMark/>
          </w:tcPr>
          <w:p w14:paraId="492E035D"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-4.100</w:t>
            </w:r>
          </w:p>
        </w:tc>
        <w:tc>
          <w:tcPr>
            <w:tcW w:w="570" w:type="pct"/>
            <w:tcBorders>
              <w:left w:val="single" w:sz="4" w:space="0" w:color="BFBFBF"/>
              <w:bottom w:val="nil"/>
              <w:right w:val="single" w:sz="4" w:space="0" w:color="BFBFBF"/>
            </w:tcBorders>
            <w:noWrap/>
            <w:hideMark/>
          </w:tcPr>
          <w:p w14:paraId="0543EC9E"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4.13E-05</w:t>
            </w:r>
          </w:p>
        </w:tc>
        <w:tc>
          <w:tcPr>
            <w:tcW w:w="360" w:type="pct"/>
            <w:tcBorders>
              <w:left w:val="single" w:sz="4" w:space="0" w:color="BFBFBF"/>
              <w:bottom w:val="nil"/>
            </w:tcBorders>
            <w:noWrap/>
            <w:hideMark/>
          </w:tcPr>
          <w:p w14:paraId="19D9171B"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32C9ED72" w14:textId="77777777" w:rsidTr="00FA592B">
        <w:trPr>
          <w:trHeight w:val="314"/>
        </w:trPr>
        <w:tc>
          <w:tcPr>
            <w:tcW w:w="1767" w:type="pct"/>
            <w:tcBorders>
              <w:top w:val="nil"/>
              <w:bottom w:val="single" w:sz="4" w:space="0" w:color="BFBFBF"/>
              <w:right w:val="single" w:sz="4" w:space="0" w:color="BFBFBF"/>
            </w:tcBorders>
            <w:noWrap/>
            <w:hideMark/>
          </w:tcPr>
          <w:p w14:paraId="2B8FBF2B"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bc ~CL+ sex+ midx +   date</w:t>
            </w:r>
          </w:p>
        </w:tc>
        <w:tc>
          <w:tcPr>
            <w:tcW w:w="652" w:type="pct"/>
            <w:tcBorders>
              <w:top w:val="nil"/>
              <w:left w:val="single" w:sz="4" w:space="0" w:color="BFBFBF"/>
              <w:bottom w:val="single" w:sz="4" w:space="0" w:color="BFBFBF"/>
              <w:right w:val="single" w:sz="4" w:space="0" w:color="BFBFBF"/>
            </w:tcBorders>
            <w:noWrap/>
            <w:hideMark/>
          </w:tcPr>
          <w:p w14:paraId="44A5AC5D"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midx S</w:t>
            </w:r>
          </w:p>
        </w:tc>
        <w:tc>
          <w:tcPr>
            <w:tcW w:w="639" w:type="pct"/>
            <w:tcBorders>
              <w:top w:val="nil"/>
              <w:left w:val="single" w:sz="4" w:space="0" w:color="BFBFBF"/>
              <w:bottom w:val="single" w:sz="4" w:space="0" w:color="BFBFBF"/>
              <w:right w:val="single" w:sz="4" w:space="0" w:color="BFBFBF"/>
            </w:tcBorders>
            <w:noWrap/>
            <w:hideMark/>
          </w:tcPr>
          <w:p w14:paraId="22D23A2A"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1.071</w:t>
            </w:r>
          </w:p>
        </w:tc>
        <w:tc>
          <w:tcPr>
            <w:tcW w:w="398" w:type="pct"/>
            <w:tcBorders>
              <w:top w:val="nil"/>
              <w:left w:val="single" w:sz="4" w:space="0" w:color="BFBFBF"/>
              <w:bottom w:val="single" w:sz="4" w:space="0" w:color="BFBFBF"/>
              <w:right w:val="single" w:sz="4" w:space="0" w:color="BFBFBF"/>
            </w:tcBorders>
            <w:noWrap/>
            <w:hideMark/>
          </w:tcPr>
          <w:p w14:paraId="760E1095"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0.393</w:t>
            </w:r>
          </w:p>
        </w:tc>
        <w:tc>
          <w:tcPr>
            <w:tcW w:w="614" w:type="pct"/>
            <w:tcBorders>
              <w:top w:val="nil"/>
              <w:left w:val="single" w:sz="4" w:space="0" w:color="BFBFBF"/>
              <w:bottom w:val="single" w:sz="4" w:space="0" w:color="BFBFBF"/>
              <w:right w:val="single" w:sz="4" w:space="0" w:color="BFBFBF"/>
            </w:tcBorders>
            <w:noWrap/>
            <w:hideMark/>
          </w:tcPr>
          <w:p w14:paraId="149F0E3B"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2.721</w:t>
            </w:r>
          </w:p>
        </w:tc>
        <w:tc>
          <w:tcPr>
            <w:tcW w:w="570" w:type="pct"/>
            <w:tcBorders>
              <w:top w:val="nil"/>
              <w:left w:val="single" w:sz="4" w:space="0" w:color="BFBFBF"/>
              <w:bottom w:val="single" w:sz="4" w:space="0" w:color="BFBFBF"/>
              <w:right w:val="single" w:sz="4" w:space="0" w:color="BFBFBF"/>
            </w:tcBorders>
            <w:noWrap/>
            <w:hideMark/>
          </w:tcPr>
          <w:p w14:paraId="34F1A8B4"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6.50E-03</w:t>
            </w:r>
          </w:p>
        </w:tc>
        <w:tc>
          <w:tcPr>
            <w:tcW w:w="360" w:type="pct"/>
            <w:tcBorders>
              <w:top w:val="nil"/>
              <w:left w:val="single" w:sz="4" w:space="0" w:color="BFBFBF"/>
              <w:bottom w:val="single" w:sz="4" w:space="0" w:color="BFBFBF"/>
            </w:tcBorders>
            <w:noWrap/>
            <w:hideMark/>
          </w:tcPr>
          <w:p w14:paraId="35E1CEDE"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75AF9E0A" w14:textId="77777777" w:rsidTr="00FA592B">
        <w:trPr>
          <w:trHeight w:val="314"/>
        </w:trPr>
        <w:tc>
          <w:tcPr>
            <w:tcW w:w="1767" w:type="pct"/>
            <w:tcBorders>
              <w:bottom w:val="nil"/>
              <w:right w:val="single" w:sz="4" w:space="0" w:color="BFBFBF"/>
            </w:tcBorders>
            <w:noWrap/>
            <w:hideMark/>
          </w:tcPr>
          <w:p w14:paraId="07A6FD3E" w14:textId="77777777" w:rsidR="00F36ABA" w:rsidRPr="009819CE" w:rsidRDefault="00F36ABA" w:rsidP="007D6607">
            <w:pPr>
              <w:spacing w:line="240" w:lineRule="auto"/>
              <w:jc w:val="left"/>
              <w:rPr>
                <w:rFonts w:cstheme="minorBidi"/>
                <w:color w:val="000000"/>
                <w:lang w:val="en-GB"/>
              </w:rPr>
            </w:pPr>
            <w:r w:rsidRPr="009819CE">
              <w:rPr>
                <w:rFonts w:cstheme="minorBidi"/>
                <w:b/>
                <w:bCs/>
                <w:color w:val="000000"/>
                <w:lang w:val="en-GB"/>
              </w:rPr>
              <w:t>glmer3</w:t>
            </w:r>
          </w:p>
        </w:tc>
        <w:tc>
          <w:tcPr>
            <w:tcW w:w="652" w:type="pct"/>
            <w:tcBorders>
              <w:left w:val="single" w:sz="4" w:space="0" w:color="BFBFBF"/>
              <w:bottom w:val="nil"/>
              <w:right w:val="single" w:sz="4" w:space="0" w:color="BFBFBF"/>
            </w:tcBorders>
            <w:noWrap/>
            <w:hideMark/>
          </w:tcPr>
          <w:p w14:paraId="2C4DEA4C"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CL</w:t>
            </w:r>
          </w:p>
        </w:tc>
        <w:tc>
          <w:tcPr>
            <w:tcW w:w="639" w:type="pct"/>
            <w:tcBorders>
              <w:left w:val="single" w:sz="4" w:space="0" w:color="BFBFBF"/>
              <w:bottom w:val="nil"/>
              <w:right w:val="single" w:sz="4" w:space="0" w:color="BFBFBF"/>
            </w:tcBorders>
            <w:noWrap/>
            <w:hideMark/>
          </w:tcPr>
          <w:p w14:paraId="442236FB"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-0.178</w:t>
            </w:r>
          </w:p>
        </w:tc>
        <w:tc>
          <w:tcPr>
            <w:tcW w:w="398" w:type="pct"/>
            <w:tcBorders>
              <w:left w:val="single" w:sz="4" w:space="0" w:color="BFBFBF"/>
              <w:bottom w:val="nil"/>
              <w:right w:val="single" w:sz="4" w:space="0" w:color="BFBFBF"/>
            </w:tcBorders>
            <w:noWrap/>
            <w:hideMark/>
          </w:tcPr>
          <w:p w14:paraId="6FA41F0F"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0.036</w:t>
            </w:r>
          </w:p>
        </w:tc>
        <w:tc>
          <w:tcPr>
            <w:tcW w:w="614" w:type="pct"/>
            <w:tcBorders>
              <w:left w:val="single" w:sz="4" w:space="0" w:color="BFBFBF"/>
              <w:bottom w:val="nil"/>
              <w:right w:val="single" w:sz="4" w:space="0" w:color="BFBFBF"/>
            </w:tcBorders>
            <w:noWrap/>
            <w:hideMark/>
          </w:tcPr>
          <w:p w14:paraId="06488787"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-4.874</w:t>
            </w:r>
          </w:p>
        </w:tc>
        <w:tc>
          <w:tcPr>
            <w:tcW w:w="570" w:type="pct"/>
            <w:tcBorders>
              <w:left w:val="single" w:sz="4" w:space="0" w:color="BFBFBF"/>
              <w:bottom w:val="nil"/>
              <w:right w:val="single" w:sz="4" w:space="0" w:color="BFBFBF"/>
            </w:tcBorders>
            <w:noWrap/>
            <w:hideMark/>
          </w:tcPr>
          <w:p w14:paraId="2783E9EF"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1.09E-06</w:t>
            </w:r>
          </w:p>
        </w:tc>
        <w:tc>
          <w:tcPr>
            <w:tcW w:w="360" w:type="pct"/>
            <w:tcBorders>
              <w:left w:val="single" w:sz="4" w:space="0" w:color="BFBFBF"/>
              <w:bottom w:val="nil"/>
            </w:tcBorders>
            <w:noWrap/>
            <w:hideMark/>
          </w:tcPr>
          <w:p w14:paraId="0AB24FE4"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0043D305" w14:textId="77777777" w:rsidTr="00FA592B">
        <w:trPr>
          <w:trHeight w:val="314"/>
        </w:trPr>
        <w:tc>
          <w:tcPr>
            <w:tcW w:w="1767" w:type="pct"/>
            <w:tcBorders>
              <w:top w:val="nil"/>
              <w:bottom w:val="single" w:sz="4" w:space="0" w:color="BFBFBF"/>
              <w:right w:val="single" w:sz="4" w:space="0" w:color="BFBFBF"/>
            </w:tcBorders>
            <w:noWrap/>
            <w:hideMark/>
          </w:tcPr>
          <w:p w14:paraId="6D4ED905"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 xml:space="preserve"> bc~ CL + midx+   date</w:t>
            </w:r>
          </w:p>
        </w:tc>
        <w:tc>
          <w:tcPr>
            <w:tcW w:w="652" w:type="pct"/>
            <w:tcBorders>
              <w:top w:val="nil"/>
              <w:left w:val="single" w:sz="4" w:space="0" w:color="BFBFBF"/>
              <w:bottom w:val="single" w:sz="4" w:space="0" w:color="BFBFBF"/>
              <w:right w:val="single" w:sz="4" w:space="0" w:color="BFBFBF"/>
            </w:tcBorders>
            <w:noWrap/>
            <w:hideMark/>
          </w:tcPr>
          <w:p w14:paraId="04E88A88"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midx S</w:t>
            </w:r>
          </w:p>
        </w:tc>
        <w:tc>
          <w:tcPr>
            <w:tcW w:w="639" w:type="pct"/>
            <w:tcBorders>
              <w:top w:val="nil"/>
              <w:left w:val="single" w:sz="4" w:space="0" w:color="BFBFBF"/>
              <w:bottom w:val="single" w:sz="4" w:space="0" w:color="BFBFBF"/>
              <w:right w:val="single" w:sz="4" w:space="0" w:color="BFBFBF"/>
            </w:tcBorders>
            <w:noWrap/>
            <w:hideMark/>
          </w:tcPr>
          <w:p w14:paraId="681744AB"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1.084</w:t>
            </w:r>
          </w:p>
        </w:tc>
        <w:tc>
          <w:tcPr>
            <w:tcW w:w="398" w:type="pct"/>
            <w:tcBorders>
              <w:top w:val="nil"/>
              <w:left w:val="single" w:sz="4" w:space="0" w:color="BFBFBF"/>
              <w:bottom w:val="single" w:sz="4" w:space="0" w:color="BFBFBF"/>
              <w:right w:val="single" w:sz="4" w:space="0" w:color="BFBFBF"/>
            </w:tcBorders>
            <w:noWrap/>
            <w:hideMark/>
          </w:tcPr>
          <w:p w14:paraId="5FB235FA"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0.386</w:t>
            </w:r>
          </w:p>
        </w:tc>
        <w:tc>
          <w:tcPr>
            <w:tcW w:w="614" w:type="pct"/>
            <w:tcBorders>
              <w:top w:val="nil"/>
              <w:left w:val="single" w:sz="4" w:space="0" w:color="BFBFBF"/>
              <w:bottom w:val="single" w:sz="4" w:space="0" w:color="BFBFBF"/>
              <w:right w:val="single" w:sz="4" w:space="0" w:color="BFBFBF"/>
            </w:tcBorders>
            <w:noWrap/>
            <w:hideMark/>
          </w:tcPr>
          <w:p w14:paraId="52CD9A33"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2.807</w:t>
            </w:r>
          </w:p>
        </w:tc>
        <w:tc>
          <w:tcPr>
            <w:tcW w:w="570" w:type="pct"/>
            <w:tcBorders>
              <w:top w:val="nil"/>
              <w:left w:val="single" w:sz="4" w:space="0" w:color="BFBFBF"/>
              <w:bottom w:val="single" w:sz="4" w:space="0" w:color="BFBFBF"/>
              <w:right w:val="single" w:sz="4" w:space="0" w:color="BFBFBF"/>
            </w:tcBorders>
            <w:noWrap/>
            <w:hideMark/>
          </w:tcPr>
          <w:p w14:paraId="34A18353"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0.00499</w:t>
            </w:r>
          </w:p>
        </w:tc>
        <w:tc>
          <w:tcPr>
            <w:tcW w:w="360" w:type="pct"/>
            <w:tcBorders>
              <w:top w:val="nil"/>
              <w:left w:val="single" w:sz="4" w:space="0" w:color="BFBFBF"/>
              <w:bottom w:val="single" w:sz="4" w:space="0" w:color="BFBFBF"/>
            </w:tcBorders>
            <w:noWrap/>
            <w:hideMark/>
          </w:tcPr>
          <w:p w14:paraId="3337D71A"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2B5D6064" w14:textId="77777777" w:rsidTr="00FA592B">
        <w:trPr>
          <w:trHeight w:val="124"/>
        </w:trPr>
        <w:tc>
          <w:tcPr>
            <w:tcW w:w="1767" w:type="pct"/>
            <w:tcBorders>
              <w:bottom w:val="nil"/>
              <w:right w:val="single" w:sz="4" w:space="0" w:color="BFBFBF"/>
            </w:tcBorders>
            <w:noWrap/>
            <w:hideMark/>
          </w:tcPr>
          <w:p w14:paraId="450320BC" w14:textId="77777777" w:rsidR="00F36ABA" w:rsidRPr="009819CE" w:rsidRDefault="00F36ABA" w:rsidP="007D6607">
            <w:pPr>
              <w:spacing w:line="240" w:lineRule="auto"/>
              <w:jc w:val="left"/>
              <w:rPr>
                <w:rFonts w:cstheme="minorBidi"/>
                <w:color w:val="000000"/>
                <w:lang w:val="en-GB"/>
              </w:rPr>
            </w:pPr>
            <w:r w:rsidRPr="009819CE">
              <w:rPr>
                <w:rFonts w:cstheme="minorBidi"/>
                <w:b/>
                <w:bCs/>
                <w:color w:val="000000"/>
                <w:lang w:val="en-GB"/>
              </w:rPr>
              <w:t xml:space="preserve">glmer4 </w:t>
            </w:r>
          </w:p>
        </w:tc>
        <w:tc>
          <w:tcPr>
            <w:tcW w:w="652" w:type="pct"/>
            <w:vMerge w:val="restart"/>
            <w:tcBorders>
              <w:left w:val="single" w:sz="4" w:space="0" w:color="BFBFBF"/>
              <w:bottom w:val="nil"/>
              <w:right w:val="single" w:sz="4" w:space="0" w:color="BFBFBF"/>
            </w:tcBorders>
            <w:noWrap/>
            <w:hideMark/>
          </w:tcPr>
          <w:p w14:paraId="240BB5CD"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CL</w:t>
            </w:r>
          </w:p>
        </w:tc>
        <w:tc>
          <w:tcPr>
            <w:tcW w:w="639" w:type="pct"/>
            <w:vMerge w:val="restart"/>
            <w:tcBorders>
              <w:left w:val="single" w:sz="4" w:space="0" w:color="BFBFBF"/>
              <w:bottom w:val="nil"/>
              <w:right w:val="single" w:sz="4" w:space="0" w:color="BFBFBF"/>
            </w:tcBorders>
            <w:noWrap/>
            <w:hideMark/>
          </w:tcPr>
          <w:p w14:paraId="704A31BE"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-0.175</w:t>
            </w:r>
          </w:p>
        </w:tc>
        <w:tc>
          <w:tcPr>
            <w:tcW w:w="398" w:type="pct"/>
            <w:vMerge w:val="restart"/>
            <w:tcBorders>
              <w:left w:val="single" w:sz="4" w:space="0" w:color="BFBFBF"/>
              <w:bottom w:val="nil"/>
              <w:right w:val="single" w:sz="4" w:space="0" w:color="BFBFBF"/>
            </w:tcBorders>
            <w:noWrap/>
            <w:hideMark/>
          </w:tcPr>
          <w:p w14:paraId="69632FAC"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0.036</w:t>
            </w:r>
          </w:p>
        </w:tc>
        <w:tc>
          <w:tcPr>
            <w:tcW w:w="614" w:type="pct"/>
            <w:vMerge w:val="restart"/>
            <w:tcBorders>
              <w:left w:val="single" w:sz="4" w:space="0" w:color="BFBFBF"/>
              <w:bottom w:val="nil"/>
              <w:right w:val="single" w:sz="4" w:space="0" w:color="BFBFBF"/>
            </w:tcBorders>
            <w:noWrap/>
            <w:hideMark/>
          </w:tcPr>
          <w:p w14:paraId="1D28B7D2"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-4.873</w:t>
            </w:r>
          </w:p>
        </w:tc>
        <w:tc>
          <w:tcPr>
            <w:tcW w:w="570" w:type="pct"/>
            <w:vMerge w:val="restart"/>
            <w:tcBorders>
              <w:left w:val="single" w:sz="4" w:space="0" w:color="BFBFBF"/>
              <w:bottom w:val="nil"/>
              <w:right w:val="single" w:sz="4" w:space="0" w:color="BFBFBF"/>
            </w:tcBorders>
            <w:noWrap/>
            <w:hideMark/>
          </w:tcPr>
          <w:p w14:paraId="3E20C111"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1.1E-06</w:t>
            </w:r>
          </w:p>
        </w:tc>
        <w:tc>
          <w:tcPr>
            <w:tcW w:w="360" w:type="pct"/>
            <w:vMerge w:val="restart"/>
            <w:tcBorders>
              <w:left w:val="single" w:sz="4" w:space="0" w:color="BFBFBF"/>
              <w:bottom w:val="nil"/>
            </w:tcBorders>
            <w:noWrap/>
            <w:hideMark/>
          </w:tcPr>
          <w:p w14:paraId="099B717C"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361AC662" w14:textId="77777777" w:rsidTr="00FA592B">
        <w:trPr>
          <w:trHeight w:val="314"/>
        </w:trPr>
        <w:tc>
          <w:tcPr>
            <w:tcW w:w="1767" w:type="pct"/>
            <w:tcBorders>
              <w:top w:val="nil"/>
              <w:bottom w:val="single" w:sz="4" w:space="0" w:color="BFBFBF"/>
              <w:right w:val="single" w:sz="4" w:space="0" w:color="BFBFBF"/>
            </w:tcBorders>
            <w:noWrap/>
            <w:hideMark/>
          </w:tcPr>
          <w:p w14:paraId="3847949A"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 xml:space="preserve">bc ~ CL + date </w:t>
            </w:r>
          </w:p>
        </w:tc>
        <w:tc>
          <w:tcPr>
            <w:tcW w:w="652" w:type="pct"/>
            <w:vMerge/>
            <w:tcBorders>
              <w:top w:val="nil"/>
              <w:left w:val="single" w:sz="4" w:space="0" w:color="BFBFBF"/>
              <w:bottom w:val="single" w:sz="4" w:space="0" w:color="BFBFBF"/>
              <w:right w:val="single" w:sz="4" w:space="0" w:color="BFBFBF"/>
            </w:tcBorders>
            <w:hideMark/>
          </w:tcPr>
          <w:p w14:paraId="2D1C9B3B" w14:textId="77777777" w:rsidR="00F36ABA" w:rsidRPr="00FA7D47" w:rsidRDefault="00F36ABA" w:rsidP="007D6607">
            <w:pPr>
              <w:spacing w:line="240" w:lineRule="auto"/>
              <w:jc w:val="left"/>
              <w:rPr>
                <w:rFonts w:cstheme="minorBidi"/>
                <w:color w:val="000000"/>
                <w:lang w:val="en-GB"/>
              </w:rPr>
            </w:pPr>
          </w:p>
        </w:tc>
        <w:tc>
          <w:tcPr>
            <w:tcW w:w="639" w:type="pct"/>
            <w:vMerge/>
            <w:tcBorders>
              <w:top w:val="nil"/>
              <w:left w:val="single" w:sz="4" w:space="0" w:color="BFBFBF"/>
              <w:bottom w:val="single" w:sz="4" w:space="0" w:color="BFBFBF"/>
              <w:right w:val="single" w:sz="4" w:space="0" w:color="BFBFBF"/>
            </w:tcBorders>
            <w:hideMark/>
          </w:tcPr>
          <w:p w14:paraId="3D7C049E" w14:textId="77777777" w:rsidR="00F36ABA" w:rsidRPr="00FA7D47" w:rsidRDefault="00F36ABA" w:rsidP="007D6607">
            <w:pPr>
              <w:spacing w:line="240" w:lineRule="auto"/>
              <w:jc w:val="left"/>
              <w:rPr>
                <w:rFonts w:cstheme="minorBidi"/>
                <w:color w:val="000000"/>
                <w:lang w:val="en-GB"/>
              </w:rPr>
            </w:pPr>
          </w:p>
        </w:tc>
        <w:tc>
          <w:tcPr>
            <w:tcW w:w="398" w:type="pct"/>
            <w:vMerge/>
            <w:tcBorders>
              <w:top w:val="nil"/>
              <w:left w:val="single" w:sz="4" w:space="0" w:color="BFBFBF"/>
              <w:bottom w:val="single" w:sz="4" w:space="0" w:color="BFBFBF"/>
              <w:right w:val="single" w:sz="4" w:space="0" w:color="BFBFBF"/>
            </w:tcBorders>
            <w:hideMark/>
          </w:tcPr>
          <w:p w14:paraId="59CA0799" w14:textId="77777777" w:rsidR="00F36ABA" w:rsidRPr="00FA7D47" w:rsidRDefault="00F36ABA" w:rsidP="007D6607">
            <w:pPr>
              <w:spacing w:line="240" w:lineRule="auto"/>
              <w:jc w:val="left"/>
              <w:rPr>
                <w:rFonts w:cstheme="minorBidi"/>
                <w:color w:val="000000"/>
                <w:lang w:val="en-GB"/>
              </w:rPr>
            </w:pPr>
          </w:p>
        </w:tc>
        <w:tc>
          <w:tcPr>
            <w:tcW w:w="614" w:type="pct"/>
            <w:vMerge/>
            <w:tcBorders>
              <w:top w:val="nil"/>
              <w:left w:val="single" w:sz="4" w:space="0" w:color="BFBFBF"/>
              <w:bottom w:val="single" w:sz="4" w:space="0" w:color="BFBFBF"/>
              <w:right w:val="single" w:sz="4" w:space="0" w:color="BFBFBF"/>
            </w:tcBorders>
            <w:hideMark/>
          </w:tcPr>
          <w:p w14:paraId="36926F7E" w14:textId="77777777" w:rsidR="00F36ABA" w:rsidRPr="00FA7D47" w:rsidRDefault="00F36ABA" w:rsidP="007D6607">
            <w:pPr>
              <w:spacing w:line="240" w:lineRule="auto"/>
              <w:jc w:val="left"/>
              <w:rPr>
                <w:rFonts w:cstheme="minorBidi"/>
                <w:color w:val="000000"/>
                <w:lang w:val="en-GB"/>
              </w:rPr>
            </w:pPr>
          </w:p>
        </w:tc>
        <w:tc>
          <w:tcPr>
            <w:tcW w:w="570" w:type="pct"/>
            <w:vMerge/>
            <w:tcBorders>
              <w:top w:val="nil"/>
              <w:left w:val="single" w:sz="4" w:space="0" w:color="BFBFBF"/>
              <w:bottom w:val="single" w:sz="4" w:space="0" w:color="BFBFBF"/>
              <w:right w:val="single" w:sz="4" w:space="0" w:color="BFBFBF"/>
            </w:tcBorders>
            <w:hideMark/>
          </w:tcPr>
          <w:p w14:paraId="2ACC18BB" w14:textId="77777777" w:rsidR="00F36ABA" w:rsidRPr="00FA7D47" w:rsidRDefault="00F36ABA" w:rsidP="007D6607">
            <w:pPr>
              <w:spacing w:line="240" w:lineRule="auto"/>
              <w:jc w:val="left"/>
              <w:rPr>
                <w:rFonts w:cstheme="minorBidi"/>
                <w:color w:val="000000"/>
                <w:lang w:val="en-GB"/>
              </w:rPr>
            </w:pPr>
          </w:p>
        </w:tc>
        <w:tc>
          <w:tcPr>
            <w:tcW w:w="360" w:type="pct"/>
            <w:vMerge/>
            <w:tcBorders>
              <w:top w:val="nil"/>
              <w:left w:val="single" w:sz="4" w:space="0" w:color="BFBFBF"/>
              <w:bottom w:val="single" w:sz="4" w:space="0" w:color="BFBFBF"/>
            </w:tcBorders>
            <w:hideMark/>
          </w:tcPr>
          <w:p w14:paraId="72DD7D3F" w14:textId="77777777" w:rsidR="00F36ABA" w:rsidRPr="00FA7D47" w:rsidRDefault="00F36ABA" w:rsidP="007D6607">
            <w:pPr>
              <w:spacing w:line="240" w:lineRule="auto"/>
              <w:jc w:val="left"/>
              <w:rPr>
                <w:rFonts w:cstheme="minorBidi"/>
                <w:color w:val="000000"/>
                <w:lang w:val="en-GB"/>
              </w:rPr>
            </w:pPr>
          </w:p>
        </w:tc>
      </w:tr>
      <w:tr w:rsidR="00F36ABA" w:rsidRPr="00FA7D47" w14:paraId="30804023" w14:textId="77777777" w:rsidTr="00FA592B">
        <w:trPr>
          <w:trHeight w:val="40"/>
        </w:trPr>
        <w:tc>
          <w:tcPr>
            <w:tcW w:w="1767" w:type="pct"/>
            <w:tcBorders>
              <w:bottom w:val="nil"/>
              <w:right w:val="single" w:sz="4" w:space="0" w:color="BFBFBF"/>
            </w:tcBorders>
            <w:noWrap/>
            <w:hideMark/>
          </w:tcPr>
          <w:p w14:paraId="3C39780A" w14:textId="77777777" w:rsidR="00F36ABA" w:rsidRPr="009819CE" w:rsidRDefault="00F36ABA" w:rsidP="007D6607">
            <w:pPr>
              <w:spacing w:line="240" w:lineRule="auto"/>
              <w:jc w:val="left"/>
              <w:rPr>
                <w:rFonts w:cstheme="minorBidi"/>
                <w:color w:val="000000"/>
                <w:lang w:val="en-GB"/>
              </w:rPr>
            </w:pPr>
            <w:r w:rsidRPr="009819CE">
              <w:rPr>
                <w:rFonts w:cstheme="minorBidi"/>
                <w:b/>
                <w:bCs/>
                <w:color w:val="000000"/>
                <w:lang w:val="en-GB"/>
              </w:rPr>
              <w:t>glmer5</w:t>
            </w:r>
          </w:p>
        </w:tc>
        <w:tc>
          <w:tcPr>
            <w:tcW w:w="652" w:type="pct"/>
            <w:tcBorders>
              <w:left w:val="single" w:sz="4" w:space="0" w:color="BFBFBF"/>
              <w:bottom w:val="nil"/>
              <w:right w:val="single" w:sz="4" w:space="0" w:color="BFBFBF"/>
            </w:tcBorders>
            <w:hideMark/>
          </w:tcPr>
          <w:p w14:paraId="03BEFAB1"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(Intercept)</w:t>
            </w:r>
          </w:p>
        </w:tc>
        <w:tc>
          <w:tcPr>
            <w:tcW w:w="639" w:type="pct"/>
            <w:tcBorders>
              <w:left w:val="single" w:sz="4" w:space="0" w:color="BFBFBF"/>
              <w:bottom w:val="nil"/>
              <w:right w:val="single" w:sz="4" w:space="0" w:color="BFBFBF"/>
            </w:tcBorders>
            <w:noWrap/>
            <w:hideMark/>
          </w:tcPr>
          <w:p w14:paraId="50A410B9"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-6.427</w:t>
            </w:r>
          </w:p>
        </w:tc>
        <w:tc>
          <w:tcPr>
            <w:tcW w:w="398" w:type="pct"/>
            <w:tcBorders>
              <w:left w:val="single" w:sz="4" w:space="0" w:color="BFBFBF"/>
              <w:bottom w:val="nil"/>
              <w:right w:val="single" w:sz="4" w:space="0" w:color="BFBFBF"/>
            </w:tcBorders>
            <w:noWrap/>
            <w:hideMark/>
          </w:tcPr>
          <w:p w14:paraId="41225A6E"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1.167</w:t>
            </w:r>
          </w:p>
        </w:tc>
        <w:tc>
          <w:tcPr>
            <w:tcW w:w="614" w:type="pct"/>
            <w:tcBorders>
              <w:left w:val="single" w:sz="4" w:space="0" w:color="BFBFBF"/>
              <w:bottom w:val="nil"/>
              <w:right w:val="single" w:sz="4" w:space="0" w:color="BFBFBF"/>
            </w:tcBorders>
            <w:noWrap/>
            <w:hideMark/>
          </w:tcPr>
          <w:p w14:paraId="5DF403E7"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-5.506</w:t>
            </w:r>
          </w:p>
        </w:tc>
        <w:tc>
          <w:tcPr>
            <w:tcW w:w="570" w:type="pct"/>
            <w:tcBorders>
              <w:left w:val="single" w:sz="4" w:space="0" w:color="BFBFBF"/>
              <w:bottom w:val="nil"/>
              <w:right w:val="single" w:sz="4" w:space="0" w:color="BFBFBF"/>
            </w:tcBorders>
            <w:noWrap/>
            <w:hideMark/>
          </w:tcPr>
          <w:p w14:paraId="75469BDE"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3.67E-08</w:t>
            </w:r>
          </w:p>
        </w:tc>
        <w:tc>
          <w:tcPr>
            <w:tcW w:w="360" w:type="pct"/>
            <w:tcBorders>
              <w:left w:val="single" w:sz="4" w:space="0" w:color="BFBFBF"/>
              <w:bottom w:val="nil"/>
            </w:tcBorders>
            <w:noWrap/>
            <w:hideMark/>
          </w:tcPr>
          <w:p w14:paraId="30D68385"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45BCBC6E" w14:textId="77777777" w:rsidTr="00FA592B">
        <w:trPr>
          <w:trHeight w:val="314"/>
        </w:trPr>
        <w:tc>
          <w:tcPr>
            <w:tcW w:w="1767" w:type="pct"/>
            <w:tcBorders>
              <w:top w:val="nil"/>
              <w:right w:val="single" w:sz="4" w:space="0" w:color="BFBFBF"/>
            </w:tcBorders>
            <w:noWrap/>
            <w:hideMark/>
          </w:tcPr>
          <w:p w14:paraId="432948BE"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 xml:space="preserve">bc ~ midx + date </w:t>
            </w:r>
          </w:p>
        </w:tc>
        <w:tc>
          <w:tcPr>
            <w:tcW w:w="652" w:type="pct"/>
            <w:tcBorders>
              <w:top w:val="nil"/>
              <w:left w:val="single" w:sz="4" w:space="0" w:color="BFBFBF"/>
              <w:right w:val="single" w:sz="4" w:space="0" w:color="BFBFBF"/>
            </w:tcBorders>
            <w:noWrap/>
            <w:hideMark/>
          </w:tcPr>
          <w:p w14:paraId="21D88C8C"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midx S</w:t>
            </w:r>
          </w:p>
        </w:tc>
        <w:tc>
          <w:tcPr>
            <w:tcW w:w="639" w:type="pct"/>
            <w:tcBorders>
              <w:top w:val="nil"/>
              <w:left w:val="single" w:sz="4" w:space="0" w:color="BFBFBF"/>
              <w:right w:val="single" w:sz="4" w:space="0" w:color="BFBFBF"/>
            </w:tcBorders>
            <w:noWrap/>
            <w:hideMark/>
          </w:tcPr>
          <w:p w14:paraId="0B94A371"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1.012</w:t>
            </w:r>
          </w:p>
        </w:tc>
        <w:tc>
          <w:tcPr>
            <w:tcW w:w="398" w:type="pct"/>
            <w:tcBorders>
              <w:top w:val="nil"/>
              <w:left w:val="single" w:sz="4" w:space="0" w:color="BFBFBF"/>
              <w:right w:val="single" w:sz="4" w:space="0" w:color="BFBFBF"/>
            </w:tcBorders>
            <w:noWrap/>
            <w:hideMark/>
          </w:tcPr>
          <w:p w14:paraId="604ECB97"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0.377</w:t>
            </w:r>
          </w:p>
        </w:tc>
        <w:tc>
          <w:tcPr>
            <w:tcW w:w="614" w:type="pct"/>
            <w:tcBorders>
              <w:top w:val="nil"/>
              <w:left w:val="single" w:sz="4" w:space="0" w:color="BFBFBF"/>
              <w:right w:val="single" w:sz="4" w:space="0" w:color="BFBFBF"/>
            </w:tcBorders>
            <w:noWrap/>
            <w:hideMark/>
          </w:tcPr>
          <w:p w14:paraId="49E539C5"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2.687</w:t>
            </w:r>
          </w:p>
        </w:tc>
        <w:tc>
          <w:tcPr>
            <w:tcW w:w="570" w:type="pct"/>
            <w:tcBorders>
              <w:top w:val="nil"/>
              <w:left w:val="single" w:sz="4" w:space="0" w:color="BFBFBF"/>
              <w:right w:val="single" w:sz="4" w:space="0" w:color="BFBFBF"/>
            </w:tcBorders>
            <w:noWrap/>
            <w:hideMark/>
          </w:tcPr>
          <w:p w14:paraId="79E61334" w14:textId="77777777" w:rsidR="00F36ABA" w:rsidRPr="009819CE" w:rsidRDefault="00F36ABA" w:rsidP="007D6607">
            <w:pPr>
              <w:spacing w:line="240" w:lineRule="auto"/>
              <w:jc w:val="center"/>
              <w:rPr>
                <w:rFonts w:cstheme="minorBidi"/>
                <w:color w:val="000000"/>
                <w:lang w:val="en-GB"/>
              </w:rPr>
            </w:pPr>
            <w:r w:rsidRPr="009819CE">
              <w:rPr>
                <w:rFonts w:cstheme="minorBidi"/>
                <w:color w:val="000000"/>
                <w:lang w:val="en-GB"/>
              </w:rPr>
              <w:t>0.0072</w:t>
            </w:r>
          </w:p>
        </w:tc>
        <w:tc>
          <w:tcPr>
            <w:tcW w:w="360" w:type="pct"/>
            <w:tcBorders>
              <w:top w:val="nil"/>
              <w:left w:val="single" w:sz="4" w:space="0" w:color="BFBFBF"/>
            </w:tcBorders>
            <w:noWrap/>
            <w:hideMark/>
          </w:tcPr>
          <w:p w14:paraId="0A7BAD87" w14:textId="77777777" w:rsidR="00F36ABA" w:rsidRPr="009819CE" w:rsidRDefault="00F36ABA" w:rsidP="007D6607">
            <w:pPr>
              <w:spacing w:line="240" w:lineRule="auto"/>
              <w:jc w:val="left"/>
              <w:rPr>
                <w:rFonts w:cstheme="minorBidi"/>
                <w:color w:val="000000"/>
                <w:lang w:val="en-GB"/>
              </w:rPr>
            </w:pPr>
            <w:r w:rsidRPr="009819CE">
              <w:rPr>
                <w:rFonts w:cstheme="minorBidi"/>
                <w:color w:val="000000"/>
                <w:lang w:val="en-GB"/>
              </w:rPr>
              <w:t>**</w:t>
            </w:r>
          </w:p>
        </w:tc>
      </w:tr>
      <w:tr w:rsidR="00F36ABA" w:rsidRPr="00FA7D47" w14:paraId="2AE02D7C" w14:textId="77777777" w:rsidTr="00FA592B">
        <w:trPr>
          <w:trHeight w:val="314"/>
        </w:trPr>
        <w:tc>
          <w:tcPr>
            <w:tcW w:w="5000" w:type="pct"/>
            <w:gridSpan w:val="7"/>
            <w:noWrap/>
          </w:tcPr>
          <w:p w14:paraId="74959E20" w14:textId="48A0D379" w:rsidR="00F36ABA" w:rsidRPr="009819CE" w:rsidRDefault="00F36ABA" w:rsidP="007D6607">
            <w:pPr>
              <w:spacing w:line="240" w:lineRule="auto"/>
              <w:jc w:val="left"/>
              <w:rPr>
                <w:rFonts w:cstheme="minorBidi"/>
                <w:color w:val="000000"/>
                <w:lang w:val="en-GB"/>
              </w:rPr>
            </w:pPr>
            <w:r w:rsidRPr="009819CE">
              <w:rPr>
                <w:rFonts w:cstheme="minorBidi"/>
                <w:color w:val="212121"/>
                <w:lang w:val="en-GB"/>
              </w:rPr>
              <w:t xml:space="preserve">SE = standard error; CL = carapace length; midx= </w:t>
            </w:r>
            <w:r w:rsidR="00C967F0" w:rsidRPr="00FA7D47">
              <w:rPr>
                <w:rFonts w:cstheme="minorBidi"/>
                <w:color w:val="212121"/>
                <w:lang w:val="en-GB"/>
              </w:rPr>
              <w:t>moult</w:t>
            </w:r>
            <w:r w:rsidRPr="009819CE">
              <w:rPr>
                <w:rFonts w:cstheme="minorBidi"/>
                <w:color w:val="212121"/>
                <w:lang w:val="en-GB"/>
              </w:rPr>
              <w:t xml:space="preserve"> index;  midx S= </w:t>
            </w:r>
            <w:r w:rsidR="00C967F0" w:rsidRPr="00FA7D47">
              <w:rPr>
                <w:rFonts w:cstheme="minorBidi"/>
                <w:color w:val="212121"/>
                <w:lang w:val="en-GB"/>
              </w:rPr>
              <w:t>moult</w:t>
            </w:r>
            <w:r w:rsidRPr="009819CE">
              <w:rPr>
                <w:rFonts w:cstheme="minorBidi"/>
                <w:color w:val="212121"/>
                <w:lang w:val="en-GB"/>
              </w:rPr>
              <w:t xml:space="preserve"> index  soft. Date as random factor.</w:t>
            </w:r>
          </w:p>
        </w:tc>
      </w:tr>
    </w:tbl>
    <w:p w14:paraId="043412E0" w14:textId="77777777" w:rsidR="00F36ABA" w:rsidRPr="009819CE" w:rsidRDefault="00F36ABA" w:rsidP="00F36ABA">
      <w:pPr>
        <w:rPr>
          <w:rFonts w:cstheme="minorBidi"/>
        </w:rPr>
      </w:pPr>
      <w:bookmarkStart w:id="212" w:name="_Ref114817563"/>
    </w:p>
    <w:p w14:paraId="5CC4CD93" w14:textId="220BCF8B" w:rsidR="00F36ABA" w:rsidRPr="009819CE" w:rsidRDefault="00F36ABA" w:rsidP="00F36ABA">
      <w:pPr>
        <w:pStyle w:val="Caption"/>
        <w:rPr>
          <w:rFonts w:asciiTheme="minorBidi" w:hAnsiTheme="minorBidi" w:cstheme="minorBidi"/>
        </w:rPr>
      </w:pPr>
      <w:bookmarkStart w:id="213" w:name="_Ref140653859"/>
      <w:bookmarkStart w:id="214" w:name="_Toc202273060"/>
      <w:bookmarkStart w:id="215" w:name="_Toc204106758"/>
      <w:r w:rsidRPr="009819CE">
        <w:rPr>
          <w:rFonts w:asciiTheme="minorBidi" w:hAnsiTheme="minorBidi" w:cstheme="minorBidi"/>
          <w:b/>
        </w:rPr>
        <w:t xml:space="preserve">Table </w:t>
      </w:r>
      <w:r w:rsidR="0095522A">
        <w:rPr>
          <w:rFonts w:asciiTheme="minorBidi" w:hAnsiTheme="minorBidi" w:cstheme="minorBidi"/>
          <w:b/>
        </w:rPr>
        <w:fldChar w:fldCharType="begin"/>
      </w:r>
      <w:r w:rsidR="0095522A">
        <w:rPr>
          <w:rFonts w:asciiTheme="minorBidi" w:hAnsiTheme="minorBidi" w:cstheme="minorBidi"/>
          <w:b/>
        </w:rPr>
        <w:instrText xml:space="preserve"> STYLEREF 1 \s </w:instrText>
      </w:r>
      <w:r w:rsidR="0095522A">
        <w:rPr>
          <w:rFonts w:asciiTheme="minorBidi" w:hAnsiTheme="minorBidi" w:cstheme="minorBidi"/>
          <w:b/>
        </w:rPr>
        <w:fldChar w:fldCharType="separate"/>
      </w:r>
      <w:r w:rsidR="008549FC">
        <w:rPr>
          <w:rFonts w:asciiTheme="minorBidi" w:hAnsiTheme="minorBidi" w:cstheme="minorBidi"/>
          <w:b/>
          <w:noProof/>
        </w:rPr>
        <w:t>2</w:t>
      </w:r>
      <w:r w:rsidR="0095522A">
        <w:rPr>
          <w:rFonts w:asciiTheme="minorBidi" w:hAnsiTheme="minorBidi" w:cstheme="minorBidi"/>
          <w:b/>
        </w:rPr>
        <w:fldChar w:fldCharType="end"/>
      </w:r>
      <w:r w:rsidR="0095522A">
        <w:rPr>
          <w:rFonts w:asciiTheme="minorBidi" w:hAnsiTheme="minorBidi" w:cstheme="minorBidi"/>
          <w:b/>
        </w:rPr>
        <w:t>.</w:t>
      </w:r>
      <w:r w:rsidR="0095522A">
        <w:rPr>
          <w:rFonts w:asciiTheme="minorBidi" w:hAnsiTheme="minorBidi" w:cstheme="minorBidi"/>
          <w:b/>
        </w:rPr>
        <w:fldChar w:fldCharType="begin"/>
      </w:r>
      <w:r w:rsidR="0095522A">
        <w:rPr>
          <w:rFonts w:asciiTheme="minorBidi" w:hAnsiTheme="minorBidi" w:cstheme="minorBidi"/>
          <w:b/>
        </w:rPr>
        <w:instrText xml:space="preserve"> SEQ Table \* ARABIC \s 1 </w:instrText>
      </w:r>
      <w:r w:rsidR="0095522A">
        <w:rPr>
          <w:rFonts w:asciiTheme="minorBidi" w:hAnsiTheme="minorBidi" w:cstheme="minorBidi"/>
          <w:b/>
        </w:rPr>
        <w:fldChar w:fldCharType="separate"/>
      </w:r>
      <w:r w:rsidR="008549FC">
        <w:rPr>
          <w:rFonts w:asciiTheme="minorBidi" w:hAnsiTheme="minorBidi" w:cstheme="minorBidi"/>
          <w:b/>
          <w:noProof/>
        </w:rPr>
        <w:t>2</w:t>
      </w:r>
      <w:r w:rsidR="0095522A">
        <w:rPr>
          <w:rFonts w:asciiTheme="minorBidi" w:hAnsiTheme="minorBidi" w:cstheme="minorBidi"/>
          <w:b/>
        </w:rPr>
        <w:fldChar w:fldCharType="end"/>
      </w:r>
      <w:bookmarkEnd w:id="212"/>
      <w:bookmarkEnd w:id="213"/>
      <w:r w:rsidRPr="009819CE">
        <w:rPr>
          <w:rFonts w:asciiTheme="minorBidi" w:hAnsiTheme="minorBidi" w:cstheme="minorBidi"/>
        </w:rPr>
        <w:t xml:space="preserve"> Binomial Generalised Linear Models applied to positive pleopod stages 1-4 (ʻps2ʼ).</w:t>
      </w:r>
      <w:bookmarkEnd w:id="214"/>
      <w:bookmarkEnd w:id="215"/>
    </w:p>
    <w:tbl>
      <w:tblPr>
        <w:tblStyle w:val="TableGridLight"/>
        <w:tblW w:w="5000" w:type="pct"/>
        <w:tblInd w:w="0" w:type="dxa"/>
        <w:tblLayout w:type="fixed"/>
        <w:tblLook w:val="04A0" w:firstRow="1" w:lastRow="0" w:firstColumn="1" w:lastColumn="0" w:noHBand="0" w:noVBand="1"/>
      </w:tblPr>
      <w:tblGrid>
        <w:gridCol w:w="3210"/>
        <w:gridCol w:w="1225"/>
        <w:gridCol w:w="1225"/>
        <w:gridCol w:w="919"/>
        <w:gridCol w:w="1067"/>
        <w:gridCol w:w="1379"/>
        <w:gridCol w:w="711"/>
      </w:tblGrid>
      <w:tr w:rsidR="00F36ABA" w:rsidRPr="00FA7D47" w14:paraId="355255CA" w14:textId="77777777" w:rsidTr="007D6607">
        <w:trPr>
          <w:trHeight w:val="281"/>
        </w:trPr>
        <w:tc>
          <w:tcPr>
            <w:tcW w:w="1649" w:type="pct"/>
            <w:noWrap/>
            <w:hideMark/>
          </w:tcPr>
          <w:p w14:paraId="050F7512" w14:textId="77777777" w:rsidR="00F36ABA" w:rsidRPr="009819CE" w:rsidRDefault="00F36ABA" w:rsidP="007D6607">
            <w:pPr>
              <w:spacing w:after="0" w:line="240" w:lineRule="auto"/>
              <w:jc w:val="left"/>
              <w:rPr>
                <w:rFonts w:cstheme="minorBidi"/>
                <w:b/>
                <w:bCs/>
                <w:color w:val="000000"/>
                <w:lang w:val="en-GB"/>
              </w:rPr>
            </w:pPr>
            <w:r w:rsidRPr="009819CE">
              <w:rPr>
                <w:rFonts w:cstheme="minorBidi"/>
                <w:b/>
                <w:bCs/>
                <w:lang w:val="en-GB"/>
              </w:rPr>
              <w:t>Binomial Generalised Linear Models</w:t>
            </w:r>
          </w:p>
        </w:tc>
        <w:tc>
          <w:tcPr>
            <w:tcW w:w="629" w:type="pct"/>
            <w:vMerge w:val="restart"/>
            <w:hideMark/>
          </w:tcPr>
          <w:p w14:paraId="3D0ADFE6" w14:textId="77777777" w:rsidR="00F36ABA" w:rsidRPr="009819CE" w:rsidRDefault="00F36ABA" w:rsidP="007D6607">
            <w:pPr>
              <w:spacing w:after="0" w:line="240" w:lineRule="auto"/>
              <w:jc w:val="center"/>
              <w:rPr>
                <w:rFonts w:cstheme="minorBidi"/>
                <w:b/>
                <w:bCs/>
                <w:color w:val="000000"/>
                <w:lang w:val="en-GB"/>
              </w:rPr>
            </w:pPr>
            <w:r w:rsidRPr="009819CE">
              <w:rPr>
                <w:rFonts w:cstheme="minorBidi"/>
                <w:b/>
                <w:bCs/>
                <w:color w:val="000000"/>
                <w:lang w:val="en-GB"/>
              </w:rPr>
              <w:t>Factors</w:t>
            </w:r>
          </w:p>
          <w:p w14:paraId="653C4269" w14:textId="77777777" w:rsidR="00F36ABA" w:rsidRPr="009819CE" w:rsidRDefault="00F36ABA" w:rsidP="007D6607">
            <w:pPr>
              <w:spacing w:after="0" w:line="240" w:lineRule="auto"/>
              <w:jc w:val="center"/>
              <w:rPr>
                <w:rFonts w:cstheme="minorBidi"/>
                <w:b/>
                <w:bCs/>
                <w:color w:val="000000"/>
                <w:lang w:val="en-GB"/>
              </w:rPr>
            </w:pPr>
          </w:p>
        </w:tc>
        <w:tc>
          <w:tcPr>
            <w:tcW w:w="629" w:type="pct"/>
            <w:vMerge w:val="restart"/>
            <w:noWrap/>
            <w:hideMark/>
          </w:tcPr>
          <w:p w14:paraId="53CC9767" w14:textId="77777777" w:rsidR="00F36ABA" w:rsidRPr="009819CE" w:rsidRDefault="00F36ABA" w:rsidP="007D6607">
            <w:pPr>
              <w:spacing w:after="0" w:line="240" w:lineRule="auto"/>
              <w:jc w:val="center"/>
              <w:rPr>
                <w:rFonts w:cstheme="minorBidi"/>
                <w:b/>
                <w:bCs/>
                <w:color w:val="000000"/>
                <w:lang w:val="en-GB"/>
              </w:rPr>
            </w:pPr>
            <w:r w:rsidRPr="009819CE">
              <w:rPr>
                <w:rFonts w:cstheme="minorBidi"/>
                <w:b/>
                <w:bCs/>
                <w:color w:val="000000"/>
                <w:lang w:val="en-GB"/>
              </w:rPr>
              <w:t>Estimate</w:t>
            </w:r>
          </w:p>
          <w:p w14:paraId="6AD91B6A" w14:textId="77777777" w:rsidR="00F36ABA" w:rsidRPr="009819CE" w:rsidRDefault="00F36ABA" w:rsidP="007D6607">
            <w:pPr>
              <w:spacing w:after="0" w:line="240" w:lineRule="auto"/>
              <w:jc w:val="center"/>
              <w:rPr>
                <w:rFonts w:cstheme="minorBidi"/>
                <w:b/>
                <w:bCs/>
                <w:color w:val="000000"/>
                <w:lang w:val="en-GB"/>
              </w:rPr>
            </w:pPr>
          </w:p>
        </w:tc>
        <w:tc>
          <w:tcPr>
            <w:tcW w:w="472" w:type="pct"/>
            <w:vMerge w:val="restart"/>
            <w:noWrap/>
            <w:hideMark/>
          </w:tcPr>
          <w:p w14:paraId="25FD98E9" w14:textId="77777777" w:rsidR="00F36ABA" w:rsidRPr="009819CE" w:rsidRDefault="00F36ABA" w:rsidP="007D6607">
            <w:pPr>
              <w:spacing w:after="0" w:line="240" w:lineRule="auto"/>
              <w:jc w:val="center"/>
              <w:rPr>
                <w:rFonts w:cstheme="minorBidi"/>
                <w:b/>
                <w:bCs/>
                <w:color w:val="333333"/>
                <w:lang w:val="en-GB"/>
              </w:rPr>
            </w:pPr>
            <w:r w:rsidRPr="009819CE">
              <w:rPr>
                <w:rFonts w:cstheme="minorBidi"/>
                <w:b/>
                <w:bCs/>
                <w:color w:val="333333"/>
                <w:lang w:val="en-GB"/>
              </w:rPr>
              <w:t>SE</w:t>
            </w:r>
          </w:p>
          <w:p w14:paraId="0CDFEF99" w14:textId="77777777" w:rsidR="00F36ABA" w:rsidRPr="009819CE" w:rsidRDefault="00F36ABA" w:rsidP="007D6607">
            <w:pPr>
              <w:spacing w:after="0" w:line="240" w:lineRule="auto"/>
              <w:jc w:val="center"/>
              <w:rPr>
                <w:rFonts w:cstheme="minorBidi"/>
                <w:b/>
                <w:bCs/>
                <w:color w:val="333333"/>
                <w:lang w:val="en-GB"/>
              </w:rPr>
            </w:pPr>
          </w:p>
        </w:tc>
        <w:tc>
          <w:tcPr>
            <w:tcW w:w="548" w:type="pct"/>
            <w:vMerge w:val="restart"/>
            <w:noWrap/>
            <w:hideMark/>
          </w:tcPr>
          <w:p w14:paraId="05F788F7" w14:textId="77777777" w:rsidR="00F36ABA" w:rsidRPr="009819CE" w:rsidRDefault="00F36ABA" w:rsidP="007D6607">
            <w:pPr>
              <w:spacing w:after="0" w:line="240" w:lineRule="auto"/>
              <w:jc w:val="center"/>
              <w:rPr>
                <w:rFonts w:cstheme="minorBidi"/>
                <w:b/>
                <w:bCs/>
                <w:color w:val="333333"/>
                <w:lang w:val="en-GB"/>
              </w:rPr>
            </w:pPr>
            <w:r w:rsidRPr="009819CE">
              <w:rPr>
                <w:rFonts w:cstheme="minorBidi"/>
                <w:b/>
                <w:bCs/>
                <w:color w:val="333333"/>
                <w:lang w:val="en-GB"/>
              </w:rPr>
              <w:t>z value</w:t>
            </w:r>
          </w:p>
          <w:p w14:paraId="044E310B" w14:textId="77777777" w:rsidR="00F36ABA" w:rsidRPr="009819CE" w:rsidRDefault="00F36ABA" w:rsidP="007D6607">
            <w:pPr>
              <w:spacing w:after="0" w:line="240" w:lineRule="auto"/>
              <w:jc w:val="center"/>
              <w:rPr>
                <w:rFonts w:cstheme="minorBidi"/>
                <w:b/>
                <w:bCs/>
                <w:color w:val="333333"/>
                <w:lang w:val="en-GB"/>
              </w:rPr>
            </w:pPr>
          </w:p>
        </w:tc>
        <w:tc>
          <w:tcPr>
            <w:tcW w:w="708" w:type="pct"/>
            <w:vMerge w:val="restart"/>
            <w:noWrap/>
            <w:hideMark/>
          </w:tcPr>
          <w:p w14:paraId="46BC2725" w14:textId="77777777" w:rsidR="00F36ABA" w:rsidRPr="009819CE" w:rsidRDefault="00F36ABA" w:rsidP="007D6607">
            <w:pPr>
              <w:spacing w:after="0" w:line="240" w:lineRule="auto"/>
              <w:jc w:val="center"/>
              <w:rPr>
                <w:rFonts w:cstheme="minorBidi"/>
                <w:b/>
                <w:bCs/>
                <w:color w:val="333333"/>
                <w:lang w:val="en-GB"/>
              </w:rPr>
            </w:pPr>
            <w:r w:rsidRPr="009819CE">
              <w:rPr>
                <w:rFonts w:cstheme="minorBidi"/>
                <w:b/>
                <w:bCs/>
                <w:color w:val="333333"/>
                <w:lang w:val="en-GB"/>
              </w:rPr>
              <w:t>Pr(&gt;|z|)</w:t>
            </w:r>
          </w:p>
          <w:p w14:paraId="3B36A077" w14:textId="77777777" w:rsidR="00F36ABA" w:rsidRPr="009819CE" w:rsidRDefault="00F36ABA" w:rsidP="007D6607">
            <w:pPr>
              <w:spacing w:after="0" w:line="240" w:lineRule="auto"/>
              <w:jc w:val="center"/>
              <w:rPr>
                <w:rFonts w:cstheme="minorBidi"/>
                <w:b/>
                <w:bCs/>
                <w:color w:val="333333"/>
                <w:lang w:val="en-GB"/>
              </w:rPr>
            </w:pPr>
          </w:p>
        </w:tc>
        <w:tc>
          <w:tcPr>
            <w:tcW w:w="365" w:type="pct"/>
            <w:vMerge w:val="restart"/>
            <w:noWrap/>
            <w:hideMark/>
          </w:tcPr>
          <w:p w14:paraId="39B6CFE5" w14:textId="77777777" w:rsidR="00F36ABA" w:rsidRPr="009819CE" w:rsidRDefault="00F36ABA" w:rsidP="007D6607">
            <w:pPr>
              <w:spacing w:after="0" w:line="240" w:lineRule="auto"/>
              <w:jc w:val="center"/>
              <w:rPr>
                <w:rFonts w:cstheme="minorBidi"/>
                <w:b/>
                <w:bCs/>
                <w:color w:val="333333"/>
                <w:lang w:val="en-GB"/>
              </w:rPr>
            </w:pPr>
            <w:r w:rsidRPr="009819CE">
              <w:rPr>
                <w:rFonts w:cstheme="minorBidi"/>
                <w:b/>
                <w:bCs/>
                <w:color w:val="333333"/>
                <w:lang w:val="en-GB"/>
              </w:rPr>
              <w:t>Sign</w:t>
            </w:r>
          </w:p>
        </w:tc>
      </w:tr>
      <w:tr w:rsidR="00F36ABA" w:rsidRPr="00FA7D47" w14:paraId="10DA6C38" w14:textId="77777777" w:rsidTr="007D6607">
        <w:trPr>
          <w:trHeight w:val="294"/>
        </w:trPr>
        <w:tc>
          <w:tcPr>
            <w:tcW w:w="1649" w:type="pct"/>
            <w:tcBorders>
              <w:bottom w:val="single" w:sz="4" w:space="0" w:color="BFBFBF" w:themeColor="background1" w:themeShade="BF"/>
            </w:tcBorders>
            <w:noWrap/>
            <w:hideMark/>
          </w:tcPr>
          <w:p w14:paraId="32B1F8CE" w14:textId="77777777" w:rsidR="00F36ABA" w:rsidRPr="009819CE" w:rsidRDefault="00F36ABA" w:rsidP="007D6607">
            <w:pPr>
              <w:spacing w:after="0" w:line="240" w:lineRule="auto"/>
              <w:jc w:val="left"/>
              <w:rPr>
                <w:rFonts w:cstheme="minorBidi"/>
                <w:b/>
                <w:bCs/>
                <w:color w:val="000000"/>
                <w:lang w:val="en-GB"/>
              </w:rPr>
            </w:pPr>
            <w:r w:rsidRPr="009819CE">
              <w:rPr>
                <w:rFonts w:cstheme="minorBidi"/>
                <w:b/>
                <w:bCs/>
                <w:color w:val="000000"/>
                <w:lang w:val="en-GB"/>
              </w:rPr>
              <w:t xml:space="preserve">(Pleopod infection) </w:t>
            </w:r>
            <w:r w:rsidRPr="009819CE">
              <w:rPr>
                <w:rFonts w:cstheme="minorBidi"/>
                <w:color w:val="000000"/>
                <w:lang w:val="en-GB"/>
              </w:rPr>
              <w:t>family="binomial"</w:t>
            </w:r>
          </w:p>
        </w:tc>
        <w:tc>
          <w:tcPr>
            <w:tcW w:w="629" w:type="pct"/>
            <w:vMerge/>
            <w:tcBorders>
              <w:bottom w:val="single" w:sz="4" w:space="0" w:color="BFBFBF" w:themeColor="background1" w:themeShade="BF"/>
            </w:tcBorders>
            <w:hideMark/>
          </w:tcPr>
          <w:p w14:paraId="70A2C92E" w14:textId="77777777" w:rsidR="00F36ABA" w:rsidRPr="00FA7D47" w:rsidRDefault="00F36ABA" w:rsidP="007D6607">
            <w:pPr>
              <w:spacing w:after="0" w:line="240" w:lineRule="auto"/>
              <w:jc w:val="center"/>
              <w:rPr>
                <w:rFonts w:cstheme="minorBidi"/>
                <w:b/>
                <w:bCs/>
                <w:color w:val="000000"/>
                <w:lang w:val="en-GB"/>
              </w:rPr>
            </w:pPr>
          </w:p>
        </w:tc>
        <w:tc>
          <w:tcPr>
            <w:tcW w:w="629" w:type="pct"/>
            <w:vMerge/>
            <w:tcBorders>
              <w:bottom w:val="single" w:sz="4" w:space="0" w:color="BFBFBF" w:themeColor="background1" w:themeShade="BF"/>
            </w:tcBorders>
            <w:noWrap/>
            <w:hideMark/>
          </w:tcPr>
          <w:p w14:paraId="300CDB74" w14:textId="77777777" w:rsidR="00F36ABA" w:rsidRPr="00FA7D47" w:rsidRDefault="00F36ABA" w:rsidP="007D6607">
            <w:pPr>
              <w:spacing w:after="0" w:line="240" w:lineRule="auto"/>
              <w:jc w:val="center"/>
              <w:rPr>
                <w:rFonts w:cstheme="minorBidi"/>
                <w:b/>
                <w:bCs/>
                <w:color w:val="000000"/>
                <w:lang w:val="en-GB"/>
              </w:rPr>
            </w:pPr>
          </w:p>
        </w:tc>
        <w:tc>
          <w:tcPr>
            <w:tcW w:w="472" w:type="pct"/>
            <w:vMerge/>
            <w:tcBorders>
              <w:bottom w:val="single" w:sz="4" w:space="0" w:color="BFBFBF" w:themeColor="background1" w:themeShade="BF"/>
            </w:tcBorders>
            <w:noWrap/>
            <w:hideMark/>
          </w:tcPr>
          <w:p w14:paraId="784BC0C9" w14:textId="77777777" w:rsidR="00F36ABA" w:rsidRPr="00FA7D47" w:rsidRDefault="00F36ABA" w:rsidP="007D6607">
            <w:pPr>
              <w:spacing w:after="0" w:line="240" w:lineRule="auto"/>
              <w:jc w:val="center"/>
              <w:rPr>
                <w:rFonts w:cstheme="minorBidi"/>
                <w:b/>
                <w:bCs/>
                <w:color w:val="333333"/>
                <w:lang w:val="en-GB"/>
              </w:rPr>
            </w:pPr>
          </w:p>
        </w:tc>
        <w:tc>
          <w:tcPr>
            <w:tcW w:w="548" w:type="pct"/>
            <w:vMerge/>
            <w:tcBorders>
              <w:bottom w:val="single" w:sz="4" w:space="0" w:color="BFBFBF" w:themeColor="background1" w:themeShade="BF"/>
            </w:tcBorders>
            <w:noWrap/>
            <w:hideMark/>
          </w:tcPr>
          <w:p w14:paraId="0D2FE272" w14:textId="77777777" w:rsidR="00F36ABA" w:rsidRPr="00FA7D47" w:rsidRDefault="00F36ABA" w:rsidP="007D6607">
            <w:pPr>
              <w:spacing w:after="0" w:line="240" w:lineRule="auto"/>
              <w:jc w:val="center"/>
              <w:rPr>
                <w:rFonts w:cstheme="minorBidi"/>
                <w:b/>
                <w:bCs/>
                <w:color w:val="333333"/>
                <w:lang w:val="en-GB"/>
              </w:rPr>
            </w:pPr>
          </w:p>
        </w:tc>
        <w:tc>
          <w:tcPr>
            <w:tcW w:w="708" w:type="pct"/>
            <w:vMerge/>
            <w:tcBorders>
              <w:bottom w:val="single" w:sz="4" w:space="0" w:color="BFBFBF" w:themeColor="background1" w:themeShade="BF"/>
            </w:tcBorders>
            <w:noWrap/>
            <w:hideMark/>
          </w:tcPr>
          <w:p w14:paraId="010EF9F9" w14:textId="77777777" w:rsidR="00F36ABA" w:rsidRPr="00FA7D47" w:rsidRDefault="00F36ABA" w:rsidP="007D6607">
            <w:pPr>
              <w:spacing w:after="0" w:line="240" w:lineRule="auto"/>
              <w:jc w:val="center"/>
              <w:rPr>
                <w:rFonts w:cstheme="minorBidi"/>
                <w:b/>
                <w:bCs/>
                <w:color w:val="333333"/>
                <w:lang w:val="en-GB"/>
              </w:rPr>
            </w:pPr>
          </w:p>
        </w:tc>
        <w:tc>
          <w:tcPr>
            <w:tcW w:w="365" w:type="pct"/>
            <w:vMerge/>
            <w:tcBorders>
              <w:bottom w:val="single" w:sz="4" w:space="0" w:color="BFBFBF" w:themeColor="background1" w:themeShade="BF"/>
            </w:tcBorders>
            <w:hideMark/>
          </w:tcPr>
          <w:p w14:paraId="36986EAB" w14:textId="77777777" w:rsidR="00F36ABA" w:rsidRPr="00FA7D47" w:rsidRDefault="00F36ABA" w:rsidP="007D6607">
            <w:pPr>
              <w:spacing w:after="0" w:line="240" w:lineRule="auto"/>
              <w:jc w:val="left"/>
              <w:rPr>
                <w:rFonts w:cstheme="minorBidi"/>
                <w:b/>
                <w:bCs/>
                <w:color w:val="333333"/>
                <w:lang w:val="en-GB"/>
              </w:rPr>
            </w:pPr>
          </w:p>
        </w:tc>
      </w:tr>
      <w:tr w:rsidR="00F36ABA" w:rsidRPr="00FA7D47" w14:paraId="14E89F5F" w14:textId="77777777" w:rsidTr="007D6607">
        <w:trPr>
          <w:trHeight w:val="281"/>
        </w:trPr>
        <w:tc>
          <w:tcPr>
            <w:tcW w:w="1649" w:type="pct"/>
            <w:tcBorders>
              <w:bottom w:val="nil"/>
              <w:right w:val="single" w:sz="4" w:space="0" w:color="BFBFBF" w:themeColor="background1" w:themeShade="BF"/>
            </w:tcBorders>
            <w:hideMark/>
          </w:tcPr>
          <w:p w14:paraId="267653F9" w14:textId="77777777" w:rsidR="00F36ABA" w:rsidRPr="009819CE" w:rsidRDefault="00F36ABA" w:rsidP="007D6607">
            <w:pPr>
              <w:spacing w:after="0" w:line="240" w:lineRule="auto"/>
              <w:jc w:val="left"/>
              <w:rPr>
                <w:rFonts w:cstheme="minorBidi"/>
                <w:b/>
                <w:bCs/>
                <w:color w:val="000000"/>
                <w:lang w:val="en-GB"/>
              </w:rPr>
            </w:pPr>
            <w:r w:rsidRPr="009819CE">
              <w:rPr>
                <w:rFonts w:cstheme="minorBidi"/>
                <w:b/>
                <w:bCs/>
                <w:color w:val="000000"/>
                <w:lang w:val="en-GB"/>
              </w:rPr>
              <w:t>glmer1</w:t>
            </w:r>
          </w:p>
        </w:tc>
        <w:tc>
          <w:tcPr>
            <w:tcW w:w="629" w:type="pct"/>
            <w:tcBorders>
              <w:left w:val="single" w:sz="4" w:space="0" w:color="BFBFBF" w:themeColor="background1" w:themeShade="BF"/>
              <w:bottom w:val="nil"/>
              <w:right w:val="single" w:sz="4" w:space="0" w:color="BFBFBF" w:themeColor="background1" w:themeShade="BF"/>
            </w:tcBorders>
            <w:hideMark/>
          </w:tcPr>
          <w:p w14:paraId="248030B4"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(Intercept)</w:t>
            </w:r>
          </w:p>
        </w:tc>
        <w:tc>
          <w:tcPr>
            <w:tcW w:w="629" w:type="pct"/>
            <w:tcBorders>
              <w:left w:val="single" w:sz="4" w:space="0" w:color="BFBFBF" w:themeColor="background1" w:themeShade="BF"/>
              <w:bottom w:val="nil"/>
              <w:right w:val="single" w:sz="4" w:space="0" w:color="BFBFBF" w:themeColor="background1" w:themeShade="BF"/>
            </w:tcBorders>
            <w:noWrap/>
            <w:hideMark/>
          </w:tcPr>
          <w:p w14:paraId="64D93A89"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-2.055</w:t>
            </w:r>
          </w:p>
        </w:tc>
        <w:tc>
          <w:tcPr>
            <w:tcW w:w="472" w:type="pct"/>
            <w:tcBorders>
              <w:left w:val="single" w:sz="4" w:space="0" w:color="BFBFBF" w:themeColor="background1" w:themeShade="BF"/>
              <w:bottom w:val="nil"/>
              <w:right w:val="single" w:sz="4" w:space="0" w:color="BFBFBF" w:themeColor="background1" w:themeShade="BF"/>
            </w:tcBorders>
            <w:noWrap/>
            <w:hideMark/>
          </w:tcPr>
          <w:p w14:paraId="7CA78F1B"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0.492</w:t>
            </w:r>
          </w:p>
        </w:tc>
        <w:tc>
          <w:tcPr>
            <w:tcW w:w="548" w:type="pct"/>
            <w:tcBorders>
              <w:left w:val="single" w:sz="4" w:space="0" w:color="BFBFBF" w:themeColor="background1" w:themeShade="BF"/>
              <w:bottom w:val="nil"/>
              <w:right w:val="single" w:sz="4" w:space="0" w:color="BFBFBF" w:themeColor="background1" w:themeShade="BF"/>
            </w:tcBorders>
            <w:noWrap/>
            <w:hideMark/>
          </w:tcPr>
          <w:p w14:paraId="4329E9E2"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-4.176</w:t>
            </w:r>
          </w:p>
        </w:tc>
        <w:tc>
          <w:tcPr>
            <w:tcW w:w="708" w:type="pct"/>
            <w:tcBorders>
              <w:left w:val="single" w:sz="4" w:space="0" w:color="BFBFBF" w:themeColor="background1" w:themeShade="BF"/>
              <w:bottom w:val="nil"/>
              <w:right w:val="single" w:sz="4" w:space="0" w:color="BFBFBF" w:themeColor="background1" w:themeShade="BF"/>
            </w:tcBorders>
            <w:noWrap/>
            <w:hideMark/>
          </w:tcPr>
          <w:p w14:paraId="39FE4C4F"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2.96E-05</w:t>
            </w:r>
          </w:p>
        </w:tc>
        <w:tc>
          <w:tcPr>
            <w:tcW w:w="365" w:type="pct"/>
            <w:tcBorders>
              <w:left w:val="single" w:sz="4" w:space="0" w:color="BFBFBF" w:themeColor="background1" w:themeShade="BF"/>
              <w:bottom w:val="nil"/>
            </w:tcBorders>
            <w:noWrap/>
            <w:hideMark/>
          </w:tcPr>
          <w:p w14:paraId="6BC237EE"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5AD0AA3E" w14:textId="77777777" w:rsidTr="007D6607">
        <w:trPr>
          <w:trHeight w:val="294"/>
        </w:trPr>
        <w:tc>
          <w:tcPr>
            <w:tcW w:w="1649" w:type="pct"/>
            <w:tcBorders>
              <w:top w:val="nil"/>
              <w:bottom w:val="single" w:sz="4" w:space="0" w:color="BFBFBF" w:themeColor="background1" w:themeShade="BF"/>
              <w:right w:val="single" w:sz="4" w:space="0" w:color="BFBFBF" w:themeColor="background1" w:themeShade="BF"/>
            </w:tcBorders>
            <w:hideMark/>
          </w:tcPr>
          <w:p w14:paraId="3B36C75E"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ps2 ~CL+ sex+ midx +  som + date</w:t>
            </w:r>
          </w:p>
        </w:tc>
        <w:tc>
          <w:tcPr>
            <w:tcW w:w="6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8B4268"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Sex M</w:t>
            </w:r>
          </w:p>
        </w:tc>
        <w:tc>
          <w:tcPr>
            <w:tcW w:w="6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7F60C7"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-0.964</w:t>
            </w:r>
          </w:p>
        </w:tc>
        <w:tc>
          <w:tcPr>
            <w:tcW w:w="472"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B099B2"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0.182</w:t>
            </w:r>
          </w:p>
        </w:tc>
        <w:tc>
          <w:tcPr>
            <w:tcW w:w="548"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050E9E"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-5.304</w:t>
            </w:r>
          </w:p>
        </w:tc>
        <w:tc>
          <w:tcPr>
            <w:tcW w:w="708"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0E8BC8"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1.13E-07</w:t>
            </w:r>
          </w:p>
        </w:tc>
        <w:tc>
          <w:tcPr>
            <w:tcW w:w="365" w:type="pct"/>
            <w:tcBorders>
              <w:top w:val="nil"/>
              <w:left w:val="single" w:sz="4" w:space="0" w:color="BFBFBF" w:themeColor="background1" w:themeShade="BF"/>
              <w:bottom w:val="single" w:sz="4" w:space="0" w:color="BFBFBF" w:themeColor="background1" w:themeShade="BF"/>
            </w:tcBorders>
            <w:noWrap/>
            <w:hideMark/>
          </w:tcPr>
          <w:p w14:paraId="45153CF7"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1DFF84CC" w14:textId="77777777" w:rsidTr="007D6607">
        <w:trPr>
          <w:trHeight w:val="281"/>
        </w:trPr>
        <w:tc>
          <w:tcPr>
            <w:tcW w:w="1649" w:type="pct"/>
            <w:tcBorders>
              <w:bottom w:val="nil"/>
              <w:right w:val="single" w:sz="4" w:space="0" w:color="BFBFBF" w:themeColor="background1" w:themeShade="BF"/>
            </w:tcBorders>
            <w:noWrap/>
            <w:hideMark/>
          </w:tcPr>
          <w:p w14:paraId="121FF68D" w14:textId="77777777" w:rsidR="00F36ABA" w:rsidRPr="009819CE" w:rsidRDefault="00F36ABA" w:rsidP="007D6607">
            <w:pPr>
              <w:spacing w:after="0" w:line="240" w:lineRule="auto"/>
              <w:jc w:val="left"/>
              <w:rPr>
                <w:rFonts w:cstheme="minorBidi"/>
                <w:b/>
                <w:bCs/>
                <w:color w:val="000000"/>
                <w:lang w:val="en-GB"/>
              </w:rPr>
            </w:pPr>
            <w:r w:rsidRPr="009819CE">
              <w:rPr>
                <w:rFonts w:cstheme="minorBidi"/>
                <w:b/>
                <w:bCs/>
                <w:color w:val="000000"/>
                <w:lang w:val="en-GB"/>
              </w:rPr>
              <w:t xml:space="preserve">glmer2 </w:t>
            </w:r>
          </w:p>
        </w:tc>
        <w:tc>
          <w:tcPr>
            <w:tcW w:w="629" w:type="pct"/>
            <w:tcBorders>
              <w:left w:val="single" w:sz="4" w:space="0" w:color="BFBFBF" w:themeColor="background1" w:themeShade="BF"/>
              <w:bottom w:val="nil"/>
              <w:right w:val="single" w:sz="4" w:space="0" w:color="BFBFBF" w:themeColor="background1" w:themeShade="BF"/>
            </w:tcBorders>
            <w:hideMark/>
          </w:tcPr>
          <w:p w14:paraId="6F423385"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(Intercept)</w:t>
            </w:r>
          </w:p>
        </w:tc>
        <w:tc>
          <w:tcPr>
            <w:tcW w:w="629" w:type="pct"/>
            <w:tcBorders>
              <w:left w:val="single" w:sz="4" w:space="0" w:color="BFBFBF" w:themeColor="background1" w:themeShade="BF"/>
              <w:bottom w:val="nil"/>
              <w:right w:val="single" w:sz="4" w:space="0" w:color="BFBFBF" w:themeColor="background1" w:themeShade="BF"/>
            </w:tcBorders>
            <w:noWrap/>
            <w:hideMark/>
          </w:tcPr>
          <w:p w14:paraId="59BF6D46"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-1.606</w:t>
            </w:r>
          </w:p>
        </w:tc>
        <w:tc>
          <w:tcPr>
            <w:tcW w:w="472" w:type="pct"/>
            <w:tcBorders>
              <w:left w:val="single" w:sz="4" w:space="0" w:color="BFBFBF" w:themeColor="background1" w:themeShade="BF"/>
              <w:bottom w:val="nil"/>
              <w:right w:val="single" w:sz="4" w:space="0" w:color="BFBFBF" w:themeColor="background1" w:themeShade="BF"/>
            </w:tcBorders>
            <w:noWrap/>
            <w:hideMark/>
          </w:tcPr>
          <w:p w14:paraId="1FD00F4B"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0.334</w:t>
            </w:r>
          </w:p>
        </w:tc>
        <w:tc>
          <w:tcPr>
            <w:tcW w:w="548" w:type="pct"/>
            <w:tcBorders>
              <w:left w:val="single" w:sz="4" w:space="0" w:color="BFBFBF" w:themeColor="background1" w:themeShade="BF"/>
              <w:bottom w:val="nil"/>
              <w:right w:val="single" w:sz="4" w:space="0" w:color="BFBFBF" w:themeColor="background1" w:themeShade="BF"/>
            </w:tcBorders>
            <w:noWrap/>
            <w:hideMark/>
          </w:tcPr>
          <w:p w14:paraId="0BE76333"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-4.810</w:t>
            </w:r>
          </w:p>
        </w:tc>
        <w:tc>
          <w:tcPr>
            <w:tcW w:w="708" w:type="pct"/>
            <w:tcBorders>
              <w:left w:val="single" w:sz="4" w:space="0" w:color="BFBFBF" w:themeColor="background1" w:themeShade="BF"/>
              <w:bottom w:val="nil"/>
              <w:right w:val="single" w:sz="4" w:space="0" w:color="BFBFBF" w:themeColor="background1" w:themeShade="BF"/>
            </w:tcBorders>
            <w:noWrap/>
            <w:hideMark/>
          </w:tcPr>
          <w:p w14:paraId="46D562C9"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1.51E-06</w:t>
            </w:r>
          </w:p>
        </w:tc>
        <w:tc>
          <w:tcPr>
            <w:tcW w:w="365" w:type="pct"/>
            <w:tcBorders>
              <w:left w:val="single" w:sz="4" w:space="0" w:color="BFBFBF" w:themeColor="background1" w:themeShade="BF"/>
              <w:bottom w:val="nil"/>
            </w:tcBorders>
            <w:noWrap/>
            <w:hideMark/>
          </w:tcPr>
          <w:p w14:paraId="033B88E6"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1B59641A" w14:textId="77777777" w:rsidTr="007D6607">
        <w:trPr>
          <w:trHeight w:val="294"/>
        </w:trPr>
        <w:tc>
          <w:tcPr>
            <w:tcW w:w="1649" w:type="pct"/>
            <w:tcBorders>
              <w:top w:val="nil"/>
              <w:bottom w:val="single" w:sz="4" w:space="0" w:color="BFBFBF" w:themeColor="background1" w:themeShade="BF"/>
              <w:right w:val="single" w:sz="4" w:space="0" w:color="BFBFBF" w:themeColor="background1" w:themeShade="BF"/>
            </w:tcBorders>
            <w:hideMark/>
          </w:tcPr>
          <w:p w14:paraId="6E964426"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ps2 ~ sex+ midx +  som + date</w:t>
            </w:r>
          </w:p>
        </w:tc>
        <w:tc>
          <w:tcPr>
            <w:tcW w:w="6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C165EF"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Sex M</w:t>
            </w:r>
          </w:p>
        </w:tc>
        <w:tc>
          <w:tcPr>
            <w:tcW w:w="6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704CAE"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-0.903</w:t>
            </w:r>
          </w:p>
        </w:tc>
        <w:tc>
          <w:tcPr>
            <w:tcW w:w="472"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3A744B"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0.174</w:t>
            </w:r>
          </w:p>
        </w:tc>
        <w:tc>
          <w:tcPr>
            <w:tcW w:w="548"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8C4D37"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-5.200</w:t>
            </w:r>
          </w:p>
        </w:tc>
        <w:tc>
          <w:tcPr>
            <w:tcW w:w="708"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7B2D5F"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1.99E-07</w:t>
            </w:r>
          </w:p>
        </w:tc>
        <w:tc>
          <w:tcPr>
            <w:tcW w:w="365" w:type="pct"/>
            <w:tcBorders>
              <w:top w:val="nil"/>
              <w:left w:val="single" w:sz="4" w:space="0" w:color="BFBFBF" w:themeColor="background1" w:themeShade="BF"/>
              <w:bottom w:val="single" w:sz="4" w:space="0" w:color="BFBFBF" w:themeColor="background1" w:themeShade="BF"/>
            </w:tcBorders>
            <w:noWrap/>
            <w:hideMark/>
          </w:tcPr>
          <w:p w14:paraId="248848B1"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795DA975" w14:textId="77777777" w:rsidTr="007D6607">
        <w:trPr>
          <w:trHeight w:val="294"/>
        </w:trPr>
        <w:tc>
          <w:tcPr>
            <w:tcW w:w="1649" w:type="pct"/>
            <w:tcBorders>
              <w:bottom w:val="nil"/>
              <w:right w:val="single" w:sz="4" w:space="0" w:color="BFBFBF" w:themeColor="background1" w:themeShade="BF"/>
            </w:tcBorders>
            <w:noWrap/>
            <w:hideMark/>
          </w:tcPr>
          <w:p w14:paraId="4F61FCF5" w14:textId="77777777" w:rsidR="00F36ABA" w:rsidRPr="009819CE" w:rsidRDefault="00F36ABA" w:rsidP="007D6607">
            <w:pPr>
              <w:spacing w:after="0" w:line="240" w:lineRule="auto"/>
              <w:jc w:val="left"/>
              <w:rPr>
                <w:rFonts w:cstheme="minorBidi"/>
                <w:b/>
                <w:bCs/>
                <w:color w:val="000000"/>
                <w:lang w:val="en-GB"/>
              </w:rPr>
            </w:pPr>
            <w:r w:rsidRPr="009819CE">
              <w:rPr>
                <w:rFonts w:cstheme="minorBidi"/>
                <w:b/>
                <w:bCs/>
                <w:color w:val="000000"/>
                <w:lang w:val="en-GB"/>
              </w:rPr>
              <w:t xml:space="preserve">glmer3 </w:t>
            </w:r>
          </w:p>
        </w:tc>
        <w:tc>
          <w:tcPr>
            <w:tcW w:w="629" w:type="pct"/>
            <w:tcBorders>
              <w:left w:val="single" w:sz="4" w:space="0" w:color="BFBFBF" w:themeColor="background1" w:themeShade="BF"/>
              <w:bottom w:val="nil"/>
              <w:right w:val="single" w:sz="4" w:space="0" w:color="BFBFBF" w:themeColor="background1" w:themeShade="BF"/>
            </w:tcBorders>
            <w:hideMark/>
          </w:tcPr>
          <w:p w14:paraId="7D320FBA"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(Intercept)</w:t>
            </w:r>
          </w:p>
        </w:tc>
        <w:tc>
          <w:tcPr>
            <w:tcW w:w="629" w:type="pct"/>
            <w:tcBorders>
              <w:left w:val="single" w:sz="4" w:space="0" w:color="BFBFBF" w:themeColor="background1" w:themeShade="BF"/>
              <w:bottom w:val="nil"/>
              <w:right w:val="single" w:sz="4" w:space="0" w:color="BFBFBF" w:themeColor="background1" w:themeShade="BF"/>
            </w:tcBorders>
            <w:noWrap/>
            <w:hideMark/>
          </w:tcPr>
          <w:p w14:paraId="049252C7"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-1.811</w:t>
            </w:r>
          </w:p>
        </w:tc>
        <w:tc>
          <w:tcPr>
            <w:tcW w:w="472" w:type="pct"/>
            <w:tcBorders>
              <w:left w:val="single" w:sz="4" w:space="0" w:color="BFBFBF" w:themeColor="background1" w:themeShade="BF"/>
              <w:bottom w:val="nil"/>
              <w:right w:val="single" w:sz="4" w:space="0" w:color="BFBFBF" w:themeColor="background1" w:themeShade="BF"/>
            </w:tcBorders>
            <w:noWrap/>
            <w:hideMark/>
          </w:tcPr>
          <w:p w14:paraId="7C7E47AC"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0.280</w:t>
            </w:r>
          </w:p>
        </w:tc>
        <w:tc>
          <w:tcPr>
            <w:tcW w:w="548" w:type="pct"/>
            <w:tcBorders>
              <w:left w:val="single" w:sz="4" w:space="0" w:color="BFBFBF" w:themeColor="background1" w:themeShade="BF"/>
              <w:bottom w:val="nil"/>
              <w:right w:val="single" w:sz="4" w:space="0" w:color="BFBFBF" w:themeColor="background1" w:themeShade="BF"/>
            </w:tcBorders>
            <w:noWrap/>
            <w:hideMark/>
          </w:tcPr>
          <w:p w14:paraId="13909835"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-6.465</w:t>
            </w:r>
          </w:p>
        </w:tc>
        <w:tc>
          <w:tcPr>
            <w:tcW w:w="708" w:type="pct"/>
            <w:tcBorders>
              <w:left w:val="single" w:sz="4" w:space="0" w:color="BFBFBF" w:themeColor="background1" w:themeShade="BF"/>
              <w:bottom w:val="nil"/>
              <w:right w:val="single" w:sz="4" w:space="0" w:color="BFBFBF" w:themeColor="background1" w:themeShade="BF"/>
            </w:tcBorders>
            <w:noWrap/>
            <w:hideMark/>
          </w:tcPr>
          <w:p w14:paraId="2D2BF382"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1.01E-10</w:t>
            </w:r>
          </w:p>
        </w:tc>
        <w:tc>
          <w:tcPr>
            <w:tcW w:w="365" w:type="pct"/>
            <w:tcBorders>
              <w:left w:val="single" w:sz="4" w:space="0" w:color="BFBFBF" w:themeColor="background1" w:themeShade="BF"/>
              <w:bottom w:val="nil"/>
            </w:tcBorders>
            <w:noWrap/>
            <w:hideMark/>
          </w:tcPr>
          <w:p w14:paraId="0A299C4B"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43AC34A7" w14:textId="77777777" w:rsidTr="007D6607">
        <w:trPr>
          <w:trHeight w:val="294"/>
        </w:trPr>
        <w:tc>
          <w:tcPr>
            <w:tcW w:w="1649" w:type="pct"/>
            <w:tcBorders>
              <w:top w:val="nil"/>
              <w:bottom w:val="single" w:sz="4" w:space="0" w:color="BFBFBF" w:themeColor="background1" w:themeShade="BF"/>
              <w:right w:val="single" w:sz="4" w:space="0" w:color="BFBFBF" w:themeColor="background1" w:themeShade="BF"/>
            </w:tcBorders>
            <w:hideMark/>
          </w:tcPr>
          <w:p w14:paraId="193AE0E5"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ps2 ~ sex+ midx +   date</w:t>
            </w:r>
          </w:p>
        </w:tc>
        <w:tc>
          <w:tcPr>
            <w:tcW w:w="6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D2808B"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Sex M</w:t>
            </w:r>
          </w:p>
        </w:tc>
        <w:tc>
          <w:tcPr>
            <w:tcW w:w="629"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9A15AF"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-0.878</w:t>
            </w:r>
          </w:p>
        </w:tc>
        <w:tc>
          <w:tcPr>
            <w:tcW w:w="472"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3EB578"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0.172</w:t>
            </w:r>
          </w:p>
        </w:tc>
        <w:tc>
          <w:tcPr>
            <w:tcW w:w="548"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C46D60"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-5.104</w:t>
            </w:r>
          </w:p>
        </w:tc>
        <w:tc>
          <w:tcPr>
            <w:tcW w:w="708"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A4B8DE"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3.33E-07</w:t>
            </w:r>
          </w:p>
        </w:tc>
        <w:tc>
          <w:tcPr>
            <w:tcW w:w="365" w:type="pct"/>
            <w:tcBorders>
              <w:top w:val="nil"/>
              <w:left w:val="single" w:sz="4" w:space="0" w:color="BFBFBF" w:themeColor="background1" w:themeShade="BF"/>
              <w:bottom w:val="single" w:sz="4" w:space="0" w:color="BFBFBF" w:themeColor="background1" w:themeShade="BF"/>
            </w:tcBorders>
            <w:noWrap/>
            <w:hideMark/>
          </w:tcPr>
          <w:p w14:paraId="4654F0F1"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648ACC87" w14:textId="77777777" w:rsidTr="007D6607">
        <w:trPr>
          <w:trHeight w:val="281"/>
        </w:trPr>
        <w:tc>
          <w:tcPr>
            <w:tcW w:w="1649" w:type="pct"/>
            <w:tcBorders>
              <w:bottom w:val="nil"/>
              <w:right w:val="single" w:sz="4" w:space="0" w:color="BFBFBF" w:themeColor="background1" w:themeShade="BF"/>
            </w:tcBorders>
            <w:noWrap/>
            <w:hideMark/>
          </w:tcPr>
          <w:p w14:paraId="406CC21C" w14:textId="77777777" w:rsidR="00F36ABA" w:rsidRPr="009819CE" w:rsidRDefault="00F36ABA" w:rsidP="007D6607">
            <w:pPr>
              <w:spacing w:after="0" w:line="240" w:lineRule="auto"/>
              <w:jc w:val="left"/>
              <w:rPr>
                <w:rFonts w:cstheme="minorBidi"/>
                <w:b/>
                <w:bCs/>
                <w:color w:val="000000"/>
                <w:lang w:val="en-GB"/>
              </w:rPr>
            </w:pPr>
            <w:r w:rsidRPr="009819CE">
              <w:rPr>
                <w:rFonts w:cstheme="minorBidi"/>
                <w:b/>
                <w:bCs/>
                <w:color w:val="000000"/>
                <w:lang w:val="en-GB"/>
              </w:rPr>
              <w:t xml:space="preserve">glmer4 </w:t>
            </w:r>
          </w:p>
        </w:tc>
        <w:tc>
          <w:tcPr>
            <w:tcW w:w="629" w:type="pct"/>
            <w:tcBorders>
              <w:left w:val="single" w:sz="4" w:space="0" w:color="BFBFBF" w:themeColor="background1" w:themeShade="BF"/>
              <w:bottom w:val="nil"/>
              <w:right w:val="single" w:sz="4" w:space="0" w:color="BFBFBF" w:themeColor="background1" w:themeShade="BF"/>
            </w:tcBorders>
            <w:hideMark/>
          </w:tcPr>
          <w:p w14:paraId="275F850A"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(Intercept)</w:t>
            </w:r>
          </w:p>
        </w:tc>
        <w:tc>
          <w:tcPr>
            <w:tcW w:w="629" w:type="pct"/>
            <w:tcBorders>
              <w:left w:val="single" w:sz="4" w:space="0" w:color="BFBFBF" w:themeColor="background1" w:themeShade="BF"/>
              <w:bottom w:val="nil"/>
              <w:right w:val="single" w:sz="4" w:space="0" w:color="BFBFBF" w:themeColor="background1" w:themeShade="BF"/>
            </w:tcBorders>
            <w:noWrap/>
            <w:hideMark/>
          </w:tcPr>
          <w:p w14:paraId="167F9472"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-1.811</w:t>
            </w:r>
          </w:p>
        </w:tc>
        <w:tc>
          <w:tcPr>
            <w:tcW w:w="472" w:type="pct"/>
            <w:tcBorders>
              <w:left w:val="single" w:sz="4" w:space="0" w:color="BFBFBF" w:themeColor="background1" w:themeShade="BF"/>
              <w:bottom w:val="nil"/>
              <w:right w:val="single" w:sz="4" w:space="0" w:color="BFBFBF" w:themeColor="background1" w:themeShade="BF"/>
            </w:tcBorders>
            <w:noWrap/>
            <w:hideMark/>
          </w:tcPr>
          <w:p w14:paraId="376E9BA7"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0.280</w:t>
            </w:r>
          </w:p>
        </w:tc>
        <w:tc>
          <w:tcPr>
            <w:tcW w:w="548" w:type="pct"/>
            <w:tcBorders>
              <w:left w:val="single" w:sz="4" w:space="0" w:color="BFBFBF" w:themeColor="background1" w:themeShade="BF"/>
              <w:bottom w:val="nil"/>
              <w:right w:val="single" w:sz="4" w:space="0" w:color="BFBFBF" w:themeColor="background1" w:themeShade="BF"/>
            </w:tcBorders>
            <w:noWrap/>
            <w:hideMark/>
          </w:tcPr>
          <w:p w14:paraId="29561F06"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-6.465</w:t>
            </w:r>
          </w:p>
        </w:tc>
        <w:tc>
          <w:tcPr>
            <w:tcW w:w="708" w:type="pct"/>
            <w:tcBorders>
              <w:left w:val="single" w:sz="4" w:space="0" w:color="BFBFBF" w:themeColor="background1" w:themeShade="BF"/>
              <w:bottom w:val="nil"/>
              <w:right w:val="single" w:sz="4" w:space="0" w:color="BFBFBF" w:themeColor="background1" w:themeShade="BF"/>
            </w:tcBorders>
            <w:noWrap/>
            <w:hideMark/>
          </w:tcPr>
          <w:p w14:paraId="67F0FC59"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1.01E-10</w:t>
            </w:r>
          </w:p>
        </w:tc>
        <w:tc>
          <w:tcPr>
            <w:tcW w:w="365" w:type="pct"/>
            <w:tcBorders>
              <w:left w:val="single" w:sz="4" w:space="0" w:color="BFBFBF" w:themeColor="background1" w:themeShade="BF"/>
              <w:bottom w:val="nil"/>
            </w:tcBorders>
            <w:noWrap/>
            <w:hideMark/>
          </w:tcPr>
          <w:p w14:paraId="230DD400"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7A18243B" w14:textId="77777777" w:rsidTr="007D6607">
        <w:trPr>
          <w:trHeight w:val="294"/>
        </w:trPr>
        <w:tc>
          <w:tcPr>
            <w:tcW w:w="1649" w:type="pct"/>
            <w:tcBorders>
              <w:top w:val="nil"/>
              <w:right w:val="single" w:sz="4" w:space="0" w:color="BFBFBF" w:themeColor="background1" w:themeShade="BF"/>
            </w:tcBorders>
            <w:noWrap/>
            <w:hideMark/>
          </w:tcPr>
          <w:p w14:paraId="3BD550A7"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ps2 ~ sex + date</w:t>
            </w:r>
          </w:p>
        </w:tc>
        <w:tc>
          <w:tcPr>
            <w:tcW w:w="629" w:type="pct"/>
            <w:tcBorders>
              <w:top w:val="nil"/>
              <w:left w:val="single" w:sz="4" w:space="0" w:color="BFBFBF" w:themeColor="background1" w:themeShade="BF"/>
              <w:right w:val="single" w:sz="4" w:space="0" w:color="BFBFBF" w:themeColor="background1" w:themeShade="BF"/>
            </w:tcBorders>
            <w:noWrap/>
            <w:hideMark/>
          </w:tcPr>
          <w:p w14:paraId="0183E8F2"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Sex M</w:t>
            </w:r>
          </w:p>
        </w:tc>
        <w:tc>
          <w:tcPr>
            <w:tcW w:w="629" w:type="pct"/>
            <w:tcBorders>
              <w:top w:val="nil"/>
              <w:left w:val="single" w:sz="4" w:space="0" w:color="BFBFBF" w:themeColor="background1" w:themeShade="BF"/>
              <w:right w:val="single" w:sz="4" w:space="0" w:color="BFBFBF" w:themeColor="background1" w:themeShade="BF"/>
            </w:tcBorders>
            <w:noWrap/>
            <w:hideMark/>
          </w:tcPr>
          <w:p w14:paraId="3C8C29F6"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-0.915</w:t>
            </w:r>
          </w:p>
        </w:tc>
        <w:tc>
          <w:tcPr>
            <w:tcW w:w="472" w:type="pct"/>
            <w:tcBorders>
              <w:top w:val="nil"/>
              <w:left w:val="single" w:sz="4" w:space="0" w:color="BFBFBF" w:themeColor="background1" w:themeShade="BF"/>
              <w:right w:val="single" w:sz="4" w:space="0" w:color="BFBFBF" w:themeColor="background1" w:themeShade="BF"/>
            </w:tcBorders>
            <w:noWrap/>
            <w:hideMark/>
          </w:tcPr>
          <w:p w14:paraId="683295FC"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0.170</w:t>
            </w:r>
          </w:p>
        </w:tc>
        <w:tc>
          <w:tcPr>
            <w:tcW w:w="548" w:type="pct"/>
            <w:tcBorders>
              <w:top w:val="nil"/>
              <w:left w:val="single" w:sz="4" w:space="0" w:color="BFBFBF" w:themeColor="background1" w:themeShade="BF"/>
              <w:right w:val="single" w:sz="4" w:space="0" w:color="BFBFBF" w:themeColor="background1" w:themeShade="BF"/>
            </w:tcBorders>
            <w:noWrap/>
            <w:hideMark/>
          </w:tcPr>
          <w:p w14:paraId="77B0E51F"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-5.392</w:t>
            </w:r>
          </w:p>
        </w:tc>
        <w:tc>
          <w:tcPr>
            <w:tcW w:w="708" w:type="pct"/>
            <w:tcBorders>
              <w:top w:val="nil"/>
              <w:left w:val="single" w:sz="4" w:space="0" w:color="BFBFBF" w:themeColor="background1" w:themeShade="BF"/>
              <w:right w:val="single" w:sz="4" w:space="0" w:color="BFBFBF" w:themeColor="background1" w:themeShade="BF"/>
            </w:tcBorders>
            <w:noWrap/>
            <w:hideMark/>
          </w:tcPr>
          <w:p w14:paraId="5852CAC6" w14:textId="77777777" w:rsidR="00F36ABA" w:rsidRPr="009819CE" w:rsidRDefault="00F36ABA" w:rsidP="007D6607">
            <w:pPr>
              <w:spacing w:after="0" w:line="240" w:lineRule="auto"/>
              <w:jc w:val="center"/>
              <w:rPr>
                <w:rFonts w:cstheme="minorBidi"/>
                <w:color w:val="000000"/>
                <w:lang w:val="en-GB"/>
              </w:rPr>
            </w:pPr>
            <w:r w:rsidRPr="009819CE">
              <w:rPr>
                <w:rFonts w:cstheme="minorBidi"/>
                <w:color w:val="000000"/>
                <w:lang w:val="en-GB"/>
              </w:rPr>
              <w:t>6.96E-08</w:t>
            </w:r>
          </w:p>
        </w:tc>
        <w:tc>
          <w:tcPr>
            <w:tcW w:w="365" w:type="pct"/>
            <w:tcBorders>
              <w:top w:val="nil"/>
              <w:left w:val="single" w:sz="4" w:space="0" w:color="BFBFBF" w:themeColor="background1" w:themeShade="BF"/>
            </w:tcBorders>
            <w:noWrap/>
            <w:hideMark/>
          </w:tcPr>
          <w:p w14:paraId="7B39F926" w14:textId="77777777" w:rsidR="00F36ABA" w:rsidRPr="009819CE" w:rsidRDefault="00F36ABA" w:rsidP="007D6607">
            <w:pPr>
              <w:spacing w:after="0" w:line="240" w:lineRule="auto"/>
              <w:jc w:val="left"/>
              <w:rPr>
                <w:rFonts w:cstheme="minorBidi"/>
                <w:color w:val="000000"/>
                <w:lang w:val="en-GB"/>
              </w:rPr>
            </w:pPr>
            <w:r w:rsidRPr="009819CE">
              <w:rPr>
                <w:rFonts w:cstheme="minorBidi"/>
                <w:color w:val="000000"/>
                <w:lang w:val="en-GB"/>
              </w:rPr>
              <w:t>***</w:t>
            </w:r>
          </w:p>
        </w:tc>
      </w:tr>
      <w:tr w:rsidR="00F36ABA" w:rsidRPr="00FA7D47" w14:paraId="3BEE194E" w14:textId="77777777" w:rsidTr="007D6607">
        <w:trPr>
          <w:trHeight w:val="294"/>
        </w:trPr>
        <w:tc>
          <w:tcPr>
            <w:tcW w:w="5000" w:type="pct"/>
            <w:gridSpan w:val="7"/>
            <w:noWrap/>
          </w:tcPr>
          <w:p w14:paraId="0B32EE56" w14:textId="1C47C84A" w:rsidR="00F36ABA" w:rsidRPr="009819CE" w:rsidRDefault="00F36ABA" w:rsidP="007D6607">
            <w:pPr>
              <w:spacing w:after="0" w:line="240" w:lineRule="auto"/>
              <w:jc w:val="left"/>
              <w:rPr>
                <w:rFonts w:cstheme="minorBidi"/>
                <w:color w:val="000000"/>
                <w:lang w:val="en-GB"/>
              </w:rPr>
            </w:pPr>
            <w:r w:rsidRPr="009819CE">
              <w:rPr>
                <w:rFonts w:cstheme="minorBidi"/>
                <w:color w:val="212121"/>
                <w:lang w:val="en-GB"/>
              </w:rPr>
              <w:t xml:space="preserve">SE = standard error; ps2=pleopod stages 1-4 combined; CL = carapace length; midx= </w:t>
            </w:r>
            <w:r w:rsidR="00C967F0" w:rsidRPr="00FA7D47">
              <w:rPr>
                <w:rFonts w:cstheme="minorBidi"/>
                <w:color w:val="212121"/>
                <w:lang w:val="en-GB"/>
              </w:rPr>
              <w:t>moult</w:t>
            </w:r>
            <w:r w:rsidRPr="009819CE">
              <w:rPr>
                <w:rFonts w:cstheme="minorBidi"/>
                <w:color w:val="212121"/>
                <w:lang w:val="en-GB"/>
              </w:rPr>
              <w:t xml:space="preserve"> index; Sex M= </w:t>
            </w:r>
            <w:r w:rsidR="005324EE">
              <w:rPr>
                <w:rFonts w:cstheme="minorBidi"/>
                <w:color w:val="212121"/>
                <w:lang w:val="en-GB"/>
              </w:rPr>
              <w:t>m</w:t>
            </w:r>
            <w:r w:rsidRPr="009819CE">
              <w:rPr>
                <w:rFonts w:cstheme="minorBidi"/>
                <w:color w:val="212121"/>
                <w:lang w:val="en-GB"/>
              </w:rPr>
              <w:t xml:space="preserve">ale </w:t>
            </w:r>
            <w:r w:rsidR="00C31E47" w:rsidRPr="009819CE">
              <w:rPr>
                <w:rFonts w:cstheme="minorBidi"/>
                <w:i/>
                <w:iCs/>
                <w:color w:val="212121"/>
                <w:lang w:val="en-GB"/>
              </w:rPr>
              <w:t>Nephrops</w:t>
            </w:r>
            <w:r w:rsidRPr="009819CE">
              <w:rPr>
                <w:rFonts w:cstheme="minorBidi"/>
                <w:color w:val="212121"/>
                <w:lang w:val="en-GB"/>
              </w:rPr>
              <w:t>.  Date as a random factor.</w:t>
            </w:r>
          </w:p>
        </w:tc>
      </w:tr>
    </w:tbl>
    <w:p w14:paraId="77D01D63" w14:textId="77777777" w:rsidR="00FA592B" w:rsidRPr="009819CE" w:rsidRDefault="00FA592B" w:rsidP="00F36ABA">
      <w:pPr>
        <w:rPr>
          <w:rFonts w:cstheme="minorBidi"/>
        </w:rPr>
        <w:sectPr w:rsidR="00FA592B" w:rsidRPr="009819CE" w:rsidSect="00FA592B">
          <w:pgSz w:w="11906" w:h="16838" w:code="9"/>
          <w:pgMar w:top="1440" w:right="1080" w:bottom="1440" w:left="1080" w:header="709" w:footer="709" w:gutter="0"/>
          <w:cols w:space="802"/>
          <w:docGrid w:linePitch="360"/>
        </w:sectPr>
      </w:pPr>
    </w:p>
    <w:p w14:paraId="169DDEFA" w14:textId="77777777" w:rsidR="00F36ABA" w:rsidRPr="009819CE" w:rsidRDefault="00F36ABA" w:rsidP="009A5465">
      <w:pPr>
        <w:pStyle w:val="Heading3"/>
        <w:rPr>
          <w:rFonts w:cstheme="minorBidi"/>
          <w:iCs/>
        </w:rPr>
      </w:pPr>
      <w:bookmarkStart w:id="216" w:name="_Toc204106624"/>
      <w:r w:rsidRPr="009819CE">
        <w:rPr>
          <w:rFonts w:cstheme="minorBidi"/>
        </w:rPr>
        <w:t>Infection and size</w:t>
      </w:r>
      <w:bookmarkEnd w:id="216"/>
    </w:p>
    <w:p w14:paraId="417FDD42" w14:textId="454A02F3" w:rsidR="00F36ABA" w:rsidRPr="009819CE" w:rsidRDefault="00F36ABA" w:rsidP="00F36ABA">
      <w:pPr>
        <w:rPr>
          <w:rFonts w:cstheme="minorBidi"/>
        </w:rPr>
      </w:pPr>
      <w:r w:rsidRPr="009819CE">
        <w:rPr>
          <w:rFonts w:cstheme="minorBidi"/>
        </w:rPr>
        <w:t xml:space="preserve">The analysis revealed that patently-infected </w:t>
      </w:r>
      <w:r w:rsidR="00C31E47" w:rsidRPr="009819CE">
        <w:rPr>
          <w:rFonts w:cstheme="minorBidi"/>
          <w:i/>
          <w:iCs/>
        </w:rPr>
        <w:t>Nephrops</w:t>
      </w:r>
      <w:r w:rsidRPr="009819CE">
        <w:rPr>
          <w:rFonts w:cstheme="minorBidi"/>
        </w:rPr>
        <w:t xml:space="preserve"> (BCM-positive) had </w:t>
      </w:r>
      <w:r w:rsidR="00E54ADD" w:rsidRPr="00FA7D47">
        <w:rPr>
          <w:rFonts w:cstheme="minorBidi"/>
        </w:rPr>
        <w:t>a mean</w:t>
      </w:r>
      <w:r w:rsidRPr="009819CE">
        <w:rPr>
          <w:rFonts w:cstheme="minorBidi"/>
        </w:rPr>
        <w:t xml:space="preserve"> carapace length (CL) of 29.2 ± 3.8 mm, which was significantly smaller than that of BCM-negative individuals with a</w:t>
      </w:r>
      <w:r w:rsidR="003E5325" w:rsidRPr="00FA7D47">
        <w:rPr>
          <w:rFonts w:cstheme="minorBidi"/>
        </w:rPr>
        <w:t xml:space="preserve"> mean</w:t>
      </w:r>
      <w:r w:rsidRPr="009819CE">
        <w:rPr>
          <w:rFonts w:cstheme="minorBidi"/>
        </w:rPr>
        <w:t xml:space="preserve"> CL of 33.8 ± 6.9 mm (Wilcoxon; cl~ bc, data=res, df=1; P= 9.3e-08) (</w:t>
      </w:r>
      <w:r w:rsidRPr="009819CE">
        <w:rPr>
          <w:rFonts w:cstheme="minorBidi"/>
        </w:rPr>
        <w:fldChar w:fldCharType="begin"/>
      </w:r>
      <w:r w:rsidRPr="009819CE">
        <w:rPr>
          <w:rFonts w:cstheme="minorBidi"/>
        </w:rPr>
        <w:instrText xml:space="preserve"> REF _Ref109246278 \h  \* MERGEFORMAT </w:instrText>
      </w:r>
      <w:r w:rsidRPr="009819CE">
        <w:rPr>
          <w:rFonts w:cstheme="minorBidi"/>
        </w:rPr>
      </w:r>
      <w:r w:rsidRPr="009819CE">
        <w:rPr>
          <w:rFonts w:cstheme="minorBidi"/>
        </w:rPr>
        <w:fldChar w:fldCharType="separate"/>
      </w:r>
      <w:r w:rsidR="008549FC" w:rsidRPr="008549FC">
        <w:rPr>
          <w:rFonts w:cstheme="minorBidi"/>
          <w:b/>
        </w:rPr>
        <w:t>Figure 2.11</w:t>
      </w:r>
      <w:r w:rsidRPr="009819CE">
        <w:rPr>
          <w:rFonts w:cstheme="minorBidi"/>
        </w:rPr>
        <w:fldChar w:fldCharType="end"/>
      </w:r>
      <w:r w:rsidRPr="009819CE">
        <w:rPr>
          <w:rFonts w:cstheme="minorBidi"/>
        </w:rPr>
        <w:t>A). This difference in size between BCM-positive and BCM-negative individuals remained significant when examining males (Wilcoxon; P= 5.1e-7) and females (Wilcoxon; P= 0.021) separately (</w:t>
      </w:r>
      <w:r w:rsidRPr="009819CE">
        <w:rPr>
          <w:rFonts w:cstheme="minorBidi"/>
        </w:rPr>
        <w:fldChar w:fldCharType="begin"/>
      </w:r>
      <w:r w:rsidRPr="009819CE">
        <w:rPr>
          <w:rFonts w:cstheme="minorBidi"/>
        </w:rPr>
        <w:instrText xml:space="preserve"> REF _Ref109243848 \h  \* MERGEFORMAT </w:instrText>
      </w:r>
      <w:r w:rsidRPr="009819CE">
        <w:rPr>
          <w:rFonts w:cstheme="minorBidi"/>
        </w:rPr>
      </w:r>
      <w:r w:rsidRPr="009819CE">
        <w:rPr>
          <w:rFonts w:cstheme="minorBidi"/>
        </w:rPr>
        <w:fldChar w:fldCharType="separate"/>
      </w:r>
      <w:r w:rsidR="008549FC" w:rsidRPr="008549FC">
        <w:rPr>
          <w:rFonts w:cstheme="minorBidi"/>
          <w:b/>
        </w:rPr>
        <w:t>Figure 2.12</w:t>
      </w:r>
      <w:r w:rsidRPr="009819CE">
        <w:rPr>
          <w:rFonts w:cstheme="minorBidi"/>
        </w:rPr>
        <w:fldChar w:fldCharType="end"/>
      </w:r>
      <w:r w:rsidRPr="009819CE">
        <w:rPr>
          <w:rFonts w:cstheme="minorBidi"/>
        </w:rPr>
        <w:t>A).</w:t>
      </w:r>
    </w:p>
    <w:p w14:paraId="61580EE8" w14:textId="237E8AC1" w:rsidR="00F36ABA" w:rsidRPr="00FA7D47" w:rsidRDefault="00F36ABA" w:rsidP="00F36ABA">
      <w:pPr>
        <w:rPr>
          <w:rFonts w:cstheme="minorBidi"/>
        </w:rPr>
      </w:pPr>
      <w:r w:rsidRPr="009819CE">
        <w:rPr>
          <w:rFonts w:cstheme="minorBidi"/>
        </w:rPr>
        <w:t xml:space="preserve">On the other hand, no significant differences in size were observed between PM-negative (non-patent) (33.5 ± 6.8 mm) and PM-positive (patent) (34.1 ± 7.2 mm) </w:t>
      </w:r>
      <w:r w:rsidR="00C31E47" w:rsidRPr="009819CE">
        <w:rPr>
          <w:rFonts w:cstheme="minorBidi"/>
          <w:i/>
        </w:rPr>
        <w:t>Nephrops</w:t>
      </w:r>
      <w:r w:rsidRPr="009819CE">
        <w:rPr>
          <w:rFonts w:cstheme="minorBidi"/>
        </w:rPr>
        <w:t xml:space="preserve"> when considering the combined sexes and combining infection stages (</w:t>
      </w:r>
      <w:r w:rsidR="00E80AF4">
        <w:rPr>
          <w:rFonts w:cstheme="minorBidi"/>
        </w:rPr>
        <w:t>t-test</w:t>
      </w:r>
      <w:r w:rsidRPr="009819CE">
        <w:rPr>
          <w:rFonts w:cstheme="minorBidi"/>
        </w:rPr>
        <w:t>: cl~ ps2, data=res, df=1; P= 0.27) (</w:t>
      </w:r>
      <w:r w:rsidRPr="009819CE">
        <w:rPr>
          <w:rFonts w:cstheme="minorBidi"/>
        </w:rPr>
        <w:fldChar w:fldCharType="begin"/>
      </w:r>
      <w:r w:rsidRPr="009819CE">
        <w:rPr>
          <w:rFonts w:cstheme="minorBidi"/>
        </w:rPr>
        <w:instrText xml:space="preserve"> REF _Ref109246278 \h  \* MERGEFORMAT </w:instrText>
      </w:r>
      <w:r w:rsidRPr="009819CE">
        <w:rPr>
          <w:rFonts w:cstheme="minorBidi"/>
        </w:rPr>
      </w:r>
      <w:r w:rsidRPr="009819CE">
        <w:rPr>
          <w:rFonts w:cstheme="minorBidi"/>
        </w:rPr>
        <w:fldChar w:fldCharType="separate"/>
      </w:r>
      <w:r w:rsidR="008549FC" w:rsidRPr="008549FC">
        <w:rPr>
          <w:rFonts w:cstheme="minorBidi"/>
          <w:b/>
        </w:rPr>
        <w:t>Figure 2.11</w:t>
      </w:r>
      <w:r w:rsidRPr="009819CE">
        <w:rPr>
          <w:rFonts w:cstheme="minorBidi"/>
        </w:rPr>
        <w:fldChar w:fldCharType="end"/>
      </w:r>
      <w:r w:rsidRPr="009819CE">
        <w:rPr>
          <w:rFonts w:cstheme="minorBidi"/>
        </w:rPr>
        <w:t>B). Similarly, no significant differences in size were found between PM-positive and PM-negative males (Wilcoxon; P= 0.86) or females (Wilcoxon; P= 0.71) (</w:t>
      </w:r>
      <w:r w:rsidRPr="009819CE">
        <w:rPr>
          <w:rFonts w:cstheme="minorBidi"/>
        </w:rPr>
        <w:fldChar w:fldCharType="begin"/>
      </w:r>
      <w:r w:rsidRPr="009819CE">
        <w:rPr>
          <w:rFonts w:cstheme="minorBidi"/>
        </w:rPr>
        <w:instrText xml:space="preserve"> REF _Ref109243848 \h  \* MERGEFORMAT </w:instrText>
      </w:r>
      <w:r w:rsidRPr="009819CE">
        <w:rPr>
          <w:rFonts w:cstheme="minorBidi"/>
        </w:rPr>
      </w:r>
      <w:r w:rsidRPr="009819CE">
        <w:rPr>
          <w:rFonts w:cstheme="minorBidi"/>
        </w:rPr>
        <w:fldChar w:fldCharType="separate"/>
      </w:r>
      <w:r w:rsidR="008549FC" w:rsidRPr="008549FC">
        <w:rPr>
          <w:rFonts w:cstheme="minorBidi"/>
          <w:b/>
        </w:rPr>
        <w:t>Figure 2.12</w:t>
      </w:r>
      <w:r w:rsidRPr="009819CE">
        <w:rPr>
          <w:rFonts w:cstheme="minorBidi"/>
        </w:rPr>
        <w:fldChar w:fldCharType="end"/>
      </w:r>
      <w:r w:rsidRPr="009819CE">
        <w:rPr>
          <w:rFonts w:cstheme="minorBidi"/>
        </w:rPr>
        <w:t>B). However, carapace lengths were significantly different among the different infection stages (Kruskal-Wallis: cl~ ps, data=res, df=4; P= 2.0e-6) (</w:t>
      </w:r>
      <w:r w:rsidRPr="009819CE">
        <w:rPr>
          <w:rFonts w:cstheme="minorBidi"/>
        </w:rPr>
        <w:fldChar w:fldCharType="begin"/>
      </w:r>
      <w:r w:rsidRPr="009819CE">
        <w:rPr>
          <w:rFonts w:cstheme="minorBidi"/>
        </w:rPr>
        <w:instrText xml:space="preserve"> REF _Ref109246278 \h  \* MERGEFORMAT </w:instrText>
      </w:r>
      <w:r w:rsidRPr="009819CE">
        <w:rPr>
          <w:rFonts w:cstheme="minorBidi"/>
        </w:rPr>
      </w:r>
      <w:r w:rsidRPr="009819CE">
        <w:rPr>
          <w:rFonts w:cstheme="minorBidi"/>
        </w:rPr>
        <w:fldChar w:fldCharType="separate"/>
      </w:r>
      <w:r w:rsidR="008549FC" w:rsidRPr="008549FC">
        <w:rPr>
          <w:rFonts w:cstheme="minorBidi"/>
          <w:b/>
        </w:rPr>
        <w:t>Figure 2.11</w:t>
      </w:r>
      <w:r w:rsidRPr="009819CE">
        <w:rPr>
          <w:rFonts w:cstheme="minorBidi"/>
        </w:rPr>
        <w:fldChar w:fldCharType="end"/>
      </w:r>
      <w:r w:rsidRPr="009819CE">
        <w:rPr>
          <w:rFonts w:cstheme="minorBidi"/>
        </w:rPr>
        <w:t xml:space="preserve">C). </w:t>
      </w:r>
      <w:r w:rsidRPr="009819CE">
        <w:rPr>
          <w:rFonts w:cstheme="minorBidi"/>
        </w:rPr>
        <w:fldChar w:fldCharType="begin"/>
      </w:r>
      <w:r w:rsidRPr="009819CE">
        <w:rPr>
          <w:rFonts w:cstheme="minorBidi"/>
        </w:rPr>
        <w:instrText xml:space="preserve"> REF _Ref109243848 \h  \* MERGEFORMAT </w:instrText>
      </w:r>
      <w:r w:rsidRPr="009819CE">
        <w:rPr>
          <w:rFonts w:cstheme="minorBidi"/>
        </w:rPr>
      </w:r>
      <w:r w:rsidRPr="009819CE">
        <w:rPr>
          <w:rFonts w:cstheme="minorBidi"/>
        </w:rPr>
        <w:fldChar w:fldCharType="separate"/>
      </w:r>
      <w:r w:rsidR="008549FC" w:rsidRPr="008549FC">
        <w:rPr>
          <w:rFonts w:cstheme="minorBidi"/>
          <w:b/>
        </w:rPr>
        <w:t>Figure 2.12</w:t>
      </w:r>
      <w:r w:rsidRPr="009819CE">
        <w:rPr>
          <w:rFonts w:cstheme="minorBidi"/>
        </w:rPr>
        <w:fldChar w:fldCharType="end"/>
      </w:r>
      <w:r w:rsidRPr="009819CE">
        <w:rPr>
          <w:rFonts w:cstheme="minorBidi"/>
        </w:rPr>
        <w:t>C illustrates the carapace lengths for each individual infection stage and sex. Notably, only females displayed significant differences between stage 0 and stages 1, 3, and 4, as well as between stage 1 and stages 2, 3, and 4 (</w:t>
      </w:r>
      <w:r w:rsidRPr="009819CE">
        <w:rPr>
          <w:rFonts w:cstheme="minorBidi"/>
        </w:rPr>
        <w:fldChar w:fldCharType="begin"/>
      </w:r>
      <w:r w:rsidRPr="009819CE">
        <w:rPr>
          <w:rFonts w:cstheme="minorBidi"/>
        </w:rPr>
        <w:instrText xml:space="preserve"> REF _Ref109243848 \h  \* MERGEFORMAT </w:instrText>
      </w:r>
      <w:r w:rsidRPr="009819CE">
        <w:rPr>
          <w:rFonts w:cstheme="minorBidi"/>
        </w:rPr>
      </w:r>
      <w:r w:rsidRPr="009819CE">
        <w:rPr>
          <w:rFonts w:cstheme="minorBidi"/>
        </w:rPr>
        <w:fldChar w:fldCharType="separate"/>
      </w:r>
      <w:r w:rsidR="008549FC" w:rsidRPr="008549FC">
        <w:rPr>
          <w:rFonts w:cstheme="minorBidi"/>
          <w:b/>
        </w:rPr>
        <w:t>Figure 2.12</w:t>
      </w:r>
      <w:r w:rsidRPr="009819CE">
        <w:rPr>
          <w:rFonts w:cstheme="minorBidi"/>
        </w:rPr>
        <w:fldChar w:fldCharType="end"/>
      </w:r>
      <w:r w:rsidRPr="009819CE">
        <w:rPr>
          <w:rFonts w:cstheme="minorBidi"/>
        </w:rPr>
        <w:t>C).</w:t>
      </w:r>
    </w:p>
    <w:p w14:paraId="0A79702F" w14:textId="77777777" w:rsidR="00CF512F" w:rsidRPr="009819CE" w:rsidRDefault="00CF512F" w:rsidP="00F36ABA">
      <w:pPr>
        <w:rPr>
          <w:rFonts w:cstheme="minorBidi"/>
        </w:rPr>
      </w:pPr>
    </w:p>
    <w:p w14:paraId="24E131FB" w14:textId="77777777" w:rsidR="00F36ABA" w:rsidRPr="00FA7D47" w:rsidRDefault="00F36ABA" w:rsidP="00F36ABA">
      <w:pPr>
        <w:rPr>
          <w:rFonts w:cstheme="minorBidi"/>
        </w:rPr>
      </w:pPr>
    </w:p>
    <w:p w14:paraId="0A40C3A2" w14:textId="77777777" w:rsidR="00CF512F" w:rsidRPr="009819CE" w:rsidRDefault="00CF512F" w:rsidP="00F36ABA">
      <w:pPr>
        <w:rPr>
          <w:rFonts w:cstheme="minorBidi"/>
        </w:rPr>
        <w:sectPr w:rsidR="00CF512F" w:rsidRPr="009819CE" w:rsidSect="003A7A28">
          <w:pgSz w:w="11906" w:h="16838" w:code="9"/>
          <w:pgMar w:top="1440" w:right="1440" w:bottom="1440" w:left="1440" w:header="709" w:footer="709" w:gutter="0"/>
          <w:cols w:space="802"/>
          <w:docGrid w:linePitch="360"/>
        </w:sect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8"/>
      </w:tblGrid>
      <w:tr w:rsidR="008D57B6" w:rsidRPr="00FA7D47" w14:paraId="50AD7B95" w14:textId="77777777" w:rsidTr="004771B4">
        <w:trPr>
          <w:trHeight w:val="3458"/>
        </w:trPr>
        <w:tc>
          <w:tcPr>
            <w:tcW w:w="5000" w:type="pct"/>
          </w:tcPr>
          <w:p w14:paraId="54DA3281" w14:textId="30D001F6" w:rsidR="00CF512F" w:rsidRPr="007268F5" w:rsidRDefault="00CF512F" w:rsidP="002064C5">
            <w:pPr>
              <w:pStyle w:val="NormalWeb"/>
              <w:rPr>
                <w:rFonts w:ascii="Times New Roman" w:hAnsi="Times New Roman"/>
                <w:lang w:val="en-GB"/>
              </w:rPr>
            </w:pPr>
            <w:r w:rsidRPr="009819CE">
              <w:t xml:space="preserve"> </w:t>
            </w:r>
            <w:r w:rsidRPr="00FF34FE">
              <w:rPr>
                <w:rFonts w:ascii="Times New Roman" w:hAnsi="Times New Roman"/>
                <w:noProof/>
              </w:rPr>
              <w:drawing>
                <wp:inline distT="0" distB="0" distL="0" distR="0" wp14:anchorId="0F5BEE86" wp14:editId="0390E16D">
                  <wp:extent cx="9529845" cy="2382803"/>
                  <wp:effectExtent l="0" t="0" r="0" b="0"/>
                  <wp:docPr id="15113066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548541" cy="2387478"/>
                          </a:xfrm>
                          <a:prstGeom prst="rect">
                            <a:avLst/>
                          </a:prstGeom>
                          <a:noFill/>
                          <a:ln>
                            <a:noFill/>
                          </a:ln>
                        </pic:spPr>
                      </pic:pic>
                    </a:graphicData>
                  </a:graphic>
                </wp:inline>
              </w:drawing>
            </w:r>
          </w:p>
          <w:p w14:paraId="719DE029" w14:textId="51D05A50" w:rsidR="00F36ABA" w:rsidRPr="009819CE" w:rsidRDefault="00F36ABA" w:rsidP="007D6607">
            <w:pPr>
              <w:spacing w:after="0" w:line="240" w:lineRule="auto"/>
              <w:jc w:val="center"/>
              <w:rPr>
                <w:rFonts w:cstheme="minorBidi"/>
                <w:lang w:val="en-GB"/>
              </w:rPr>
            </w:pPr>
          </w:p>
        </w:tc>
      </w:tr>
      <w:tr w:rsidR="008D57B6" w:rsidRPr="00FA7D47" w14:paraId="5F0DFA63" w14:textId="77777777" w:rsidTr="004771B4">
        <w:trPr>
          <w:trHeight w:val="198"/>
        </w:trPr>
        <w:tc>
          <w:tcPr>
            <w:tcW w:w="5000" w:type="pct"/>
          </w:tcPr>
          <w:p w14:paraId="2A6AD22E" w14:textId="599AAA10" w:rsidR="00F36ABA" w:rsidRPr="009819CE" w:rsidRDefault="00F36ABA" w:rsidP="007D6607">
            <w:pPr>
              <w:spacing w:line="240" w:lineRule="auto"/>
              <w:rPr>
                <w:rFonts w:cstheme="minorBidi"/>
                <w:sz w:val="22"/>
                <w:szCs w:val="22"/>
                <w:lang w:val="en-GB"/>
              </w:rPr>
            </w:pPr>
            <w:bookmarkStart w:id="217" w:name="_Ref109246278"/>
            <w:bookmarkStart w:id="218" w:name="_Ref114754259"/>
            <w:bookmarkStart w:id="219" w:name="_Toc204106717"/>
            <w:r w:rsidRPr="009819CE">
              <w:rPr>
                <w:rFonts w:cstheme="minorBidi"/>
                <w:b/>
                <w:sz w:val="22"/>
                <w:szCs w:val="22"/>
                <w:lang w:val="en-GB"/>
              </w:rPr>
              <w:t xml:space="preserve">Figure </w:t>
            </w:r>
            <w:r w:rsidRPr="007268F5">
              <w:rPr>
                <w:rFonts w:cstheme="minorBidi"/>
                <w:b/>
                <w:sz w:val="22"/>
                <w:szCs w:val="22"/>
              </w:rPr>
              <w:fldChar w:fldCharType="begin"/>
            </w:r>
            <w:r w:rsidRPr="009819CE">
              <w:rPr>
                <w:rFonts w:cstheme="minorBidi"/>
                <w:b/>
                <w:sz w:val="22"/>
                <w:szCs w:val="22"/>
                <w:lang w:val="en-GB"/>
              </w:rPr>
              <w:instrText xml:space="preserve"> STYLEREF 1 \s </w:instrText>
            </w:r>
            <w:r w:rsidRPr="007268F5">
              <w:rPr>
                <w:rFonts w:cstheme="minorBidi"/>
                <w:b/>
                <w:sz w:val="22"/>
                <w:szCs w:val="22"/>
              </w:rPr>
              <w:fldChar w:fldCharType="separate"/>
            </w:r>
            <w:r w:rsidR="008549FC">
              <w:rPr>
                <w:rFonts w:cstheme="minorBidi"/>
                <w:b/>
                <w:noProof/>
                <w:sz w:val="22"/>
                <w:szCs w:val="22"/>
                <w:lang w:val="en-GB"/>
              </w:rPr>
              <w:t>2</w:t>
            </w:r>
            <w:r w:rsidRPr="007268F5">
              <w:rPr>
                <w:rFonts w:cstheme="minorBidi"/>
                <w:b/>
                <w:sz w:val="22"/>
                <w:szCs w:val="22"/>
              </w:rPr>
              <w:fldChar w:fldCharType="end"/>
            </w:r>
            <w:r w:rsidRPr="009819CE">
              <w:rPr>
                <w:rFonts w:cstheme="minorBidi"/>
                <w:b/>
                <w:sz w:val="22"/>
                <w:szCs w:val="22"/>
                <w:lang w:val="en-GB"/>
              </w:rPr>
              <w:t>.</w:t>
            </w:r>
            <w:r w:rsidRPr="007268F5">
              <w:rPr>
                <w:rFonts w:cstheme="minorBidi"/>
                <w:b/>
                <w:sz w:val="22"/>
                <w:szCs w:val="22"/>
              </w:rPr>
              <w:fldChar w:fldCharType="begin"/>
            </w:r>
            <w:r w:rsidRPr="009819CE">
              <w:rPr>
                <w:rFonts w:cstheme="minorBidi"/>
                <w:b/>
                <w:sz w:val="22"/>
                <w:szCs w:val="22"/>
                <w:lang w:val="en-GB"/>
              </w:rPr>
              <w:instrText xml:space="preserve"> SEQ Figure \* ARABIC \s 1 </w:instrText>
            </w:r>
            <w:r w:rsidRPr="007268F5">
              <w:rPr>
                <w:rFonts w:cstheme="minorBidi"/>
                <w:b/>
                <w:sz w:val="22"/>
                <w:szCs w:val="22"/>
              </w:rPr>
              <w:fldChar w:fldCharType="separate"/>
            </w:r>
            <w:r w:rsidR="008549FC">
              <w:rPr>
                <w:rFonts w:cstheme="minorBidi"/>
                <w:b/>
                <w:noProof/>
                <w:sz w:val="22"/>
                <w:szCs w:val="22"/>
                <w:lang w:val="en-GB"/>
              </w:rPr>
              <w:t>11</w:t>
            </w:r>
            <w:r w:rsidRPr="007268F5">
              <w:rPr>
                <w:rFonts w:cstheme="minorBidi"/>
                <w:b/>
                <w:sz w:val="22"/>
                <w:szCs w:val="22"/>
              </w:rPr>
              <w:fldChar w:fldCharType="end"/>
            </w:r>
            <w:bookmarkEnd w:id="217"/>
            <w:r w:rsidRPr="009819CE">
              <w:rPr>
                <w:rFonts w:cstheme="minorBidi"/>
                <w:sz w:val="22"/>
                <w:szCs w:val="22"/>
                <w:lang w:val="en-GB"/>
              </w:rPr>
              <w:t xml:space="preserve"> </w:t>
            </w:r>
            <w:bookmarkEnd w:id="218"/>
            <w:r w:rsidR="00B5330B" w:rsidRPr="007268F5">
              <w:rPr>
                <w:sz w:val="22"/>
                <w:szCs w:val="22"/>
              </w:rPr>
              <w:t xml:space="preserve">Mean carapace length (mm) of non-infected </w:t>
            </w:r>
            <w:r w:rsidR="00223F25" w:rsidRPr="00FA7D47">
              <w:rPr>
                <w:rFonts w:cstheme="minorBidi"/>
                <w:sz w:val="22"/>
                <w:szCs w:val="22"/>
                <w:lang w:val="en-GB"/>
              </w:rPr>
              <w:t xml:space="preserve">(negative (NEG)) </w:t>
            </w:r>
            <w:r w:rsidR="00B5330B" w:rsidRPr="007268F5">
              <w:rPr>
                <w:sz w:val="22"/>
                <w:szCs w:val="22"/>
              </w:rPr>
              <w:t>and infected (</w:t>
            </w:r>
            <w:r w:rsidR="00223F25" w:rsidRPr="009819CE">
              <w:rPr>
                <w:sz w:val="22"/>
                <w:szCs w:val="22"/>
              </w:rPr>
              <w:t>positive (</w:t>
            </w:r>
            <w:r w:rsidR="00B5330B" w:rsidRPr="007268F5">
              <w:rPr>
                <w:sz w:val="22"/>
                <w:szCs w:val="22"/>
              </w:rPr>
              <w:t>POS)</w:t>
            </w:r>
            <w:r w:rsidR="00223F25" w:rsidRPr="009819CE">
              <w:rPr>
                <w:sz w:val="22"/>
                <w:szCs w:val="22"/>
              </w:rPr>
              <w:t>)</w:t>
            </w:r>
            <w:r w:rsidR="00B5330B" w:rsidRPr="007268F5">
              <w:rPr>
                <w:sz w:val="22"/>
                <w:szCs w:val="22"/>
              </w:rPr>
              <w:t xml:space="preserve"> </w:t>
            </w:r>
            <w:r w:rsidR="00B5330B" w:rsidRPr="007268F5">
              <w:rPr>
                <w:rStyle w:val="Emphasis"/>
                <w:rFonts w:eastAsiaTheme="majorEastAsia"/>
                <w:sz w:val="22"/>
                <w:szCs w:val="22"/>
              </w:rPr>
              <w:t>Nephrops</w:t>
            </w:r>
            <w:r w:rsidR="00B5330B" w:rsidRPr="007268F5">
              <w:rPr>
                <w:sz w:val="22"/>
                <w:szCs w:val="22"/>
              </w:rPr>
              <w:t xml:space="preserve"> (both sexes combined), based on: A) BCM-negative vs BCM-positive individuals, using the body-colour method (BCM); B) PM-negative vs PM-positive individuals, representing the combined infection stages </w:t>
            </w:r>
            <w:r w:rsidR="005C3DA2">
              <w:rPr>
                <w:sz w:val="22"/>
                <w:szCs w:val="22"/>
              </w:rPr>
              <w:t>S1</w:t>
            </w:r>
            <w:r w:rsidR="00B5330B" w:rsidRPr="007E6468">
              <w:rPr>
                <w:sz w:val="22"/>
                <w:szCs w:val="22"/>
              </w:rPr>
              <w:t>–</w:t>
            </w:r>
            <w:r w:rsidR="005C3DA2">
              <w:rPr>
                <w:sz w:val="22"/>
                <w:szCs w:val="22"/>
              </w:rPr>
              <w:t>S</w:t>
            </w:r>
            <w:r w:rsidR="00B5330B" w:rsidRPr="007E6468">
              <w:rPr>
                <w:sz w:val="22"/>
                <w:szCs w:val="22"/>
              </w:rPr>
              <w:t xml:space="preserve">4 identified by the pleopod method (PM); C) The individual infection stages </w:t>
            </w:r>
            <w:r w:rsidR="005C3DA2">
              <w:rPr>
                <w:sz w:val="22"/>
                <w:szCs w:val="22"/>
              </w:rPr>
              <w:t>S0</w:t>
            </w:r>
            <w:r w:rsidR="00B5330B" w:rsidRPr="007E6468">
              <w:rPr>
                <w:sz w:val="22"/>
                <w:szCs w:val="22"/>
              </w:rPr>
              <w:t>–</w:t>
            </w:r>
            <w:r w:rsidR="005C3DA2">
              <w:rPr>
                <w:sz w:val="22"/>
                <w:szCs w:val="22"/>
              </w:rPr>
              <w:t>S</w:t>
            </w:r>
            <w:r w:rsidR="00B5330B" w:rsidRPr="007E6468">
              <w:rPr>
                <w:sz w:val="22"/>
                <w:szCs w:val="22"/>
              </w:rPr>
              <w:t>4, as determined by the pleopod method (PM).</w:t>
            </w:r>
            <w:bookmarkEnd w:id="219"/>
          </w:p>
        </w:tc>
      </w:tr>
      <w:tr w:rsidR="008D57B6" w:rsidRPr="00FA7D47" w14:paraId="0C602F40" w14:textId="77777777" w:rsidTr="004771B4">
        <w:trPr>
          <w:trHeight w:val="3458"/>
        </w:trPr>
        <w:tc>
          <w:tcPr>
            <w:tcW w:w="5000" w:type="pct"/>
          </w:tcPr>
          <w:p w14:paraId="364B9357" w14:textId="13302E0E" w:rsidR="00F36ABA" w:rsidRPr="009819CE" w:rsidRDefault="004771B4" w:rsidP="007D6607">
            <w:pPr>
              <w:spacing w:after="0" w:line="240" w:lineRule="auto"/>
              <w:jc w:val="center"/>
              <w:rPr>
                <w:rFonts w:cstheme="minorBidi"/>
                <w:lang w:val="en-GB"/>
              </w:rPr>
            </w:pPr>
            <w:r w:rsidRPr="00FF34FE">
              <w:rPr>
                <w:noProof/>
              </w:rPr>
              <w:drawing>
                <wp:inline distT="0" distB="0" distL="0" distR="0" wp14:anchorId="74D351D2" wp14:editId="394E52B1">
                  <wp:extent cx="9688412" cy="2767848"/>
                  <wp:effectExtent l="0" t="0" r="0" b="0"/>
                  <wp:docPr id="3210281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695894" cy="2769985"/>
                          </a:xfrm>
                          <a:prstGeom prst="rect">
                            <a:avLst/>
                          </a:prstGeom>
                          <a:noFill/>
                          <a:ln>
                            <a:noFill/>
                          </a:ln>
                        </pic:spPr>
                      </pic:pic>
                    </a:graphicData>
                  </a:graphic>
                </wp:inline>
              </w:drawing>
            </w:r>
          </w:p>
        </w:tc>
      </w:tr>
      <w:tr w:rsidR="008D57B6" w:rsidRPr="00FA7D47" w14:paraId="0B9B0413" w14:textId="77777777" w:rsidTr="007268F5">
        <w:trPr>
          <w:trHeight w:val="607"/>
        </w:trPr>
        <w:tc>
          <w:tcPr>
            <w:tcW w:w="5000" w:type="pct"/>
          </w:tcPr>
          <w:p w14:paraId="61015808" w14:textId="0DF0F86C" w:rsidR="00F36ABA" w:rsidRPr="009819CE" w:rsidRDefault="00F36ABA" w:rsidP="007D6607">
            <w:pPr>
              <w:spacing w:line="240" w:lineRule="auto"/>
              <w:rPr>
                <w:rFonts w:cstheme="minorBidi"/>
                <w:sz w:val="22"/>
                <w:szCs w:val="22"/>
                <w:lang w:val="en-GB"/>
              </w:rPr>
            </w:pPr>
            <w:bookmarkStart w:id="220" w:name="_Ref109243848"/>
            <w:bookmarkStart w:id="221" w:name="_Toc204106718"/>
            <w:r w:rsidRPr="009819CE">
              <w:rPr>
                <w:rFonts w:cstheme="minorBidi"/>
                <w:b/>
                <w:sz w:val="22"/>
                <w:szCs w:val="22"/>
                <w:lang w:val="en-GB"/>
              </w:rPr>
              <w:t>Figure 2.</w:t>
            </w:r>
            <w:r w:rsidRPr="007268F5">
              <w:rPr>
                <w:rFonts w:cstheme="minorBidi"/>
                <w:b/>
                <w:sz w:val="22"/>
                <w:szCs w:val="22"/>
              </w:rPr>
              <w:fldChar w:fldCharType="begin"/>
            </w:r>
            <w:r w:rsidRPr="009819CE">
              <w:rPr>
                <w:rFonts w:cstheme="minorBidi"/>
                <w:b/>
                <w:sz w:val="22"/>
                <w:szCs w:val="22"/>
                <w:lang w:val="en-GB"/>
              </w:rPr>
              <w:instrText xml:space="preserve"> SEQ Figure \* ARABIC \s 1 </w:instrText>
            </w:r>
            <w:r w:rsidRPr="007268F5">
              <w:rPr>
                <w:rFonts w:cstheme="minorBidi"/>
                <w:b/>
                <w:sz w:val="22"/>
                <w:szCs w:val="22"/>
              </w:rPr>
              <w:fldChar w:fldCharType="separate"/>
            </w:r>
            <w:r w:rsidR="008549FC">
              <w:rPr>
                <w:rFonts w:cstheme="minorBidi"/>
                <w:b/>
                <w:noProof/>
                <w:sz w:val="22"/>
                <w:szCs w:val="22"/>
                <w:lang w:val="en-GB"/>
              </w:rPr>
              <w:t>12</w:t>
            </w:r>
            <w:r w:rsidRPr="007268F5">
              <w:rPr>
                <w:rFonts w:cstheme="minorBidi"/>
                <w:b/>
                <w:sz w:val="22"/>
                <w:szCs w:val="22"/>
              </w:rPr>
              <w:fldChar w:fldCharType="end"/>
            </w:r>
            <w:bookmarkEnd w:id="220"/>
            <w:r w:rsidRPr="009819CE">
              <w:rPr>
                <w:rFonts w:cstheme="minorBidi"/>
                <w:sz w:val="22"/>
                <w:szCs w:val="22"/>
                <w:lang w:val="en-GB"/>
              </w:rPr>
              <w:t xml:space="preserve"> </w:t>
            </w:r>
            <w:r w:rsidR="00FE72D0" w:rsidRPr="007268F5">
              <w:rPr>
                <w:sz w:val="22"/>
                <w:szCs w:val="22"/>
              </w:rPr>
              <w:t>Mean carapace length (mm) of non-infected</w:t>
            </w:r>
            <w:r w:rsidR="00E576D1" w:rsidRPr="007268F5">
              <w:rPr>
                <w:sz w:val="22"/>
                <w:szCs w:val="22"/>
              </w:rPr>
              <w:t xml:space="preserve"> </w:t>
            </w:r>
            <w:r w:rsidR="00E576D1" w:rsidRPr="00FA7D47">
              <w:rPr>
                <w:rFonts w:cstheme="minorBidi"/>
                <w:sz w:val="22"/>
                <w:szCs w:val="22"/>
                <w:lang w:val="en-GB"/>
              </w:rPr>
              <w:t xml:space="preserve">(negative (NEG) </w:t>
            </w:r>
            <w:r w:rsidR="00FE72D0" w:rsidRPr="007268F5">
              <w:rPr>
                <w:sz w:val="22"/>
                <w:szCs w:val="22"/>
              </w:rPr>
              <w:t xml:space="preserve">and infected </w:t>
            </w:r>
            <w:r w:rsidR="00E576D1" w:rsidRPr="00FA7D47">
              <w:rPr>
                <w:rFonts w:cstheme="minorBidi"/>
                <w:sz w:val="22"/>
                <w:szCs w:val="22"/>
                <w:lang w:val="en-GB"/>
              </w:rPr>
              <w:t xml:space="preserve">(positive (POS)) </w:t>
            </w:r>
            <w:r w:rsidR="00FE72D0" w:rsidRPr="007268F5">
              <w:rPr>
                <w:sz w:val="22"/>
                <w:szCs w:val="22"/>
              </w:rPr>
              <w:t xml:space="preserve">female and male </w:t>
            </w:r>
            <w:r w:rsidR="00FE72D0" w:rsidRPr="007268F5">
              <w:rPr>
                <w:rStyle w:val="Emphasis"/>
                <w:rFonts w:eastAsiaTheme="majorEastAsia"/>
                <w:sz w:val="22"/>
                <w:szCs w:val="22"/>
              </w:rPr>
              <w:t>Nephrops</w:t>
            </w:r>
            <w:r w:rsidR="00FE72D0" w:rsidRPr="007268F5">
              <w:rPr>
                <w:sz w:val="22"/>
                <w:szCs w:val="22"/>
              </w:rPr>
              <w:t xml:space="preserve">, based on: A) BCM-negative vs BCM-positive individuals, using the body-colour method (BCM); B) PM-negative vs PM-positive individuals, representing the combined infection stages </w:t>
            </w:r>
            <w:r w:rsidR="005C3DA2">
              <w:rPr>
                <w:sz w:val="22"/>
                <w:szCs w:val="22"/>
              </w:rPr>
              <w:t>S</w:t>
            </w:r>
            <w:r w:rsidR="00FE72D0" w:rsidRPr="007E6468">
              <w:rPr>
                <w:sz w:val="22"/>
                <w:szCs w:val="22"/>
              </w:rPr>
              <w:t>1–</w:t>
            </w:r>
            <w:r w:rsidR="005C3DA2">
              <w:rPr>
                <w:sz w:val="22"/>
                <w:szCs w:val="22"/>
              </w:rPr>
              <w:t>S</w:t>
            </w:r>
            <w:r w:rsidR="00FE72D0" w:rsidRPr="007E6468">
              <w:rPr>
                <w:sz w:val="22"/>
                <w:szCs w:val="22"/>
              </w:rPr>
              <w:t xml:space="preserve">4 identified by the pleopod method (PM); C) The individual infection stages </w:t>
            </w:r>
            <w:r w:rsidR="005C3DA2">
              <w:rPr>
                <w:sz w:val="22"/>
                <w:szCs w:val="22"/>
              </w:rPr>
              <w:t>S0</w:t>
            </w:r>
            <w:r w:rsidR="00FE72D0" w:rsidRPr="007E6468">
              <w:rPr>
                <w:sz w:val="22"/>
                <w:szCs w:val="22"/>
              </w:rPr>
              <w:t>–</w:t>
            </w:r>
            <w:r w:rsidR="005C3DA2">
              <w:rPr>
                <w:sz w:val="22"/>
                <w:szCs w:val="22"/>
              </w:rPr>
              <w:t>S</w:t>
            </w:r>
            <w:r w:rsidR="00FE72D0" w:rsidRPr="007E6468">
              <w:rPr>
                <w:sz w:val="22"/>
                <w:szCs w:val="22"/>
              </w:rPr>
              <w:t>4, as determined by the pleopod method (PM).</w:t>
            </w:r>
            <w:bookmarkEnd w:id="221"/>
          </w:p>
        </w:tc>
      </w:tr>
    </w:tbl>
    <w:p w14:paraId="54F80639" w14:textId="77777777" w:rsidR="00F36ABA" w:rsidRPr="009819CE" w:rsidRDefault="00F36ABA" w:rsidP="00F36ABA">
      <w:pPr>
        <w:rPr>
          <w:rFonts w:cstheme="minorBidi"/>
        </w:rPr>
        <w:sectPr w:rsidR="00F36ABA" w:rsidRPr="009819CE" w:rsidSect="007268F5">
          <w:pgSz w:w="16838" w:h="11906" w:orient="landscape" w:code="9"/>
          <w:pgMar w:top="720" w:right="720" w:bottom="720" w:left="720" w:header="283" w:footer="283" w:gutter="0"/>
          <w:cols w:space="802"/>
          <w:docGrid w:linePitch="360"/>
        </w:sectPr>
      </w:pPr>
    </w:p>
    <w:p w14:paraId="4A1390D3" w14:textId="6AD71ABB" w:rsidR="00F36ABA" w:rsidRPr="009819CE" w:rsidRDefault="00F36ABA" w:rsidP="00F36ABA">
      <w:pPr>
        <w:rPr>
          <w:rFonts w:cstheme="minorBidi"/>
        </w:rPr>
      </w:pPr>
      <w:r w:rsidRPr="009819CE">
        <w:rPr>
          <w:rFonts w:cstheme="minorBidi"/>
        </w:rPr>
        <w:t xml:space="preserve">The size distribution of patently-infected and non-patent individuals based on BCM and PM is shown in </w:t>
      </w:r>
      <w:r w:rsidRPr="009819CE">
        <w:rPr>
          <w:rFonts w:cstheme="minorBidi"/>
        </w:rPr>
        <w:fldChar w:fldCharType="begin"/>
      </w:r>
      <w:r w:rsidRPr="009819CE">
        <w:rPr>
          <w:rFonts w:cstheme="minorBidi"/>
        </w:rPr>
        <w:instrText xml:space="preserve"> REF _Ref111548334 \h  \* MERGEFORMAT </w:instrText>
      </w:r>
      <w:r w:rsidRPr="009819CE">
        <w:rPr>
          <w:rFonts w:cstheme="minorBidi"/>
        </w:rPr>
      </w:r>
      <w:r w:rsidRPr="009819CE">
        <w:rPr>
          <w:rFonts w:cstheme="minorBidi"/>
        </w:rPr>
        <w:fldChar w:fldCharType="separate"/>
      </w:r>
      <w:r w:rsidR="008549FC" w:rsidRPr="008549FC">
        <w:rPr>
          <w:rFonts w:cstheme="minorBidi"/>
          <w:b/>
          <w:bCs/>
        </w:rPr>
        <w:t>Figure 2.13</w:t>
      </w:r>
      <w:r w:rsidRPr="009819CE">
        <w:rPr>
          <w:rFonts w:cstheme="minorBidi"/>
        </w:rPr>
        <w:fldChar w:fldCharType="end"/>
      </w:r>
      <w:r w:rsidRPr="009819CE">
        <w:rPr>
          <w:rFonts w:cstheme="minorBidi"/>
        </w:rPr>
        <w:t xml:space="preserve">. The top panels show that patent infection (BCM positive) peaked in </w:t>
      </w:r>
      <w:r w:rsidR="00C31E47" w:rsidRPr="009819CE">
        <w:rPr>
          <w:rFonts w:cstheme="minorBidi"/>
          <w:i/>
          <w:iCs/>
        </w:rPr>
        <w:t>Nephrops</w:t>
      </w:r>
      <w:r w:rsidRPr="009819CE">
        <w:rPr>
          <w:rFonts w:cstheme="minorBidi"/>
        </w:rPr>
        <w:t xml:space="preserve"> with a carapace length (CL) ranging from 22 to 32 mm. In contrast, the bottom panels, representing the PM results, reveal a wider size distribution of animals at infection stage 1 for both males (24.1-52.5 mm) and females (22.7-52 mm). As the infection stage increased, this size distribution narrowed, and all males and females at stage 3 had a CL below 32.5 mm. Therefore, the data suggest that disease progression, rather than prevalence, may be associated with smaller individuals.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1C847550" w14:textId="77777777" w:rsidTr="007D6607">
        <w:trPr>
          <w:trHeight w:val="7710"/>
        </w:trPr>
        <w:tc>
          <w:tcPr>
            <w:tcW w:w="5000" w:type="pct"/>
          </w:tcPr>
          <w:p w14:paraId="78004A57" w14:textId="2BC4526C" w:rsidR="00E608B9" w:rsidRPr="007268F5" w:rsidRDefault="00E608B9" w:rsidP="00E608B9">
            <w:pPr>
              <w:spacing w:before="100" w:beforeAutospacing="1" w:after="100" w:afterAutospacing="1" w:line="240" w:lineRule="auto"/>
              <w:jc w:val="left"/>
              <w:rPr>
                <w:rFonts w:ascii="Times New Roman" w:hAnsi="Times New Roman"/>
                <w:lang w:val="en-GB"/>
              </w:rPr>
            </w:pPr>
            <w:r w:rsidRPr="00FF34FE">
              <w:rPr>
                <w:rFonts w:ascii="Times New Roman" w:hAnsi="Times New Roman"/>
                <w:noProof/>
              </w:rPr>
              <w:drawing>
                <wp:inline distT="0" distB="0" distL="0" distR="0" wp14:anchorId="5FAC81E6" wp14:editId="42E15394">
                  <wp:extent cx="5454650" cy="4848511"/>
                  <wp:effectExtent l="0" t="0" r="0" b="9525"/>
                  <wp:docPr id="7901618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57489" cy="4851034"/>
                          </a:xfrm>
                          <a:prstGeom prst="rect">
                            <a:avLst/>
                          </a:prstGeom>
                          <a:noFill/>
                          <a:ln>
                            <a:noFill/>
                          </a:ln>
                        </pic:spPr>
                      </pic:pic>
                    </a:graphicData>
                  </a:graphic>
                </wp:inline>
              </w:drawing>
            </w:r>
          </w:p>
          <w:p w14:paraId="6BA7B981" w14:textId="554E13D7" w:rsidR="00F36ABA" w:rsidRPr="007268F5" w:rsidRDefault="00F36ABA" w:rsidP="007268F5">
            <w:pPr>
              <w:spacing w:before="100" w:beforeAutospacing="1" w:after="100" w:afterAutospacing="1" w:line="240" w:lineRule="auto"/>
              <w:jc w:val="left"/>
              <w:rPr>
                <w:rFonts w:ascii="Times New Roman" w:hAnsi="Times New Roman"/>
                <w:lang w:val="en-GB"/>
              </w:rPr>
            </w:pPr>
          </w:p>
        </w:tc>
      </w:tr>
      <w:tr w:rsidR="00F36ABA" w:rsidRPr="00FA7D47" w14:paraId="1957AD40" w14:textId="77777777" w:rsidTr="007D6607">
        <w:trPr>
          <w:trHeight w:val="680"/>
        </w:trPr>
        <w:tc>
          <w:tcPr>
            <w:tcW w:w="5000" w:type="pct"/>
          </w:tcPr>
          <w:p w14:paraId="209543D3" w14:textId="3B0B2CF8" w:rsidR="00F36ABA" w:rsidRPr="009819CE" w:rsidRDefault="00F36ABA" w:rsidP="007D6607">
            <w:pPr>
              <w:rPr>
                <w:rFonts w:cstheme="minorBidi"/>
                <w:sz w:val="22"/>
                <w:szCs w:val="22"/>
                <w:lang w:val="en-GB"/>
              </w:rPr>
            </w:pPr>
            <w:bookmarkStart w:id="222" w:name="_Ref111548334"/>
            <w:bookmarkStart w:id="223" w:name="_Toc204106719"/>
            <w:r w:rsidRPr="009819CE">
              <w:rPr>
                <w:rFonts w:cstheme="minorBidi"/>
                <w:b/>
                <w:bCs/>
                <w:sz w:val="22"/>
                <w:szCs w:val="22"/>
                <w:lang w:val="en-GB"/>
              </w:rPr>
              <w:t>Figure 2.</w:t>
            </w:r>
            <w:r w:rsidRPr="007268F5">
              <w:rPr>
                <w:rFonts w:cstheme="minorBidi"/>
                <w:b/>
                <w:bCs/>
                <w:sz w:val="22"/>
                <w:szCs w:val="22"/>
              </w:rPr>
              <w:fldChar w:fldCharType="begin"/>
            </w:r>
            <w:r w:rsidRPr="009819CE">
              <w:rPr>
                <w:rFonts w:cstheme="minorBidi"/>
                <w:b/>
                <w:bCs/>
                <w:sz w:val="22"/>
                <w:szCs w:val="22"/>
                <w:lang w:val="en-GB"/>
              </w:rPr>
              <w:instrText xml:space="preserve"> SEQ Figure \* ARABIC \s 1 </w:instrText>
            </w:r>
            <w:r w:rsidRPr="007268F5">
              <w:rPr>
                <w:rFonts w:cstheme="minorBidi"/>
                <w:b/>
                <w:bCs/>
                <w:sz w:val="22"/>
                <w:szCs w:val="22"/>
              </w:rPr>
              <w:fldChar w:fldCharType="separate"/>
            </w:r>
            <w:r w:rsidR="008549FC">
              <w:rPr>
                <w:rFonts w:cstheme="minorBidi"/>
                <w:b/>
                <w:bCs/>
                <w:noProof/>
                <w:sz w:val="22"/>
                <w:szCs w:val="22"/>
                <w:lang w:val="en-GB"/>
              </w:rPr>
              <w:t>13</w:t>
            </w:r>
            <w:r w:rsidRPr="007268F5">
              <w:rPr>
                <w:rFonts w:cstheme="minorBidi"/>
                <w:b/>
                <w:bCs/>
                <w:sz w:val="22"/>
                <w:szCs w:val="22"/>
              </w:rPr>
              <w:fldChar w:fldCharType="end"/>
            </w:r>
            <w:bookmarkEnd w:id="222"/>
            <w:r w:rsidRPr="009819CE">
              <w:rPr>
                <w:rFonts w:cstheme="minorBidi"/>
                <w:sz w:val="22"/>
                <w:szCs w:val="22"/>
                <w:lang w:val="en-GB"/>
              </w:rPr>
              <w:t xml:space="preserve"> Size distribution of </w:t>
            </w:r>
            <w:r w:rsidR="00C31E47" w:rsidRPr="009819CE">
              <w:rPr>
                <w:rFonts w:cstheme="minorBidi"/>
                <w:i/>
                <w:iCs/>
                <w:sz w:val="22"/>
                <w:szCs w:val="22"/>
                <w:lang w:val="en-GB"/>
              </w:rPr>
              <w:t>Nephrops</w:t>
            </w:r>
            <w:r w:rsidRPr="009819CE">
              <w:rPr>
                <w:rFonts w:cstheme="minorBidi"/>
                <w:sz w:val="22"/>
                <w:szCs w:val="22"/>
                <w:lang w:val="en-GB"/>
              </w:rPr>
              <w:t xml:space="preserve"> females and males with infection, based on body colour (BCM) and pleopod method (PM-stages 1-4 combined).</w:t>
            </w:r>
            <w:r w:rsidR="001D2FA9" w:rsidRPr="00FA7D47">
              <w:rPr>
                <w:rFonts w:cstheme="minorBidi"/>
                <w:sz w:val="22"/>
                <w:szCs w:val="22"/>
                <w:lang w:val="en-GB"/>
              </w:rPr>
              <w:t xml:space="preserve"> </w:t>
            </w:r>
            <w:r w:rsidR="00BF7012" w:rsidRPr="00FA7D47">
              <w:rPr>
                <w:rFonts w:cstheme="minorBidi"/>
                <w:sz w:val="22"/>
                <w:szCs w:val="22"/>
                <w:lang w:val="en-GB"/>
              </w:rPr>
              <w:t>S0/</w:t>
            </w:r>
            <w:r w:rsidR="001D2FA9" w:rsidRPr="00FA7D47">
              <w:rPr>
                <w:rFonts w:cstheme="minorBidi"/>
                <w:sz w:val="22"/>
                <w:szCs w:val="22"/>
                <w:lang w:val="en-GB"/>
              </w:rPr>
              <w:t xml:space="preserve">NEG </w:t>
            </w:r>
            <w:r w:rsidR="00BF7012" w:rsidRPr="00FA7D47">
              <w:rPr>
                <w:rFonts w:cstheme="minorBidi"/>
                <w:sz w:val="22"/>
                <w:szCs w:val="22"/>
                <w:lang w:val="en-GB"/>
              </w:rPr>
              <w:t xml:space="preserve">are </w:t>
            </w:r>
            <w:r w:rsidR="00BF7012" w:rsidRPr="007268F5">
              <w:rPr>
                <w:rFonts w:cstheme="minorBidi"/>
                <w:i/>
                <w:iCs/>
                <w:sz w:val="22"/>
                <w:szCs w:val="22"/>
              </w:rPr>
              <w:t>Hematodinium</w:t>
            </w:r>
            <w:r w:rsidR="00BF7012" w:rsidRPr="00FA7D47">
              <w:rPr>
                <w:rFonts w:cstheme="minorBidi"/>
                <w:sz w:val="22"/>
                <w:szCs w:val="22"/>
                <w:lang w:val="en-GB"/>
              </w:rPr>
              <w:t xml:space="preserve"> negative </w:t>
            </w:r>
            <w:r w:rsidR="001D2FA9" w:rsidRPr="00FA7D47">
              <w:rPr>
                <w:rFonts w:cstheme="minorBidi"/>
                <w:sz w:val="22"/>
                <w:szCs w:val="22"/>
                <w:lang w:val="en-GB"/>
              </w:rPr>
              <w:t xml:space="preserve">by </w:t>
            </w:r>
            <w:r w:rsidR="00653DFA" w:rsidRPr="00FA7D47">
              <w:rPr>
                <w:rFonts w:cstheme="minorBidi"/>
                <w:sz w:val="22"/>
                <w:szCs w:val="22"/>
                <w:lang w:val="en-GB"/>
              </w:rPr>
              <w:t>pleopod method (</w:t>
            </w:r>
            <w:r w:rsidR="001D2FA9" w:rsidRPr="00FA7D47">
              <w:rPr>
                <w:rFonts w:cstheme="minorBidi"/>
                <w:sz w:val="22"/>
                <w:szCs w:val="22"/>
                <w:lang w:val="en-GB"/>
              </w:rPr>
              <w:t>PM</w:t>
            </w:r>
            <w:r w:rsidR="00653DFA" w:rsidRPr="00FA7D47">
              <w:rPr>
                <w:rFonts w:cstheme="minorBidi"/>
                <w:sz w:val="22"/>
                <w:szCs w:val="22"/>
                <w:lang w:val="en-GB"/>
              </w:rPr>
              <w:t>)</w:t>
            </w:r>
            <w:r w:rsidR="001D2FA9" w:rsidRPr="00FA7D47">
              <w:rPr>
                <w:rFonts w:cstheme="minorBidi"/>
                <w:sz w:val="22"/>
                <w:szCs w:val="22"/>
                <w:lang w:val="en-GB"/>
              </w:rPr>
              <w:t>.</w:t>
            </w:r>
            <w:bookmarkEnd w:id="223"/>
            <w:r w:rsidR="001D2FA9" w:rsidRPr="00FA7D47">
              <w:rPr>
                <w:rFonts w:cstheme="minorBidi"/>
                <w:sz w:val="22"/>
                <w:szCs w:val="22"/>
                <w:lang w:val="en-GB"/>
              </w:rPr>
              <w:t xml:space="preserve"> </w:t>
            </w:r>
          </w:p>
        </w:tc>
      </w:tr>
    </w:tbl>
    <w:p w14:paraId="630BC126" w14:textId="77777777" w:rsidR="00D15123" w:rsidRPr="009819CE" w:rsidRDefault="00D15123" w:rsidP="00F36ABA">
      <w:pPr>
        <w:rPr>
          <w:rFonts w:cstheme="minorBidi"/>
        </w:rPr>
        <w:sectPr w:rsidR="00D15123" w:rsidRPr="009819CE" w:rsidSect="003A7A28">
          <w:pgSz w:w="11906" w:h="16838" w:code="9"/>
          <w:pgMar w:top="1440" w:right="1440" w:bottom="1440" w:left="1440" w:header="709" w:footer="709" w:gutter="0"/>
          <w:cols w:space="802"/>
          <w:docGrid w:linePitch="360"/>
        </w:sectPr>
      </w:pPr>
    </w:p>
    <w:p w14:paraId="4F1FEF02" w14:textId="0F1A1262" w:rsidR="00F36ABA" w:rsidRPr="009819CE" w:rsidRDefault="00F36ABA" w:rsidP="009A5465">
      <w:pPr>
        <w:pStyle w:val="Heading3"/>
        <w:rPr>
          <w:rFonts w:cstheme="minorBidi"/>
          <w:iCs/>
        </w:rPr>
      </w:pPr>
      <w:bookmarkStart w:id="224" w:name="_Toc204106625"/>
      <w:r w:rsidRPr="009819CE">
        <w:rPr>
          <w:rFonts w:cstheme="minorBidi"/>
        </w:rPr>
        <w:t xml:space="preserve">Infection and </w:t>
      </w:r>
      <w:r w:rsidR="00C967F0" w:rsidRPr="00FA7D47">
        <w:rPr>
          <w:rFonts w:cstheme="minorBidi"/>
        </w:rPr>
        <w:t>moult</w:t>
      </w:r>
      <w:bookmarkEnd w:id="224"/>
      <w:r w:rsidRPr="009819CE">
        <w:rPr>
          <w:rFonts w:cstheme="minorBidi"/>
        </w:rPr>
        <w:t xml:space="preserve"> </w:t>
      </w:r>
    </w:p>
    <w:p w14:paraId="1721045C" w14:textId="3E9015EE" w:rsidR="00F36ABA" w:rsidRPr="009819CE" w:rsidRDefault="00F36ABA" w:rsidP="00F36ABA">
      <w:pPr>
        <w:rPr>
          <w:rFonts w:cstheme="minorBidi"/>
        </w:rPr>
      </w:pPr>
      <w:r w:rsidRPr="009819CE">
        <w:rPr>
          <w:rFonts w:cstheme="minorBidi"/>
        </w:rPr>
        <w:t xml:space="preserve">The role of a soft exoskeleton in acquiring </w:t>
      </w:r>
      <w:r w:rsidR="009D03F4" w:rsidRPr="009819CE">
        <w:rPr>
          <w:rFonts w:cstheme="minorBidi"/>
          <w:i/>
          <w:iCs/>
        </w:rPr>
        <w:t>Hematodinium</w:t>
      </w:r>
      <w:r w:rsidRPr="009819CE">
        <w:rPr>
          <w:rFonts w:cstheme="minorBidi"/>
        </w:rPr>
        <w:t xml:space="preserve"> sp. infection appears to be significant. The </w:t>
      </w:r>
      <w:r w:rsidR="00C967F0" w:rsidRPr="00FA7D47">
        <w:rPr>
          <w:rFonts w:cstheme="minorBidi"/>
        </w:rPr>
        <w:t>moult</w:t>
      </w:r>
      <w:r w:rsidRPr="009819CE">
        <w:rPr>
          <w:rFonts w:cstheme="minorBidi"/>
        </w:rPr>
        <w:t xml:space="preserve"> index, based on carapace hardness, was found to be a significant factor according to PM ("ps2"-stages 1-4 combined) (Kruskal-Wallis: ps2~midx, data=res, df=2; </w:t>
      </w:r>
      <w:r w:rsidR="00997FC6" w:rsidRPr="00FA7D47">
        <w:rPr>
          <w:rFonts w:cstheme="minorBidi"/>
        </w:rPr>
        <w:t>p&lt;0.05</w:t>
      </w:r>
      <w:r w:rsidRPr="009819CE">
        <w:rPr>
          <w:rFonts w:cstheme="minorBidi"/>
        </w:rPr>
        <w:t xml:space="preserve">). "Soft" individuals, as determined by the </w:t>
      </w:r>
      <w:r w:rsidR="00C967F0" w:rsidRPr="00FA7D47">
        <w:rPr>
          <w:rFonts w:cstheme="minorBidi"/>
        </w:rPr>
        <w:t>moult</w:t>
      </w:r>
      <w:r w:rsidRPr="009819CE">
        <w:rPr>
          <w:rFonts w:cstheme="minorBidi"/>
        </w:rPr>
        <w:t xml:space="preserve"> index, were more susceptible to PM infection ("ps2"-stages 1-4 combined) compared to "hard" individuals (Wilcoxon; </w:t>
      </w:r>
      <w:r w:rsidR="003B636F" w:rsidRPr="00FA7D47">
        <w:rPr>
          <w:rFonts w:cstheme="minorBidi"/>
        </w:rPr>
        <w:t>p&lt;0.05</w:t>
      </w:r>
      <w:r w:rsidRPr="009819CE">
        <w:rPr>
          <w:rFonts w:cstheme="minorBidi"/>
        </w:rPr>
        <w:t xml:space="preserve">). However, when the p-value was corrected using the Bonferroni method, these differences became non-significant (Wilcoxon; </w:t>
      </w:r>
      <w:r w:rsidR="003B636F" w:rsidRPr="00FA7D47">
        <w:rPr>
          <w:rFonts w:cstheme="minorBidi"/>
        </w:rPr>
        <w:t>p&gt;0.05</w:t>
      </w:r>
      <w:r w:rsidRPr="009819CE">
        <w:rPr>
          <w:rFonts w:cstheme="minorBidi"/>
        </w:rPr>
        <w:t xml:space="preserve">). The </w:t>
      </w:r>
      <w:r w:rsidR="00C967F0" w:rsidRPr="00FA7D47">
        <w:rPr>
          <w:rFonts w:cstheme="minorBidi"/>
        </w:rPr>
        <w:t>moult</w:t>
      </w:r>
      <w:r w:rsidRPr="009819CE">
        <w:rPr>
          <w:rFonts w:cstheme="minorBidi"/>
        </w:rPr>
        <w:t xml:space="preserve"> index was not a significant factor when considering the different infection stages by PM (ANOVA; ps~midx, data=res, df=2;</w:t>
      </w:r>
      <w:r w:rsidR="00020235" w:rsidRPr="00FA7D47">
        <w:rPr>
          <w:rFonts w:cstheme="minorBidi"/>
        </w:rPr>
        <w:t>p</w:t>
      </w:r>
      <w:r w:rsidR="00997FC6" w:rsidRPr="00FA7D47">
        <w:rPr>
          <w:rFonts w:cstheme="minorBidi"/>
        </w:rPr>
        <w:t>&gt;0.05</w:t>
      </w:r>
      <w:r w:rsidRPr="009819CE">
        <w:rPr>
          <w:rFonts w:cstheme="minorBidi"/>
        </w:rPr>
        <w:t xml:space="preserve">). Similarly, the </w:t>
      </w:r>
      <w:r w:rsidR="00C967F0" w:rsidRPr="00FA7D47">
        <w:rPr>
          <w:rFonts w:cstheme="minorBidi"/>
        </w:rPr>
        <w:t>moult</w:t>
      </w:r>
      <w:r w:rsidRPr="009819CE">
        <w:rPr>
          <w:rFonts w:cstheme="minorBidi"/>
        </w:rPr>
        <w:t xml:space="preserve"> index was not a significant factor in BCM infection (ANOVA; bc~midx, data=res, df=2; </w:t>
      </w:r>
      <w:r w:rsidR="00997FC6" w:rsidRPr="00FA7D47">
        <w:rPr>
          <w:rFonts w:cstheme="minorBidi"/>
        </w:rPr>
        <w:t>p&gt;0.05</w:t>
      </w:r>
      <w:r w:rsidRPr="009819CE">
        <w:rPr>
          <w:rFonts w:cstheme="minorBidi"/>
        </w:rPr>
        <w:t xml:space="preserve">). Furthermore, the </w:t>
      </w:r>
      <w:r w:rsidR="00C967F0" w:rsidRPr="00FA7D47">
        <w:rPr>
          <w:rFonts w:cstheme="minorBidi"/>
        </w:rPr>
        <w:t>moult</w:t>
      </w:r>
      <w:r w:rsidRPr="009819CE">
        <w:rPr>
          <w:rFonts w:cstheme="minorBidi"/>
        </w:rPr>
        <w:t xml:space="preserve"> stage, evaluated by examining pleopod morphology under a microscope, was not a significant factor in BCM infection (ANOVA; bc~ms, data=res, df=2; P = 0.814), PM infection ("ps2"-stages 1-4 combined) (ANOVA; ps2~ms, data=res, df=2; </w:t>
      </w:r>
      <w:r w:rsidR="00997FC6" w:rsidRPr="00FA7D47">
        <w:rPr>
          <w:rFonts w:cstheme="minorBidi"/>
        </w:rPr>
        <w:t>p&gt;0.05</w:t>
      </w:r>
      <w:r w:rsidRPr="009819CE">
        <w:rPr>
          <w:rFonts w:cstheme="minorBidi"/>
        </w:rPr>
        <w:t xml:space="preserve">), or PM at individual stages (ANOVA; ps~ms, data=res, df=2; </w:t>
      </w:r>
      <w:r w:rsidR="00997FC6" w:rsidRPr="00FA7D47">
        <w:rPr>
          <w:rFonts w:cstheme="minorBidi"/>
        </w:rPr>
        <w:t>p&gt;0.05</w:t>
      </w:r>
      <w:r w:rsidRPr="009819CE">
        <w:rPr>
          <w:rFonts w:cstheme="minorBidi"/>
        </w:rPr>
        <w:t>).</w:t>
      </w:r>
    </w:p>
    <w:p w14:paraId="68B0EEB9" w14:textId="77777777" w:rsidR="00F36ABA" w:rsidRPr="009819CE" w:rsidRDefault="00F36ABA" w:rsidP="009A5465">
      <w:pPr>
        <w:pStyle w:val="Heading3"/>
        <w:rPr>
          <w:rFonts w:cstheme="minorBidi"/>
          <w:iCs/>
        </w:rPr>
      </w:pPr>
      <w:bookmarkStart w:id="225" w:name="_Toc204106626"/>
      <w:r w:rsidRPr="009819CE">
        <w:rPr>
          <w:rFonts w:cstheme="minorBidi"/>
        </w:rPr>
        <w:t>Infection and sex</w:t>
      </w:r>
      <w:bookmarkEnd w:id="225"/>
    </w:p>
    <w:p w14:paraId="66C31CFA" w14:textId="1631E5C7" w:rsidR="00F36ABA" w:rsidRPr="009819CE" w:rsidRDefault="00F36ABA" w:rsidP="00F36ABA">
      <w:pPr>
        <w:rPr>
          <w:rFonts w:cstheme="minorBidi"/>
        </w:rPr>
      </w:pPr>
      <w:r w:rsidRPr="009819CE">
        <w:rPr>
          <w:rFonts w:cstheme="minorBidi"/>
        </w:rPr>
        <w:t>There was no significant difference in infection levels based on BCM between the sexes (</w:t>
      </w:r>
      <w:r w:rsidR="00E80AF4">
        <w:rPr>
          <w:rFonts w:cstheme="minorBidi"/>
        </w:rPr>
        <w:t>t-test</w:t>
      </w:r>
      <w:r w:rsidRPr="009819CE">
        <w:rPr>
          <w:rFonts w:cstheme="minorBidi"/>
        </w:rPr>
        <w:t xml:space="preserve">: bcsex, data=res; df=1; P=0.838). However, infection based on PM ("ps2"-stages 1-4 combined) was found to be significantly higher in females (Wilcox: ps2~sex, data=res; df=1; </w:t>
      </w:r>
      <w:r w:rsidR="003B636F" w:rsidRPr="00FA7D47">
        <w:rPr>
          <w:rFonts w:cstheme="minorBidi"/>
        </w:rPr>
        <w:t>p&lt;0.05</w:t>
      </w:r>
      <w:r w:rsidRPr="009819CE">
        <w:rPr>
          <w:rFonts w:cstheme="minorBidi"/>
        </w:rPr>
        <w:t xml:space="preserve">). Furthermore, when considering the different infection stages by PM, females also exhibited significantly higher infection levels (Wilcox: ps~sex, data=res; df=1; </w:t>
      </w:r>
      <w:r w:rsidR="002649A9" w:rsidRPr="00FA7D47">
        <w:rPr>
          <w:rFonts w:cstheme="minorBidi"/>
        </w:rPr>
        <w:t>p&lt;0.05</w:t>
      </w:r>
      <w:r w:rsidRPr="009819CE">
        <w:rPr>
          <w:rFonts w:cstheme="minorBidi"/>
        </w:rPr>
        <w:t>). These findings suggest that females are more susceptible to acquiring patent pleopod infection compared to males.</w:t>
      </w:r>
    </w:p>
    <w:p w14:paraId="663B80A1" w14:textId="73784CDD" w:rsidR="00F36ABA" w:rsidRPr="009819CE" w:rsidRDefault="00C31E47" w:rsidP="009A5465">
      <w:pPr>
        <w:pStyle w:val="Heading3"/>
        <w:rPr>
          <w:rFonts w:cstheme="minorBidi"/>
          <w:iCs/>
        </w:rPr>
      </w:pPr>
      <w:bookmarkStart w:id="226" w:name="_Toc204106627"/>
      <w:r w:rsidRPr="009819CE">
        <w:rPr>
          <w:rFonts w:cstheme="minorBidi"/>
          <w:i/>
        </w:rPr>
        <w:t>Nephrops</w:t>
      </w:r>
      <w:r w:rsidR="00F36ABA" w:rsidRPr="009819CE">
        <w:rPr>
          <w:rFonts w:cstheme="minorBidi"/>
        </w:rPr>
        <w:t xml:space="preserve"> females</w:t>
      </w:r>
      <w:bookmarkEnd w:id="226"/>
    </w:p>
    <w:p w14:paraId="13C28A37" w14:textId="15CE1DCE" w:rsidR="00F36ABA" w:rsidRPr="009819CE" w:rsidRDefault="00F36ABA" w:rsidP="00F36ABA">
      <w:pPr>
        <w:rPr>
          <w:rFonts w:cstheme="minorBidi"/>
        </w:rPr>
      </w:pPr>
      <w:r w:rsidRPr="009819CE">
        <w:rPr>
          <w:rFonts w:cstheme="minorBidi"/>
        </w:rPr>
        <w:t xml:space="preserve">In this study, a total of 892 female </w:t>
      </w:r>
      <w:r w:rsidR="00C31E47" w:rsidRPr="009819CE">
        <w:rPr>
          <w:rFonts w:cstheme="minorBidi"/>
          <w:i/>
          <w:iCs/>
        </w:rPr>
        <w:t>Nephrops</w:t>
      </w:r>
      <w:r w:rsidRPr="009819CE">
        <w:rPr>
          <w:rFonts w:cstheme="minorBidi"/>
        </w:rPr>
        <w:t xml:space="preserve"> were examined, including both PM-infected and PM-negative individuals. Among these, 84 females (9.4%) were found to be carrying eggs. The seasonal variation in the proportion of berried females in the catch is illustrated in </w:t>
      </w:r>
      <w:r w:rsidRPr="009819CE">
        <w:rPr>
          <w:rFonts w:cstheme="minorBidi"/>
          <w:b/>
          <w:bCs/>
        </w:rPr>
        <w:fldChar w:fldCharType="begin"/>
      </w:r>
      <w:r w:rsidRPr="009819CE">
        <w:rPr>
          <w:rFonts w:cstheme="minorBidi"/>
          <w:b/>
          <w:bCs/>
        </w:rPr>
        <w:instrText xml:space="preserve"> REF _Ref109288473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2.14</w:t>
      </w:r>
      <w:r w:rsidRPr="009819CE">
        <w:rPr>
          <w:rFonts w:cstheme="minorBidi"/>
          <w:b/>
          <w:bCs/>
        </w:rPr>
        <w:fldChar w:fldCharType="end"/>
      </w:r>
      <w:r w:rsidRPr="009819CE">
        <w:rPr>
          <w:rFonts w:cstheme="minorBidi"/>
        </w:rPr>
        <w:t>. The size distribution of these berried females ranged from 24.5 mm to 47.4 mm, with a</w:t>
      </w:r>
      <w:r w:rsidR="00EA226B" w:rsidRPr="00FA7D47">
        <w:rPr>
          <w:rFonts w:cstheme="minorBidi"/>
        </w:rPr>
        <w:t xml:space="preserve"> </w:t>
      </w:r>
      <w:r w:rsidR="00DB2A5E" w:rsidRPr="00FA7D47">
        <w:rPr>
          <w:rFonts w:cstheme="minorBidi"/>
        </w:rPr>
        <w:t>mean carapace</w:t>
      </w:r>
      <w:r w:rsidRPr="009819CE">
        <w:rPr>
          <w:rFonts w:cstheme="minorBidi"/>
        </w:rPr>
        <w:t xml:space="preserve"> length (CL) of 34.5 ± 5.</w:t>
      </w:r>
      <w:r w:rsidR="00502BCA" w:rsidRPr="00FA7D47">
        <w:rPr>
          <w:rFonts w:cstheme="minorBidi"/>
        </w:rPr>
        <w:t xml:space="preserve">1 </w:t>
      </w:r>
      <w:r w:rsidRPr="009819CE">
        <w:rPr>
          <w:rFonts w:cstheme="minorBidi"/>
        </w:rPr>
        <w:t>mm. It is worth noting that only one berried female had a carapace length below 26 mm. All berried females were in the inter-moult stage and exhibited gonad stages 0, 1, or 5. Among the 84 berried females, none were found to be BCM-infected, while only 8 (9.5%) were infected with PM at stage 1 of infection.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28D24DA6" w14:textId="77777777" w:rsidTr="007D2BFB">
        <w:tc>
          <w:tcPr>
            <w:tcW w:w="9026" w:type="dxa"/>
          </w:tcPr>
          <w:p w14:paraId="293D1EC6" w14:textId="77777777" w:rsidR="00F36ABA" w:rsidRPr="009819CE" w:rsidRDefault="00F36ABA" w:rsidP="00AA56CD">
            <w:pPr>
              <w:spacing w:before="0" w:after="0"/>
              <w:jc w:val="center"/>
              <w:rPr>
                <w:rFonts w:cstheme="minorBidi"/>
                <w:i/>
                <w:iCs/>
                <w:lang w:val="en-GB"/>
              </w:rPr>
            </w:pPr>
            <w:r w:rsidRPr="00FF34FE">
              <w:rPr>
                <w:rFonts w:cstheme="minorBidi"/>
                <w:noProof/>
              </w:rPr>
              <w:drawing>
                <wp:inline distT="0" distB="0" distL="0" distR="0" wp14:anchorId="455B03B0" wp14:editId="49CB1ACD">
                  <wp:extent cx="4714875" cy="3771900"/>
                  <wp:effectExtent l="0" t="0" r="9525" b="0"/>
                  <wp:docPr id="26" name="Picture 26" descr="A graph with numbers and a number of mont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aph with numbers and a number of months&#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721978" cy="3777582"/>
                          </a:xfrm>
                          <a:prstGeom prst="rect">
                            <a:avLst/>
                          </a:prstGeom>
                          <a:noFill/>
                          <a:ln>
                            <a:noFill/>
                          </a:ln>
                        </pic:spPr>
                      </pic:pic>
                    </a:graphicData>
                  </a:graphic>
                </wp:inline>
              </w:drawing>
            </w:r>
          </w:p>
        </w:tc>
      </w:tr>
      <w:tr w:rsidR="00F36ABA" w:rsidRPr="00FA7D47" w14:paraId="53045381" w14:textId="77777777" w:rsidTr="007D2BFB">
        <w:tc>
          <w:tcPr>
            <w:tcW w:w="9026" w:type="dxa"/>
          </w:tcPr>
          <w:p w14:paraId="26F9AA3B" w14:textId="7268E194" w:rsidR="00F36ABA" w:rsidRPr="009819CE" w:rsidRDefault="00F36ABA" w:rsidP="007D6607">
            <w:pPr>
              <w:spacing w:line="240" w:lineRule="auto"/>
              <w:rPr>
                <w:rFonts w:cstheme="minorBidi"/>
                <w:sz w:val="22"/>
                <w:szCs w:val="22"/>
                <w:lang w:val="en-GB"/>
              </w:rPr>
            </w:pPr>
            <w:bookmarkStart w:id="227" w:name="_Ref109288473"/>
            <w:bookmarkStart w:id="228" w:name="_Toc204106720"/>
            <w:r w:rsidRPr="009819CE">
              <w:rPr>
                <w:rFonts w:cstheme="minorBidi"/>
                <w:b/>
                <w:sz w:val="22"/>
                <w:szCs w:val="22"/>
                <w:lang w:val="en-GB"/>
              </w:rPr>
              <w:t xml:space="preserve">Figure </w:t>
            </w:r>
            <w:r w:rsidRPr="007268F5">
              <w:rPr>
                <w:rFonts w:cstheme="minorBidi"/>
                <w:b/>
              </w:rPr>
              <w:fldChar w:fldCharType="begin"/>
            </w:r>
            <w:r w:rsidRPr="009819CE">
              <w:rPr>
                <w:rFonts w:cstheme="minorBidi"/>
                <w:b/>
                <w:sz w:val="22"/>
                <w:szCs w:val="22"/>
                <w:lang w:val="en-GB"/>
              </w:rPr>
              <w:instrText xml:space="preserve"> STYLEREF 1 \s </w:instrText>
            </w:r>
            <w:r w:rsidRPr="007268F5">
              <w:rPr>
                <w:rFonts w:cstheme="minorBidi"/>
                <w:b/>
              </w:rPr>
              <w:fldChar w:fldCharType="separate"/>
            </w:r>
            <w:r w:rsidR="008549FC">
              <w:rPr>
                <w:rFonts w:cstheme="minorBidi"/>
                <w:b/>
                <w:noProof/>
                <w:sz w:val="22"/>
                <w:szCs w:val="22"/>
                <w:lang w:val="en-GB"/>
              </w:rPr>
              <w:t>2</w:t>
            </w:r>
            <w:r w:rsidRPr="007268F5">
              <w:rPr>
                <w:rFonts w:cstheme="minorBidi"/>
                <w:b/>
              </w:rPr>
              <w:fldChar w:fldCharType="end"/>
            </w:r>
            <w:r w:rsidRPr="009819CE">
              <w:rPr>
                <w:rFonts w:cstheme="minorBidi"/>
                <w:b/>
                <w:sz w:val="22"/>
                <w:szCs w:val="22"/>
                <w:lang w:val="en-GB"/>
              </w:rPr>
              <w:t>.</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14</w:t>
            </w:r>
            <w:r w:rsidRPr="007268F5">
              <w:rPr>
                <w:rFonts w:cstheme="minorBidi"/>
                <w:b/>
              </w:rPr>
              <w:fldChar w:fldCharType="end"/>
            </w:r>
            <w:bookmarkEnd w:id="227"/>
            <w:r w:rsidRPr="009819CE">
              <w:rPr>
                <w:rFonts w:cstheme="minorBidi"/>
                <w:sz w:val="22"/>
                <w:szCs w:val="22"/>
                <w:lang w:val="en-GB"/>
              </w:rPr>
              <w:t xml:space="preserve"> The percentage of egg-bearing females (berried) found in samples (n=892; including PM-infected and PM-negative females) collected from the CSA site between November 2018 and September 2019.</w:t>
            </w:r>
            <w:bookmarkEnd w:id="228"/>
          </w:p>
        </w:tc>
      </w:tr>
    </w:tbl>
    <w:p w14:paraId="35EAE898" w14:textId="0AAE7CF1" w:rsidR="00F36ABA" w:rsidRPr="009819CE" w:rsidRDefault="00F36ABA" w:rsidP="00F36ABA">
      <w:pPr>
        <w:rPr>
          <w:rFonts w:cstheme="minorBidi"/>
        </w:rPr>
      </w:pPr>
      <w:r w:rsidRPr="009819CE">
        <w:rPr>
          <w:rFonts w:cstheme="minorBidi"/>
        </w:rPr>
        <w:t xml:space="preserve">The </w:t>
      </w:r>
      <w:r w:rsidR="00467878" w:rsidRPr="00FA7D47">
        <w:rPr>
          <w:rFonts w:cstheme="minorBidi"/>
        </w:rPr>
        <w:t xml:space="preserve">mean </w:t>
      </w:r>
      <w:r w:rsidRPr="009819CE">
        <w:rPr>
          <w:rFonts w:cstheme="minorBidi"/>
        </w:rPr>
        <w:t xml:space="preserve">body weight of female </w:t>
      </w:r>
      <w:r w:rsidR="00C31E47" w:rsidRPr="009819CE">
        <w:rPr>
          <w:rFonts w:cstheme="minorBidi"/>
          <w:i/>
          <w:iCs/>
        </w:rPr>
        <w:t>Nephrops</w:t>
      </w:r>
      <w:r w:rsidRPr="009819CE">
        <w:rPr>
          <w:rFonts w:cstheme="minorBidi"/>
        </w:rPr>
        <w:t xml:space="preserve"> (n=330) was recorded as 20.</w:t>
      </w:r>
      <w:r w:rsidR="00467878" w:rsidRPr="00FA7D47">
        <w:rPr>
          <w:rFonts w:cstheme="minorBidi"/>
        </w:rPr>
        <w:t>7</w:t>
      </w:r>
      <w:r w:rsidRPr="009819CE">
        <w:rPr>
          <w:rFonts w:cstheme="minorBidi"/>
        </w:rPr>
        <w:t>± 12.</w:t>
      </w:r>
      <w:r w:rsidR="00467878" w:rsidRPr="00FA7D47">
        <w:rPr>
          <w:rFonts w:cstheme="minorBidi"/>
        </w:rPr>
        <w:t xml:space="preserve">9 </w:t>
      </w:r>
      <w:r w:rsidRPr="009819CE">
        <w:rPr>
          <w:rFonts w:cstheme="minorBidi"/>
        </w:rPr>
        <w:t xml:space="preserve">g. </w:t>
      </w:r>
      <w:r w:rsidRPr="009819CE">
        <w:rPr>
          <w:rFonts w:cstheme="minorBidi"/>
          <w:b/>
          <w:bCs/>
        </w:rPr>
        <w:fldChar w:fldCharType="begin"/>
      </w:r>
      <w:r w:rsidRPr="009819CE">
        <w:rPr>
          <w:rFonts w:cstheme="minorBidi"/>
          <w:b/>
          <w:bCs/>
        </w:rPr>
        <w:instrText xml:space="preserve"> REF _Ref111200271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2.15</w:t>
      </w:r>
      <w:r w:rsidRPr="009819CE">
        <w:rPr>
          <w:rFonts w:cstheme="minorBidi"/>
          <w:b/>
          <w:bCs/>
        </w:rPr>
        <w:fldChar w:fldCharType="end"/>
      </w:r>
      <w:r w:rsidRPr="009819CE">
        <w:rPr>
          <w:rFonts w:cstheme="minorBidi"/>
        </w:rPr>
        <w:t xml:space="preserve">A-C, presents the monthly measurements of body weight, HSI (n=292), and </w:t>
      </w:r>
      <w:r w:rsidR="00486BF4">
        <w:rPr>
          <w:rFonts w:cstheme="minorBidi"/>
        </w:rPr>
        <w:t>g</w:t>
      </w:r>
      <w:r w:rsidR="00E2247A" w:rsidRPr="00FA7D47">
        <w:rPr>
          <w:rFonts w:cstheme="minorBidi"/>
        </w:rPr>
        <w:t>onadosomatic index (</w:t>
      </w:r>
      <w:r w:rsidRPr="009819CE">
        <w:rPr>
          <w:rFonts w:cstheme="minorBidi"/>
        </w:rPr>
        <w:t>GSI</w:t>
      </w:r>
      <w:r w:rsidR="00E2247A" w:rsidRPr="00FA7D47">
        <w:rPr>
          <w:rFonts w:cstheme="minorBidi"/>
        </w:rPr>
        <w:t>)</w:t>
      </w:r>
      <w:r w:rsidRPr="009819CE">
        <w:rPr>
          <w:rFonts w:cstheme="minorBidi"/>
        </w:rPr>
        <w:t xml:space="preserve"> (n=330) of these females, respectively. Notably, a substantial increase in female body weight is observed starting from April, which can be attributed to the emergence of larger mature females from their winter burrows. Throughout the year, HSI values exhibit fluctuations, with relatively similar month-to-month variations during the first half of the year. The highest HSI value is observed in June (7.60 ± 1 (%)), followed by a subsequent decrease. In contrast, GSI values show a different pattern, with relatively lower values during the winter months. However, from April onwards, GSI increases rapidly, reaching its peak in July (at 7.21 ± 2.62 (%)), before subsequently declining to lower levels.</w:t>
      </w:r>
    </w:p>
    <w:p w14:paraId="0FE9D4C1" w14:textId="77777777" w:rsidR="00F36ABA" w:rsidRPr="009819CE" w:rsidRDefault="00F36ABA" w:rsidP="00F36ABA">
      <w:pPr>
        <w:rPr>
          <w:rFonts w:cstheme="minorBidi"/>
        </w:rPr>
        <w:sectPr w:rsidR="00F36ABA" w:rsidRPr="009819CE" w:rsidSect="003A7A28">
          <w:pgSz w:w="11906" w:h="16838" w:code="9"/>
          <w:pgMar w:top="1440" w:right="1440" w:bottom="1440" w:left="1440" w:header="709" w:footer="709" w:gutter="0"/>
          <w:cols w:space="802"/>
          <w:docGrid w:linePitch="360"/>
        </w:sectPr>
      </w:pPr>
    </w:p>
    <w:tbl>
      <w:tblPr>
        <w:tblStyle w:val="TableGrid"/>
        <w:tblW w:w="0" w:type="auto"/>
        <w:tblLook w:val="04A0" w:firstRow="1" w:lastRow="0" w:firstColumn="1" w:lastColumn="0" w:noHBand="0" w:noVBand="1"/>
      </w:tblPr>
      <w:tblGrid>
        <w:gridCol w:w="9026"/>
      </w:tblGrid>
      <w:tr w:rsidR="00F36ABA" w:rsidRPr="00FA7D47" w14:paraId="76338447" w14:textId="77777777" w:rsidTr="007D6607">
        <w:trPr>
          <w:trHeight w:val="3836"/>
        </w:trPr>
        <w:tc>
          <w:tcPr>
            <w:tcW w:w="0" w:type="auto"/>
            <w:tcBorders>
              <w:top w:val="nil"/>
              <w:left w:val="nil"/>
              <w:bottom w:val="nil"/>
              <w:right w:val="nil"/>
            </w:tcBorders>
          </w:tcPr>
          <w:p w14:paraId="6C9F4037" w14:textId="73E1A5FC" w:rsidR="00CD03CF" w:rsidRPr="00CD03CF" w:rsidRDefault="00CD03CF" w:rsidP="00CD03CF">
            <w:pPr>
              <w:spacing w:before="100" w:beforeAutospacing="1" w:after="100" w:afterAutospacing="1" w:line="240" w:lineRule="auto"/>
              <w:jc w:val="left"/>
              <w:rPr>
                <w:rFonts w:ascii="Times New Roman" w:hAnsi="Times New Roman"/>
              </w:rPr>
            </w:pPr>
            <w:r w:rsidRPr="00CD03CF">
              <w:rPr>
                <w:rFonts w:ascii="Times New Roman" w:hAnsi="Times New Roman"/>
                <w:noProof/>
              </w:rPr>
              <w:drawing>
                <wp:anchor distT="0" distB="0" distL="114300" distR="114300" simplePos="0" relativeHeight="251751424" behindDoc="0" locked="0" layoutInCell="1" allowOverlap="1" wp14:anchorId="76FD4078" wp14:editId="193C57CC">
                  <wp:simplePos x="981075" y="914400"/>
                  <wp:positionH relativeFrom="margin">
                    <wp:align>center</wp:align>
                  </wp:positionH>
                  <wp:positionV relativeFrom="margin">
                    <wp:align>center</wp:align>
                  </wp:positionV>
                  <wp:extent cx="3183255" cy="7639685"/>
                  <wp:effectExtent l="0" t="0" r="0" b="0"/>
                  <wp:wrapSquare wrapText="bothSides"/>
                  <wp:docPr id="848022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183255" cy="7639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93B92C" w14:textId="4543ED2B" w:rsidR="00F36ABA" w:rsidRPr="007268F5" w:rsidRDefault="00F36ABA" w:rsidP="007268F5">
            <w:pPr>
              <w:spacing w:before="0" w:after="0" w:line="240" w:lineRule="auto"/>
              <w:jc w:val="left"/>
              <w:rPr>
                <w:rFonts w:ascii="Times New Roman" w:hAnsi="Times New Roman"/>
              </w:rPr>
            </w:pPr>
          </w:p>
        </w:tc>
      </w:tr>
      <w:tr w:rsidR="00F36ABA" w:rsidRPr="00FA7D47" w14:paraId="482CA005" w14:textId="77777777" w:rsidTr="007D6607">
        <w:trPr>
          <w:trHeight w:val="680"/>
        </w:trPr>
        <w:tc>
          <w:tcPr>
            <w:tcW w:w="0" w:type="auto"/>
            <w:tcBorders>
              <w:top w:val="nil"/>
              <w:left w:val="nil"/>
              <w:bottom w:val="nil"/>
              <w:right w:val="nil"/>
            </w:tcBorders>
          </w:tcPr>
          <w:p w14:paraId="316699F2" w14:textId="63C5289F" w:rsidR="00F36ABA" w:rsidRPr="009819CE" w:rsidRDefault="00F36ABA" w:rsidP="007D6607">
            <w:pPr>
              <w:spacing w:line="240" w:lineRule="auto"/>
              <w:rPr>
                <w:rFonts w:cstheme="minorBidi"/>
                <w:lang w:val="en-GB"/>
              </w:rPr>
            </w:pPr>
            <w:bookmarkStart w:id="229" w:name="_Ref111200271"/>
            <w:bookmarkStart w:id="230" w:name="_Toc204106721"/>
            <w:r w:rsidRPr="009819CE">
              <w:rPr>
                <w:rFonts w:cstheme="minorBidi"/>
                <w:b/>
                <w:bCs/>
                <w:sz w:val="22"/>
                <w:szCs w:val="22"/>
                <w:lang w:val="en-GB"/>
              </w:rPr>
              <w:t>Figure 2.</w:t>
            </w:r>
            <w:r w:rsidRPr="00CE4FD5">
              <w:rPr>
                <w:rFonts w:cstheme="minorBidi"/>
                <w:b/>
                <w:bCs/>
              </w:rPr>
              <w:fldChar w:fldCharType="begin"/>
            </w:r>
            <w:r w:rsidRPr="009819CE">
              <w:rPr>
                <w:rFonts w:cstheme="minorBidi"/>
                <w:b/>
                <w:bCs/>
                <w:sz w:val="22"/>
                <w:szCs w:val="22"/>
                <w:lang w:val="en-GB"/>
              </w:rPr>
              <w:instrText xml:space="preserve"> SEQ Figure \* ARABIC \s 1 </w:instrText>
            </w:r>
            <w:r w:rsidRPr="00CE4FD5">
              <w:rPr>
                <w:rFonts w:cstheme="minorBidi"/>
                <w:b/>
                <w:bCs/>
              </w:rPr>
              <w:fldChar w:fldCharType="separate"/>
            </w:r>
            <w:r w:rsidR="008549FC">
              <w:rPr>
                <w:rFonts w:cstheme="minorBidi"/>
                <w:b/>
                <w:bCs/>
                <w:noProof/>
                <w:sz w:val="22"/>
                <w:szCs w:val="22"/>
                <w:lang w:val="en-GB"/>
              </w:rPr>
              <w:t>15</w:t>
            </w:r>
            <w:r w:rsidRPr="00CE4FD5">
              <w:rPr>
                <w:rFonts w:cstheme="minorBidi"/>
                <w:b/>
                <w:bCs/>
              </w:rPr>
              <w:fldChar w:fldCharType="end"/>
            </w:r>
            <w:bookmarkEnd w:id="229"/>
            <w:r w:rsidRPr="009819CE">
              <w:rPr>
                <w:rFonts w:cstheme="minorBidi"/>
                <w:sz w:val="22"/>
                <w:szCs w:val="22"/>
                <w:lang w:val="en-GB"/>
              </w:rPr>
              <w:t xml:space="preserve"> A) Mean body weight (g); B) hepatosomatic index (HSI); C) gonadosomatic index (GSI) of female </w:t>
            </w:r>
            <w:r w:rsidR="00C31E47" w:rsidRPr="009819CE">
              <w:rPr>
                <w:rFonts w:cstheme="minorBidi"/>
                <w:i/>
                <w:sz w:val="22"/>
                <w:szCs w:val="22"/>
                <w:lang w:val="en-GB"/>
              </w:rPr>
              <w:t>Nephrops</w:t>
            </w:r>
            <w:r w:rsidRPr="009819CE">
              <w:rPr>
                <w:rFonts w:cstheme="minorBidi"/>
                <w:sz w:val="22"/>
                <w:szCs w:val="22"/>
                <w:lang w:val="en-GB"/>
              </w:rPr>
              <w:t xml:space="preserve"> collected from the CSA site between November 2018 and September 2019</w:t>
            </w:r>
            <w:r w:rsidRPr="009819CE">
              <w:rPr>
                <w:rFonts w:cstheme="minorBidi"/>
                <w:lang w:val="en-GB"/>
              </w:rPr>
              <w:t>.</w:t>
            </w:r>
            <w:bookmarkEnd w:id="230"/>
          </w:p>
        </w:tc>
      </w:tr>
    </w:tbl>
    <w:p w14:paraId="7303C81D" w14:textId="77777777" w:rsidR="00F36ABA" w:rsidRPr="009819CE" w:rsidRDefault="00F36ABA" w:rsidP="00F36ABA">
      <w:pPr>
        <w:rPr>
          <w:rFonts w:cstheme="minorBidi"/>
        </w:rPr>
        <w:sectPr w:rsidR="00F36ABA" w:rsidRPr="009819CE" w:rsidSect="003A7A28">
          <w:pgSz w:w="11906" w:h="16838" w:code="9"/>
          <w:pgMar w:top="1440" w:right="1440" w:bottom="1440" w:left="1440" w:header="709" w:footer="709" w:gutter="0"/>
          <w:cols w:space="802"/>
          <w:docGrid w:linePitch="360"/>
        </w:sectPr>
      </w:pPr>
    </w:p>
    <w:p w14:paraId="7320FABE" w14:textId="5DB360B7" w:rsidR="00F36ABA" w:rsidRPr="009819CE" w:rsidRDefault="00F36ABA" w:rsidP="00F36ABA">
      <w:pPr>
        <w:rPr>
          <w:rFonts w:cstheme="minorBidi"/>
        </w:rPr>
      </w:pPr>
      <w:r w:rsidRPr="009819CE">
        <w:rPr>
          <w:rFonts w:cstheme="minorBidi"/>
        </w:rPr>
        <w:fldChar w:fldCharType="begin"/>
      </w:r>
      <w:r w:rsidRPr="009819CE">
        <w:rPr>
          <w:rFonts w:cstheme="minorBidi"/>
        </w:rPr>
        <w:instrText xml:space="preserve"> REF _Ref109288717 \h  \* MERGEFORMAT </w:instrText>
      </w:r>
      <w:r w:rsidRPr="009819CE">
        <w:rPr>
          <w:rFonts w:cstheme="minorBidi"/>
        </w:rPr>
      </w:r>
      <w:r w:rsidRPr="009819CE">
        <w:rPr>
          <w:rFonts w:cstheme="minorBidi"/>
        </w:rPr>
        <w:fldChar w:fldCharType="separate"/>
      </w:r>
      <w:r w:rsidR="008549FC" w:rsidRPr="008549FC">
        <w:rPr>
          <w:rFonts w:cstheme="minorBidi"/>
          <w:b/>
        </w:rPr>
        <w:t>Figure 2.16</w:t>
      </w:r>
      <w:r w:rsidRPr="009819CE">
        <w:rPr>
          <w:rFonts w:cstheme="minorBidi"/>
        </w:rPr>
        <w:fldChar w:fldCharType="end"/>
      </w:r>
      <w:r w:rsidRPr="009819CE">
        <w:rPr>
          <w:rFonts w:cstheme="minorBidi"/>
        </w:rPr>
        <w:t xml:space="preserve"> illustrates the ovarian cycle observed over the course of </w:t>
      </w:r>
      <w:r w:rsidR="000E1EE2" w:rsidRPr="00FA7D47">
        <w:rPr>
          <w:rFonts w:cstheme="minorBidi"/>
        </w:rPr>
        <w:t xml:space="preserve">eleven </w:t>
      </w:r>
      <w:r w:rsidRPr="009819CE">
        <w:rPr>
          <w:rFonts w:cstheme="minorBidi"/>
        </w:rPr>
        <w:t>months of sampling. In the winter months, females displayed immature ovaries. However, during the first half of the year (February to July), there was a progression in the maturation cycle. By April, more than 65% of the females had green ovaries (stages 3/4), indicating that they were fully mature and prepared for mating. In July, as many as 90% of the sampled females had ovaries at stage 3 or higher. Interestingly, a higher proportion of females captured in the latter half of the year exhibited spent ovaries, suggesting recent spawning activity.</w:t>
      </w:r>
    </w:p>
    <w:p w14:paraId="05B76A0F" w14:textId="77777777" w:rsidR="00BA3AE5" w:rsidRPr="009819CE" w:rsidRDefault="00BA3AE5" w:rsidP="00F36ABA">
      <w:pPr>
        <w:rPr>
          <w:rFonts w:cstheme="min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F36ABA" w:rsidRPr="00FA7D47" w14:paraId="604E72F6" w14:textId="77777777" w:rsidTr="007D6607">
        <w:tc>
          <w:tcPr>
            <w:tcW w:w="5000" w:type="pct"/>
          </w:tcPr>
          <w:p w14:paraId="53402EC1" w14:textId="77777777" w:rsidR="00F36ABA" w:rsidRPr="009819CE" w:rsidRDefault="00F36ABA" w:rsidP="00BA3AE5">
            <w:pPr>
              <w:rPr>
                <w:lang w:val="en-GB"/>
              </w:rPr>
            </w:pPr>
            <w:r w:rsidRPr="00FF34FE">
              <w:rPr>
                <w:noProof/>
              </w:rPr>
              <w:drawing>
                <wp:inline distT="0" distB="0" distL="0" distR="0" wp14:anchorId="7CFB154F" wp14:editId="6ACEBAEF">
                  <wp:extent cx="5404919" cy="4323935"/>
                  <wp:effectExtent l="0" t="0" r="5715" b="635"/>
                  <wp:docPr id="25" name="Picture 25"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of different colored bars&#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08009" cy="4326407"/>
                          </a:xfrm>
                          <a:prstGeom prst="rect">
                            <a:avLst/>
                          </a:prstGeom>
                          <a:noFill/>
                          <a:ln>
                            <a:noFill/>
                          </a:ln>
                        </pic:spPr>
                      </pic:pic>
                    </a:graphicData>
                  </a:graphic>
                </wp:inline>
              </w:drawing>
            </w:r>
          </w:p>
        </w:tc>
      </w:tr>
      <w:tr w:rsidR="00F36ABA" w:rsidRPr="00FA7D47" w14:paraId="73016092" w14:textId="77777777" w:rsidTr="007D6607">
        <w:tc>
          <w:tcPr>
            <w:tcW w:w="5000" w:type="pct"/>
          </w:tcPr>
          <w:p w14:paraId="3C9D20D5" w14:textId="0531E7C9" w:rsidR="00F36ABA" w:rsidRPr="009819CE" w:rsidRDefault="00F36ABA" w:rsidP="007D6607">
            <w:pPr>
              <w:spacing w:line="240" w:lineRule="auto"/>
              <w:rPr>
                <w:rFonts w:cstheme="minorBidi"/>
                <w:sz w:val="22"/>
                <w:szCs w:val="22"/>
                <w:lang w:val="en-GB"/>
              </w:rPr>
            </w:pPr>
            <w:bookmarkStart w:id="231" w:name="_Ref109288717"/>
            <w:bookmarkStart w:id="232" w:name="_Toc204106722"/>
            <w:r w:rsidRPr="009819CE">
              <w:rPr>
                <w:rFonts w:cstheme="minorBidi"/>
                <w:b/>
                <w:sz w:val="22"/>
                <w:szCs w:val="22"/>
                <w:lang w:val="en-GB"/>
              </w:rPr>
              <w:t xml:space="preserve">Figure </w:t>
            </w:r>
            <w:r w:rsidRPr="007268F5">
              <w:rPr>
                <w:rFonts w:cstheme="minorBidi"/>
                <w:b/>
              </w:rPr>
              <w:fldChar w:fldCharType="begin"/>
            </w:r>
            <w:r w:rsidRPr="009819CE">
              <w:rPr>
                <w:rFonts w:cstheme="minorBidi"/>
                <w:b/>
                <w:sz w:val="22"/>
                <w:szCs w:val="22"/>
                <w:lang w:val="en-GB"/>
              </w:rPr>
              <w:instrText xml:space="preserve"> STYLEREF 1 \s </w:instrText>
            </w:r>
            <w:r w:rsidRPr="007268F5">
              <w:rPr>
                <w:rFonts w:cstheme="minorBidi"/>
                <w:b/>
              </w:rPr>
              <w:fldChar w:fldCharType="separate"/>
            </w:r>
            <w:r w:rsidR="008549FC">
              <w:rPr>
                <w:rFonts w:cstheme="minorBidi"/>
                <w:b/>
                <w:noProof/>
                <w:sz w:val="22"/>
                <w:szCs w:val="22"/>
                <w:lang w:val="en-GB"/>
              </w:rPr>
              <w:t>2</w:t>
            </w:r>
            <w:r w:rsidRPr="007268F5">
              <w:rPr>
                <w:rFonts w:cstheme="minorBidi"/>
                <w:b/>
              </w:rPr>
              <w:fldChar w:fldCharType="end"/>
            </w:r>
            <w:r w:rsidRPr="009819CE">
              <w:rPr>
                <w:rFonts w:cstheme="minorBidi"/>
                <w:b/>
                <w:sz w:val="22"/>
                <w:szCs w:val="22"/>
                <w:lang w:val="en-GB"/>
              </w:rPr>
              <w:t>.</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16</w:t>
            </w:r>
            <w:r w:rsidRPr="007268F5">
              <w:rPr>
                <w:rFonts w:cstheme="minorBidi"/>
                <w:b/>
              </w:rPr>
              <w:fldChar w:fldCharType="end"/>
            </w:r>
            <w:bookmarkEnd w:id="231"/>
            <w:r w:rsidRPr="009819CE">
              <w:rPr>
                <w:rFonts w:cstheme="minorBidi"/>
                <w:sz w:val="22"/>
                <w:szCs w:val="22"/>
                <w:lang w:val="en-GB"/>
              </w:rPr>
              <w:t xml:space="preserve"> The percentages of female </w:t>
            </w:r>
            <w:r w:rsidR="00C31E47" w:rsidRPr="009819CE">
              <w:rPr>
                <w:rFonts w:cstheme="minorBidi"/>
                <w:i/>
                <w:sz w:val="22"/>
                <w:szCs w:val="22"/>
                <w:lang w:val="en-GB"/>
              </w:rPr>
              <w:t>Nephrops</w:t>
            </w:r>
            <w:r w:rsidRPr="009819CE">
              <w:rPr>
                <w:rFonts w:cstheme="minorBidi"/>
                <w:sz w:val="22"/>
                <w:szCs w:val="22"/>
                <w:lang w:val="en-GB"/>
              </w:rPr>
              <w:t xml:space="preserve"> at the different gonad stages, collected from the CSA site between November 2018 and September 2019. (number of observations S0, n=115; S1, n=34; S2, n=40; S3/4, n=115; S5, n=26)</w:t>
            </w:r>
            <w:bookmarkEnd w:id="232"/>
          </w:p>
        </w:tc>
      </w:tr>
    </w:tbl>
    <w:p w14:paraId="16E2AF09" w14:textId="77777777" w:rsidR="00F36ABA" w:rsidRPr="009819CE" w:rsidRDefault="00F36ABA" w:rsidP="00F36ABA">
      <w:pPr>
        <w:spacing w:line="259" w:lineRule="auto"/>
        <w:jc w:val="left"/>
        <w:rPr>
          <w:rFonts w:cstheme="minorBidi"/>
        </w:rPr>
      </w:pPr>
    </w:p>
    <w:p w14:paraId="1161B8A0" w14:textId="28AC9AE3" w:rsidR="00F36ABA" w:rsidRDefault="00F36ABA" w:rsidP="00F36ABA">
      <w:pPr>
        <w:rPr>
          <w:rFonts w:cstheme="minorBidi"/>
        </w:rPr>
      </w:pPr>
      <w:r w:rsidRPr="009819CE">
        <w:rPr>
          <w:rFonts w:cstheme="minorBidi"/>
        </w:rPr>
        <w:t>Considering the data relative to the ovarian cycle, there was a significant increase in GSI as the ovaries progressed through maturation stages S2 to S5 (Kruskal-Wallis: gsi~gs, data=res; df=4; P=1.2e-4). Conversely, HSI showed a significant decrease (Kruskal-Wallis: hsi~gs, data=res; df=4; P=2.2e-16) (</w:t>
      </w:r>
      <w:r w:rsidRPr="009819CE">
        <w:rPr>
          <w:rFonts w:cstheme="minorBidi"/>
          <w:b/>
          <w:bCs/>
        </w:rPr>
        <w:t>Figure 2.15</w:t>
      </w:r>
      <w:r w:rsidR="008B07C4" w:rsidRPr="009819CE">
        <w:rPr>
          <w:rFonts w:cstheme="minorBidi"/>
          <w:b/>
          <w:bCs/>
        </w:rPr>
        <w:t xml:space="preserve"> </w:t>
      </w:r>
      <w:r w:rsidR="008B07C4" w:rsidRPr="009819CE">
        <w:rPr>
          <w:rFonts w:cstheme="minorBidi"/>
        </w:rPr>
        <w:t xml:space="preserve">and </w:t>
      </w:r>
      <w:r w:rsidR="007F58F9" w:rsidRPr="009819CE">
        <w:rPr>
          <w:rFonts w:cstheme="minorBidi"/>
        </w:rPr>
        <w:fldChar w:fldCharType="begin"/>
      </w:r>
      <w:r w:rsidR="007F58F9" w:rsidRPr="009819CE">
        <w:rPr>
          <w:rFonts w:cstheme="minorBidi"/>
        </w:rPr>
        <w:instrText xml:space="preserve"> REF _Ref111289003 \h </w:instrText>
      </w:r>
      <w:r w:rsidR="007F58F9" w:rsidRPr="009819CE">
        <w:rPr>
          <w:rFonts w:cstheme="minorBidi"/>
        </w:rPr>
      </w:r>
      <w:r w:rsidR="007F58F9" w:rsidRPr="009819CE">
        <w:rPr>
          <w:rFonts w:cstheme="minorBidi"/>
        </w:rPr>
        <w:fldChar w:fldCharType="separate"/>
      </w:r>
      <w:r w:rsidR="008549FC" w:rsidRPr="009819CE">
        <w:rPr>
          <w:b/>
          <w:sz w:val="22"/>
          <w:szCs w:val="22"/>
        </w:rPr>
        <w:t xml:space="preserve">Figure </w:t>
      </w:r>
      <w:r w:rsidR="008549FC">
        <w:rPr>
          <w:b/>
          <w:noProof/>
          <w:sz w:val="22"/>
          <w:szCs w:val="22"/>
        </w:rPr>
        <w:t>2</w:t>
      </w:r>
      <w:r w:rsidR="008549FC" w:rsidRPr="009819CE">
        <w:rPr>
          <w:b/>
          <w:sz w:val="22"/>
          <w:szCs w:val="22"/>
        </w:rPr>
        <w:t>.</w:t>
      </w:r>
      <w:r w:rsidR="008549FC">
        <w:rPr>
          <w:b/>
          <w:noProof/>
          <w:sz w:val="22"/>
          <w:szCs w:val="22"/>
        </w:rPr>
        <w:t>17</w:t>
      </w:r>
      <w:r w:rsidR="007F58F9" w:rsidRPr="009819CE">
        <w:rPr>
          <w:rFonts w:cstheme="minorBidi"/>
        </w:rPr>
        <w:fldChar w:fldCharType="end"/>
      </w:r>
      <w:r w:rsidRPr="009819CE">
        <w:rPr>
          <w:rFonts w:cstheme="minorBidi"/>
        </w:rPr>
        <w:t>). The notable increase in GSI observed from April to July 2019 (</w:t>
      </w:r>
      <w:r w:rsidRPr="009819CE">
        <w:rPr>
          <w:rFonts w:cstheme="minorBidi"/>
          <w:b/>
          <w:bCs/>
        </w:rPr>
        <w:t>Figure 2.15</w:t>
      </w:r>
      <w:r w:rsidRPr="009819CE">
        <w:rPr>
          <w:rFonts w:cstheme="minorBidi"/>
        </w:rPr>
        <w:t>C) coincided with a higher prevalence of gonad stages 3-4 during that period (</w:t>
      </w:r>
      <w:r w:rsidRPr="009819CE">
        <w:rPr>
          <w:rFonts w:cstheme="minorBidi"/>
          <w:b/>
          <w:bCs/>
        </w:rPr>
        <w:t>Figure 2.16</w:t>
      </w:r>
      <w:r w:rsidRPr="009819CE">
        <w:rPr>
          <w:rFonts w:cstheme="minorBidi"/>
        </w:rPr>
        <w:t>). Both GSI and HSI values exhibited a significant decline in August and September (</w:t>
      </w:r>
      <w:r w:rsidRPr="009819CE">
        <w:rPr>
          <w:rFonts w:cstheme="minorBidi"/>
          <w:b/>
          <w:bCs/>
        </w:rPr>
        <w:t>Figure 2.15</w:t>
      </w:r>
      <w:r w:rsidRPr="009819CE">
        <w:rPr>
          <w:rFonts w:cstheme="minorBidi"/>
        </w:rPr>
        <w:t xml:space="preserve">), corresponding to the reabsorption phase of the ovaries (gonad stage 5, </w:t>
      </w:r>
      <w:r w:rsidRPr="009819CE">
        <w:rPr>
          <w:rFonts w:cstheme="minorBidi"/>
          <w:b/>
          <w:bCs/>
        </w:rPr>
        <w:t>Figure 2.16</w:t>
      </w:r>
      <w:r w:rsidRPr="009819CE">
        <w:rPr>
          <w:rFonts w:cstheme="minorBidi"/>
        </w:rPr>
        <w:t>).</w:t>
      </w:r>
      <w:r w:rsidR="008626ED">
        <w:rPr>
          <w:rFonts w:cstheme="minorBidi"/>
        </w:rPr>
        <w:t xml:space="preserve"> </w:t>
      </w:r>
    </w:p>
    <w:p w14:paraId="73AD15F1" w14:textId="103C61DE" w:rsidR="008626ED" w:rsidRPr="009819CE" w:rsidRDefault="008626ED" w:rsidP="00F36ABA">
      <w:pPr>
        <w:rPr>
          <w:rFonts w:cstheme="minorBidi"/>
        </w:rPr>
      </w:pPr>
      <w:r>
        <w:t>While the most rigorous approach would involve comparing GSI and HSI across both gonad stage and sampling month simultaneously, this was not feasible due to the relatively low number of samples per group. Additionally, the gonad stage already reflects an element of temporal progression within the ovarian cycle and thereby introduces some degree of seasonal structure into the analysis. However, this is not an ideal substitute for a fully factorial temporal comparison, and results should be interpreted with this limitation in mind.</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3"/>
      </w:tblGrid>
      <w:tr w:rsidR="00F36ABA" w:rsidRPr="00FA7D47" w14:paraId="7C3D5089" w14:textId="77777777" w:rsidTr="007D6607">
        <w:tc>
          <w:tcPr>
            <w:tcW w:w="9497" w:type="dxa"/>
          </w:tcPr>
          <w:p w14:paraId="6CF4891F" w14:textId="12F056C9" w:rsidR="00F36ABA" w:rsidRPr="007268F5" w:rsidRDefault="00AD352A" w:rsidP="007268F5">
            <w:pPr>
              <w:spacing w:before="100" w:beforeAutospacing="1" w:after="100" w:afterAutospacing="1" w:line="240" w:lineRule="auto"/>
              <w:jc w:val="left"/>
              <w:rPr>
                <w:rFonts w:ascii="Times New Roman" w:hAnsi="Times New Roman"/>
              </w:rPr>
            </w:pPr>
            <w:r w:rsidRPr="00AD352A">
              <w:rPr>
                <w:rFonts w:ascii="Times New Roman" w:hAnsi="Times New Roman"/>
                <w:noProof/>
              </w:rPr>
              <w:drawing>
                <wp:inline distT="0" distB="0" distL="0" distR="0" wp14:anchorId="0B4F500B" wp14:editId="59C859C3">
                  <wp:extent cx="5731510" cy="2865755"/>
                  <wp:effectExtent l="0" t="0" r="2540" b="0"/>
                  <wp:docPr id="21349755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tc>
      </w:tr>
      <w:tr w:rsidR="00F36ABA" w:rsidRPr="00FA7D47" w14:paraId="7047C115" w14:textId="77777777" w:rsidTr="007D6607">
        <w:tc>
          <w:tcPr>
            <w:tcW w:w="9497" w:type="dxa"/>
          </w:tcPr>
          <w:p w14:paraId="574795B9" w14:textId="76A16664" w:rsidR="00F36ABA" w:rsidRPr="009819CE" w:rsidRDefault="00F36ABA" w:rsidP="00FA7697">
            <w:pPr>
              <w:rPr>
                <w:sz w:val="22"/>
                <w:szCs w:val="22"/>
                <w:lang w:val="en-GB"/>
              </w:rPr>
            </w:pPr>
            <w:bookmarkStart w:id="233" w:name="_Ref111289003"/>
            <w:bookmarkStart w:id="234" w:name="_Toc204106723"/>
            <w:r w:rsidRPr="009819CE">
              <w:rPr>
                <w:b/>
                <w:sz w:val="22"/>
                <w:szCs w:val="22"/>
                <w:lang w:val="en-GB"/>
              </w:rPr>
              <w:t xml:space="preserve">Figure </w:t>
            </w:r>
            <w:r w:rsidRPr="007268F5">
              <w:rPr>
                <w:b/>
                <w:sz w:val="22"/>
                <w:szCs w:val="22"/>
              </w:rPr>
              <w:fldChar w:fldCharType="begin"/>
            </w:r>
            <w:r w:rsidRPr="009819CE">
              <w:rPr>
                <w:b/>
                <w:sz w:val="22"/>
                <w:szCs w:val="22"/>
                <w:lang w:val="en-GB"/>
              </w:rPr>
              <w:instrText xml:space="preserve"> STYLEREF 1 \s </w:instrText>
            </w:r>
            <w:r w:rsidRPr="007268F5">
              <w:rPr>
                <w:b/>
                <w:sz w:val="22"/>
                <w:szCs w:val="22"/>
              </w:rPr>
              <w:fldChar w:fldCharType="separate"/>
            </w:r>
            <w:r w:rsidR="008549FC">
              <w:rPr>
                <w:b/>
                <w:noProof/>
                <w:sz w:val="22"/>
                <w:szCs w:val="22"/>
                <w:lang w:val="en-GB"/>
              </w:rPr>
              <w:t>2</w:t>
            </w:r>
            <w:r w:rsidRPr="007268F5">
              <w:rPr>
                <w:b/>
                <w:sz w:val="22"/>
                <w:szCs w:val="22"/>
              </w:rPr>
              <w:fldChar w:fldCharType="end"/>
            </w:r>
            <w:r w:rsidRPr="009819CE">
              <w:rPr>
                <w:b/>
                <w:sz w:val="22"/>
                <w:szCs w:val="22"/>
                <w:lang w:val="en-GB"/>
              </w:rPr>
              <w:t>.</w:t>
            </w:r>
            <w:r w:rsidRPr="007268F5">
              <w:rPr>
                <w:b/>
                <w:sz w:val="22"/>
                <w:szCs w:val="22"/>
              </w:rPr>
              <w:fldChar w:fldCharType="begin"/>
            </w:r>
            <w:r w:rsidRPr="009819CE">
              <w:rPr>
                <w:b/>
                <w:sz w:val="22"/>
                <w:szCs w:val="22"/>
                <w:lang w:val="en-GB"/>
              </w:rPr>
              <w:instrText xml:space="preserve"> SEQ Figure \* ARABIC \s 1 </w:instrText>
            </w:r>
            <w:r w:rsidRPr="007268F5">
              <w:rPr>
                <w:b/>
                <w:sz w:val="22"/>
                <w:szCs w:val="22"/>
              </w:rPr>
              <w:fldChar w:fldCharType="separate"/>
            </w:r>
            <w:r w:rsidR="008549FC">
              <w:rPr>
                <w:b/>
                <w:noProof/>
                <w:sz w:val="22"/>
                <w:szCs w:val="22"/>
                <w:lang w:val="en-GB"/>
              </w:rPr>
              <w:t>17</w:t>
            </w:r>
            <w:r w:rsidRPr="007268F5">
              <w:rPr>
                <w:b/>
                <w:sz w:val="22"/>
                <w:szCs w:val="22"/>
              </w:rPr>
              <w:fldChar w:fldCharType="end"/>
            </w:r>
            <w:bookmarkEnd w:id="233"/>
            <w:r w:rsidRPr="009819CE">
              <w:rPr>
                <w:sz w:val="22"/>
                <w:szCs w:val="22"/>
                <w:lang w:val="en-GB"/>
              </w:rPr>
              <w:t xml:space="preserve"> </w:t>
            </w:r>
            <w:r w:rsidRPr="009819CE">
              <w:rPr>
                <w:rStyle w:val="LabelsChar"/>
                <w:rFonts w:asciiTheme="minorBidi" w:hAnsiTheme="minorBidi" w:cstheme="minorBidi"/>
                <w:szCs w:val="22"/>
                <w:lang w:val="en-GB"/>
              </w:rPr>
              <w:t xml:space="preserve">Mean values of (A) the hepatosomatic index (HSI) and (B) the gonadosomatic index (GSI) of female </w:t>
            </w:r>
            <w:r w:rsidR="00C31E47" w:rsidRPr="009819CE">
              <w:rPr>
                <w:rStyle w:val="LabelsChar"/>
                <w:rFonts w:asciiTheme="minorBidi" w:hAnsiTheme="minorBidi" w:cstheme="minorBidi"/>
                <w:i/>
                <w:szCs w:val="22"/>
                <w:lang w:val="en-GB"/>
              </w:rPr>
              <w:t>Nephrops</w:t>
            </w:r>
            <w:r w:rsidRPr="009819CE">
              <w:rPr>
                <w:rStyle w:val="LabelsChar"/>
                <w:rFonts w:asciiTheme="minorBidi" w:hAnsiTheme="minorBidi" w:cstheme="minorBidi"/>
                <w:szCs w:val="22"/>
                <w:lang w:val="en-GB"/>
              </w:rPr>
              <w:t xml:space="preserve"> at the different stages of gonadal development. (number of observations S0, n=115; S1, n=34; S2, n=40; S3/4, n=115; S5, n=26)</w:t>
            </w:r>
            <w:bookmarkEnd w:id="234"/>
          </w:p>
        </w:tc>
      </w:tr>
    </w:tbl>
    <w:p w14:paraId="15388D24" w14:textId="77777777" w:rsidR="00FB242F" w:rsidRDefault="00FB242F" w:rsidP="00F36ABA">
      <w:pPr>
        <w:rPr>
          <w:rFonts w:cstheme="minorBidi"/>
        </w:rPr>
        <w:sectPr w:rsidR="00FB242F" w:rsidSect="00FB242F">
          <w:type w:val="continuous"/>
          <w:pgSz w:w="11906" w:h="16838" w:code="9"/>
          <w:pgMar w:top="1440" w:right="1440" w:bottom="1440" w:left="1440" w:header="709" w:footer="709" w:gutter="0"/>
          <w:cols w:space="802"/>
          <w:docGrid w:linePitch="360"/>
        </w:sectPr>
      </w:pPr>
    </w:p>
    <w:p w14:paraId="72DDBF45" w14:textId="6D52DE57" w:rsidR="00F36ABA" w:rsidRPr="009819CE" w:rsidRDefault="00102716" w:rsidP="009A5465">
      <w:pPr>
        <w:pStyle w:val="Heading3"/>
        <w:rPr>
          <w:rFonts w:cstheme="minorBidi"/>
          <w:iCs/>
        </w:rPr>
      </w:pPr>
      <w:bookmarkStart w:id="235" w:name="_Toc204106628"/>
      <w:r w:rsidRPr="00FA7D47">
        <w:rPr>
          <w:rFonts w:cstheme="minorBidi"/>
          <w:iCs/>
        </w:rPr>
        <w:t xml:space="preserve">Female </w:t>
      </w:r>
      <w:r w:rsidR="00C31E47" w:rsidRPr="009819CE">
        <w:rPr>
          <w:rFonts w:cstheme="minorBidi"/>
          <w:i/>
        </w:rPr>
        <w:t>Nephrops</w:t>
      </w:r>
      <w:r w:rsidR="00F36ABA" w:rsidRPr="009819CE">
        <w:rPr>
          <w:rFonts w:cstheme="minorBidi"/>
        </w:rPr>
        <w:t xml:space="preserve"> infected with </w:t>
      </w:r>
      <w:r w:rsidR="009D03F4" w:rsidRPr="009819CE">
        <w:rPr>
          <w:rFonts w:cstheme="minorBidi"/>
          <w:i/>
        </w:rPr>
        <w:t>Hematodinium</w:t>
      </w:r>
      <w:r w:rsidR="00F36ABA" w:rsidRPr="009819CE">
        <w:rPr>
          <w:rFonts w:cstheme="minorBidi"/>
        </w:rPr>
        <w:t xml:space="preserve"> sp.</w:t>
      </w:r>
      <w:bookmarkEnd w:id="235"/>
    </w:p>
    <w:p w14:paraId="3FFFA31E" w14:textId="7EDC448D" w:rsidR="00F36ABA" w:rsidRPr="009819CE" w:rsidRDefault="00F36ABA" w:rsidP="00F36ABA">
      <w:pPr>
        <w:rPr>
          <w:rFonts w:cstheme="minorBidi"/>
        </w:rPr>
      </w:pPr>
      <w:r w:rsidRPr="009819CE">
        <w:rPr>
          <w:rFonts w:cstheme="minorBidi"/>
        </w:rPr>
        <w:t>Among the 330 females whose gonads were examined, 12</w:t>
      </w:r>
      <w:r w:rsidR="00656E9C" w:rsidRPr="00FA7D47">
        <w:rPr>
          <w:rFonts w:cstheme="minorBidi"/>
        </w:rPr>
        <w:t xml:space="preserve"> (3.6%)</w:t>
      </w:r>
      <w:r w:rsidRPr="009819CE">
        <w:rPr>
          <w:rFonts w:cstheme="minorBidi"/>
        </w:rPr>
        <w:t xml:space="preserve"> were BCM-infected and 59</w:t>
      </w:r>
      <w:r w:rsidR="009D1664" w:rsidRPr="00FA7D47">
        <w:rPr>
          <w:rFonts w:cstheme="minorBidi"/>
        </w:rPr>
        <w:t xml:space="preserve"> (17.9%)</w:t>
      </w:r>
      <w:r w:rsidRPr="009819CE">
        <w:rPr>
          <w:rFonts w:cstheme="minorBidi"/>
        </w:rPr>
        <w:t xml:space="preserve"> PM-infected. From the PM-infected, 47 </w:t>
      </w:r>
      <w:r w:rsidR="00862775" w:rsidRPr="00FA7D47">
        <w:rPr>
          <w:rFonts w:cstheme="minorBidi"/>
        </w:rPr>
        <w:t xml:space="preserve">(79.7%) </w:t>
      </w:r>
      <w:r w:rsidRPr="009819CE">
        <w:rPr>
          <w:rFonts w:cstheme="minorBidi"/>
        </w:rPr>
        <w:t>were at stage 1; 6</w:t>
      </w:r>
      <w:r w:rsidR="00862775" w:rsidRPr="00FA7D47">
        <w:rPr>
          <w:rFonts w:cstheme="minorBidi"/>
        </w:rPr>
        <w:t xml:space="preserve"> (10.2%)</w:t>
      </w:r>
      <w:r w:rsidRPr="009819CE">
        <w:rPr>
          <w:rFonts w:cstheme="minorBidi"/>
        </w:rPr>
        <w:t xml:space="preserve"> were at stage 2, and 6 </w:t>
      </w:r>
      <w:r w:rsidR="00862775" w:rsidRPr="00FA7D47">
        <w:rPr>
          <w:rFonts w:cstheme="minorBidi"/>
        </w:rPr>
        <w:t xml:space="preserve">(10.2%) </w:t>
      </w:r>
      <w:r w:rsidRPr="009819CE">
        <w:rPr>
          <w:rFonts w:cstheme="minorBidi"/>
        </w:rPr>
        <w:t>were at stage 3 of infection. Females with PM stages 2 and 3 had undeveloped gonads (stage 0) and were primarily detected between February and March, which were also the dominant months for low-level infections (PM-stage 1). Females captured between June and August also showed signs of PM stage 1 infection.</w:t>
      </w:r>
    </w:p>
    <w:p w14:paraId="4D2182D9" w14:textId="4287E327" w:rsidR="00F36ABA" w:rsidRPr="009819CE" w:rsidRDefault="00F36ABA" w:rsidP="00F36ABA">
      <w:pPr>
        <w:rPr>
          <w:rFonts w:cstheme="minorBidi"/>
        </w:rPr>
      </w:pPr>
      <w:r w:rsidRPr="009819CE">
        <w:rPr>
          <w:rFonts w:cstheme="minorBidi"/>
        </w:rPr>
        <w:t xml:space="preserve">Female </w:t>
      </w:r>
      <w:r w:rsidR="00C31E47" w:rsidRPr="009819CE">
        <w:rPr>
          <w:rFonts w:cstheme="minorBidi"/>
          <w:i/>
        </w:rPr>
        <w:t>Nephrops</w:t>
      </w:r>
      <w:r w:rsidRPr="009819CE">
        <w:rPr>
          <w:rFonts w:cstheme="minorBidi"/>
        </w:rPr>
        <w:t xml:space="preserve"> that were infected with </w:t>
      </w:r>
      <w:r w:rsidR="009D03F4" w:rsidRPr="009819CE">
        <w:rPr>
          <w:rFonts w:cstheme="minorBidi"/>
          <w:i/>
          <w:iCs/>
        </w:rPr>
        <w:t>Hematodinium</w:t>
      </w:r>
      <w:r w:rsidRPr="009819CE">
        <w:rPr>
          <w:rFonts w:cstheme="minorBidi"/>
        </w:rPr>
        <w:t xml:space="preserve"> sp. (BCM-positive) exhibited a noticeable presence of a dense milky fluid within the body cavity, which was </w:t>
      </w:r>
      <w:r w:rsidR="00EC6A56" w:rsidRPr="009819CE">
        <w:rPr>
          <w:rFonts w:cstheme="minorBidi"/>
        </w:rPr>
        <w:t>filled</w:t>
      </w:r>
      <w:r w:rsidRPr="009819CE">
        <w:rPr>
          <w:rFonts w:cstheme="minorBidi"/>
        </w:rPr>
        <w:t xml:space="preserve"> with </w:t>
      </w:r>
      <w:r w:rsidR="009D03F4" w:rsidRPr="009819CE">
        <w:rPr>
          <w:rFonts w:cstheme="minorBidi"/>
          <w:i/>
          <w:iCs/>
        </w:rPr>
        <w:t>Hematodinium</w:t>
      </w:r>
      <w:r w:rsidRPr="009819CE">
        <w:rPr>
          <w:rFonts w:cstheme="minorBidi"/>
        </w:rPr>
        <w:t xml:space="preserve"> sp. cells. The average hepatosomatic index (HSI) for BCM-positive females was 8.48 ± 6.87%, which was significantly higher compared to BCM-negative females (6.87 ± 1.14%) (</w:t>
      </w:r>
      <w:r w:rsidR="00E80AF4">
        <w:rPr>
          <w:rFonts w:cstheme="minorBidi"/>
        </w:rPr>
        <w:t>t-test</w:t>
      </w:r>
      <w:r w:rsidRPr="009819CE">
        <w:rPr>
          <w:rFonts w:cstheme="minorBidi"/>
        </w:rPr>
        <w:t xml:space="preserve">: hsibc, data=res FH; </w:t>
      </w:r>
      <w:r w:rsidR="00BC6889">
        <w:rPr>
          <w:rFonts w:cstheme="minorBidi"/>
        </w:rPr>
        <w:t>df=</w:t>
      </w:r>
      <w:r w:rsidRPr="009819CE">
        <w:rPr>
          <w:rFonts w:cstheme="minorBidi"/>
        </w:rPr>
        <w:t xml:space="preserve">1; P=0.018). Similarly, PM-positive females (combined stages 1-4, referred to as "ps2") exhibited an average HSI of 7.35 ± 1.39%, which was significantly higher than PM-negative females (6.84 ± 1.12%) (Wilcoxon: hsi~ps2, data=res FH; </w:t>
      </w:r>
      <w:r w:rsidR="00BC6889">
        <w:rPr>
          <w:rFonts w:cstheme="minorBidi"/>
        </w:rPr>
        <w:t>df=</w:t>
      </w:r>
      <w:r w:rsidRPr="009819CE">
        <w:rPr>
          <w:rFonts w:cstheme="minorBidi"/>
        </w:rPr>
        <w:t xml:space="preserve">1; P=0.013). Furthermore, there were significant variations in HSI among different infection stages (Kruskal-Wallis: hsi~ps, data=res FH; </w:t>
      </w:r>
      <w:r w:rsidR="00BC6889">
        <w:rPr>
          <w:rFonts w:cstheme="minorBidi"/>
        </w:rPr>
        <w:t>df=</w:t>
      </w:r>
      <w:r w:rsidRPr="009819CE">
        <w:rPr>
          <w:rFonts w:cstheme="minorBidi"/>
        </w:rPr>
        <w:t>1; P=7.60e-4).  (</w:t>
      </w:r>
      <w:r w:rsidRPr="009819CE">
        <w:rPr>
          <w:rFonts w:cstheme="minorBidi"/>
        </w:rPr>
        <w:fldChar w:fldCharType="begin"/>
      </w:r>
      <w:r w:rsidRPr="009819CE">
        <w:rPr>
          <w:rFonts w:cstheme="minorBidi"/>
        </w:rPr>
        <w:instrText xml:space="preserve"> REF _Ref109289708 \h  \* MERGEFORMAT </w:instrText>
      </w:r>
      <w:r w:rsidRPr="009819CE">
        <w:rPr>
          <w:rFonts w:cstheme="minorBidi"/>
        </w:rPr>
      </w:r>
      <w:r w:rsidRPr="009819CE">
        <w:rPr>
          <w:rFonts w:cstheme="minorBidi"/>
        </w:rPr>
        <w:fldChar w:fldCharType="separate"/>
      </w:r>
      <w:r w:rsidR="008549FC" w:rsidRPr="008549FC">
        <w:rPr>
          <w:rFonts w:cstheme="minorBidi"/>
          <w:b/>
        </w:rPr>
        <w:t>Figure 2.18</w:t>
      </w:r>
      <w:r w:rsidRPr="009819CE">
        <w:rPr>
          <w:rFonts w:cstheme="minorBidi"/>
        </w:rPr>
        <w:fldChar w:fldCharType="end"/>
      </w:r>
      <w:r w:rsidRPr="009819CE">
        <w:rPr>
          <w:rFonts w:cstheme="minorBidi"/>
        </w:rPr>
        <w:t>C).</w:t>
      </w:r>
    </w:p>
    <w:p w14:paraId="19A5AD94" w14:textId="67A44E60" w:rsidR="00F36ABA" w:rsidRPr="009819CE" w:rsidRDefault="00F36ABA" w:rsidP="00F36ABA">
      <w:pPr>
        <w:rPr>
          <w:rFonts w:cstheme="minorBidi"/>
        </w:rPr>
      </w:pPr>
      <w:r w:rsidRPr="009819CE">
        <w:rPr>
          <w:rFonts w:cstheme="minorBidi"/>
        </w:rPr>
        <w:t xml:space="preserve">The gonadosomatic index (GSI) was significantly lower in BCM-positive females (Wilcoxon: gsi~bc, data=res FG; </w:t>
      </w:r>
      <w:r w:rsidR="00BC6889">
        <w:rPr>
          <w:rFonts w:cstheme="minorBidi"/>
        </w:rPr>
        <w:t>df=</w:t>
      </w:r>
      <w:r w:rsidRPr="009819CE">
        <w:rPr>
          <w:rFonts w:cstheme="minorBidi"/>
        </w:rPr>
        <w:t>1; P=6e-05) with a value of 0.712 ± 0.24%, compared to BCM-negative females (2.89 ± 2.76%). On the other hand, PM-positive females (combined stages 1-4, referred to as "ps2") had similar GSI values (2.40 ± 2.74%) to PM-negative females (2.90 ± 2.74%) (</w:t>
      </w:r>
      <w:r w:rsidR="00E80AF4">
        <w:rPr>
          <w:rFonts w:cstheme="minorBidi"/>
        </w:rPr>
        <w:t>t-test</w:t>
      </w:r>
      <w:r w:rsidRPr="009819CE">
        <w:rPr>
          <w:rFonts w:cstheme="minorBidi"/>
        </w:rPr>
        <w:t xml:space="preserve">: gsi~ps2, data=resFG; </w:t>
      </w:r>
      <w:r w:rsidR="00BC6889">
        <w:rPr>
          <w:rFonts w:cstheme="minorBidi"/>
        </w:rPr>
        <w:t>df=</w:t>
      </w:r>
      <w:r w:rsidRPr="009819CE">
        <w:rPr>
          <w:rFonts w:cstheme="minorBidi"/>
        </w:rPr>
        <w:t xml:space="preserve">1; P=0.21). However, significant differences in GSI were observed among the different infection stages (Kruskal-Wallis: gsi~ps, data=res FG; </w:t>
      </w:r>
      <w:r w:rsidR="00BC6889">
        <w:rPr>
          <w:rFonts w:cstheme="minorBidi"/>
        </w:rPr>
        <w:t>df=</w:t>
      </w:r>
      <w:r w:rsidRPr="009819CE">
        <w:rPr>
          <w:rFonts w:cstheme="minorBidi"/>
        </w:rPr>
        <w:t>1; P=1.70e-4) (</w:t>
      </w:r>
      <w:r w:rsidRPr="009819CE">
        <w:rPr>
          <w:rFonts w:cstheme="minorBidi"/>
        </w:rPr>
        <w:fldChar w:fldCharType="begin"/>
      </w:r>
      <w:r w:rsidRPr="009819CE">
        <w:rPr>
          <w:rFonts w:cstheme="minorBidi"/>
        </w:rPr>
        <w:instrText xml:space="preserve"> REF _Ref109289708 \h  \* MERGEFORMAT </w:instrText>
      </w:r>
      <w:r w:rsidRPr="009819CE">
        <w:rPr>
          <w:rFonts w:cstheme="minorBidi"/>
        </w:rPr>
      </w:r>
      <w:r w:rsidRPr="009819CE">
        <w:rPr>
          <w:rFonts w:cstheme="minorBidi"/>
        </w:rPr>
        <w:fldChar w:fldCharType="separate"/>
      </w:r>
      <w:r w:rsidR="008549FC" w:rsidRPr="008549FC">
        <w:rPr>
          <w:rFonts w:cstheme="minorBidi"/>
          <w:b/>
        </w:rPr>
        <w:t>Figure 2.18</w:t>
      </w:r>
      <w:r w:rsidRPr="009819CE">
        <w:rPr>
          <w:rFonts w:cstheme="minorBidi"/>
        </w:rPr>
        <w:fldChar w:fldCharType="end"/>
      </w:r>
      <w:r w:rsidRPr="009819CE">
        <w:rPr>
          <w:rFonts w:cstheme="minorBidi"/>
        </w:rPr>
        <w:t>F).</w:t>
      </w:r>
    </w:p>
    <w:p w14:paraId="0400CC14" w14:textId="3AD290A9" w:rsidR="00F36ABA" w:rsidRPr="009819CE" w:rsidRDefault="00F36ABA" w:rsidP="00F36ABA">
      <w:pPr>
        <w:rPr>
          <w:rFonts w:cstheme="minorBidi"/>
        </w:rPr>
      </w:pPr>
      <w:r w:rsidRPr="009819CE">
        <w:rPr>
          <w:rFonts w:cstheme="minorBidi"/>
        </w:rPr>
        <w:t xml:space="preserve">Among the 12 BCM-positive females analysed, 11 had undeveloped white ovaries at stage 0, while one female had fully mature ovaries at stage 5. Females infected with PM at stages ≥ 2 also exhibited undeveloped white ovaries at stage 0. Specifically, females at stage 2 of infection were captured in February 2019, and females at stage 3 of infection were captured between January and April 2019. </w:t>
      </w:r>
      <w:r w:rsidRPr="009819CE">
        <w:rPr>
          <w:rFonts w:cstheme="minorBidi"/>
        </w:rPr>
        <w:fldChar w:fldCharType="begin"/>
      </w:r>
      <w:r w:rsidRPr="009819CE">
        <w:rPr>
          <w:rFonts w:cstheme="minorBidi"/>
        </w:rPr>
        <w:instrText xml:space="preserve"> REF _Ref109289708 \h  \* MERGEFORMAT </w:instrText>
      </w:r>
      <w:r w:rsidRPr="009819CE">
        <w:rPr>
          <w:rFonts w:cstheme="minorBidi"/>
        </w:rPr>
      </w:r>
      <w:r w:rsidRPr="009819CE">
        <w:rPr>
          <w:rFonts w:cstheme="minorBidi"/>
        </w:rPr>
        <w:fldChar w:fldCharType="separate"/>
      </w:r>
      <w:r w:rsidR="008549FC" w:rsidRPr="008549FC">
        <w:rPr>
          <w:rFonts w:cstheme="minorBidi"/>
          <w:b/>
        </w:rPr>
        <w:t>Figure 2.18</w:t>
      </w:r>
      <w:r w:rsidRPr="009819CE">
        <w:rPr>
          <w:rFonts w:cstheme="minorBidi"/>
        </w:rPr>
        <w:fldChar w:fldCharType="end"/>
      </w:r>
      <w:r w:rsidRPr="009819CE">
        <w:rPr>
          <w:rFonts w:cstheme="minorBidi"/>
        </w:rPr>
        <w:t xml:space="preserve"> provides a visual representation of GSI and HSI in relation to the infection.</w:t>
      </w:r>
    </w:p>
    <w:p w14:paraId="2DA1CF6B" w14:textId="77777777" w:rsidR="00F36ABA" w:rsidRPr="009819CE" w:rsidRDefault="00F36ABA" w:rsidP="00F36ABA">
      <w:pPr>
        <w:rPr>
          <w:rFonts w:cstheme="minorBidi"/>
          <w:b/>
          <w:bCs/>
        </w:rPr>
        <w:sectPr w:rsidR="00F36ABA" w:rsidRPr="009819CE" w:rsidSect="00FB242F">
          <w:pgSz w:w="11906" w:h="16838" w:code="9"/>
          <w:pgMar w:top="1440" w:right="1440" w:bottom="1440" w:left="1440" w:header="709" w:footer="709" w:gutter="0"/>
          <w:cols w:space="802"/>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F36ABA" w:rsidRPr="00FA7D47" w14:paraId="75BDDF11" w14:textId="77777777" w:rsidTr="007D6607">
        <w:trPr>
          <w:trHeight w:val="7503"/>
        </w:trPr>
        <w:tc>
          <w:tcPr>
            <w:tcW w:w="5000" w:type="pct"/>
          </w:tcPr>
          <w:p w14:paraId="339EFF88" w14:textId="650FE6D1" w:rsidR="00F36ABA" w:rsidRPr="009819CE" w:rsidRDefault="00B5207F" w:rsidP="007D6607">
            <w:pPr>
              <w:rPr>
                <w:rFonts w:cstheme="minorBidi"/>
                <w:lang w:val="en-GB"/>
              </w:rPr>
            </w:pPr>
            <w:r>
              <w:rPr>
                <w:noProof/>
              </w:rPr>
              <w:drawing>
                <wp:inline distT="0" distB="0" distL="0" distR="0" wp14:anchorId="64EE9D3E" wp14:editId="5AFA525E">
                  <wp:extent cx="7664450" cy="4470838"/>
                  <wp:effectExtent l="0" t="0" r="0" b="6350"/>
                  <wp:docPr id="7411402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667620" cy="4472687"/>
                          </a:xfrm>
                          <a:prstGeom prst="rect">
                            <a:avLst/>
                          </a:prstGeom>
                          <a:noFill/>
                          <a:ln>
                            <a:noFill/>
                          </a:ln>
                        </pic:spPr>
                      </pic:pic>
                    </a:graphicData>
                  </a:graphic>
                </wp:inline>
              </w:drawing>
            </w:r>
          </w:p>
        </w:tc>
      </w:tr>
      <w:tr w:rsidR="00F36ABA" w:rsidRPr="00FA7D47" w14:paraId="3E041C36" w14:textId="77777777" w:rsidTr="007D6607">
        <w:trPr>
          <w:trHeight w:val="604"/>
        </w:trPr>
        <w:tc>
          <w:tcPr>
            <w:tcW w:w="5000" w:type="pct"/>
          </w:tcPr>
          <w:p w14:paraId="10238724" w14:textId="19C18CBB" w:rsidR="00F36ABA" w:rsidRPr="009819CE" w:rsidRDefault="00F36ABA" w:rsidP="007D6607">
            <w:pPr>
              <w:spacing w:line="240" w:lineRule="auto"/>
              <w:rPr>
                <w:rFonts w:cstheme="minorBidi"/>
                <w:sz w:val="22"/>
                <w:szCs w:val="22"/>
                <w:lang w:val="en-GB"/>
              </w:rPr>
            </w:pPr>
            <w:bookmarkStart w:id="236" w:name="_Ref109289708"/>
            <w:bookmarkStart w:id="237" w:name="_Toc204106724"/>
            <w:r w:rsidRPr="009819CE">
              <w:rPr>
                <w:rFonts w:cstheme="minorBidi"/>
                <w:b/>
                <w:sz w:val="22"/>
                <w:szCs w:val="22"/>
                <w:lang w:val="en-GB"/>
              </w:rPr>
              <w:t xml:space="preserve">Figure </w:t>
            </w:r>
            <w:r w:rsidRPr="007268F5">
              <w:rPr>
                <w:rFonts w:cstheme="minorBidi"/>
                <w:b/>
              </w:rPr>
              <w:fldChar w:fldCharType="begin"/>
            </w:r>
            <w:r w:rsidRPr="009819CE">
              <w:rPr>
                <w:rFonts w:cstheme="minorBidi"/>
                <w:b/>
                <w:sz w:val="22"/>
                <w:szCs w:val="22"/>
                <w:lang w:val="en-GB"/>
              </w:rPr>
              <w:instrText xml:space="preserve"> STYLEREF 1 \s </w:instrText>
            </w:r>
            <w:r w:rsidRPr="007268F5">
              <w:rPr>
                <w:rFonts w:cstheme="minorBidi"/>
                <w:b/>
              </w:rPr>
              <w:fldChar w:fldCharType="separate"/>
            </w:r>
            <w:r w:rsidR="008549FC">
              <w:rPr>
                <w:rFonts w:cstheme="minorBidi"/>
                <w:b/>
                <w:noProof/>
                <w:sz w:val="22"/>
                <w:szCs w:val="22"/>
                <w:lang w:val="en-GB"/>
              </w:rPr>
              <w:t>2</w:t>
            </w:r>
            <w:r w:rsidRPr="007268F5">
              <w:rPr>
                <w:rFonts w:cstheme="minorBidi"/>
                <w:b/>
              </w:rPr>
              <w:fldChar w:fldCharType="end"/>
            </w:r>
            <w:r w:rsidRPr="009819CE">
              <w:rPr>
                <w:rFonts w:cstheme="minorBidi"/>
                <w:b/>
                <w:sz w:val="22"/>
                <w:szCs w:val="22"/>
                <w:lang w:val="en-GB"/>
              </w:rPr>
              <w:t>.</w:t>
            </w:r>
            <w:r w:rsidRPr="007268F5">
              <w:rPr>
                <w:rFonts w:cstheme="minorBidi"/>
                <w:b/>
              </w:rPr>
              <w:fldChar w:fldCharType="begin"/>
            </w:r>
            <w:r w:rsidRPr="009819CE">
              <w:rPr>
                <w:rFonts w:cstheme="minorBidi"/>
                <w:b/>
                <w:sz w:val="22"/>
                <w:szCs w:val="22"/>
                <w:lang w:val="en-GB"/>
              </w:rPr>
              <w:instrText xml:space="preserve"> SEQ Figure \* ARABIC \s 1 </w:instrText>
            </w:r>
            <w:r w:rsidRPr="007268F5">
              <w:rPr>
                <w:rFonts w:cstheme="minorBidi"/>
                <w:b/>
              </w:rPr>
              <w:fldChar w:fldCharType="separate"/>
            </w:r>
            <w:r w:rsidR="008549FC">
              <w:rPr>
                <w:rFonts w:cstheme="minorBidi"/>
                <w:b/>
                <w:noProof/>
                <w:sz w:val="22"/>
                <w:szCs w:val="22"/>
                <w:lang w:val="en-GB"/>
              </w:rPr>
              <w:t>18</w:t>
            </w:r>
            <w:r w:rsidRPr="007268F5">
              <w:rPr>
                <w:rFonts w:cstheme="minorBidi"/>
                <w:b/>
              </w:rPr>
              <w:fldChar w:fldCharType="end"/>
            </w:r>
            <w:bookmarkEnd w:id="236"/>
            <w:r w:rsidRPr="009819CE">
              <w:rPr>
                <w:rFonts w:cstheme="minorBidi"/>
                <w:sz w:val="22"/>
                <w:szCs w:val="22"/>
                <w:lang w:val="en-GB"/>
              </w:rPr>
              <w:t xml:space="preserve"> The hepatosomatic (HSI) (A-C) and the gonadosomatic (GSI) (D-F) indices of female </w:t>
            </w:r>
            <w:r w:rsidR="00C31E47" w:rsidRPr="009819CE">
              <w:rPr>
                <w:rFonts w:cstheme="minorBidi"/>
                <w:i/>
                <w:sz w:val="22"/>
                <w:szCs w:val="22"/>
                <w:lang w:val="en-GB"/>
              </w:rPr>
              <w:t>Nephrops</w:t>
            </w:r>
            <w:r w:rsidRPr="009819CE">
              <w:rPr>
                <w:rFonts w:cstheme="minorBidi"/>
                <w:sz w:val="22"/>
                <w:szCs w:val="22"/>
                <w:lang w:val="en-GB"/>
              </w:rPr>
              <w:t xml:space="preserve"> in relation to infection status evaluated by BCM and PM.</w:t>
            </w:r>
            <w:bookmarkEnd w:id="237"/>
          </w:p>
        </w:tc>
      </w:tr>
    </w:tbl>
    <w:p w14:paraId="7ADC2980" w14:textId="77777777" w:rsidR="00F36ABA" w:rsidRPr="009819CE" w:rsidRDefault="00F36ABA" w:rsidP="00F36ABA">
      <w:pPr>
        <w:rPr>
          <w:rFonts w:cstheme="minorBidi"/>
        </w:rPr>
        <w:sectPr w:rsidR="00F36ABA" w:rsidRPr="009819CE" w:rsidSect="003A7A28">
          <w:pgSz w:w="16838" w:h="11906" w:orient="landscape" w:code="9"/>
          <w:pgMar w:top="1440" w:right="1440" w:bottom="1440" w:left="1440" w:header="709" w:footer="709" w:gutter="0"/>
          <w:cols w:space="802"/>
          <w:docGrid w:linePitch="360"/>
        </w:sectPr>
      </w:pPr>
    </w:p>
    <w:p w14:paraId="6B310577" w14:textId="77777777" w:rsidR="00F36ABA" w:rsidRPr="009819CE" w:rsidRDefault="00F36ABA" w:rsidP="00F36ABA">
      <w:pPr>
        <w:pStyle w:val="Heading2"/>
        <w:rPr>
          <w:rFonts w:cstheme="minorBidi"/>
        </w:rPr>
      </w:pPr>
      <w:r w:rsidRPr="009819CE">
        <w:rPr>
          <w:rFonts w:cstheme="minorBidi"/>
        </w:rPr>
        <w:t xml:space="preserve"> </w:t>
      </w:r>
      <w:bookmarkStart w:id="238" w:name="_Ref169630991"/>
      <w:bookmarkStart w:id="239" w:name="_Toc204106629"/>
      <w:r w:rsidRPr="009819CE">
        <w:rPr>
          <w:rFonts w:cstheme="minorBidi"/>
        </w:rPr>
        <w:t>Discussion</w:t>
      </w:r>
      <w:bookmarkEnd w:id="238"/>
      <w:bookmarkEnd w:id="239"/>
    </w:p>
    <w:p w14:paraId="52AB8AB5" w14:textId="3AF84828" w:rsidR="00F36ABA" w:rsidRPr="009819CE" w:rsidRDefault="00F36ABA" w:rsidP="009A5465">
      <w:pPr>
        <w:pStyle w:val="Heading3"/>
        <w:rPr>
          <w:rFonts w:cstheme="minorBidi"/>
        </w:rPr>
      </w:pPr>
      <w:r w:rsidRPr="009819CE">
        <w:rPr>
          <w:rFonts w:cstheme="minorBidi"/>
        </w:rPr>
        <w:t xml:space="preserve"> </w:t>
      </w:r>
      <w:bookmarkStart w:id="240" w:name="_Toc204106630"/>
      <w:r w:rsidRPr="009819CE">
        <w:rPr>
          <w:rFonts w:cstheme="minorBidi"/>
        </w:rPr>
        <w:t xml:space="preserve">The prevalence of </w:t>
      </w:r>
      <w:r w:rsidR="009D03F4" w:rsidRPr="009819CE">
        <w:rPr>
          <w:rFonts w:cstheme="minorBidi"/>
          <w:i/>
        </w:rPr>
        <w:t>Hematodinium</w:t>
      </w:r>
      <w:r w:rsidRPr="009819CE">
        <w:rPr>
          <w:rFonts w:cstheme="minorBidi"/>
        </w:rPr>
        <w:t xml:space="preserve"> infections in </w:t>
      </w:r>
      <w:r w:rsidR="00C31E47" w:rsidRPr="009819CE">
        <w:rPr>
          <w:rFonts w:cstheme="minorBidi"/>
          <w:i/>
        </w:rPr>
        <w:t>Nephrops</w:t>
      </w:r>
      <w:r w:rsidRPr="009819CE">
        <w:rPr>
          <w:rFonts w:cstheme="minorBidi"/>
        </w:rPr>
        <w:t xml:space="preserve"> in the CSA</w:t>
      </w:r>
      <w:bookmarkEnd w:id="240"/>
    </w:p>
    <w:p w14:paraId="19F531ED" w14:textId="0CA3AAA4" w:rsidR="00F36ABA" w:rsidRPr="009819CE" w:rsidRDefault="00F36ABA" w:rsidP="00F36ABA">
      <w:pPr>
        <w:rPr>
          <w:rStyle w:val="Emphasis"/>
          <w:rFonts w:cstheme="minorBidi"/>
          <w:i w:val="0"/>
          <w:iCs w:val="0"/>
          <w:color w:val="0E101A"/>
        </w:rPr>
      </w:pPr>
      <w:r w:rsidRPr="009819CE">
        <w:rPr>
          <w:rStyle w:val="Emphasis"/>
          <w:rFonts w:cstheme="minorBidi"/>
          <w:i w:val="0"/>
          <w:iCs w:val="0"/>
          <w:color w:val="0E101A"/>
        </w:rPr>
        <w:t xml:space="preserve">The </w:t>
      </w:r>
      <w:r w:rsidRPr="009819CE">
        <w:rPr>
          <w:rStyle w:val="Emphasis"/>
          <w:rFonts w:cstheme="minorBidi"/>
          <w:color w:val="0E101A"/>
        </w:rPr>
        <w:t>Hemodinium</w:t>
      </w:r>
      <w:r w:rsidRPr="009819CE">
        <w:rPr>
          <w:rStyle w:val="Emphasis"/>
          <w:rFonts w:cstheme="minorBidi"/>
          <w:i w:val="0"/>
          <w:iCs w:val="0"/>
          <w:color w:val="0E101A"/>
        </w:rPr>
        <w:t>-</w:t>
      </w:r>
      <w:r w:rsidR="00C31E47" w:rsidRPr="009819CE">
        <w:rPr>
          <w:rStyle w:val="Emphasis"/>
          <w:rFonts w:cstheme="minorBidi"/>
          <w:color w:val="0E101A"/>
        </w:rPr>
        <w:t>Nephrops</w:t>
      </w:r>
      <w:r w:rsidRPr="009819CE">
        <w:rPr>
          <w:rStyle w:val="Emphasis"/>
          <w:rFonts w:cstheme="minorBidi"/>
          <w:i w:val="0"/>
          <w:iCs w:val="0"/>
          <w:color w:val="0E101A"/>
        </w:rPr>
        <w:t xml:space="preserve"> system, involving </w:t>
      </w:r>
      <w:r w:rsidR="009D03F4" w:rsidRPr="009819CE">
        <w:rPr>
          <w:rStyle w:val="Emphasis"/>
          <w:rFonts w:cstheme="minorBidi"/>
          <w:color w:val="0E101A"/>
        </w:rPr>
        <w:t>Hematodinium</w:t>
      </w:r>
      <w:r w:rsidRPr="009819CE">
        <w:rPr>
          <w:rStyle w:val="Emphasis"/>
          <w:rFonts w:cstheme="minorBidi"/>
          <w:i w:val="0"/>
          <w:iCs w:val="0"/>
          <w:color w:val="0E101A"/>
        </w:rPr>
        <w:t xml:space="preserve"> sp. infections in </w:t>
      </w:r>
      <w:r w:rsidR="00C31E47" w:rsidRPr="009819CE">
        <w:rPr>
          <w:rStyle w:val="Emphasis"/>
          <w:rFonts w:cstheme="minorBidi"/>
          <w:color w:val="0E101A"/>
        </w:rPr>
        <w:t>Nephrops</w:t>
      </w:r>
      <w:r w:rsidRPr="009819CE">
        <w:rPr>
          <w:rStyle w:val="Emphasis"/>
          <w:rFonts w:cstheme="minorBidi"/>
          <w:i w:val="0"/>
          <w:iCs w:val="0"/>
          <w:color w:val="0E101A"/>
        </w:rPr>
        <w:t xml:space="preserve"> </w:t>
      </w:r>
      <w:r w:rsidRPr="007268F5">
        <w:rPr>
          <w:rStyle w:val="Emphasis"/>
          <w:rFonts w:cstheme="minorBidi"/>
          <w:color w:val="0E101A"/>
        </w:rPr>
        <w:t xml:space="preserve">norvegicus </w:t>
      </w:r>
      <w:r w:rsidRPr="009819CE">
        <w:rPr>
          <w:rStyle w:val="Emphasis"/>
          <w:rFonts w:cstheme="minorBidi"/>
          <w:i w:val="0"/>
          <w:iCs w:val="0"/>
          <w:color w:val="0E101A"/>
        </w:rPr>
        <w:t>within the CSA (Clyde Sea Area), has been the subject of extensive research over the past three decades,</w:t>
      </w:r>
      <w:r w:rsidRPr="009819CE">
        <w:rPr>
          <w:rFonts w:cstheme="minorBidi"/>
          <w:i/>
          <w:iCs/>
        </w:rPr>
        <w:t xml:space="preserve"> </w:t>
      </w:r>
      <w:r w:rsidRPr="009819CE">
        <w:rPr>
          <w:rStyle w:val="Emphasis"/>
          <w:rFonts w:cstheme="minorBidi"/>
          <w:i w:val="0"/>
          <w:iCs w:val="0"/>
          <w:color w:val="0E101A"/>
        </w:rPr>
        <w:t xml:space="preserve">with prevalence data available since the 1980s. This system has been thoroughly documented and is globally recognized as one of the most extensively studied. </w:t>
      </w:r>
    </w:p>
    <w:p w14:paraId="6E890159" w14:textId="00029E03" w:rsidR="00F36ABA" w:rsidRPr="009819CE" w:rsidRDefault="00F36ABA" w:rsidP="005718CD">
      <w:pPr>
        <w:rPr>
          <w:rStyle w:val="Emphasis"/>
          <w:rFonts w:cstheme="minorBidi"/>
          <w:i w:val="0"/>
          <w:iCs w:val="0"/>
          <w:color w:val="0E101A"/>
        </w:rPr>
      </w:pPr>
      <w:r w:rsidRPr="009819CE">
        <w:rPr>
          <w:rStyle w:val="Emphasis"/>
          <w:rFonts w:cstheme="minorBidi"/>
          <w:i w:val="0"/>
          <w:iCs w:val="0"/>
          <w:color w:val="0E101A"/>
        </w:rPr>
        <w:t xml:space="preserve">The findings of this research indicate that the </w:t>
      </w:r>
      <w:r w:rsidR="00F6071E" w:rsidRPr="009819CE">
        <w:rPr>
          <w:rStyle w:val="Emphasis"/>
          <w:rFonts w:cstheme="minorBidi"/>
          <w:i w:val="0"/>
          <w:iCs w:val="0"/>
          <w:color w:val="0E101A"/>
        </w:rPr>
        <w:t xml:space="preserve">patent infection </w:t>
      </w:r>
      <w:r w:rsidRPr="009819CE">
        <w:rPr>
          <w:rStyle w:val="Emphasis"/>
          <w:rFonts w:cstheme="minorBidi"/>
          <w:i w:val="0"/>
          <w:iCs w:val="0"/>
          <w:color w:val="0E101A"/>
        </w:rPr>
        <w:t xml:space="preserve">associated with </w:t>
      </w:r>
      <w:r w:rsidR="009D03F4" w:rsidRPr="009819CE">
        <w:rPr>
          <w:rStyle w:val="Emphasis"/>
          <w:rFonts w:cstheme="minorBidi"/>
          <w:color w:val="0E101A"/>
        </w:rPr>
        <w:t>Hematodinium</w:t>
      </w:r>
      <w:r w:rsidRPr="009819CE">
        <w:rPr>
          <w:rStyle w:val="Emphasis"/>
          <w:rFonts w:cstheme="minorBidi"/>
          <w:i w:val="0"/>
          <w:iCs w:val="0"/>
          <w:color w:val="0E101A"/>
        </w:rPr>
        <w:t xml:space="preserve"> sp. exhibits a pronounced seasonal pattern within the CSA. Prevalence values during the peak of infection, characterized by high prevalence and severity, are  mostly in line with previous data sets </w:t>
      </w:r>
      <w:r w:rsidRPr="009819CE">
        <w:rPr>
          <w:rStyle w:val="Emphasis"/>
          <w:rFonts w:cstheme="minorBidi"/>
          <w:i w:val="0"/>
          <w:iCs w:val="0"/>
          <w:color w:val="0E101A"/>
        </w:rPr>
        <w:fldChar w:fldCharType="begin">
          <w:fldData xml:space="preserve">PEVuZE5vdGU+PENpdGU+PEF1dGhvcj5GaWVsZDwvQXV0aG9yPjxZZWFyPjE5OTI8L1llYXI+PFJl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==
</w:fldData>
        </w:fldChar>
      </w:r>
      <w:r w:rsidR="008F34E4" w:rsidRPr="009819CE">
        <w:rPr>
          <w:rStyle w:val="Emphasis"/>
          <w:rFonts w:cstheme="minorBidi"/>
          <w:i w:val="0"/>
          <w:iCs w:val="0"/>
          <w:color w:val="0E101A"/>
        </w:rPr>
        <w:instrText xml:space="preserve"> ADDIN EN.CITE </w:instrText>
      </w:r>
      <w:r w:rsidR="008F34E4" w:rsidRPr="009819CE">
        <w:rPr>
          <w:rStyle w:val="Emphasis"/>
          <w:rFonts w:cstheme="minorBidi"/>
          <w:i w:val="0"/>
          <w:iCs w:val="0"/>
          <w:color w:val="0E101A"/>
        </w:rPr>
        <w:fldChar w:fldCharType="begin">
          <w:fldData xml:space="preserve">PEVuZE5vdGU+PENpdGU+PEF1dGhvcj5GaWVsZDwvQXV0aG9yPjxZZWFyPjE5OTI8L1llYXI+PFJl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==
</w:fldData>
        </w:fldChar>
      </w:r>
      <w:r w:rsidR="008F34E4" w:rsidRPr="009819CE">
        <w:rPr>
          <w:rStyle w:val="Emphasis"/>
          <w:rFonts w:cstheme="minorBidi"/>
          <w:i w:val="0"/>
          <w:iCs w:val="0"/>
          <w:color w:val="0E101A"/>
        </w:rPr>
        <w:instrText xml:space="preserve"> ADDIN EN.CITE.DATA </w:instrText>
      </w:r>
      <w:r w:rsidR="008F34E4" w:rsidRPr="009819CE">
        <w:rPr>
          <w:rStyle w:val="Emphasis"/>
          <w:rFonts w:cstheme="minorBidi"/>
          <w:i w:val="0"/>
          <w:iCs w:val="0"/>
          <w:color w:val="0E101A"/>
        </w:rPr>
      </w:r>
      <w:r w:rsidR="008F34E4" w:rsidRPr="009819CE">
        <w:rPr>
          <w:rStyle w:val="Emphasis"/>
          <w:rFonts w:cstheme="minorBidi"/>
          <w:i w:val="0"/>
          <w:iCs w:val="0"/>
          <w:color w:val="0E101A"/>
        </w:rPr>
        <w:fldChar w:fldCharType="end"/>
      </w:r>
      <w:r w:rsidRPr="009819CE">
        <w:rPr>
          <w:rStyle w:val="Emphasis"/>
          <w:rFonts w:cstheme="minorBidi"/>
          <w:i w:val="0"/>
          <w:iCs w:val="0"/>
          <w:color w:val="0E101A"/>
        </w:rPr>
      </w:r>
      <w:r w:rsidRPr="009819CE">
        <w:rPr>
          <w:rStyle w:val="Emphasis"/>
          <w:rFonts w:cstheme="minorBidi"/>
          <w:i w:val="0"/>
          <w:iCs w:val="0"/>
          <w:color w:val="0E101A"/>
        </w:rPr>
        <w:fldChar w:fldCharType="separate"/>
      </w:r>
      <w:r w:rsidR="00D50EFF" w:rsidRPr="007268F5">
        <w:rPr>
          <w:rStyle w:val="Emphasis"/>
          <w:rFonts w:cstheme="minorBidi"/>
          <w:i w:val="0"/>
          <w:iCs w:val="0"/>
          <w:color w:val="0E101A"/>
        </w:rPr>
        <w:t>(</w:t>
      </w:r>
      <w:hyperlink w:anchor="_ENREF_29" w:tooltip="Beevers, 2012 #377" w:history="1">
        <w:r w:rsidR="00950097" w:rsidRPr="007268F5">
          <w:rPr>
            <w:rStyle w:val="Emphasis"/>
            <w:rFonts w:cstheme="minorBidi"/>
            <w:i w:val="0"/>
            <w:iCs w:val="0"/>
            <w:color w:val="0E101A"/>
          </w:rPr>
          <w:t>Beevers et al., 2012</w:t>
        </w:r>
      </w:hyperlink>
      <w:r w:rsidR="00D50EFF" w:rsidRPr="007268F5">
        <w:rPr>
          <w:rStyle w:val="Emphasis"/>
          <w:rFonts w:cstheme="minorBidi"/>
          <w:i w:val="0"/>
          <w:iCs w:val="0"/>
          <w:color w:val="0E101A"/>
        </w:rPr>
        <w:t xml:space="preserve">; </w:t>
      </w:r>
      <w:hyperlink w:anchor="_ENREF_34" w:tooltip="Briggs, 2002 #374" w:history="1">
        <w:r w:rsidR="00950097" w:rsidRPr="007268F5">
          <w:rPr>
            <w:rStyle w:val="Emphasis"/>
            <w:rFonts w:cstheme="minorBidi"/>
            <w:i w:val="0"/>
            <w:iCs w:val="0"/>
            <w:color w:val="0E101A"/>
          </w:rPr>
          <w:t>Briggs and McAliskey, 2002</w:t>
        </w:r>
      </w:hyperlink>
      <w:r w:rsidR="00D50EFF" w:rsidRPr="007268F5">
        <w:rPr>
          <w:rStyle w:val="Emphasis"/>
          <w:rFonts w:cstheme="minorBidi"/>
          <w:i w:val="0"/>
          <w:iCs w:val="0"/>
          <w:color w:val="0E101A"/>
        </w:rPr>
        <w:t xml:space="preserve">; </w:t>
      </w:r>
      <w:hyperlink w:anchor="_ENREF_95" w:tooltip="Field, 1992 #448" w:history="1">
        <w:r w:rsidR="00950097" w:rsidRPr="007268F5">
          <w:rPr>
            <w:rStyle w:val="Emphasis"/>
            <w:rFonts w:cstheme="minorBidi"/>
            <w:i w:val="0"/>
            <w:iCs w:val="0"/>
            <w:color w:val="0E101A"/>
          </w:rPr>
          <w:t>Field et al., 1992</w:t>
        </w:r>
      </w:hyperlink>
      <w:r w:rsidR="00D50EFF" w:rsidRPr="007268F5">
        <w:rPr>
          <w:rStyle w:val="Emphasis"/>
          <w:rFonts w:cstheme="minorBidi"/>
          <w:i w:val="0"/>
          <w:iCs w:val="0"/>
          <w:color w:val="0E101A"/>
        </w:rPr>
        <w:t xml:space="preserve">; </w:t>
      </w:r>
      <w:hyperlink w:anchor="_ENREF_96" w:tooltip="Field, 1998 #1686" w:history="1">
        <w:r w:rsidR="00950097" w:rsidRPr="007268F5">
          <w:rPr>
            <w:rStyle w:val="Emphasis"/>
            <w:rFonts w:cstheme="minorBidi"/>
            <w:i w:val="0"/>
            <w:iCs w:val="0"/>
            <w:color w:val="0E101A"/>
          </w:rPr>
          <w:t>Field et al., 1998</w:t>
        </w:r>
      </w:hyperlink>
      <w:r w:rsidR="00D50EFF" w:rsidRPr="007268F5">
        <w:rPr>
          <w:rStyle w:val="Emphasis"/>
          <w:rFonts w:cstheme="minorBidi"/>
          <w:i w:val="0"/>
          <w:iCs w:val="0"/>
          <w:color w:val="0E101A"/>
        </w:rPr>
        <w:t xml:space="preserve">; </w:t>
      </w:r>
      <w:hyperlink w:anchor="_ENREF_297" w:tooltip="Stentiford, 2001 #124" w:history="1">
        <w:r w:rsidR="00950097" w:rsidRPr="007268F5">
          <w:rPr>
            <w:rStyle w:val="Emphasis"/>
            <w:rFonts w:cstheme="minorBidi"/>
            <w:i w:val="0"/>
            <w:iCs w:val="0"/>
            <w:color w:val="0E101A"/>
          </w:rPr>
          <w:t>Stentiford et al., 2001a</w:t>
        </w:r>
      </w:hyperlink>
      <w:r w:rsidR="00D50EFF" w:rsidRPr="007268F5">
        <w:rPr>
          <w:rStyle w:val="Emphasis"/>
          <w:rFonts w:cstheme="minorBidi"/>
          <w:i w:val="0"/>
          <w:iCs w:val="0"/>
          <w:color w:val="0E101A"/>
        </w:rPr>
        <w:t>)</w:t>
      </w:r>
      <w:r w:rsidRPr="009819CE">
        <w:rPr>
          <w:rStyle w:val="Emphasis"/>
          <w:rFonts w:cstheme="minorBidi"/>
          <w:i w:val="0"/>
          <w:iCs w:val="0"/>
          <w:color w:val="0E101A"/>
        </w:rPr>
        <w:fldChar w:fldCharType="end"/>
      </w:r>
      <w:r w:rsidRPr="009819CE">
        <w:rPr>
          <w:rFonts w:cstheme="minorBidi"/>
          <w:i/>
          <w:iCs/>
        </w:rPr>
        <w:t xml:space="preserve">. </w:t>
      </w:r>
      <w:r w:rsidRPr="009819CE">
        <w:rPr>
          <w:rStyle w:val="Emphasis"/>
          <w:rFonts w:cstheme="minorBidi"/>
          <w:i w:val="0"/>
          <w:iCs w:val="0"/>
          <w:color w:val="0E101A"/>
        </w:rPr>
        <w:t>In this study, the primary peak of infection occurred in March (15.6% BCM;</w:t>
      </w:r>
      <w:r w:rsidRPr="009819CE">
        <w:rPr>
          <w:rFonts w:cstheme="minorBidi"/>
          <w:i/>
          <w:iCs/>
        </w:rPr>
        <w:t xml:space="preserve"> </w:t>
      </w:r>
      <w:r w:rsidRPr="009819CE">
        <w:rPr>
          <w:rStyle w:val="Emphasis"/>
          <w:rFonts w:cstheme="minorBidi"/>
          <w:i w:val="0"/>
          <w:iCs w:val="0"/>
          <w:color w:val="0E101A"/>
        </w:rPr>
        <w:t xml:space="preserve">33.3% PM; high prevalence, high severity), as measured by BCM and PM </w:t>
      </w:r>
      <w:r w:rsidRPr="009819CE">
        <w:rPr>
          <w:rStyle w:val="Emphasis"/>
          <w:rFonts w:cstheme="minorBidi"/>
          <w:color w:val="0E101A"/>
        </w:rPr>
        <w:t>(</w:t>
      </w:r>
      <w:r w:rsidRPr="009819CE">
        <w:rPr>
          <w:rStyle w:val="Emphasis"/>
          <w:rFonts w:cstheme="minorBidi"/>
          <w:color w:val="0E101A"/>
        </w:rPr>
        <w:fldChar w:fldCharType="begin"/>
      </w:r>
      <w:r w:rsidRPr="009819CE">
        <w:rPr>
          <w:rStyle w:val="Emphasis"/>
          <w:rFonts w:cstheme="minorBidi"/>
          <w:color w:val="0E101A"/>
        </w:rPr>
        <w:instrText xml:space="preserve"> REF _Ref110930384 \h  \* MERGEFORMAT </w:instrText>
      </w:r>
      <w:r w:rsidRPr="009819CE">
        <w:rPr>
          <w:rStyle w:val="Emphasis"/>
          <w:rFonts w:cstheme="minorBidi"/>
          <w:color w:val="0E101A"/>
        </w:rPr>
      </w:r>
      <w:r w:rsidRPr="009819CE">
        <w:rPr>
          <w:rStyle w:val="Emphasis"/>
          <w:rFonts w:cstheme="minorBidi"/>
          <w:color w:val="0E101A"/>
        </w:rPr>
        <w:fldChar w:fldCharType="separate"/>
      </w:r>
      <w:r w:rsidR="008549FC" w:rsidRPr="008549FC">
        <w:rPr>
          <w:rFonts w:cstheme="minorBidi"/>
          <w:b/>
        </w:rPr>
        <w:t>Figure 2.8</w:t>
      </w:r>
      <w:r w:rsidRPr="009819CE">
        <w:rPr>
          <w:rStyle w:val="Emphasis"/>
          <w:rFonts w:cstheme="minorBidi"/>
          <w:color w:val="0E101A"/>
        </w:rPr>
        <w:fldChar w:fldCharType="end"/>
      </w:r>
      <w:r w:rsidRPr="009819CE">
        <w:rPr>
          <w:rStyle w:val="Emphasis"/>
          <w:rFonts w:cstheme="minorBidi"/>
          <w:color w:val="0E101A"/>
        </w:rPr>
        <w:t xml:space="preserve">). </w:t>
      </w:r>
      <w:r w:rsidRPr="009819CE">
        <w:rPr>
          <w:rStyle w:val="Emphasis"/>
          <w:rFonts w:cstheme="minorBidi"/>
          <w:i w:val="0"/>
          <w:iCs w:val="0"/>
          <w:color w:val="0E101A"/>
        </w:rPr>
        <w:t xml:space="preserve">This was followed by a smaller peak (21.5% PM; high prevalence, low severity) four months later, toward the end of the summer period. The presence of this bimodal high prevalence peak was previously documented by </w:t>
      </w:r>
      <w:hyperlink w:anchor="_ENREF_94" w:tooltip="Field, 1995 #1268" w:history="1">
        <w:r w:rsidR="00950097" w:rsidRPr="009819CE">
          <w:rPr>
            <w:rStyle w:val="Emphasis"/>
            <w:rFonts w:cstheme="minorBidi"/>
            <w:i w:val="0"/>
            <w:iCs w:val="0"/>
            <w:color w:val="0E101A"/>
          </w:rPr>
          <w:fldChar w:fldCharType="begin"/>
        </w:r>
        <w:r w:rsidR="00950097" w:rsidRPr="009819CE">
          <w:rPr>
            <w:rStyle w:val="Emphasis"/>
            <w:rFonts w:cstheme="minorBidi"/>
            <w:i w:val="0"/>
            <w:iCs w:val="0"/>
            <w:color w:val="0E101A"/>
          </w:rPr>
          <w:instrText xml:space="preserve"> ADDIN EN.CITE &lt;EndNote&gt;&lt;Cite AuthorYear="1"&gt;&lt;Author&gt;Field&lt;/Author&gt;&lt;Year&gt;1995&lt;/Year&gt;&lt;RecNum&gt;1268&lt;/RecNum&gt;&lt;DisplayText&gt;Field et al. (1995)&lt;/DisplayText&gt;&lt;record&gt;&lt;rec-number&gt;1268&lt;/rec-number&gt;&lt;foreign-keys&gt;&lt;key app="EN" db-id="sd9wrx9fj09rx3erprsx999o0r5aprvp2zse" timestamp="1687855902" guid="d92ab6ac-93ef-465d-bdc8-f801b7b16171"&gt;1268&lt;/key&gt;&lt;/foreign-keys&gt;&lt;ref-type name="Report"&gt;27&lt;/ref-type&gt;&lt;contributors&gt;&lt;authors&gt;&lt;author&gt;Field, Robert Henry&lt;/author&gt;&lt;author&gt;Appleton, Paul Lauwrance&lt;/author&gt;&lt;author&gt;Vickerman, Keith&lt;/author&gt;&lt;author&gt;Atkinson, Robert James A.&lt;/author&gt;&lt;author&gt;Taylor, A. C.&lt;/author&gt;&lt;author&gt;Rogerson, A.&lt;/author&gt;&lt;author&gt;Neil, Douglas M.&lt;/author&gt;&lt;author&gt;Shanks, A.&lt;/author&gt;&lt;/authors&gt;&lt;tertiary-authors&gt;&lt;author&gt;Ministry of Agriculture, Fisheries and Food, UK&lt;/author&gt;&lt;/tertiary-authors&gt;&lt;/contributors&gt;&lt;titles&gt;&lt;title&gt;&lt;style face="normal" font="default" size="100%"&gt;Mortality of &lt;/style&gt;&lt;style face="italic" font="default" size="100%"&gt;Nephrops norvegicus &lt;/style&gt;&lt;style face="normal" font="default" size="100%"&gt;on the West Coast of Scotland. Project reference: CSA 2139&lt;/style&gt;&lt;/title&gt;&lt;/titles&gt;&lt;dates&gt;&lt;year&gt;1995&lt;/year&gt;&lt;/dates&gt;&lt;publisher&gt;Report to the Ministry of Agriculture, Fisheries and Food, UK&lt;/publisher&gt;&lt;isbn&gt;CSA 2139&lt;/isbn&gt;&lt;urls&gt;&lt;/urls&gt;&lt;/record&gt;&lt;/Cite&gt;&lt;/EndNote&gt;</w:instrText>
        </w:r>
        <w:r w:rsidR="00950097" w:rsidRPr="009819CE">
          <w:rPr>
            <w:rStyle w:val="Emphasis"/>
            <w:rFonts w:cstheme="minorBidi"/>
            <w:i w:val="0"/>
            <w:iCs w:val="0"/>
            <w:color w:val="0E101A"/>
          </w:rPr>
          <w:fldChar w:fldCharType="separate"/>
        </w:r>
        <w:r w:rsidR="00950097" w:rsidRPr="007268F5">
          <w:rPr>
            <w:rStyle w:val="Emphasis"/>
            <w:rFonts w:cstheme="minorBidi"/>
            <w:i w:val="0"/>
            <w:iCs w:val="0"/>
            <w:color w:val="0E101A"/>
          </w:rPr>
          <w:t>Field et al. (1995)</w:t>
        </w:r>
        <w:r w:rsidR="00950097" w:rsidRPr="009819CE">
          <w:rPr>
            <w:rStyle w:val="Emphasis"/>
            <w:rFonts w:cstheme="minorBidi"/>
            <w:i w:val="0"/>
            <w:iCs w:val="0"/>
            <w:color w:val="0E101A"/>
          </w:rPr>
          <w:fldChar w:fldCharType="end"/>
        </w:r>
      </w:hyperlink>
      <w:r w:rsidRPr="009819CE">
        <w:rPr>
          <w:rStyle w:val="Emphasis"/>
          <w:rFonts w:cstheme="minorBidi"/>
          <w:i w:val="0"/>
          <w:iCs w:val="0"/>
          <w:color w:val="0E101A"/>
        </w:rPr>
        <w:t xml:space="preserve">, although it may not always be evident or detected </w:t>
      </w:r>
      <w:r w:rsidRPr="009819CE">
        <w:rPr>
          <w:rStyle w:val="Emphasis"/>
          <w:rFonts w:cstheme="minorBidi"/>
          <w:i w:val="0"/>
          <w:iCs w:val="0"/>
          <w:color w:val="0E101A"/>
        </w:rPr>
        <w:fldChar w:fldCharType="begin"/>
      </w:r>
      <w:r w:rsidR="00D50EFF" w:rsidRPr="009819CE">
        <w:rPr>
          <w:rStyle w:val="Emphasis"/>
          <w:rFonts w:cstheme="minorBidi"/>
          <w:i w:val="0"/>
          <w:iCs w:val="0"/>
          <w:color w:val="0E101A"/>
        </w:rPr>
        <w:instrText xml:space="preserve"> ADDIN EN.CITE &lt;EndNote&gt;&lt;Cite&gt;&lt;Author&gt;Stentiford&lt;/Author&gt;&lt;Year&gt;2001&lt;/Year&gt;&lt;RecNum&gt;124&lt;/RecNum&gt;&lt;DisplayText&gt;(Stentiford et al., 2001a)&lt;/DisplayText&gt;&lt;record&gt;&lt;rec-number&gt;124&lt;/rec-number&gt;&lt;foreign-keys&gt;&lt;key app="EN" db-id="sd9wrx9fj09rx3erprsx999o0r5aprvp2zse" timestamp="1687855901" guid="09c5d39b-f816-4e12-ae84-6f5c91f6c410"&gt;124&lt;/key&gt;&lt;/foreign-keys&gt;&lt;ref-type name="Journal Article"&gt;17&lt;/ref-type&gt;&lt;contributors&gt;&lt;authors&gt;&lt;author&gt;Stentiford, Grant&lt;/author&gt;&lt;author&gt;Neil, Douglas M.&lt;/author&gt;&lt;author&gt;Atkinson, Robert James A.&lt;/author&gt;&lt;/authors&gt;&lt;/contributors&gt;&lt;titles&gt;&lt;title&gt;&lt;style face="normal" font="default" size="100%"&gt;The relationship of &lt;/style&gt;&lt;style face="italic" font="default" size="100%"&gt;Hematodinium &lt;/style&gt;&lt;style face="normal" font="default" size="100%"&gt;infection prevalence in a Scottish &lt;/style&gt;&lt;style face="italic" font="default" size="100%"&gt;Nephrops norvegicus&lt;/style&gt;&lt;style face="normal" font="default" size="100%"&gt; population to season, moulting and sex&lt;/style&gt;&lt;/title&gt;&lt;secondary-title&gt;ICES Journal of Marine Science&lt;/secondary-title&gt;&lt;/titles&gt;&lt;periodical&gt;&lt;full-title&gt;ICES Journal of Marine Science&lt;/full-title&gt;&lt;/periodical&gt;&lt;pages&gt;814-823&lt;/pages&gt;&lt;volume&gt;58&lt;/volume&gt;&lt;number&gt;4&lt;/number&gt;&lt;keywords&gt;&lt;keyword&gt;Hematodinium&lt;/keyword&gt;&lt;keyword&gt;Infection prevalence&lt;/keyword&gt;&lt;keyword&gt;Moult cycle&lt;/keyword&gt;&lt;keyword&gt;Nephrops norvegicus&lt;/keyword&gt;&lt;keyword&gt;Parasite&lt;/keyword&gt;&lt;/keywords&gt;&lt;dates&gt;&lt;year&gt;2001&lt;/year&gt;&lt;pub-dates&gt;&lt;date&gt;2001/8//&lt;/date&gt;&lt;/pub-dates&gt;&lt;/dates&gt;&lt;urls&gt;&lt;related-urls&gt;&lt;url&gt;https://academic.oup.com/icesjms/article-lookup/doi/10.1006/jmsc.2001.1072&lt;/url&gt;&lt;/related-urls&gt;&lt;/urls&gt;&lt;electronic-resource-num&gt;10.1006/jmsc.2001.1072&lt;/electronic-resource-num&gt;&lt;/record&gt;&lt;/Cite&gt;&lt;/EndNote&gt;</w:instrText>
      </w:r>
      <w:r w:rsidRPr="009819CE">
        <w:rPr>
          <w:rStyle w:val="Emphasis"/>
          <w:rFonts w:cstheme="minorBidi"/>
          <w:i w:val="0"/>
          <w:iCs w:val="0"/>
          <w:color w:val="0E101A"/>
        </w:rPr>
        <w:fldChar w:fldCharType="separate"/>
      </w:r>
      <w:r w:rsidR="00D50EFF" w:rsidRPr="009819CE">
        <w:rPr>
          <w:rStyle w:val="Emphasis"/>
          <w:rFonts w:cstheme="minorBidi"/>
          <w:i w:val="0"/>
          <w:iCs w:val="0"/>
          <w:color w:val="0E101A"/>
        </w:rPr>
        <w:t>(</w:t>
      </w:r>
      <w:hyperlink w:anchor="_ENREF_297" w:tooltip="Stentiford, 2001 #124" w:history="1">
        <w:r w:rsidR="00950097" w:rsidRPr="009819CE">
          <w:rPr>
            <w:rStyle w:val="Emphasis"/>
            <w:rFonts w:cstheme="minorBidi"/>
            <w:i w:val="0"/>
            <w:iCs w:val="0"/>
            <w:color w:val="0E101A"/>
          </w:rPr>
          <w:t>Stentiford et al., 2001a</w:t>
        </w:r>
      </w:hyperlink>
      <w:r w:rsidR="00D50EFF" w:rsidRPr="009819CE">
        <w:rPr>
          <w:rStyle w:val="Emphasis"/>
          <w:rFonts w:cstheme="minorBidi"/>
          <w:i w:val="0"/>
          <w:iCs w:val="0"/>
          <w:color w:val="0E101A"/>
        </w:rPr>
        <w:t>)</w:t>
      </w:r>
      <w:r w:rsidRPr="009819CE">
        <w:rPr>
          <w:rStyle w:val="Emphasis"/>
          <w:rFonts w:cstheme="minorBidi"/>
          <w:i w:val="0"/>
          <w:iCs w:val="0"/>
          <w:color w:val="0E101A"/>
        </w:rPr>
        <w:fldChar w:fldCharType="end"/>
      </w:r>
      <w:r w:rsidRPr="009819CE">
        <w:rPr>
          <w:rStyle w:val="Emphasis"/>
          <w:rFonts w:cstheme="minorBidi"/>
          <w:i w:val="0"/>
          <w:iCs w:val="0"/>
          <w:color w:val="0E101A"/>
        </w:rPr>
        <w:t>.</w:t>
      </w:r>
      <w:r w:rsidRPr="009819CE">
        <w:rPr>
          <w:rFonts w:cstheme="minorBidi"/>
          <w:i/>
          <w:iCs/>
        </w:rPr>
        <w:t xml:space="preserve"> </w:t>
      </w:r>
      <w:r w:rsidRPr="009819CE">
        <w:rPr>
          <w:rStyle w:val="Emphasis"/>
          <w:rFonts w:cstheme="minorBidi"/>
          <w:i w:val="0"/>
          <w:iCs w:val="0"/>
          <w:color w:val="0E101A"/>
        </w:rPr>
        <w:t>A bimodal prevalence pattern has also been observed in the A</w:t>
      </w:r>
      <w:r w:rsidR="00DF6E16" w:rsidRPr="009819CE">
        <w:rPr>
          <w:rStyle w:val="Emphasis"/>
          <w:rFonts w:cstheme="minorBidi"/>
          <w:i w:val="0"/>
          <w:iCs w:val="0"/>
          <w:color w:val="0E101A"/>
        </w:rPr>
        <w:t>tlantic</w:t>
      </w:r>
      <w:r w:rsidRPr="009819CE">
        <w:rPr>
          <w:rStyle w:val="Emphasis"/>
          <w:rFonts w:cstheme="minorBidi"/>
          <w:i w:val="0"/>
          <w:iCs w:val="0"/>
          <w:color w:val="0E101A"/>
        </w:rPr>
        <w:t xml:space="preserve"> blue crab (</w:t>
      </w:r>
      <w:r w:rsidRPr="009819CE">
        <w:rPr>
          <w:rStyle w:val="Emphasis"/>
          <w:rFonts w:cstheme="minorBidi"/>
          <w:color w:val="0E101A"/>
        </w:rPr>
        <w:t>Callinectes sapidus</w:t>
      </w:r>
      <w:r w:rsidRPr="009819CE">
        <w:rPr>
          <w:rStyle w:val="Emphasis"/>
          <w:rFonts w:cstheme="minorBidi"/>
          <w:i w:val="0"/>
          <w:iCs w:val="0"/>
          <w:color w:val="0E101A"/>
        </w:rPr>
        <w:t xml:space="preserve">) infected with </w:t>
      </w:r>
      <w:r w:rsidR="00237B91" w:rsidRPr="009819CE">
        <w:rPr>
          <w:rStyle w:val="Emphasis"/>
          <w:rFonts w:cstheme="minorBidi"/>
          <w:color w:val="0E101A"/>
        </w:rPr>
        <w:t>H</w:t>
      </w:r>
      <w:r w:rsidR="007C5088" w:rsidRPr="009819CE">
        <w:rPr>
          <w:rStyle w:val="Emphasis"/>
          <w:rFonts w:cstheme="minorBidi"/>
          <w:color w:val="0E101A"/>
        </w:rPr>
        <w:t>.</w:t>
      </w:r>
      <w:r w:rsidRPr="009819CE">
        <w:rPr>
          <w:rStyle w:val="Emphasis"/>
          <w:rFonts w:cstheme="minorBidi"/>
          <w:color w:val="0E101A"/>
        </w:rPr>
        <w:t xml:space="preserve"> perezi </w:t>
      </w:r>
      <w:r w:rsidRPr="009819CE">
        <w:rPr>
          <w:rStyle w:val="Emphasis"/>
          <w:rFonts w:cstheme="minorBidi"/>
          <w:i w:val="0"/>
          <w:iCs w:val="0"/>
          <w:color w:val="0E101A"/>
        </w:rPr>
        <w:fldChar w:fldCharType="begin">
          <w:fldData xml:space="preserve">PEVuZE5vdGU+PENpdGU+PEF1dGhvcj5NZXNzaWNrPC9BdXRob3I+PFllYXI+MjAwMDwvWWVhcj48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</w:fldData>
        </w:fldChar>
      </w:r>
      <w:r w:rsidR="00686B37" w:rsidRPr="009819CE">
        <w:rPr>
          <w:rStyle w:val="Emphasis"/>
          <w:rFonts w:cstheme="minorBidi"/>
          <w:i w:val="0"/>
          <w:iCs w:val="0"/>
          <w:color w:val="0E101A"/>
        </w:rPr>
        <w:instrText xml:space="preserve"> ADDIN EN.CITE </w:instrText>
      </w:r>
      <w:r w:rsidR="00686B37" w:rsidRPr="009819CE">
        <w:rPr>
          <w:rStyle w:val="Emphasis"/>
          <w:rFonts w:cstheme="minorBidi"/>
          <w:i w:val="0"/>
          <w:iCs w:val="0"/>
          <w:color w:val="0E101A"/>
        </w:rPr>
        <w:fldChar w:fldCharType="begin">
          <w:fldData xml:space="preserve">PEVuZE5vdGU+PENpdGU+PEF1dGhvcj5NZXNzaWNrPC9BdXRob3I+PFllYXI+MjAwMDwvWWVhcj48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</w:fldData>
        </w:fldChar>
      </w:r>
      <w:r w:rsidR="00686B37" w:rsidRPr="009819CE">
        <w:rPr>
          <w:rStyle w:val="Emphasis"/>
          <w:rFonts w:cstheme="minorBidi"/>
          <w:i w:val="0"/>
          <w:iCs w:val="0"/>
          <w:color w:val="0E101A"/>
        </w:rPr>
        <w:instrText xml:space="preserve"> ADDIN EN.CITE.DATA </w:instrText>
      </w:r>
      <w:r w:rsidR="00686B37" w:rsidRPr="009819CE">
        <w:rPr>
          <w:rStyle w:val="Emphasis"/>
          <w:rFonts w:cstheme="minorBidi"/>
          <w:i w:val="0"/>
          <w:iCs w:val="0"/>
          <w:color w:val="0E101A"/>
        </w:rPr>
      </w:r>
      <w:r w:rsidR="00686B37" w:rsidRPr="009819CE">
        <w:rPr>
          <w:rStyle w:val="Emphasis"/>
          <w:rFonts w:cstheme="minorBidi"/>
          <w:i w:val="0"/>
          <w:iCs w:val="0"/>
          <w:color w:val="0E101A"/>
        </w:rPr>
        <w:fldChar w:fldCharType="end"/>
      </w:r>
      <w:r w:rsidRPr="009819CE">
        <w:rPr>
          <w:rStyle w:val="Emphasis"/>
          <w:rFonts w:cstheme="minorBidi"/>
          <w:i w:val="0"/>
          <w:iCs w:val="0"/>
          <w:color w:val="0E101A"/>
        </w:rPr>
      </w:r>
      <w:r w:rsidRPr="009819CE">
        <w:rPr>
          <w:rStyle w:val="Emphasis"/>
          <w:rFonts w:cstheme="minorBidi"/>
          <w:i w:val="0"/>
          <w:iCs w:val="0"/>
          <w:color w:val="0E101A"/>
        </w:rPr>
        <w:fldChar w:fldCharType="separate"/>
      </w:r>
      <w:r w:rsidR="00D50EFF" w:rsidRPr="007268F5">
        <w:rPr>
          <w:rStyle w:val="Emphasis"/>
          <w:rFonts w:cstheme="minorBidi"/>
          <w:i w:val="0"/>
          <w:iCs w:val="0"/>
          <w:color w:val="0E101A"/>
        </w:rPr>
        <w:t>(</w:t>
      </w:r>
      <w:hyperlink w:anchor="_ENREF_216" w:tooltip="Messick, 2000 #335" w:history="1">
        <w:r w:rsidR="00950097" w:rsidRPr="007268F5">
          <w:rPr>
            <w:rStyle w:val="Emphasis"/>
            <w:rFonts w:cstheme="minorBidi"/>
            <w:i w:val="0"/>
            <w:iCs w:val="0"/>
            <w:color w:val="0E101A"/>
          </w:rPr>
          <w:t>Messick and Shields, 2000</w:t>
        </w:r>
      </w:hyperlink>
      <w:r w:rsidR="00D50EFF" w:rsidRPr="007268F5">
        <w:rPr>
          <w:rStyle w:val="Emphasis"/>
          <w:rFonts w:cstheme="minorBidi"/>
          <w:i w:val="0"/>
          <w:iCs w:val="0"/>
          <w:color w:val="0E101A"/>
        </w:rPr>
        <w:t xml:space="preserve">; </w:t>
      </w:r>
      <w:hyperlink w:anchor="_ENREF_276" w:tooltip="Sheppard, 2003 #134" w:history="1">
        <w:r w:rsidR="00950097" w:rsidRPr="007268F5">
          <w:rPr>
            <w:rStyle w:val="Emphasis"/>
            <w:rFonts w:cstheme="minorBidi"/>
            <w:i w:val="0"/>
            <w:iCs w:val="0"/>
            <w:color w:val="0E101A"/>
          </w:rPr>
          <w:t>Sheppard et al., 2003</w:t>
        </w:r>
      </w:hyperlink>
      <w:r w:rsidR="00D50EFF" w:rsidRPr="007268F5">
        <w:rPr>
          <w:rStyle w:val="Emphasis"/>
          <w:rFonts w:cstheme="minorBidi"/>
          <w:i w:val="0"/>
          <w:iCs w:val="0"/>
          <w:color w:val="0E101A"/>
        </w:rPr>
        <w:t>)</w:t>
      </w:r>
      <w:r w:rsidRPr="009819CE">
        <w:rPr>
          <w:rStyle w:val="Emphasis"/>
          <w:rFonts w:cstheme="minorBidi"/>
          <w:i w:val="0"/>
          <w:iCs w:val="0"/>
          <w:color w:val="0E101A"/>
        </w:rPr>
        <w:fldChar w:fldCharType="end"/>
      </w:r>
      <w:r w:rsidRPr="009819CE">
        <w:rPr>
          <w:rStyle w:val="Emphasis"/>
          <w:rFonts w:cstheme="minorBidi"/>
          <w:i w:val="0"/>
          <w:iCs w:val="0"/>
          <w:color w:val="0E101A"/>
        </w:rPr>
        <w:t>.</w:t>
      </w:r>
    </w:p>
    <w:p w14:paraId="1905B2A3" w14:textId="43E5A449" w:rsidR="00F36ABA" w:rsidRPr="009819CE" w:rsidRDefault="00F36ABA" w:rsidP="00F36ABA">
      <w:pPr>
        <w:rPr>
          <w:rStyle w:val="Emphasis"/>
          <w:rFonts w:cstheme="minorBidi"/>
          <w:i w:val="0"/>
          <w:iCs w:val="0"/>
          <w:color w:val="0E101A"/>
        </w:rPr>
      </w:pPr>
      <w:r w:rsidRPr="009819CE">
        <w:rPr>
          <w:rStyle w:val="Emphasis"/>
          <w:rFonts w:cstheme="minorBidi"/>
          <w:i w:val="0"/>
          <w:iCs w:val="0"/>
          <w:color w:val="0E101A"/>
        </w:rPr>
        <w:t xml:space="preserve">The data obtained in this study provides confirmation that </w:t>
      </w:r>
      <w:r w:rsidR="009D03F4" w:rsidRPr="009819CE">
        <w:rPr>
          <w:rStyle w:val="Emphasis"/>
          <w:rFonts w:cstheme="minorBidi"/>
          <w:color w:val="0E101A"/>
        </w:rPr>
        <w:t>Hematodinium</w:t>
      </w:r>
      <w:r w:rsidRPr="009819CE">
        <w:rPr>
          <w:rStyle w:val="Emphasis"/>
          <w:rFonts w:cstheme="minorBidi"/>
          <w:i w:val="0"/>
          <w:iCs w:val="0"/>
          <w:color w:val="0E101A"/>
        </w:rPr>
        <w:t xml:space="preserve"> sp. infections are not only present but also persistent within the </w:t>
      </w:r>
      <w:r w:rsidR="00C31E47" w:rsidRPr="009819CE">
        <w:rPr>
          <w:rStyle w:val="Emphasis"/>
          <w:rFonts w:cstheme="minorBidi"/>
          <w:color w:val="0E101A"/>
        </w:rPr>
        <w:t>Nephrops</w:t>
      </w:r>
      <w:r w:rsidRPr="009819CE">
        <w:rPr>
          <w:rStyle w:val="Emphasis"/>
          <w:rFonts w:cstheme="minorBidi"/>
          <w:i w:val="0"/>
          <w:iCs w:val="0"/>
          <w:color w:val="0E101A"/>
        </w:rPr>
        <w:t xml:space="preserve"> population in the CSA. There seems to exist an equilibrium between the impact of the parasite on the host, leading to a considerable percentage of annual mortality, and the resilience of the host population, which prevents a complete decimation, possibly due to high rates of reproduction </w:t>
      </w:r>
      <w:r w:rsidRPr="009819CE">
        <w:rPr>
          <w:rStyle w:val="Emphasis"/>
          <w:rFonts w:cstheme="minorBidi"/>
          <w:i w:val="0"/>
          <w:iCs w:val="0"/>
          <w:color w:val="0E101A"/>
        </w:rPr>
        <w:fldChar w:fldCharType="begin"/>
      </w:r>
      <w:r w:rsidR="00CE4372" w:rsidRPr="009819CE">
        <w:rPr>
          <w:rStyle w:val="Emphasis"/>
          <w:rFonts w:cstheme="minorBidi"/>
          <w:i w:val="0"/>
          <w:iCs w:val="0"/>
          <w:color w:val="0E101A"/>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Pr="009819CE">
        <w:rPr>
          <w:rStyle w:val="Emphasis"/>
          <w:rFonts w:cstheme="minorBidi"/>
          <w:i w:val="0"/>
          <w:iCs w:val="0"/>
          <w:color w:val="0E101A"/>
        </w:rPr>
        <w:fldChar w:fldCharType="separate"/>
      </w:r>
      <w:r w:rsidR="00A8698B" w:rsidRPr="007268F5">
        <w:rPr>
          <w:rStyle w:val="Emphasis"/>
          <w:rFonts w:cstheme="minorBidi"/>
          <w:i w:val="0"/>
          <w:iCs w:val="0"/>
          <w:color w:val="0E101A"/>
        </w:rPr>
        <w:t>(</w:t>
      </w:r>
      <w:hyperlink w:anchor="_ENREF_28" w:tooltip="Beevers, 2010 #247" w:history="1">
        <w:r w:rsidR="00950097" w:rsidRPr="007268F5">
          <w:rPr>
            <w:rStyle w:val="Emphasis"/>
            <w:rFonts w:cstheme="minorBidi"/>
            <w:i w:val="0"/>
            <w:iCs w:val="0"/>
            <w:color w:val="0E101A"/>
          </w:rPr>
          <w:t>Beevers, 2010</w:t>
        </w:r>
      </w:hyperlink>
      <w:r w:rsidR="00A8698B" w:rsidRPr="007268F5">
        <w:rPr>
          <w:rStyle w:val="Emphasis"/>
          <w:rFonts w:cstheme="minorBidi"/>
          <w:i w:val="0"/>
          <w:iCs w:val="0"/>
          <w:color w:val="0E101A"/>
        </w:rPr>
        <w:t>)</w:t>
      </w:r>
      <w:r w:rsidRPr="009819CE">
        <w:rPr>
          <w:rStyle w:val="Emphasis"/>
          <w:rFonts w:cstheme="minorBidi"/>
          <w:i w:val="0"/>
          <w:iCs w:val="0"/>
          <w:color w:val="0E101A"/>
        </w:rPr>
        <w:fldChar w:fldCharType="end"/>
      </w:r>
      <w:r w:rsidRPr="009819CE">
        <w:rPr>
          <w:rStyle w:val="Emphasis"/>
          <w:rFonts w:cstheme="minorBidi"/>
          <w:i w:val="0"/>
          <w:iCs w:val="0"/>
          <w:color w:val="0E101A"/>
        </w:rPr>
        <w:t xml:space="preserve">. These findings, along with the data from previous studies and the present study, offer the necessary level of detail to observe long-term trends in </w:t>
      </w:r>
      <w:r w:rsidR="009D03F4" w:rsidRPr="009819CE">
        <w:rPr>
          <w:rStyle w:val="Emphasis"/>
          <w:rFonts w:cstheme="minorBidi"/>
          <w:color w:val="0E101A"/>
        </w:rPr>
        <w:t>Hematodinium</w:t>
      </w:r>
      <w:r w:rsidRPr="009819CE">
        <w:rPr>
          <w:rStyle w:val="Emphasis"/>
          <w:rFonts w:cstheme="minorBidi"/>
          <w:i w:val="0"/>
          <w:iCs w:val="0"/>
          <w:color w:val="0E101A"/>
        </w:rPr>
        <w:t xml:space="preserve"> sp. prevalence within the CSA. Such trends can be compared to 'susceptible-infected-recovered/removed' (SIR) epidemiological model, which have been employed in analysing analogous epidemiological and endemic transitions </w:t>
      </w:r>
      <w:r w:rsidRPr="009819CE">
        <w:rPr>
          <w:rStyle w:val="Emphasis"/>
          <w:rFonts w:cstheme="minorBidi"/>
          <w:i w:val="0"/>
          <w:iCs w:val="0"/>
          <w:color w:val="0E101A"/>
        </w:rPr>
        <w:fldChar w:fldCharType="begin">
          <w:fldData xml:space="preserve">PEVuZE5vdGU+PENpdGU+PEF1dGhvcj5Td2ludG9uPC9BdXRob3I+PFllYXI+MjAwMjwvWWVhcj48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</w:fldData>
        </w:fldChar>
      </w:r>
      <w:r w:rsidR="00ED1A9E" w:rsidRPr="009819CE">
        <w:rPr>
          <w:rStyle w:val="Emphasis"/>
          <w:rFonts w:cstheme="minorBidi"/>
          <w:i w:val="0"/>
          <w:iCs w:val="0"/>
          <w:color w:val="0E101A"/>
        </w:rPr>
        <w:instrText xml:space="preserve"> ADDIN EN.CITE </w:instrText>
      </w:r>
      <w:r w:rsidR="00ED1A9E" w:rsidRPr="009819CE">
        <w:rPr>
          <w:rStyle w:val="Emphasis"/>
          <w:rFonts w:cstheme="minorBidi"/>
          <w:i w:val="0"/>
          <w:iCs w:val="0"/>
          <w:color w:val="0E101A"/>
        </w:rPr>
        <w:fldChar w:fldCharType="begin">
          <w:fldData xml:space="preserve">PEVuZE5vdGU+PENpdGU+PEF1dGhvcj5Td2ludG9uPC9BdXRob3I+PFllYXI+MjAwMjwvWWVhcj48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</w:fldData>
        </w:fldChar>
      </w:r>
      <w:r w:rsidR="00ED1A9E" w:rsidRPr="009819CE">
        <w:rPr>
          <w:rStyle w:val="Emphasis"/>
          <w:rFonts w:cstheme="minorBidi"/>
          <w:i w:val="0"/>
          <w:iCs w:val="0"/>
          <w:color w:val="0E101A"/>
        </w:rPr>
        <w:instrText xml:space="preserve"> ADDIN EN.CITE.DATA </w:instrText>
      </w:r>
      <w:r w:rsidR="00ED1A9E" w:rsidRPr="009819CE">
        <w:rPr>
          <w:rStyle w:val="Emphasis"/>
          <w:rFonts w:cstheme="minorBidi"/>
          <w:i w:val="0"/>
          <w:iCs w:val="0"/>
          <w:color w:val="0E101A"/>
        </w:rPr>
      </w:r>
      <w:r w:rsidR="00ED1A9E" w:rsidRPr="009819CE">
        <w:rPr>
          <w:rStyle w:val="Emphasis"/>
          <w:rFonts w:cstheme="minorBidi"/>
          <w:i w:val="0"/>
          <w:iCs w:val="0"/>
          <w:color w:val="0E101A"/>
        </w:rPr>
        <w:fldChar w:fldCharType="end"/>
      </w:r>
      <w:r w:rsidRPr="009819CE">
        <w:rPr>
          <w:rStyle w:val="Emphasis"/>
          <w:rFonts w:cstheme="minorBidi"/>
          <w:i w:val="0"/>
          <w:iCs w:val="0"/>
          <w:color w:val="0E101A"/>
        </w:rPr>
      </w:r>
      <w:r w:rsidRPr="009819CE">
        <w:rPr>
          <w:rStyle w:val="Emphasis"/>
          <w:rFonts w:cstheme="minorBidi"/>
          <w:i w:val="0"/>
          <w:iCs w:val="0"/>
          <w:color w:val="0E101A"/>
        </w:rPr>
        <w:fldChar w:fldCharType="separate"/>
      </w:r>
      <w:r w:rsidR="00D50EFF" w:rsidRPr="007268F5">
        <w:rPr>
          <w:rStyle w:val="Emphasis"/>
          <w:rFonts w:cstheme="minorBidi"/>
          <w:i w:val="0"/>
          <w:iCs w:val="0"/>
          <w:color w:val="0E101A"/>
        </w:rPr>
        <w:t>(</w:t>
      </w:r>
      <w:hyperlink w:anchor="_ENREF_39" w:tooltip="Cantrell, 2020 #999" w:history="1">
        <w:r w:rsidR="00950097" w:rsidRPr="007268F5">
          <w:rPr>
            <w:rStyle w:val="Emphasis"/>
            <w:rFonts w:cstheme="minorBidi"/>
            <w:i w:val="0"/>
            <w:iCs w:val="0"/>
            <w:color w:val="0E101A"/>
          </w:rPr>
          <w:t>Cantrell et al., 2020</w:t>
        </w:r>
      </w:hyperlink>
      <w:r w:rsidR="00D50EFF" w:rsidRPr="007268F5">
        <w:rPr>
          <w:rStyle w:val="Emphasis"/>
          <w:rFonts w:cstheme="minorBidi"/>
          <w:i w:val="0"/>
          <w:iCs w:val="0"/>
          <w:color w:val="0E101A"/>
        </w:rPr>
        <w:t xml:space="preserve">; </w:t>
      </w:r>
      <w:hyperlink w:anchor="_ENREF_62" w:tooltip="Davies, 2020 #1000" w:history="1">
        <w:r w:rsidR="00950097" w:rsidRPr="007268F5">
          <w:rPr>
            <w:rStyle w:val="Emphasis"/>
            <w:rFonts w:cstheme="minorBidi"/>
            <w:i w:val="0"/>
            <w:iCs w:val="0"/>
            <w:color w:val="0E101A"/>
          </w:rPr>
          <w:t>Davies et al., 2020</w:t>
        </w:r>
      </w:hyperlink>
      <w:r w:rsidR="00D50EFF" w:rsidRPr="007268F5">
        <w:rPr>
          <w:rStyle w:val="Emphasis"/>
          <w:rFonts w:cstheme="minorBidi"/>
          <w:i w:val="0"/>
          <w:iCs w:val="0"/>
          <w:color w:val="0E101A"/>
        </w:rPr>
        <w:t xml:space="preserve">; </w:t>
      </w:r>
      <w:hyperlink w:anchor="_ENREF_108" w:tooltip="Giménez-Romero, 2021 #1001" w:history="1">
        <w:r w:rsidR="00950097" w:rsidRPr="007268F5">
          <w:rPr>
            <w:rStyle w:val="Emphasis"/>
            <w:rFonts w:cstheme="minorBidi"/>
            <w:i w:val="0"/>
            <w:iCs w:val="0"/>
            <w:color w:val="0E101A"/>
          </w:rPr>
          <w:t>Giménez-Romero et al., 2021</w:t>
        </w:r>
      </w:hyperlink>
      <w:r w:rsidR="00D50EFF" w:rsidRPr="007268F5">
        <w:rPr>
          <w:rStyle w:val="Emphasis"/>
          <w:rFonts w:cstheme="minorBidi"/>
          <w:i w:val="0"/>
          <w:iCs w:val="0"/>
          <w:color w:val="0E101A"/>
        </w:rPr>
        <w:t xml:space="preserve">; </w:t>
      </w:r>
      <w:hyperlink w:anchor="_ENREF_205" w:tooltip="McCallum, 2017 #1002" w:history="1">
        <w:r w:rsidR="00950097" w:rsidRPr="007268F5">
          <w:rPr>
            <w:rStyle w:val="Emphasis"/>
            <w:rFonts w:cstheme="minorBidi"/>
            <w:i w:val="0"/>
            <w:iCs w:val="0"/>
            <w:color w:val="0E101A"/>
          </w:rPr>
          <w:t>McCallum et al., 2017</w:t>
        </w:r>
      </w:hyperlink>
      <w:r w:rsidR="00D50EFF" w:rsidRPr="007268F5">
        <w:rPr>
          <w:rStyle w:val="Emphasis"/>
          <w:rFonts w:cstheme="minorBidi"/>
          <w:i w:val="0"/>
          <w:iCs w:val="0"/>
          <w:color w:val="0E101A"/>
        </w:rPr>
        <w:t xml:space="preserve">; </w:t>
      </w:r>
      <w:hyperlink w:anchor="_ENREF_317" w:tooltip="Swinton, 2002 #996" w:history="1">
        <w:r w:rsidR="00950097" w:rsidRPr="007268F5">
          <w:rPr>
            <w:rStyle w:val="Emphasis"/>
            <w:rFonts w:cstheme="minorBidi"/>
            <w:i w:val="0"/>
            <w:iCs w:val="0"/>
            <w:color w:val="0E101A"/>
          </w:rPr>
          <w:t>Swinton et al., 2002</w:t>
        </w:r>
      </w:hyperlink>
      <w:r w:rsidR="00D50EFF" w:rsidRPr="007268F5">
        <w:rPr>
          <w:rStyle w:val="Emphasis"/>
          <w:rFonts w:cstheme="minorBidi"/>
          <w:i w:val="0"/>
          <w:iCs w:val="0"/>
          <w:color w:val="0E101A"/>
        </w:rPr>
        <w:t>)</w:t>
      </w:r>
      <w:r w:rsidRPr="009819CE">
        <w:rPr>
          <w:rStyle w:val="Emphasis"/>
          <w:rFonts w:cstheme="minorBidi"/>
          <w:i w:val="0"/>
          <w:iCs w:val="0"/>
          <w:color w:val="0E101A"/>
        </w:rPr>
        <w:fldChar w:fldCharType="end"/>
      </w:r>
      <w:r w:rsidRPr="009819CE">
        <w:rPr>
          <w:rFonts w:cstheme="minorBidi"/>
          <w:i/>
          <w:iCs/>
        </w:rPr>
        <w:t xml:space="preserve">. </w:t>
      </w:r>
      <w:r w:rsidRPr="009819CE">
        <w:rPr>
          <w:rStyle w:val="Emphasis"/>
          <w:rFonts w:cstheme="minorBidi"/>
          <w:i w:val="0"/>
          <w:iCs w:val="0"/>
          <w:color w:val="0E101A"/>
        </w:rPr>
        <w:t xml:space="preserve">While this study does not </w:t>
      </w:r>
      <w:r w:rsidR="00884FF3" w:rsidRPr="009819CE">
        <w:rPr>
          <w:rStyle w:val="Emphasis"/>
          <w:rFonts w:cstheme="minorBidi"/>
          <w:i w:val="0"/>
          <w:iCs w:val="0"/>
          <w:color w:val="0E101A"/>
        </w:rPr>
        <w:t>investigate</w:t>
      </w:r>
      <w:r w:rsidRPr="009819CE">
        <w:rPr>
          <w:rStyle w:val="Emphasis"/>
          <w:rFonts w:cstheme="minorBidi"/>
          <w:i w:val="0"/>
          <w:iCs w:val="0"/>
          <w:color w:val="0E101A"/>
        </w:rPr>
        <w:t xml:space="preserve"> the specifics of how </w:t>
      </w:r>
      <w:r w:rsidR="00C31E47" w:rsidRPr="009819CE">
        <w:rPr>
          <w:rStyle w:val="Emphasis"/>
          <w:rFonts w:cstheme="minorBidi"/>
          <w:iCs w:val="0"/>
          <w:color w:val="0E101A"/>
        </w:rPr>
        <w:t>Nephrops</w:t>
      </w:r>
      <w:r w:rsidRPr="009819CE">
        <w:rPr>
          <w:rStyle w:val="Emphasis"/>
          <w:rFonts w:cstheme="minorBidi"/>
          <w:i w:val="0"/>
          <w:iCs w:val="0"/>
          <w:color w:val="0E101A"/>
        </w:rPr>
        <w:t xml:space="preserve"> hosts sustain </w:t>
      </w:r>
      <w:r w:rsidR="009D03F4" w:rsidRPr="009819CE">
        <w:rPr>
          <w:rStyle w:val="Emphasis"/>
          <w:rFonts w:cstheme="minorBidi"/>
          <w:color w:val="0E101A"/>
        </w:rPr>
        <w:t>Hematodinium</w:t>
      </w:r>
      <w:r w:rsidRPr="009819CE">
        <w:rPr>
          <w:rStyle w:val="Emphasis"/>
          <w:rFonts w:cstheme="minorBidi"/>
          <w:i w:val="0"/>
          <w:iCs w:val="0"/>
          <w:color w:val="0E101A"/>
        </w:rPr>
        <w:t xml:space="preserve"> sp. at their current levels, the data presented here can serve as a foundation for comprehensive mathematical modelling exercises. It becomes evident, however, from the collective body of research, that </w:t>
      </w:r>
      <w:r w:rsidR="009D03F4" w:rsidRPr="009819CE">
        <w:rPr>
          <w:rStyle w:val="Emphasis"/>
          <w:rFonts w:cstheme="minorBidi"/>
          <w:color w:val="0E101A"/>
        </w:rPr>
        <w:t>Hematodinium</w:t>
      </w:r>
      <w:r w:rsidRPr="009819CE">
        <w:rPr>
          <w:rStyle w:val="Emphasis"/>
          <w:rFonts w:cstheme="minorBidi"/>
          <w:i w:val="0"/>
          <w:iCs w:val="0"/>
          <w:color w:val="0E101A"/>
        </w:rPr>
        <w:t xml:space="preserve"> sp. likely plays a significant role in regulating the host population dynamics </w:t>
      </w:r>
      <w:r w:rsidRPr="009819CE">
        <w:rPr>
          <w:rStyle w:val="Emphasis"/>
          <w:rFonts w:cstheme="minorBidi"/>
          <w:i w:val="0"/>
          <w:iCs w:val="0"/>
          <w:color w:val="0E101A"/>
        </w:rPr>
        <w:fldChar w:fldCharType="begin"/>
      </w:r>
      <w:r w:rsidR="00ED1A9E" w:rsidRPr="009819CE">
        <w:rPr>
          <w:rStyle w:val="Emphasis"/>
          <w:rFonts w:cstheme="minorBidi"/>
          <w:i w:val="0"/>
          <w:iCs w:val="0"/>
          <w:color w:val="0E101A"/>
        </w:rPr>
        <w:instrText xml:space="preserve"> ADDIN EN.CITE &lt;EndNote&gt;&lt;Cite&gt;&lt;Author&gt;Ebert&lt;/Author&gt;&lt;Year&gt;2005&lt;/Year&gt;&lt;RecNum&gt;997&lt;/RecNum&gt;&lt;DisplayText&gt;(Ebert, 2005)&lt;/DisplayText&gt;&lt;record&gt;&lt;rec-number&gt;997&lt;/rec-number&gt;&lt;foreign-keys&gt;&lt;key app="EN" db-id="sd9wrx9fj09rx3erprsx999o0r5aprvp2zse" timestamp="1687855902" guid="55d196ba-af7e-4e60-b8a1-c63dd7aa0bd3"&gt;997&lt;/key&gt;&lt;/foreign-keys&gt;&lt;ref-type name="Book Section"&gt;5&lt;/ref-type&gt;&lt;contributors&gt;&lt;authors&gt;&lt;author&gt;Ebert, Dieter&lt;/author&gt;&lt;/authors&gt;&lt;/contributors&gt;&lt;titles&gt;&lt;title&gt;Population dynamics and community ecology&lt;/title&gt;&lt;secondary-title&gt;&lt;style face="normal" font="default" size="100%"&gt;Ecology, epidemiology, and evolution of parasitism in &lt;/style&gt;&lt;style face="italic" font="default" size="100%"&gt;Daphnia&lt;/style&gt;&lt;/secondary-title&gt;&lt;/titles&gt;&lt;dates&gt;&lt;year&gt;2005&lt;/year&gt;&lt;/dates&gt;&lt;publisher&gt;National Center for Biotechnology Information (US)&lt;/publisher&gt;&lt;urls&gt;&lt;related-urls&gt;&lt;url&gt;https://www.ncbi.nlm.nih.gov/books/NBK2048/&lt;/url&gt;&lt;/related-urls&gt;&lt;/urls&gt;&lt;/record&gt;&lt;/Cite&gt;&lt;/EndNote&gt;</w:instrText>
      </w:r>
      <w:r w:rsidRPr="009819CE">
        <w:rPr>
          <w:rStyle w:val="Emphasis"/>
          <w:rFonts w:cstheme="minorBidi"/>
          <w:i w:val="0"/>
          <w:iCs w:val="0"/>
          <w:color w:val="0E101A"/>
        </w:rPr>
        <w:fldChar w:fldCharType="separate"/>
      </w:r>
      <w:r w:rsidR="00D50EFF" w:rsidRPr="007268F5">
        <w:rPr>
          <w:rStyle w:val="Emphasis"/>
          <w:rFonts w:cstheme="minorBidi"/>
          <w:i w:val="0"/>
          <w:iCs w:val="0"/>
          <w:color w:val="0E101A"/>
        </w:rPr>
        <w:t>(</w:t>
      </w:r>
      <w:hyperlink w:anchor="_ENREF_80" w:tooltip="Ebert, 2005 #997" w:history="1">
        <w:r w:rsidR="00950097" w:rsidRPr="007268F5">
          <w:rPr>
            <w:rStyle w:val="Emphasis"/>
            <w:rFonts w:cstheme="minorBidi"/>
            <w:i w:val="0"/>
            <w:iCs w:val="0"/>
            <w:color w:val="0E101A"/>
          </w:rPr>
          <w:t>Ebert, 2005</w:t>
        </w:r>
      </w:hyperlink>
      <w:r w:rsidR="00D50EFF" w:rsidRPr="007268F5">
        <w:rPr>
          <w:rStyle w:val="Emphasis"/>
          <w:rFonts w:cstheme="minorBidi"/>
          <w:i w:val="0"/>
          <w:iCs w:val="0"/>
          <w:color w:val="0E101A"/>
        </w:rPr>
        <w:t>)</w:t>
      </w:r>
      <w:r w:rsidRPr="009819CE">
        <w:rPr>
          <w:rStyle w:val="Emphasis"/>
          <w:rFonts w:cstheme="minorBidi"/>
          <w:i w:val="0"/>
          <w:iCs w:val="0"/>
          <w:color w:val="0E101A"/>
        </w:rPr>
        <w:fldChar w:fldCharType="end"/>
      </w:r>
      <w:r w:rsidRPr="009819CE">
        <w:rPr>
          <w:rFonts w:cstheme="minorBidi"/>
          <w:i/>
          <w:iCs/>
        </w:rPr>
        <w:t>.</w:t>
      </w:r>
    </w:p>
    <w:p w14:paraId="0AA2E212" w14:textId="77777777" w:rsidR="00F36ABA" w:rsidRPr="009819CE" w:rsidRDefault="00F36ABA" w:rsidP="003F5AE1">
      <w:pPr>
        <w:pStyle w:val="Heading3"/>
      </w:pPr>
      <w:bookmarkStart w:id="241" w:name="_Toc204106631"/>
      <w:r w:rsidRPr="009819CE">
        <w:t>Factors affecting infection and disease progression</w:t>
      </w:r>
      <w:bookmarkEnd w:id="241"/>
    </w:p>
    <w:p w14:paraId="25C791A0" w14:textId="2C7C1B9B" w:rsidR="00F36ABA" w:rsidRPr="009819CE" w:rsidRDefault="00F36ABA" w:rsidP="00F36ABA">
      <w:pPr>
        <w:rPr>
          <w:rFonts w:cstheme="minorBidi"/>
        </w:rPr>
      </w:pPr>
      <w:r w:rsidRPr="009819CE">
        <w:rPr>
          <w:rFonts w:cstheme="minorBidi"/>
        </w:rPr>
        <w:t xml:space="preserve">In this study </w:t>
      </w:r>
      <w:r w:rsidR="00486BF4">
        <w:rPr>
          <w:rFonts w:cstheme="minorBidi"/>
        </w:rPr>
        <w:t>it was</w:t>
      </w:r>
      <w:r w:rsidRPr="009819CE">
        <w:rPr>
          <w:rFonts w:cstheme="minorBidi"/>
        </w:rPr>
        <w:t xml:space="preserve"> observed that the presence of the parasite in the pleopod (PM-positive) is significantly associated with the sex of the host, with females being more vulnerable and prone to </w:t>
      </w:r>
      <w:r w:rsidR="009D03F4" w:rsidRPr="009819CE">
        <w:rPr>
          <w:rFonts w:cstheme="minorBidi"/>
          <w:i/>
          <w:iCs/>
        </w:rPr>
        <w:t>Hematodinium</w:t>
      </w:r>
      <w:r w:rsidRPr="009819CE">
        <w:rPr>
          <w:rFonts w:cstheme="minorBidi"/>
        </w:rPr>
        <w:t xml:space="preserve"> sp. infections in general (</w:t>
      </w:r>
      <w:r w:rsidRPr="009819CE">
        <w:rPr>
          <w:rFonts w:cstheme="minorBidi"/>
        </w:rPr>
        <w:fldChar w:fldCharType="begin"/>
      </w:r>
      <w:r w:rsidRPr="009819CE">
        <w:rPr>
          <w:rFonts w:cstheme="minorBidi"/>
        </w:rPr>
        <w:instrText xml:space="preserve"> REF _Ref140653859 \h  \* MERGEFORMAT </w:instrText>
      </w:r>
      <w:r w:rsidRPr="009819CE">
        <w:rPr>
          <w:rFonts w:cstheme="minorBidi"/>
        </w:rPr>
      </w:r>
      <w:r w:rsidRPr="009819CE">
        <w:rPr>
          <w:rFonts w:cstheme="minorBidi"/>
        </w:rPr>
        <w:fldChar w:fldCharType="separate"/>
      </w:r>
      <w:r w:rsidR="008549FC" w:rsidRPr="008549FC">
        <w:rPr>
          <w:rFonts w:cstheme="minorBidi"/>
          <w:b/>
          <w:bCs/>
        </w:rPr>
        <w:t>Table 2.2</w:t>
      </w:r>
      <w:r w:rsidRPr="009819CE">
        <w:rPr>
          <w:rFonts w:cstheme="minorBidi"/>
        </w:rPr>
        <w:fldChar w:fldCharType="end"/>
      </w:r>
      <w:r w:rsidRPr="009819CE">
        <w:rPr>
          <w:rFonts w:cstheme="minorBidi"/>
        </w:rPr>
        <w:t xml:space="preserve">) </w:t>
      </w:r>
      <w:r w:rsidRPr="009819CE">
        <w:rPr>
          <w:rFonts w:cstheme="minorBidi"/>
        </w:rPr>
        <w:fldChar w:fldCharType="begin"/>
      </w:r>
      <w:r w:rsidR="00D50EFF" w:rsidRPr="009819CE">
        <w:rPr>
          <w:rFonts w:cstheme="minorBidi"/>
        </w:rPr>
        <w:instrText xml:space="preserve"> ADDIN EN.CITE &lt;EndNote&gt;&lt;Cite&gt;&lt;Author&gt;Stentiford&lt;/Author&gt;&lt;Year&gt;2005&lt;/Year&gt;&lt;RecNum&gt;156&lt;/RecNum&gt;&lt;DisplayText&gt;(Stentiford and Shields, 2005)&lt;/DisplayText&gt;&lt;record&gt;&lt;rec-number&gt;156&lt;/rec-number&gt;&lt;foreign-keys&gt;&lt;key app="EN" db-id="sd9wrx9fj09rx3erprsx999o0r5aprvp2zse" timestamp="1687855901" guid="f898d037-301b-4944-b879-7b243ff3fb71"&gt;156&lt;/key&gt;&lt;/foreign-keys&gt;&lt;ref-type name="Journal Article"&gt;17&lt;/ref-type&gt;&lt;contributors&gt;&lt;authors&gt;&lt;author&gt;Stentiford, Grant D.&lt;/author&gt;&lt;author&gt;Shields, Jeffrey D.&lt;/author&gt;&lt;/authors&gt;&lt;/contributors&gt;&lt;titles&gt;&lt;title&gt;&lt;style face="normal" font="default" size="100%"&gt;A review of the parasitic dinoflagellates &lt;/style&gt;&lt;style face="italic" font="default" size="100%"&gt;Hematodinium s&lt;/style&gt;&lt;style face="normal" font="default" size="100%"&gt;pecies and &lt;/style&gt;&lt;style face="italic" font="default" size="100%"&gt;Hematodinium&lt;/style&gt;&lt;style face="normal" font="default" size="100%"&gt;-like infections in marine crustaceans&lt;/style&gt;&lt;/title&gt;&lt;secondary-title&gt;Diseases of Aquatic Organisms&lt;/secondary-title&gt;&lt;/titles&gt;&lt;periodical&gt;&lt;full-title&gt;Diseases of Aquatic Organisms&lt;/full-title&gt;&lt;/periodical&gt;&lt;pages&gt;47-70&lt;/pages&gt;&lt;volume&gt;66&lt;/volume&gt;&lt;number&gt;1&lt;/number&gt;&lt;keywords&gt;&lt;keyword&gt;Crab&lt;/keyword&gt;&lt;keyword&gt;Disease&lt;/keyword&gt;&lt;keyword&gt;Fishery&lt;/keyword&gt;&lt;keyword&gt;Life cycle&lt;/keyword&gt;&lt;keyword&gt;Lobster&lt;/keyword&gt;&lt;keyword&gt;Pathology&lt;/keyword&gt;&lt;keyword&gt;Physiology&lt;/keyword&gt;&lt;keyword&gt;Population&lt;/keyword&gt;&lt;/keywords&gt;&lt;dates&gt;&lt;year&gt;2005&lt;/year&gt;&lt;/dates&gt;&lt;urls&gt;&lt;related-urls&gt;&lt;url&gt;http://www.int-res.com/abstracts/dao/v66/n1/p47-70/&lt;/url&gt;&lt;url&gt;https://www.int-res.com/articles/dao2005/66/d066p047.pdf&lt;/url&gt;&lt;/related-urls&gt;&lt;/urls&gt;&lt;electronic-resource-num&gt;10.3354/dao066047&lt;/electronic-resource-num&gt;&lt;/record&gt;&lt;/Cite&gt;&lt;/EndNote&gt;</w:instrText>
      </w:r>
      <w:r w:rsidRPr="009819CE">
        <w:rPr>
          <w:rFonts w:cstheme="minorBidi"/>
        </w:rPr>
        <w:fldChar w:fldCharType="separate"/>
      </w:r>
      <w:r w:rsidR="00D50EFF" w:rsidRPr="009819CE">
        <w:rPr>
          <w:rFonts w:cstheme="minorBidi"/>
        </w:rPr>
        <w:t>(</w:t>
      </w:r>
      <w:hyperlink w:anchor="_ENREF_310" w:tooltip="Stentiford, 2005 #156" w:history="1">
        <w:r w:rsidR="00950097" w:rsidRPr="009819CE">
          <w:rPr>
            <w:rFonts w:cstheme="minorBidi"/>
          </w:rPr>
          <w:t>Stentiford and Shields, 2005</w:t>
        </w:r>
      </w:hyperlink>
      <w:r w:rsidR="00D50EFF" w:rsidRPr="009819CE">
        <w:rPr>
          <w:rFonts w:cstheme="minorBidi"/>
        </w:rPr>
        <w:t>)</w:t>
      </w:r>
      <w:r w:rsidRPr="009819CE">
        <w:rPr>
          <w:rFonts w:cstheme="minorBidi"/>
        </w:rPr>
        <w:fldChar w:fldCharType="end"/>
      </w:r>
      <w:r w:rsidRPr="009819CE">
        <w:rPr>
          <w:rFonts w:cstheme="minorBidi"/>
        </w:rPr>
        <w:t xml:space="preserve">. During the spring season, there is a notable increase in the number of female individuals in the catch. This coincides with their emergence from burrows to engage in feeding, synchronized moulting, and mating activities following the completion of the egg-brooding period </w:t>
      </w:r>
      <w:r w:rsidRPr="009819CE">
        <w:rPr>
          <w:rFonts w:cstheme="minorBidi"/>
        </w:rPr>
        <w:fldChar w:fldCharType="begin">
          <w:fldData xml:space="preserve">PEVuZE5vdGU+PENpdGU+PEF1dGhvcj5CZWV2ZXJzPC9BdXRob3I+PFllYXI+MjAxMDwvWWVhcj48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PEVuZE5vdGU+PENpdGU+PEF1dGhvcj5CZWV2ZXJzPC9BdXRob3I+PFllYXI+MjAxMDwvWWVhcj48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8" w:tooltip="Beevers, 2010 #247" w:history="1">
        <w:r w:rsidR="00950097" w:rsidRPr="007268F5">
          <w:rPr>
            <w:rFonts w:cstheme="minorBidi"/>
          </w:rPr>
          <w:t>Beevers, 2010</w:t>
        </w:r>
      </w:hyperlink>
      <w:r w:rsidR="00D50EFF" w:rsidRPr="007268F5">
        <w:rPr>
          <w:rFonts w:cstheme="minorBidi"/>
        </w:rPr>
        <w:t xml:space="preserve">; </w:t>
      </w:r>
      <w:hyperlink w:anchor="_ENREF_221" w:tooltip="Milligan, 2009 #336" w:history="1">
        <w:r w:rsidR="00950097" w:rsidRPr="007268F5">
          <w:rPr>
            <w:rFonts w:cstheme="minorBidi"/>
          </w:rPr>
          <w:t>Milligan et al., 2009</w:t>
        </w:r>
      </w:hyperlink>
      <w:r w:rsidR="00D50EFF" w:rsidRPr="007268F5">
        <w:rPr>
          <w:rFonts w:cstheme="minorBidi"/>
        </w:rPr>
        <w:t xml:space="preserve">; </w:t>
      </w:r>
      <w:hyperlink w:anchor="_ENREF_329" w:tooltip="Tuck, 1997 #113" w:history="1">
        <w:r w:rsidR="00950097" w:rsidRPr="007268F5">
          <w:rPr>
            <w:rFonts w:cstheme="minorBidi"/>
          </w:rPr>
          <w:t>Tuck, 1997</w:t>
        </w:r>
      </w:hyperlink>
      <w:r w:rsidR="00D50EFF" w:rsidRPr="007268F5">
        <w:rPr>
          <w:rFonts w:cstheme="minorBidi"/>
        </w:rPr>
        <w:t xml:space="preserve">; </w:t>
      </w:r>
      <w:hyperlink w:anchor="_ENREF_352" w:tooltip="Watts, 2016 #199" w:history="1">
        <w:r w:rsidR="00950097" w:rsidRPr="007268F5">
          <w:rPr>
            <w:rFonts w:cstheme="minorBidi"/>
          </w:rPr>
          <w:t>Watts et al., 2016</w:t>
        </w:r>
      </w:hyperlink>
      <w:r w:rsidR="00D50EFF" w:rsidRPr="007268F5">
        <w:rPr>
          <w:rFonts w:cstheme="minorBidi"/>
        </w:rPr>
        <w:t>)</w:t>
      </w:r>
      <w:r w:rsidRPr="009819CE">
        <w:rPr>
          <w:rFonts w:cstheme="minorBidi"/>
        </w:rPr>
        <w:fldChar w:fldCharType="end"/>
      </w:r>
      <w:r w:rsidRPr="009819CE">
        <w:rPr>
          <w:rFonts w:cstheme="minorBidi"/>
        </w:rPr>
        <w:t>. Consequently, females dominate the catches during this period, accounting for up to 78% of the catch (</w:t>
      </w:r>
      <w:r w:rsidRPr="009819CE">
        <w:rPr>
          <w:rFonts w:cstheme="minorBidi"/>
        </w:rPr>
        <w:fldChar w:fldCharType="begin"/>
      </w:r>
      <w:r w:rsidRPr="009819CE">
        <w:rPr>
          <w:rFonts w:cstheme="minorBidi"/>
        </w:rPr>
        <w:instrText xml:space="preserve"> REF _Ref114492000 \h  \* MERGEFORMAT </w:instrText>
      </w:r>
      <w:r w:rsidRPr="009819CE">
        <w:rPr>
          <w:rFonts w:cstheme="minorBidi"/>
        </w:rPr>
      </w:r>
      <w:r w:rsidRPr="009819CE">
        <w:rPr>
          <w:rFonts w:cstheme="minorBidi"/>
        </w:rPr>
        <w:fldChar w:fldCharType="separate"/>
      </w:r>
      <w:r w:rsidR="008549FC" w:rsidRPr="008549FC">
        <w:rPr>
          <w:rFonts w:cstheme="minorBidi"/>
          <w:b/>
        </w:rPr>
        <w:t>Figure 2.3</w:t>
      </w:r>
      <w:r w:rsidRPr="009819CE">
        <w:rPr>
          <w:rFonts w:cstheme="minorBidi"/>
        </w:rPr>
        <w:fldChar w:fldCharType="end"/>
      </w:r>
      <w:r w:rsidRPr="009819CE">
        <w:rPr>
          <w:rFonts w:cstheme="minorBidi"/>
        </w:rPr>
        <w:t xml:space="preserve">) </w:t>
      </w:r>
      <w:r w:rsidRPr="009819CE">
        <w:rPr>
          <w:rFonts w:cstheme="minorBidi"/>
        </w:rPr>
        <w:fldChar w:fldCharType="begin">
          <w:fldData xml:space="preserve">PEVuZE5vdGU+PENpdGU+PEF1dGhvcj5CZWV2ZXJzPC9BdXRob3I+PFllYXI+MjAxMjwvWWVhcj48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</w:fldData>
        </w:fldChar>
      </w:r>
      <w:r w:rsidR="001976BB" w:rsidRPr="009819CE">
        <w:rPr>
          <w:rFonts w:cstheme="minorBidi"/>
        </w:rPr>
        <w:instrText xml:space="preserve"> ADDIN EN.CITE </w:instrText>
      </w:r>
      <w:r w:rsidR="001976BB" w:rsidRPr="009819CE">
        <w:rPr>
          <w:rFonts w:cstheme="minorBidi"/>
        </w:rPr>
        <w:fldChar w:fldCharType="begin">
          <w:fldData xml:space="preserve">PEVuZE5vdGU+PENpdGU+PEF1dGhvcj5CZWV2ZXJzPC9BdXRob3I+PFllYXI+MjAxMjwvWWVhcj48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</w:fldData>
        </w:fldChar>
      </w:r>
      <w:r w:rsidR="001976BB" w:rsidRPr="009819CE">
        <w:rPr>
          <w:rFonts w:cstheme="minorBidi"/>
        </w:rPr>
        <w:instrText xml:space="preserve"> ADDIN EN.CITE.DATA </w:instrText>
      </w:r>
      <w:r w:rsidR="001976BB" w:rsidRPr="009819CE">
        <w:rPr>
          <w:rFonts w:cstheme="minorBidi"/>
        </w:rPr>
      </w:r>
      <w:r w:rsidR="001976BB"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9" w:tooltip="Beevers, 2012 #377" w:history="1">
        <w:r w:rsidR="00950097" w:rsidRPr="007268F5">
          <w:rPr>
            <w:rFonts w:cstheme="minorBidi"/>
          </w:rPr>
          <w:t>Beevers et al., 2012</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w:t>
      </w:r>
    </w:p>
    <w:p w14:paraId="742A6CBB" w14:textId="04803ABD" w:rsidR="00F36ABA" w:rsidRPr="009819CE" w:rsidRDefault="00F36ABA" w:rsidP="00F36ABA">
      <w:pPr>
        <w:rPr>
          <w:rFonts w:cstheme="minorBidi"/>
        </w:rPr>
      </w:pPr>
      <w:r w:rsidRPr="009819CE">
        <w:rPr>
          <w:rFonts w:cstheme="minorBidi"/>
        </w:rPr>
        <w:t xml:space="preserve">Although the precise transmission mechanism of </w:t>
      </w:r>
      <w:r w:rsidR="009D03F4" w:rsidRPr="009819CE">
        <w:rPr>
          <w:rFonts w:cstheme="minorBidi"/>
          <w:i/>
          <w:iCs/>
        </w:rPr>
        <w:t>Hematodinium</w:t>
      </w:r>
      <w:r w:rsidRPr="009819CE">
        <w:rPr>
          <w:rFonts w:cstheme="minorBidi"/>
        </w:rPr>
        <w:t xml:space="preserve"> sp. remains unknown, it is widely believed that waterborne (horizontal) transmission between hosts is the most plausible pathway </w:t>
      </w:r>
      <w:r w:rsidRPr="009819CE">
        <w:rPr>
          <w:rFonts w:cstheme="minorBidi"/>
        </w:rPr>
        <w:fldChar w:fldCharType="begin">
          <w:fldData xml:space="preserve">PEVuZE5vdGU+PENpdGU+PEF1dGhvcj5EYXZpZXM8L0F1dGhvcj48WWVhcj4yMDE5PC9ZZWFyPjxS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PEVuZE5vdGU+PENpdGU+PEF1dGhvcj5EYXZpZXM8L0F1dGhvcj48WWVhcj4yMDE5PC9ZZWFyPjxS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61" w:tooltip="Davies, 2019 #222" w:history="1">
        <w:r w:rsidR="00950097" w:rsidRPr="007268F5">
          <w:rPr>
            <w:rFonts w:cstheme="minorBidi"/>
          </w:rPr>
          <w:t>Davies et al., 2019</w:t>
        </w:r>
      </w:hyperlink>
      <w:r w:rsidR="00D50EFF" w:rsidRPr="007268F5">
        <w:rPr>
          <w:rFonts w:cstheme="minorBidi"/>
        </w:rPr>
        <w:t xml:space="preserve">; </w:t>
      </w:r>
      <w:hyperlink w:anchor="_ENREF_144" w:tooltip="Huang, 2021 #472" w:history="1">
        <w:r w:rsidR="00950097" w:rsidRPr="007268F5">
          <w:rPr>
            <w:rFonts w:cstheme="minorBidi"/>
          </w:rPr>
          <w:t>Huang et al., 2021</w:t>
        </w:r>
      </w:hyperlink>
      <w:r w:rsidR="00D50EFF" w:rsidRPr="007268F5">
        <w:rPr>
          <w:rFonts w:cstheme="minorBidi"/>
        </w:rPr>
        <w:t xml:space="preserve">; </w:t>
      </w:r>
      <w:hyperlink w:anchor="_ENREF_310" w:tooltip="Stentiford, 2005 #156" w:history="1">
        <w:r w:rsidR="00950097" w:rsidRPr="007268F5">
          <w:rPr>
            <w:rFonts w:cstheme="minorBidi"/>
          </w:rPr>
          <w:t>Stentiford and Shields, 2005</w:t>
        </w:r>
      </w:hyperlink>
      <w:r w:rsidR="00D50EFF" w:rsidRPr="007268F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During the peak severity period (March-April), </w:t>
      </w:r>
      <w:r w:rsidR="009D03F4" w:rsidRPr="009819CE">
        <w:rPr>
          <w:rFonts w:cstheme="minorBidi"/>
          <w:i/>
          <w:iCs/>
        </w:rPr>
        <w:t>Hematodinium</w:t>
      </w:r>
      <w:r w:rsidRPr="009819CE">
        <w:rPr>
          <w:rFonts w:cstheme="minorBidi"/>
        </w:rPr>
        <w:t xml:space="preserve"> sp. dinospores are released and likely remain available in the environment for approximately 60-90 days </w:t>
      </w:r>
      <w:r w:rsidRPr="009819CE">
        <w:rPr>
          <w:rFonts w:cstheme="minorBidi"/>
        </w:rPr>
        <w:fldChar w:fldCharType="begin">
          <w:fldData xml:space="preserve">PEVuZE5vdGU+PENpdGU+PEF1dGhvcj5BcHBsZXRvbjwvQXV0aG9yPjxZZWFyPjE5OTg8L1llYXI+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</w:fldData>
        </w:fldChar>
      </w:r>
      <w:r w:rsidR="003353A0" w:rsidRPr="009819CE">
        <w:rPr>
          <w:rFonts w:cstheme="minorBidi"/>
        </w:rPr>
        <w:instrText xml:space="preserve"> ADDIN EN.CITE </w:instrText>
      </w:r>
      <w:r w:rsidR="003353A0" w:rsidRPr="009819CE">
        <w:rPr>
          <w:rFonts w:cstheme="minorBidi"/>
        </w:rPr>
        <w:fldChar w:fldCharType="begin">
          <w:fldData xml:space="preserve">PEVuZE5vdGU+PENpdGU+PEF1dGhvcj5BcHBsZXRvbjwvQXV0aG9yPjxZZWFyPjE5OTg8L1llYXI+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</w:fldData>
        </w:fldChar>
      </w:r>
      <w:r w:rsidR="003353A0" w:rsidRPr="009819CE">
        <w:rPr>
          <w:rFonts w:cstheme="minorBidi"/>
        </w:rPr>
        <w:instrText xml:space="preserve"> ADDIN EN.CITE.DATA </w:instrText>
      </w:r>
      <w:r w:rsidR="003353A0" w:rsidRPr="009819CE">
        <w:rPr>
          <w:rFonts w:cstheme="minorBidi"/>
        </w:rPr>
      </w:r>
      <w:r w:rsidR="003353A0"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8" w:tooltip="Appleton, 1998 #373" w:history="1">
        <w:r w:rsidR="00950097" w:rsidRPr="007268F5">
          <w:rPr>
            <w:rFonts w:cstheme="minorBidi"/>
          </w:rPr>
          <w:t>Appleton and Vickerman, 1998</w:t>
        </w:r>
      </w:hyperlink>
      <w:r w:rsidR="00D50EFF" w:rsidRPr="007268F5">
        <w:rPr>
          <w:rFonts w:cstheme="minorBidi"/>
        </w:rPr>
        <w:t xml:space="preserve">; </w:t>
      </w:r>
      <w:hyperlink w:anchor="_ENREF_217" w:tooltip="Meyers, 1987 #428" w:history="1">
        <w:r w:rsidR="00950097" w:rsidRPr="007268F5">
          <w:rPr>
            <w:rFonts w:cstheme="minorBidi"/>
          </w:rPr>
          <w:t>Meyers et al., 1987</w:t>
        </w:r>
      </w:hyperlink>
      <w:r w:rsidR="00D50EFF" w:rsidRPr="007268F5">
        <w:rPr>
          <w:rFonts w:cstheme="minorBidi"/>
        </w:rPr>
        <w:t>)</w:t>
      </w:r>
      <w:r w:rsidRPr="009819CE">
        <w:rPr>
          <w:rFonts w:cstheme="minorBidi"/>
        </w:rPr>
        <w:fldChar w:fldCharType="end"/>
      </w:r>
      <w:r w:rsidRPr="009819CE">
        <w:rPr>
          <w:rFonts w:cstheme="minorBidi"/>
        </w:rPr>
        <w:t>. These dinospores</w:t>
      </w:r>
      <w:r w:rsidR="005B6C06" w:rsidRPr="00FA7D47">
        <w:rPr>
          <w:rFonts w:cstheme="minorBidi"/>
        </w:rPr>
        <w:t xml:space="preserve"> may</w:t>
      </w:r>
      <w:r w:rsidRPr="009819CE">
        <w:rPr>
          <w:rFonts w:cstheme="minorBidi"/>
        </w:rPr>
        <w:t xml:space="preserve"> enter </w:t>
      </w:r>
      <w:r w:rsidR="00736A31" w:rsidRPr="00FA7D47">
        <w:rPr>
          <w:rFonts w:cstheme="minorBidi"/>
        </w:rPr>
        <w:t>the host</w:t>
      </w:r>
      <w:r w:rsidRPr="009819CE">
        <w:rPr>
          <w:rFonts w:cstheme="minorBidi"/>
        </w:rPr>
        <w:t xml:space="preserve"> through various means, including gills or breaks in the integument</w:t>
      </w:r>
      <w:r w:rsidR="005B6C06" w:rsidRPr="00FA7D47">
        <w:rPr>
          <w:rFonts w:cstheme="minorBidi"/>
        </w:rPr>
        <w:t xml:space="preserve"> </w:t>
      </w:r>
      <w:r w:rsidRPr="009819CE">
        <w:rPr>
          <w:rFonts w:cstheme="minorBidi"/>
        </w:rPr>
        <w:fldChar w:fldCharType="begin">
          <w:fldData xml:space="preserve">PEVuZE5vdGU+PENpdGU+PEF1dGhvcj5IYW5pZjwvQXV0aG9yPjxZZWFyPjIwMTM8L1llYXI+PFJl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</w:fldData>
        </w:fldChar>
      </w:r>
      <w:r w:rsidR="00AB63D8" w:rsidRPr="009819CE">
        <w:rPr>
          <w:rFonts w:cstheme="minorBidi"/>
        </w:rPr>
        <w:instrText xml:space="preserve"> ADDIN EN.CITE </w:instrText>
      </w:r>
      <w:r w:rsidR="00AB63D8" w:rsidRPr="009819CE">
        <w:rPr>
          <w:rFonts w:cstheme="minorBidi"/>
        </w:rPr>
        <w:fldChar w:fldCharType="begin">
          <w:fldData xml:space="preserve">PEVuZE5vdGU+PENpdGU+PEF1dGhvcj5IYW5pZjwvQXV0aG9yPjxZZWFyPjIwMTM8L1llYXI+PFJl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</w:fldData>
        </w:fldChar>
      </w:r>
      <w:r w:rsidR="00AB63D8" w:rsidRPr="009819CE">
        <w:rPr>
          <w:rFonts w:cstheme="minorBidi"/>
        </w:rPr>
        <w:instrText xml:space="preserve"> ADDIN EN.CITE.DATA </w:instrText>
      </w:r>
      <w:r w:rsidR="00AB63D8" w:rsidRPr="009819CE">
        <w:rPr>
          <w:rFonts w:cstheme="minorBidi"/>
        </w:rPr>
      </w:r>
      <w:r w:rsidR="00AB63D8" w:rsidRPr="009819CE">
        <w:rPr>
          <w:rFonts w:cstheme="minorBidi"/>
        </w:rPr>
        <w:fldChar w:fldCharType="end"/>
      </w:r>
      <w:r w:rsidRPr="009819CE">
        <w:rPr>
          <w:rFonts w:cstheme="minorBidi"/>
        </w:rPr>
      </w:r>
      <w:r w:rsidRPr="009819CE">
        <w:rPr>
          <w:rFonts w:cstheme="minorBidi"/>
        </w:rPr>
        <w:fldChar w:fldCharType="separate"/>
      </w:r>
      <w:r w:rsidR="00AB63D8" w:rsidRPr="007268F5">
        <w:rPr>
          <w:rFonts w:cstheme="minorBidi"/>
        </w:rPr>
        <w:t>(</w:t>
      </w:r>
      <w:hyperlink w:anchor="_ENREF_125" w:tooltip="Hanif, 2013 #351" w:history="1">
        <w:r w:rsidR="00950097" w:rsidRPr="007268F5">
          <w:rPr>
            <w:rFonts w:cstheme="minorBidi"/>
          </w:rPr>
          <w:t>Hanif et al., 2013</w:t>
        </w:r>
      </w:hyperlink>
      <w:r w:rsidR="00AB63D8" w:rsidRPr="007268F5">
        <w:rPr>
          <w:rFonts w:cstheme="minorBidi"/>
        </w:rPr>
        <w:t xml:space="preserve">; </w:t>
      </w:r>
      <w:hyperlink w:anchor="_ENREF_216" w:tooltip="Messick, 2000 #335" w:history="1">
        <w:r w:rsidR="00950097" w:rsidRPr="007268F5">
          <w:rPr>
            <w:rFonts w:cstheme="minorBidi"/>
          </w:rPr>
          <w:t>Messick and Shields, 2000</w:t>
        </w:r>
      </w:hyperlink>
      <w:r w:rsidR="00AB63D8" w:rsidRPr="007268F5">
        <w:rPr>
          <w:rFonts w:cstheme="minorBidi"/>
        </w:rPr>
        <w:t xml:space="preserve">; </w:t>
      </w:r>
      <w:hyperlink w:anchor="_ENREF_282" w:tooltip="Shields, 2000 #390" w:history="1">
        <w:r w:rsidR="00950097" w:rsidRPr="007268F5">
          <w:rPr>
            <w:rFonts w:cstheme="minorBidi"/>
          </w:rPr>
          <w:t>Shields and Squyars, 2000</w:t>
        </w:r>
      </w:hyperlink>
      <w:r w:rsidR="00AB63D8" w:rsidRPr="007268F5">
        <w:rPr>
          <w:rFonts w:cstheme="minorBidi"/>
        </w:rPr>
        <w:t>)</w:t>
      </w:r>
      <w:r w:rsidRPr="009819CE">
        <w:rPr>
          <w:rFonts w:cstheme="minorBidi"/>
        </w:rPr>
        <w:fldChar w:fldCharType="end"/>
      </w:r>
      <w:r w:rsidRPr="009819CE">
        <w:rPr>
          <w:rFonts w:cstheme="minorBidi"/>
        </w:rPr>
        <w:t xml:space="preserve">, passive suspension-feeding </w:t>
      </w:r>
      <w:r w:rsidRPr="009819CE">
        <w:rPr>
          <w:rFonts w:cstheme="minorBidi"/>
        </w:rPr>
        <w:fldChar w:fldCharType="begin"/>
      </w:r>
      <w:r w:rsidR="00A8698B" w:rsidRPr="009819CE">
        <w:rPr>
          <w:rFonts w:cstheme="minorBidi"/>
        </w:rPr>
        <w:instrText xml:space="preserve"> ADDIN EN.CITE &lt;EndNote&gt;&lt;Cite&gt;&lt;Author&gt;Briggs&lt;/Author&gt;&lt;Year&gt;2002&lt;/Year&gt;&lt;RecNum&gt;374&lt;/RecNum&gt;&lt;DisplayText&gt;(Briggs and McAliskey, 2002)&lt;/DisplayText&gt;&lt;record&gt;&lt;rec-number&gt;374&lt;/rec-number&gt;&lt;foreign-keys&gt;&lt;key app="EN" db-id="sd9wrx9fj09rx3erprsx999o0r5aprvp2zse" timestamp="1687855901" guid="fffb00b5-cdee-4035-9ba9-fbd2e8e33433"&gt;374&lt;/key&gt;&lt;/foreign-keys&gt;&lt;ref-type name="Journal Article"&gt;17&lt;/ref-type&gt;&lt;contributors&gt;&lt;authors&gt;&lt;author&gt;Briggs, R. P.&lt;/author&gt;&lt;author&gt;McAliskey, M.&lt;/author&gt;&lt;/authors&gt;&lt;/contributors&gt;&lt;titles&gt;&lt;title&gt;&lt;style face="normal" font="default" size="100%"&gt;The prevalence of &lt;/style&gt;&lt;style face="italic" font="default" size="100%"&gt;Hematodinium&lt;/style&gt;&lt;style face="normal" font="default" size="100%"&gt; in &lt;/style&gt;&lt;style face="italic" font="default" size="100%"&gt;Nephrops norvegicus &lt;/style&gt;&lt;style face="normal" font="default" size="100%"&gt;from the western Irish Sea&lt;/style&gt;&lt;/title&gt;&lt;secondary-title&gt;Journal of the Marine Biological Association of the United Kingdom&lt;/secondary-title&gt;&lt;/titles&gt;&lt;periodical&gt;&lt;full-title&gt;Journal of the Marine Biological Association of the United Kingdom&lt;/full-title&gt;&lt;/periodical&gt;&lt;pages&gt;427-433&lt;/pages&gt;&lt;volume&gt;82&lt;/volume&gt;&lt;number&gt;3&lt;/number&gt;&lt;dates&gt;&lt;year&gt;2002&lt;/year&gt;&lt;pub-dates&gt;&lt;date&gt;2002/6//&lt;/date&gt;&lt;/pub-dates&gt;&lt;/dates&gt;&lt;urls&gt;&lt;related-urls&gt;&lt;url&gt;https://www.cambridge.org/core/product/identifier/S0025315402005684/type/journal_article&lt;/url&gt;&lt;url&gt;https://www.cambridge.org/core/journals/journal-of-the-marine-biological-association-of-the-united-kingdom/article/abs/prevalence-of-hematodinium-in-nephrops-norvegicus-from-the-western-irish-sea/F62274CA5D9F0DADB8129BB1E188BBD5&lt;/url&gt;&lt;/related-urls&gt;&lt;/urls&gt;&lt;electronic-resource-num&gt;10.1017/S0025315402005684&lt;/electronic-resource-num&gt;&lt;/record&gt;&lt;/Cite&gt;&lt;/EndNote&gt;</w:instrText>
      </w:r>
      <w:r w:rsidRPr="009819CE">
        <w:rPr>
          <w:rFonts w:cstheme="minorBidi"/>
        </w:rPr>
        <w:fldChar w:fldCharType="separate"/>
      </w:r>
      <w:r w:rsidR="00A8698B" w:rsidRPr="009819CE">
        <w:rPr>
          <w:rFonts w:cstheme="minorBidi"/>
        </w:rPr>
        <w:t>(</w:t>
      </w:r>
      <w:hyperlink w:anchor="_ENREF_34" w:tooltip="Briggs, 2002 #374" w:history="1">
        <w:r w:rsidR="00950097" w:rsidRPr="009819CE">
          <w:rPr>
            <w:rFonts w:cstheme="minorBidi"/>
          </w:rPr>
          <w:t>Briggs and McAliskey, 2002</w:t>
        </w:r>
      </w:hyperlink>
      <w:r w:rsidR="00A8698B" w:rsidRPr="009819CE">
        <w:rPr>
          <w:rFonts w:cstheme="minorBidi"/>
        </w:rPr>
        <w:t>)</w:t>
      </w:r>
      <w:r w:rsidRPr="009819CE">
        <w:rPr>
          <w:rFonts w:cstheme="minorBidi"/>
        </w:rPr>
        <w:fldChar w:fldCharType="end"/>
      </w:r>
      <w:r w:rsidRPr="009819CE">
        <w:rPr>
          <w:rFonts w:cstheme="minorBidi"/>
        </w:rPr>
        <w:t xml:space="preserve"> or direct ingestion of infected individuals</w:t>
      </w:r>
      <w:r w:rsidR="003339C2" w:rsidRPr="009819CE">
        <w:rPr>
          <w:rFonts w:cstheme="minorBidi"/>
        </w:rPr>
        <w:t>,</w:t>
      </w:r>
      <w:r w:rsidRPr="009819CE">
        <w:rPr>
          <w:rFonts w:cstheme="minorBidi"/>
        </w:rPr>
        <w:t xml:space="preserve"> </w:t>
      </w:r>
      <w:r w:rsidR="00AB63D8" w:rsidRPr="00FA7D47">
        <w:rPr>
          <w:rFonts w:cstheme="minorBidi"/>
        </w:rPr>
        <w:t>as hypothesised in blue crabs (</w:t>
      </w:r>
      <w:r w:rsidR="00AB63D8" w:rsidRPr="007268F5">
        <w:rPr>
          <w:rFonts w:cstheme="minorBidi"/>
          <w:i/>
          <w:iCs/>
        </w:rPr>
        <w:t>C</w:t>
      </w:r>
      <w:r w:rsidR="00AB63D8" w:rsidRPr="00FA7D47">
        <w:rPr>
          <w:rFonts w:cstheme="minorBidi"/>
          <w:i/>
          <w:iCs/>
        </w:rPr>
        <w:t xml:space="preserve">allinectes </w:t>
      </w:r>
      <w:r w:rsidR="00AB63D8" w:rsidRPr="007268F5">
        <w:rPr>
          <w:rFonts w:cstheme="minorBidi"/>
          <w:i/>
          <w:iCs/>
        </w:rPr>
        <w:t>sapidus</w:t>
      </w:r>
      <w:r w:rsidR="00AB63D8" w:rsidRPr="00FA7D47">
        <w:rPr>
          <w:rFonts w:cstheme="minorBidi"/>
        </w:rPr>
        <w:t>)</w:t>
      </w:r>
      <w:r w:rsidR="00AB63D8" w:rsidRPr="009819CE">
        <w:rPr>
          <w:rFonts w:cstheme="minorBidi"/>
        </w:rPr>
        <w:t xml:space="preserve"> </w:t>
      </w:r>
      <w:r w:rsidRPr="009819CE">
        <w:rPr>
          <w:rFonts w:cstheme="minorBidi"/>
        </w:rPr>
        <w:t>(</w:t>
      </w:r>
      <w:r w:rsidR="00AA4C8F" w:rsidRPr="009819CE">
        <w:rPr>
          <w:rFonts w:cstheme="minorBidi"/>
        </w:rPr>
        <w:t>see</w:t>
      </w:r>
      <w:r w:rsidRPr="009819CE">
        <w:rPr>
          <w:rFonts w:cstheme="minorBidi"/>
        </w:rPr>
        <w:t xml:space="preserve"> </w:t>
      </w:r>
      <w:r w:rsidR="00AA4C8F" w:rsidRPr="009819CE">
        <w:rPr>
          <w:rFonts w:cstheme="minorBidi"/>
        </w:rPr>
        <w:t>section</w:t>
      </w:r>
      <w:r w:rsidR="007F1047" w:rsidRPr="009819CE">
        <w:rPr>
          <w:rFonts w:cstheme="minorBidi"/>
        </w:rPr>
        <w:t xml:space="preserve"> </w:t>
      </w:r>
      <w:r w:rsidR="007F1047" w:rsidRPr="009819CE">
        <w:rPr>
          <w:rFonts w:cstheme="minorBidi"/>
          <w:b/>
          <w:bCs/>
        </w:rPr>
        <w:fldChar w:fldCharType="begin"/>
      </w:r>
      <w:r w:rsidR="007F1047" w:rsidRPr="009819CE">
        <w:rPr>
          <w:rFonts w:cstheme="minorBidi"/>
          <w:b/>
          <w:bCs/>
        </w:rPr>
        <w:instrText xml:space="preserve"> REF _Ref157963666 \r \h </w:instrText>
      </w:r>
      <w:r w:rsidR="00711741" w:rsidRPr="009819CE">
        <w:rPr>
          <w:rFonts w:cstheme="minorBidi"/>
          <w:b/>
          <w:bCs/>
        </w:rPr>
        <w:instrText xml:space="preserve"> \* MERGEFORMAT </w:instrText>
      </w:r>
      <w:r w:rsidR="007F1047" w:rsidRPr="009819CE">
        <w:rPr>
          <w:rFonts w:cstheme="minorBidi"/>
          <w:b/>
          <w:bCs/>
        </w:rPr>
      </w:r>
      <w:r w:rsidR="007F1047" w:rsidRPr="009819CE">
        <w:rPr>
          <w:rFonts w:cstheme="minorBidi"/>
          <w:b/>
          <w:bCs/>
        </w:rPr>
        <w:fldChar w:fldCharType="separate"/>
      </w:r>
      <w:r w:rsidR="008549FC">
        <w:rPr>
          <w:rFonts w:cstheme="minorBidi"/>
          <w:b/>
          <w:bCs/>
        </w:rPr>
        <w:t>1.3.3.2</w:t>
      </w:r>
      <w:r w:rsidR="007F1047" w:rsidRPr="009819CE">
        <w:rPr>
          <w:rFonts w:cstheme="minorBidi"/>
          <w:b/>
          <w:bCs/>
        </w:rPr>
        <w:fldChar w:fldCharType="end"/>
      </w:r>
      <w:r w:rsidRPr="009819CE">
        <w:rPr>
          <w:rFonts w:cstheme="minorBidi"/>
        </w:rPr>
        <w:t>).</w:t>
      </w:r>
    </w:p>
    <w:p w14:paraId="1A9A3853" w14:textId="5CD32FC0" w:rsidR="00F36ABA" w:rsidRPr="009819CE" w:rsidRDefault="00F36ABA" w:rsidP="00F36ABA">
      <w:pPr>
        <w:rPr>
          <w:rFonts w:cstheme="minorBidi"/>
        </w:rPr>
      </w:pPr>
      <w:r w:rsidRPr="009819CE">
        <w:rPr>
          <w:rFonts w:cstheme="minorBidi"/>
        </w:rPr>
        <w:t xml:space="preserve">Considering the perspective of parasite exposure, the timing of </w:t>
      </w:r>
      <w:r w:rsidR="009D03F4" w:rsidRPr="009819CE">
        <w:rPr>
          <w:rFonts w:cstheme="minorBidi"/>
          <w:i/>
          <w:iCs/>
        </w:rPr>
        <w:t>Hematodinium</w:t>
      </w:r>
      <w:r w:rsidRPr="009819CE">
        <w:rPr>
          <w:rFonts w:cstheme="minorBidi"/>
        </w:rPr>
        <w:t xml:space="preserve"> sp. spore presence in the environment (March to July) coincides with the emergence of females and their moulting (ecdysis) process in </w:t>
      </w:r>
      <w:r w:rsidR="00C31E47" w:rsidRPr="009819CE">
        <w:rPr>
          <w:rFonts w:cstheme="minorBidi"/>
          <w:i/>
          <w:iCs/>
        </w:rPr>
        <w:t>Nephrops</w:t>
      </w:r>
      <w:r w:rsidRPr="009819CE">
        <w:rPr>
          <w:rFonts w:cstheme="minorBidi"/>
          <w:i/>
          <w:iCs/>
        </w:rPr>
        <w:t xml:space="preserve">. </w:t>
      </w:r>
      <w:r w:rsidRPr="009819CE">
        <w:rPr>
          <w:rFonts w:cstheme="minorBidi"/>
        </w:rPr>
        <w:t>It is worth noting that female moulting is highly synchronized compared to males (</w:t>
      </w:r>
      <w:r w:rsidRPr="009819CE">
        <w:rPr>
          <w:rFonts w:cstheme="minorBidi"/>
        </w:rPr>
        <w:fldChar w:fldCharType="begin"/>
      </w:r>
      <w:r w:rsidRPr="009819CE">
        <w:rPr>
          <w:rFonts w:cstheme="minorBidi"/>
        </w:rPr>
        <w:instrText xml:space="preserve"> REF _Ref109146257 \h  \* MERGEFORMAT </w:instrText>
      </w:r>
      <w:r w:rsidRPr="009819CE">
        <w:rPr>
          <w:rFonts w:cstheme="minorBidi"/>
        </w:rPr>
      </w:r>
      <w:r w:rsidRPr="009819CE">
        <w:rPr>
          <w:rFonts w:cstheme="minorBidi"/>
        </w:rPr>
        <w:fldChar w:fldCharType="separate"/>
      </w:r>
      <w:r w:rsidR="008549FC" w:rsidRPr="008549FC">
        <w:rPr>
          <w:rFonts w:cstheme="minorBidi"/>
          <w:b/>
        </w:rPr>
        <w:t>Figure 2.6</w:t>
      </w:r>
      <w:r w:rsidRPr="009819CE">
        <w:rPr>
          <w:rFonts w:cstheme="minorBidi"/>
        </w:rPr>
        <w:fldChar w:fldCharType="end"/>
      </w:r>
      <w:r w:rsidRPr="009819CE">
        <w:rPr>
          <w:rFonts w:cstheme="minorBidi"/>
        </w:rPr>
        <w:t xml:space="preserve">). Consequently, females, particularly those undergoing moulting, are more likely to be exposed and susceptible to </w:t>
      </w:r>
      <w:r w:rsidR="009D03F4" w:rsidRPr="009819CE">
        <w:rPr>
          <w:rFonts w:cstheme="minorBidi"/>
          <w:i/>
          <w:iCs/>
        </w:rPr>
        <w:t>Hematodinium</w:t>
      </w:r>
      <w:r w:rsidRPr="009819CE">
        <w:rPr>
          <w:rFonts w:cstheme="minorBidi"/>
        </w:rPr>
        <w:t xml:space="preserve"> sp., at least to lower severity levels.</w:t>
      </w:r>
    </w:p>
    <w:p w14:paraId="296F7B54" w14:textId="0F3FBBF7" w:rsidR="00F36ABA" w:rsidRPr="009819CE" w:rsidRDefault="00F36ABA" w:rsidP="00F36ABA">
      <w:pPr>
        <w:rPr>
          <w:rFonts w:cstheme="minorBidi"/>
        </w:rPr>
      </w:pPr>
      <w:r w:rsidRPr="009819CE">
        <w:rPr>
          <w:rFonts w:cstheme="minorBidi"/>
        </w:rPr>
        <w:t xml:space="preserve">Previous research has indicated that smaller animals have a higher vulnerability to </w:t>
      </w:r>
      <w:r w:rsidR="009D03F4" w:rsidRPr="009819CE">
        <w:rPr>
          <w:rFonts w:cstheme="minorBidi"/>
          <w:i/>
          <w:iCs/>
        </w:rPr>
        <w:t>Hematodinium</w:t>
      </w:r>
      <w:r w:rsidRPr="009819CE">
        <w:rPr>
          <w:rFonts w:cstheme="minorBidi"/>
        </w:rPr>
        <w:t xml:space="preserve"> sp. infection </w:t>
      </w:r>
      <w:r w:rsidRPr="009819CE">
        <w:rPr>
          <w:rFonts w:cstheme="minorBidi"/>
        </w:rPr>
        <w:fldChar w:fldCharType="begin">
          <w:fldData xml:space="preserve">PEVuZE5vdGU+PENpdGU+PEF1dGhvcj5CZWV2ZXJzPC9BdXRob3I+PFllYXI+MjAxMjwvWWVhcj48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</w:fldData>
        </w:fldChar>
      </w:r>
      <w:r w:rsidR="001976BB" w:rsidRPr="009819CE">
        <w:rPr>
          <w:rFonts w:cstheme="minorBidi"/>
        </w:rPr>
        <w:instrText xml:space="preserve"> ADDIN EN.CITE </w:instrText>
      </w:r>
      <w:r w:rsidR="001976BB" w:rsidRPr="009819CE">
        <w:rPr>
          <w:rFonts w:cstheme="minorBidi"/>
        </w:rPr>
        <w:fldChar w:fldCharType="begin">
          <w:fldData xml:space="preserve">PEVuZE5vdGU+PENpdGU+PEF1dGhvcj5CZWV2ZXJzPC9BdXRob3I+PFllYXI+MjAxMjwvWWVhcj48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</w:fldData>
        </w:fldChar>
      </w:r>
      <w:r w:rsidR="001976BB" w:rsidRPr="009819CE">
        <w:rPr>
          <w:rFonts w:cstheme="minorBidi"/>
        </w:rPr>
        <w:instrText xml:space="preserve"> ADDIN EN.CITE.DATA </w:instrText>
      </w:r>
      <w:r w:rsidR="001976BB" w:rsidRPr="009819CE">
        <w:rPr>
          <w:rFonts w:cstheme="minorBidi"/>
        </w:rPr>
      </w:r>
      <w:r w:rsidR="001976BB"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9" w:tooltip="Beevers, 2012 #377" w:history="1">
        <w:r w:rsidR="00950097" w:rsidRPr="007268F5">
          <w:rPr>
            <w:rFonts w:cstheme="minorBidi"/>
          </w:rPr>
          <w:t>Beevers et al., 2012</w:t>
        </w:r>
      </w:hyperlink>
      <w:r w:rsidR="00D50EFF" w:rsidRPr="007268F5">
        <w:rPr>
          <w:rFonts w:cstheme="minorBidi"/>
        </w:rPr>
        <w:t xml:space="preserve">; </w:t>
      </w:r>
      <w:hyperlink w:anchor="_ENREF_95" w:tooltip="Field, 1992 #448" w:history="1">
        <w:r w:rsidR="00950097" w:rsidRPr="007268F5">
          <w:rPr>
            <w:rFonts w:cstheme="minorBidi"/>
          </w:rPr>
          <w:t>Field et al., 1992</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Size-related intermoult intervals increase with size, and therefore smaller individuals may be more susceptible to infection and disease progression since they moult more frequently  </w:t>
      </w:r>
      <w:r w:rsidRPr="009819CE">
        <w:rPr>
          <w:rFonts w:cstheme="minorBidi"/>
        </w:rPr>
        <w:fldChar w:fldCharType="begin">
          <w:fldData xml:space="preserve">PEVuZE5vdGU+PENpdGU+PEF1dGhvcj5GaWVsZDwvQXV0aG9yPjxZZWFyPjE5OTI8L1llYXI+PFJl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</w:fldData>
        </w:fldChar>
      </w:r>
      <w:r w:rsidR="00E348BC" w:rsidRPr="009819CE">
        <w:rPr>
          <w:rFonts w:cstheme="minorBidi"/>
        </w:rPr>
        <w:instrText xml:space="preserve"> ADDIN EN.CITE </w:instrText>
      </w:r>
      <w:r w:rsidR="00E348BC" w:rsidRPr="009819CE">
        <w:rPr>
          <w:rFonts w:cstheme="minorBidi"/>
        </w:rPr>
        <w:fldChar w:fldCharType="begin">
          <w:fldData xml:space="preserve">PEVuZE5vdGU+PENpdGU+PEF1dGhvcj5GaWVsZDwvQXV0aG9yPjxZZWFyPjE5OTI8L1llYXI+PFJl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</w:fldData>
        </w:fldChar>
      </w:r>
      <w:r w:rsidR="00E348BC" w:rsidRPr="009819CE">
        <w:rPr>
          <w:rFonts w:cstheme="minorBidi"/>
        </w:rPr>
        <w:instrText xml:space="preserve"> ADDIN EN.CITE.DATA </w:instrText>
      </w:r>
      <w:r w:rsidR="00E348BC" w:rsidRPr="009819CE">
        <w:rPr>
          <w:rFonts w:cstheme="minorBidi"/>
        </w:rPr>
      </w:r>
      <w:r w:rsidR="00E348BC"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95" w:tooltip="Field, 1992 #448" w:history="1">
        <w:r w:rsidR="00950097" w:rsidRPr="007268F5">
          <w:rPr>
            <w:rFonts w:cstheme="minorBidi"/>
          </w:rPr>
          <w:t>Field et al., 1992</w:t>
        </w:r>
      </w:hyperlink>
      <w:r w:rsidR="00D50EFF" w:rsidRPr="007268F5">
        <w:rPr>
          <w:rFonts w:cstheme="minorBidi"/>
        </w:rPr>
        <w:t xml:space="preserve">; </w:t>
      </w:r>
      <w:hyperlink w:anchor="_ENREF_201" w:tooltip="Lycett, 2018 #1777" w:history="1">
        <w:r w:rsidR="00950097" w:rsidRPr="007268F5">
          <w:rPr>
            <w:rFonts w:cstheme="minorBidi"/>
          </w:rPr>
          <w:t>Lycett et al., 2018</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However, </w:t>
      </w:r>
      <w:r w:rsidR="00146158" w:rsidRPr="00FA7D47">
        <w:rPr>
          <w:rFonts w:cstheme="minorBidi"/>
        </w:rPr>
        <w:t>the</w:t>
      </w:r>
      <w:r w:rsidRPr="009819CE">
        <w:rPr>
          <w:rFonts w:cstheme="minorBidi"/>
        </w:rPr>
        <w:t xml:space="preserve"> analysis takes a step further by examining the severity of infection (measured using the PM) in relation to the size (CL) of each individual. This reveals, for the first time, that the progression of the disease from low to high severity, rather than inherent susceptibility, is linked to the size of </w:t>
      </w:r>
      <w:r w:rsidR="00C31E47" w:rsidRPr="009819CE">
        <w:rPr>
          <w:rFonts w:cstheme="minorBidi"/>
          <w:i/>
        </w:rPr>
        <w:t>Nephrops</w:t>
      </w:r>
      <w:r w:rsidRPr="009819CE">
        <w:rPr>
          <w:rFonts w:cstheme="minorBidi"/>
        </w:rPr>
        <w:t xml:space="preserve">. </w:t>
      </w:r>
      <w:r w:rsidR="0088119C" w:rsidRPr="00FA7D47">
        <w:rPr>
          <w:rFonts w:cstheme="minorBidi"/>
        </w:rPr>
        <w:t>The</w:t>
      </w:r>
      <w:r w:rsidRPr="009819CE">
        <w:rPr>
          <w:rFonts w:cstheme="minorBidi"/>
        </w:rPr>
        <w:t xml:space="preserve"> findings (</w:t>
      </w:r>
      <w:r w:rsidRPr="009819CE">
        <w:rPr>
          <w:rFonts w:cstheme="minorBidi"/>
        </w:rPr>
        <w:fldChar w:fldCharType="begin"/>
      </w:r>
      <w:r w:rsidRPr="009819CE">
        <w:rPr>
          <w:rFonts w:cstheme="minorBidi"/>
        </w:rPr>
        <w:instrText xml:space="preserve"> REF _Ref109243848 \h  \* MERGEFORMAT </w:instrText>
      </w:r>
      <w:r w:rsidRPr="009819CE">
        <w:rPr>
          <w:rFonts w:cstheme="minorBidi"/>
        </w:rPr>
      </w:r>
      <w:r w:rsidRPr="009819CE">
        <w:rPr>
          <w:rFonts w:cstheme="minorBidi"/>
        </w:rPr>
        <w:fldChar w:fldCharType="separate"/>
      </w:r>
      <w:r w:rsidR="008549FC" w:rsidRPr="008549FC">
        <w:rPr>
          <w:rFonts w:cstheme="minorBidi"/>
          <w:b/>
        </w:rPr>
        <w:t>Figure 2.12</w:t>
      </w:r>
      <w:r w:rsidRPr="009819CE">
        <w:rPr>
          <w:rFonts w:cstheme="minorBidi"/>
        </w:rPr>
        <w:fldChar w:fldCharType="end"/>
      </w:r>
      <w:r w:rsidRPr="009819CE">
        <w:rPr>
          <w:rFonts w:cstheme="minorBidi"/>
        </w:rPr>
        <w:t xml:space="preserve">) clarify this point by showing that small-sized individuals are not exclusively associated with low severity patent infection (PM-positive; S1), indicating that animals of all sizes are exposed and susceptible to </w:t>
      </w:r>
      <w:r w:rsidR="009D03F4" w:rsidRPr="009819CE">
        <w:rPr>
          <w:rFonts w:cstheme="minorBidi"/>
          <w:i/>
          <w:iCs/>
        </w:rPr>
        <w:t>Hematodinium</w:t>
      </w:r>
      <w:r w:rsidRPr="009819CE">
        <w:rPr>
          <w:rFonts w:cstheme="minorBidi"/>
        </w:rPr>
        <w:t xml:space="preserve"> sp. (</w:t>
      </w:r>
      <w:r w:rsidRPr="009819CE">
        <w:rPr>
          <w:rFonts w:cstheme="minorBidi"/>
        </w:rPr>
        <w:fldChar w:fldCharType="begin"/>
      </w:r>
      <w:r w:rsidRPr="009819CE">
        <w:rPr>
          <w:rFonts w:cstheme="minorBidi"/>
        </w:rPr>
        <w:instrText xml:space="preserve"> REF _Ref111548334 \h  \* MERGEFORMAT </w:instrText>
      </w:r>
      <w:r w:rsidRPr="009819CE">
        <w:rPr>
          <w:rFonts w:cstheme="minorBidi"/>
        </w:rPr>
      </w:r>
      <w:r w:rsidRPr="009819CE">
        <w:rPr>
          <w:rFonts w:cstheme="minorBidi"/>
        </w:rPr>
        <w:fldChar w:fldCharType="separate"/>
      </w:r>
      <w:r w:rsidR="008549FC" w:rsidRPr="008549FC">
        <w:rPr>
          <w:rFonts w:cstheme="minorBidi"/>
          <w:b/>
          <w:bCs/>
        </w:rPr>
        <w:t>Figure 2.13</w:t>
      </w:r>
      <w:r w:rsidRPr="009819CE">
        <w:rPr>
          <w:rFonts w:cstheme="minorBidi"/>
        </w:rPr>
        <w:fldChar w:fldCharType="end"/>
      </w:r>
      <w:r w:rsidRPr="009819CE">
        <w:rPr>
          <w:rFonts w:cstheme="minorBidi"/>
        </w:rPr>
        <w:t xml:space="preserve">). However, smaller animals are more likely to develop high severity infections to the extent that their survival </w:t>
      </w:r>
      <w:r w:rsidR="00B16835" w:rsidRPr="009819CE">
        <w:rPr>
          <w:rFonts w:cstheme="minorBidi"/>
        </w:rPr>
        <w:t>might be</w:t>
      </w:r>
      <w:r w:rsidRPr="009819CE">
        <w:rPr>
          <w:rFonts w:cstheme="minorBidi"/>
        </w:rPr>
        <w:t xml:space="preserve"> compromised (BCM-positive) (</w:t>
      </w:r>
      <w:r w:rsidRPr="009819CE">
        <w:rPr>
          <w:rFonts w:cstheme="minorBidi"/>
        </w:rPr>
        <w:fldChar w:fldCharType="begin"/>
      </w:r>
      <w:r w:rsidRPr="009819CE">
        <w:rPr>
          <w:rFonts w:cstheme="minorBidi"/>
        </w:rPr>
        <w:instrText xml:space="preserve"> REF _Ref114817675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8549FC">
        <w:rPr>
          <w:rFonts w:cstheme="minorBidi"/>
          <w:b/>
          <w:bCs/>
        </w:rPr>
        <w:t>Table 2.1</w:t>
      </w:r>
      <w:r w:rsidRPr="009819CE">
        <w:rPr>
          <w:rFonts w:cstheme="minorBidi"/>
        </w:rPr>
        <w:fldChar w:fldCharType="end"/>
      </w:r>
      <w:r w:rsidRPr="009819CE">
        <w:rPr>
          <w:rFonts w:cstheme="minorBidi"/>
        </w:rPr>
        <w:t xml:space="preserve">). To better understand these </w:t>
      </w:r>
      <w:r w:rsidR="00CB314B" w:rsidRPr="009819CE">
        <w:rPr>
          <w:rFonts w:cstheme="minorBidi"/>
        </w:rPr>
        <w:t>factors</w:t>
      </w:r>
      <w:r w:rsidRPr="009819CE">
        <w:rPr>
          <w:rFonts w:cstheme="minorBidi"/>
        </w:rPr>
        <w:t xml:space="preserve">, it is crucial to have data available at the individual level. Therefore, </w:t>
      </w:r>
      <w:r w:rsidR="00486BF4">
        <w:rPr>
          <w:rFonts w:cstheme="minorBidi"/>
        </w:rPr>
        <w:t>it is</w:t>
      </w:r>
      <w:r w:rsidRPr="009819CE">
        <w:rPr>
          <w:rFonts w:cstheme="minorBidi"/>
        </w:rPr>
        <w:t xml:space="preserve"> recommend</w:t>
      </w:r>
      <w:r w:rsidR="00486BF4">
        <w:rPr>
          <w:rFonts w:cstheme="minorBidi"/>
        </w:rPr>
        <w:t>ed</w:t>
      </w:r>
      <w:r w:rsidRPr="009819CE">
        <w:rPr>
          <w:rFonts w:cstheme="minorBidi"/>
        </w:rPr>
        <w:t xml:space="preserve"> that future studies share prevalence data with this level of detail. By curating previous datasets and making individual-level data from current surveys accessible, </w:t>
      </w:r>
      <w:r w:rsidR="0091423C" w:rsidRPr="00FA7D47">
        <w:rPr>
          <w:rFonts w:cstheme="minorBidi"/>
        </w:rPr>
        <w:t>it is possible to</w:t>
      </w:r>
      <w:r w:rsidRPr="009819CE">
        <w:rPr>
          <w:rFonts w:cstheme="minorBidi"/>
        </w:rPr>
        <w:t xml:space="preserve"> effectively monitor the dynamics of the disease in great detail.</w:t>
      </w:r>
    </w:p>
    <w:p w14:paraId="34DB21AE" w14:textId="48D8E519" w:rsidR="00F36ABA" w:rsidRPr="009819CE" w:rsidRDefault="00F36ABA" w:rsidP="00F36ABA">
      <w:pPr>
        <w:rPr>
          <w:rFonts w:cstheme="minorBidi"/>
        </w:rPr>
      </w:pPr>
      <w:r w:rsidRPr="009819CE">
        <w:rPr>
          <w:rFonts w:cstheme="minorBidi"/>
        </w:rPr>
        <w:t>The underlying mechanism by which smaller individuals are more likely to develop high severity infection remains unknown. A recent study involving a shore crab-</w:t>
      </w:r>
      <w:r w:rsidR="009D03F4" w:rsidRPr="009819CE">
        <w:rPr>
          <w:rFonts w:cstheme="minorBidi"/>
          <w:i/>
          <w:iCs/>
        </w:rPr>
        <w:t>Hematodinium</w:t>
      </w:r>
      <w:r w:rsidRPr="009819CE">
        <w:rPr>
          <w:rFonts w:cstheme="minorBidi"/>
        </w:rPr>
        <w:t xml:space="preserve"> pathosystem suggests that </w:t>
      </w:r>
      <w:r w:rsidR="009D03F4" w:rsidRPr="009819CE">
        <w:rPr>
          <w:rFonts w:cstheme="minorBidi"/>
          <w:i/>
          <w:iCs/>
        </w:rPr>
        <w:t>Hematodinium</w:t>
      </w:r>
      <w:r w:rsidRPr="009819CE">
        <w:rPr>
          <w:rFonts w:cstheme="minorBidi"/>
        </w:rPr>
        <w:t xml:space="preserve"> sp. is not associated with a significant suppression of the host's immune system, but rather with a lack of reactivity of the host's haemocytes towards the parasite </w:t>
      </w:r>
      <w:r w:rsidRPr="009819CE">
        <w:rPr>
          <w:rFonts w:cstheme="minorBidi"/>
        </w:rPr>
        <w:fldChar w:fldCharType="begin"/>
      </w:r>
      <w:r w:rsidR="00D50EFF" w:rsidRPr="009819CE">
        <w:rPr>
          <w:rFonts w:cstheme="minorBidi"/>
        </w:rPr>
        <w:instrText xml:space="preserve"> ADDIN EN.CITE &lt;EndNote&gt;&lt;Cite&gt;&lt;Author&gt;Davies&lt;/Author&gt;&lt;Year&gt;2022&lt;/Year&gt;&lt;RecNum&gt;569&lt;/RecNum&gt;&lt;DisplayText&gt;(Davies et al., 2022)&lt;/DisplayText&gt;&lt;record&gt;&lt;rec-number&gt;569&lt;/rec-number&gt;&lt;foreign-keys&gt;&lt;key app="EN" db-id="sd9wrx9fj09rx3erprsx999o0r5aprvp2zse" timestamp="1687855901" guid="0ce1cc65-331e-411e-928f-b260b3cc0eb0"&gt;569&lt;/key&gt;&lt;/foreign-keys&gt;&lt;ref-type name="Journal Article"&gt;17&lt;/ref-type&gt;&lt;contributors&gt;&lt;authors&gt;&lt;author&gt;Davies, Charlotte E.&lt;/author&gt;&lt;author&gt;Thomas, Jessica E.&lt;/author&gt;&lt;author&gt;Malkin, Sophie H.&lt;/author&gt;&lt;author&gt;Batista, Frederico M.&lt;/author&gt;&lt;author&gt;Rowley, Andrew F.&lt;/author&gt;&lt;author&gt;Coates, Christopher J.&lt;/author&gt;&lt;/authors&gt;&lt;/contributors&gt;&lt;titles&gt;&lt;title&gt;&lt;style face="italic" font="default" size="100%"&gt;Hematodinium &lt;/style&gt;&lt;style face="normal" font="default" size="100%"&gt;sp. infection does not drive collateral disease contraction in a crustacean host&lt;/style&gt;&lt;/title&gt;&lt;secondary-title&gt;eLife&lt;/secondary-title&gt;&lt;/titles&gt;&lt;periodical&gt;&lt;full-title&gt;eLife&lt;/full-title&gt;&lt;/periodical&gt;&lt;volume&gt;11&lt;/volume&gt;&lt;keywords&gt;&lt;keyword&gt;Charlotte E Davies&lt;/keyword&gt;&lt;keyword&gt;Christopher J Coates&lt;/keyword&gt;&lt;keyword&gt;Jessica E Thomas&lt;/keyword&gt;&lt;keyword&gt;MEDLINE&lt;/keyword&gt;&lt;keyword&gt;NCBI&lt;/keyword&gt;&lt;keyword&gt;NIH&lt;/keyword&gt;&lt;keyword&gt;NLM&lt;/keyword&gt;&lt;keyword&gt;National Center for Biotechnology Information&lt;/keyword&gt;&lt;keyword&gt;National Institutes of Health&lt;/keyword&gt;&lt;keyword&gt;National Library of Medicine&lt;/keyword&gt;&lt;keyword&gt;PubMed Abstract&lt;/keyword&gt;&lt;keyword&gt;doi:10.7554/eLife.70356&lt;/keyword&gt;&lt;keyword&gt;pmid:35179494&lt;/keyword&gt;&lt;/keywords&gt;&lt;dates&gt;&lt;year&gt;2022&lt;/year&gt;&lt;pub-dates&gt;&lt;date&gt;2022/2//&lt;/date&gt;&lt;/pub-dates&gt;&lt;/dates&gt;&lt;publisher&gt;Elife&lt;/publisher&gt;&lt;urls&gt;&lt;related-urls&gt;&lt;url&gt;https://pubmed.ncbi.nlm.nih.gov/35179494/&lt;/url&gt;&lt;/related-urls&gt;&lt;/urls&gt;&lt;electronic-resource-num&gt;10.7554/ELIFE.70356&lt;/electronic-resource-num&gt;&lt;/record&gt;&lt;/Cite&gt;&lt;/EndNote&gt;</w:instrText>
      </w:r>
      <w:r w:rsidRPr="009819CE">
        <w:rPr>
          <w:rFonts w:cstheme="minorBidi"/>
        </w:rPr>
        <w:fldChar w:fldCharType="separate"/>
      </w:r>
      <w:r w:rsidR="00D50EFF" w:rsidRPr="009819CE">
        <w:rPr>
          <w:rFonts w:cstheme="minorBidi"/>
        </w:rPr>
        <w:t>(</w:t>
      </w:r>
      <w:hyperlink w:anchor="_ENREF_63" w:tooltip="Davies, 2022 #569" w:history="1">
        <w:r w:rsidR="00950097" w:rsidRPr="009819CE">
          <w:rPr>
            <w:rFonts w:cstheme="minorBidi"/>
          </w:rPr>
          <w:t>Davies et al., 2022</w:t>
        </w:r>
      </w:hyperlink>
      <w:r w:rsidR="00D50EFF" w:rsidRPr="009819CE">
        <w:rPr>
          <w:rFonts w:cstheme="minorBidi"/>
        </w:rPr>
        <w:t>)</w:t>
      </w:r>
      <w:r w:rsidRPr="009819CE">
        <w:rPr>
          <w:rFonts w:cstheme="minorBidi"/>
        </w:rPr>
        <w:fldChar w:fldCharType="end"/>
      </w:r>
      <w:r w:rsidRPr="009819CE">
        <w:rPr>
          <w:rFonts w:cstheme="minorBidi"/>
        </w:rPr>
        <w:t xml:space="preserve">. However, it is plausible that larger hosts, which are generally more immune-competent than their smaller counterparts, may possess humoral-mediated defence mechanisms that enable them to counteract the proliferation of </w:t>
      </w:r>
      <w:r w:rsidR="009D03F4" w:rsidRPr="009819CE">
        <w:rPr>
          <w:rFonts w:cstheme="minorBidi"/>
          <w:i/>
          <w:iCs/>
        </w:rPr>
        <w:t>Hematodinium</w:t>
      </w:r>
      <w:r w:rsidRPr="009819CE">
        <w:rPr>
          <w:rFonts w:cstheme="minorBidi"/>
        </w:rPr>
        <w:t xml:space="preserve"> sp. during the early stages of parasite settlement.</w:t>
      </w:r>
    </w:p>
    <w:p w14:paraId="55A7D3B8" w14:textId="183AB0D8" w:rsidR="00F36ABA" w:rsidRPr="009819CE" w:rsidRDefault="00F36ABA" w:rsidP="00F36ABA">
      <w:pPr>
        <w:rPr>
          <w:rFonts w:cstheme="minorBidi"/>
        </w:rPr>
      </w:pPr>
      <w:r w:rsidRPr="009819CE">
        <w:rPr>
          <w:rFonts w:cstheme="minorBidi"/>
        </w:rPr>
        <w:t xml:space="preserve">The factors behind the synchronized seasonal patterns in parasites infecting hosts, such as </w:t>
      </w:r>
      <w:r w:rsidR="00C31E47" w:rsidRPr="009819CE">
        <w:rPr>
          <w:rFonts w:cstheme="minorBidi"/>
          <w:i/>
          <w:iCs/>
        </w:rPr>
        <w:t>Nephrops</w:t>
      </w:r>
      <w:r w:rsidRPr="009819CE">
        <w:rPr>
          <w:rFonts w:cstheme="minorBidi"/>
        </w:rPr>
        <w:t xml:space="preserve">, which reside in deep waters, remain unknown. This is particularly intriguing considering the absence of external cues available to the parasites. An obligatory metabolic coupling with the host could serve as a potential explanation for the synchronized multiplication of parasites. </w:t>
      </w:r>
      <w:hyperlink w:anchor="_ENREF_114" w:tooltip="Gornik, 2015 #71" w:history="1">
        <w:r w:rsidR="00950097" w:rsidRPr="009819CE">
          <w:rPr>
            <w:rFonts w:cstheme="minorBidi"/>
          </w:rPr>
          <w:fldChar w:fldCharType="begin">
            <w:fldData xml:space="preserve">PEVuZE5vdGU+PENpdGUgQXV0aG9yWWVhcj0iMSI+PEF1dGhvcj5Hb3JuaWs8L0F1dGhvcj48WWVh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</w:fldData>
          </w:fldChar>
        </w:r>
        <w:r w:rsidR="00950097" w:rsidRPr="009819CE">
          <w:rPr>
            <w:rFonts w:cstheme="minorBidi"/>
          </w:rPr>
          <w:instrText xml:space="preserve"> ADDIN EN.CITE </w:instrText>
        </w:r>
        <w:r w:rsidR="00950097" w:rsidRPr="009819CE">
          <w:rPr>
            <w:rFonts w:cstheme="minorBidi"/>
          </w:rPr>
          <w:fldChar w:fldCharType="begin">
            <w:fldData xml:space="preserve">PEVuZE5vdGU+PENpdGUgQXV0aG9yWWVhcj0iMSI+PEF1dGhvcj5Hb3JuaWs8L0F1dGhvcj48WWVh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</w:fldData>
          </w:fldChar>
        </w:r>
        <w:r w:rsidR="00950097" w:rsidRPr="009819CE">
          <w:rPr>
            <w:rFonts w:cstheme="minorBidi"/>
          </w:rPr>
          <w:instrText xml:space="preserve"> ADDIN EN.CITE.DATA </w:instrText>
        </w:r>
        <w:r w:rsidR="00950097" w:rsidRPr="009819CE">
          <w:rPr>
            <w:rFonts w:cstheme="minorBidi"/>
          </w:rPr>
        </w:r>
        <w:r w:rsidR="00950097" w:rsidRPr="009819CE">
          <w:rPr>
            <w:rFonts w:cstheme="minorBidi"/>
          </w:rPr>
          <w:fldChar w:fldCharType="end"/>
        </w:r>
        <w:r w:rsidR="00950097" w:rsidRPr="009819CE">
          <w:rPr>
            <w:rFonts w:cstheme="minorBidi"/>
          </w:rPr>
        </w:r>
        <w:r w:rsidR="00950097" w:rsidRPr="009819CE">
          <w:rPr>
            <w:rFonts w:cstheme="minorBidi"/>
          </w:rPr>
          <w:fldChar w:fldCharType="separate"/>
        </w:r>
        <w:r w:rsidR="00950097" w:rsidRPr="007268F5">
          <w:rPr>
            <w:rFonts w:cstheme="minorBidi"/>
          </w:rPr>
          <w:t>Gornik et al. (2015)</w:t>
        </w:r>
        <w:r w:rsidR="00950097" w:rsidRPr="009819CE">
          <w:rPr>
            <w:rFonts w:cstheme="minorBidi"/>
          </w:rPr>
          <w:fldChar w:fldCharType="end"/>
        </w:r>
      </w:hyperlink>
      <w:r w:rsidRPr="009819CE">
        <w:rPr>
          <w:rFonts w:cstheme="minorBidi"/>
        </w:rPr>
        <w:t xml:space="preserve"> proposed this theory based on the argument that </w:t>
      </w:r>
      <w:r w:rsidR="009D03F4" w:rsidRPr="009819CE">
        <w:rPr>
          <w:rFonts w:cstheme="minorBidi"/>
          <w:i/>
          <w:iCs/>
        </w:rPr>
        <w:t>Hematodinium</w:t>
      </w:r>
      <w:r w:rsidRPr="009819CE">
        <w:rPr>
          <w:rFonts w:cstheme="minorBidi"/>
        </w:rPr>
        <w:t xml:space="preserve"> sp., lacking plastid organelles, relies on obligatory metabolic scavenging from its host. In this case, certain host metabolites, like Methyl farnesoate, necessary for the host's preparation for moulting in spring, might be crucial for parasite multiplication. These metabolic interactions could, to some extent, account for the observed</w:t>
      </w:r>
      <w:r w:rsidR="00E84C9A" w:rsidRPr="009819CE">
        <w:rPr>
          <w:rFonts w:cstheme="minorBidi"/>
        </w:rPr>
        <w:t xml:space="preserve"> </w:t>
      </w:r>
      <w:r w:rsidRPr="009819CE">
        <w:rPr>
          <w:rFonts w:cstheme="minorBidi"/>
        </w:rPr>
        <w:t>synchronicity</w:t>
      </w:r>
      <w:r w:rsidR="00227735" w:rsidRPr="009819CE">
        <w:rPr>
          <w:rFonts w:cstheme="minorBidi"/>
        </w:rPr>
        <w:t xml:space="preserve"> of the</w:t>
      </w:r>
      <w:r w:rsidR="006F171A" w:rsidRPr="009819CE">
        <w:rPr>
          <w:rFonts w:cstheme="minorBidi"/>
        </w:rPr>
        <w:t xml:space="preserve"> patent infection</w:t>
      </w:r>
      <w:r w:rsidRPr="009819CE">
        <w:rPr>
          <w:rFonts w:cstheme="minorBidi"/>
        </w:rPr>
        <w:t xml:space="preserve">. </w:t>
      </w:r>
    </w:p>
    <w:p w14:paraId="22722CF0" w14:textId="393C704B" w:rsidR="00F36ABA" w:rsidRPr="009819CE" w:rsidRDefault="00F36ABA" w:rsidP="009A5465">
      <w:pPr>
        <w:pStyle w:val="Heading3"/>
        <w:rPr>
          <w:rFonts w:cstheme="minorBidi"/>
          <w:iCs/>
        </w:rPr>
      </w:pPr>
      <w:bookmarkStart w:id="242" w:name="_Toc204106632"/>
      <w:r w:rsidRPr="009819CE">
        <w:rPr>
          <w:rFonts w:cstheme="minorBidi"/>
        </w:rPr>
        <w:t xml:space="preserve">The effects of </w:t>
      </w:r>
      <w:r w:rsidR="009D03F4" w:rsidRPr="009819CE">
        <w:rPr>
          <w:rFonts w:cstheme="minorBidi"/>
          <w:i/>
        </w:rPr>
        <w:t>Hematodinium</w:t>
      </w:r>
      <w:r w:rsidRPr="009819CE">
        <w:rPr>
          <w:rFonts w:cstheme="minorBidi"/>
        </w:rPr>
        <w:t xml:space="preserve"> sp. infection on the hepatopancreas of female </w:t>
      </w:r>
      <w:r w:rsidR="00C31E47" w:rsidRPr="009819CE">
        <w:rPr>
          <w:rFonts w:cstheme="minorBidi"/>
          <w:i/>
        </w:rPr>
        <w:t>Nephrops</w:t>
      </w:r>
      <w:bookmarkEnd w:id="242"/>
    </w:p>
    <w:p w14:paraId="1132A6AB" w14:textId="09B425F1" w:rsidR="00F36ABA" w:rsidRPr="009819CE" w:rsidRDefault="00F36ABA" w:rsidP="00F36ABA">
      <w:pPr>
        <w:rPr>
          <w:rFonts w:cstheme="minorBidi"/>
        </w:rPr>
      </w:pPr>
      <w:r w:rsidRPr="009819CE">
        <w:rPr>
          <w:rFonts w:cstheme="minorBidi"/>
        </w:rPr>
        <w:t xml:space="preserve">The hepatopancreas, a crucial organ in crustaceans responsible for nutrient absorption and storage </w:t>
      </w:r>
      <w:r w:rsidRPr="009819CE">
        <w:rPr>
          <w:rFonts w:cstheme="minorBidi"/>
        </w:rPr>
        <w:fldChar w:fldCharType="begin"/>
      </w:r>
      <w:r w:rsidR="001B2F10" w:rsidRPr="009819CE">
        <w:rPr>
          <w:rFonts w:cstheme="minorBidi"/>
        </w:rPr>
        <w:instrText xml:space="preserve"> ADDIN EN.CITE &lt;EndNote&gt;&lt;Cite&gt;&lt;Author&gt;Wu&lt;/Author&gt;&lt;Year&gt;2020&lt;/Year&gt;&lt;RecNum&gt;1305&lt;/RecNum&gt;&lt;DisplayText&gt;(Wu et al., 2020)&lt;/DisplayText&gt;&lt;record&gt;&lt;rec-number&gt;1305&lt;/rec-number&gt;&lt;foreign-keys&gt;&lt;key app="EN" db-id="sd9wrx9fj09rx3erprsx999o0r5aprvp2zse" timestamp="1687855902" guid="76219183-eeb5-479d-92b6-7f4927c0a966"&gt;1305&lt;/key&gt;&lt;/foreign-keys&gt;&lt;ref-type name="Journal Article"&gt;17&lt;/ref-type&gt;&lt;contributors&gt;&lt;authors&gt;&lt;author&gt;Wu, Qingyang&lt;/author&gt;&lt;author&gt;Waiho, Khor&lt;/author&gt;&lt;author&gt;Huang, Zhi&lt;/author&gt;&lt;author&gt;Li, Shengkang&lt;/author&gt;&lt;author&gt;Zheng, Huaiping&lt;/author&gt;&lt;author&gt;Zhang, Yueling&lt;/author&gt;&lt;author&gt;Ikhwanuddin, Mhd&lt;/author&gt;&lt;author&gt;Lin, Feng&lt;/author&gt;&lt;author&gt;Ma, Hongyu&lt;/author&gt;&lt;/authors&gt;&lt;/contributors&gt;&lt;titles&gt;&lt;title&gt;&lt;style face="normal" font="default" size="100%"&gt;Growth performance and biochemical composition dynamics of ovary, hepatopancreas and muscle tissues at different ovarian maturation stages of female mud crab, &lt;/style&gt;&lt;style face="italic" font="default" size="100%"&gt;Scylla paramamosain&lt;/style&gt;&lt;/title&gt;&lt;secondary-title&gt;Aquaculture&lt;/secondary-title&gt;&lt;/titles&gt;&lt;periodical&gt;&lt;full-title&gt;Aquaculture&lt;/full-title&gt;&lt;/periodical&gt;&lt;pages&gt;734560-734560&lt;/pages&gt;&lt;volume&gt;515&lt;/volume&gt;&lt;keywords&gt;&lt;keyword&gt;Amino acids and fatty acids&lt;/keyword&gt;&lt;keyword&gt;Gonadosomatic index&lt;/keyword&gt;&lt;keyword&gt;Growth traits&lt;/keyword&gt;&lt;keyword&gt;Mud crab&lt;/keyword&gt;&lt;keyword&gt;Ovarian maturation&lt;/keyword&gt;&lt;/keywords&gt;&lt;dates&gt;&lt;year&gt;2020&lt;/year&gt;&lt;pub-dates&gt;&lt;date&gt;2020/1//&lt;/date&gt;&lt;/pub-dates&gt;&lt;/dates&gt;&lt;publisher&gt;Elsevier&lt;/publisher&gt;&lt;urls&gt;&lt;/urls&gt;&lt;electronic-resource-num&gt;10.1016/J.AQUACULTURE.2019.734560&lt;/electronic-resource-num&gt;&lt;/record&gt;&lt;/Cite&gt;&lt;/EndNote&gt;</w:instrText>
      </w:r>
      <w:r w:rsidRPr="009819CE">
        <w:rPr>
          <w:rFonts w:cstheme="minorBidi"/>
        </w:rPr>
        <w:fldChar w:fldCharType="separate"/>
      </w:r>
      <w:r w:rsidR="00D50EFF" w:rsidRPr="007268F5">
        <w:rPr>
          <w:rFonts w:cstheme="minorBidi"/>
        </w:rPr>
        <w:t>(</w:t>
      </w:r>
      <w:hyperlink w:anchor="_ENREF_360" w:tooltip="Wu, 2020 #1305" w:history="1">
        <w:r w:rsidR="00950097" w:rsidRPr="007268F5">
          <w:rPr>
            <w:rFonts w:cstheme="minorBidi"/>
          </w:rPr>
          <w:t>Wu et al., 2020</w:t>
        </w:r>
      </w:hyperlink>
      <w:r w:rsidR="00D50EFF" w:rsidRPr="007268F5">
        <w:rPr>
          <w:rFonts w:cstheme="minorBidi"/>
        </w:rPr>
        <w:t>)</w:t>
      </w:r>
      <w:r w:rsidRPr="009819CE">
        <w:rPr>
          <w:rFonts w:cstheme="minorBidi"/>
        </w:rPr>
        <w:fldChar w:fldCharType="end"/>
      </w:r>
      <w:r w:rsidRPr="009819CE">
        <w:rPr>
          <w:rFonts w:cstheme="minorBidi"/>
        </w:rPr>
        <w:t xml:space="preserve"> acts as a reservoir for essential lipids, which provide substantial energy during critical phases like starvation, moulting, maturation, or reproduction, including ovarian development </w:t>
      </w:r>
      <w:r w:rsidRPr="009819CE">
        <w:rPr>
          <w:rFonts w:cstheme="minorBidi"/>
        </w:rPr>
        <w:fldChar w:fldCharType="begin">
          <w:fldData xml:space="preserve">PEVuZE5vdGU+PENpdGU+PEF1dGhvcj5XYW5nPC9BdXRob3I+PFllYXI+MjAxNDwvWWVhcj48UmVj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</w:fldData>
        </w:fldChar>
      </w:r>
      <w:r w:rsidR="00871B4F">
        <w:rPr>
          <w:rFonts w:cstheme="minorBidi"/>
        </w:rPr>
        <w:instrText xml:space="preserve"> ADDIN EN.CITE </w:instrText>
      </w:r>
      <w:r w:rsidR="00871B4F">
        <w:rPr>
          <w:rFonts w:cstheme="minorBidi"/>
        </w:rPr>
        <w:fldChar w:fldCharType="begin">
          <w:fldData xml:space="preserve">PEVuZE5vdGU+PENpdGU+PEF1dGhvcj5XYW5nPC9BdXRob3I+PFllYXI+MjAxNDwvWWVhcj48UmVj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871B4F">
        <w:rPr>
          <w:rFonts w:cstheme="minorBidi"/>
          <w:noProof/>
        </w:rPr>
        <w:t>(</w:t>
      </w:r>
      <w:hyperlink w:anchor="_ENREF_256" w:tooltip="Rosa, 2003 #133" w:history="1">
        <w:r w:rsidR="00950097" w:rsidRPr="00871B4F">
          <w:rPr>
            <w:rFonts w:cstheme="minorBidi"/>
            <w:noProof/>
          </w:rPr>
          <w:t>Rosa et al., 2003</w:t>
        </w:r>
      </w:hyperlink>
      <w:r w:rsidR="00D50EFF" w:rsidRPr="00871B4F">
        <w:rPr>
          <w:rFonts w:cstheme="minorBidi"/>
          <w:noProof/>
        </w:rPr>
        <w:t xml:space="preserve">; </w:t>
      </w:r>
      <w:hyperlink w:anchor="_ENREF_346" w:tooltip="Wang, 2014 #1265" w:history="1">
        <w:r w:rsidR="00950097" w:rsidRPr="00871B4F">
          <w:rPr>
            <w:rFonts w:cstheme="minorBidi"/>
            <w:noProof/>
          </w:rPr>
          <w:t>Wang et al., 2014</w:t>
        </w:r>
      </w:hyperlink>
      <w:r w:rsidR="00D50EFF" w:rsidRPr="00871B4F">
        <w:rPr>
          <w:rFonts w:cstheme="minorBidi"/>
          <w:noProof/>
        </w:rPr>
        <w:t>)</w:t>
      </w:r>
      <w:r w:rsidRPr="009819CE">
        <w:rPr>
          <w:rFonts w:cstheme="minorBidi"/>
        </w:rPr>
        <w:fldChar w:fldCharType="end"/>
      </w:r>
      <w:r w:rsidRPr="009819CE">
        <w:rPr>
          <w:rFonts w:cstheme="minorBidi"/>
          <w:color w:val="000000"/>
        </w:rPr>
        <w:t>.</w:t>
      </w:r>
      <w:r w:rsidRPr="009819CE">
        <w:rPr>
          <w:rFonts w:cstheme="minorBidi"/>
        </w:rPr>
        <w:t xml:space="preserve">  The state of "starvation" in </w:t>
      </w:r>
      <w:r w:rsidR="00C31E47" w:rsidRPr="009819CE">
        <w:rPr>
          <w:rFonts w:cstheme="minorBidi"/>
          <w:i/>
          <w:iCs/>
        </w:rPr>
        <w:t>Nephrops</w:t>
      </w:r>
      <w:r w:rsidRPr="009819CE">
        <w:rPr>
          <w:rFonts w:cstheme="minorBidi"/>
        </w:rPr>
        <w:t xml:space="preserve"> can be assessed by measuring the reduction in the hepatosomatic index (HSI) </w:t>
      </w:r>
      <w:r w:rsidRPr="009819CE">
        <w:rPr>
          <w:rFonts w:cstheme="minorBidi"/>
        </w:rPr>
        <w:fldChar w:fldCharType="begin"/>
      </w:r>
      <w:r w:rsidR="00D50EFF" w:rsidRPr="009819CE">
        <w:rPr>
          <w:rFonts w:cstheme="minorBidi"/>
        </w:rPr>
        <w:instrText xml:space="preserve"> ADDIN EN.CITE &lt;EndNote&gt;&lt;Cite&gt;&lt;Author&gt;Watts&lt;/Author&gt;&lt;Year&gt;2016&lt;/Year&gt;&lt;RecNum&gt;199&lt;/RecNum&gt;&lt;DisplayText&gt;(Watts et al., 2016)&lt;/DisplayText&gt;&lt;record&gt;&lt;rec-number&gt;199&lt;/rec-number&gt;&lt;foreign-keys&gt;&lt;key app="EN" db-id="sd9wrx9fj09rx3erprsx999o0r5aprvp2zse" timestamp="1687855901" guid="60eee4cf-4407-4787-b14c-de9668f08f02"&gt;199&lt;/key&gt;&lt;/foreign-keys&gt;&lt;ref-type name="Journal Article"&gt;17&lt;/ref-type&gt;&lt;contributors&gt;&lt;authors&gt;&lt;author&gt;Watts, Andrew J. R.&lt;/author&gt;&lt;author&gt;Albalat, Amaya&lt;/author&gt;&lt;author&gt;Smith, Ian P.&lt;/author&gt;&lt;author&gt;Atkinson, Robert James A.&lt;/author&gt;&lt;author&gt;Neil, Douglas M.&lt;/author&gt;&lt;/authors&gt;&lt;/contributors&gt;&lt;titles&gt;&lt;title&gt;&lt;style face="normal" font="default" size="100%"&gt;Seasonal nutritional status in Norway lobsters, &lt;/style&gt;&lt;style face="italic" font="default" size="100%"&gt;Nephrops norvegicus&lt;/style&gt;&lt;style face="normal" font="default" size="100%"&gt; (L.): are females nutritionally compromised over the winter?&lt;/style&gt;&lt;/title&gt;&lt;secondary-title&gt;Marine Biology Research&lt;/secondary-title&gt;&lt;/titles&gt;&lt;periodical&gt;&lt;full-title&gt;Marine Biology Research&lt;/full-title&gt;&lt;/periodical&gt;&lt;pages&gt;563-572&lt;/pages&gt;&lt;volume&gt;12&lt;/volume&gt;&lt;number&gt;6&lt;/number&gt;&lt;keywords&gt;&lt;keyword&gt;Nephrops norvegicus&lt;/keyword&gt;&lt;keyword&gt;Norway lobster&lt;/keyword&gt;&lt;keyword&gt;brooding&lt;/keyword&gt;&lt;keyword&gt;nutritional state&lt;/keyword&gt;&lt;keyword&gt;starvation&lt;/keyword&gt;&lt;/keywords&gt;&lt;dates&gt;&lt;year&gt;2016&lt;/year&gt;&lt;pub-dates&gt;&lt;date&gt;2016/7//&lt;/date&gt;&lt;/pub-dates&gt;&lt;/dates&gt;&lt;publisher&gt;Taylor &amp;amp; Francis&lt;/publisher&gt;&lt;urls&gt;&lt;related-urls&gt;&lt;url&gt;https://www.tandfonline.com/doi/full/10.1080/17451000.2016.1174337&lt;/url&gt;&lt;/related-urls&gt;&lt;/urls&gt;&lt;electronic-resource-num&gt;10.1080/17451000.2016.1174337&lt;/electronic-resource-num&gt;&lt;/record&gt;&lt;/Cite&gt;&lt;/EndNote&gt;</w:instrText>
      </w:r>
      <w:r w:rsidRPr="009819CE">
        <w:rPr>
          <w:rFonts w:cstheme="minorBidi"/>
        </w:rPr>
        <w:fldChar w:fldCharType="separate"/>
      </w:r>
      <w:r w:rsidR="00D50EFF" w:rsidRPr="009819CE">
        <w:rPr>
          <w:rFonts w:cstheme="minorBidi"/>
        </w:rPr>
        <w:t>(</w:t>
      </w:r>
      <w:hyperlink w:anchor="_ENREF_352" w:tooltip="Watts, 2016 #199" w:history="1">
        <w:r w:rsidR="00950097" w:rsidRPr="009819CE">
          <w:rPr>
            <w:rFonts w:cstheme="minorBidi"/>
          </w:rPr>
          <w:t>Watts et al., 2016</w:t>
        </w:r>
      </w:hyperlink>
      <w:r w:rsidR="00D50EFF" w:rsidRPr="009819CE">
        <w:rPr>
          <w:rFonts w:cstheme="minorBidi"/>
        </w:rPr>
        <w:t>)</w:t>
      </w:r>
      <w:r w:rsidRPr="009819CE">
        <w:rPr>
          <w:rFonts w:cstheme="minorBidi"/>
        </w:rPr>
        <w:fldChar w:fldCharType="end"/>
      </w:r>
      <w:r w:rsidRPr="009819CE">
        <w:rPr>
          <w:rFonts w:cstheme="minorBidi"/>
        </w:rPr>
        <w:t xml:space="preserve">. </w:t>
      </w:r>
      <w:r w:rsidR="0088119C" w:rsidRPr="00FA7D47">
        <w:rPr>
          <w:rFonts w:cstheme="minorBidi"/>
        </w:rPr>
        <w:t>The</w:t>
      </w:r>
      <w:r w:rsidRPr="009819CE">
        <w:rPr>
          <w:rFonts w:cstheme="minorBidi"/>
        </w:rPr>
        <w:t xml:space="preserve"> study on female </w:t>
      </w:r>
      <w:r w:rsidR="00C31E47" w:rsidRPr="009819CE">
        <w:rPr>
          <w:rFonts w:cstheme="minorBidi"/>
          <w:i/>
          <w:iCs/>
        </w:rPr>
        <w:t>Nephrops</w:t>
      </w:r>
      <w:r w:rsidRPr="009819CE">
        <w:rPr>
          <w:rFonts w:cstheme="minorBidi"/>
        </w:rPr>
        <w:t xml:space="preserve"> revealed temporal variations in HSI, which align with previous research conducted on this species </w:t>
      </w:r>
      <w:r w:rsidRPr="009819CE">
        <w:rPr>
          <w:rFonts w:cstheme="minorBidi"/>
        </w:rPr>
        <w:fldChar w:fldCharType="begin">
          <w:fldData xml:space="preserve">PEVuZE5vdGU+PENpdGU+PEF1dGhvcj5Sb3NhPC9BdXRob3I+PFllYXI+MjAwMzwvWWVhcj48UmVj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</w:fldData>
        </w:fldChar>
      </w:r>
      <w:r w:rsidR="00A90411" w:rsidRPr="009819CE">
        <w:rPr>
          <w:rFonts w:cstheme="minorBidi"/>
        </w:rPr>
        <w:instrText xml:space="preserve"> ADDIN EN.CITE </w:instrText>
      </w:r>
      <w:r w:rsidR="00A90411" w:rsidRPr="009819CE">
        <w:rPr>
          <w:rFonts w:cstheme="minorBidi"/>
        </w:rPr>
        <w:fldChar w:fldCharType="begin">
          <w:fldData xml:space="preserve">PEVuZE5vdGU+PENpdGU+PEF1dGhvcj5Sb3NhPC9BdXRob3I+PFllYXI+MjAwMzwvWWVhcj48UmVj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</w:fldData>
        </w:fldChar>
      </w:r>
      <w:r w:rsidR="00A90411" w:rsidRPr="009819CE">
        <w:rPr>
          <w:rFonts w:cstheme="minorBidi"/>
        </w:rPr>
        <w:instrText xml:space="preserve"> ADDIN EN.CITE.DATA </w:instrText>
      </w:r>
      <w:r w:rsidR="00A90411" w:rsidRPr="009819CE">
        <w:rPr>
          <w:rFonts w:cstheme="minorBidi"/>
        </w:rPr>
      </w:r>
      <w:r w:rsidR="00A90411"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1" w:tooltip="Albalat, 2016 #426" w:history="1">
        <w:r w:rsidR="00950097" w:rsidRPr="007268F5">
          <w:rPr>
            <w:rFonts w:cstheme="minorBidi"/>
          </w:rPr>
          <w:t>Albalat et al., 2016</w:t>
        </w:r>
      </w:hyperlink>
      <w:r w:rsidR="00D50EFF" w:rsidRPr="007268F5">
        <w:rPr>
          <w:rFonts w:cstheme="minorBidi"/>
        </w:rPr>
        <w:t xml:space="preserve">; </w:t>
      </w:r>
      <w:hyperlink w:anchor="_ENREF_256" w:tooltip="Rosa, 2003 #133" w:history="1">
        <w:r w:rsidR="00950097" w:rsidRPr="007268F5">
          <w:rPr>
            <w:rFonts w:cstheme="minorBidi"/>
          </w:rPr>
          <w:t>Rosa et al., 2003</w:t>
        </w:r>
      </w:hyperlink>
      <w:r w:rsidR="00D50EFF" w:rsidRPr="007268F5">
        <w:rPr>
          <w:rFonts w:cstheme="minorBidi"/>
        </w:rPr>
        <w:t xml:space="preserve">; </w:t>
      </w:r>
      <w:hyperlink w:anchor="_ENREF_257" w:tooltip="Rosa, 2002 #1690" w:history="1">
        <w:r w:rsidR="00950097" w:rsidRPr="007268F5">
          <w:rPr>
            <w:rFonts w:cstheme="minorBidi"/>
          </w:rPr>
          <w:t>Rosa and Nunes, 2002</w:t>
        </w:r>
      </w:hyperlink>
      <w:r w:rsidR="00D50EFF" w:rsidRPr="007268F5">
        <w:rPr>
          <w:rFonts w:cstheme="minorBidi"/>
        </w:rPr>
        <w:t xml:space="preserve">; </w:t>
      </w:r>
      <w:hyperlink w:anchor="_ENREF_258" w:tooltip="Rosa, 2004 #823" w:history="1">
        <w:r w:rsidR="00950097" w:rsidRPr="007268F5">
          <w:rPr>
            <w:rFonts w:cstheme="minorBidi"/>
          </w:rPr>
          <w:t>Rosa and Nunes, 2004</w:t>
        </w:r>
      </w:hyperlink>
      <w:r w:rsidR="00D50EFF" w:rsidRPr="007268F5">
        <w:rPr>
          <w:rFonts w:cstheme="minorBidi"/>
        </w:rPr>
        <w:t>)</w:t>
      </w:r>
      <w:r w:rsidRPr="009819CE">
        <w:rPr>
          <w:rFonts w:cstheme="minorBidi"/>
        </w:rPr>
        <w:fldChar w:fldCharType="end"/>
      </w:r>
      <w:r w:rsidRPr="009819CE">
        <w:rPr>
          <w:rFonts w:cstheme="minorBidi"/>
        </w:rPr>
        <w:t xml:space="preserve">. During the months of April and May, many females emerge from their burrows after hatching their eggs, so their nutritional status may reflect a long period of burrow residence but not starvation </w:t>
      </w:r>
      <w:r w:rsidRPr="009819CE">
        <w:rPr>
          <w:rFonts w:cstheme="minorBidi"/>
        </w:rPr>
        <w:fldChar w:fldCharType="begin">
          <w:fldData xml:space="preserve">PEVuZE5vdGU+PENpdGU+PEF1dGhvcj5TYW50YW5hPC9BdXRob3I+PFllYXI+MjAyMDwvWWVhcj48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==
</w:fldData>
        </w:fldChar>
      </w:r>
      <w:r w:rsidR="00E11994" w:rsidRPr="009819CE">
        <w:rPr>
          <w:rFonts w:cstheme="minorBidi"/>
        </w:rPr>
        <w:instrText xml:space="preserve"> ADDIN EN.CITE </w:instrText>
      </w:r>
      <w:r w:rsidR="00E11994" w:rsidRPr="009819CE">
        <w:rPr>
          <w:rFonts w:cstheme="minorBidi"/>
        </w:rPr>
        <w:fldChar w:fldCharType="begin">
          <w:fldData xml:space="preserve">PEVuZE5vdGU+PENpdGU+PEF1dGhvcj5TYW50YW5hPC9BdXRob3I+PFllYXI+MjAyMDwvWWVhcj48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==
</w:fldData>
        </w:fldChar>
      </w:r>
      <w:r w:rsidR="00E11994" w:rsidRPr="009819CE">
        <w:rPr>
          <w:rFonts w:cstheme="minorBidi"/>
        </w:rPr>
        <w:instrText xml:space="preserve"> ADDIN EN.CITE.DATA </w:instrText>
      </w:r>
      <w:r w:rsidR="00E11994" w:rsidRPr="009819CE">
        <w:rPr>
          <w:rFonts w:cstheme="minorBidi"/>
        </w:rPr>
      </w:r>
      <w:r w:rsidR="00E11994"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65" w:tooltip="Santana, 2020 #658" w:history="1">
        <w:r w:rsidR="00950097" w:rsidRPr="007268F5">
          <w:rPr>
            <w:rFonts w:cstheme="minorBidi"/>
          </w:rPr>
          <w:t>Santana et al., 2020</w:t>
        </w:r>
      </w:hyperlink>
      <w:r w:rsidR="00D50EFF" w:rsidRPr="007268F5">
        <w:rPr>
          <w:rFonts w:cstheme="minorBidi"/>
        </w:rPr>
        <w:t xml:space="preserve">; </w:t>
      </w:r>
      <w:hyperlink w:anchor="_ENREF_352" w:tooltip="Watts, 2016 #199" w:history="1">
        <w:r w:rsidR="00950097" w:rsidRPr="007268F5">
          <w:rPr>
            <w:rFonts w:cstheme="minorBidi"/>
          </w:rPr>
          <w:t>Watts et al., 2016</w:t>
        </w:r>
      </w:hyperlink>
      <w:r w:rsidR="00D50EFF" w:rsidRPr="007268F5">
        <w:rPr>
          <w:rFonts w:cstheme="minorBidi"/>
        </w:rPr>
        <w:t>)</w:t>
      </w:r>
      <w:r w:rsidRPr="009819CE">
        <w:rPr>
          <w:rFonts w:cstheme="minorBidi"/>
        </w:rPr>
        <w:fldChar w:fldCharType="end"/>
      </w:r>
      <w:r w:rsidRPr="009819CE">
        <w:rPr>
          <w:rFonts w:cstheme="minorBidi"/>
        </w:rPr>
        <w:t xml:space="preserve">. Factors contributing to the reduced HSI include lower food availability and decreased consumption of the available food. In situations where nutrition is limited, females will utilize the lipids stored in their hepatopancreas as a last resort (Watts et al., 2016). However, in this study, </w:t>
      </w:r>
      <w:r w:rsidR="00486BF4">
        <w:rPr>
          <w:rFonts w:cstheme="minorBidi"/>
        </w:rPr>
        <w:t xml:space="preserve">an increase in </w:t>
      </w:r>
      <w:r w:rsidRPr="009819CE">
        <w:rPr>
          <w:rFonts w:cstheme="minorBidi"/>
        </w:rPr>
        <w:t xml:space="preserve">HSI </w:t>
      </w:r>
      <w:r w:rsidR="00486BF4">
        <w:rPr>
          <w:rFonts w:cstheme="minorBidi"/>
        </w:rPr>
        <w:t xml:space="preserve">was observed </w:t>
      </w:r>
      <w:r w:rsidRPr="009819CE">
        <w:rPr>
          <w:rFonts w:cstheme="minorBidi"/>
        </w:rPr>
        <w:t xml:space="preserve">throughout ovarian maturation, suggesting that the hepatopancreatic resources are not depleted </w:t>
      </w:r>
      <w:r w:rsidRPr="009819CE">
        <w:rPr>
          <w:rFonts w:cstheme="minorBidi"/>
        </w:rPr>
        <w:fldChar w:fldCharType="begin"/>
      </w:r>
      <w:r w:rsidR="00D50EFF" w:rsidRPr="009819CE">
        <w:rPr>
          <w:rFonts w:cstheme="minorBidi"/>
        </w:rPr>
        <w:instrText xml:space="preserve"> ADDIN EN.CITE &lt;EndNote&gt;&lt;Cite&gt;&lt;Author&gt;Rosa&lt;/Author&gt;&lt;Year&gt;2002&lt;/Year&gt;&lt;RecNum&gt;1690&lt;/RecNum&gt;&lt;DisplayText&gt;(Rosa and Nunes, 2002)&lt;/DisplayText&gt;&lt;record&gt;&lt;rec-number&gt;1690&lt;/rec-number&gt;&lt;foreign-keys&gt;&lt;key app="EN" db-id="sd9wrx9fj09rx3erprsx999o0r5aprvp2zse" timestamp="1688310100" guid="6be12b44-4209-402e-b55e-51cfe4c7541c"&gt;1690&lt;/key&gt;&lt;/foreign-keys&gt;&lt;ref-type name="Journal Article"&gt;17&lt;/ref-type&gt;&lt;contributors&gt;&lt;authors&gt;&lt;author&gt;Rosa,Rui&lt;/author&gt;&lt;author&gt;Nunes, Maria Leonor&lt;/author&gt;&lt;/authors&gt;&lt;/contributors&gt;&lt;titles&gt;&lt;title&gt;&lt;style face="normal" font="default" size="100%"&gt;Biochemical changes during the reproductive cycle of the deep-sea decapod &lt;/style&gt;&lt;style face="italic" font="default" size="100%"&gt;Nephrops norvegicus&lt;/style&gt;&lt;style face="normal" font="default" size="100%"&gt; on the south coast of Portugal&lt;/style&gt;&lt;/title&gt;&lt;secondary-title&gt;Marine Biology&lt;/secondary-title&gt;&lt;/titles&gt;&lt;periodical&gt;&lt;full-title&gt;Marine Biology&lt;/full-title&gt;&lt;/periodical&gt;&lt;pages&gt;1001-1009&lt;/pages&gt;&lt;volume&gt;141&lt;/volume&gt;&lt;number&gt;6&lt;/number&gt;&lt;dates&gt;&lt;year&gt;2002&lt;/year&gt;&lt;/dates&gt;&lt;publisher&gt;Springer Science and Business Media LLC&lt;/publisher&gt;&lt;isbn&gt;0025-3162&lt;/isbn&gt;&lt;urls&gt;&lt;related-urls&gt;&lt;url&gt;https://dx.doi.org/10.1007/s00227-002-0911-9&lt;/url&gt;&lt;/related-urls&gt;&lt;/urls&gt;&lt;electronic-resource-num&gt;10.1007/s00227-002-0911-9&lt;/electronic-resource-num&gt;&lt;/record&gt;&lt;/Cite&gt;&lt;/EndNote&gt;</w:instrText>
      </w:r>
      <w:r w:rsidRPr="009819CE">
        <w:rPr>
          <w:rFonts w:cstheme="minorBidi"/>
        </w:rPr>
        <w:fldChar w:fldCharType="separate"/>
      </w:r>
      <w:r w:rsidR="00D50EFF" w:rsidRPr="009819CE">
        <w:rPr>
          <w:rFonts w:cstheme="minorBidi"/>
        </w:rPr>
        <w:t>(</w:t>
      </w:r>
      <w:hyperlink w:anchor="_ENREF_257" w:tooltip="Rosa, 2002 #1690" w:history="1">
        <w:r w:rsidR="00950097" w:rsidRPr="009819CE">
          <w:rPr>
            <w:rFonts w:cstheme="minorBidi"/>
          </w:rPr>
          <w:t>Rosa and Nunes, 2002</w:t>
        </w:r>
      </w:hyperlink>
      <w:r w:rsidR="00D50EFF" w:rsidRPr="009819CE">
        <w:rPr>
          <w:rFonts w:cstheme="minorBidi"/>
        </w:rPr>
        <w:t>)</w:t>
      </w:r>
      <w:r w:rsidRPr="009819CE">
        <w:rPr>
          <w:rFonts w:cstheme="minorBidi"/>
        </w:rPr>
        <w:fldChar w:fldCharType="end"/>
      </w:r>
      <w:r w:rsidRPr="009819CE">
        <w:rPr>
          <w:rFonts w:cstheme="minorBidi"/>
        </w:rPr>
        <w:t xml:space="preserve">. Following the attainment of sexual maturity, females allocate less energy to growth and prioritize reproduction. Consequently, mature females exhibit slower growth rates compared to mature males. To meet the nutritional demands of egg rearing and spawning, females possess a greater amount of hepatopancreatic tissue than males </w:t>
      </w:r>
      <w:r w:rsidRPr="009819CE">
        <w:rPr>
          <w:rFonts w:cstheme="minorBidi"/>
        </w:rPr>
        <w:fldChar w:fldCharType="begin"/>
      </w:r>
      <w:r w:rsidR="00D50EFF" w:rsidRPr="009819CE">
        <w:rPr>
          <w:rFonts w:cstheme="minorBidi"/>
        </w:rPr>
        <w:instrText xml:space="preserve"> ADDIN EN.CITE &lt;EndNote&gt;&lt;Cite&gt;&lt;Author&gt;Farmer&lt;/Author&gt;&lt;Year&gt;2009&lt;/Year&gt;&lt;RecNum&gt;378&lt;/RecNum&gt;&lt;DisplayText&gt;(Farmer, 2009)&lt;/DisplayText&gt;&lt;record&gt;&lt;rec-number&gt;378&lt;/rec-number&gt;&lt;foreign-keys&gt;&lt;key app="EN" db-id="sd9wrx9fj09rx3erprsx999o0r5aprvp2zse" timestamp="1687855901" guid="83bd109c-3630-4a2c-b69c-743e7e2f5c0e"&gt;378&lt;/key&gt;&lt;/foreign-keys&gt;&lt;ref-type name="Journal Article"&gt;17&lt;/ref-type&gt;&lt;contributors&gt;&lt;authors&gt;&lt;author&gt;Farmer, A. S&lt;/author&gt;&lt;/authors&gt;&lt;/contributors&gt;&lt;titles&gt;&lt;title&gt;&lt;style face="normal" font="default" size="100%"&gt;Reproduction in &lt;/style&gt;&lt;style face="italic" font="default" size="100%"&gt;Nephrops norvegicus &lt;/style&gt;&lt;style face="normal" font="default" size="100%"&gt;(Decapoda: &lt;/style&gt;&lt;style face="italic" font="default" size="100%"&gt;Nephropidae&lt;/style&gt;&lt;style face="normal" font="default" size="100%"&gt;)&lt;/style&gt;&lt;/title&gt;&lt;secondary-title&gt;Journal of Zoology&lt;/secondary-title&gt;&lt;/titles&gt;&lt;periodical&gt;&lt;full-title&gt;Journal of Zoology&lt;/full-title&gt;&lt;/periodical&gt;&lt;pages&gt;161-183&lt;/pages&gt;&lt;volume&gt;174&lt;/volume&gt;&lt;number&gt;2&lt;/number&gt;&lt;dates&gt;&lt;year&gt;2009&lt;/year&gt;&lt;pub-dates&gt;&lt;date&gt;2009/8//&lt;/date&gt;&lt;/pub-dates&gt;&lt;/dates&gt;&lt;publisher&gt;John Wiley &amp;amp; Sons, Ltd (10.1111)&lt;/publisher&gt;&lt;urls&gt;&lt;related-urls&gt;&lt;url&gt;http://doi.wiley.com/10.1111/j.1469-7998.1974.tb03150.x&lt;/url&gt;&lt;/related-urls&gt;&lt;/urls&gt;&lt;electronic-resource-num&gt;10.1111/j.1469-7998.1974.tb03150.x&lt;/electronic-resource-num&gt;&lt;/record&gt;&lt;/Cite&gt;&lt;/EndNote&gt;</w:instrText>
      </w:r>
      <w:r w:rsidRPr="009819CE">
        <w:rPr>
          <w:rFonts w:cstheme="minorBidi"/>
        </w:rPr>
        <w:fldChar w:fldCharType="separate"/>
      </w:r>
      <w:r w:rsidR="00D50EFF" w:rsidRPr="009819CE">
        <w:rPr>
          <w:rFonts w:cstheme="minorBidi"/>
        </w:rPr>
        <w:t>(</w:t>
      </w:r>
      <w:hyperlink w:anchor="_ENREF_88" w:tooltip="Farmer, 2009 #378" w:history="1">
        <w:r w:rsidR="00950097" w:rsidRPr="009819CE">
          <w:rPr>
            <w:rFonts w:cstheme="minorBidi"/>
          </w:rPr>
          <w:t>Farmer, 2009</w:t>
        </w:r>
      </w:hyperlink>
      <w:r w:rsidR="00D50EFF" w:rsidRPr="009819CE">
        <w:rPr>
          <w:rFonts w:cstheme="minorBidi"/>
        </w:rPr>
        <w:t>)</w:t>
      </w:r>
      <w:r w:rsidRPr="009819CE">
        <w:rPr>
          <w:rFonts w:cstheme="minorBidi"/>
        </w:rPr>
        <w:fldChar w:fldCharType="end"/>
      </w:r>
      <w:r w:rsidRPr="009819CE">
        <w:rPr>
          <w:rFonts w:cstheme="minorBidi"/>
        </w:rPr>
        <w:t>.</w:t>
      </w:r>
    </w:p>
    <w:p w14:paraId="5F30996E" w14:textId="3113F2DC" w:rsidR="00F36ABA" w:rsidRPr="009819CE" w:rsidRDefault="00F36ABA" w:rsidP="00F36ABA">
      <w:pPr>
        <w:rPr>
          <w:rFonts w:cstheme="minorBidi"/>
        </w:rPr>
      </w:pPr>
      <w:r w:rsidRPr="009819CE">
        <w:rPr>
          <w:rFonts w:cstheme="minorBidi"/>
        </w:rPr>
        <w:t xml:space="preserve">In this study, a significant increase in the hepatosomatic index (HSI) was observed in infected females compared to non-infected. The presence of numerous parasite cells of </w:t>
      </w:r>
      <w:r w:rsidR="009D03F4" w:rsidRPr="009819CE">
        <w:rPr>
          <w:rFonts w:cstheme="minorBidi"/>
          <w:i/>
          <w:iCs/>
        </w:rPr>
        <w:t>Hematodinium</w:t>
      </w:r>
      <w:r w:rsidRPr="009819CE">
        <w:rPr>
          <w:rFonts w:cstheme="minorBidi"/>
        </w:rPr>
        <w:t xml:space="preserve"> sp. in the haemocoel spaces within the hepatopancreas results in an overall increase in mass, as evidenced by the elevated HSI in infected individuals </w:t>
      </w:r>
      <w:r w:rsidRPr="009819CE">
        <w:rPr>
          <w:rFonts w:cstheme="minorBidi"/>
        </w:rPr>
        <w:fldChar w:fldCharType="begin"/>
      </w:r>
      <w:r w:rsidR="00ED1A9E" w:rsidRPr="009819CE">
        <w:rPr>
          <w:rFonts w:cstheme="minorBidi"/>
        </w:rPr>
        <w:instrText xml:space="preserve"> ADDIN EN.CITE &lt;EndNote&gt;&lt;Cite&gt;&lt;Author&gt;Fazhan&lt;/Author&gt;&lt;Year&gt;2020&lt;/Year&gt;&lt;RecNum&gt;1306&lt;/RecNum&gt;&lt;DisplayText&gt;(Fazhan et al., 2020)&lt;/DisplayText&gt;&lt;record&gt;&lt;rec-number&gt;1306&lt;/rec-number&gt;&lt;foreign-keys&gt;&lt;key app="EN" db-id="sd9wrx9fj09rx3erprsx999o0r5aprvp2zse" timestamp="1687855902" guid="8cccba45-6f98-41f7-b37f-41fcf53168bf"&gt;1306&lt;/key&gt;&lt;/foreign-keys&gt;&lt;ref-type name="Journal Article"&gt;17&lt;/ref-type&gt;&lt;contributors&gt;&lt;authors&gt;&lt;author&gt;Fazhan, Hanafiah&lt;/author&gt;&lt;author&gt;Waiho, Khor&lt;/author&gt;&lt;author&gt;Glenner, Henrik&lt;/author&gt;&lt;author&gt;Moh, Julia Hwei Zhong&lt;/author&gt;&lt;author&gt;Hassan, Marina&lt;/author&gt;&lt;author&gt;Ikhwanuddin, Mhd&lt;/author&gt;&lt;/authors&gt;&lt;/contributors&gt;&lt;titles&gt;&lt;title&gt;&lt;style face="normal" font="default" size="100%"&gt;Gonadal degeneration and hepatopancreas alteration in orange mud crab &lt;/style&gt;&lt;style face="italic" font="default" size="100%"&gt;Scylla olivacea&lt;/style&gt;&lt;style face="normal" font="default" size="100%"&gt; infected with &lt;/style&gt;&lt;style face="italic" font="default" size="100%"&gt;Sacculina beauforti&lt;/style&gt;&lt;style face="normal" font="default" size="100%"&gt; (Crustacea; Rhizocephala; &lt;/style&gt;&lt;style face="italic" font="default" size="100%"&gt;Sacculinidae&lt;/style&gt;&lt;style face="normal" font="default" size="100%"&gt;)&lt;/style&gt;&lt;/title&gt;&lt;secondary-title&gt;Frontiers in Marine Science&lt;/secondary-title&gt;&lt;/titles&gt;&lt;periodical&gt;&lt;full-title&gt;Frontiers in Marine Science&lt;/full-title&gt;&lt;/periodical&gt;&lt;pages&gt;534443-534443&lt;/pages&gt;&lt;volume&gt;7&lt;/volume&gt;&lt;keywords&gt;&lt;keyword&gt;Scylla olivacea&lt;/keyword&gt;&lt;keyword&gt;externa&lt;/keyword&gt;&lt;keyword&gt;histology&lt;/keyword&gt;&lt;keyword&gt;mud crab&lt;/keyword&gt;&lt;keyword&gt;rhizocephalan&lt;/keyword&gt;&lt;keyword&gt;sacculinid&lt;/keyword&gt;&lt;/keywords&gt;&lt;dates&gt;&lt;year&gt;2020&lt;/year&gt;&lt;pub-dates&gt;&lt;date&gt;2020/12//&lt;/date&gt;&lt;/pub-dates&gt;&lt;/dates&gt;&lt;publisher&gt;Frontiers Media S.A.&lt;/publisher&gt;&lt;urls&gt;&lt;/urls&gt;&lt;electronic-resource-num&gt;10.3389/FMARS.2020.534443/BIBTEX&lt;/electronic-resource-num&gt;&lt;/record&gt;&lt;/Cite&gt;&lt;/EndNote&gt;</w:instrText>
      </w:r>
      <w:r w:rsidRPr="009819CE">
        <w:rPr>
          <w:rFonts w:cstheme="minorBidi"/>
        </w:rPr>
        <w:fldChar w:fldCharType="separate"/>
      </w:r>
      <w:r w:rsidR="00D50EFF" w:rsidRPr="007268F5">
        <w:rPr>
          <w:rFonts w:cstheme="minorBidi"/>
        </w:rPr>
        <w:t>(</w:t>
      </w:r>
      <w:hyperlink w:anchor="_ENREF_89" w:tooltip="Fazhan, 2020 #1306" w:history="1">
        <w:r w:rsidR="00950097" w:rsidRPr="007268F5">
          <w:rPr>
            <w:rFonts w:cstheme="minorBidi"/>
          </w:rPr>
          <w:t>Fazhan et al., 2020</w:t>
        </w:r>
      </w:hyperlink>
      <w:r w:rsidR="00D50EFF" w:rsidRPr="007268F5">
        <w:rPr>
          <w:rFonts w:cstheme="minorBidi"/>
        </w:rPr>
        <w:t>)</w:t>
      </w:r>
      <w:r w:rsidRPr="009819CE">
        <w:rPr>
          <w:rFonts w:cstheme="minorBidi"/>
        </w:rPr>
        <w:fldChar w:fldCharType="end"/>
      </w:r>
      <w:r w:rsidRPr="009819CE">
        <w:rPr>
          <w:rFonts w:cstheme="minorBidi"/>
        </w:rPr>
        <w:t xml:space="preserve">. However, it is noteworthy that these parasites never infiltrate the tubules as per observation of histological sections (see </w:t>
      </w:r>
      <w:r w:rsidR="00F62819" w:rsidRPr="00FA7D47">
        <w:rPr>
          <w:rFonts w:cstheme="minorBidi"/>
        </w:rPr>
        <w:t>section</w:t>
      </w:r>
      <w:r w:rsidR="00F62819" w:rsidRPr="00FA7D47">
        <w:rPr>
          <w:rFonts w:cstheme="minorBidi"/>
          <w:b/>
          <w:bCs/>
        </w:rPr>
        <w:t xml:space="preserve"> </w:t>
      </w:r>
      <w:r w:rsidR="00F62819" w:rsidRPr="00FA7D47">
        <w:rPr>
          <w:rFonts w:cstheme="minorBidi"/>
          <w:b/>
          <w:bCs/>
        </w:rPr>
        <w:fldChar w:fldCharType="begin"/>
      </w:r>
      <w:r w:rsidR="00F62819" w:rsidRPr="00FA7D47">
        <w:rPr>
          <w:rFonts w:cstheme="minorBidi"/>
          <w:b/>
          <w:bCs/>
        </w:rPr>
        <w:instrText xml:space="preserve"> REF _Ref193712415 \r \h </w:instrText>
      </w:r>
      <w:r w:rsidR="00F62819" w:rsidRPr="00FA7D47">
        <w:rPr>
          <w:rFonts w:cstheme="minorBidi"/>
          <w:b/>
          <w:bCs/>
        </w:rPr>
      </w:r>
      <w:r w:rsidR="00F62819" w:rsidRPr="00FA7D47">
        <w:rPr>
          <w:rFonts w:cstheme="minorBidi"/>
          <w:b/>
          <w:bCs/>
        </w:rPr>
        <w:fldChar w:fldCharType="separate"/>
      </w:r>
      <w:r w:rsidR="008549FC">
        <w:rPr>
          <w:rFonts w:cstheme="minorBidi"/>
          <w:b/>
          <w:bCs/>
        </w:rPr>
        <w:t>3.4.2</w:t>
      </w:r>
      <w:r w:rsidR="00F62819" w:rsidRPr="00FA7D47">
        <w:rPr>
          <w:rFonts w:cstheme="minorBidi"/>
          <w:b/>
          <w:bCs/>
        </w:rPr>
        <w:fldChar w:fldCharType="end"/>
      </w:r>
      <w:r w:rsidR="0038530D" w:rsidRPr="00FA7D47">
        <w:rPr>
          <w:rFonts w:cstheme="minorBidi"/>
          <w:b/>
          <w:bCs/>
        </w:rPr>
        <w:t xml:space="preserve"> </w:t>
      </w:r>
      <w:r w:rsidR="008F565F" w:rsidRPr="009819CE">
        <w:rPr>
          <w:rFonts w:cstheme="minorBidi"/>
        </w:rPr>
        <w:t xml:space="preserve"> and </w:t>
      </w:r>
      <w:r w:rsidR="00AA4C8F" w:rsidRPr="009819CE">
        <w:rPr>
          <w:rFonts w:cstheme="minorBidi"/>
        </w:rPr>
        <w:t>section</w:t>
      </w:r>
      <w:r w:rsidR="008F565F" w:rsidRPr="009819CE">
        <w:rPr>
          <w:rFonts w:cstheme="minorBidi"/>
        </w:rPr>
        <w:t xml:space="preserve"> </w:t>
      </w:r>
      <w:r w:rsidR="008F565F" w:rsidRPr="009819CE">
        <w:rPr>
          <w:rFonts w:cstheme="minorBidi"/>
          <w:b/>
          <w:bCs/>
        </w:rPr>
        <w:fldChar w:fldCharType="begin"/>
      </w:r>
      <w:r w:rsidR="008F565F" w:rsidRPr="009819CE">
        <w:rPr>
          <w:rFonts w:cstheme="minorBidi"/>
          <w:b/>
          <w:bCs/>
        </w:rPr>
        <w:instrText xml:space="preserve"> REF _Ref157963588 \r \h </w:instrText>
      </w:r>
      <w:r w:rsidR="00711741" w:rsidRPr="009819CE">
        <w:rPr>
          <w:rFonts w:cstheme="minorBidi"/>
          <w:b/>
          <w:bCs/>
        </w:rPr>
        <w:instrText xml:space="preserve"> \* MERGEFORMAT </w:instrText>
      </w:r>
      <w:r w:rsidR="008F565F" w:rsidRPr="009819CE">
        <w:rPr>
          <w:rFonts w:cstheme="minorBidi"/>
          <w:b/>
          <w:bCs/>
        </w:rPr>
      </w:r>
      <w:r w:rsidR="008F565F" w:rsidRPr="009819CE">
        <w:rPr>
          <w:rFonts w:cstheme="minorBidi"/>
          <w:b/>
          <w:bCs/>
        </w:rPr>
        <w:fldChar w:fldCharType="separate"/>
      </w:r>
      <w:r w:rsidR="008549FC">
        <w:rPr>
          <w:rFonts w:cstheme="minorBidi"/>
          <w:b/>
          <w:bCs/>
        </w:rPr>
        <w:t>4.3.6</w:t>
      </w:r>
      <w:r w:rsidR="008F565F" w:rsidRPr="009819CE">
        <w:rPr>
          <w:rFonts w:cstheme="minorBidi"/>
          <w:b/>
          <w:bCs/>
        </w:rPr>
        <w:fldChar w:fldCharType="end"/>
      </w:r>
      <w:r w:rsidRPr="009819CE">
        <w:rPr>
          <w:rFonts w:cstheme="minorBidi"/>
        </w:rPr>
        <w:t xml:space="preserve">), indicating that the structural integrity of certain hepatopancreatic tubules may remain intact and potentially functional </w:t>
      </w:r>
      <w:r w:rsidRPr="009819CE">
        <w:rPr>
          <w:rFonts w:cstheme="minorBidi"/>
        </w:rPr>
        <w:fldChar w:fldCharType="begin"/>
      </w:r>
      <w:r w:rsidR="00ED1A9E" w:rsidRPr="009819CE">
        <w:rPr>
          <w:rFonts w:cstheme="minorBidi"/>
        </w:rPr>
        <w:instrText xml:space="preserve"> ADDIN EN.CITE &lt;EndNote&gt;&lt;Cite&gt;&lt;Author&gt;Fazhan&lt;/Author&gt;&lt;Year&gt;2020&lt;/Year&gt;&lt;RecNum&gt;1306&lt;/RecNum&gt;&lt;DisplayText&gt;(Fazhan et al., 2020)&lt;/DisplayText&gt;&lt;record&gt;&lt;rec-number&gt;1306&lt;/rec-number&gt;&lt;foreign-keys&gt;&lt;key app="EN" db-id="sd9wrx9fj09rx3erprsx999o0r5aprvp2zse" timestamp="1687855902" guid="8cccba45-6f98-41f7-b37f-41fcf53168bf"&gt;1306&lt;/key&gt;&lt;/foreign-keys&gt;&lt;ref-type name="Journal Article"&gt;17&lt;/ref-type&gt;&lt;contributors&gt;&lt;authors&gt;&lt;author&gt;Fazhan, Hanafiah&lt;/author&gt;&lt;author&gt;Waiho, Khor&lt;/author&gt;&lt;author&gt;Glenner, Henrik&lt;/author&gt;&lt;author&gt;Moh, Julia Hwei Zhong&lt;/author&gt;&lt;author&gt;Hassan, Marina&lt;/author&gt;&lt;author&gt;Ikhwanuddin, Mhd&lt;/author&gt;&lt;/authors&gt;&lt;/contributors&gt;&lt;titles&gt;&lt;title&gt;&lt;style face="normal" font="default" size="100%"&gt;Gonadal degeneration and hepatopancreas alteration in orange mud crab &lt;/style&gt;&lt;style face="italic" font="default" size="100%"&gt;Scylla olivacea&lt;/style&gt;&lt;style face="normal" font="default" size="100%"&gt; infected with &lt;/style&gt;&lt;style face="italic" font="default" size="100%"&gt;Sacculina beauforti&lt;/style&gt;&lt;style face="normal" font="default" size="100%"&gt; (Crustacea; Rhizocephala; &lt;/style&gt;&lt;style face="italic" font="default" size="100%"&gt;Sacculinidae&lt;/style&gt;&lt;style face="normal" font="default" size="100%"&gt;)&lt;/style&gt;&lt;/title&gt;&lt;secondary-title&gt;Frontiers in Marine Science&lt;/secondary-title&gt;&lt;/titles&gt;&lt;periodical&gt;&lt;full-title&gt;Frontiers in Marine Science&lt;/full-title&gt;&lt;/periodical&gt;&lt;pages&gt;534443-534443&lt;/pages&gt;&lt;volume&gt;7&lt;/volume&gt;&lt;keywords&gt;&lt;keyword&gt;Scylla olivacea&lt;/keyword&gt;&lt;keyword&gt;externa&lt;/keyword&gt;&lt;keyword&gt;histology&lt;/keyword&gt;&lt;keyword&gt;mud crab&lt;/keyword&gt;&lt;keyword&gt;rhizocephalan&lt;/keyword&gt;&lt;keyword&gt;sacculinid&lt;/keyword&gt;&lt;/keywords&gt;&lt;dates&gt;&lt;year&gt;2020&lt;/year&gt;&lt;pub-dates&gt;&lt;date&gt;2020/12//&lt;/date&gt;&lt;/pub-dates&gt;&lt;/dates&gt;&lt;publisher&gt;Frontiers Media S.A.&lt;/publisher&gt;&lt;urls&gt;&lt;/urls&gt;&lt;electronic-resource-num&gt;10.3389/FMARS.2020.534443/BIBTEX&lt;/electronic-resource-num&gt;&lt;/record&gt;&lt;/Cite&gt;&lt;/EndNote&gt;</w:instrText>
      </w:r>
      <w:r w:rsidRPr="009819CE">
        <w:rPr>
          <w:rFonts w:cstheme="minorBidi"/>
        </w:rPr>
        <w:fldChar w:fldCharType="separate"/>
      </w:r>
      <w:r w:rsidR="00D50EFF" w:rsidRPr="007268F5">
        <w:rPr>
          <w:rFonts w:cstheme="minorBidi"/>
        </w:rPr>
        <w:t>(</w:t>
      </w:r>
      <w:hyperlink w:anchor="_ENREF_89" w:tooltip="Fazhan, 2020 #1306" w:history="1">
        <w:r w:rsidR="00950097" w:rsidRPr="007268F5">
          <w:rPr>
            <w:rFonts w:cstheme="minorBidi"/>
          </w:rPr>
          <w:t>Fazhan et al., 2020</w:t>
        </w:r>
      </w:hyperlink>
      <w:r w:rsidR="00D50EFF" w:rsidRPr="007268F5">
        <w:rPr>
          <w:rFonts w:cstheme="minorBidi"/>
        </w:rPr>
        <w:t>)</w:t>
      </w:r>
      <w:r w:rsidRPr="009819CE">
        <w:rPr>
          <w:rFonts w:cstheme="minorBidi"/>
        </w:rPr>
        <w:fldChar w:fldCharType="end"/>
      </w:r>
      <w:r w:rsidRPr="009819CE">
        <w:rPr>
          <w:rFonts w:cstheme="minorBidi"/>
        </w:rPr>
        <w:t xml:space="preserve">. The preservation of the host's hepatopancreas function is crucial for the survival of </w:t>
      </w:r>
      <w:r w:rsidR="009D03F4" w:rsidRPr="009819CE">
        <w:rPr>
          <w:rFonts w:cstheme="minorBidi"/>
          <w:i/>
          <w:iCs/>
        </w:rPr>
        <w:t>Hematodinium</w:t>
      </w:r>
      <w:r w:rsidRPr="009819CE">
        <w:rPr>
          <w:rFonts w:cstheme="minorBidi"/>
        </w:rPr>
        <w:t xml:space="preserve"> sp., as it may serve as their primary site for nutrient absorption. </w:t>
      </w:r>
    </w:p>
    <w:p w14:paraId="667AEA59" w14:textId="7404661B" w:rsidR="00F36ABA" w:rsidRPr="009819CE" w:rsidRDefault="00F36ABA" w:rsidP="009A5465">
      <w:pPr>
        <w:pStyle w:val="Heading3"/>
        <w:rPr>
          <w:rFonts w:cstheme="minorBidi"/>
          <w:iCs/>
        </w:rPr>
      </w:pPr>
      <w:bookmarkStart w:id="243" w:name="_Toc204106633"/>
      <w:r w:rsidRPr="009819CE">
        <w:rPr>
          <w:rFonts w:cstheme="minorBidi"/>
        </w:rPr>
        <w:t xml:space="preserve">The effects of </w:t>
      </w:r>
      <w:r w:rsidR="009D03F4" w:rsidRPr="009819CE">
        <w:rPr>
          <w:rFonts w:cstheme="minorBidi"/>
          <w:i/>
        </w:rPr>
        <w:t>Hematodinium</w:t>
      </w:r>
      <w:r w:rsidRPr="009819CE">
        <w:rPr>
          <w:rFonts w:cstheme="minorBidi"/>
        </w:rPr>
        <w:t xml:space="preserve"> sp. infection on the gonads of female </w:t>
      </w:r>
      <w:r w:rsidR="00C31E47" w:rsidRPr="009819CE">
        <w:rPr>
          <w:rFonts w:cstheme="minorBidi"/>
          <w:i/>
        </w:rPr>
        <w:t>Nephrops</w:t>
      </w:r>
      <w:bookmarkEnd w:id="243"/>
    </w:p>
    <w:p w14:paraId="147D4CEC" w14:textId="4C523B11" w:rsidR="00F36ABA" w:rsidRPr="009819CE" w:rsidRDefault="00F36ABA" w:rsidP="00F36ABA">
      <w:pPr>
        <w:rPr>
          <w:rFonts w:cstheme="minorBidi"/>
        </w:rPr>
      </w:pPr>
      <w:r w:rsidRPr="009819CE">
        <w:rPr>
          <w:rFonts w:cstheme="minorBidi"/>
        </w:rPr>
        <w:t xml:space="preserve">Ovary reabsorption in </w:t>
      </w:r>
      <w:r w:rsidR="00CC4737" w:rsidRPr="007268F5">
        <w:rPr>
          <w:rFonts w:cstheme="minorBidi"/>
          <w:i/>
          <w:iCs/>
        </w:rPr>
        <w:t>Nephrops</w:t>
      </w:r>
      <w:r w:rsidR="00CC4737" w:rsidRPr="00FA7D47">
        <w:rPr>
          <w:rFonts w:cstheme="minorBidi"/>
        </w:rPr>
        <w:t xml:space="preserve"> </w:t>
      </w:r>
      <w:r w:rsidRPr="009819CE">
        <w:rPr>
          <w:rFonts w:cstheme="minorBidi"/>
        </w:rPr>
        <w:t xml:space="preserve">is a common yet poorly understood phenomenon </w:t>
      </w:r>
      <w:r w:rsidRPr="009819CE">
        <w:rPr>
          <w:rFonts w:cstheme="minorBidi"/>
        </w:rPr>
        <w:fldChar w:fldCharType="begin">
          <w:fldData xml:space="preserve">PEVuZE5vdGU+PENpdGU+PEF1dGhvcj5CYWlsZXk8L0F1dGhvcj48WWVhcj4xOTgzPC9ZZWFyPjxS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PEVuZE5vdGU+PENpdGU+PEF1dGhvcj5CYWlsZXk8L0F1dGhvcj48WWVhcj4xOTgzPC9ZZWFyPjxS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2" w:tooltip="Bailey, 1983 #193" w:history="1">
        <w:r w:rsidR="00950097" w:rsidRPr="007268F5">
          <w:rPr>
            <w:rFonts w:cstheme="minorBidi"/>
          </w:rPr>
          <w:t>Bailey and Chapman, 1983</w:t>
        </w:r>
      </w:hyperlink>
      <w:r w:rsidR="00D50EFF" w:rsidRPr="007268F5">
        <w:rPr>
          <w:rFonts w:cstheme="minorBidi"/>
        </w:rPr>
        <w:t xml:space="preserve">; </w:t>
      </w:r>
      <w:hyperlink w:anchor="_ENREF_26" w:tooltip="Becker, 2018 #429" w:history="1">
        <w:r w:rsidR="00950097" w:rsidRPr="007268F5">
          <w:rPr>
            <w:rFonts w:cstheme="minorBidi"/>
          </w:rPr>
          <w:t>Becker et al., 2018</w:t>
        </w:r>
      </w:hyperlink>
      <w:r w:rsidR="00D50EFF" w:rsidRPr="007268F5">
        <w:rPr>
          <w:rFonts w:cstheme="minorBidi"/>
        </w:rPr>
        <w:t xml:space="preserve">; </w:t>
      </w:r>
      <w:hyperlink w:anchor="_ENREF_27" w:tooltip="Becker, 2020 #414" w:history="1">
        <w:r w:rsidR="00950097" w:rsidRPr="007268F5">
          <w:rPr>
            <w:rFonts w:cstheme="minorBidi"/>
          </w:rPr>
          <w:t>Becker et al., 2020</w:t>
        </w:r>
      </w:hyperlink>
      <w:r w:rsidR="00D50EFF" w:rsidRPr="007268F5">
        <w:rPr>
          <w:rFonts w:cstheme="minorBidi"/>
        </w:rPr>
        <w:t xml:space="preserve">; </w:t>
      </w:r>
      <w:hyperlink w:anchor="_ENREF_331" w:tooltip="Tuck, 1997 #861" w:history="1">
        <w:r w:rsidR="00950097" w:rsidRPr="007268F5">
          <w:rPr>
            <w:rFonts w:cstheme="minorBidi"/>
          </w:rPr>
          <w:t>Tuck et al., 1997</w:t>
        </w:r>
      </w:hyperlink>
      <w:r w:rsidR="00D50EFF" w:rsidRPr="007268F5">
        <w:rPr>
          <w:rFonts w:cstheme="minorBidi"/>
        </w:rPr>
        <w:t>)</w:t>
      </w:r>
      <w:r w:rsidRPr="009819CE">
        <w:rPr>
          <w:rFonts w:cstheme="minorBidi"/>
        </w:rPr>
        <w:fldChar w:fldCharType="end"/>
      </w:r>
      <w:r w:rsidRPr="009819CE">
        <w:rPr>
          <w:rFonts w:cstheme="minorBidi"/>
        </w:rPr>
        <w:t xml:space="preserve">. It has been suggested that adverse environmental factors, deprivation of sexual hormones, overexploitation, and/or starvation may contribute to ovary reabsorption in female </w:t>
      </w:r>
      <w:r w:rsidR="00C31E47" w:rsidRPr="009819CE">
        <w:rPr>
          <w:rFonts w:cstheme="minorBidi"/>
          <w:i/>
          <w:iCs/>
        </w:rPr>
        <w:t>Nephrops</w:t>
      </w:r>
      <w:r w:rsidRPr="009819CE">
        <w:rPr>
          <w:rFonts w:cstheme="minorBidi"/>
        </w:rPr>
        <w:t xml:space="preserve"> </w:t>
      </w:r>
      <w:r w:rsidRPr="009819CE">
        <w:rPr>
          <w:rFonts w:cstheme="minorBidi"/>
        </w:rPr>
        <w:fldChar w:fldCharType="begin">
          <w:fldData xml:space="preserve">PEVuZE5vdGU+PENpdGU+PEF1dGhvcj5CYWlsZXk8L0F1dGhvcj48WWVhcj4xOTgzPC9ZZWFyPjxS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PEVuZE5vdGU+PENpdGU+PEF1dGhvcj5CYWlsZXk8L0F1dGhvcj48WWVhcj4xOTgzPC9ZZWFyPjxS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2" w:tooltip="Bailey, 1983 #193" w:history="1">
        <w:r w:rsidR="00950097" w:rsidRPr="007268F5">
          <w:rPr>
            <w:rFonts w:cstheme="minorBidi"/>
          </w:rPr>
          <w:t>Bailey and Chapman, 1983</w:t>
        </w:r>
      </w:hyperlink>
      <w:r w:rsidR="00D50EFF" w:rsidRPr="007268F5">
        <w:rPr>
          <w:rFonts w:cstheme="minorBidi"/>
        </w:rPr>
        <w:t xml:space="preserve">; </w:t>
      </w:r>
      <w:hyperlink w:anchor="_ENREF_26" w:tooltip="Becker, 2018 #429" w:history="1">
        <w:r w:rsidR="00950097" w:rsidRPr="007268F5">
          <w:rPr>
            <w:rFonts w:cstheme="minorBidi"/>
          </w:rPr>
          <w:t>Becker et al., 2018</w:t>
        </w:r>
      </w:hyperlink>
      <w:r w:rsidR="00D50EFF" w:rsidRPr="007268F5">
        <w:rPr>
          <w:rFonts w:cstheme="minorBidi"/>
        </w:rPr>
        <w:t xml:space="preserve">; </w:t>
      </w:r>
      <w:hyperlink w:anchor="_ENREF_27" w:tooltip="Becker, 2020 #414" w:history="1">
        <w:r w:rsidR="00950097" w:rsidRPr="007268F5">
          <w:rPr>
            <w:rFonts w:cstheme="minorBidi"/>
          </w:rPr>
          <w:t>Becker et al., 2020</w:t>
        </w:r>
      </w:hyperlink>
      <w:r w:rsidR="00D50EFF" w:rsidRPr="007268F5">
        <w:rPr>
          <w:rFonts w:cstheme="minorBidi"/>
        </w:rPr>
        <w:t xml:space="preserve">; </w:t>
      </w:r>
      <w:hyperlink w:anchor="_ENREF_331" w:tooltip="Tuck, 1997 #861" w:history="1">
        <w:r w:rsidR="00950097" w:rsidRPr="007268F5">
          <w:rPr>
            <w:rFonts w:cstheme="minorBidi"/>
          </w:rPr>
          <w:t>Tuck et al., 1997</w:t>
        </w:r>
      </w:hyperlink>
      <w:r w:rsidR="00D50EFF" w:rsidRPr="007268F5">
        <w:rPr>
          <w:rFonts w:cstheme="minorBidi"/>
        </w:rPr>
        <w:t>)</w:t>
      </w:r>
      <w:r w:rsidRPr="009819CE">
        <w:rPr>
          <w:rFonts w:cstheme="minorBidi"/>
        </w:rPr>
        <w:fldChar w:fldCharType="end"/>
      </w:r>
      <w:r w:rsidRPr="009819CE">
        <w:rPr>
          <w:rFonts w:cstheme="minorBidi"/>
        </w:rPr>
        <w:t>. In addition, certain infectious diseases, have been identified as potential causes of gonad resorption or halted gonad development in crustacean species</w:t>
      </w:r>
      <w:r w:rsidR="007021AB" w:rsidRPr="00FA7D47">
        <w:rPr>
          <w:rFonts w:cstheme="minorBidi"/>
        </w:rPr>
        <w:t xml:space="preserve"> </w:t>
      </w:r>
      <w:r w:rsidR="00750EFD" w:rsidRPr="00FA7D47">
        <w:rPr>
          <w:rFonts w:cstheme="minorBidi"/>
        </w:rPr>
        <w:t>like</w:t>
      </w:r>
      <w:r w:rsidR="007B498E" w:rsidRPr="00FA7D47">
        <w:rPr>
          <w:rFonts w:cstheme="minorBidi"/>
        </w:rPr>
        <w:t xml:space="preserve">  the </w:t>
      </w:r>
      <w:r w:rsidR="007B498E" w:rsidRPr="007268F5">
        <w:rPr>
          <w:rStyle w:val="Strong"/>
          <w:rFonts w:eastAsiaTheme="majorEastAsia"/>
          <w:b w:val="0"/>
          <w:bCs w:val="0"/>
        </w:rPr>
        <w:t>long</w:t>
      </w:r>
      <w:r w:rsidR="007B498E" w:rsidRPr="007268F5">
        <w:rPr>
          <w:rStyle w:val="Strong"/>
          <w:rFonts w:eastAsiaTheme="majorEastAsia"/>
          <w:b w:val="0"/>
        </w:rPr>
        <w:t>-legged spider crab</w:t>
      </w:r>
      <w:r w:rsidR="007B498E" w:rsidRPr="00FA7D47">
        <w:rPr>
          <w:rFonts w:cstheme="minorBidi"/>
        </w:rPr>
        <w:t xml:space="preserve"> (</w:t>
      </w:r>
      <w:r w:rsidR="00750EFD" w:rsidRPr="007268F5">
        <w:rPr>
          <w:rFonts w:cstheme="minorBidi"/>
          <w:i/>
          <w:iCs/>
        </w:rPr>
        <w:t>Macropodia longirostris</w:t>
      </w:r>
      <w:r w:rsidR="007B498E" w:rsidRPr="00FA7D47">
        <w:rPr>
          <w:rFonts w:cstheme="minorBidi"/>
        </w:rPr>
        <w:t>)</w:t>
      </w:r>
      <w:r w:rsidRPr="009819CE">
        <w:rPr>
          <w:rFonts w:cstheme="minorBidi"/>
        </w:rPr>
        <w:t xml:space="preserve"> </w:t>
      </w:r>
      <w:r w:rsidRPr="009819CE">
        <w:rPr>
          <w:rFonts w:cstheme="minorBidi"/>
        </w:rPr>
        <w:fldChar w:fldCharType="begin"/>
      </w:r>
      <w:r w:rsidR="00ED1A9E" w:rsidRPr="009819CE">
        <w:rPr>
          <w:rFonts w:cstheme="minorBidi"/>
        </w:rPr>
        <w:instrText xml:space="preserve"> ADDIN EN.CITE &lt;EndNote&gt;&lt;Cite&gt;&lt;Author&gt;Hartnoll&lt;/Author&gt;&lt;Year&gt;1962&lt;/Year&gt;&lt;RecNum&gt;1688&lt;/RecNum&gt;&lt;DisplayText&gt;(Hartnoll, 1962)&lt;/DisplayText&gt;&lt;record&gt;&lt;rec-number&gt;1688&lt;/rec-number&gt;&lt;foreign-keys&gt;&lt;key app="EN" db-id="sd9wrx9fj09rx3erprsx999o0r5aprvp2zse" timestamp="1688239107" guid="5bd61abf-2b7b-44e2-9ed0-20bd7edfc565"&gt;1688&lt;/key&gt;&lt;/foreign-keys&gt;&lt;ref-type name="Journal Article"&gt;17&lt;/ref-type&gt;&lt;contributors&gt;&lt;authors&gt;&lt;author&gt;Hartnoll, R. G.&lt;/author&gt;&lt;/authors&gt;&lt;/contributors&gt;&lt;titles&gt;&lt;title&gt;&lt;style face="normal" font="default" size="100%"&gt;Parasitic castration of &lt;/style&gt;&lt;style face="italic" font="default" size="100%"&gt;Macropodia longirostris&lt;/style&gt;&lt;style face="normal" font="default" size="100%"&gt; (Fabricius) by a sacculinid&lt;/style&gt;&lt;/title&gt;&lt;secondary-title&gt;Crustaceana&lt;/secondary-title&gt;&lt;/titles&gt;&lt;periodical&gt;&lt;full-title&gt;Crustaceana&lt;/full-title&gt;&lt;/periodical&gt;&lt;pages&gt;295-300&lt;/pages&gt;&lt;volume&gt;4&lt;/volume&gt;&lt;number&gt;4&lt;/number&gt;&lt;dates&gt;&lt;year&gt;1962&lt;/year&gt;&lt;pub-dates&gt;&lt;date&gt;1962/10//&lt;/date&gt;&lt;/pub-dates&gt;&lt;/dates&gt;&lt;urls&gt;&lt;related-urls&gt;&lt;url&gt;https://www.jstor.org/stable/20102496&lt;/url&gt;&lt;/related-urls&gt;&lt;/urls&gt;&lt;/record&gt;&lt;/Cite&gt;&lt;/EndNote&gt;</w:instrText>
      </w:r>
      <w:r w:rsidRPr="009819CE">
        <w:rPr>
          <w:rFonts w:cstheme="minorBidi"/>
        </w:rPr>
        <w:fldChar w:fldCharType="separate"/>
      </w:r>
      <w:r w:rsidR="00D50EFF" w:rsidRPr="007268F5">
        <w:rPr>
          <w:rFonts w:cstheme="minorBidi"/>
        </w:rPr>
        <w:t>(</w:t>
      </w:r>
      <w:hyperlink w:anchor="_ENREF_126" w:tooltip="Hartnoll, 1962 #1688" w:history="1">
        <w:r w:rsidR="00950097" w:rsidRPr="007268F5">
          <w:rPr>
            <w:rFonts w:cstheme="minorBidi"/>
          </w:rPr>
          <w:t>Hartnoll, 1962</w:t>
        </w:r>
      </w:hyperlink>
      <w:r w:rsidR="00D50EFF" w:rsidRPr="007268F5">
        <w:rPr>
          <w:rFonts w:cstheme="minorBidi"/>
        </w:rPr>
        <w:t>)</w:t>
      </w:r>
      <w:r w:rsidRPr="009819CE">
        <w:rPr>
          <w:rFonts w:cstheme="minorBidi"/>
        </w:rPr>
        <w:fldChar w:fldCharType="end"/>
      </w:r>
      <w:r w:rsidR="007021AB" w:rsidRPr="00FA7D47">
        <w:rPr>
          <w:rFonts w:cstheme="minorBidi"/>
        </w:rPr>
        <w:t xml:space="preserve">. </w:t>
      </w:r>
      <w:r w:rsidR="00716733" w:rsidRPr="00FA7D47">
        <w:rPr>
          <w:rFonts w:cstheme="minorBidi"/>
        </w:rPr>
        <w:t xml:space="preserve">A similar effect has been observed </w:t>
      </w:r>
      <w:r w:rsidR="000E1BF2" w:rsidRPr="00FA7D47">
        <w:rPr>
          <w:rFonts w:cstheme="minorBidi"/>
        </w:rPr>
        <w:t xml:space="preserve">in female </w:t>
      </w:r>
      <w:r w:rsidR="000E1BF2" w:rsidRPr="007268F5">
        <w:rPr>
          <w:rFonts w:cstheme="minorBidi"/>
          <w:i/>
          <w:iCs/>
        </w:rPr>
        <w:t xml:space="preserve">Nephrops </w:t>
      </w:r>
      <w:r w:rsidR="000E1BF2" w:rsidRPr="00FA7D47">
        <w:rPr>
          <w:rFonts w:cstheme="minorBidi"/>
        </w:rPr>
        <w:t xml:space="preserve">infected with </w:t>
      </w:r>
      <w:r w:rsidR="009D03F4" w:rsidRPr="009819CE">
        <w:rPr>
          <w:rFonts w:cstheme="minorBidi"/>
          <w:i/>
          <w:iCs/>
        </w:rPr>
        <w:t>Hematodinium</w:t>
      </w:r>
      <w:r w:rsidRPr="009819CE">
        <w:rPr>
          <w:rFonts w:cstheme="minorBidi"/>
          <w:i/>
          <w:iCs/>
        </w:rPr>
        <w:t xml:space="preserve"> </w:t>
      </w:r>
      <w:r w:rsidRPr="009819CE">
        <w:rPr>
          <w:rFonts w:cstheme="minorBidi"/>
        </w:rPr>
        <w:t xml:space="preserve"> sp.</w:t>
      </w:r>
      <w:r w:rsidR="000E1BF2" w:rsidRPr="00FA7D47">
        <w:rPr>
          <w:rFonts w:cstheme="minorBidi"/>
        </w:rPr>
        <w:t xml:space="preserve"> </w:t>
      </w:r>
      <w:r w:rsidRPr="009819CE">
        <w:rPr>
          <w:rFonts w:cstheme="minorBidi"/>
        </w:rPr>
        <w:fldChar w:fldCharType="begin">
          <w:fldData xml:space="preserve">PEVuZE5vdGU+PENpdGU+PEF1dGhvcj5CcmlnZ3M8L0F1dGhvcj48WWVhcj4yMDAyPC9ZZWFyPjxS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==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PEVuZE5vdGU+PENpdGU+PEF1dGhvcj5CcmlnZ3M8L0F1dGhvcj48WWVhcj4yMDAyPC9ZZWFyPjxS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==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34" w:tooltip="Briggs, 2002 #374" w:history="1">
        <w:r w:rsidR="00950097" w:rsidRPr="009819CE">
          <w:rPr>
            <w:rFonts w:cstheme="minorBidi"/>
          </w:rPr>
          <w:t>Briggs and McAliskey, 2002</w:t>
        </w:r>
      </w:hyperlink>
      <w:r w:rsidR="00D50EFF" w:rsidRPr="009819CE">
        <w:rPr>
          <w:rFonts w:cstheme="minorBidi"/>
        </w:rPr>
        <w:t xml:space="preserve">; </w:t>
      </w:r>
      <w:hyperlink w:anchor="_ENREF_226" w:tooltip="Mouat, 2002 #128" w:history="1">
        <w:r w:rsidR="00950097" w:rsidRPr="009819CE">
          <w:rPr>
            <w:rFonts w:cstheme="minorBidi"/>
          </w:rPr>
          <w:t>Mouat, 2002</w:t>
        </w:r>
      </w:hyperlink>
      <w:r w:rsidR="00D50EFF" w:rsidRPr="009819CE">
        <w:rPr>
          <w:rFonts w:cstheme="minorBidi"/>
        </w:rPr>
        <w:t>)</w:t>
      </w:r>
      <w:r w:rsidRPr="009819CE">
        <w:rPr>
          <w:rFonts w:cstheme="minorBidi"/>
        </w:rPr>
        <w:fldChar w:fldCharType="end"/>
      </w:r>
      <w:r w:rsidRPr="009819CE">
        <w:rPr>
          <w:rFonts w:cstheme="minorBidi"/>
        </w:rPr>
        <w:t>.</w:t>
      </w:r>
    </w:p>
    <w:p w14:paraId="25FCC57D" w14:textId="09B40337" w:rsidR="00F36ABA" w:rsidRPr="009819CE" w:rsidRDefault="00F36ABA" w:rsidP="00F36ABA">
      <w:pPr>
        <w:rPr>
          <w:rFonts w:cstheme="minorBidi"/>
        </w:rPr>
      </w:pPr>
      <w:r w:rsidRPr="009819CE">
        <w:rPr>
          <w:rFonts w:cstheme="minorBidi"/>
        </w:rPr>
        <w:t xml:space="preserve">In the present study, the impact of </w:t>
      </w:r>
      <w:r w:rsidR="009D03F4" w:rsidRPr="009819CE">
        <w:rPr>
          <w:rFonts w:cstheme="minorBidi"/>
          <w:i/>
          <w:iCs/>
        </w:rPr>
        <w:t>Hematodinium</w:t>
      </w:r>
      <w:r w:rsidRPr="009819CE">
        <w:rPr>
          <w:rFonts w:cstheme="minorBidi"/>
        </w:rPr>
        <w:t xml:space="preserve"> sp. infection on female </w:t>
      </w:r>
      <w:r w:rsidR="00C31E47" w:rsidRPr="009819CE">
        <w:rPr>
          <w:rFonts w:cstheme="minorBidi"/>
          <w:i/>
          <w:iCs/>
        </w:rPr>
        <w:t>Nephrops</w:t>
      </w:r>
      <w:r w:rsidRPr="009819CE">
        <w:rPr>
          <w:rFonts w:cstheme="minorBidi"/>
          <w:i/>
          <w:iCs/>
        </w:rPr>
        <w:t xml:space="preserve"> </w:t>
      </w:r>
      <w:r w:rsidRPr="009819CE">
        <w:rPr>
          <w:rFonts w:cstheme="minorBidi"/>
        </w:rPr>
        <w:t>gonads</w:t>
      </w:r>
      <w:r w:rsidR="00486BF4">
        <w:rPr>
          <w:rFonts w:cstheme="minorBidi"/>
        </w:rPr>
        <w:t xml:space="preserve"> was examined</w:t>
      </w:r>
      <w:r w:rsidRPr="009819CE">
        <w:rPr>
          <w:rFonts w:cstheme="minorBidi"/>
        </w:rPr>
        <w:t xml:space="preserve">. </w:t>
      </w:r>
      <w:r w:rsidR="009B70B1" w:rsidRPr="00FA7D47">
        <w:rPr>
          <w:rFonts w:cstheme="minorBidi"/>
        </w:rPr>
        <w:t>The results show</w:t>
      </w:r>
      <w:r w:rsidRPr="009819CE">
        <w:rPr>
          <w:rFonts w:cstheme="minorBidi"/>
        </w:rPr>
        <w:t xml:space="preserve"> that the Gonadosomatic Index (GSI) was significantly lower in visibly infected females compared to non-infected individuals (</w:t>
      </w:r>
      <w:r w:rsidRPr="009819CE">
        <w:rPr>
          <w:rFonts w:cstheme="minorBidi"/>
        </w:rPr>
        <w:fldChar w:fldCharType="begin"/>
      </w:r>
      <w:r w:rsidRPr="009819CE">
        <w:rPr>
          <w:rFonts w:cstheme="minorBidi"/>
        </w:rPr>
        <w:instrText xml:space="preserve"> REF _Ref109289708 \h  \* MERGEFORMAT </w:instrText>
      </w:r>
      <w:r w:rsidRPr="009819CE">
        <w:rPr>
          <w:rFonts w:cstheme="minorBidi"/>
        </w:rPr>
      </w:r>
      <w:r w:rsidRPr="009819CE">
        <w:rPr>
          <w:rFonts w:cstheme="minorBidi"/>
        </w:rPr>
        <w:fldChar w:fldCharType="separate"/>
      </w:r>
      <w:r w:rsidR="008549FC" w:rsidRPr="008549FC">
        <w:rPr>
          <w:rFonts w:cstheme="minorBidi"/>
          <w:b/>
        </w:rPr>
        <w:t>Figure 2.18</w:t>
      </w:r>
      <w:r w:rsidRPr="009819CE">
        <w:rPr>
          <w:rFonts w:cstheme="minorBidi"/>
        </w:rPr>
        <w:fldChar w:fldCharType="end"/>
      </w:r>
      <w:r w:rsidRPr="009819CE">
        <w:rPr>
          <w:rFonts w:cstheme="minorBidi"/>
        </w:rPr>
        <w:t>). This decrease in GSI is likely attributed to the disintegration of ovarian tissue and loss of its structural integrity (Mouat 2002). Furthermore, advanced stages of infection (PM stage 3) resulted in a complete failure of gonad development in females (</w:t>
      </w:r>
      <w:r w:rsidRPr="009819CE">
        <w:rPr>
          <w:rFonts w:cstheme="minorBidi"/>
        </w:rPr>
        <w:fldChar w:fldCharType="begin"/>
      </w:r>
      <w:r w:rsidRPr="009819CE">
        <w:rPr>
          <w:rFonts w:cstheme="minorBidi"/>
        </w:rPr>
        <w:instrText xml:space="preserve"> REF _Ref109289708 \h  \* MERGEFORMAT </w:instrText>
      </w:r>
      <w:r w:rsidRPr="009819CE">
        <w:rPr>
          <w:rFonts w:cstheme="minorBidi"/>
        </w:rPr>
      </w:r>
      <w:r w:rsidRPr="009819CE">
        <w:rPr>
          <w:rFonts w:cstheme="minorBidi"/>
        </w:rPr>
        <w:fldChar w:fldCharType="separate"/>
      </w:r>
      <w:r w:rsidR="008549FC" w:rsidRPr="008549FC">
        <w:rPr>
          <w:rFonts w:cstheme="minorBidi"/>
          <w:b/>
        </w:rPr>
        <w:t>Figure 2.18</w:t>
      </w:r>
      <w:r w:rsidRPr="009819CE">
        <w:rPr>
          <w:rFonts w:cstheme="minorBidi"/>
        </w:rPr>
        <w:fldChar w:fldCharType="end"/>
      </w:r>
      <w:r w:rsidRPr="009819CE">
        <w:rPr>
          <w:rFonts w:cstheme="minorBidi"/>
        </w:rPr>
        <w:t xml:space="preserve">). This could be attributed to factors such as nutrient depletion, metabolic exhaustion, and tissue disruption caused by the increased parasite burden </w:t>
      </w:r>
      <w:r w:rsidRPr="009819CE">
        <w:rPr>
          <w:rFonts w:cstheme="minorBidi"/>
        </w:rPr>
        <w:fldChar w:fldCharType="begin">
          <w:fldData xml:space="preserve">PEVuZE5vdGU+PENpdGU+PEF1dGhvcj5CcmlnZ3M8L0F1dGhvcj48WWVhcj4yMDAyPC9ZZWFyPjxS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==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PEVuZE5vdGU+PENpdGU+PEF1dGhvcj5CcmlnZ3M8L0F1dGhvcj48WWVhcj4yMDAyPC9ZZWFyPjxS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==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34" w:tooltip="Briggs, 2002 #374" w:history="1">
        <w:r w:rsidR="00950097" w:rsidRPr="009819CE">
          <w:rPr>
            <w:rFonts w:cstheme="minorBidi"/>
          </w:rPr>
          <w:t>Briggs and McAliskey, 2002</w:t>
        </w:r>
      </w:hyperlink>
      <w:r w:rsidR="00D50EFF" w:rsidRPr="009819CE">
        <w:rPr>
          <w:rFonts w:cstheme="minorBidi"/>
        </w:rPr>
        <w:t xml:space="preserve">; </w:t>
      </w:r>
      <w:hyperlink w:anchor="_ENREF_226" w:tooltip="Mouat, 2002 #128" w:history="1">
        <w:r w:rsidR="00950097" w:rsidRPr="009819CE">
          <w:rPr>
            <w:rFonts w:cstheme="minorBidi"/>
          </w:rPr>
          <w:t>Mouat, 2002</w:t>
        </w:r>
      </w:hyperlink>
      <w:r w:rsidR="00D50EFF" w:rsidRPr="009819CE">
        <w:rPr>
          <w:rFonts w:cstheme="minorBidi"/>
        </w:rPr>
        <w:t>)</w:t>
      </w:r>
      <w:r w:rsidRPr="009819CE">
        <w:rPr>
          <w:rFonts w:cstheme="minorBidi"/>
        </w:rPr>
        <w:fldChar w:fldCharType="end"/>
      </w:r>
      <w:r w:rsidRPr="009819CE">
        <w:rPr>
          <w:rFonts w:cstheme="minorBidi"/>
        </w:rPr>
        <w:t>. However, there was also much earlier disruption of the gonads than previously thought, since PM stage 2 infected females failed to develop gonads (</w:t>
      </w:r>
      <w:r w:rsidRPr="009819CE">
        <w:rPr>
          <w:rFonts w:cstheme="minorBidi"/>
        </w:rPr>
        <w:fldChar w:fldCharType="begin"/>
      </w:r>
      <w:r w:rsidRPr="009819CE">
        <w:rPr>
          <w:rFonts w:cstheme="minorBidi"/>
        </w:rPr>
        <w:instrText xml:space="preserve"> REF _Ref109289708 \h  \* MERGEFORMAT </w:instrText>
      </w:r>
      <w:r w:rsidRPr="009819CE">
        <w:rPr>
          <w:rFonts w:cstheme="minorBidi"/>
        </w:rPr>
      </w:r>
      <w:r w:rsidRPr="009819CE">
        <w:rPr>
          <w:rFonts w:cstheme="minorBidi"/>
        </w:rPr>
        <w:fldChar w:fldCharType="separate"/>
      </w:r>
      <w:r w:rsidR="008549FC" w:rsidRPr="008549FC">
        <w:rPr>
          <w:rFonts w:cstheme="minorBidi"/>
          <w:b/>
        </w:rPr>
        <w:t>Figure 2.18</w:t>
      </w:r>
      <w:r w:rsidRPr="009819CE">
        <w:rPr>
          <w:rFonts w:cstheme="minorBidi"/>
        </w:rPr>
        <w:fldChar w:fldCharType="end"/>
      </w:r>
      <w:r w:rsidRPr="009819CE">
        <w:rPr>
          <w:rFonts w:cstheme="minorBidi"/>
        </w:rPr>
        <w:t>).</w:t>
      </w:r>
    </w:p>
    <w:p w14:paraId="6D311863" w14:textId="5123EA1F" w:rsidR="00F36ABA" w:rsidRPr="009819CE" w:rsidRDefault="00F36ABA" w:rsidP="00F36ABA">
      <w:pPr>
        <w:rPr>
          <w:rFonts w:cstheme="minorBidi"/>
        </w:rPr>
      </w:pPr>
      <w:r w:rsidRPr="009819CE">
        <w:rPr>
          <w:rFonts w:cstheme="minorBidi"/>
        </w:rPr>
        <w:t xml:space="preserve">Subsequent histology examination of infected female gonads sections at different stages of infection (refer to </w:t>
      </w:r>
      <w:r w:rsidR="00AA4C8F" w:rsidRPr="009819CE">
        <w:rPr>
          <w:rFonts w:cstheme="minorBidi"/>
        </w:rPr>
        <w:t>section</w:t>
      </w:r>
      <w:r w:rsidR="004F77CB" w:rsidRPr="009819CE">
        <w:rPr>
          <w:rFonts w:cstheme="minorBidi"/>
          <w:b/>
          <w:bCs/>
        </w:rPr>
        <w:t xml:space="preserve"> </w:t>
      </w:r>
      <w:r w:rsidR="004F77CB" w:rsidRPr="009819CE">
        <w:rPr>
          <w:rFonts w:cstheme="minorBidi"/>
          <w:b/>
          <w:bCs/>
        </w:rPr>
        <w:fldChar w:fldCharType="begin"/>
      </w:r>
      <w:r w:rsidR="004F77CB" w:rsidRPr="009819CE">
        <w:rPr>
          <w:rFonts w:cstheme="minorBidi"/>
          <w:b/>
          <w:bCs/>
        </w:rPr>
        <w:instrText xml:space="preserve"> REF _Ref193712415 \r \h </w:instrText>
      </w:r>
      <w:r w:rsidR="004F77CB" w:rsidRPr="009819CE">
        <w:rPr>
          <w:rFonts w:cstheme="minorBidi"/>
          <w:b/>
          <w:bCs/>
        </w:rPr>
      </w:r>
      <w:r w:rsidR="004F77CB" w:rsidRPr="009819CE">
        <w:rPr>
          <w:rFonts w:cstheme="minorBidi"/>
          <w:b/>
          <w:bCs/>
        </w:rPr>
        <w:fldChar w:fldCharType="separate"/>
      </w:r>
      <w:r w:rsidR="008549FC">
        <w:rPr>
          <w:rFonts w:cstheme="minorBidi"/>
          <w:b/>
          <w:bCs/>
        </w:rPr>
        <w:t>3.4.2</w:t>
      </w:r>
      <w:r w:rsidR="004F77CB" w:rsidRPr="009819CE">
        <w:rPr>
          <w:rFonts w:cstheme="minorBidi"/>
          <w:b/>
          <w:bCs/>
        </w:rPr>
        <w:fldChar w:fldCharType="end"/>
      </w:r>
      <w:r w:rsidRPr="009819CE">
        <w:rPr>
          <w:rFonts w:cstheme="minorBidi"/>
        </w:rPr>
        <w:t xml:space="preserve">) revealed a gradual increase in tissue damage and parasite density starting from stage 1. Even at stage 2 of </w:t>
      </w:r>
      <w:r w:rsidR="009D03F4" w:rsidRPr="009819CE">
        <w:rPr>
          <w:rFonts w:cstheme="minorBidi"/>
          <w:i/>
          <w:iCs/>
        </w:rPr>
        <w:t>Hematodinium</w:t>
      </w:r>
      <w:r w:rsidRPr="009819CE">
        <w:rPr>
          <w:rFonts w:cstheme="minorBidi"/>
        </w:rPr>
        <w:t xml:space="preserve"> sp. infection, the haemal spaces of the ovaries were almost fully colonized by the parasite cells, although not as intensely as in stages 3 and 4. These findings suggest that gonad reabsorption may be triggered by parasite density, and this process may begin as early as stage 2 of infection.</w:t>
      </w:r>
    </w:p>
    <w:p w14:paraId="0F816EDA" w14:textId="746D0E08" w:rsidR="00F36ABA" w:rsidRPr="009819CE" w:rsidRDefault="00F36ABA" w:rsidP="00F36ABA">
      <w:pPr>
        <w:rPr>
          <w:rFonts w:cstheme="minorBidi"/>
        </w:rPr>
      </w:pPr>
      <w:r w:rsidRPr="009819CE">
        <w:rPr>
          <w:rFonts w:cstheme="minorBidi"/>
        </w:rPr>
        <w:t xml:space="preserve">Given the potential detrimental effects of </w:t>
      </w:r>
      <w:r w:rsidR="009D03F4" w:rsidRPr="009819CE">
        <w:rPr>
          <w:rFonts w:cstheme="minorBidi"/>
          <w:i/>
          <w:iCs/>
        </w:rPr>
        <w:t>Hematodinium</w:t>
      </w:r>
      <w:r w:rsidRPr="009819CE">
        <w:rPr>
          <w:rFonts w:cstheme="minorBidi"/>
        </w:rPr>
        <w:t xml:space="preserve"> sp. infection on </w:t>
      </w:r>
      <w:r w:rsidR="00D0382F" w:rsidRPr="00D0382F">
        <w:rPr>
          <w:rFonts w:cstheme="minorBidi"/>
          <w:i/>
          <w:iCs/>
        </w:rPr>
        <w:t>Nephrops</w:t>
      </w:r>
      <w:r w:rsidRPr="009819CE">
        <w:rPr>
          <w:rFonts w:cstheme="minorBidi"/>
        </w:rPr>
        <w:t xml:space="preserve"> reproductive potential, further research is recommended to effectively manage </w:t>
      </w:r>
      <w:r w:rsidR="00C31E47" w:rsidRPr="009819CE">
        <w:rPr>
          <w:rFonts w:cstheme="minorBidi"/>
          <w:i/>
        </w:rPr>
        <w:t>Nephrops</w:t>
      </w:r>
      <w:r w:rsidRPr="009819CE">
        <w:rPr>
          <w:rFonts w:cstheme="minorBidi"/>
        </w:rPr>
        <w:t xml:space="preserve"> stocks in the CSA. Fisheries sustainability relies on the long-term reproductive viability of populations, making it crucial to regularly monitor the reproductive potential of each stock to detect any changes </w:t>
      </w:r>
      <w:r w:rsidRPr="009819CE">
        <w:rPr>
          <w:rFonts w:cstheme="minorBidi"/>
        </w:rPr>
        <w:fldChar w:fldCharType="begin"/>
      </w:r>
      <w:r w:rsidR="00A8698B" w:rsidRPr="009819CE">
        <w:rPr>
          <w:rFonts w:cstheme="minorBidi"/>
        </w:rPr>
        <w:instrText xml:space="preserve"> ADDIN EN.CITE &lt;EndNote&gt;&lt;Cite&gt;&lt;Author&gt;Becker&lt;/Author&gt;&lt;Year&gt;2020&lt;/Year&gt;&lt;RecNum&gt;414&lt;/RecNum&gt;&lt;DisplayText&gt;(Becker et al., 2020)&lt;/DisplayText&gt;&lt;record&gt;&lt;rec-number&gt;414&lt;/rec-number&gt;&lt;foreign-keys&gt;&lt;key app="EN" db-id="sd9wrx9fj09rx3erprsx999o0r5aprvp2zse" timestamp="1687855901" guid="39d2120c-c9c9-4746-8b9b-b422d9bc570b"&gt;414&lt;/key&gt;&lt;/foreign-keys&gt;&lt;ref-type name="Journal Article"&gt;17&lt;/ref-type&gt;&lt;contributors&gt;&lt;authors&gt;&lt;author&gt;Becker, Carola&lt;/author&gt;&lt;author&gt;Dick, Jaimie T. A. A.&lt;/author&gt;&lt;author&gt;Mánus Cunningham, E.&lt;/author&gt;&lt;author&gt;Lundy, Mathieu&lt;/author&gt;&lt;author&gt;Bell, Ewen&lt;/author&gt;&lt;author&gt;Eagling, Lawrence&lt;/author&gt;&lt;author&gt;Sigwart, Julia D.&lt;/author&gt;&lt;/authors&gt;&lt;/contributors&gt;&lt;titles&gt;&lt;title&gt;&lt;style face="normal" font="default" size="100%"&gt;Ovary resorption in the Norway lobster (&lt;/style&gt;&lt;style face="italic" font="default" size="100%"&gt;Nephrops norvegicus&lt;/style&gt;&lt;style face="normal" font="default" size="100%"&gt;) and its possible causes with special reference to sperm storage&lt;/style&gt;&lt;/title&gt;&lt;secondary-title&gt;Helgoland Marine Research&lt;/secondary-title&gt;&lt;/titles&gt;&lt;periodical&gt;&lt;full-title&gt;Helgoland Marine Research&lt;/full-title&gt;&lt;/periodical&gt;&lt;pages&gt;12-12&lt;/pages&gt;&lt;volume&gt;74&lt;/volume&gt;&lt;number&gt;1&lt;/number&gt;&lt;dates&gt;&lt;year&gt;2020&lt;/year&gt;&lt;pub-dates&gt;&lt;date&gt;2020/12//&lt;/date&gt;&lt;/pub-dates&gt;&lt;/dates&gt;&lt;publisher&gt;BioMed Central&lt;/publisher&gt;&lt;isbn&gt;4926480336&lt;/isbn&gt;&lt;urls&gt;&lt;related-urls&gt;&lt;url&gt;https://doi.org/10.1186/s10152-020-00543-8&lt;/url&gt;&lt;url&gt;https://hmr.biomedcentral.com/articles/10.1186/s10152-020-00543-8&lt;/url&gt;&lt;/related-urls&gt;&lt;/urls&gt;&lt;electronic-resource-num&gt;10.1186/s10152-020-00543-8&lt;/electronic-resource-num&gt;&lt;/record&gt;&lt;/Cite&gt;&lt;/EndNote&gt;</w:instrText>
      </w:r>
      <w:r w:rsidRPr="009819CE">
        <w:rPr>
          <w:rFonts w:cstheme="minorBidi"/>
        </w:rPr>
        <w:fldChar w:fldCharType="separate"/>
      </w:r>
      <w:r w:rsidR="00A8698B" w:rsidRPr="009819CE">
        <w:rPr>
          <w:rFonts w:cstheme="minorBidi"/>
        </w:rPr>
        <w:t>(</w:t>
      </w:r>
      <w:hyperlink w:anchor="_ENREF_27" w:tooltip="Becker, 2020 #414" w:history="1">
        <w:r w:rsidR="00950097" w:rsidRPr="009819CE">
          <w:rPr>
            <w:rFonts w:cstheme="minorBidi"/>
          </w:rPr>
          <w:t>Becker et al., 2020</w:t>
        </w:r>
      </w:hyperlink>
      <w:r w:rsidR="00A8698B" w:rsidRPr="009819CE">
        <w:rPr>
          <w:rFonts w:cstheme="minorBidi"/>
        </w:rPr>
        <w:t>)</w:t>
      </w:r>
      <w:r w:rsidRPr="009819CE">
        <w:rPr>
          <w:rFonts w:cstheme="minorBidi"/>
        </w:rPr>
        <w:fldChar w:fldCharType="end"/>
      </w:r>
      <w:r w:rsidRPr="009819CE">
        <w:rPr>
          <w:rFonts w:cstheme="minorBidi"/>
        </w:rPr>
        <w:t xml:space="preserve">. </w:t>
      </w:r>
      <w:r w:rsidR="009D03F4" w:rsidRPr="009819CE">
        <w:rPr>
          <w:rFonts w:cstheme="minorBidi"/>
          <w:i/>
          <w:iCs/>
        </w:rPr>
        <w:t>Hematodinium</w:t>
      </w:r>
      <w:r w:rsidRPr="009819CE">
        <w:rPr>
          <w:rFonts w:cstheme="minorBidi"/>
        </w:rPr>
        <w:t xml:space="preserve"> sp. infection during its peak may lead to the loss of 30-40% of breeding females contributing to reproduction in a given year </w:t>
      </w:r>
      <w:r w:rsidRPr="009819CE">
        <w:rPr>
          <w:rFonts w:cstheme="minorBidi"/>
        </w:rPr>
        <w:fldChar w:fldCharType="begin"/>
      </w:r>
      <w:r w:rsidR="00D50EFF" w:rsidRPr="009819CE">
        <w:rPr>
          <w:rFonts w:cstheme="minorBidi"/>
        </w:rPr>
        <w:instrText xml:space="preserve"> ADDIN EN.CITE &lt;EndNote&gt;&lt;Cite&gt;&lt;Author&gt;Mouat&lt;/Author&gt;&lt;Year&gt;2002&lt;/Year&gt;&lt;RecNum&gt;128&lt;/RecNum&gt;&lt;DisplayText&gt;(Mouat, 2002)&lt;/DisplayText&gt;&lt;record&gt;&lt;rec-number&gt;128&lt;/rec-number&gt;&lt;foreign-keys&gt;&lt;key app="EN" db-id="sd9wrx9fj09rx3erprsx999o0r5aprvp2zse" timestamp="1687855901" guid="a2f18ee6-c6f6-4b64-8e50-e9b75c10935c"&gt;128&lt;/key&gt;&lt;/foreign-keys&gt;&lt;ref-type name="Thesis"&gt;32&lt;/ref-type&gt;&lt;contributors&gt;&lt;authors&gt;&lt;author&gt;Mouat, Beth&lt;/author&gt;&lt;/authors&gt;&lt;/contributors&gt;&lt;titles&gt;&lt;title&gt;&lt;style face="normal" font="default" size="100%"&gt;Reproductive dynamics of the male norway lobster, &lt;/style&gt;&lt;style face="italic" font="default" size="100%"&gt;Nephrops norvegicus&lt;/style&gt;&lt;style face="normal" font="default" size="100%"&gt; (L.)&lt;/style&gt;&lt;/title&gt;&lt;secondary-title&gt;Biomedical and Life Sciences&lt;/secondary-title&gt;&lt;/titles&gt;&lt;pages&gt;312-312&lt;/pages&gt;&lt;volume&gt;Doctor of Philosophy&lt;/volume&gt;&lt;dates&gt;&lt;year&gt;2002&lt;/year&gt;&lt;pub-dates&gt;&lt;date&gt;30/09/2002&lt;/date&gt;&lt;/pub-dates&gt;&lt;/dates&gt;&lt;publisher&gt;University of Glasgow&lt;/publisher&gt;&lt;urls&gt;&lt;related-urls&gt;&lt;url&gt;https://eleanor.lib.gla.ac.uk/record=b2121812&lt;/url&gt;&lt;/related-urls&gt;&lt;/urls&gt;&lt;/record&gt;&lt;/Cite&gt;&lt;/EndNote&gt;</w:instrText>
      </w:r>
      <w:r w:rsidRPr="009819CE">
        <w:rPr>
          <w:rFonts w:cstheme="minorBidi"/>
        </w:rPr>
        <w:fldChar w:fldCharType="separate"/>
      </w:r>
      <w:r w:rsidR="00D50EFF" w:rsidRPr="009819CE">
        <w:rPr>
          <w:rFonts w:cstheme="minorBidi"/>
        </w:rPr>
        <w:t>(</w:t>
      </w:r>
      <w:hyperlink w:anchor="_ENREF_226" w:tooltip="Mouat, 2002 #128" w:history="1">
        <w:r w:rsidR="00950097" w:rsidRPr="009819CE">
          <w:rPr>
            <w:rFonts w:cstheme="minorBidi"/>
          </w:rPr>
          <w:t>Mouat, 2002</w:t>
        </w:r>
      </w:hyperlink>
      <w:r w:rsidR="00D50EFF" w:rsidRPr="009819CE">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To ensure robust fishery management targets that account for such events, it is important to investigate the mechanisms driving gonad resorption rates. Careful management of </w:t>
      </w:r>
      <w:r w:rsidR="00C31E47" w:rsidRPr="009819CE">
        <w:rPr>
          <w:rFonts w:cstheme="minorBidi"/>
          <w:i/>
          <w:iCs/>
        </w:rPr>
        <w:t>Nephrops</w:t>
      </w:r>
      <w:r w:rsidRPr="009819CE">
        <w:rPr>
          <w:rFonts w:cstheme="minorBidi"/>
        </w:rPr>
        <w:t xml:space="preserve"> stocks, including the removal of heavily infected individuals, can help mitigate the impact of the parasite while maintaining fishers' quotas. This approach not only benefits the fishery but also helps reduce the parasite load in the environment.</w:t>
      </w:r>
    </w:p>
    <w:p w14:paraId="73864F6C" w14:textId="77777777" w:rsidR="00F36ABA" w:rsidRPr="009819CE" w:rsidRDefault="00F36ABA" w:rsidP="00F36ABA">
      <w:pPr>
        <w:rPr>
          <w:rFonts w:cstheme="minorBidi"/>
        </w:rPr>
      </w:pPr>
    </w:p>
    <w:p w14:paraId="02A1E537" w14:textId="77777777" w:rsidR="00F36ABA" w:rsidRPr="009819CE" w:rsidRDefault="00F36ABA" w:rsidP="00F36ABA">
      <w:pPr>
        <w:pStyle w:val="Heading2"/>
        <w:rPr>
          <w:rFonts w:cstheme="minorBidi"/>
        </w:rPr>
      </w:pPr>
      <w:r w:rsidRPr="009819CE">
        <w:rPr>
          <w:rFonts w:cstheme="minorBidi"/>
        </w:rPr>
        <w:t xml:space="preserve"> </w:t>
      </w:r>
      <w:bookmarkStart w:id="244" w:name="_Toc204106634"/>
      <w:r w:rsidRPr="009819CE">
        <w:rPr>
          <w:rFonts w:cstheme="minorBidi"/>
        </w:rPr>
        <w:t>Conclusions</w:t>
      </w:r>
      <w:bookmarkEnd w:id="244"/>
    </w:p>
    <w:p w14:paraId="17E30F94" w14:textId="34EB8678" w:rsidR="00F36ABA" w:rsidRPr="009819CE" w:rsidRDefault="00F36ABA" w:rsidP="00F36ABA">
      <w:pPr>
        <w:rPr>
          <w:rFonts w:cstheme="minorBidi"/>
        </w:rPr>
      </w:pPr>
      <w:r w:rsidRPr="009819CE">
        <w:rPr>
          <w:rFonts w:cstheme="minorBidi"/>
        </w:rPr>
        <w:t xml:space="preserve">In conclusion, </w:t>
      </w:r>
      <w:r w:rsidR="00146158" w:rsidRPr="00FA7D47">
        <w:rPr>
          <w:rFonts w:cstheme="minorBidi"/>
        </w:rPr>
        <w:t>the</w:t>
      </w:r>
      <w:r w:rsidRPr="009819CE">
        <w:rPr>
          <w:rFonts w:cstheme="minorBidi"/>
        </w:rPr>
        <w:t xml:space="preserve"> findings demonstrate that the prevalence of </w:t>
      </w:r>
      <w:r w:rsidR="009D03F4" w:rsidRPr="009819CE">
        <w:rPr>
          <w:rFonts w:cstheme="minorBidi"/>
          <w:i/>
          <w:iCs/>
        </w:rPr>
        <w:t>Hematodinium</w:t>
      </w:r>
      <w:r w:rsidRPr="009819CE">
        <w:rPr>
          <w:rFonts w:cstheme="minorBidi"/>
        </w:rPr>
        <w:t xml:space="preserve"> sp. infection in the CSA is generally consistent with previous data sets obtained through the body colour and pleopod methods</w:t>
      </w:r>
      <w:r w:rsidR="00161105" w:rsidRPr="009819CE">
        <w:rPr>
          <w:rFonts w:cstheme="minorBidi"/>
        </w:rPr>
        <w:t xml:space="preserve"> </w:t>
      </w:r>
      <w:r w:rsidRPr="009819CE">
        <w:rPr>
          <w:rFonts w:cstheme="minorBidi"/>
        </w:rPr>
        <w:fldChar w:fldCharType="begin">
          <w:fldData xml:space="preserve">PEVuZE5vdGU+PENpdGU+PEF1dGhvcj5TdGVudGlmb3JkPC9BdXRob3I+PFllYXI+MjAwMTwvWWVh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</w:fldData>
        </w:fldChar>
      </w:r>
      <w:r w:rsidR="001976BB" w:rsidRPr="009819CE">
        <w:rPr>
          <w:rFonts w:cstheme="minorBidi"/>
        </w:rPr>
        <w:instrText xml:space="preserve"> ADDIN EN.CITE </w:instrText>
      </w:r>
      <w:r w:rsidR="001976BB" w:rsidRPr="009819CE">
        <w:rPr>
          <w:rFonts w:cstheme="minorBidi"/>
        </w:rPr>
        <w:fldChar w:fldCharType="begin">
          <w:fldData xml:space="preserve">PEVuZE5vdGU+PENpdGU+PEF1dGhvcj5TdGVudGlmb3JkPC9BdXRob3I+PFllYXI+MjAwMTwvWWVh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</w:fldData>
        </w:fldChar>
      </w:r>
      <w:r w:rsidR="001976BB" w:rsidRPr="009819CE">
        <w:rPr>
          <w:rFonts w:cstheme="minorBidi"/>
        </w:rPr>
        <w:instrText xml:space="preserve"> ADDIN EN.CITE.DATA </w:instrText>
      </w:r>
      <w:r w:rsidR="001976BB" w:rsidRPr="009819CE">
        <w:rPr>
          <w:rFonts w:cstheme="minorBidi"/>
        </w:rPr>
      </w:r>
      <w:r w:rsidR="001976BB"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9" w:tooltip="Beevers, 2012 #377" w:history="1">
        <w:r w:rsidR="00950097" w:rsidRPr="007268F5">
          <w:rPr>
            <w:rFonts w:cstheme="minorBidi"/>
          </w:rPr>
          <w:t>Beevers et al., 2012</w:t>
        </w:r>
      </w:hyperlink>
      <w:r w:rsidR="00D50EFF" w:rsidRPr="007268F5">
        <w:rPr>
          <w:rFonts w:cstheme="minorBidi"/>
        </w:rPr>
        <w:t xml:space="preserve">; </w:t>
      </w:r>
      <w:hyperlink w:anchor="_ENREF_297" w:tooltip="Stentiford, 2001 #124" w:history="1">
        <w:r w:rsidR="00950097" w:rsidRPr="007268F5">
          <w:rPr>
            <w:rFonts w:cstheme="minorBidi"/>
          </w:rPr>
          <w:t>Stentiford et al., 2001a</w:t>
        </w:r>
      </w:hyperlink>
      <w:r w:rsidR="00D50EFF" w:rsidRPr="007268F5">
        <w:rPr>
          <w:rFonts w:cstheme="minorBidi"/>
        </w:rPr>
        <w:t>)</w:t>
      </w:r>
      <w:r w:rsidRPr="009819CE">
        <w:rPr>
          <w:rFonts w:cstheme="minorBidi"/>
        </w:rPr>
        <w:fldChar w:fldCharType="end"/>
      </w:r>
      <w:r w:rsidRPr="009819CE">
        <w:rPr>
          <w:rFonts w:cstheme="minorBidi"/>
        </w:rPr>
        <w:t xml:space="preserve">. It can be </w:t>
      </w:r>
      <w:r w:rsidR="00C64CC6" w:rsidRPr="00FA7D47">
        <w:rPr>
          <w:rFonts w:cstheme="minorBidi"/>
        </w:rPr>
        <w:t xml:space="preserve">confirmed </w:t>
      </w:r>
      <w:r w:rsidRPr="009819CE">
        <w:rPr>
          <w:rFonts w:cstheme="minorBidi"/>
        </w:rPr>
        <w:t xml:space="preserve">that </w:t>
      </w:r>
      <w:r w:rsidR="009D03F4" w:rsidRPr="009819CE">
        <w:rPr>
          <w:rFonts w:cstheme="minorBidi"/>
          <w:i/>
          <w:iCs/>
        </w:rPr>
        <w:t>Hematodinium</w:t>
      </w:r>
      <w:r w:rsidRPr="009819CE">
        <w:rPr>
          <w:rFonts w:cstheme="minorBidi"/>
        </w:rPr>
        <w:t xml:space="preserve"> sp. is enzootic (endemic) in this region, with a peak in the number of infected lobsters during spring and summer (high prevalence and intensity), followed by a decline in autumn. Importantly, </w:t>
      </w:r>
      <w:r w:rsidR="00146158" w:rsidRPr="00FA7D47">
        <w:rPr>
          <w:rFonts w:cstheme="minorBidi"/>
        </w:rPr>
        <w:t>the</w:t>
      </w:r>
      <w:r w:rsidRPr="009819CE">
        <w:rPr>
          <w:rFonts w:cstheme="minorBidi"/>
        </w:rPr>
        <w:t xml:space="preserve"> study highlights that the severity of infection is significantly associated with the size of </w:t>
      </w:r>
      <w:r w:rsidR="00C31E47" w:rsidRPr="009819CE">
        <w:rPr>
          <w:rFonts w:cstheme="minorBidi"/>
          <w:i/>
          <w:iCs/>
        </w:rPr>
        <w:t>Nephrops</w:t>
      </w:r>
      <w:r w:rsidRPr="009819CE">
        <w:rPr>
          <w:rFonts w:cstheme="minorBidi"/>
        </w:rPr>
        <w:t xml:space="preserve">, while the biology of female </w:t>
      </w:r>
      <w:r w:rsidR="00C31E47" w:rsidRPr="009819CE">
        <w:rPr>
          <w:rFonts w:cstheme="minorBidi"/>
          <w:i/>
          <w:iCs/>
        </w:rPr>
        <w:t>Nephrops</w:t>
      </w:r>
      <w:r w:rsidRPr="009819CE">
        <w:rPr>
          <w:rFonts w:cstheme="minorBidi"/>
        </w:rPr>
        <w:t xml:space="preserve">, characterized by burrow emergence and synchronized moulting in the spring, makes them more susceptible to </w:t>
      </w:r>
      <w:r w:rsidR="009D03F4" w:rsidRPr="009819CE">
        <w:rPr>
          <w:rFonts w:cstheme="minorBidi"/>
          <w:i/>
          <w:iCs/>
        </w:rPr>
        <w:t>Hematodinium</w:t>
      </w:r>
      <w:r w:rsidRPr="009819CE">
        <w:rPr>
          <w:rFonts w:cstheme="minorBidi"/>
        </w:rPr>
        <w:t xml:space="preserve"> sp. infection.</w:t>
      </w:r>
    </w:p>
    <w:p w14:paraId="7CD954C4" w14:textId="7403E997" w:rsidR="00F36ABA" w:rsidRPr="009819CE" w:rsidRDefault="00F36ABA" w:rsidP="00F36ABA">
      <w:pPr>
        <w:rPr>
          <w:rFonts w:cstheme="minorBidi"/>
        </w:rPr>
      </w:pPr>
      <w:r w:rsidRPr="009819CE">
        <w:rPr>
          <w:rFonts w:cstheme="minorBidi"/>
        </w:rPr>
        <w:t xml:space="preserve"> Furthermore, </w:t>
      </w:r>
      <w:r w:rsidR="00146158" w:rsidRPr="00FA7D47">
        <w:rPr>
          <w:rFonts w:cstheme="minorBidi"/>
        </w:rPr>
        <w:t>th</w:t>
      </w:r>
      <w:r w:rsidR="00F502F6">
        <w:rPr>
          <w:rFonts w:cstheme="minorBidi"/>
        </w:rPr>
        <w:t>ese</w:t>
      </w:r>
      <w:r w:rsidRPr="009819CE">
        <w:rPr>
          <w:rFonts w:cstheme="minorBidi"/>
        </w:rPr>
        <w:t xml:space="preserve"> findings reveal that female </w:t>
      </w:r>
      <w:r w:rsidR="00C31E47" w:rsidRPr="009819CE">
        <w:rPr>
          <w:rFonts w:cstheme="minorBidi"/>
          <w:i/>
        </w:rPr>
        <w:t>Nephrops</w:t>
      </w:r>
      <w:r w:rsidRPr="009819CE">
        <w:rPr>
          <w:rFonts w:cstheme="minorBidi"/>
        </w:rPr>
        <w:t xml:space="preserve"> experience halted gonad development as early as stage 2 of pleopod infection. This interruption in reproductive development could significantly reduce the breeding population of </w:t>
      </w:r>
      <w:r w:rsidR="00C31E47" w:rsidRPr="009819CE">
        <w:rPr>
          <w:rFonts w:cstheme="minorBidi"/>
          <w:i/>
        </w:rPr>
        <w:t>Nephrops</w:t>
      </w:r>
      <w:r w:rsidRPr="009819CE">
        <w:rPr>
          <w:rFonts w:cstheme="minorBidi"/>
        </w:rPr>
        <w:t xml:space="preserve">, thereby jeopardizing the long-term viability of fisheries in the area. To gain further insights into this crucial pathosystem, future research should focus on investigating the abiotic and/or biotic cues utilized by the parasite for synchronized patent infection, as well as mapping host-parasite interactions during the early stages of infection. Such studies would provide valuable additions to </w:t>
      </w:r>
      <w:r w:rsidR="00146158" w:rsidRPr="00FA7D47">
        <w:rPr>
          <w:rFonts w:cstheme="minorBidi"/>
        </w:rPr>
        <w:t>the</w:t>
      </w:r>
      <w:r w:rsidRPr="009819CE">
        <w:rPr>
          <w:rFonts w:cstheme="minorBidi"/>
        </w:rPr>
        <w:t xml:space="preserve"> understanding of this important pathosystem.</w:t>
      </w:r>
    </w:p>
    <w:p w14:paraId="3F1CF4CF" w14:textId="77777777" w:rsidR="00171850" w:rsidRPr="009819CE" w:rsidRDefault="00171850" w:rsidP="00A60CBB">
      <w:pPr>
        <w:rPr>
          <w:rFonts w:cstheme="minorBidi"/>
        </w:rPr>
      </w:pPr>
    </w:p>
    <w:p w14:paraId="58BFB1DB" w14:textId="77777777" w:rsidR="00451E49" w:rsidRPr="009819CE" w:rsidRDefault="00451E49" w:rsidP="00A60CBB">
      <w:pPr>
        <w:rPr>
          <w:rFonts w:cstheme="minorBidi"/>
        </w:rPr>
        <w:sectPr w:rsidR="00451E49" w:rsidRPr="009819CE" w:rsidSect="003A7A28">
          <w:footerReference w:type="default" r:id="rId72"/>
          <w:pgSz w:w="12240" w:h="15840"/>
          <w:pgMar w:top="1440" w:right="1440" w:bottom="1440" w:left="1440" w:header="708" w:footer="708" w:gutter="0"/>
          <w:cols w:space="708"/>
          <w:docGrid w:linePitch="360"/>
        </w:sectPr>
      </w:pPr>
    </w:p>
    <w:p w14:paraId="3F8A9D2B" w14:textId="1B942C56" w:rsidR="0055220B" w:rsidRPr="009819CE" w:rsidRDefault="0055220B" w:rsidP="00E22ACF">
      <w:pPr>
        <w:pStyle w:val="Heading1"/>
      </w:pPr>
      <w:bookmarkStart w:id="245" w:name="_Toc204106635"/>
      <w:bookmarkStart w:id="246" w:name="_Toc504297521"/>
      <w:bookmarkStart w:id="247" w:name="_Toc504934575"/>
      <w:bookmarkEnd w:id="22"/>
      <w:bookmarkEnd w:id="23"/>
      <w:bookmarkEnd w:id="24"/>
      <w:bookmarkEnd w:id="25"/>
      <w:bookmarkEnd w:id="170"/>
      <w:r w:rsidRPr="009819CE">
        <w:t xml:space="preserve">Characterisation of haemolymph and gut microbiomes of </w:t>
      </w:r>
      <w:r w:rsidR="00C31E47" w:rsidRPr="009819CE">
        <w:rPr>
          <w:i/>
        </w:rPr>
        <w:t>Nephrops</w:t>
      </w:r>
      <w:r w:rsidRPr="009819CE">
        <w:rPr>
          <w:i/>
        </w:rPr>
        <w:t xml:space="preserve"> norvegicus</w:t>
      </w:r>
      <w:bookmarkEnd w:id="245"/>
    </w:p>
    <w:p w14:paraId="5AE1F178" w14:textId="522EB938" w:rsidR="00E914E0" w:rsidRPr="00FA7D47" w:rsidRDefault="00E914E0" w:rsidP="0055220B">
      <w:pPr>
        <w:pStyle w:val="Heading2"/>
        <w:rPr>
          <w:rFonts w:cstheme="minorBidi"/>
        </w:rPr>
      </w:pPr>
      <w:bookmarkStart w:id="248" w:name="_Toc204106636"/>
      <w:r w:rsidRPr="00FA7D47">
        <w:rPr>
          <w:rFonts w:cstheme="minorBidi"/>
        </w:rPr>
        <w:t>Abstract</w:t>
      </w:r>
      <w:bookmarkEnd w:id="248"/>
    </w:p>
    <w:p w14:paraId="1AC8F097" w14:textId="532F5F54" w:rsidR="00A32A8C" w:rsidRPr="007268F5" w:rsidRDefault="00A32A8C" w:rsidP="00A32A8C">
      <w:pPr>
        <w:pStyle w:val="NormalWeb"/>
        <w:shd w:val="clear" w:color="auto" w:fill="FFFFFF"/>
        <w:spacing w:before="0" w:beforeAutospacing="0" w:after="0" w:afterAutospacing="0"/>
        <w:rPr>
          <w:rFonts w:cstheme="minorBidi"/>
          <w:color w:val="333333"/>
        </w:rPr>
      </w:pPr>
      <w:r w:rsidRPr="007268F5">
        <w:rPr>
          <w:rFonts w:cstheme="minorBidi"/>
          <w:color w:val="333333"/>
        </w:rPr>
        <w:t>The parasite </w:t>
      </w:r>
      <w:r w:rsidRPr="007268F5">
        <w:rPr>
          <w:rFonts w:cstheme="minorBidi"/>
          <w:i/>
          <w:iCs/>
          <w:color w:val="333333"/>
        </w:rPr>
        <w:t>Hematodinium</w:t>
      </w:r>
      <w:r w:rsidRPr="007268F5">
        <w:rPr>
          <w:rFonts w:cstheme="minorBidi"/>
          <w:color w:val="333333"/>
        </w:rPr>
        <w:t xml:space="preserve"> sp. causes morbidity and seasonal mortality events in more than 40 decapod species globally and </w:t>
      </w:r>
      <w:r w:rsidR="00482DE7">
        <w:rPr>
          <w:rFonts w:cstheme="minorBidi"/>
          <w:color w:val="333333"/>
        </w:rPr>
        <w:t xml:space="preserve">is </w:t>
      </w:r>
      <w:r w:rsidRPr="007E6468">
        <w:rPr>
          <w:rFonts w:cstheme="minorBidi"/>
          <w:color w:val="333333"/>
        </w:rPr>
        <w:t>therefore, now recognised as a significant threat to the future sustainability of shellfish fisheries and aquaculture worldwide. Among these, Norway lobster (</w:t>
      </w:r>
      <w:r w:rsidRPr="007E6468">
        <w:rPr>
          <w:rFonts w:cstheme="minorBidi"/>
          <w:i/>
          <w:iCs/>
          <w:color w:val="333333"/>
        </w:rPr>
        <w:t>Nephrops norvegicus</w:t>
      </w:r>
      <w:r w:rsidRPr="007E6468">
        <w:rPr>
          <w:rFonts w:cstheme="minorBidi"/>
          <w:color w:val="333333"/>
        </w:rPr>
        <w:t xml:space="preserve">), an important </w:t>
      </w:r>
      <w:r w:rsidR="00482DE7">
        <w:rPr>
          <w:rFonts w:cstheme="minorBidi"/>
          <w:color w:val="333333"/>
        </w:rPr>
        <w:t>benthic decapod</w:t>
      </w:r>
      <w:r w:rsidRPr="007E6468">
        <w:rPr>
          <w:rFonts w:cstheme="minorBidi"/>
          <w:color w:val="333333"/>
        </w:rPr>
        <w:t xml:space="preserve"> </w:t>
      </w:r>
      <w:r w:rsidR="00482DE7">
        <w:rPr>
          <w:rFonts w:cstheme="minorBidi"/>
          <w:color w:val="333333"/>
        </w:rPr>
        <w:t>that</w:t>
      </w:r>
      <w:r w:rsidRPr="007E6468">
        <w:rPr>
          <w:rFonts w:cstheme="minorBidi"/>
          <w:color w:val="333333"/>
        </w:rPr>
        <w:t xml:space="preserve"> support</w:t>
      </w:r>
      <w:r w:rsidR="00482DE7">
        <w:rPr>
          <w:rFonts w:cstheme="minorBidi"/>
          <w:color w:val="333333"/>
        </w:rPr>
        <w:t>s</w:t>
      </w:r>
      <w:r w:rsidRPr="007E6468">
        <w:rPr>
          <w:rFonts w:cstheme="minorBidi"/>
          <w:color w:val="333333"/>
        </w:rPr>
        <w:t xml:space="preserve"> the most valuable shellfish fishery in the UK, experience</w:t>
      </w:r>
      <w:r w:rsidR="00482DE7">
        <w:rPr>
          <w:rFonts w:cstheme="minorBidi"/>
          <w:color w:val="333333"/>
        </w:rPr>
        <w:t>s</w:t>
      </w:r>
      <w:r w:rsidRPr="007E6468">
        <w:rPr>
          <w:rFonts w:cstheme="minorBidi"/>
          <w:color w:val="333333"/>
        </w:rPr>
        <w:t xml:space="preserve"> yearly seasonal </w:t>
      </w:r>
      <w:r w:rsidRPr="007E6468">
        <w:rPr>
          <w:rFonts w:cstheme="minorBidi"/>
          <w:i/>
          <w:iCs/>
          <w:color w:val="333333"/>
        </w:rPr>
        <w:t>Hematodinium</w:t>
      </w:r>
      <w:r w:rsidRPr="007E6468">
        <w:rPr>
          <w:rFonts w:cstheme="minorBidi"/>
          <w:color w:val="333333"/>
        </w:rPr>
        <w:t> sp. patent infections. Currently, little is known about the </w:t>
      </w:r>
      <w:r w:rsidRPr="007E6468">
        <w:rPr>
          <w:rFonts w:cstheme="minorBidi"/>
          <w:i/>
          <w:iCs/>
          <w:color w:val="333333"/>
        </w:rPr>
        <w:t>N. norvegicus</w:t>
      </w:r>
      <w:r w:rsidRPr="007E6468">
        <w:rPr>
          <w:rFonts w:cstheme="minorBidi"/>
          <w:color w:val="333333"/>
        </w:rPr>
        <w:t xml:space="preserve"> microbiome and </w:t>
      </w:r>
      <w:r w:rsidR="00482DE7">
        <w:rPr>
          <w:rFonts w:cstheme="minorBidi"/>
          <w:color w:val="333333"/>
        </w:rPr>
        <w:t xml:space="preserve">its </w:t>
      </w:r>
      <w:r w:rsidRPr="007E6468">
        <w:rPr>
          <w:rFonts w:cstheme="minorBidi"/>
          <w:color w:val="333333"/>
        </w:rPr>
        <w:t>potential role during </w:t>
      </w:r>
      <w:r w:rsidRPr="007E6468">
        <w:rPr>
          <w:rFonts w:cstheme="minorBidi"/>
          <w:i/>
          <w:iCs/>
          <w:color w:val="333333"/>
        </w:rPr>
        <w:t>Hematodinium</w:t>
      </w:r>
      <w:r w:rsidRPr="007E6468">
        <w:rPr>
          <w:rFonts w:cstheme="minorBidi"/>
          <w:color w:val="333333"/>
        </w:rPr>
        <w:t> sp. infection. Therefore, in this study the microbiome dynamics of </w:t>
      </w:r>
      <w:r w:rsidRPr="007E6468">
        <w:rPr>
          <w:rFonts w:cstheme="minorBidi"/>
          <w:i/>
          <w:iCs/>
          <w:color w:val="333333"/>
        </w:rPr>
        <w:t>N. norvegicus</w:t>
      </w:r>
      <w:r w:rsidRPr="007E6468">
        <w:rPr>
          <w:rFonts w:cstheme="minorBidi"/>
          <w:color w:val="333333"/>
        </w:rPr>
        <w:t> associated with </w:t>
      </w:r>
      <w:r w:rsidRPr="007E6468">
        <w:rPr>
          <w:rFonts w:cstheme="minorBidi"/>
          <w:i/>
          <w:iCs/>
          <w:color w:val="333333"/>
        </w:rPr>
        <w:t>Hematodinium</w:t>
      </w:r>
      <w:r w:rsidRPr="007E6468">
        <w:rPr>
          <w:rFonts w:cstheme="minorBidi"/>
          <w:color w:val="333333"/>
        </w:rPr>
        <w:t> sp. infection and disease progression in the haemolymph and gut</w:t>
      </w:r>
      <w:r w:rsidR="00482DE7">
        <w:rPr>
          <w:rFonts w:cstheme="minorBidi"/>
          <w:color w:val="333333"/>
        </w:rPr>
        <w:t xml:space="preserve"> were investigated</w:t>
      </w:r>
      <w:r w:rsidRPr="007268F5">
        <w:rPr>
          <w:rFonts w:cstheme="minorBidi"/>
          <w:color w:val="333333"/>
        </w:rPr>
        <w:t>. </w:t>
      </w:r>
      <w:r w:rsidRPr="007268F5">
        <w:rPr>
          <w:rFonts w:cstheme="minorBidi"/>
          <w:i/>
          <w:iCs/>
          <w:color w:val="333333"/>
        </w:rPr>
        <w:t>N. norvegicus</w:t>
      </w:r>
      <w:r w:rsidRPr="007268F5">
        <w:rPr>
          <w:rFonts w:cstheme="minorBidi"/>
          <w:color w:val="333333"/>
        </w:rPr>
        <w:t> were sampled from the Clyde Sea Area, Scotland during the peak of the </w:t>
      </w:r>
      <w:r w:rsidRPr="007268F5">
        <w:rPr>
          <w:rFonts w:cstheme="minorBidi"/>
          <w:i/>
          <w:iCs/>
          <w:color w:val="333333"/>
        </w:rPr>
        <w:t>Hematodinium</w:t>
      </w:r>
      <w:r w:rsidRPr="007268F5">
        <w:rPr>
          <w:rFonts w:cstheme="minorBidi"/>
          <w:color w:val="333333"/>
        </w:rPr>
        <w:t> sp. patent infection. The presence and intensity of </w:t>
      </w:r>
      <w:r w:rsidRPr="007268F5">
        <w:rPr>
          <w:rFonts w:cstheme="minorBidi"/>
          <w:i/>
          <w:iCs/>
          <w:color w:val="333333"/>
        </w:rPr>
        <w:t>Hematodinium</w:t>
      </w:r>
      <w:r w:rsidRPr="007268F5">
        <w:rPr>
          <w:rFonts w:cstheme="minorBidi"/>
          <w:color w:val="333333"/>
        </w:rPr>
        <w:t> sp. infection were determined using the body colour method (BCM), pleopod method (PM), histology (heart, gonads, hepatopancreas, gills and muscle) and molecular tools (PCR). Marked shifts in the bacterial richness of the haemolymph and significant alterations in the overall bacterial community composition of both tissues were observed in infected lobsters. These changes, observed even at subpatent levels of infection (only positive by PCR), indicate a prompt and persistent microbiome shift associated with </w:t>
      </w:r>
      <w:r w:rsidRPr="007268F5">
        <w:rPr>
          <w:rFonts w:cstheme="minorBidi"/>
          <w:i/>
          <w:iCs/>
          <w:color w:val="333333"/>
        </w:rPr>
        <w:t>Hematodinium</w:t>
      </w:r>
      <w:r w:rsidRPr="007268F5">
        <w:rPr>
          <w:rFonts w:cstheme="minorBidi"/>
          <w:color w:val="333333"/>
        </w:rPr>
        <w:t> sp. infection. This study offers the first insights into the pathobiome of </w:t>
      </w:r>
      <w:r w:rsidRPr="007268F5">
        <w:rPr>
          <w:rFonts w:cstheme="minorBidi"/>
          <w:i/>
          <w:iCs/>
          <w:color w:val="333333"/>
        </w:rPr>
        <w:t>N. norvegicus</w:t>
      </w:r>
      <w:r w:rsidRPr="007268F5">
        <w:rPr>
          <w:rFonts w:cstheme="minorBidi"/>
          <w:color w:val="333333"/>
        </w:rPr>
        <w:t> due to </w:t>
      </w:r>
      <w:r w:rsidRPr="007268F5">
        <w:rPr>
          <w:rFonts w:cstheme="minorBidi"/>
          <w:i/>
          <w:iCs/>
          <w:color w:val="333333"/>
        </w:rPr>
        <w:t>Hematodinium</w:t>
      </w:r>
      <w:r w:rsidRPr="007268F5">
        <w:rPr>
          <w:rFonts w:cstheme="minorBidi"/>
          <w:color w:val="333333"/>
        </w:rPr>
        <w:t> sp. infection and disease that in turn provides a foundation for further studies on the pathogenesis of this important parasitic disease.</w:t>
      </w:r>
    </w:p>
    <w:p w14:paraId="2375D56E" w14:textId="77777777" w:rsidR="00E914E0" w:rsidRPr="00FA7D47" w:rsidRDefault="00E914E0" w:rsidP="007268F5"/>
    <w:p w14:paraId="43BC58A8" w14:textId="2D8177E9" w:rsidR="0055220B" w:rsidRPr="009819CE" w:rsidRDefault="0055220B" w:rsidP="0055220B">
      <w:pPr>
        <w:pStyle w:val="Heading2"/>
        <w:rPr>
          <w:rFonts w:cstheme="minorBidi"/>
        </w:rPr>
      </w:pPr>
      <w:bookmarkStart w:id="249" w:name="_Toc204106637"/>
      <w:r w:rsidRPr="009819CE">
        <w:rPr>
          <w:rFonts w:cstheme="minorBidi"/>
        </w:rPr>
        <w:t>Introduction</w:t>
      </w:r>
      <w:bookmarkEnd w:id="249"/>
    </w:p>
    <w:p w14:paraId="2BA1FD4C" w14:textId="3122DFBC" w:rsidR="0055220B" w:rsidRPr="009819CE" w:rsidRDefault="00E4044A" w:rsidP="0055220B">
      <w:pPr>
        <w:rPr>
          <w:rFonts w:cstheme="minorBidi"/>
        </w:rPr>
      </w:pPr>
      <w:r w:rsidRPr="009819CE">
        <w:rPr>
          <w:rFonts w:cstheme="minorBidi"/>
        </w:rPr>
        <w:t>U</w:t>
      </w:r>
      <w:r w:rsidR="000F438B" w:rsidRPr="009819CE">
        <w:rPr>
          <w:rFonts w:cstheme="minorBidi"/>
        </w:rPr>
        <w:t>nderstanding</w:t>
      </w:r>
      <w:r w:rsidR="00FC5EEA" w:rsidRPr="009819CE">
        <w:rPr>
          <w:rFonts w:cstheme="minorBidi"/>
        </w:rPr>
        <w:t xml:space="preserve"> </w:t>
      </w:r>
      <w:r w:rsidR="000F438B" w:rsidRPr="009819CE">
        <w:rPr>
          <w:rFonts w:cstheme="minorBidi"/>
        </w:rPr>
        <w:t xml:space="preserve">the mechanisms sustaining parasite success is of considerable importance in both fundamental and applied biology. This has </w:t>
      </w:r>
      <w:r w:rsidR="00FC5EEA" w:rsidRPr="009819CE">
        <w:rPr>
          <w:rFonts w:cstheme="minorBidi"/>
        </w:rPr>
        <w:t>significant</w:t>
      </w:r>
      <w:r w:rsidRPr="009819CE">
        <w:rPr>
          <w:rFonts w:cstheme="minorBidi"/>
        </w:rPr>
        <w:t xml:space="preserve"> </w:t>
      </w:r>
      <w:r w:rsidR="000F438B" w:rsidRPr="009819CE">
        <w:rPr>
          <w:rFonts w:cstheme="minorBidi"/>
        </w:rPr>
        <w:t xml:space="preserve">implications for the interpretation of epidemiological investigations. </w:t>
      </w:r>
      <w:r w:rsidR="00887EA4" w:rsidRPr="009819CE">
        <w:rPr>
          <w:rFonts w:cstheme="minorBidi"/>
        </w:rPr>
        <w:t>T</w:t>
      </w:r>
      <w:r w:rsidR="00887EA4" w:rsidRPr="009819CE">
        <w:t>he traditional view of host-parasite interactions as a simple binary relationship has</w:t>
      </w:r>
      <w:r w:rsidR="00047B96" w:rsidRPr="009819CE">
        <w:t xml:space="preserve"> recently</w:t>
      </w:r>
      <w:r w:rsidR="00887EA4" w:rsidRPr="009819CE">
        <w:t xml:space="preserve"> changed.</w:t>
      </w:r>
      <w:r w:rsidR="00847B55" w:rsidRPr="009819CE">
        <w:t xml:space="preserve"> It </w:t>
      </w:r>
      <w:r w:rsidR="00482DE7">
        <w:t xml:space="preserve">is </w:t>
      </w:r>
      <w:r w:rsidR="00847B55" w:rsidRPr="009819CE">
        <w:t>now recogni</w:t>
      </w:r>
      <w:r w:rsidR="00482DE7">
        <w:t>s</w:t>
      </w:r>
      <w:r w:rsidR="00847B55" w:rsidRPr="009819CE">
        <w:t>e</w:t>
      </w:r>
      <w:r w:rsidR="00482DE7">
        <w:t>d</w:t>
      </w:r>
      <w:r w:rsidR="00847B55" w:rsidRPr="009819CE">
        <w:t xml:space="preserve"> that </w:t>
      </w:r>
      <w:r w:rsidR="0074174D" w:rsidRPr="009819CE">
        <w:t>the microbiome</w:t>
      </w:r>
      <w:r w:rsidR="007D565F" w:rsidRPr="009819CE">
        <w:t xml:space="preserve"> can</w:t>
      </w:r>
      <w:r w:rsidR="00847B55" w:rsidRPr="009819CE">
        <w:t xml:space="preserve"> play </w:t>
      </w:r>
      <w:r w:rsidR="007D565F" w:rsidRPr="009819CE">
        <w:t xml:space="preserve">a </w:t>
      </w:r>
      <w:r w:rsidR="00847B55" w:rsidRPr="009819CE">
        <w:t xml:space="preserve">crucial role in the </w:t>
      </w:r>
      <w:r w:rsidR="00847B55" w:rsidRPr="009819CE">
        <w:rPr>
          <w:rFonts w:cstheme="minorBidi"/>
        </w:rPr>
        <w:t>phenotypic</w:t>
      </w:r>
      <w:r w:rsidR="00847B55" w:rsidRPr="009819CE">
        <w:t xml:space="preserve"> changes caused by parasitic activity </w:t>
      </w:r>
      <w:r w:rsidR="0055220B" w:rsidRPr="009819CE">
        <w:rPr>
          <w:rFonts w:cstheme="minorBidi"/>
        </w:rPr>
        <w:fldChar w:fldCharType="begin">
          <w:fldData xml:space="preserve">PEVuZE5vdGU+PENpdGU+PEF1dGhvcj5EaGVpbGx5PC9BdXRob3I+PFllYXI+MjAxNTwvWWVhcj48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</w:fldData>
        </w:fldChar>
      </w:r>
      <w:r w:rsidR="008F1E86" w:rsidRPr="009819CE">
        <w:rPr>
          <w:rFonts w:cstheme="minorBidi"/>
        </w:rPr>
        <w:instrText xml:space="preserve"> ADDIN EN.CITE </w:instrText>
      </w:r>
      <w:r w:rsidR="008F1E86" w:rsidRPr="009819CE">
        <w:rPr>
          <w:rFonts w:cstheme="minorBidi"/>
        </w:rPr>
        <w:fldChar w:fldCharType="begin">
          <w:fldData xml:space="preserve">PEVuZE5vdGU+PENpdGU+PEF1dGhvcj5EaGVpbGx5PC9BdXRob3I+PFllYXI+MjAxNTwvWWVhcj48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</w:fldData>
        </w:fldChar>
      </w:r>
      <w:r w:rsidR="008F1E86" w:rsidRPr="009819CE">
        <w:rPr>
          <w:rFonts w:cstheme="minorBidi"/>
        </w:rPr>
        <w:instrText xml:space="preserve"> ADDIN EN.CITE.DATA </w:instrText>
      </w:r>
      <w:r w:rsidR="008F1E86" w:rsidRPr="009819CE">
        <w:rPr>
          <w:rFonts w:cstheme="minorBidi"/>
        </w:rPr>
      </w:r>
      <w:r w:rsidR="008F1E86" w:rsidRPr="009819CE">
        <w:rPr>
          <w:rFonts w:cstheme="minorBidi"/>
        </w:rPr>
        <w:fldChar w:fldCharType="end"/>
      </w:r>
      <w:r w:rsidR="0055220B" w:rsidRPr="009819CE">
        <w:rPr>
          <w:rFonts w:cstheme="minorBidi"/>
        </w:rPr>
      </w:r>
      <w:r w:rsidR="0055220B" w:rsidRPr="009819CE">
        <w:rPr>
          <w:rFonts w:cstheme="minorBidi"/>
        </w:rPr>
        <w:fldChar w:fldCharType="separate"/>
      </w:r>
      <w:r w:rsidR="00D50EFF" w:rsidRPr="007268F5">
        <w:rPr>
          <w:rFonts w:cstheme="minorBidi"/>
        </w:rPr>
        <w:t>(</w:t>
      </w:r>
      <w:hyperlink w:anchor="_ENREF_24" w:tooltip="Bass, 2019 #570" w:history="1">
        <w:r w:rsidR="00950097" w:rsidRPr="007268F5">
          <w:rPr>
            <w:rFonts w:cstheme="minorBidi"/>
          </w:rPr>
          <w:t>Bass et al., 2019</w:t>
        </w:r>
      </w:hyperlink>
      <w:r w:rsidR="00D50EFF" w:rsidRPr="007268F5">
        <w:rPr>
          <w:rFonts w:cstheme="minorBidi"/>
        </w:rPr>
        <w:t xml:space="preserve">; </w:t>
      </w:r>
      <w:hyperlink w:anchor="_ENREF_69" w:tooltip="Dheilly, 2015 #1256" w:history="1">
        <w:r w:rsidR="00950097" w:rsidRPr="007268F5">
          <w:rPr>
            <w:rFonts w:cstheme="minorBidi"/>
          </w:rPr>
          <w:t>Dheilly et al., 2015</w:t>
        </w:r>
      </w:hyperlink>
      <w:r w:rsidR="00D50EFF" w:rsidRPr="007268F5">
        <w:rPr>
          <w:rFonts w:cstheme="minorBidi"/>
        </w:rPr>
        <w:t xml:space="preserve">; </w:t>
      </w:r>
      <w:hyperlink w:anchor="_ENREF_75" w:tooltip="Drew, 2021 #1855" w:history="1">
        <w:r w:rsidR="00950097" w:rsidRPr="007268F5">
          <w:rPr>
            <w:rFonts w:cstheme="minorBidi"/>
          </w:rPr>
          <w:t>Drew et al., 2021</w:t>
        </w:r>
      </w:hyperlink>
      <w:r w:rsidR="00D50EFF" w:rsidRPr="007268F5">
        <w:rPr>
          <w:rFonts w:cstheme="minorBidi"/>
        </w:rPr>
        <w:t>)</w:t>
      </w:r>
      <w:r w:rsidR="0055220B" w:rsidRPr="009819CE">
        <w:rPr>
          <w:rFonts w:cstheme="minorBidi"/>
        </w:rPr>
        <w:fldChar w:fldCharType="end"/>
      </w:r>
      <w:r w:rsidR="0055220B" w:rsidRPr="009819CE">
        <w:rPr>
          <w:rFonts w:cstheme="minorBidi"/>
        </w:rPr>
        <w:t xml:space="preserve">. </w:t>
      </w:r>
      <w:r w:rsidR="00C111CC" w:rsidRPr="009819CE">
        <w:t>Parasites, acting as carriers</w:t>
      </w:r>
      <w:r w:rsidR="00C111CC" w:rsidRPr="009819CE">
        <w:rPr>
          <w:rFonts w:cstheme="minorBidi"/>
        </w:rPr>
        <w:t xml:space="preserve"> or sources of microorganisms</w:t>
      </w:r>
      <w:r w:rsidR="00C111CC" w:rsidRPr="009819CE">
        <w:t xml:space="preserve"> drive the evolution of protective microbial agents.</w:t>
      </w:r>
      <w:r w:rsidR="005C270C" w:rsidRPr="009819CE">
        <w:rPr>
          <w:rFonts w:cstheme="minorBidi"/>
        </w:rPr>
        <w:t xml:space="preserve"> </w:t>
      </w:r>
      <w:r w:rsidR="004858A3" w:rsidRPr="009819CE">
        <w:rPr>
          <w:rFonts w:cstheme="minorBidi"/>
        </w:rPr>
        <w:t>This process includes resource competition within the host microbiota, creating niches for different microbes, altering the host environment to support or hinder other microorganisms, and triggering immune responses that affect the entire microbial ecosystem</w:t>
      </w:r>
      <w:r w:rsidR="00173FED" w:rsidRPr="009819CE">
        <w:rPr>
          <w:rFonts w:cstheme="minorBidi"/>
        </w:rPr>
        <w:t xml:space="preserve"> </w:t>
      </w:r>
      <w:r w:rsidR="0055220B" w:rsidRPr="009819CE">
        <w:rPr>
          <w:rFonts w:cstheme="minorBidi"/>
        </w:rPr>
        <w:fldChar w:fldCharType="begin"/>
      </w:r>
      <w:r w:rsidR="00D50EFF" w:rsidRPr="009819CE">
        <w:rPr>
          <w:rFonts w:cstheme="minorBidi"/>
        </w:rPr>
        <w:instrText xml:space="preserve"> ADDIN EN.CITE &lt;EndNote&gt;&lt;Cite&gt;&lt;Author&gt;Dheilly&lt;/Author&gt;&lt;Year&gt;2015&lt;/Year&gt;&lt;RecNum&gt;1256&lt;/RecNum&gt;&lt;DisplayText&gt;(Dheilly et al., 2015)&lt;/DisplayText&gt;&lt;record&gt;&lt;rec-number&gt;1256&lt;/rec-number&gt;&lt;foreign-keys&gt;&lt;key app="EN" db-id="sd9wrx9fj09rx3erprsx999o0r5aprvp2zse" timestamp="1687855902" guid="37a8f5a5-eb49-404a-ae43-27397a0299c8"&gt;1256&lt;/key&gt;&lt;/foreign-keys&gt;&lt;ref-type name="Journal Article"&gt;17&lt;/ref-type&gt;&lt;contributors&gt;&lt;authors&gt;&lt;author&gt;Dheilly, Nolwenn M.&lt;/author&gt;&lt;author&gt;Poulin, Robert&lt;/author&gt;&lt;author&gt;Thomas, Frédéric&lt;/author&gt;&lt;/authors&gt;&lt;/contributors&gt;&lt;titles&gt;&lt;title&gt;Biological warfare: Microorganisms as drivers of host–parasite interactions&lt;/title&gt;&lt;secondary-title&gt;Infection, Genetics and Evolution&lt;/secondary-title&gt;&lt;/titles&gt;&lt;periodical&gt;&lt;full-title&gt;Infection, Genetics and Evolution&lt;/full-title&gt;&lt;/periodical&gt;&lt;pages&gt;251-259&lt;/pages&gt;&lt;volume&gt;34&lt;/volume&gt;&lt;keywords&gt;&lt;keyword&gt;Holobiont&lt;/keyword&gt;&lt;keyword&gt;Interaction&lt;/keyword&gt;&lt;keyword&gt;Microbiome&lt;/keyword&gt;&lt;keyword&gt;Microorganisms&lt;/keyword&gt;&lt;keyword&gt;Parasitism&lt;/keyword&gt;&lt;keyword&gt;Symbiosis&lt;/keyword&gt;&lt;/keywords&gt;&lt;dates&gt;&lt;year&gt;2015&lt;/year&gt;&lt;pub-dates&gt;&lt;date&gt;2015/8//&lt;/date&gt;&lt;/pub-dates&gt;&lt;/dates&gt;&lt;publisher&gt;Elsevier&lt;/publisher&gt;&lt;urls&gt;&lt;/urls&gt;&lt;electronic-resource-num&gt;10.1016/J.MEEGID.2015.05.027&lt;/electronic-resource-num&gt;&lt;/record&gt;&lt;/Cite&gt;&lt;/EndNote&gt;</w:instrText>
      </w:r>
      <w:r w:rsidR="0055220B" w:rsidRPr="009819CE">
        <w:rPr>
          <w:rFonts w:cstheme="minorBidi"/>
        </w:rPr>
        <w:fldChar w:fldCharType="separate"/>
      </w:r>
      <w:r w:rsidR="00D50EFF" w:rsidRPr="009819CE">
        <w:rPr>
          <w:rFonts w:cstheme="minorBidi"/>
        </w:rPr>
        <w:t>(</w:t>
      </w:r>
      <w:hyperlink w:anchor="_ENREF_69" w:tooltip="Dheilly, 2015 #1256" w:history="1">
        <w:r w:rsidR="00950097" w:rsidRPr="009819CE">
          <w:rPr>
            <w:rFonts w:cstheme="minorBidi"/>
          </w:rPr>
          <w:t>Dheilly et al., 2015</w:t>
        </w:r>
      </w:hyperlink>
      <w:r w:rsidR="00D50EFF" w:rsidRPr="009819CE">
        <w:rPr>
          <w:rFonts w:cstheme="minorBidi"/>
        </w:rPr>
        <w:t>)</w:t>
      </w:r>
      <w:r w:rsidR="0055220B" w:rsidRPr="009819CE">
        <w:rPr>
          <w:rFonts w:cstheme="minorBidi"/>
        </w:rPr>
        <w:fldChar w:fldCharType="end"/>
      </w:r>
      <w:r w:rsidR="0055220B" w:rsidRPr="009819CE">
        <w:rPr>
          <w:rFonts w:cstheme="minorBidi"/>
        </w:rPr>
        <w:t>. In this web of interactions, the microbiome plays a pivotal role in shaping the effective strategies employed by parasites.</w:t>
      </w:r>
    </w:p>
    <w:p w14:paraId="007F2567" w14:textId="411EE798" w:rsidR="0055220B" w:rsidRPr="009819CE" w:rsidRDefault="0055220B" w:rsidP="0055220B">
      <w:pPr>
        <w:ind w:right="180"/>
        <w:rPr>
          <w:rFonts w:eastAsia="Calibri" w:cstheme="minorBidi"/>
          <w:color w:val="000000" w:themeColor="text1"/>
        </w:rPr>
      </w:pPr>
      <w:r w:rsidRPr="009819CE">
        <w:rPr>
          <w:rFonts w:eastAsia="Calibri" w:cstheme="minorBidi"/>
          <w:color w:val="000000" w:themeColor="text1"/>
        </w:rPr>
        <w:t xml:space="preserve">Monitoring and characterizing bacterial communities can be a potential tool to mitigate emerging diseases. However, defining a </w:t>
      </w:r>
      <w:r w:rsidR="00D94DC1" w:rsidRPr="00FA7D47">
        <w:rPr>
          <w:rFonts w:eastAsia="Calibri" w:cstheme="minorBidi"/>
          <w:color w:val="000000" w:themeColor="text1"/>
        </w:rPr>
        <w:t>potentially “</w:t>
      </w:r>
      <w:r w:rsidRPr="009819CE">
        <w:rPr>
          <w:rFonts w:eastAsia="Calibri" w:cstheme="minorBidi"/>
          <w:color w:val="000000" w:themeColor="text1"/>
        </w:rPr>
        <w:t>healthy</w:t>
      </w:r>
      <w:r w:rsidR="00D94DC1" w:rsidRPr="00FA7D47">
        <w:rPr>
          <w:rFonts w:eastAsia="Calibri" w:cstheme="minorBidi"/>
          <w:color w:val="000000" w:themeColor="text1"/>
        </w:rPr>
        <w:t>”</w:t>
      </w:r>
      <w:r w:rsidRPr="009819CE">
        <w:rPr>
          <w:rFonts w:eastAsia="Calibri" w:cstheme="minorBidi"/>
          <w:color w:val="000000" w:themeColor="text1"/>
        </w:rPr>
        <w:t xml:space="preserve"> bacterial baseline microbiome requires extensive sampling of multiple </w:t>
      </w:r>
      <w:r w:rsidR="00D94DC1" w:rsidRPr="00FA7D47">
        <w:rPr>
          <w:rFonts w:eastAsia="Calibri" w:cstheme="minorBidi"/>
          <w:color w:val="000000" w:themeColor="text1"/>
        </w:rPr>
        <w:t>“</w:t>
      </w:r>
      <w:r w:rsidRPr="009819CE">
        <w:rPr>
          <w:rFonts w:eastAsia="Calibri" w:cstheme="minorBidi"/>
          <w:color w:val="000000" w:themeColor="text1"/>
        </w:rPr>
        <w:t>healthy</w:t>
      </w:r>
      <w:r w:rsidR="00D94DC1" w:rsidRPr="00FA7D47">
        <w:rPr>
          <w:rFonts w:eastAsia="Calibri" w:cstheme="minorBidi"/>
          <w:color w:val="000000" w:themeColor="text1"/>
        </w:rPr>
        <w:t>”</w:t>
      </w:r>
      <w:r w:rsidRPr="009819CE">
        <w:rPr>
          <w:rFonts w:eastAsia="Calibri" w:cstheme="minorBidi"/>
          <w:color w:val="000000" w:themeColor="text1"/>
        </w:rPr>
        <w:t xml:space="preserve"> individuals </w:t>
      </w:r>
      <w:r w:rsidRPr="009819CE">
        <w:rPr>
          <w:rFonts w:eastAsia="Calibri" w:cstheme="minorBidi"/>
          <w:color w:val="000000" w:themeColor="text1"/>
        </w:rPr>
        <w:fldChar w:fldCharType="begin"/>
      </w:r>
      <w:r w:rsidR="00D50EFF" w:rsidRPr="009819CE">
        <w:rPr>
          <w:rFonts w:eastAsia="Calibri" w:cstheme="minorBidi"/>
          <w:color w:val="000000" w:themeColor="text1"/>
        </w:rPr>
        <w:instrText xml:space="preserve"> ADDIN EN.CITE &lt;EndNote&gt;&lt;Cite&gt;&lt;Author&gt;Infante-Villamil&lt;/Author&gt;&lt;Year&gt;2021&lt;/Year&gt;&lt;RecNum&gt;568&lt;/RecNum&gt;&lt;DisplayText&gt;(Infante-Villamil et al., 2021)&lt;/DisplayText&gt;&lt;record&gt;&lt;rec-number&gt;568&lt;/rec-number&gt;&lt;foreign-keys&gt;&lt;key app="EN" db-id="sd9wrx9fj09rx3erprsx999o0r5aprvp2zse" timestamp="1687855901" guid="012427f7-57f5-482e-aab8-9b53ec9577b6"&gt;568&lt;/key&gt;&lt;/foreign-keys&gt;&lt;ref-type name="Journal Article"&gt;17&lt;/ref-type&gt;&lt;contributors&gt;&lt;authors&gt;&lt;author&gt;Infante-Villamil, Sandra&lt;/author&gt;&lt;author&gt;Huerlimann, Roger&lt;/author&gt;&lt;author&gt;Jerry, Dean R.&lt;/author&gt;&lt;/authors&gt;&lt;/contributors&gt;&lt;titles&gt;&lt;title&gt;Microbiome diversity and dysbiosis in aquaculture&lt;/title&gt;&lt;secondary-title&gt;Reviews in Aquaculture&lt;/secondary-title&gt;&lt;/titles&gt;&lt;periodical&gt;&lt;full-title&gt;Reviews in Aquaculture&lt;/full-title&gt;&lt;/periodical&gt;&lt;pages&gt;1077-1096&lt;/pages&gt;&lt;volume&gt;13&lt;/volume&gt;&lt;number&gt;2&lt;/number&gt;&lt;keywords&gt;&lt;keyword&gt;aquaculture&lt;/keyword&gt;&lt;keyword&gt;environment&lt;/keyword&gt;&lt;keyword&gt;high&lt;/keyword&gt;&lt;keyword&gt;microbiome&lt;/keyword&gt;&lt;keyword&gt;nutrition&lt;/keyword&gt;&lt;keyword&gt;productivity&lt;/keyword&gt;&lt;keyword&gt;throughput sequencing&lt;/keyword&gt;&lt;/keywords&gt;&lt;dates&gt;&lt;year&gt;2021&lt;/year&gt;&lt;pub-dates&gt;&lt;date&gt;2021/3//&lt;/date&gt;&lt;/pub-dates&gt;&lt;/dates&gt;&lt;publisher&gt;John Wiley &amp;amp; Sons, Ltd&lt;/publisher&gt;&lt;urls&gt;&lt;related-urls&gt;&lt;url&gt;https://onlinelibrary.wiley.com/doi/full/10.1111/raq.12513&lt;/url&gt;&lt;url&gt;https://onlinelibrary.wiley.com/doi/abs/10.1111/raq.12513&lt;/url&gt;&lt;url&gt;https://onlinelibrary.wiley.com/doi/10.1111/raq.12513&lt;/url&gt;&lt;/related-urls&gt;&lt;/urls&gt;&lt;electronic-resource-num&gt;10.1111/RAQ.12513&lt;/electronic-resource-num&gt;&lt;/record&gt;&lt;/Cite&gt;&lt;/EndNote&gt;</w:instrText>
      </w:r>
      <w:r w:rsidRPr="009819CE">
        <w:rPr>
          <w:rFonts w:eastAsia="Calibri" w:cstheme="minorBidi"/>
          <w:color w:val="000000" w:themeColor="text1"/>
        </w:rPr>
        <w:fldChar w:fldCharType="separate"/>
      </w:r>
      <w:r w:rsidR="00D50EFF" w:rsidRPr="009819CE">
        <w:rPr>
          <w:rFonts w:eastAsia="Calibri" w:cstheme="minorBidi"/>
          <w:color w:val="000000" w:themeColor="text1"/>
        </w:rPr>
        <w:t>(</w:t>
      </w:r>
      <w:hyperlink w:anchor="_ENREF_153" w:tooltip="Infante-Villamil, 2021 #568" w:history="1">
        <w:r w:rsidR="00950097" w:rsidRPr="009819CE">
          <w:rPr>
            <w:rFonts w:eastAsia="Calibri" w:cstheme="minorBidi"/>
            <w:color w:val="000000" w:themeColor="text1"/>
          </w:rPr>
          <w:t>Infante-Villamil et al., 2021</w:t>
        </w:r>
      </w:hyperlink>
      <w:r w:rsidR="00D50EFF" w:rsidRPr="009819CE">
        <w:rPr>
          <w:rFonts w:eastAsia="Calibri" w:cstheme="minorBidi"/>
          <w:color w:val="000000" w:themeColor="text1"/>
        </w:rPr>
        <w:t>)</w:t>
      </w:r>
      <w:r w:rsidRPr="009819CE">
        <w:rPr>
          <w:rFonts w:eastAsia="Calibri" w:cstheme="minorBidi"/>
          <w:color w:val="000000" w:themeColor="text1"/>
        </w:rPr>
        <w:fldChar w:fldCharType="end"/>
      </w:r>
      <w:r w:rsidRPr="009819CE">
        <w:rPr>
          <w:rFonts w:eastAsia="Calibri" w:cstheme="minorBidi"/>
          <w:color w:val="000000" w:themeColor="text1"/>
        </w:rPr>
        <w:t xml:space="preserve">. High-throughput sequencing (HTS) has made it cost-effective to characterize bacterial communities and has expanded </w:t>
      </w:r>
      <w:r w:rsidR="00146158" w:rsidRPr="00FA7D47">
        <w:rPr>
          <w:rFonts w:eastAsia="Calibri" w:cstheme="minorBidi"/>
          <w:color w:val="000000" w:themeColor="text1"/>
        </w:rPr>
        <w:t>the</w:t>
      </w:r>
      <w:r w:rsidRPr="009819CE">
        <w:rPr>
          <w:rFonts w:eastAsia="Calibri" w:cstheme="minorBidi"/>
          <w:color w:val="000000" w:themeColor="text1"/>
        </w:rPr>
        <w:t xml:space="preserve"> understanding of how microbes can influence host health </w:t>
      </w:r>
      <w:r w:rsidRPr="009819CE">
        <w:rPr>
          <w:rFonts w:eastAsia="Calibri" w:cstheme="minorBidi"/>
          <w:color w:val="000000" w:themeColor="text1"/>
        </w:rPr>
        <w:fldChar w:fldCharType="begin"/>
      </w:r>
      <w:r w:rsidR="00D50EFF" w:rsidRPr="009819CE">
        <w:rPr>
          <w:rFonts w:eastAsia="Calibri" w:cstheme="minorBidi"/>
          <w:color w:val="000000" w:themeColor="text1"/>
        </w:rPr>
        <w:instrText xml:space="preserve"> ADDIN EN.CITE &lt;EndNote&gt;&lt;Cite&gt;&lt;Author&gt;Infante-Villamil&lt;/Author&gt;&lt;Year&gt;2021&lt;/Year&gt;&lt;RecNum&gt;568&lt;/RecNum&gt;&lt;DisplayText&gt;(Infante-Villamil et al., 2021)&lt;/DisplayText&gt;&lt;record&gt;&lt;rec-number&gt;568&lt;/rec-number&gt;&lt;foreign-keys&gt;&lt;key app="EN" db-id="sd9wrx9fj09rx3erprsx999o0r5aprvp2zse" timestamp="1687855901" guid="012427f7-57f5-482e-aab8-9b53ec9577b6"&gt;568&lt;/key&gt;&lt;/foreign-keys&gt;&lt;ref-type name="Journal Article"&gt;17&lt;/ref-type&gt;&lt;contributors&gt;&lt;authors&gt;&lt;author&gt;Infante-Villamil, Sandra&lt;/author&gt;&lt;author&gt;Huerlimann, Roger&lt;/author&gt;&lt;author&gt;Jerry, Dean R.&lt;/author&gt;&lt;/authors&gt;&lt;/contributors&gt;&lt;titles&gt;&lt;title&gt;Microbiome diversity and dysbiosis in aquaculture&lt;/title&gt;&lt;secondary-title&gt;Reviews in Aquaculture&lt;/secondary-title&gt;&lt;/titles&gt;&lt;periodical&gt;&lt;full-title&gt;Reviews in Aquaculture&lt;/full-title&gt;&lt;/periodical&gt;&lt;pages&gt;1077-1096&lt;/pages&gt;&lt;volume&gt;13&lt;/volume&gt;&lt;number&gt;2&lt;/number&gt;&lt;keywords&gt;&lt;keyword&gt;aquaculture&lt;/keyword&gt;&lt;keyword&gt;environment&lt;/keyword&gt;&lt;keyword&gt;high&lt;/keyword&gt;&lt;keyword&gt;microbiome&lt;/keyword&gt;&lt;keyword&gt;nutrition&lt;/keyword&gt;&lt;keyword&gt;productivity&lt;/keyword&gt;&lt;keyword&gt;throughput sequencing&lt;/keyword&gt;&lt;/keywords&gt;&lt;dates&gt;&lt;year&gt;2021&lt;/year&gt;&lt;pub-dates&gt;&lt;date&gt;2021/3//&lt;/date&gt;&lt;/pub-dates&gt;&lt;/dates&gt;&lt;publisher&gt;John Wiley &amp;amp; Sons, Ltd&lt;/publisher&gt;&lt;urls&gt;&lt;related-urls&gt;&lt;url&gt;https://onlinelibrary.wiley.com/doi/full/10.1111/raq.12513&lt;/url&gt;&lt;url&gt;https://onlinelibrary.wiley.com/doi/abs/10.1111/raq.12513&lt;/url&gt;&lt;url&gt;https://onlinelibrary.wiley.com/doi/10.1111/raq.12513&lt;/url&gt;&lt;/related-urls&gt;&lt;/urls&gt;&lt;electronic-resource-num&gt;10.1111/RAQ.12513&lt;/electronic-resource-num&gt;&lt;/record&gt;&lt;/Cite&gt;&lt;/EndNote&gt;</w:instrText>
      </w:r>
      <w:r w:rsidRPr="009819CE">
        <w:rPr>
          <w:rFonts w:eastAsia="Calibri" w:cstheme="minorBidi"/>
          <w:color w:val="000000" w:themeColor="text1"/>
        </w:rPr>
        <w:fldChar w:fldCharType="separate"/>
      </w:r>
      <w:r w:rsidR="00D50EFF" w:rsidRPr="009819CE">
        <w:rPr>
          <w:rFonts w:eastAsia="Calibri" w:cstheme="minorBidi"/>
          <w:color w:val="000000" w:themeColor="text1"/>
        </w:rPr>
        <w:t>(</w:t>
      </w:r>
      <w:hyperlink w:anchor="_ENREF_153" w:tooltip="Infante-Villamil, 2021 #568" w:history="1">
        <w:r w:rsidR="00950097" w:rsidRPr="009819CE">
          <w:rPr>
            <w:rFonts w:eastAsia="Calibri" w:cstheme="minorBidi"/>
            <w:color w:val="000000" w:themeColor="text1"/>
          </w:rPr>
          <w:t>Infante-Villamil et al., 2021</w:t>
        </w:r>
      </w:hyperlink>
      <w:r w:rsidR="00D50EFF" w:rsidRPr="009819CE">
        <w:rPr>
          <w:rFonts w:eastAsia="Calibri" w:cstheme="minorBidi"/>
          <w:color w:val="000000" w:themeColor="text1"/>
        </w:rPr>
        <w:t>)</w:t>
      </w:r>
      <w:r w:rsidRPr="009819CE">
        <w:rPr>
          <w:rFonts w:eastAsia="Calibri" w:cstheme="minorBidi"/>
          <w:color w:val="000000" w:themeColor="text1"/>
        </w:rPr>
        <w:fldChar w:fldCharType="end"/>
      </w:r>
      <w:r w:rsidRPr="009819CE">
        <w:rPr>
          <w:rFonts w:eastAsia="Calibri" w:cstheme="minorBidi"/>
          <w:color w:val="000000" w:themeColor="text1"/>
        </w:rPr>
        <w:t xml:space="preserve">. The relationship between a host and its microbiome </w:t>
      </w:r>
      <w:r w:rsidR="001F7558" w:rsidRPr="009819CE">
        <w:rPr>
          <w:rFonts w:eastAsia="Calibri" w:cstheme="minorBidi"/>
          <w:color w:val="000000" w:themeColor="text1"/>
        </w:rPr>
        <w:t>are difficult to visualise</w:t>
      </w:r>
      <w:r w:rsidRPr="009819CE">
        <w:rPr>
          <w:rFonts w:eastAsia="Calibri" w:cstheme="minorBidi"/>
          <w:color w:val="000000" w:themeColor="text1"/>
        </w:rPr>
        <w:t xml:space="preserve">, with blurred lines between commensal microorganisms and pathogens </w:t>
      </w:r>
      <w:r w:rsidRPr="009819CE">
        <w:rPr>
          <w:rFonts w:eastAsia="Calibri" w:cstheme="minorBidi"/>
          <w:color w:val="000000" w:themeColor="text1"/>
        </w:rPr>
        <w:fldChar w:fldCharType="begin"/>
      </w:r>
      <w:r w:rsidR="00D50EFF" w:rsidRPr="009819CE">
        <w:rPr>
          <w:rFonts w:eastAsia="Calibri" w:cstheme="minorBidi"/>
          <w:color w:val="000000" w:themeColor="text1"/>
        </w:rPr>
        <w:instrText xml:space="preserve"> ADDIN EN.CITE &lt;EndNote&gt;&lt;Cite&gt;&lt;Author&gt;Egan&lt;/Author&gt;&lt;Year&gt;2016&lt;/Year&gt;&lt;RecNum&gt;379&lt;/RecNum&gt;&lt;DisplayText&gt;(Egan and Gardiner, 2016)&lt;/DisplayText&gt;&lt;record&gt;&lt;rec-number&gt;379&lt;/rec-number&gt;&lt;foreign-keys&gt;&lt;key app="EN" db-id="sd9wrx9fj09rx3erprsx999o0r5aprvp2zse" timestamp="1687855901" guid="bce07fe8-4440-41ce-834e-7aaaf47b4c9a"&gt;379&lt;/key&gt;&lt;/foreign-keys&gt;&lt;ref-type name="Journal Article"&gt;17&lt;/ref-type&gt;&lt;contributors&gt;&lt;authors&gt;&lt;author&gt;Egan, Suhelen&lt;/author&gt;&lt;author&gt;Gardiner, Melissa&lt;/author&gt;&lt;/authors&gt;&lt;/contributors&gt;&lt;titles&gt;&lt;title&gt;Microbial dysbiosis: Rethinking disease in marine ecosystems&lt;/title&gt;&lt;secondary-title&gt;Frontiers in Microbiology&lt;/secondary-title&gt;&lt;/titles&gt;&lt;periodical&gt;&lt;full-title&gt;Frontiers in Microbiology&lt;/full-title&gt;&lt;/periodical&gt;&lt;pages&gt;1-8&lt;/pages&gt;&lt;volume&gt;7&lt;/volume&gt;&lt;number&gt;JUN&lt;/number&gt;&lt;keywords&gt;&lt;keyword&gt;Dysbiosis&lt;/keyword&gt;&lt;keyword&gt;Holobiont&lt;/keyword&gt;&lt;keyword&gt;Marine diseases&lt;/keyword&gt;&lt;keyword&gt;Microbial interactions&lt;/keyword&gt;&lt;keyword&gt;Microbiome&lt;/keyword&gt;&lt;keyword&gt;Opportunistic pathogens&lt;/keyword&gt;&lt;/keywords&gt;&lt;dates&gt;&lt;year&gt;2016&lt;/year&gt;&lt;pub-dates&gt;&lt;date&gt;2016/6//&lt;/date&gt;&lt;/pub-dates&gt;&lt;/dates&gt;&lt;urls&gt;&lt;related-urls&gt;&lt;url&gt;http://journal.frontiersin.org/Article/10.3389/fmicb.2016.00991/abstract&lt;/url&gt;&lt;/related-urls&gt;&lt;/urls&gt;&lt;electronic-resource-num&gt;10.3389/fmicb.2016.00991&lt;/electronic-resource-num&gt;&lt;/record&gt;&lt;/Cite&gt;&lt;/EndNote&gt;</w:instrText>
      </w:r>
      <w:r w:rsidRPr="009819CE">
        <w:rPr>
          <w:rFonts w:eastAsia="Calibri" w:cstheme="minorBidi"/>
          <w:color w:val="000000" w:themeColor="text1"/>
        </w:rPr>
        <w:fldChar w:fldCharType="separate"/>
      </w:r>
      <w:r w:rsidR="00D50EFF" w:rsidRPr="009819CE">
        <w:rPr>
          <w:rFonts w:eastAsia="Calibri" w:cstheme="minorBidi"/>
          <w:color w:val="000000" w:themeColor="text1"/>
        </w:rPr>
        <w:t>(</w:t>
      </w:r>
      <w:hyperlink w:anchor="_ENREF_81" w:tooltip="Egan, 2016 #379" w:history="1">
        <w:r w:rsidR="00950097" w:rsidRPr="009819CE">
          <w:rPr>
            <w:rFonts w:eastAsia="Calibri" w:cstheme="minorBidi"/>
            <w:color w:val="000000" w:themeColor="text1"/>
          </w:rPr>
          <w:t>Egan and Gardiner, 2016</w:t>
        </w:r>
      </w:hyperlink>
      <w:r w:rsidR="00D50EFF" w:rsidRPr="009819CE">
        <w:rPr>
          <w:rFonts w:eastAsia="Calibri" w:cstheme="minorBidi"/>
          <w:color w:val="000000" w:themeColor="text1"/>
        </w:rPr>
        <w:t>)</w:t>
      </w:r>
      <w:r w:rsidRPr="009819CE">
        <w:rPr>
          <w:rFonts w:eastAsia="Calibri" w:cstheme="minorBidi"/>
          <w:color w:val="000000" w:themeColor="text1"/>
        </w:rPr>
        <w:fldChar w:fldCharType="end"/>
      </w:r>
      <w:r w:rsidRPr="009819CE">
        <w:rPr>
          <w:rFonts w:eastAsia="Calibri" w:cstheme="minorBidi"/>
          <w:color w:val="000000" w:themeColor="text1"/>
        </w:rPr>
        <w:t xml:space="preserve">. In the context of host-parasite interactions, these relationships become even more </w:t>
      </w:r>
      <w:r w:rsidR="00801AEE" w:rsidRPr="009819CE">
        <w:rPr>
          <w:rFonts w:eastAsia="Calibri" w:cstheme="minorBidi"/>
          <w:color w:val="000000" w:themeColor="text1"/>
        </w:rPr>
        <w:t>complicated</w:t>
      </w:r>
      <w:r w:rsidRPr="009819CE">
        <w:rPr>
          <w:rFonts w:eastAsia="Calibri" w:cstheme="minorBidi"/>
          <w:color w:val="000000" w:themeColor="text1"/>
        </w:rPr>
        <w:t>, as both hosts and parasites rely on a delicate equilibrium for survival.</w:t>
      </w:r>
    </w:p>
    <w:p w14:paraId="28CA9D43" w14:textId="01E851EC" w:rsidR="0055220B" w:rsidRPr="009819CE" w:rsidRDefault="0055220B" w:rsidP="0055220B">
      <w:pPr>
        <w:tabs>
          <w:tab w:val="left" w:pos="1620"/>
        </w:tabs>
        <w:ind w:right="180"/>
        <w:rPr>
          <w:rFonts w:cstheme="minorBidi"/>
        </w:rPr>
      </w:pPr>
      <w:r w:rsidRPr="009819CE">
        <w:rPr>
          <w:rFonts w:cstheme="minorBidi"/>
        </w:rPr>
        <w:t xml:space="preserve">Dinoflagellates belonging to the </w:t>
      </w:r>
      <w:r w:rsidR="009D03F4" w:rsidRPr="009819CE">
        <w:rPr>
          <w:rFonts w:cstheme="minorBidi"/>
          <w:i/>
        </w:rPr>
        <w:t>Hematodinium</w:t>
      </w:r>
      <w:r w:rsidRPr="009819CE">
        <w:rPr>
          <w:rFonts w:cstheme="minorBidi"/>
        </w:rPr>
        <w:t xml:space="preserve"> genus encompass three distinct species: </w:t>
      </w:r>
      <w:r w:rsidR="009D03F4" w:rsidRPr="009819CE">
        <w:rPr>
          <w:rFonts w:cstheme="minorBidi"/>
          <w:i/>
        </w:rPr>
        <w:t>Hematodinium</w:t>
      </w:r>
      <w:r w:rsidRPr="009819CE">
        <w:rPr>
          <w:rFonts w:cstheme="minorBidi"/>
        </w:rPr>
        <w:t xml:space="preserve"> </w:t>
      </w:r>
      <w:r w:rsidR="00105257" w:rsidRPr="00FA7D47">
        <w:rPr>
          <w:rFonts w:cstheme="minorBidi"/>
          <w:i/>
        </w:rPr>
        <w:t>perezi</w:t>
      </w:r>
      <w:r w:rsidRPr="009819CE">
        <w:rPr>
          <w:rFonts w:cstheme="minorBidi"/>
        </w:rPr>
        <w:t xml:space="preserve">, </w:t>
      </w:r>
      <w:r w:rsidR="009D03F4" w:rsidRPr="009819CE">
        <w:rPr>
          <w:rFonts w:cstheme="minorBidi"/>
          <w:i/>
        </w:rPr>
        <w:t>Hematodinium</w:t>
      </w:r>
      <w:r w:rsidRPr="009819CE">
        <w:rPr>
          <w:rFonts w:cstheme="minorBidi"/>
        </w:rPr>
        <w:t xml:space="preserve"> </w:t>
      </w:r>
      <w:r w:rsidR="00105257" w:rsidRPr="00FA7D47">
        <w:rPr>
          <w:rFonts w:cstheme="minorBidi"/>
          <w:i/>
        </w:rPr>
        <w:t>australis</w:t>
      </w:r>
      <w:r w:rsidRPr="009819CE">
        <w:rPr>
          <w:rFonts w:cstheme="minorBidi"/>
        </w:rPr>
        <w:t xml:space="preserve">, and </w:t>
      </w:r>
      <w:r w:rsidR="009D03F4" w:rsidRPr="009819CE">
        <w:rPr>
          <w:rFonts w:cstheme="minorBidi"/>
          <w:i/>
        </w:rPr>
        <w:t>Hematodinium</w:t>
      </w:r>
      <w:r w:rsidRPr="009819CE">
        <w:rPr>
          <w:rFonts w:cstheme="minorBidi"/>
        </w:rPr>
        <w:t xml:space="preserve"> sp. </w:t>
      </w:r>
      <w:r w:rsidR="000136E2" w:rsidRPr="009819CE">
        <w:rPr>
          <w:rFonts w:cstheme="minorBidi"/>
        </w:rPr>
        <w:t>These parasitic organisms infect a wide array of crustacean hosts globally, encompassing more than 40 distinct species</w:t>
      </w:r>
      <w:r w:rsidR="00787761" w:rsidRPr="009819CE">
        <w:rPr>
          <w:rFonts w:cstheme="minorBidi"/>
        </w:rPr>
        <w:t xml:space="preserve"> </w:t>
      </w:r>
      <w:r w:rsidR="00836889" w:rsidRPr="009819CE">
        <w:rPr>
          <w:rFonts w:cstheme="minorBidi"/>
        </w:rPr>
        <w:fldChar w:fldCharType="begin">
          <w:fldData xml:space="preserve">PEVuZE5vdGU+PENpdGU+PEF1dGhvcj5TdGVudGlmb3JkPC9BdXRob3I+PFllYXI+MjAwNTwvWWVh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PEVuZE5vdGU+PENpdGU+PEF1dGhvcj5TdGVudGlmb3JkPC9BdXRob3I+PFllYXI+MjAwNTwvWWVh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836889" w:rsidRPr="009819CE">
        <w:rPr>
          <w:rFonts w:cstheme="minorBidi"/>
        </w:rPr>
      </w:r>
      <w:r w:rsidR="00836889" w:rsidRPr="009819CE">
        <w:rPr>
          <w:rFonts w:cstheme="minorBidi"/>
        </w:rPr>
        <w:fldChar w:fldCharType="separate"/>
      </w:r>
      <w:r w:rsidR="00C6703A" w:rsidRPr="007268F5">
        <w:rPr>
          <w:rFonts w:cstheme="minorBidi"/>
        </w:rPr>
        <w:t>(</w:t>
      </w:r>
      <w:hyperlink w:anchor="_ENREF_175" w:tooltip="Li, 2021 #453" w:history="1">
        <w:r w:rsidR="00950097" w:rsidRPr="007268F5">
          <w:rPr>
            <w:rFonts w:cstheme="minorBidi"/>
          </w:rPr>
          <w:t>Li et al., 2021a</w:t>
        </w:r>
      </w:hyperlink>
      <w:r w:rsidR="00C6703A" w:rsidRPr="007268F5">
        <w:rPr>
          <w:rFonts w:cstheme="minorBidi"/>
        </w:rPr>
        <w:t xml:space="preserve">; </w:t>
      </w:r>
      <w:hyperlink w:anchor="_ENREF_310" w:tooltip="Stentiford, 2005 #156" w:history="1">
        <w:r w:rsidR="00950097" w:rsidRPr="007268F5">
          <w:rPr>
            <w:rFonts w:cstheme="minorBidi"/>
          </w:rPr>
          <w:t>Stentiford and Shields, 2005</w:t>
        </w:r>
      </w:hyperlink>
      <w:r w:rsidR="00C6703A" w:rsidRPr="007268F5">
        <w:rPr>
          <w:rFonts w:cstheme="minorBidi"/>
        </w:rPr>
        <w:t>)</w:t>
      </w:r>
      <w:r w:rsidR="00836889" w:rsidRPr="009819CE">
        <w:rPr>
          <w:rFonts w:cstheme="minorBidi"/>
        </w:rPr>
        <w:fldChar w:fldCharType="end"/>
      </w:r>
      <w:r w:rsidR="000136E2" w:rsidRPr="009819CE">
        <w:rPr>
          <w:rFonts w:cstheme="minorBidi"/>
        </w:rPr>
        <w:t xml:space="preserve">. </w:t>
      </w:r>
      <w:r w:rsidR="009D03F4" w:rsidRPr="009819CE">
        <w:rPr>
          <w:rFonts w:cstheme="minorBidi"/>
          <w:i/>
          <w:iCs/>
        </w:rPr>
        <w:t>Hematodinium</w:t>
      </w:r>
      <w:r w:rsidR="00816EDE" w:rsidRPr="009819CE">
        <w:rPr>
          <w:rFonts w:cstheme="minorBidi"/>
        </w:rPr>
        <w:t xml:space="preserve"> parasites have economic implications, as their presence can significantly reduce market value and necessitate the removal of affected animals, leading to considerable financial losses </w:t>
      </w:r>
      <w:r w:rsidRPr="009819CE">
        <w:rPr>
          <w:rFonts w:eastAsia="Calibri" w:cstheme="minorBidi"/>
          <w:color w:val="000000" w:themeColor="text1"/>
        </w:rPr>
        <w:fldChar w:fldCharType="begin"/>
      </w:r>
      <w:r w:rsidR="00A8698B" w:rsidRPr="009819CE">
        <w:rPr>
          <w:rFonts w:eastAsia="Calibri" w:cstheme="minorBidi"/>
          <w:color w:val="000000" w:themeColor="text1"/>
        </w:rPr>
        <w:instrText xml:space="preserve"> ADDIN EN.CITE &lt;EndNote&gt;&lt;Cite&gt;&lt;Author&gt;Albalat&lt;/Author&gt;&lt;Year&gt;2012&lt;/Year&gt;&lt;RecNum&gt;24&lt;/RecNum&gt;&lt;DisplayText&gt;(Albalat et al., 2012)&lt;/DisplayText&gt;&lt;record&gt;&lt;rec-number&gt;24&lt;/rec-number&gt;&lt;foreign-keys&gt;&lt;key app="EN" db-id="sd9wrx9fj09rx3erprsx999o0r5aprvp2zse" timestamp="1687855901" guid="892bba3e-9868-4f2a-b26c-8b6e87aa5680"&gt;24&lt;/key&gt;&lt;/foreign-keys&gt;&lt;ref-type name="Journal Article"&gt;17&lt;/ref-type&gt;&lt;contributors&gt;&lt;authors&gt;&lt;author&gt;Albalat, Amaya&lt;/author&gt;&lt;author&gt;Gornik, Sebastian G.&lt;/author&gt;&lt;author&gt;Beevers, Nicholas D.&lt;/author&gt;&lt;author&gt;Atkinson, Robert James A.&lt;/author&gt;&lt;author&gt;Miskin, D.&lt;/author&gt;&lt;author&gt;Neil, Douglas M.&lt;/author&gt;&lt;/authors&gt;&lt;/contributors&gt;&lt;titles&gt;&lt;title&gt;&lt;style face="italic" font="default" size="100%"&gt;Hematodinium&lt;/style&gt;&lt;style face="normal" font="default" size="100%"&gt; sp. infection in Norway lobster &lt;/style&gt;&lt;style face="italic" font="default" size="100%"&gt;Nephrops norvegicus &lt;/style&gt;&lt;style face="normal" font="default" size="100%"&gt;and its effects on meat quality&lt;/style&gt;&lt;/title&gt;&lt;secondary-title&gt;Diseases of Aquatic Organisms&lt;/secondary-title&gt;&lt;/titles&gt;&lt;periodical&gt;&lt;full-title&gt;Diseases of Aquatic Organisms&lt;/full-title&gt;&lt;/periodical&gt;&lt;pages&gt;105-112&lt;/pages&gt;&lt;volume&gt;100&lt;/volume&gt;&lt;number&gt;2&lt;/number&gt;&lt;keywords&gt;&lt;keyword&gt;Hematodinium sp.&lt;/keyword&gt;&lt;keyword&gt;Nephrops norvegicus&lt;/keyword&gt;&lt;keyword&gt;Quality-related measures&lt;/keyword&gt;&lt;keyword&gt;Sensory evaluation&lt;/keyword&gt;&lt;/keywords&gt;&lt;dates&gt;&lt;year&gt;2012&lt;/year&gt;&lt;pub-dates&gt;&lt;date&gt;2012/8//&lt;/date&gt;&lt;/pub-dates&gt;&lt;/dates&gt;&lt;urls&gt;&lt;related-urls&gt;&lt;url&gt;http://www.int-res.com/abstracts/dao/v100/n2/p105-112/&lt;/url&gt;&lt;/related-urls&gt;&lt;/urls&gt;&lt;electronic-resource-num&gt;10.3354/dao02500&lt;/electronic-resource-num&gt;&lt;/record&gt;&lt;/Cite&gt;&lt;/EndNote&gt;</w:instrText>
      </w:r>
      <w:r w:rsidRPr="009819CE">
        <w:rPr>
          <w:rFonts w:eastAsia="Calibri" w:cstheme="minorBidi"/>
          <w:color w:val="000000" w:themeColor="text1"/>
        </w:rPr>
        <w:fldChar w:fldCharType="separate"/>
      </w:r>
      <w:r w:rsidR="00A8698B" w:rsidRPr="009819CE">
        <w:rPr>
          <w:rFonts w:eastAsia="Calibri" w:cstheme="minorBidi"/>
          <w:color w:val="000000" w:themeColor="text1"/>
        </w:rPr>
        <w:t>(</w:t>
      </w:r>
      <w:hyperlink w:anchor="_ENREF_10" w:tooltip="Albalat, 2012 #24" w:history="1">
        <w:r w:rsidR="00950097" w:rsidRPr="009819CE">
          <w:rPr>
            <w:rFonts w:eastAsia="Calibri" w:cstheme="minorBidi"/>
            <w:color w:val="000000" w:themeColor="text1"/>
          </w:rPr>
          <w:t>Albalat et al., 2012</w:t>
        </w:r>
      </w:hyperlink>
      <w:r w:rsidR="00A8698B" w:rsidRPr="009819CE">
        <w:rPr>
          <w:rFonts w:eastAsia="Calibri" w:cstheme="minorBidi"/>
          <w:color w:val="000000" w:themeColor="text1"/>
        </w:rPr>
        <w:t>)</w:t>
      </w:r>
      <w:r w:rsidRPr="009819CE">
        <w:rPr>
          <w:rFonts w:eastAsia="Calibri" w:cstheme="minorBidi"/>
          <w:color w:val="000000" w:themeColor="text1"/>
        </w:rPr>
        <w:fldChar w:fldCharType="end"/>
      </w:r>
      <w:r w:rsidRPr="009819CE">
        <w:rPr>
          <w:rFonts w:eastAsia="Calibri" w:cstheme="minorBidi"/>
          <w:color w:val="000000" w:themeColor="text1"/>
        </w:rPr>
        <w:t xml:space="preserve">. </w:t>
      </w:r>
      <w:r w:rsidRPr="009819CE">
        <w:rPr>
          <w:rFonts w:cstheme="minorBidi"/>
        </w:rPr>
        <w:t xml:space="preserve">The </w:t>
      </w:r>
      <w:r w:rsidR="00C31E47" w:rsidRPr="009819CE">
        <w:rPr>
          <w:rFonts w:cstheme="minorBidi"/>
          <w:i/>
        </w:rPr>
        <w:t>Nephrops</w:t>
      </w:r>
      <w:r w:rsidRPr="009819CE">
        <w:rPr>
          <w:rFonts w:cstheme="minorBidi"/>
        </w:rPr>
        <w:t>-</w:t>
      </w:r>
      <w:r w:rsidR="009D03F4" w:rsidRPr="009819CE">
        <w:rPr>
          <w:rFonts w:cstheme="minorBidi"/>
          <w:i/>
        </w:rPr>
        <w:t>Hematodinium</w:t>
      </w:r>
      <w:r w:rsidRPr="009819CE">
        <w:rPr>
          <w:rFonts w:cstheme="minorBidi"/>
        </w:rPr>
        <w:t xml:space="preserve"> system, situated in the Clyde Sea Area (CSA) along the West Coast of Scotland, stands as a globally </w:t>
      </w:r>
      <w:r w:rsidR="00874D4C" w:rsidRPr="009819CE">
        <w:rPr>
          <w:rFonts w:cstheme="minorBidi"/>
        </w:rPr>
        <w:t>recognised</w:t>
      </w:r>
      <w:r w:rsidRPr="009819CE">
        <w:rPr>
          <w:rFonts w:cstheme="minorBidi"/>
        </w:rPr>
        <w:t xml:space="preserve"> host-parasite system, extensively investigated in various studies </w:t>
      </w:r>
      <w:r w:rsidRPr="009819CE">
        <w:rPr>
          <w:rFonts w:cstheme="minorBidi"/>
        </w:rPr>
        <w:fldChar w:fldCharType="begin">
          <w:fldData xml:space="preserve">PEVuZE5vdGU+PENpdGU+PEF1dGhvcj5CZWV2ZXJzPC9BdXRob3I+PFllYXI+MjAxMjwvWWVhcj48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</w:fldData>
        </w:fldChar>
      </w:r>
      <w:r w:rsidR="00871B4F">
        <w:rPr>
          <w:rFonts w:cstheme="minorBidi"/>
        </w:rPr>
        <w:instrText xml:space="preserve"> ADDIN EN.CITE </w:instrText>
      </w:r>
      <w:r w:rsidR="00871B4F">
        <w:rPr>
          <w:rFonts w:cstheme="minorBidi"/>
        </w:rPr>
        <w:fldChar w:fldCharType="begin">
          <w:fldData xml:space="preserve">PEVuZE5vdGU+PENpdGU+PEF1dGhvcj5CZWV2ZXJzPC9BdXRob3I+PFllYXI+MjAxMjwvWWVhcj48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28" w:tooltip="Beevers, 2010 #247" w:history="1">
        <w:r w:rsidR="00950097" w:rsidRPr="00EE7FB9">
          <w:rPr>
            <w:rFonts w:cstheme="minorBidi"/>
            <w:noProof/>
          </w:rPr>
          <w:t>Beevers, 2010</w:t>
        </w:r>
      </w:hyperlink>
      <w:r w:rsidR="00D50EFF" w:rsidRPr="00EE7FB9">
        <w:rPr>
          <w:rFonts w:cstheme="minorBidi"/>
          <w:noProof/>
        </w:rPr>
        <w:t xml:space="preserve">; </w:t>
      </w:r>
      <w:hyperlink w:anchor="_ENREF_29" w:tooltip="Beevers, 2012 #377" w:history="1">
        <w:r w:rsidR="00950097" w:rsidRPr="00EE7FB9">
          <w:rPr>
            <w:rFonts w:cstheme="minorBidi"/>
            <w:noProof/>
          </w:rPr>
          <w:t>Beevers et al., 2012</w:t>
        </w:r>
      </w:hyperlink>
      <w:r w:rsidR="00D50EFF" w:rsidRPr="00EE7FB9">
        <w:rPr>
          <w:rFonts w:cstheme="minorBidi"/>
          <w:noProof/>
        </w:rPr>
        <w:t xml:space="preserve">; </w:t>
      </w:r>
      <w:hyperlink w:anchor="_ENREF_91" w:tooltip="Field, 1992 #481" w:history="1">
        <w:r w:rsidR="00950097" w:rsidRPr="00EE7FB9">
          <w:rPr>
            <w:rFonts w:cstheme="minorBidi"/>
            <w:noProof/>
          </w:rPr>
          <w:t>Field, 1992</w:t>
        </w:r>
      </w:hyperlink>
      <w:r w:rsidR="00D50EFF" w:rsidRPr="00EE7FB9">
        <w:rPr>
          <w:rFonts w:cstheme="minorBidi"/>
          <w:noProof/>
        </w:rPr>
        <w:t xml:space="preserve">; </w:t>
      </w:r>
      <w:hyperlink w:anchor="_ENREF_95" w:tooltip="Field, 1992 #448" w:history="1">
        <w:r w:rsidR="00950097" w:rsidRPr="00EE7FB9">
          <w:rPr>
            <w:rFonts w:cstheme="minorBidi"/>
            <w:noProof/>
          </w:rPr>
          <w:t>Field et al., 1992</w:t>
        </w:r>
      </w:hyperlink>
      <w:r w:rsidR="00D50EFF" w:rsidRPr="00EE7FB9">
        <w:rPr>
          <w:rFonts w:cstheme="minorBidi"/>
          <w:noProof/>
        </w:rPr>
        <w:t xml:space="preserve">; </w:t>
      </w:r>
      <w:hyperlink w:anchor="_ENREF_120" w:tooltip="Hamilton, 2007 #160" w:history="1">
        <w:r w:rsidR="00950097" w:rsidRPr="00EE7FB9">
          <w:rPr>
            <w:rFonts w:cstheme="minorBidi"/>
            <w:noProof/>
          </w:rPr>
          <w:t>Hamilton et al., 2007</w:t>
        </w:r>
      </w:hyperlink>
      <w:r w:rsidR="00D50EFF" w:rsidRPr="00EE7FB9">
        <w:rPr>
          <w:rFonts w:cstheme="minorBidi"/>
          <w:noProof/>
        </w:rPr>
        <w:t xml:space="preserve">; </w:t>
      </w:r>
      <w:hyperlink w:anchor="_ENREF_294" w:tooltip="Smith, 2021 #451" w:history="1">
        <w:r w:rsidR="00950097" w:rsidRPr="00EE7FB9">
          <w:rPr>
            <w:rFonts w:cstheme="minorBidi"/>
            <w:noProof/>
          </w:rPr>
          <w:t>Smith, 2021</w:t>
        </w:r>
      </w:hyperlink>
      <w:r w:rsidR="00D50EFF" w:rsidRPr="00EE7FB9">
        <w:rPr>
          <w:rFonts w:cstheme="minorBidi"/>
          <w:noProof/>
        </w:rPr>
        <w:t xml:space="preserve">; </w:t>
      </w:r>
      <w:hyperlink w:anchor="_ENREF_297" w:tooltip="Stentiford, 2001 #124" w:history="1">
        <w:r w:rsidR="00950097" w:rsidRPr="00EE7FB9">
          <w:rPr>
            <w:rFonts w:cstheme="minorBidi"/>
            <w:noProof/>
          </w:rPr>
          <w:t>Stentiford et al., 2001a</w:t>
        </w:r>
      </w:hyperlink>
      <w:r w:rsidR="00D50EFF" w:rsidRPr="00EE7FB9">
        <w:rPr>
          <w:rFonts w:cstheme="minorBidi"/>
          <w:noProof/>
        </w:rPr>
        <w:t xml:space="preserve">; </w:t>
      </w:r>
      <w:hyperlink w:anchor="_ENREF_298" w:tooltip="Stentiford, 2000 #281" w:history="1">
        <w:r w:rsidR="00950097" w:rsidRPr="00EE7FB9">
          <w:rPr>
            <w:rFonts w:cstheme="minorBidi"/>
            <w:noProof/>
          </w:rPr>
          <w:t>Stentiford, 2000</w:t>
        </w:r>
      </w:hyperlink>
      <w:r w:rsidR="00D50EFF" w:rsidRPr="00EE7FB9">
        <w:rPr>
          <w:rFonts w:cstheme="minorBidi"/>
          <w:noProof/>
        </w:rPr>
        <w:t>)</w:t>
      </w:r>
      <w:r w:rsidRPr="009819CE">
        <w:rPr>
          <w:rFonts w:cstheme="minorBidi"/>
        </w:rPr>
        <w:fldChar w:fldCharType="end"/>
      </w:r>
      <w:r w:rsidRPr="009819CE">
        <w:rPr>
          <w:rFonts w:cstheme="minorBidi"/>
        </w:rPr>
        <w:t xml:space="preserve">. Infected </w:t>
      </w:r>
      <w:r w:rsidR="00C31E47" w:rsidRPr="009819CE">
        <w:rPr>
          <w:rFonts w:cstheme="minorBidi"/>
          <w:i/>
        </w:rPr>
        <w:t>Nephrops</w:t>
      </w:r>
      <w:r w:rsidRPr="009819CE">
        <w:rPr>
          <w:rFonts w:cstheme="minorBidi"/>
        </w:rPr>
        <w:t xml:space="preserve"> exhibit distinct visual indicators, including carapace hyperpigmentation, evident through the body colour method (BCM) </w:t>
      </w:r>
      <w:r w:rsidRPr="009819CE">
        <w:rPr>
          <w:rFonts w:cstheme="minorBidi"/>
        </w:rPr>
        <w:fldChar w:fldCharType="begin">
          <w:fldData xml:space="preserve">PEVuZE5vdGU+PENpdGU+PEF1dGhvcj5GaWVsZDwvQXV0aG9yPjxZZWFyPjE5OTI8L1llYXI+PFJl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PEVuZE5vdGU+PENpdGU+PEF1dGhvcj5GaWVsZDwvQXV0aG9yPjxZZWFyPjE5OTI8L1llYXI+PFJl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91" w:tooltip="Field, 1992 #481" w:history="1">
        <w:r w:rsidR="00950097" w:rsidRPr="007268F5">
          <w:rPr>
            <w:rFonts w:cstheme="minorBidi"/>
          </w:rPr>
          <w:t>Field, 1992</w:t>
        </w:r>
      </w:hyperlink>
      <w:r w:rsidR="00D50EFF" w:rsidRPr="007268F5">
        <w:rPr>
          <w:rFonts w:cstheme="minorBidi"/>
        </w:rPr>
        <w:t xml:space="preserve">; </w:t>
      </w:r>
      <w:hyperlink w:anchor="_ENREF_304" w:tooltip="Stentiford, 2011 #364" w:history="1">
        <w:r w:rsidR="00950097" w:rsidRPr="007268F5">
          <w:rPr>
            <w:rFonts w:cstheme="minorBidi"/>
          </w:rPr>
          <w:t>Stentiford and Neil, 2011</w:t>
        </w:r>
      </w:hyperlink>
      <w:r w:rsidR="00D50EFF" w:rsidRPr="007268F5">
        <w:rPr>
          <w:rFonts w:cstheme="minorBidi"/>
        </w:rPr>
        <w:t>)</w:t>
      </w:r>
      <w:r w:rsidRPr="009819CE">
        <w:rPr>
          <w:rFonts w:cstheme="minorBidi"/>
        </w:rPr>
        <w:fldChar w:fldCharType="end"/>
      </w:r>
      <w:r w:rsidR="00027E84" w:rsidRPr="009819CE">
        <w:rPr>
          <w:rFonts w:cstheme="minorBidi"/>
        </w:rPr>
        <w:t xml:space="preserve"> </w:t>
      </w:r>
      <w:r w:rsidR="00027E84" w:rsidRPr="007268F5">
        <w:rPr>
          <w:rFonts w:cstheme="minorBidi"/>
        </w:rPr>
        <w:t>(</w:t>
      </w:r>
      <w:r w:rsidR="008152D0" w:rsidRPr="007268F5">
        <w:rPr>
          <w:rFonts w:cstheme="minorBidi"/>
        </w:rPr>
        <w:t>s</w:t>
      </w:r>
      <w:r w:rsidR="00027E84" w:rsidRPr="007268F5">
        <w:rPr>
          <w:rFonts w:cstheme="minorBidi"/>
        </w:rPr>
        <w:t xml:space="preserve">ee section </w:t>
      </w:r>
      <w:r w:rsidR="00027E84" w:rsidRPr="007268F5">
        <w:rPr>
          <w:rFonts w:cstheme="minorBidi"/>
          <w:b/>
          <w:bCs/>
        </w:rPr>
        <w:fldChar w:fldCharType="begin"/>
      </w:r>
      <w:r w:rsidR="00027E84" w:rsidRPr="007268F5">
        <w:rPr>
          <w:rFonts w:cstheme="minorBidi"/>
          <w:b/>
          <w:bCs/>
        </w:rPr>
        <w:instrText xml:space="preserve"> REF _Ref81663099 \r \h </w:instrText>
      </w:r>
      <w:r w:rsidR="008152D0" w:rsidRPr="007268F5">
        <w:rPr>
          <w:rFonts w:cstheme="minorBidi"/>
          <w:b/>
          <w:bCs/>
        </w:rPr>
        <w:instrText xml:space="preserve"> \* MERGEFORMAT </w:instrText>
      </w:r>
      <w:r w:rsidR="00027E84" w:rsidRPr="007268F5">
        <w:rPr>
          <w:rFonts w:cstheme="minorBidi"/>
          <w:b/>
          <w:bCs/>
        </w:rPr>
      </w:r>
      <w:r w:rsidR="00027E84" w:rsidRPr="007268F5">
        <w:rPr>
          <w:rFonts w:cstheme="minorBidi"/>
          <w:b/>
          <w:bCs/>
        </w:rPr>
        <w:fldChar w:fldCharType="separate"/>
      </w:r>
      <w:r w:rsidR="008549FC">
        <w:rPr>
          <w:rFonts w:cstheme="minorBidi"/>
          <w:b/>
          <w:bCs/>
        </w:rPr>
        <w:t>1.3.4.1</w:t>
      </w:r>
      <w:r w:rsidR="00027E84" w:rsidRPr="007268F5">
        <w:rPr>
          <w:rFonts w:cstheme="minorBidi"/>
          <w:b/>
          <w:bCs/>
        </w:rPr>
        <w:fldChar w:fldCharType="end"/>
      </w:r>
      <w:r w:rsidR="00027E84" w:rsidRPr="007268F5">
        <w:rPr>
          <w:rFonts w:cstheme="minorBidi"/>
        </w:rPr>
        <w:t>)</w:t>
      </w:r>
      <w:r w:rsidRPr="009819CE">
        <w:rPr>
          <w:rFonts w:cstheme="minorBidi"/>
        </w:rPr>
        <w:t xml:space="preserve">, and a milky-white appearance of the haemolymph. As the infection progresses, parasites accumulate within the pleopod cuticle. </w:t>
      </w:r>
      <w:r w:rsidR="002952DC" w:rsidRPr="009819CE">
        <w:rPr>
          <w:rFonts w:cstheme="minorBidi"/>
        </w:rPr>
        <w:t>Using</w:t>
      </w:r>
      <w:r w:rsidRPr="009819CE">
        <w:rPr>
          <w:rFonts w:cstheme="minorBidi"/>
        </w:rPr>
        <w:t xml:space="preserve"> low-power light microscopy to analyse the pleopods, a 4-point scale, known as the pleopod method (PM), is employed to categorize the disease's severity </w:t>
      </w:r>
      <w:r w:rsidRPr="009819CE">
        <w:rPr>
          <w:rFonts w:cstheme="minorBidi"/>
        </w:rPr>
        <w:fldChar w:fldCharType="begin"/>
      </w:r>
      <w:r w:rsidR="00ED1A9E" w:rsidRPr="009819CE">
        <w:rPr>
          <w:rFonts w:cstheme="minorBidi"/>
        </w:rPr>
        <w:instrText xml:space="preserve"> ADDIN EN.CITE &lt;EndNote&gt;&lt;Cite&gt;&lt;Author&gt;Field&lt;/Author&gt;&lt;Year&gt;1992&lt;/Year&gt;&lt;RecNum&gt;481&lt;/RecNum&gt;&lt;DisplayText&gt;(Field, 1992)&lt;/DisplayText&gt;&lt;record&gt;&lt;rec-number&gt;481&lt;/rec-number&gt;&lt;foreign-keys&gt;&lt;key app="EN" db-id="sd9wrx9fj09rx3erprsx999o0r5aprvp2zse" timestamp="1687855901" guid="89a40d57-b2a7-470e-a1df-3a065bc86624"&gt;481&lt;/key&gt;&lt;/foreign-keys&gt;&lt;ref-type name="Thesis"&gt;32&lt;/ref-type&gt;&lt;contributors&gt;&lt;authors&gt;&lt;author&gt;Field, Robert Henry&lt;/author&gt;&lt;/authors&gt;&lt;/contributors&gt;&lt;titles&gt;&lt;title&gt;&lt;style face="normal" font="default" size="100%"&gt;The control of escape behaviour in, and the histopathology of, the Norway lobster, &lt;/style&gt;&lt;style face="italic" font="default" size="100%"&gt;Nephrops norvegicus&lt;/style&gt;&lt;style face="normal" font="default" size="100%"&gt; (L.)&lt;/style&gt;&lt;/title&gt;&lt;secondary-title&gt;Department of Zoology.&lt;/secondary-title&gt;&lt;/titles&gt;&lt;pages&gt;1-252&lt;/pages&gt;&lt;volume&gt;PhD thesis&lt;/volume&gt;&lt;dates&gt;&lt;year&gt;1992&lt;/year&gt;&lt;pub-dates&gt;&lt;date&gt;1992/2//&lt;/date&gt;&lt;/pub-dates&gt;&lt;/dates&gt;&lt;pub-location&gt;Glasgow&lt;/pub-location&gt;&lt;publisher&gt;University of Glasgow&lt;/publisher&gt;&lt;urls&gt;&lt;related-urls&gt;&lt;url&gt;http://theses.gla.ac.uk/2889/&lt;/url&gt;&lt;/related-urls&gt;&lt;/urls&gt;&lt;/record&gt;&lt;/Cite&gt;&lt;/EndNote&gt;</w:instrText>
      </w:r>
      <w:r w:rsidRPr="009819CE">
        <w:rPr>
          <w:rFonts w:cstheme="minorBidi"/>
        </w:rPr>
        <w:fldChar w:fldCharType="separate"/>
      </w:r>
      <w:r w:rsidR="00D50EFF" w:rsidRPr="007268F5">
        <w:rPr>
          <w:rFonts w:cstheme="minorBidi"/>
        </w:rPr>
        <w:t>(</w:t>
      </w:r>
      <w:hyperlink w:anchor="_ENREF_91" w:tooltip="Field, 1992 #481" w:history="1">
        <w:r w:rsidR="00950097" w:rsidRPr="007268F5">
          <w:rPr>
            <w:rFonts w:cstheme="minorBidi"/>
          </w:rPr>
          <w:t>Field, 1992</w:t>
        </w:r>
      </w:hyperlink>
      <w:r w:rsidR="00D50EFF" w:rsidRPr="007268F5">
        <w:rPr>
          <w:rFonts w:cstheme="minorBidi"/>
        </w:rPr>
        <w:t>)</w:t>
      </w:r>
      <w:r w:rsidRPr="009819CE">
        <w:rPr>
          <w:rFonts w:cstheme="minorBidi"/>
        </w:rPr>
        <w:fldChar w:fldCharType="end"/>
      </w:r>
      <w:r w:rsidR="008152D0" w:rsidRPr="009819CE">
        <w:rPr>
          <w:rFonts w:cstheme="minorBidi"/>
        </w:rPr>
        <w:t xml:space="preserve"> (see section </w:t>
      </w:r>
      <w:r w:rsidR="008152D0" w:rsidRPr="009819CE">
        <w:rPr>
          <w:rFonts w:cstheme="minorBidi"/>
          <w:b/>
          <w:bCs/>
        </w:rPr>
        <w:fldChar w:fldCharType="begin"/>
      </w:r>
      <w:r w:rsidR="008152D0" w:rsidRPr="009819CE">
        <w:rPr>
          <w:rFonts w:cstheme="minorBidi"/>
          <w:b/>
          <w:bCs/>
        </w:rPr>
        <w:instrText xml:space="preserve"> REF _Ref169629959 \r \h  \* MERGEFORMAT </w:instrText>
      </w:r>
      <w:r w:rsidR="008152D0" w:rsidRPr="009819CE">
        <w:rPr>
          <w:rFonts w:cstheme="minorBidi"/>
          <w:b/>
          <w:bCs/>
        </w:rPr>
      </w:r>
      <w:r w:rsidR="008152D0" w:rsidRPr="009819CE">
        <w:rPr>
          <w:rFonts w:cstheme="minorBidi"/>
          <w:b/>
          <w:bCs/>
        </w:rPr>
        <w:fldChar w:fldCharType="separate"/>
      </w:r>
      <w:r w:rsidR="008549FC">
        <w:rPr>
          <w:rFonts w:cstheme="minorBidi"/>
          <w:b/>
          <w:bCs/>
        </w:rPr>
        <w:t>1.3.4.2</w:t>
      </w:r>
      <w:r w:rsidR="008152D0" w:rsidRPr="009819CE">
        <w:rPr>
          <w:rFonts w:cstheme="minorBidi"/>
          <w:b/>
          <w:bCs/>
        </w:rPr>
        <w:fldChar w:fldCharType="end"/>
      </w:r>
      <w:r w:rsidR="008152D0" w:rsidRPr="009819CE">
        <w:rPr>
          <w:rFonts w:cstheme="minorBidi"/>
        </w:rPr>
        <w:t>)</w:t>
      </w:r>
      <w:r w:rsidRPr="009819CE">
        <w:rPr>
          <w:rFonts w:cstheme="minorBidi"/>
        </w:rPr>
        <w:t xml:space="preserve">. The progression of infection involves the rapid proliferation of distinct parasite morphotypes within the haemolymph and tissues, including the hepatopancreas. This proliferation leads to a reduction in circulating immune cells, known as haemocyte counts </w:t>
      </w:r>
      <w:r w:rsidRPr="009819CE">
        <w:rPr>
          <w:rFonts w:eastAsia="Calibri" w:cstheme="minorBidi"/>
          <w:color w:val="000000" w:themeColor="text1"/>
        </w:rPr>
        <w:fldChar w:fldCharType="begin"/>
      </w:r>
      <w:r w:rsidR="00ED1A9E" w:rsidRPr="009819CE">
        <w:rPr>
          <w:rFonts w:eastAsia="Calibri" w:cstheme="minorBidi"/>
          <w:color w:val="000000" w:themeColor="text1"/>
        </w:rPr>
        <w:instrText xml:space="preserve"> ADDIN EN.CITE &lt;EndNote&gt;&lt;Cite&gt;&lt;Author&gt;Hoppes&lt;/Author&gt;&lt;Year&gt;2011&lt;/Year&gt;&lt;RecNum&gt;240&lt;/RecNum&gt;&lt;DisplayText&gt;(Hoppes, 2011)&lt;/DisplayText&gt;&lt;record&gt;&lt;rec-number&gt;240&lt;/rec-number&gt;&lt;foreign-keys&gt;&lt;key app="EN" db-id="sd9wrx9fj09rx3erprsx999o0r5aprvp2zse" timestamp="1687855901" guid="040ac96a-cbbc-48b1-b2d0-6acb646863e5"&gt;240&lt;/key&gt;&lt;/foreign-keys&gt;&lt;ref-type name="Thesis"&gt;32&lt;/ref-type&gt;&lt;contributors&gt;&lt;authors&gt;&lt;author&gt;Hoppes, Jodi Leigh&lt;/author&gt;&lt;/authors&gt;&lt;/contributors&gt;&lt;titles&gt;&lt;title&gt;&lt;style face="normal" font="default" size="100%"&gt;Effects of the dinoflagellate parasite &lt;/style&gt;&lt;style face="italic" font="default" size="100%"&gt;Hematodinium&lt;/style&gt;&lt;style face="normal" font="default" size="100%"&gt; sp . on the immune response of its crustacean hosts&lt;/style&gt;&lt;/title&gt;&lt;secondary-title&gt;School of Ocean and Earth Science&lt;/secondary-title&gt;&lt;/titles&gt;&lt;pages&gt;1-217&lt;/pages&gt;&lt;volume&gt;PhD thesis&lt;/volume&gt;&lt;dates&gt;&lt;year&gt;2011&lt;/year&gt;&lt;pub-dates&gt;&lt;date&gt;17/04/2013&lt;/date&gt;&lt;/pub-dates&gt;&lt;/dates&gt;&lt;publisher&gt;University of Southampton&lt;/publisher&gt;&lt;urls&gt;&lt;related-urls&gt;&lt;url&gt;http://eprints.soton.ac.uk/id/eprint/351289&lt;/url&gt;&lt;/related-urls&gt;&lt;/urls&gt;&lt;/record&gt;&lt;/Cite&gt;&lt;/EndNote&gt;</w:instrText>
      </w:r>
      <w:r w:rsidRPr="009819CE">
        <w:rPr>
          <w:rFonts w:eastAsia="Calibri" w:cstheme="minorBidi"/>
          <w:color w:val="000000" w:themeColor="text1"/>
        </w:rPr>
        <w:fldChar w:fldCharType="separate"/>
      </w:r>
      <w:r w:rsidR="00D50EFF" w:rsidRPr="007268F5">
        <w:rPr>
          <w:rFonts w:eastAsia="Calibri" w:cstheme="minorBidi"/>
          <w:color w:val="000000" w:themeColor="text1"/>
        </w:rPr>
        <w:t>(</w:t>
      </w:r>
      <w:hyperlink w:anchor="_ENREF_137" w:tooltip="Hoppes, 2011 #240" w:history="1">
        <w:r w:rsidR="00950097" w:rsidRPr="007268F5">
          <w:rPr>
            <w:rFonts w:eastAsia="Calibri" w:cstheme="minorBidi"/>
            <w:color w:val="000000" w:themeColor="text1"/>
          </w:rPr>
          <w:t>Hoppes, 2011</w:t>
        </w:r>
      </w:hyperlink>
      <w:r w:rsidR="00D50EFF" w:rsidRPr="007268F5">
        <w:rPr>
          <w:rFonts w:eastAsia="Calibri" w:cstheme="minorBidi"/>
          <w:color w:val="000000" w:themeColor="text1"/>
        </w:rPr>
        <w:t>)</w:t>
      </w:r>
      <w:r w:rsidRPr="009819CE">
        <w:rPr>
          <w:rFonts w:eastAsia="Calibri" w:cstheme="minorBidi"/>
          <w:color w:val="000000" w:themeColor="text1"/>
        </w:rPr>
        <w:fldChar w:fldCharType="end"/>
      </w:r>
      <w:r w:rsidRPr="009819CE">
        <w:rPr>
          <w:rFonts w:eastAsia="Calibri" w:cstheme="minorBidi"/>
          <w:color w:val="000000" w:themeColor="text1"/>
        </w:rPr>
        <w:t xml:space="preserve">. </w:t>
      </w:r>
      <w:r w:rsidRPr="009819CE">
        <w:rPr>
          <w:rFonts w:cstheme="minorBidi"/>
        </w:rPr>
        <w:t>Advanced colonization result</w:t>
      </w:r>
      <w:r w:rsidR="005424B3" w:rsidRPr="009819CE">
        <w:rPr>
          <w:rFonts w:cstheme="minorBidi"/>
        </w:rPr>
        <w:t>s</w:t>
      </w:r>
      <w:r w:rsidRPr="009819CE">
        <w:rPr>
          <w:rFonts w:cstheme="minorBidi"/>
        </w:rPr>
        <w:t xml:space="preserve"> in lethargy and morbidity among infected animals, attributed to factors like metabolic exhaustion</w:t>
      </w:r>
      <w:r w:rsidRPr="009819CE">
        <w:rPr>
          <w:rFonts w:cstheme="minorBidi"/>
          <w:iCs/>
        </w:rPr>
        <w:t xml:space="preserve">, depletion of nutrients, and systemic organ failure </w:t>
      </w:r>
      <w:r w:rsidRPr="009819CE">
        <w:rPr>
          <w:rFonts w:cstheme="minorBidi"/>
        </w:rPr>
        <w:t xml:space="preserve"> </w:t>
      </w:r>
      <w:r w:rsidRPr="009819CE">
        <w:rPr>
          <w:rFonts w:cstheme="minorBidi"/>
        </w:rPr>
        <w:fldChar w:fldCharType="begin">
          <w:fldData xml:space="preserve">PEVuZE5vdGU+PENpdGU+PEF1dGhvcj5CZWxsPC9BdXRob3I+PFllYXI+MjAxMzwvWWVhcj48UmVj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=
</w:fldData>
        </w:fldChar>
      </w:r>
      <w:r w:rsidR="00EE7FB9">
        <w:rPr>
          <w:rFonts w:cstheme="minorBidi"/>
        </w:rPr>
        <w:instrText xml:space="preserve"> ADDIN EN.CITE </w:instrText>
      </w:r>
      <w:r w:rsidR="00EE7FB9">
        <w:rPr>
          <w:rFonts w:cstheme="minorBidi"/>
        </w:rPr>
        <w:fldChar w:fldCharType="begin">
          <w:fldData xml:space="preserve">PEVuZE5vdGU+PENpdGU+PEF1dGhvcj5CZWxsPC9BdXRob3I+PFllYXI+MjAxMzwvWWVhcj48UmVj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=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31" w:tooltip="Bell, 2013 #454" w:history="1">
        <w:r w:rsidR="00950097" w:rsidRPr="00EE7FB9">
          <w:rPr>
            <w:rFonts w:cstheme="minorBidi"/>
            <w:noProof/>
          </w:rPr>
          <w:t>Bell et al., 2013</w:t>
        </w:r>
      </w:hyperlink>
      <w:r w:rsidR="00D50EFF" w:rsidRPr="00EE7FB9">
        <w:rPr>
          <w:rFonts w:cstheme="minorBidi"/>
          <w:noProof/>
        </w:rPr>
        <w:t xml:space="preserve">; </w:t>
      </w:r>
      <w:hyperlink w:anchor="_ENREF_298" w:tooltip="Stentiford, 2000 #281" w:history="1">
        <w:r w:rsidR="00950097" w:rsidRPr="00EE7FB9">
          <w:rPr>
            <w:rFonts w:cstheme="minorBidi"/>
            <w:noProof/>
          </w:rPr>
          <w:t>Stentiford, 2000</w:t>
        </w:r>
      </w:hyperlink>
      <w:r w:rsidR="00D50EFF" w:rsidRPr="00EE7FB9">
        <w:rPr>
          <w:rFonts w:cstheme="minorBidi"/>
          <w:noProof/>
        </w:rPr>
        <w:t xml:space="preserve">; </w:t>
      </w:r>
      <w:hyperlink w:anchor="_ENREF_308" w:tooltip="Stentiford, 2000 #575" w:history="1">
        <w:r w:rsidR="00950097" w:rsidRPr="00EE7FB9">
          <w:rPr>
            <w:rFonts w:cstheme="minorBidi"/>
            <w:noProof/>
          </w:rPr>
          <w:t>Stentiford et al., 2000b</w:t>
        </w:r>
      </w:hyperlink>
      <w:r w:rsidR="00D50EFF" w:rsidRPr="00EE7FB9">
        <w:rPr>
          <w:rFonts w:cstheme="minorBidi"/>
          <w:noProof/>
        </w:rPr>
        <w:t xml:space="preserve">; </w:t>
      </w:r>
      <w:hyperlink w:anchor="_ENREF_321" w:tooltip="Taylor, 1996 #353" w:history="1">
        <w:r w:rsidR="00950097" w:rsidRPr="00EE7FB9">
          <w:rPr>
            <w:rFonts w:cstheme="minorBidi"/>
            <w:noProof/>
          </w:rPr>
          <w:t>Taylor et al., 1996</w:t>
        </w:r>
      </w:hyperlink>
      <w:r w:rsidR="00D50EFF" w:rsidRPr="00EE7FB9">
        <w:rPr>
          <w:rFonts w:cstheme="minorBidi"/>
          <w:noProof/>
        </w:rPr>
        <w:t>)</w:t>
      </w:r>
      <w:r w:rsidRPr="009819CE">
        <w:rPr>
          <w:rFonts w:cstheme="minorBidi"/>
        </w:rPr>
        <w:fldChar w:fldCharType="end"/>
      </w:r>
      <w:r w:rsidRPr="009819CE">
        <w:rPr>
          <w:rFonts w:cstheme="minorBidi"/>
        </w:rPr>
        <w:t xml:space="preserve">, along with localized tissue necrosis, including muscle tissue </w:t>
      </w:r>
      <w:r w:rsidRPr="009819CE">
        <w:rPr>
          <w:rFonts w:cstheme="minorBidi"/>
        </w:rPr>
        <w:fldChar w:fldCharType="begin"/>
      </w:r>
      <w:r w:rsidR="00E348BC" w:rsidRPr="009819CE">
        <w:rPr>
          <w:rFonts w:cstheme="minorBidi"/>
        </w:rPr>
        <w:instrText xml:space="preserve"> ADDIN EN.CITE &lt;EndNote&gt;&lt;Cite&gt;&lt;Author&gt;Stentiford&lt;/Author&gt;&lt;Year&gt;2000&lt;/Year&gt;&lt;RecNum&gt;1264&lt;/RecNum&gt;&lt;DisplayText&gt;(Stentiford and Neil, 2000)&lt;/DisplayText&gt;&lt;record&gt;&lt;rec-number&gt;1264&lt;/rec-number&gt;&lt;foreign-keys&gt;&lt;key app="EN" db-id="sd9wrx9fj09rx3erprsx999o0r5aprvp2zse" timestamp="1687855902" guid="5f204e7a-abee-4d3e-8084-703661d6c39f"&gt;1264&lt;/key&gt;&lt;/foreign-keys&gt;&lt;ref-type name="Journal Article"&gt;17&lt;/ref-type&gt;&lt;contributors&gt;&lt;authors&gt;&lt;author&gt;Stentiford, Grant D.&lt;/author&gt;&lt;author&gt;Neil, Douglas M.&lt;/author&gt;&lt;/authors&gt;&lt;/contributors&gt;&lt;titles&gt;&lt;title&gt;&lt;style face="normal" font="default" size="100%"&gt;A rapid onset, post-capture muscle necrosis in the Norway lobster, &lt;/style&gt;&lt;style face="italic" font="default" size="100%"&gt;Nephrops norvegicus&lt;/style&gt;&lt;style face="normal" font="default" size="100%"&gt; (L.) from the West coast of Scotland&lt;/style&gt;&lt;/title&gt;&lt;secondary-title&gt;Journal of Fish Diseases&lt;/secondary-title&gt;&lt;/titles&gt;&lt;periodical&gt;&lt;full-title&gt;Journal of Fish Diseases&lt;/full-title&gt;&lt;/periodical&gt;&lt;pages&gt;251-263&lt;/pages&gt;&lt;volume&gt;23&lt;/volume&gt;&lt;number&gt;4&lt;/number&gt;&lt;dates&gt;&lt;year&gt;2000&lt;/year&gt;&lt;pub-dates&gt;&lt;date&gt;2000/7//&lt;/date&gt;&lt;/pub-dates&gt;&lt;/dates&gt;&lt;publisher&gt;John Wiley &amp;amp; Sons, Ltd&lt;/publisher&gt;&lt;urls&gt;&lt;related-urls&gt;&lt;url&gt;https://onlinelibrary.wiley.com/doi/full/10.1046/j.1365-2761.2000.00241.x&lt;/url&gt;&lt;url&gt;https://onlinelibrary.wiley.com/doi/abs/10.1046/j.1365-2761.2000.00241.x&lt;/url&gt;&lt;url&gt;https://onlinelibrary.wiley.com/doi/10.1046/j.1365-2761.2000.00241.x&lt;/url&gt;&lt;/related-urls&gt;&lt;/urls&gt;&lt;electronic-resource-num&gt;10.1046/J.1365-2761.2000.00241.X&lt;/electronic-resource-num&gt;&lt;/record&gt;&lt;/Cite&gt;&lt;/EndNote&gt;</w:instrText>
      </w:r>
      <w:r w:rsidRPr="009819CE">
        <w:rPr>
          <w:rFonts w:cstheme="minorBidi"/>
        </w:rPr>
        <w:fldChar w:fldCharType="separate"/>
      </w:r>
      <w:r w:rsidR="00D50EFF" w:rsidRPr="007268F5">
        <w:rPr>
          <w:rFonts w:cstheme="minorBidi"/>
        </w:rPr>
        <w:t>(</w:t>
      </w:r>
      <w:hyperlink w:anchor="_ENREF_303" w:tooltip="Stentiford, 2000 #1264" w:history="1">
        <w:r w:rsidR="00950097" w:rsidRPr="007268F5">
          <w:rPr>
            <w:rFonts w:cstheme="minorBidi"/>
          </w:rPr>
          <w:t>Stentiford and Neil, 2000</w:t>
        </w:r>
      </w:hyperlink>
      <w:r w:rsidR="00D50EFF" w:rsidRPr="007268F5">
        <w:rPr>
          <w:rFonts w:cstheme="minorBidi"/>
        </w:rPr>
        <w:t>)</w:t>
      </w:r>
      <w:r w:rsidRPr="009819CE">
        <w:rPr>
          <w:rFonts w:cstheme="minorBidi"/>
        </w:rPr>
        <w:fldChar w:fldCharType="end"/>
      </w:r>
      <w:r w:rsidRPr="009819CE">
        <w:rPr>
          <w:rFonts w:cstheme="minorBidi"/>
        </w:rPr>
        <w:t xml:space="preserve">, infections of this nature often prove fatal </w:t>
      </w:r>
      <w:r w:rsidRPr="009819CE">
        <w:rPr>
          <w:rFonts w:cstheme="minorBidi"/>
        </w:rPr>
        <w:fldChar w:fldCharType="begin"/>
      </w:r>
      <w:r w:rsidR="00871B4F">
        <w:rPr>
          <w:rFonts w:cstheme="minorBidi"/>
        </w:rPr>
        <w:instrText xml:space="preserve"> ADDIN EN.CITE &lt;EndNote&gt;&lt;Cite&gt;&lt;Author&gt;Rowley&lt;/Author&gt;&lt;Year&gt;2015&lt;/Year&gt;&lt;RecNum&gt;78&lt;/RecNum&gt;&lt;DisplayText&gt;(Rowley et al., 2015)&lt;/DisplayText&gt;&lt;record&gt;&lt;rec-number&gt;78&lt;/rec-number&gt;&lt;foreign-keys&gt;&lt;key app="EN" db-id="sd9wrx9fj09rx3erprsx999o0r5aprvp2zse" timestamp="1687855901" guid="22f8c08e-30c6-4ac4-b93b-3ae98640279e"&gt;78&lt;/key&gt;&lt;/foreign-keys&gt;&lt;ref-type name="Journal Article"&gt;17&lt;/ref-type&gt;&lt;contributors&gt;&lt;authors&gt;&lt;author&gt;Rowley, Andrew F.&lt;/author&gt;&lt;author&gt;Smith, Amanda L.&lt;/author&gt;&lt;author&gt;Davies, Charlotte E.&lt;/author&gt;&lt;/authors&gt;&lt;/contributors&gt;&lt;titles&gt;&lt;title&gt;&lt;style face="normal" font="default" size="100%"&gt;How does the dinoflagellate parasite &lt;/style&gt;&lt;style face="italic" font="default" size="100%"&gt;Hematodinium&lt;/style&gt;&lt;style face="normal" font="default" size="100%"&gt; outsmart the immune system of its crustacean hosts?&lt;/style&gt;&lt;/title&gt;&lt;secondary-title&gt;PLOS Pathogens&lt;/secondary-title&gt;&lt;/titles&gt;&lt;periodical&gt;&lt;full-title&gt;PLOS Pathogens&lt;/full-title&gt;&lt;/periodical&gt;&lt;pages&gt;1-9&lt;/pages&gt;&lt;volume&gt;11&lt;/volume&gt;&lt;number&gt;5&lt;/number&gt;&lt;dates&gt;&lt;year&gt;2015&lt;/year&gt;&lt;/dates&gt;&lt;urls&gt;&lt;related-urls&gt;&lt;url&gt;https://doi.org/10.1371/journal.ppat.1004724&lt;/url&gt;&lt;/related-urls&gt;&lt;/urls&gt;&lt;electronic-resource-num&gt;10.1371/journal.ppat.1004724&lt;/electronic-resource-num&gt;&lt;/record&gt;&lt;/Cite&gt;&lt;/EndNote&gt;</w:instrText>
      </w:r>
      <w:r w:rsidRPr="009819CE">
        <w:rPr>
          <w:rFonts w:cstheme="minorBidi"/>
        </w:rPr>
        <w:fldChar w:fldCharType="separate"/>
      </w:r>
      <w:r w:rsidR="00D50EFF" w:rsidRPr="009819CE">
        <w:rPr>
          <w:rFonts w:cstheme="minorBidi"/>
          <w:noProof/>
        </w:rPr>
        <w:t>(</w:t>
      </w:r>
      <w:hyperlink w:anchor="_ENREF_260" w:tooltip="Rowley, 2015 #78" w:history="1">
        <w:r w:rsidR="00950097" w:rsidRPr="009819CE">
          <w:rPr>
            <w:rFonts w:cstheme="minorBidi"/>
            <w:noProof/>
          </w:rPr>
          <w:t>Rowley et al., 2015</w:t>
        </w:r>
      </w:hyperlink>
      <w:r w:rsidR="00D50EFF" w:rsidRPr="009819CE">
        <w:rPr>
          <w:rFonts w:cstheme="minorBidi"/>
          <w:noProof/>
        </w:rPr>
        <w:t>)</w:t>
      </w:r>
      <w:r w:rsidRPr="009819CE">
        <w:rPr>
          <w:rFonts w:cstheme="minorBidi"/>
        </w:rPr>
        <w:fldChar w:fldCharType="end"/>
      </w:r>
      <w:r w:rsidRPr="009819CE">
        <w:rPr>
          <w:rFonts w:cstheme="minorBidi"/>
        </w:rPr>
        <w:t>.</w:t>
      </w:r>
    </w:p>
    <w:p w14:paraId="154F7C83" w14:textId="64ED554D" w:rsidR="0055220B" w:rsidRPr="009819CE" w:rsidRDefault="0055220B" w:rsidP="00AE75BF">
      <w:pPr>
        <w:tabs>
          <w:tab w:val="left" w:pos="1620"/>
        </w:tabs>
        <w:ind w:right="180"/>
        <w:rPr>
          <w:rFonts w:eastAsia="Calibri" w:cstheme="minorBidi"/>
          <w:color w:val="000000" w:themeColor="text1"/>
        </w:rPr>
      </w:pPr>
      <w:r w:rsidRPr="009819CE">
        <w:rPr>
          <w:rFonts w:cstheme="minorBidi"/>
        </w:rPr>
        <w:t>Numerous investigations have explored the role of the microbiome in shaping the health and disease dynamics of economically important tropical decapod species, as comprehensively reviewed by</w:t>
      </w:r>
      <w:r w:rsidR="00F86D7A" w:rsidRPr="009819CE">
        <w:rPr>
          <w:rFonts w:cstheme="minorBidi"/>
        </w:rPr>
        <w:t xml:space="preserve"> </w:t>
      </w:r>
      <w:hyperlink w:anchor="_ENREF_135" w:tooltip="Holt, 2021 #1740" w:history="1">
        <w:r w:rsidR="00950097" w:rsidRPr="009819CE">
          <w:rPr>
            <w:rFonts w:cstheme="minorBidi"/>
          </w:rPr>
          <w:fldChar w:fldCharType="begin"/>
        </w:r>
        <w:r w:rsidR="00950097" w:rsidRPr="009819CE">
          <w:rPr>
            <w:rFonts w:cstheme="minorBidi"/>
          </w:rPr>
          <w:instrText xml:space="preserve"> ADDIN EN.CITE &lt;EndNote&gt;&lt;Cite AuthorYear="1"&gt;&lt;Author&gt;Holt&lt;/Author&gt;&lt;Year&gt;2021&lt;/Year&gt;&lt;RecNum&gt;1740&lt;/RecNum&gt;&lt;DisplayText&gt;Holt et al. (2021)&lt;/DisplayText&gt;&lt;record&gt;&lt;rec-number&gt;1740&lt;/rec-number&gt;&lt;foreign-keys&gt;&lt;key app="EN" db-id="sd9wrx9fj09rx3erprsx999o0r5aprvp2zse" timestamp="1688382296" guid="fe6a6771-f34a-491f-b350-7006edabab56"&gt;1740&lt;/key&gt;&lt;/foreign-keys&gt;&lt;ref-type name="Journal Article"&gt;17&lt;/ref-type&gt;&lt;contributors&gt;&lt;authors&gt;&lt;author&gt;Holt, Corey C.&lt;/author&gt;&lt;author&gt;Bass, David&lt;/author&gt;&lt;author&gt;Stentiford, Grant D.&lt;/author&gt;&lt;author&gt;van der Giezen, Mark&lt;/author&gt;&lt;/authors&gt;&lt;/contributors&gt;&lt;titles&gt;&lt;title&gt;Understanding the role of the shrimp gut microbiome in health and disease&lt;/title&gt;&lt;secondary-title&gt;Journal of Invertebrate Pathology&lt;/secondary-title&gt;&lt;/titles&gt;&lt;periodical&gt;&lt;full-title&gt;Journal of Invertebrate Pathology&lt;/full-title&gt;&lt;/periodical&gt;&lt;pages&gt;107387&lt;/pages&gt;&lt;volume&gt;186&lt;/volume&gt;&lt;keywords&gt;&lt;keyword&gt;Shrimp&lt;/keyword&gt;&lt;keyword&gt;Gut microbiota&lt;/keyword&gt;&lt;keyword&gt;Gut microbiome&lt;/keyword&gt;&lt;keyword&gt;Aquaculture&lt;/keyword&gt;&lt;/keywords&gt;&lt;dates&gt;&lt;year&gt;2021&lt;/year&gt;&lt;pub-dates&gt;&lt;date&gt;2021/11/01/&lt;/date&gt;&lt;/pub-dates&gt;&lt;/dates&gt;&lt;isbn&gt;0022-2011&lt;/isbn&gt;&lt;urls&gt;&lt;related-urls&gt;&lt;url&gt;https://www.sciencedirect.com/science/article/pii/S0022201120300938&lt;/url&gt;&lt;/related-urls&gt;&lt;/urls&gt;&lt;electronic-resource-num&gt;https://doi.org/10.1016/j.jip.2020.107387&lt;/electronic-resource-num&gt;&lt;/record&gt;&lt;/Cite&gt;&lt;/EndNote&gt;</w:instrText>
        </w:r>
        <w:r w:rsidR="00950097" w:rsidRPr="009819CE">
          <w:rPr>
            <w:rFonts w:cstheme="minorBidi"/>
          </w:rPr>
          <w:fldChar w:fldCharType="separate"/>
        </w:r>
        <w:r w:rsidR="00950097" w:rsidRPr="007268F5">
          <w:rPr>
            <w:rFonts w:cstheme="minorBidi"/>
          </w:rPr>
          <w:t>Holt et al. (2021)</w:t>
        </w:r>
        <w:r w:rsidR="00950097" w:rsidRPr="009819CE">
          <w:rPr>
            <w:rFonts w:cstheme="minorBidi"/>
          </w:rPr>
          <w:fldChar w:fldCharType="end"/>
        </w:r>
      </w:hyperlink>
      <w:r w:rsidRPr="009819CE">
        <w:rPr>
          <w:rFonts w:cstheme="minorBidi"/>
        </w:rPr>
        <w:t xml:space="preserve">. </w:t>
      </w:r>
      <w:r w:rsidR="00AE75BF" w:rsidRPr="009819CE">
        <w:rPr>
          <w:rFonts w:cstheme="minorBidi"/>
        </w:rPr>
        <w:t xml:space="preserve">Pathogenesis often begins with interactions between the gut microbiota and the host immune system, usually due to reduced bacterial diversity or an imbalance in specific </w:t>
      </w:r>
      <w:r w:rsidRPr="009819CE">
        <w:rPr>
          <w:rFonts w:cstheme="minorBidi"/>
        </w:rPr>
        <w:t xml:space="preserve">microbial taxa </w:t>
      </w:r>
      <w:r w:rsidRPr="009819CE">
        <w:rPr>
          <w:rFonts w:cstheme="minorBidi"/>
        </w:rPr>
        <w:fldChar w:fldCharType="begin"/>
      </w:r>
      <w:r w:rsidR="00871B4F">
        <w:rPr>
          <w:rFonts w:cstheme="minorBidi"/>
        </w:rPr>
        <w:instrText xml:space="preserve"> ADDIN EN.CITE &lt;EndNote&gt;&lt;Cite&gt;&lt;Author&gt;Holt&lt;/Author&gt;&lt;Year&gt;2020&lt;/Year&gt;&lt;RecNum&gt;214&lt;/RecNum&gt;&lt;DisplayText&gt;(Holt et al., 2020)&lt;/DisplayText&gt;&lt;record&gt;&lt;rec-number&gt;214&lt;/rec-number&gt;&lt;foreign-keys&gt;&lt;key app="EN" db-id="sd9wrx9fj09rx3erprsx999o0r5aprvp2zse" timestamp="1687855901" guid="cc184777-353f-4ebf-8789-1d9f1885c895"&gt;214&lt;/key&gt;&lt;/foreign-keys&gt;&lt;ref-type name="Journal Article"&gt;17&lt;/ref-type&gt;&lt;contributors&gt;&lt;authors&gt;&lt;author&gt;Holt, Corey C.&lt;/author&gt;&lt;author&gt;van der Giezen, Mark&lt;/author&gt;&lt;author&gt;Daniels, Carly L.&lt;/author&gt;&lt;author&gt;Stentiford, Grant D.&lt;/author&gt;&lt;author&gt;Bass, David&lt;/author&gt;&lt;/authors&gt;&lt;/contributors&gt;&lt;titles&gt;&lt;title&gt;&lt;style face="normal" font="default" size="100%"&gt;Spatial and temporal axes impact ecology of the gut microbiome in juvenile European lobster (&lt;/style&gt;&lt;style face="italic" font="default" size="100%"&gt;Homarus gammarus&lt;/style&gt;&lt;style face="normal" font="default" size="100%"&gt;)&lt;/style&gt;&lt;/title&gt;&lt;secondary-title&gt;Multidisciplinary Journal of Microbial Ecology&lt;/secondary-title&gt;&lt;/titles&gt;&lt;periodical&gt;&lt;full-title&gt;Multidisciplinary Journal of Microbial Ecology&lt;/full-title&gt;&lt;/periodical&gt;&lt;pages&gt;531-543&lt;/pages&gt;&lt;volume&gt;14&lt;/volume&gt;&lt;number&gt;2&lt;/number&gt;&lt;dates&gt;&lt;year&gt;2020&lt;/year&gt;&lt;/dates&gt;&lt;publisher&gt;Springer US&lt;/publisher&gt;&lt;urls&gt;&lt;related-urls&gt;&lt;url&gt;http://dx.doi.org/10.1038/s41396-019-0546-1&lt;/url&gt;&lt;/related-urls&gt;&lt;/urls&gt;&lt;electronic-resource-num&gt;10.1038/s41396-019-0546-1&lt;/electronic-resource-num&gt;&lt;/record&gt;&lt;/Cite&gt;&lt;/EndNote&gt;</w:instrText>
      </w:r>
      <w:r w:rsidRPr="009819CE">
        <w:rPr>
          <w:rFonts w:cstheme="minorBidi"/>
        </w:rPr>
        <w:fldChar w:fldCharType="separate"/>
      </w:r>
      <w:r w:rsidR="007563B4" w:rsidRPr="00871B4F">
        <w:rPr>
          <w:rFonts w:cstheme="minorBidi"/>
          <w:noProof/>
        </w:rPr>
        <w:t>(</w:t>
      </w:r>
      <w:hyperlink w:anchor="_ENREF_136" w:tooltip="Holt, 2020 #214" w:history="1">
        <w:r w:rsidR="00950097" w:rsidRPr="00871B4F">
          <w:rPr>
            <w:rFonts w:cstheme="minorBidi"/>
            <w:noProof/>
          </w:rPr>
          <w:t>Holt et al., 2020</w:t>
        </w:r>
      </w:hyperlink>
      <w:r w:rsidR="007563B4" w:rsidRPr="00871B4F">
        <w:rPr>
          <w:rFonts w:cstheme="minorBidi"/>
          <w:noProof/>
        </w:rPr>
        <w:t>)</w:t>
      </w:r>
      <w:r w:rsidRPr="009819CE">
        <w:rPr>
          <w:rFonts w:cstheme="minorBidi"/>
        </w:rPr>
        <w:fldChar w:fldCharType="end"/>
      </w:r>
      <w:r w:rsidRPr="009819CE">
        <w:rPr>
          <w:rFonts w:cstheme="minorBidi"/>
        </w:rPr>
        <w:t xml:space="preserve">. </w:t>
      </w:r>
      <w:r w:rsidR="009D03F4" w:rsidRPr="009819CE">
        <w:rPr>
          <w:rFonts w:cstheme="minorBidi"/>
          <w:i/>
          <w:iCs/>
        </w:rPr>
        <w:t>Hematodinium</w:t>
      </w:r>
      <w:r w:rsidR="00D76606" w:rsidRPr="009819CE">
        <w:rPr>
          <w:rFonts w:cstheme="minorBidi"/>
        </w:rPr>
        <w:t xml:space="preserve"> infections induce a substantial pathological alteration in the host's physiology, particularly within the haemolymph.</w:t>
      </w:r>
      <w:r w:rsidRPr="009819CE">
        <w:rPr>
          <w:rFonts w:eastAsia="Calibri" w:cstheme="minorBidi"/>
          <w:color w:val="000000" w:themeColor="text1"/>
        </w:rPr>
        <w:t xml:space="preserve"> </w:t>
      </w:r>
      <w:r w:rsidR="00D56764" w:rsidRPr="009819CE">
        <w:rPr>
          <w:rFonts w:eastAsia="Calibri" w:cstheme="minorBidi"/>
          <w:color w:val="000000" w:themeColor="text1"/>
        </w:rPr>
        <w:t xml:space="preserve"> </w:t>
      </w:r>
      <w:r w:rsidR="00095B64" w:rsidRPr="009819CE">
        <w:rPr>
          <w:rFonts w:eastAsia="Calibri" w:cstheme="minorBidi"/>
          <w:color w:val="000000" w:themeColor="text1"/>
        </w:rPr>
        <w:t>A large parasite population changes the normally clear haemolymph, making it thicker and milky or cream-like</w:t>
      </w:r>
      <w:r w:rsidR="00A92A7E" w:rsidRPr="009819CE">
        <w:rPr>
          <w:rFonts w:eastAsia="Calibri" w:cstheme="minorBidi"/>
          <w:color w:val="000000" w:themeColor="text1"/>
        </w:rPr>
        <w:t xml:space="preserve"> </w:t>
      </w:r>
      <w:r w:rsidRPr="009819CE">
        <w:rPr>
          <w:rFonts w:cstheme="minorBidi"/>
        </w:rPr>
        <w:t xml:space="preserve">(as documented by </w:t>
      </w:r>
      <w:hyperlink w:anchor="_ENREF_289" w:tooltip="Small, 2012 #1259" w:history="1">
        <w:r w:rsidR="00950097" w:rsidRPr="009819CE">
          <w:rPr>
            <w:rFonts w:cstheme="minorBidi"/>
          </w:rPr>
          <w:fldChar w:fldCharType="begin"/>
        </w:r>
        <w:r w:rsidR="00950097" w:rsidRPr="009819CE">
          <w:rPr>
            <w:rFonts w:cstheme="minorBidi"/>
          </w:rPr>
          <w:instrText xml:space="preserve"> ADDIN EN.CITE &lt;EndNote&gt;&lt;Cite AuthorYear="1"&gt;&lt;Author&gt;Small&lt;/Author&gt;&lt;Year&gt;2012&lt;/Year&gt;&lt;RecNum&gt;1259&lt;/RecNum&gt;&lt;DisplayText&gt;Small (2012)&lt;/DisplayText&gt;&lt;record&gt;&lt;rec-number&gt;1259&lt;/rec-number&gt;&lt;foreign-keys&gt;&lt;key app="EN" db-id="sd9wrx9fj09rx3erprsx999o0r5aprvp2zse" timestamp="1687855902" guid="22f1a5a4-9c02-4a53-a741-9d1b63feca55"&gt;1259&lt;/key&gt;&lt;/foreign-keys&gt;&lt;ref-type name="Journal Article"&gt;17&lt;/ref-type&gt;&lt;contributors&gt;&lt;authors&gt;&lt;author&gt;Small, Hamish J.&lt;/author&gt;&lt;/authors&gt;&lt;/contributors&gt;&lt;titles&gt;&lt;title&gt;&lt;style face="normal" font="default" size="100%"&gt;Advances in our understanding of the global diversity and distribution of &lt;/style&gt;&lt;style face="italic" font="default" size="100%"&gt;Hematodinium&lt;/style&gt;&lt;style face="normal" font="default" size="100%"&gt; spp. – Significant pathogens of commercially exploited crustaceans&lt;/style&gt;&lt;/title&gt;&lt;secondary-title&gt;Journal of Invertebrate Pathology&lt;/secondary-title&gt;&lt;/titles&gt;&lt;periodical&gt;&lt;full-title&gt;Journal of Invertebrate Pathology&lt;/full-title&gt;&lt;/periodical&gt;&lt;pages&gt;234-246&lt;/pages&gt;&lt;volume&gt;110&lt;/volume&gt;&lt;number&gt;2&lt;/number&gt;&lt;keywords&gt;&lt;keyword&gt;Crustacean&lt;/keyword&gt;&lt;keyword&gt;Disease&lt;/keyword&gt;&lt;keyword&gt;Global&lt;/keyword&gt;&lt;keyword&gt;Hematodinium&lt;/keyword&gt;&lt;keyword&gt;Parasite&lt;/keyword&gt;&lt;/keywords&gt;&lt;dates&gt;&lt;year&gt;2012&lt;/year&gt;&lt;pub-dates&gt;&lt;date&gt;2012/6//&lt;/date&gt;&lt;/pub-dates&gt;&lt;/dates&gt;&lt;publisher&gt;Academic Press&lt;/publisher&gt;&lt;urls&gt;&lt;/urls&gt;&lt;electronic-resource-num&gt;10.1016/J.JIP.2012.03.012&lt;/electronic-resource-num&gt;&lt;/record&gt;&lt;/Cite&gt;&lt;/EndNote&gt;</w:instrText>
        </w:r>
        <w:r w:rsidR="00950097" w:rsidRPr="009819CE">
          <w:rPr>
            <w:rFonts w:cstheme="minorBidi"/>
          </w:rPr>
          <w:fldChar w:fldCharType="separate"/>
        </w:r>
        <w:r w:rsidR="00950097" w:rsidRPr="009819CE">
          <w:rPr>
            <w:rFonts w:cstheme="minorBidi"/>
          </w:rPr>
          <w:t>Small (2012)</w:t>
        </w:r>
        <w:r w:rsidR="00950097" w:rsidRPr="009819CE">
          <w:rPr>
            <w:rFonts w:cstheme="minorBidi"/>
          </w:rPr>
          <w:fldChar w:fldCharType="end"/>
        </w:r>
      </w:hyperlink>
      <w:r w:rsidRPr="009819CE">
        <w:rPr>
          <w:rFonts w:cstheme="minorBidi"/>
        </w:rPr>
        <w:t>)</w:t>
      </w:r>
      <w:r w:rsidRPr="009819CE">
        <w:rPr>
          <w:rFonts w:eastAsia="Calibri" w:cstheme="minorBidi"/>
          <w:color w:val="000000" w:themeColor="text1"/>
        </w:rPr>
        <w:t xml:space="preserve">. </w:t>
      </w:r>
      <w:r w:rsidRPr="009819CE">
        <w:rPr>
          <w:rFonts w:cstheme="minorBidi"/>
        </w:rPr>
        <w:t xml:space="preserve">While traditional understanding maintained that the haemolymph of </w:t>
      </w:r>
      <w:r w:rsidR="00D94DC1" w:rsidRPr="00FA7D47">
        <w:rPr>
          <w:rFonts w:cstheme="minorBidi"/>
        </w:rPr>
        <w:t>“healthy”</w:t>
      </w:r>
      <w:r w:rsidRPr="009819CE">
        <w:rPr>
          <w:rFonts w:cstheme="minorBidi"/>
        </w:rPr>
        <w:t xml:space="preserve"> invertebrates was free of microbes, </w:t>
      </w:r>
      <w:r w:rsidR="00CB680E" w:rsidRPr="009819CE">
        <w:rPr>
          <w:rFonts w:cstheme="minorBidi"/>
        </w:rPr>
        <w:t>recent</w:t>
      </w:r>
      <w:r w:rsidRPr="009819CE">
        <w:rPr>
          <w:rFonts w:cstheme="minorBidi"/>
        </w:rPr>
        <w:t xml:space="preserve"> research now demonstrates that the haemolymph of crustaceans is anything but sterile (</w:t>
      </w:r>
      <w:hyperlink w:anchor="_ENREF_160" w:tooltip="Jung, 2021 #464" w:history="1">
        <w:r w:rsidR="00950097" w:rsidRPr="009819CE">
          <w:rPr>
            <w:rFonts w:cstheme="minorBidi"/>
          </w:rPr>
          <w:fldChar w:fldCharType="begin"/>
        </w:r>
        <w:r w:rsidR="00950097" w:rsidRPr="009819CE">
          <w:rPr>
            <w:rFonts w:cstheme="minorBidi"/>
          </w:rPr>
          <w:instrText xml:space="preserve"> ADDIN EN.CITE &lt;EndNote&gt;&lt;Cite AuthorYear="1"&gt;&lt;Author&gt;Jung&lt;/Author&gt;&lt;Year&gt;2021&lt;/Year&gt;&lt;RecNum&gt;464&lt;/RecNum&gt;&lt;DisplayText&gt;Jung et al. (2021)&lt;/DisplayText&gt;&lt;record&gt;&lt;rec-number&gt;464&lt;/rec-number&gt;&lt;foreign-keys&gt;&lt;key app="EN" db-id="sd9wrx9fj09rx3erprsx999o0r5aprvp2zse" timestamp="1687855901" guid="e0792720-aebe-4644-964a-e7d13adabfe8"&gt;464&lt;/key&gt;&lt;/foreign-keys&gt;&lt;ref-type name="Journal Article"&gt;17&lt;/ref-type&gt;&lt;contributors&gt;&lt;authors&gt;&lt;author&gt;Jung, Jibom&lt;/author&gt;&lt;author&gt;Gillevet, P. M.&lt;/author&gt;&lt;author&gt;Sikaroodi, Masoumeh&lt;/author&gt;&lt;author&gt;Andrews, Jamal&lt;/author&gt;&lt;author&gt;Song, Bongkeun&lt;/author&gt;&lt;author&gt;Shields, Jeffrey D.&lt;/author&gt;&lt;/authors&gt;&lt;/contributors&gt;&lt;titles&gt;&lt;title&gt;&lt;style face="normal" font="default" size="100%"&gt;Comparative study of the hemolymph microbiome between live and recently dead American lobsters &lt;/style&gt;&lt;style face="italic" font="default" size="100%"&gt;Homarus americanus&lt;/style&gt;&lt;/title&gt;&lt;secondary-title&gt;Diseases of Aquatic Organisms&lt;/secondary-title&gt;&lt;/titles&gt;&lt;periodical&gt;&lt;full-title&gt;Diseases of Aquatic Organisms&lt;/full-title&gt;&lt;/periodical&gt;&lt;pages&gt;147-158&lt;/pages&gt;&lt;volume&gt;143&lt;/volume&gt;&lt;keywords&gt;&lt;keyword&gt;Bacteria&lt;/keyword&gt;&lt;keyword&gt;Biodiversity&lt;/keyword&gt;&lt;keyword&gt;Comparative microbiomes&lt;/keyword&gt;&lt;keyword&gt;Decapoda&lt;/keyword&gt;&lt;keyword&gt;Gut microbiome&lt;/keyword&gt;&lt;keyword&gt;Microorganism&lt;/keyword&gt;&lt;keyword&gt;Succession&lt;/keyword&gt;&lt;keyword&gt;Vibrio&lt;/keyword&gt;&lt;/keywords&gt;&lt;dates&gt;&lt;year&gt;2021&lt;/year&gt;&lt;pub-dates&gt;&lt;date&gt;2021/2//&lt;/date&gt;&lt;/pub-dates&gt;&lt;/dates&gt;&lt;publisher&gt;Inter-Research Science Center&lt;/publisher&gt;&lt;urls&gt;&lt;related-urls&gt;&lt;url&gt;http://dx.doi.org/10.3354/dao03568&lt;/url&gt;&lt;url&gt;https://www.int-res.com/abstracts/dao/v143/p147-158/&lt;/url&gt;&lt;/related-urls&gt;&lt;/urls&gt;&lt;electronic-resource-num&gt;10.3354/dao03568&lt;/electronic-resource-num&gt;&lt;/record&gt;&lt;/Cite&gt;&lt;/EndNote&gt;</w:instrText>
        </w:r>
        <w:r w:rsidR="00950097" w:rsidRPr="009819CE">
          <w:rPr>
            <w:rFonts w:cstheme="minorBidi"/>
          </w:rPr>
          <w:fldChar w:fldCharType="separate"/>
        </w:r>
        <w:r w:rsidR="00950097" w:rsidRPr="007268F5">
          <w:rPr>
            <w:rFonts w:cstheme="minorBidi"/>
          </w:rPr>
          <w:t>Jung et al. (2021)</w:t>
        </w:r>
        <w:r w:rsidR="00950097" w:rsidRPr="009819CE">
          <w:rPr>
            <w:rFonts w:cstheme="minorBidi"/>
          </w:rPr>
          <w:fldChar w:fldCharType="end"/>
        </w:r>
      </w:hyperlink>
      <w:r w:rsidRPr="009819CE">
        <w:rPr>
          <w:rFonts w:cstheme="minorBidi"/>
        </w:rPr>
        <w:t xml:space="preserve">. Instead, it hosts a wide variety of bacterial components. </w:t>
      </w:r>
      <w:r w:rsidR="00D1423B" w:rsidRPr="009819CE">
        <w:rPr>
          <w:rFonts w:cstheme="minorBidi"/>
        </w:rPr>
        <w:t>Notably, bacteria in crustacean haemolymph can benefit host health.</w:t>
      </w:r>
      <w:r w:rsidR="00A07369" w:rsidRPr="009819CE">
        <w:rPr>
          <w:rFonts w:cstheme="minorBidi"/>
        </w:rPr>
        <w:t xml:space="preserve"> These effects include the regulation of immune responses, the synthesis of antimicrobial compounds, and the competitive exclusion of pathogens</w:t>
      </w:r>
      <w:r w:rsidR="000C5231">
        <w:rPr>
          <w:rFonts w:cstheme="minorBidi"/>
        </w:rPr>
        <w:t xml:space="preserve"> </w:t>
      </w:r>
      <w:r w:rsidR="002B4E27">
        <w:rPr>
          <w:rFonts w:cstheme="minorBidi"/>
        </w:rPr>
        <w:fldChar w:fldCharType="begin"/>
      </w:r>
      <w:r w:rsidR="002B4E27">
        <w:rPr>
          <w:rFonts w:cstheme="minorBidi"/>
        </w:rPr>
        <w:instrText xml:space="preserve"> ADDIN EN.CITE &lt;EndNote&gt;&lt;Cite&gt;&lt;Author&gt;Alimin&lt;/Author&gt;&lt;Year&gt;2024&lt;/Year&gt;&lt;RecNum&gt;1970&lt;/RecNum&gt;&lt;DisplayText&gt;(Alimin et al., 2024)&lt;/DisplayText&gt;&lt;record&gt;&lt;rec-number&gt;1970&lt;/rec-number&gt;&lt;foreign-keys&gt;&lt;key app="EN" db-id="sd9wrx9fj09rx3erprsx999o0r5aprvp2zse" timestamp="1751300941" guid="22da9954-0e6c-4136-8c6f-55dbfe3090d5"&gt;1970&lt;/key&gt;&lt;/foreign-keys&gt;&lt;ref-type name="Journal Article"&gt;17&lt;/ref-type&gt;&lt;contributors&gt;&lt;authors&gt;&lt;author&gt;Alimin, Ade Wahyul Fajri&lt;/author&gt;&lt;author&gt;Yusoff, Nor Asma Husna&lt;/author&gt;&lt;author&gt;Kadriah, Ince Ayu Khairana&lt;/author&gt;&lt;author&gt;Atmomarsono, Muharijadi&lt;/author&gt;&lt;author&gt;Parenrengi, Andi&lt;/author&gt;&lt;author&gt;Nurhidayah, Nurhidayah&lt;/author&gt;&lt;author&gt;Susianingsih, Endang&lt;/author&gt;&lt;author&gt;Hassan, Marina&lt;/author&gt;&lt;/authors&gt;&lt;/contributors&gt;&lt;titles&gt;&lt;title&gt;Hemolymph as a biomarker to access the health of decapod crustaceans: a review&lt;/title&gt;&lt;secondary-title&gt;International Aquatic Research&lt;/secondary-title&gt;&lt;short-title&gt;Hemolymph as a biomarker to access the health of decapod crustaceans: a review&lt;/short-title&gt;&lt;/titles&gt;&lt;periodical&gt;&lt;full-title&gt;International Aquatic Research&lt;/full-title&gt;&lt;/periodical&gt;&lt;pages&gt;327-342&lt;/pages&gt;&lt;volume&gt;16&lt;/volume&gt;&lt;number&gt;4&lt;/number&gt;&lt;keywords&gt;&lt;keyword&gt;Aquatic diseases&lt;/keyword&gt;&lt;keyword&gt;Immunology&lt;/keyword&gt;&lt;keyword&gt;challenge&lt;/keyword&gt;&lt;/keywords&gt;&lt;dates&gt;&lt;year&gt;2024&lt;/year&gt;&lt;/dates&gt;&lt;urls&gt;&lt;related-urls&gt;&lt;url&gt;https://intelaquares.tonekabon.iau.ir/article_710112_28f1f1e48151ace12d2e98d2f162bd62.pdf&lt;/url&gt;&lt;/related-urls&gt;&lt;/urls&gt;&lt;electronic-resource-num&gt;10.22034/iar.2024.2008915.1736&lt;/electronic-resource-num&gt;&lt;/record&gt;&lt;/Cite&gt;&lt;/EndNote&gt;</w:instrText>
      </w:r>
      <w:r w:rsidR="002B4E27">
        <w:rPr>
          <w:rFonts w:cstheme="minorBidi"/>
        </w:rPr>
        <w:fldChar w:fldCharType="separate"/>
      </w:r>
      <w:r w:rsidR="002B4E27">
        <w:rPr>
          <w:rFonts w:cstheme="minorBidi"/>
          <w:noProof/>
        </w:rPr>
        <w:t>(</w:t>
      </w:r>
      <w:hyperlink w:anchor="_ENREF_14" w:tooltip="Alimin, 2024 #1970" w:history="1">
        <w:r w:rsidR="00950097">
          <w:rPr>
            <w:rFonts w:cstheme="minorBidi"/>
            <w:noProof/>
          </w:rPr>
          <w:t>Alimin et al., 2024</w:t>
        </w:r>
      </w:hyperlink>
      <w:r w:rsidR="002B4E27">
        <w:rPr>
          <w:rFonts w:cstheme="minorBidi"/>
          <w:noProof/>
        </w:rPr>
        <w:t>)</w:t>
      </w:r>
      <w:r w:rsidR="002B4E27">
        <w:rPr>
          <w:rFonts w:cstheme="minorBidi"/>
        </w:rPr>
        <w:fldChar w:fldCharType="end"/>
      </w:r>
      <w:r w:rsidR="000C5231">
        <w:rPr>
          <w:rFonts w:cstheme="minorBidi"/>
        </w:rPr>
        <w:t>.</w:t>
      </w:r>
      <w:r w:rsidR="00A07369" w:rsidRPr="009819CE">
        <w:rPr>
          <w:rFonts w:eastAsia="Calibri" w:cstheme="minorBidi"/>
        </w:rPr>
        <w:t xml:space="preserve"> </w:t>
      </w:r>
    </w:p>
    <w:p w14:paraId="25686C9B" w14:textId="737969BB" w:rsidR="0055220B" w:rsidRPr="009819CE" w:rsidRDefault="008A6432" w:rsidP="0055220B">
      <w:pPr>
        <w:tabs>
          <w:tab w:val="left" w:pos="1620"/>
        </w:tabs>
        <w:ind w:right="180"/>
        <w:rPr>
          <w:rFonts w:eastAsia="Calibri" w:cstheme="minorBidi"/>
          <w:color w:val="000000" w:themeColor="text1"/>
        </w:rPr>
      </w:pPr>
      <w:r w:rsidRPr="009819CE">
        <w:rPr>
          <w:rFonts w:cstheme="minorBidi"/>
        </w:rPr>
        <w:t>Despite the growing number of microbiome studies in different crustacean species, there is still a significant gap in understanding the complete microbiota composition and diversity associated with 'healthy' states.</w:t>
      </w:r>
      <w:r w:rsidR="00A5230F" w:rsidRPr="009819CE">
        <w:rPr>
          <w:rFonts w:cstheme="minorBidi"/>
        </w:rPr>
        <w:t>'</w:t>
      </w:r>
      <w:r w:rsidR="006669F8" w:rsidRPr="009819CE">
        <w:rPr>
          <w:rFonts w:cstheme="minorBidi"/>
        </w:rPr>
        <w:t xml:space="preserve"> </w:t>
      </w:r>
      <w:r w:rsidR="00016940" w:rsidRPr="009819CE">
        <w:rPr>
          <w:rFonts w:cstheme="minorBidi"/>
        </w:rPr>
        <w:t>This lack of knowledge presents significant challenges in accurately identifying potentially invasive and pathogenic microorganisms</w:t>
      </w:r>
      <w:r w:rsidR="00016940" w:rsidRPr="009819CE">
        <w:rPr>
          <w:rFonts w:eastAsia="Calibri" w:cstheme="minorBidi"/>
        </w:rPr>
        <w:t xml:space="preserve"> </w:t>
      </w:r>
      <w:r w:rsidR="0055220B" w:rsidRPr="009819CE">
        <w:rPr>
          <w:rFonts w:eastAsia="Calibri" w:cstheme="minorBidi"/>
          <w:color w:val="000000" w:themeColor="text1"/>
        </w:rPr>
        <w:fldChar w:fldCharType="begin"/>
      </w:r>
      <w:r w:rsidR="00D50EFF" w:rsidRPr="009819CE">
        <w:rPr>
          <w:rFonts w:eastAsia="Calibri" w:cstheme="minorBidi"/>
          <w:color w:val="000000" w:themeColor="text1"/>
        </w:rPr>
        <w:instrText xml:space="preserve"> ADDIN EN.CITE &lt;EndNote&gt;&lt;Cite&gt;&lt;Author&gt;Quinn&lt;/Author&gt;&lt;Year&gt;2013&lt;/Year&gt;&lt;RecNum&gt;52&lt;/RecNum&gt;&lt;DisplayText&gt;(Quinn et al., 2013)&lt;/DisplayText&gt;&lt;record&gt;&lt;rec-number&gt;52&lt;/rec-number&gt;&lt;foreign-keys&gt;&lt;key app="EN" db-id="sd9wrx9fj09rx3erprsx999o0r5aprvp2zse" timestamp="1687855901" guid="e0ea09fe-73e3-4806-97e0-d963da4e85f2"&gt;52&lt;/key&gt;&lt;/foreign-keys&gt;&lt;ref-type name="Journal Article"&gt;17&lt;/ref-type&gt;&lt;contributors&gt;&lt;authors&gt;&lt;author&gt;Quinn, Robert A.&lt;/author&gt;&lt;author&gt;Smolowitz, Roxanna&lt;/author&gt;&lt;author&gt;Chistoserdov, Andrei Y.&lt;/author&gt;&lt;/authors&gt;&lt;/contributors&gt;&lt;titles&gt;&lt;title&gt;Culture-independent analysis of bacterial communities in hemolymph of American lobsters with epizootic shell disease&lt;/title&gt;&lt;secondary-title&gt;Diseases of Aquatic Organisms&lt;/secondary-title&gt;&lt;/titles&gt;&lt;periodical&gt;&lt;full-title&gt;Diseases of Aquatic Organisms&lt;/full-title&gt;&lt;/periodical&gt;&lt;pages&gt;141-148&lt;/pages&gt;&lt;volume&gt;103&lt;/volume&gt;&lt;number&gt;2&lt;/number&gt;&lt;keywords&gt;&lt;keyword&gt;Bacterial community&lt;/keyword&gt;&lt;keyword&gt;DGGE&lt;/keyword&gt;&lt;keyword&gt;Denaturing gradient gel electrophoresis&lt;/keyword&gt;&lt;keyword&gt;Homarus americanus&lt;/keyword&gt;&lt;keyword&gt;Sediminibacterium&lt;/keyword&gt;&lt;keyword&gt;Symbiont&lt;/keyword&gt;&lt;/keywords&gt;&lt;dates&gt;&lt;year&gt;2013&lt;/year&gt;&lt;/dates&gt;&lt;urls&gt;&lt;/urls&gt;&lt;electronic-resource-num&gt;10.3354/dao02565&lt;/electronic-resource-num&gt;&lt;/record&gt;&lt;/Cite&gt;&lt;/EndNote&gt;</w:instrText>
      </w:r>
      <w:r w:rsidR="0055220B" w:rsidRPr="009819CE">
        <w:rPr>
          <w:rFonts w:eastAsia="Calibri" w:cstheme="minorBidi"/>
          <w:color w:val="000000" w:themeColor="text1"/>
        </w:rPr>
        <w:fldChar w:fldCharType="separate"/>
      </w:r>
      <w:r w:rsidR="00D50EFF" w:rsidRPr="009819CE">
        <w:rPr>
          <w:rFonts w:eastAsia="Calibri" w:cstheme="minorBidi"/>
          <w:color w:val="000000" w:themeColor="text1"/>
        </w:rPr>
        <w:t>(</w:t>
      </w:r>
      <w:hyperlink w:anchor="_ENREF_251" w:tooltip="Quinn, 2013 #52" w:history="1">
        <w:r w:rsidR="00950097" w:rsidRPr="009819CE">
          <w:rPr>
            <w:rFonts w:eastAsia="Calibri" w:cstheme="minorBidi"/>
            <w:color w:val="000000" w:themeColor="text1"/>
          </w:rPr>
          <w:t>Quinn et al., 2013</w:t>
        </w:r>
      </w:hyperlink>
      <w:r w:rsidR="00D50EFF" w:rsidRPr="009819CE">
        <w:rPr>
          <w:rFonts w:eastAsia="Calibri" w:cstheme="minorBidi"/>
          <w:color w:val="000000" w:themeColor="text1"/>
        </w:rPr>
        <w:t>)</w:t>
      </w:r>
      <w:r w:rsidR="0055220B" w:rsidRPr="009819CE">
        <w:rPr>
          <w:rFonts w:eastAsia="Calibri" w:cstheme="minorBidi"/>
          <w:color w:val="000000" w:themeColor="text1"/>
        </w:rPr>
        <w:fldChar w:fldCharType="end"/>
      </w:r>
      <w:r w:rsidR="0055220B" w:rsidRPr="009819CE">
        <w:rPr>
          <w:rFonts w:eastAsia="Calibri" w:cstheme="minorBidi"/>
          <w:color w:val="000000" w:themeColor="text1"/>
        </w:rPr>
        <w:t xml:space="preserve">. </w:t>
      </w:r>
      <w:r w:rsidR="005628E3" w:rsidRPr="009819CE">
        <w:rPr>
          <w:rFonts w:eastAsia="Calibri" w:cstheme="minorBidi"/>
          <w:color w:val="000000" w:themeColor="text1"/>
        </w:rPr>
        <w:t xml:space="preserve">Even in well-documented diseases like </w:t>
      </w:r>
      <w:r w:rsidR="009D03F4" w:rsidRPr="009819CE">
        <w:rPr>
          <w:rFonts w:eastAsia="Calibri" w:cstheme="minorBidi"/>
          <w:i/>
          <w:iCs/>
          <w:color w:val="000000" w:themeColor="text1"/>
        </w:rPr>
        <w:t>Hematodinium</w:t>
      </w:r>
      <w:r w:rsidR="005628E3" w:rsidRPr="009819CE">
        <w:rPr>
          <w:rFonts w:eastAsia="Calibri" w:cstheme="minorBidi"/>
          <w:color w:val="000000" w:themeColor="text1"/>
        </w:rPr>
        <w:t xml:space="preserve"> infection, uncertainties remain about how the pathogen impacts or interacts with microbial communities. </w:t>
      </w:r>
      <w:r w:rsidR="001B7E70" w:rsidRPr="009819CE">
        <w:rPr>
          <w:rFonts w:eastAsia="Calibri" w:cstheme="minorBidi"/>
          <w:color w:val="000000" w:themeColor="text1"/>
        </w:rPr>
        <w:t>These interactions could influence the host's metabolic processes or make the host more susceptible to infection by one or more pathogens.</w:t>
      </w:r>
    </w:p>
    <w:p w14:paraId="321B46EF" w14:textId="1808E433" w:rsidR="0055220B" w:rsidRPr="009819CE" w:rsidRDefault="0055220B" w:rsidP="0055220B">
      <w:pPr>
        <w:rPr>
          <w:rFonts w:cstheme="minorBidi"/>
        </w:rPr>
      </w:pPr>
      <w:r w:rsidRPr="009819CE">
        <w:rPr>
          <w:rFonts w:cstheme="minorBidi"/>
        </w:rPr>
        <w:t xml:space="preserve">The central aim of this study was to thoroughly characterize the haemolymph and gut microbiomes of </w:t>
      </w:r>
      <w:r w:rsidR="00C31E47" w:rsidRPr="009819CE">
        <w:rPr>
          <w:rFonts w:cstheme="minorBidi"/>
          <w:i/>
        </w:rPr>
        <w:t>Nephrops</w:t>
      </w:r>
      <w:r w:rsidRPr="009819CE">
        <w:rPr>
          <w:rFonts w:cstheme="minorBidi"/>
        </w:rPr>
        <w:t xml:space="preserve"> </w:t>
      </w:r>
      <w:r w:rsidRPr="009819CE">
        <w:rPr>
          <w:rFonts w:cstheme="minorBidi"/>
          <w:i/>
          <w:iCs/>
        </w:rPr>
        <w:t>norvegicus</w:t>
      </w:r>
      <w:r w:rsidRPr="009819CE">
        <w:rPr>
          <w:rFonts w:cstheme="minorBidi"/>
        </w:rPr>
        <w:t xml:space="preserve">, with a specific focus on investigating the possible existence of a pathobiome linked to </w:t>
      </w:r>
      <w:r w:rsidR="009D03F4" w:rsidRPr="009819CE">
        <w:rPr>
          <w:rFonts w:cstheme="minorBidi"/>
          <w:i/>
        </w:rPr>
        <w:t>Hematodinium</w:t>
      </w:r>
      <w:r w:rsidRPr="009819CE">
        <w:rPr>
          <w:rFonts w:cstheme="minorBidi"/>
        </w:rPr>
        <w:t xml:space="preserve"> sp. infection, particularly in the context of disease progression. To achieve this objective, specimens of </w:t>
      </w:r>
      <w:r w:rsidR="00C31E47" w:rsidRPr="009819CE">
        <w:rPr>
          <w:rFonts w:cstheme="minorBidi"/>
          <w:i/>
        </w:rPr>
        <w:t>Nephrops</w:t>
      </w:r>
      <w:r w:rsidRPr="009819CE">
        <w:rPr>
          <w:rFonts w:cstheme="minorBidi"/>
        </w:rPr>
        <w:t xml:space="preserve"> </w:t>
      </w:r>
      <w:r w:rsidRPr="009819CE">
        <w:rPr>
          <w:rFonts w:cstheme="minorBidi"/>
          <w:i/>
          <w:iCs/>
        </w:rPr>
        <w:t xml:space="preserve">norvegicus </w:t>
      </w:r>
      <w:r w:rsidRPr="009819CE">
        <w:rPr>
          <w:rFonts w:cstheme="minorBidi"/>
        </w:rPr>
        <w:t xml:space="preserve">were collected from the </w:t>
      </w:r>
      <w:r w:rsidR="00176E8A" w:rsidRPr="009819CE">
        <w:rPr>
          <w:rFonts w:cstheme="minorBidi"/>
        </w:rPr>
        <w:t>CSA</w:t>
      </w:r>
      <w:r w:rsidRPr="009819CE">
        <w:rPr>
          <w:rFonts w:cstheme="minorBidi"/>
        </w:rPr>
        <w:t xml:space="preserve"> during the peak of </w:t>
      </w:r>
      <w:r w:rsidR="009D03F4" w:rsidRPr="009819CE">
        <w:rPr>
          <w:rFonts w:cstheme="minorBidi"/>
          <w:i/>
        </w:rPr>
        <w:t>Hematodinium</w:t>
      </w:r>
      <w:r w:rsidRPr="009819CE">
        <w:rPr>
          <w:rFonts w:cstheme="minorBidi"/>
        </w:rPr>
        <w:t xml:space="preserve"> sp. patent infection in March 2020. </w:t>
      </w:r>
      <w:r w:rsidR="00DD4F66" w:rsidRPr="009819CE">
        <w:rPr>
          <w:rFonts w:cstheme="minorBidi"/>
        </w:rPr>
        <w:t xml:space="preserve">The assessment of </w:t>
      </w:r>
      <w:r w:rsidR="009D03F4" w:rsidRPr="009819CE">
        <w:rPr>
          <w:rFonts w:cstheme="minorBidi"/>
          <w:i/>
          <w:iCs/>
        </w:rPr>
        <w:t>Hematodinium</w:t>
      </w:r>
      <w:r w:rsidR="00DD4F66" w:rsidRPr="009819CE">
        <w:rPr>
          <w:rFonts w:cstheme="minorBidi"/>
        </w:rPr>
        <w:t xml:space="preserve"> sp. infection employed a comprehensive methodology, incorporating techniques such as the body colour method (BCM), pleopod method (PM), histological analysis of key organs (heart, gonads, hepatopancreas, gills, and muscle), and molecular approaches such as polymerase chain reaction (PCR). </w:t>
      </w:r>
      <w:r w:rsidRPr="009819CE">
        <w:rPr>
          <w:rFonts w:cstheme="minorBidi"/>
        </w:rPr>
        <w:t xml:space="preserve">Through the utilization of 16S rRNA amplicon sequencing, the microbiomes of both the haemolymph and gut were comprehensively characterized. Alongside the inquiry into the potential existence of a pathobiome linked to </w:t>
      </w:r>
      <w:r w:rsidR="009D03F4" w:rsidRPr="009819CE">
        <w:rPr>
          <w:rFonts w:cstheme="minorBidi"/>
          <w:i/>
          <w:iCs/>
        </w:rPr>
        <w:t>Hematodinium</w:t>
      </w:r>
      <w:r w:rsidRPr="009819CE">
        <w:rPr>
          <w:rFonts w:cstheme="minorBidi"/>
        </w:rPr>
        <w:t xml:space="preserve"> sp., the valuable insights gained from the microbiome analysis were used to explore the concept of immune evasion.</w:t>
      </w:r>
    </w:p>
    <w:p w14:paraId="5B7D0362" w14:textId="77777777" w:rsidR="0055220B" w:rsidRPr="009819CE" w:rsidRDefault="0055220B" w:rsidP="0055220B">
      <w:pPr>
        <w:pStyle w:val="Heading2"/>
        <w:rPr>
          <w:rFonts w:cstheme="minorBidi"/>
        </w:rPr>
      </w:pPr>
      <w:bookmarkStart w:id="250" w:name="_Toc204106638"/>
      <w:r w:rsidRPr="009819CE">
        <w:rPr>
          <w:rFonts w:cstheme="minorBidi"/>
        </w:rPr>
        <w:t>Methods and Materials</w:t>
      </w:r>
      <w:bookmarkEnd w:id="250"/>
    </w:p>
    <w:p w14:paraId="65F7A828" w14:textId="4FCA83BE" w:rsidR="0055220B" w:rsidRPr="009819CE" w:rsidRDefault="0055220B" w:rsidP="00FD0393">
      <w:pPr>
        <w:pStyle w:val="Heading3"/>
        <w:rPr>
          <w:rFonts w:cstheme="minorBidi"/>
        </w:rPr>
      </w:pPr>
      <w:bookmarkStart w:id="251" w:name="_Toc204106639"/>
      <w:r w:rsidRPr="009819CE">
        <w:rPr>
          <w:rFonts w:cstheme="minorBidi"/>
        </w:rPr>
        <w:t>Ethic</w:t>
      </w:r>
      <w:r w:rsidR="00CF28E0" w:rsidRPr="00FA7D47">
        <w:rPr>
          <w:rFonts w:cstheme="minorBidi"/>
        </w:rPr>
        <w:t>s</w:t>
      </w:r>
      <w:r w:rsidRPr="009819CE">
        <w:rPr>
          <w:rFonts w:cstheme="minorBidi"/>
        </w:rPr>
        <w:t xml:space="preserve"> statement</w:t>
      </w:r>
      <w:bookmarkEnd w:id="251"/>
    </w:p>
    <w:p w14:paraId="68FAF366" w14:textId="27C75D2D" w:rsidR="0055220B" w:rsidRPr="009819CE" w:rsidRDefault="0055220B" w:rsidP="0055220B">
      <w:pPr>
        <w:spacing w:line="360" w:lineRule="exact"/>
        <w:rPr>
          <w:rFonts w:eastAsia="Calibri" w:cstheme="minorBidi"/>
          <w:color w:val="000000" w:themeColor="text1"/>
        </w:rPr>
      </w:pPr>
      <w:r w:rsidRPr="009819CE">
        <w:rPr>
          <w:rFonts w:eastAsia="Calibri" w:cstheme="minorBidi"/>
          <w:color w:val="000000" w:themeColor="text1"/>
        </w:rPr>
        <w:t>The study protocol was approved by the University of Stirling Animal Welfare and Ethical Review Body (AWERB (18/19) 196).</w:t>
      </w:r>
    </w:p>
    <w:p w14:paraId="7E588D55" w14:textId="77777777" w:rsidR="0055220B" w:rsidRPr="009819CE" w:rsidRDefault="0055220B" w:rsidP="00FD0393">
      <w:pPr>
        <w:pStyle w:val="Heading3"/>
        <w:rPr>
          <w:rFonts w:cstheme="minorBidi"/>
        </w:rPr>
      </w:pPr>
      <w:bookmarkStart w:id="252" w:name="_Toc204106640"/>
      <w:r w:rsidRPr="009819CE">
        <w:rPr>
          <w:rFonts w:cstheme="minorBidi"/>
        </w:rPr>
        <w:t>Sample collection</w:t>
      </w:r>
      <w:bookmarkEnd w:id="252"/>
    </w:p>
    <w:p w14:paraId="2632EAB2" w14:textId="1FE8E740" w:rsidR="0055220B" w:rsidRPr="009819CE" w:rsidRDefault="0055220B" w:rsidP="0055220B">
      <w:pPr>
        <w:spacing w:after="0"/>
        <w:rPr>
          <w:rFonts w:cstheme="minorBidi"/>
          <w:color w:val="000000" w:themeColor="text1"/>
        </w:rPr>
      </w:pPr>
      <w:r w:rsidRPr="009819CE">
        <w:rPr>
          <w:rFonts w:cstheme="minorBidi"/>
          <w:color w:val="000000" w:themeColor="text1"/>
        </w:rPr>
        <w:t xml:space="preserve">A total of n=349 </w:t>
      </w:r>
      <w:r w:rsidR="00C31E47" w:rsidRPr="009819CE">
        <w:rPr>
          <w:rFonts w:cstheme="minorBidi"/>
          <w:i/>
          <w:iCs/>
          <w:color w:val="000000" w:themeColor="text1"/>
        </w:rPr>
        <w:t>Nephrops</w:t>
      </w:r>
      <w:r w:rsidRPr="009819CE">
        <w:rPr>
          <w:rFonts w:cstheme="minorBidi"/>
          <w:color w:val="000000" w:themeColor="text1"/>
        </w:rPr>
        <w:t xml:space="preserve"> </w:t>
      </w:r>
      <w:r w:rsidRPr="009819CE">
        <w:rPr>
          <w:rFonts w:cstheme="minorBidi"/>
          <w:i/>
          <w:color w:val="000000" w:themeColor="text1"/>
        </w:rPr>
        <w:t>norvegicus</w:t>
      </w:r>
      <w:r w:rsidRPr="009819CE">
        <w:rPr>
          <w:rFonts w:cstheme="minorBidi"/>
          <w:color w:val="000000" w:themeColor="text1"/>
        </w:rPr>
        <w:t xml:space="preserve"> were trawled from the Clyde Sea Area (55°45.482N, 4°53.375W) aboard the commercial vessel Eilidh Anne GK2 on the 9</w:t>
      </w:r>
      <w:r w:rsidRPr="009819CE">
        <w:rPr>
          <w:rFonts w:cstheme="minorBidi"/>
          <w:color w:val="000000" w:themeColor="text1"/>
          <w:vertAlign w:val="superscript"/>
        </w:rPr>
        <w:t>th</w:t>
      </w:r>
      <w:r w:rsidRPr="009819CE">
        <w:rPr>
          <w:rFonts w:cstheme="minorBidi"/>
          <w:color w:val="000000" w:themeColor="text1"/>
        </w:rPr>
        <w:t xml:space="preserve"> of March 2020. A non-targeted subset of animals consisting of n=149 </w:t>
      </w:r>
      <w:r w:rsidR="00C31E47" w:rsidRPr="009819CE">
        <w:rPr>
          <w:rFonts w:cstheme="minorBidi"/>
          <w:i/>
          <w:iCs/>
          <w:color w:val="000000" w:themeColor="text1"/>
        </w:rPr>
        <w:t>Nephrops</w:t>
      </w:r>
      <w:r w:rsidRPr="009819CE">
        <w:rPr>
          <w:rFonts w:cstheme="minorBidi"/>
          <w:color w:val="000000" w:themeColor="text1"/>
        </w:rPr>
        <w:t xml:space="preserve"> was selected and placed on ice. This set, referred to as the "prevalence-set," was used to determine the prevalence of </w:t>
      </w:r>
      <w:r w:rsidR="009D03F4" w:rsidRPr="009819CE">
        <w:rPr>
          <w:rFonts w:cstheme="minorBidi"/>
          <w:i/>
          <w:iCs/>
          <w:color w:val="000000" w:themeColor="text1"/>
        </w:rPr>
        <w:t>Hematodinium</w:t>
      </w:r>
      <w:r w:rsidRPr="009819CE">
        <w:rPr>
          <w:rFonts w:cstheme="minorBidi"/>
          <w:color w:val="000000" w:themeColor="text1"/>
        </w:rPr>
        <w:t xml:space="preserve"> sp. infection at that specific time.  Another set of n=200 </w:t>
      </w:r>
      <w:r w:rsidR="00C31E47" w:rsidRPr="009819CE">
        <w:rPr>
          <w:rFonts w:cstheme="minorBidi"/>
          <w:i/>
          <w:iCs/>
          <w:color w:val="000000" w:themeColor="text1"/>
        </w:rPr>
        <w:t>Nephrops</w:t>
      </w:r>
      <w:r w:rsidRPr="009819CE">
        <w:rPr>
          <w:rFonts w:cstheme="minorBidi"/>
          <w:color w:val="000000" w:themeColor="text1"/>
        </w:rPr>
        <w:t xml:space="preserve">, classified on-board the vessel based on their visual appearance (targeting BCM positive and negative), were placed in running seawater and transported live to the Field Studies Council (FSC) Millport facilities. Animals from this sub-set were kept in tanks with running </w:t>
      </w:r>
      <w:r w:rsidR="007024B1" w:rsidRPr="009819CE">
        <w:rPr>
          <w:rFonts w:cstheme="minorBidi"/>
          <w:color w:val="000000" w:themeColor="text1"/>
        </w:rPr>
        <w:t>seawater and</w:t>
      </w:r>
      <w:r w:rsidRPr="009819CE">
        <w:rPr>
          <w:rFonts w:cstheme="minorBidi"/>
          <w:color w:val="000000" w:themeColor="text1"/>
        </w:rPr>
        <w:t xml:space="preserve"> are referred to as the ‘pathobiome-set’. Data collected from the ‘prevalence-set’ included sex, carapace length (CL), and </w:t>
      </w:r>
      <w:r w:rsidR="00C967F0" w:rsidRPr="00FA7D47">
        <w:rPr>
          <w:rFonts w:cstheme="minorBidi"/>
          <w:color w:val="000000" w:themeColor="text1"/>
        </w:rPr>
        <w:t>moult stage</w:t>
      </w:r>
      <w:r w:rsidRPr="009819CE">
        <w:rPr>
          <w:rFonts w:cstheme="minorBidi"/>
          <w:color w:val="000000" w:themeColor="text1"/>
        </w:rPr>
        <w:t xml:space="preserve">. The level of </w:t>
      </w:r>
      <w:r w:rsidR="009D03F4" w:rsidRPr="009819CE">
        <w:rPr>
          <w:rFonts w:cstheme="minorBidi"/>
          <w:i/>
          <w:iCs/>
          <w:color w:val="000000" w:themeColor="text1"/>
        </w:rPr>
        <w:t>Hematodinium</w:t>
      </w:r>
      <w:r w:rsidRPr="009819CE">
        <w:rPr>
          <w:rFonts w:cstheme="minorBidi"/>
          <w:color w:val="000000" w:themeColor="text1"/>
        </w:rPr>
        <w:t xml:space="preserve"> sp. infection in the ‘prevalence-set’ was determined by employing the body colour method (BCM) and pleopod method (PM), as per the 4-stage criteria established by</w:t>
      </w:r>
      <w:r w:rsidR="00E9418B" w:rsidRPr="009819CE">
        <w:rPr>
          <w:rFonts w:cstheme="minorBidi"/>
          <w:color w:val="000000" w:themeColor="text1"/>
        </w:rPr>
        <w:t xml:space="preserve"> </w:t>
      </w:r>
      <w:hyperlink w:anchor="_ENREF_92" w:tooltip="Field, 1995 #101" w:history="1">
        <w:r w:rsidR="00950097" w:rsidRPr="009819CE">
          <w:rPr>
            <w:rFonts w:cstheme="minorBidi"/>
            <w:color w:val="000000" w:themeColor="text1"/>
          </w:rPr>
          <w:fldChar w:fldCharType="begin"/>
        </w:r>
        <w:r w:rsidR="00950097" w:rsidRPr="009819CE">
          <w:rPr>
            <w:rFonts w:cstheme="minorBidi"/>
            <w:color w:val="000000" w:themeColor="text1"/>
          </w:rPr>
          <w:instrText xml:space="preserve"> ADDIN EN.CITE &lt;EndNote&gt;&lt;Cite AuthorYear="1"&gt;&lt;Author&gt;Field&lt;/Author&gt;&lt;Year&gt;1995&lt;/Year&gt;&lt;RecNum&gt;101&lt;/RecNum&gt;&lt;DisplayText&gt;Field and Appleton (1995)&lt;/DisplayText&gt;&lt;record&gt;&lt;rec-number&gt;101&lt;/rec-number&gt;&lt;foreign-keys&gt;&lt;key app="EN" db-id="sd9wrx9fj09rx3erprsx999o0r5aprvp2zse" timestamp="1687855901" guid="af46a6d3-1f44-4c30-bcdc-1ba35f3e4fdf"&gt;101&lt;/key&gt;&lt;/foreign-keys&gt;&lt;ref-type name="Journal Article"&gt;17&lt;/ref-type&gt;&lt;contributors&gt;&lt;authors&gt;&lt;author&gt;Field, Robert Henry&lt;/author&gt;&lt;author&gt;Appleton, Paul Lauwrance&lt;/author&gt;&lt;/authors&gt;&lt;/contributors&gt;&lt;titles&gt;&lt;title&gt;&lt;style face="normal" font="default" size="100%"&gt;A &lt;/style&gt;&lt;style face="italic" font="default" size="100%"&gt;Hematodinium&lt;/style&gt;&lt;style face="normal" font="default" size="100%"&gt;-like dinoflagellate infection of the Norway lobster &lt;/style&gt;&lt;style face="italic" font="default" size="100%"&gt;Nephrops norvegicus&lt;/style&gt;&lt;style face="normal" font="default" size="100%"&gt;: observations on pathology and progression of infection&lt;/style&gt;&lt;/title&gt;&lt;secondary-title&gt;Diseases of Aquatic Organisms&lt;/secondary-title&gt;&lt;/titles&gt;&lt;periodical&gt;&lt;full-title&gt;Diseases of Aquatic Organisms&lt;/full-title&gt;&lt;/periodical&gt;&lt;pages&gt;115-128&lt;/pages&gt;&lt;volume&gt;22&lt;/volume&gt;&lt;number&gt;2&lt;/number&gt;&lt;keywords&gt;&lt;keyword&gt;Crustacea&lt;/keyword&gt;&lt;keyword&gt;Hematodinium sp.&lt;/keyword&gt;&lt;keyword&gt;Nephrops norvegicus&lt;/keyword&gt;&lt;keyword&gt;parasitic dinoflagellate&lt;/keyword&gt;&lt;keyword&gt;pathology&lt;/keyword&gt;&lt;/keywords&gt;&lt;dates&gt;&lt;year&gt;1995&lt;/year&gt;&lt;/dates&gt;&lt;urls&gt;&lt;related-urls&gt;&lt;url&gt;http://www.int-res.com/abstracts/dao/v22/n2/p115-128/&lt;/url&gt;&lt;url&gt;https://www.int-res.com/articles/dao/22/d022p115.pdf&lt;/url&gt;&lt;/related-urls&gt;&lt;/urls&gt;&lt;electronic-resource-num&gt;10.3354/dao022115&lt;/electronic-resource-num&gt;&lt;/record&gt;&lt;/Cite&gt;&lt;/EndNote&gt;</w:instrText>
        </w:r>
        <w:r w:rsidR="00950097" w:rsidRPr="009819CE">
          <w:rPr>
            <w:rFonts w:cstheme="minorBidi"/>
            <w:color w:val="000000" w:themeColor="text1"/>
          </w:rPr>
          <w:fldChar w:fldCharType="separate"/>
        </w:r>
        <w:r w:rsidR="00950097" w:rsidRPr="007268F5">
          <w:rPr>
            <w:rFonts w:cstheme="minorBidi"/>
            <w:color w:val="000000" w:themeColor="text1"/>
          </w:rPr>
          <w:t>Field and Appleton (1995)</w:t>
        </w:r>
        <w:r w:rsidR="00950097" w:rsidRPr="009819CE">
          <w:rPr>
            <w:rFonts w:cstheme="minorBidi"/>
            <w:color w:val="000000" w:themeColor="text1"/>
          </w:rPr>
          <w:fldChar w:fldCharType="end"/>
        </w:r>
      </w:hyperlink>
      <w:r w:rsidRPr="009819CE">
        <w:rPr>
          <w:rFonts w:cstheme="minorBidi"/>
          <w:color w:val="000000" w:themeColor="text1"/>
        </w:rPr>
        <w:t xml:space="preserve"> </w:t>
      </w:r>
      <w:hyperlink w:anchor="_ENREF_90" w:tooltip="Field, 1995 #500" w:history="1">
        <w:r w:rsidR="003D4B33" w:rsidRPr="003D4B33">
          <w:rPr>
            <w:rStyle w:val="Hyperlink"/>
          </w:rPr>
          <w:t>_ENREF_90</w:t>
        </w:r>
      </w:hyperlink>
      <w:r w:rsidRPr="009819CE">
        <w:rPr>
          <w:rFonts w:cstheme="minorBidi"/>
          <w:color w:val="000000" w:themeColor="text1"/>
        </w:rPr>
        <w:t xml:space="preserve">. The same information was recorded for animals in the ‘pathobiome-set’. However, in this subset, additional samples were taken for molecular analyses (PCR detection of </w:t>
      </w:r>
      <w:r w:rsidR="009D03F4" w:rsidRPr="009819CE">
        <w:rPr>
          <w:rFonts w:cstheme="minorBidi"/>
          <w:i/>
          <w:iCs/>
          <w:color w:val="000000" w:themeColor="text1"/>
        </w:rPr>
        <w:t>Hematodinium</w:t>
      </w:r>
      <w:r w:rsidRPr="009819CE">
        <w:rPr>
          <w:rFonts w:cstheme="minorBidi"/>
          <w:color w:val="000000" w:themeColor="text1"/>
        </w:rPr>
        <w:t xml:space="preserve"> sp. in the haemolymph), microbiome investigation (haemolymph and gut) and histological analysis (heart, gonads, hepatopancreas, gills, and muscle). Haemolymph samples (0.5 mL) were obtained from the base of the fifth pereopod using a sterile syringe coupled with a 25-gauge needle. This needle was previously rinsed with marine anticoagulant (0.45 M NaCI; 0.1 M glucose; 30 mM trisodium citrate; 26 mM citric acid, and 10 mM EDTA; pH 4.6) </w:t>
      </w:r>
      <w:r w:rsidR="008328BF" w:rsidRPr="00FA7D47">
        <w:rPr>
          <w:rFonts w:cstheme="minorBidi"/>
          <w:color w:val="000000" w:themeColor="text1"/>
        </w:rPr>
        <w:t xml:space="preserve"> </w:t>
      </w:r>
      <w:r w:rsidRPr="009819CE">
        <w:rPr>
          <w:rFonts w:cstheme="minorBidi"/>
          <w:color w:val="000000" w:themeColor="text1"/>
        </w:rPr>
        <w:fldChar w:fldCharType="begin"/>
      </w:r>
      <w:r w:rsidR="00ED1A9E" w:rsidRPr="009819CE">
        <w:rPr>
          <w:rFonts w:cstheme="minorBidi"/>
          <w:color w:val="000000" w:themeColor="text1"/>
        </w:rPr>
        <w:instrText xml:space="preserve"> ADDIN EN.CITE &lt;EndNote&gt;&lt;Cite&gt;&lt;Author&gt;Söderhäll&lt;/Author&gt;&lt;Year&gt;1983&lt;/Year&gt;&lt;RecNum&gt;261&lt;/RecNum&gt;&lt;DisplayText&gt;(Söderhäll and Smith, 1983)&lt;/DisplayText&gt;&lt;record&gt;&lt;rec-number&gt;261&lt;/rec-number&gt;&lt;foreign-keys&gt;&lt;key app="EN" db-id="sd9wrx9fj09rx3erprsx999o0r5aprvp2zse" timestamp="1687855901" guid="408858e8-7143-4079-961e-639197290c27"&gt;261&lt;/key&gt;&lt;/foreign-keys&gt;&lt;ref-type name="Journal Article"&gt;17&lt;/ref-type&gt;&lt;contributors&gt;&lt;authors&gt;&lt;author&gt;Söderhäll, K.&lt;/author&gt;&lt;author&gt;Smith, V. J.&lt;/author&gt;&lt;/authors&gt;&lt;/contributors&gt;&lt;titles&gt;&lt;title&gt;&lt;style face="normal" font="default" size="100%"&gt;Separation of the haemocyte populations of&lt;/style&gt;&lt;style face="italic" font="default" size="100%"&gt; Carcinus maenas&lt;/style&gt;&lt;style face="normal" font="default" size="100%"&gt; and other marine decapods, and prophenoloxidase distribution&lt;/style&gt;&lt;/title&gt;&lt;secondary-title&gt;Developmental and Comparative Immunology&lt;/secondary-title&gt;&lt;/titles&gt;&lt;periodical&gt;&lt;full-title&gt;Developmental and comparative immunology&lt;/full-title&gt;&lt;/periodical&gt;&lt;pages&gt;229-39&lt;/pages&gt;&lt;volume&gt;7&lt;/volume&gt;&lt;number&gt;2&lt;/number&gt;&lt;dates&gt;&lt;year&gt;1983&lt;/year&gt;&lt;pub-dates&gt;&lt;date&gt;1983/3//&lt;/date&gt;&lt;/pub-dates&gt;&lt;/dates&gt;&lt;publisher&gt;Pergamon&lt;/publisher&gt;&lt;urls&gt;&lt;related-urls&gt;&lt;url&gt;http://www.ncbi.nlm.nih.gov/pubmed/6409683&lt;/url&gt;&lt;/related-urls&gt;&lt;/urls&gt;&lt;electronic-resource-num&gt;10.1016/0145-305x(83)90004-6&lt;/electronic-resource-num&gt;&lt;/record&gt;&lt;/Cite&gt;&lt;/EndNote&gt;</w:instrText>
      </w:r>
      <w:r w:rsidRPr="009819CE">
        <w:rPr>
          <w:rFonts w:cstheme="minorBidi"/>
          <w:color w:val="000000" w:themeColor="text1"/>
        </w:rPr>
        <w:fldChar w:fldCharType="separate"/>
      </w:r>
      <w:r w:rsidR="00D50EFF" w:rsidRPr="007268F5">
        <w:rPr>
          <w:rFonts w:cstheme="minorBidi"/>
          <w:color w:val="000000" w:themeColor="text1"/>
        </w:rPr>
        <w:t>(</w:t>
      </w:r>
      <w:hyperlink w:anchor="_ENREF_295" w:tooltip="Söderhäll, 1983 #261" w:history="1">
        <w:r w:rsidR="00950097" w:rsidRPr="007268F5">
          <w:rPr>
            <w:rFonts w:cstheme="minorBidi"/>
            <w:color w:val="000000" w:themeColor="text1"/>
          </w:rPr>
          <w:t>Söderhäll and Smith, 1983</w:t>
        </w:r>
      </w:hyperlink>
      <w:r w:rsidR="00D50EFF" w:rsidRPr="007268F5">
        <w:rPr>
          <w:rFonts w:cstheme="minorBidi"/>
          <w:color w:val="000000" w:themeColor="text1"/>
        </w:rPr>
        <w:t>)</w:t>
      </w:r>
      <w:r w:rsidRPr="009819CE">
        <w:rPr>
          <w:rFonts w:cstheme="minorBidi"/>
          <w:color w:val="000000" w:themeColor="text1"/>
        </w:rPr>
        <w:fldChar w:fldCharType="end"/>
      </w:r>
      <w:r w:rsidR="008328BF" w:rsidRPr="00FA7D47">
        <w:rPr>
          <w:rFonts w:cstheme="minorBidi"/>
          <w:color w:val="000000" w:themeColor="text1"/>
        </w:rPr>
        <w:t xml:space="preserve">,which was autoclaved after preparation, </w:t>
      </w:r>
      <w:r w:rsidRPr="009819CE">
        <w:rPr>
          <w:rFonts w:cstheme="minorBidi"/>
          <w:color w:val="000000" w:themeColor="text1"/>
        </w:rPr>
        <w:t xml:space="preserve">and samples were subsequently fixed in molecular-grade ethanol. </w:t>
      </w:r>
    </w:p>
    <w:p w14:paraId="0A626909" w14:textId="77777777" w:rsidR="0055220B" w:rsidRPr="009819CE" w:rsidRDefault="0055220B" w:rsidP="00FD0393">
      <w:pPr>
        <w:pStyle w:val="Heading3"/>
        <w:rPr>
          <w:rFonts w:cstheme="minorBidi"/>
        </w:rPr>
      </w:pPr>
      <w:bookmarkStart w:id="253" w:name="_Ref170112193"/>
      <w:bookmarkStart w:id="254" w:name="_Toc204106641"/>
      <w:r w:rsidRPr="009819CE">
        <w:rPr>
          <w:rFonts w:cstheme="minorBidi"/>
        </w:rPr>
        <w:t>Tissue histology</w:t>
      </w:r>
      <w:bookmarkEnd w:id="253"/>
      <w:bookmarkEnd w:id="254"/>
    </w:p>
    <w:p w14:paraId="7C6444D9" w14:textId="53CB1B12" w:rsidR="0055220B" w:rsidRPr="009819CE" w:rsidRDefault="0055220B" w:rsidP="0055220B">
      <w:pPr>
        <w:spacing w:after="0"/>
        <w:rPr>
          <w:rFonts w:cstheme="minorBidi"/>
          <w:color w:val="000000" w:themeColor="text1"/>
        </w:rPr>
      </w:pPr>
      <w:r w:rsidRPr="009819CE">
        <w:rPr>
          <w:rFonts w:cstheme="minorBidi"/>
          <w:color w:val="000000" w:themeColor="text1"/>
        </w:rPr>
        <w:t xml:space="preserve">Sections of gonads, heart, hepatopancreas, gills and muscle were placed into histological cassettes and submerged in Davidson’s Saltwater Fixative (DSF)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&lt;EndNote&gt;&lt;Cite&gt;&lt;Author&gt;Hopwood&lt;/Author&gt;&lt;Year&gt;1996&lt;/Year&gt;&lt;RecNum&gt;1694&lt;/RecNum&gt;&lt;DisplayText&gt;(Hopwood, 1996)&lt;/DisplayText&gt;&lt;record&gt;&lt;rec-number&gt;1694&lt;/rec-number&gt;&lt;foreign-keys&gt;&lt;key app="EN" db-id="sd9wrx9fj09rx3erprsx999o0r5aprvp2zse" timestamp="1688379603" guid="c61ee2fa-efaa-4124-b555-3722f452e573"&gt;1694&lt;/key&gt;&lt;/foreign-keys&gt;&lt;ref-type name="Book Section"&gt;5&lt;/ref-type&gt;&lt;contributors&gt;&lt;authors&gt;&lt;author&gt;Hopwood, D.&lt;/author&gt;&lt;/authors&gt;&lt;secondary-authors&gt;&lt;author&gt;Bamcroft, J. D. &lt;/author&gt;&lt;author&gt;Stevens, A.&lt;/author&gt;&lt;/secondary-authors&gt;&lt;/contributors&gt;&lt;titles&gt;&lt;title&gt;Fixation and fixatives&lt;/title&gt;&lt;secondary-title&gt;Theory and Practice of Histological Techniques.&lt;/secondary-title&gt;&lt;/titles&gt;&lt;pages&gt;23-46&lt;/pages&gt;&lt;dates&gt;&lt;year&gt;1996&lt;/year&gt;&lt;/dates&gt;&lt;pub-location&gt;Hong Kong&lt;/pub-location&gt;&lt;publisher&gt;Churchill Livingston&lt;/publisher&gt;&lt;urls&gt;&lt;/urls&gt;&lt;/record&gt;&lt;/Cite&gt;&lt;/EndNote&gt;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138" w:tooltip="Hopwood, 1996 #1694" w:history="1">
        <w:r w:rsidR="00950097" w:rsidRPr="009819CE">
          <w:rPr>
            <w:rFonts w:cstheme="minorBidi"/>
            <w:color w:val="000000" w:themeColor="text1"/>
          </w:rPr>
          <w:t>Hopwood, 1996</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After a 24-hour period, samples were transferred to 70% industrial methylated spirit and sent to CEFAS </w:t>
      </w:r>
      <w:r w:rsidR="00EE44CD" w:rsidRPr="009819CE">
        <w:rPr>
          <w:rFonts w:cstheme="minorBidi"/>
        </w:rPr>
        <w:t xml:space="preserve">(Centre for Environment, Fisheries, and Aquaculture Science) </w:t>
      </w:r>
      <w:r w:rsidRPr="009819CE">
        <w:rPr>
          <w:rFonts w:cstheme="minorBidi"/>
          <w:color w:val="000000" w:themeColor="text1"/>
        </w:rPr>
        <w:t xml:space="preserve">Weymouth Laboratory (UK) for further processing and analysis. Fixed samples were processed to wax using a vacuum infiltration processor following standard protocols </w:t>
      </w:r>
      <w:r w:rsidRPr="009819CE">
        <w:rPr>
          <w:rFonts w:cstheme="minorBidi"/>
          <w:color w:val="000000" w:themeColor="text1"/>
        </w:rPr>
        <w:fldChar w:fldCharType="begin">
          <w:fldData xml:space="preserve">PEVuZE5vdGU+PENpdGU+PEF1dGhvcj5TdGVudGlmb3JkPC9BdXRob3I+PFllYXI+MjAxMjwvWWVh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</w:fldData>
        </w:fldChar>
      </w:r>
      <w:r w:rsidR="00EE7FB9">
        <w:rPr>
          <w:rFonts w:cstheme="minorBidi"/>
          <w:color w:val="000000" w:themeColor="text1"/>
        </w:rPr>
        <w:instrText xml:space="preserve"> ADDIN EN.CITE </w:instrText>
      </w:r>
      <w:r w:rsidR="00EE7FB9">
        <w:rPr>
          <w:rFonts w:cstheme="minorBidi"/>
          <w:color w:val="000000" w:themeColor="text1"/>
        </w:rPr>
        <w:fldChar w:fldCharType="begin">
          <w:fldData xml:space="preserve">PEVuZE5vdGU+PENpdGU+PEF1dGhvcj5TdGVudGlmb3JkPC9BdXRob3I+PFllYXI+MjAxMjwvWWVh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</w:fldData>
        </w:fldChar>
      </w:r>
      <w:r w:rsidR="00EE7FB9">
        <w:rPr>
          <w:rFonts w:cstheme="minorBidi"/>
          <w:color w:val="000000" w:themeColor="text1"/>
        </w:rPr>
        <w:instrText xml:space="preserve"> ADDIN EN.CITE.DATA </w:instrText>
      </w:r>
      <w:r w:rsidR="00EE7FB9">
        <w:rPr>
          <w:rFonts w:cstheme="minorBidi"/>
          <w:color w:val="000000" w:themeColor="text1"/>
        </w:rPr>
      </w:r>
      <w:r w:rsidR="00EE7FB9">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9819CE">
        <w:rPr>
          <w:rFonts w:cstheme="minorBidi"/>
          <w:noProof/>
          <w:color w:val="000000" w:themeColor="text1"/>
        </w:rPr>
        <w:t>(</w:t>
      </w:r>
      <w:hyperlink w:anchor="_ENREF_299" w:tooltip="Stentiford, 2012 #44" w:history="1">
        <w:r w:rsidR="00950097" w:rsidRPr="009819CE">
          <w:rPr>
            <w:rFonts w:cstheme="minorBidi"/>
            <w:noProof/>
            <w:color w:val="000000" w:themeColor="text1"/>
          </w:rPr>
          <w:t>Stentiford et al., 2012</w:t>
        </w:r>
      </w:hyperlink>
      <w:r w:rsidR="00D50EFF" w:rsidRPr="009819CE">
        <w:rPr>
          <w:rFonts w:cstheme="minorBidi"/>
          <w:noProof/>
          <w:color w:val="000000" w:themeColor="text1"/>
        </w:rPr>
        <w:t xml:space="preserve">; </w:t>
      </w:r>
      <w:hyperlink w:anchor="_ENREF_301" w:tooltip="Stentiford, 2003 #274" w:history="1">
        <w:r w:rsidR="00950097" w:rsidRPr="009819CE">
          <w:rPr>
            <w:rFonts w:cstheme="minorBidi"/>
            <w:noProof/>
            <w:color w:val="000000" w:themeColor="text1"/>
          </w:rPr>
          <w:t>Stentiford et al., 2003</w:t>
        </w:r>
      </w:hyperlink>
      <w:r w:rsidR="00D50EFF" w:rsidRPr="009819CE">
        <w:rPr>
          <w:rFonts w:cstheme="minorBidi"/>
          <w:noProof/>
          <w:color w:val="000000" w:themeColor="text1"/>
        </w:rPr>
        <w:t>)</w:t>
      </w:r>
      <w:r w:rsidRPr="009819CE">
        <w:rPr>
          <w:rFonts w:cstheme="minorBidi"/>
          <w:color w:val="000000" w:themeColor="text1"/>
        </w:rPr>
        <w:fldChar w:fldCharType="end"/>
      </w:r>
      <w:r w:rsidRPr="009819CE">
        <w:rPr>
          <w:rFonts w:cstheme="minorBidi"/>
          <w:color w:val="000000" w:themeColor="text1"/>
        </w:rPr>
        <w:t xml:space="preserve">. Sections were cut at a thickness of 3 to 5 μm on a rotary microtome and then mounted onto glass slides before staining with haematoxylin and eosin (HE). Stained sections were analysed using light microscopy (Nikon Eclipse E800) and digital images were captured using the Lucia™ Screen Measurement System (Nikon) and SLIDEVIEW </w:t>
      </w:r>
      <w:r w:rsidRPr="009819CE">
        <w:rPr>
          <w:rFonts w:cstheme="minorBidi"/>
          <w:color w:val="000000" w:themeColor="text1"/>
          <w:vertAlign w:val="superscript"/>
        </w:rPr>
        <w:t>TM</w:t>
      </w:r>
      <w:r w:rsidRPr="009819CE">
        <w:rPr>
          <w:rFonts w:cstheme="minorBidi"/>
          <w:color w:val="000000" w:themeColor="text1"/>
        </w:rPr>
        <w:t xml:space="preserve"> VS200 Research Slide Scanner (Olympus Life Science). Tissue histology was conducted on n=122 samples, serving as an additional tool to PCR for screening the presence of </w:t>
      </w:r>
      <w:r w:rsidR="009D03F4" w:rsidRPr="009819CE">
        <w:rPr>
          <w:rFonts w:cstheme="minorBidi"/>
          <w:i/>
          <w:color w:val="000000" w:themeColor="text1"/>
        </w:rPr>
        <w:t>Hematodinium</w:t>
      </w:r>
      <w:r w:rsidRPr="009819CE">
        <w:rPr>
          <w:rFonts w:cstheme="minorBidi"/>
          <w:color w:val="000000" w:themeColor="text1"/>
        </w:rPr>
        <w:t xml:space="preserve"> sp. in tissues from the ‘pathobiome-set’.  The presence of </w:t>
      </w:r>
      <w:r w:rsidR="009D03F4" w:rsidRPr="009819CE">
        <w:rPr>
          <w:rFonts w:cstheme="minorBidi"/>
          <w:i/>
          <w:iCs/>
          <w:color w:val="000000" w:themeColor="text1"/>
        </w:rPr>
        <w:t>Hematodinium</w:t>
      </w:r>
      <w:r w:rsidRPr="009819CE">
        <w:rPr>
          <w:rFonts w:cstheme="minorBidi"/>
          <w:color w:val="000000" w:themeColor="text1"/>
        </w:rPr>
        <w:t xml:space="preserve"> sp. infection in tissues was evaluated using a simple scoring system (0 and 1). In this system, a score of 0 indicates no visible presence of </w:t>
      </w:r>
      <w:r w:rsidR="009D03F4" w:rsidRPr="009819CE">
        <w:rPr>
          <w:rFonts w:cstheme="minorBidi"/>
          <w:i/>
          <w:iCs/>
          <w:color w:val="000000" w:themeColor="text1"/>
        </w:rPr>
        <w:t>Hematodinium</w:t>
      </w:r>
      <w:r w:rsidRPr="009819CE">
        <w:rPr>
          <w:rFonts w:cstheme="minorBidi"/>
          <w:color w:val="000000" w:themeColor="text1"/>
        </w:rPr>
        <w:t xml:space="preserve"> sp., whereas a score of 1 denotes the presence of parasites in the tissue. </w:t>
      </w:r>
    </w:p>
    <w:p w14:paraId="15EBFB72" w14:textId="77777777" w:rsidR="00D15123" w:rsidRPr="009819CE" w:rsidRDefault="00D15123" w:rsidP="0055220B">
      <w:pPr>
        <w:spacing w:after="0"/>
        <w:rPr>
          <w:rFonts w:cstheme="minorBidi"/>
          <w:color w:val="000000" w:themeColor="text1"/>
        </w:rPr>
        <w:sectPr w:rsidR="00D15123" w:rsidRPr="009819CE" w:rsidSect="00B97CAE">
          <w:headerReference w:type="default" r:id="rId73"/>
          <w:footerReference w:type="default" r:id="rId74"/>
          <w:pgSz w:w="12240" w:h="15840"/>
          <w:pgMar w:top="1440" w:right="1440" w:bottom="1440" w:left="1440" w:header="708" w:footer="708" w:gutter="0"/>
          <w:cols w:space="708"/>
          <w:docGrid w:linePitch="360"/>
        </w:sectPr>
      </w:pPr>
    </w:p>
    <w:p w14:paraId="29DE1909" w14:textId="77777777" w:rsidR="0055220B" w:rsidRPr="009819CE" w:rsidRDefault="0055220B" w:rsidP="00FD0393">
      <w:pPr>
        <w:pStyle w:val="Heading3"/>
        <w:rPr>
          <w:rFonts w:cstheme="minorBidi"/>
        </w:rPr>
      </w:pPr>
      <w:bookmarkStart w:id="255" w:name="_Toc204106642"/>
      <w:r w:rsidRPr="009819CE">
        <w:rPr>
          <w:rFonts w:cstheme="minorBidi"/>
        </w:rPr>
        <w:t>DNA extraction</w:t>
      </w:r>
      <w:bookmarkEnd w:id="255"/>
    </w:p>
    <w:p w14:paraId="48732FE8" w14:textId="657EF7F5" w:rsidR="0055220B" w:rsidRPr="009819CE" w:rsidRDefault="0055220B" w:rsidP="0055220B">
      <w:pPr>
        <w:ind w:left="-10"/>
        <w:rPr>
          <w:rFonts w:cstheme="minorBidi"/>
        </w:rPr>
      </w:pPr>
      <w:r w:rsidRPr="009819CE">
        <w:rPr>
          <w:rFonts w:cstheme="minorBidi"/>
        </w:rPr>
        <w:t xml:space="preserve">DNA from the haemolymph (n=195) and gut (n=200) of the ‘pathobiome-set’ was extracted using the Promega Maxwell® RSC Tissue DNA Kit (Promega, United Kingdom) following the manufacturer's protocol. Prior to extraction, ethanol was removed from the samples by freeze-drying. Dried samples were resuspended in 700 µL of Lifton's buffer for haemolymph and 600 µl for gut </w:t>
      </w:r>
      <w:r w:rsidR="008328BF" w:rsidRPr="00FA7D47">
        <w:rPr>
          <w:rFonts w:cstheme="minorBidi"/>
        </w:rPr>
        <w:t>samples and</w:t>
      </w:r>
      <w:r w:rsidRPr="009819CE">
        <w:rPr>
          <w:rFonts w:cstheme="minorBidi"/>
        </w:rPr>
        <w:t xml:space="preserve"> then shaken using a bead beater for 2 mins at a speed of 500 rpm. Subsequently, samples were centrifuged for 2 mins at 9,000 rpm, and 20 µl of Proteinase K (10 ug/mL) was added. The samples were digested overnight at 57°C before extraction. DNA was then eluted in 100 µl of elution buffer</w:t>
      </w:r>
      <w:r w:rsidR="00DF7DE5" w:rsidRPr="009819CE">
        <w:rPr>
          <w:rFonts w:cstheme="minorBidi"/>
        </w:rPr>
        <w:t xml:space="preserve"> (EB)</w:t>
      </w:r>
      <w:r w:rsidRPr="009819CE">
        <w:rPr>
          <w:rFonts w:cstheme="minorBidi"/>
        </w:rPr>
        <w:t>. The purity and concentration of the extracted DNA were evaluated using a NanoDrop ND-1000 Spectrophotometer (Thermo Fisher Scientific, United Kingdom). Concentrations were further confirmed using a Qubit 2.0 Fluorometer (Thermo Fisher Scientific, United Kingdom).</w:t>
      </w:r>
    </w:p>
    <w:p w14:paraId="0601B59F" w14:textId="73DCFEB5" w:rsidR="0055220B" w:rsidRPr="009819CE" w:rsidRDefault="0055220B" w:rsidP="00FD0393">
      <w:pPr>
        <w:pStyle w:val="Heading3"/>
        <w:rPr>
          <w:rFonts w:cstheme="minorBidi"/>
        </w:rPr>
      </w:pPr>
      <w:bookmarkStart w:id="256" w:name="_Toc204106643"/>
      <w:r w:rsidRPr="009819CE">
        <w:rPr>
          <w:rFonts w:cstheme="minorBidi"/>
        </w:rPr>
        <w:t xml:space="preserve">Molecular detection of </w:t>
      </w:r>
      <w:r w:rsidR="009D03F4" w:rsidRPr="009819CE">
        <w:rPr>
          <w:rFonts w:cstheme="minorBidi"/>
          <w:i/>
        </w:rPr>
        <w:t>Hematodinium</w:t>
      </w:r>
      <w:r w:rsidRPr="009819CE">
        <w:rPr>
          <w:rFonts w:cstheme="minorBidi"/>
        </w:rPr>
        <w:t xml:space="preserve"> sp.</w:t>
      </w:r>
      <w:bookmarkEnd w:id="256"/>
      <w:r w:rsidRPr="009819CE">
        <w:rPr>
          <w:rFonts w:cstheme="minorBidi"/>
        </w:rPr>
        <w:t xml:space="preserve"> </w:t>
      </w:r>
    </w:p>
    <w:p w14:paraId="0AA13C2D" w14:textId="23AAEA7C" w:rsidR="0055220B" w:rsidRPr="009819CE" w:rsidRDefault="00A541AD" w:rsidP="0055220B">
      <w:pPr>
        <w:rPr>
          <w:rFonts w:eastAsiaTheme="minorEastAsia" w:cstheme="minorBidi"/>
          <w:color w:val="000000" w:themeColor="text1"/>
        </w:rPr>
      </w:pPr>
      <w:r w:rsidRPr="00FA7D47">
        <w:rPr>
          <w:rFonts w:eastAsiaTheme="minorEastAsia" w:cstheme="minorBidi"/>
          <w:color w:val="000000" w:themeColor="text1"/>
        </w:rPr>
        <w:t xml:space="preserve">Screening for the </w:t>
      </w:r>
      <w:r w:rsidR="0055220B" w:rsidRPr="009819CE">
        <w:rPr>
          <w:rFonts w:eastAsiaTheme="minorEastAsia" w:cstheme="minorBidi"/>
          <w:color w:val="000000" w:themeColor="text1"/>
        </w:rPr>
        <w:t xml:space="preserve">presence of </w:t>
      </w:r>
      <w:r w:rsidR="009D03F4" w:rsidRPr="009819CE">
        <w:rPr>
          <w:rFonts w:eastAsiaTheme="minorEastAsia" w:cstheme="minorBidi"/>
          <w:i/>
          <w:iCs/>
          <w:color w:val="000000" w:themeColor="text1"/>
        </w:rPr>
        <w:t>Hematodinium</w:t>
      </w:r>
      <w:r w:rsidR="0055220B" w:rsidRPr="009819CE">
        <w:rPr>
          <w:rFonts w:eastAsiaTheme="minorEastAsia" w:cstheme="minorBidi"/>
          <w:i/>
          <w:iCs/>
          <w:color w:val="000000" w:themeColor="text1"/>
        </w:rPr>
        <w:t xml:space="preserve"> </w:t>
      </w:r>
      <w:r w:rsidR="0055220B" w:rsidRPr="009819CE">
        <w:rPr>
          <w:rFonts w:eastAsiaTheme="minorEastAsia" w:cstheme="minorBidi"/>
          <w:color w:val="000000" w:themeColor="text1"/>
        </w:rPr>
        <w:t xml:space="preserve">sp. in haemolymph samples was performed using PCR amplification of the ITS1 region. </w:t>
      </w:r>
      <w:r w:rsidR="00180AAC">
        <w:t>Specific primers were designed using the representative sequence</w:t>
      </w:r>
      <w:r w:rsidR="0055220B" w:rsidRPr="009819CE">
        <w:rPr>
          <w:rFonts w:eastAsiaTheme="minorEastAsia" w:cstheme="minorBidi"/>
          <w:color w:val="000000" w:themeColor="text1"/>
        </w:rPr>
        <w:t xml:space="preserve"> DQ871209 of </w:t>
      </w:r>
      <w:r w:rsidR="009D03F4" w:rsidRPr="009819CE">
        <w:rPr>
          <w:rFonts w:eastAsiaTheme="minorEastAsia" w:cstheme="minorBidi"/>
          <w:i/>
          <w:iCs/>
          <w:color w:val="000000" w:themeColor="text1"/>
        </w:rPr>
        <w:t>Hematodinium</w:t>
      </w:r>
      <w:r w:rsidR="0055220B" w:rsidRPr="009819CE">
        <w:rPr>
          <w:rFonts w:eastAsiaTheme="minorEastAsia" w:cstheme="minorBidi"/>
          <w:color w:val="000000" w:themeColor="text1"/>
        </w:rPr>
        <w:t xml:space="preserve"> sp. from </w:t>
      </w:r>
      <w:r w:rsidR="00C31E47" w:rsidRPr="009819CE">
        <w:rPr>
          <w:rFonts w:eastAsiaTheme="minorEastAsia" w:cstheme="minorBidi"/>
          <w:i/>
          <w:iCs/>
          <w:color w:val="000000" w:themeColor="text1"/>
        </w:rPr>
        <w:t>Nephrops</w:t>
      </w:r>
      <w:r w:rsidR="0055220B" w:rsidRPr="009819CE">
        <w:rPr>
          <w:rFonts w:eastAsiaTheme="minorEastAsia" w:cstheme="minorBidi"/>
          <w:color w:val="000000" w:themeColor="text1"/>
        </w:rPr>
        <w:t xml:space="preserve"> as a template in Primer3 software </w:t>
      </w:r>
      <w:r w:rsidR="0055220B" w:rsidRPr="009819CE">
        <w:rPr>
          <w:rFonts w:eastAsiaTheme="minorEastAsia" w:cstheme="minorBidi"/>
          <w:color w:val="000000" w:themeColor="text1"/>
        </w:rPr>
        <w:fldChar w:fldCharType="begin"/>
      </w:r>
      <w:r w:rsidR="00871B4F">
        <w:rPr>
          <w:rFonts w:eastAsiaTheme="minorEastAsia" w:cstheme="minorBidi"/>
          <w:color w:val="000000" w:themeColor="text1"/>
        </w:rPr>
        <w:instrText xml:space="preserve"> ADDIN EN.CITE &lt;EndNote&gt;&lt;Cite&gt;&lt;Author&gt;Rozen&lt;/Author&gt;&lt;Year&gt;2000&lt;/Year&gt;&lt;RecNum&gt;1261&lt;/RecNum&gt;&lt;DisplayText&gt;(Rozen and Skaletsky, 2000)&lt;/DisplayText&gt;&lt;record&gt;&lt;rec-number&gt;1261&lt;/rec-number&gt;&lt;foreign-keys&gt;&lt;key app="EN" db-id="sd9wrx9fj09rx3erprsx999o0r5aprvp2zse" timestamp="1687855902" guid="f5e1c8ae-79d6-4f33-bc93-b85f4f8deb03"&gt;1261&lt;/key&gt;&lt;/foreign-keys&gt;&lt;ref-type name="Journal Article"&gt;17&lt;/ref-type&gt;&lt;contributors&gt;&lt;authors&gt;&lt;author&gt;Rozen, S.&lt;/author&gt;&lt;author&gt;Skaletsky, H.&lt;/author&gt;&lt;/authors&gt;&lt;/contributors&gt;&lt;titles&gt;&lt;title&gt;Primer3 on the WWW for general users and for biologist programmers&lt;/title&gt;&lt;secondary-title&gt;Methods in Molecular Biology&lt;/secondary-title&gt;&lt;/titles&gt;&lt;periodical&gt;&lt;full-title&gt;Methods in molecular biology&lt;/full-title&gt;&lt;/periodical&gt;&lt;pages&gt;365-386&lt;/pages&gt;&lt;volume&gt;132&lt;/volume&gt;&lt;keywords&gt;&lt;keyword&gt;Base Sequence&lt;/keyword&gt;&lt;keyword&gt;DNA Primers&lt;/keyword&gt;&lt;keyword&gt;Database Management Systems*&lt;/keyword&gt;&lt;keyword&gt;H Skaletsky&lt;/keyword&gt;&lt;keyword&gt;Internet*&lt;/keyword&gt;&lt;keyword&gt;MEDLINE&lt;/keyword&gt;&lt;keyword&gt;Molecular Sequence Data&lt;/keyword&gt;&lt;keyword&gt;NCBI&lt;/keyword&gt;&lt;keyword&gt;NIH&lt;/keyword&gt;&lt;keyword&gt;NLM&lt;/keyword&gt;&lt;keyword&gt;National Center for Biotechnology Information&lt;/keyword&gt;&lt;keyword&gt;National Institutes of Health&lt;/keyword&gt;&lt;keyword&gt;National Library of Medicine&lt;/keyword&gt;&lt;keyword&gt;Non-U.S. Gov&amp;apos;t&lt;/keyword&gt;&lt;keyword&gt;Nucleic Acid&lt;/keyword&gt;&lt;keyword&gt;P.H.S.&lt;/keyword&gt;&lt;keyword&gt;Polymerase Chain Reaction&lt;/keyword&gt;&lt;keyword&gt;PubMed Abstract&lt;/keyword&gt;&lt;keyword&gt;Research Support&lt;/keyword&gt;&lt;keyword&gt;S Rozen&lt;/keyword&gt;&lt;keyword&gt;Sequence Homology&lt;/keyword&gt;&lt;keyword&gt;U.S. Gov&amp;apos;t&lt;/keyword&gt;&lt;keyword&gt;User-Computer Interface&lt;/keyword&gt;&lt;keyword&gt;doi:10.1385/1-59259-192-2:365&lt;/keyword&gt;&lt;keyword&gt;pmid:10547847&lt;/keyword&gt;&lt;/keywords&gt;&lt;dates&gt;&lt;year&gt;2000&lt;/year&gt;&lt;/dates&gt;&lt;publisher&gt;Methods in Molecular Biology&lt;/publisher&gt;&lt;urls&gt;&lt;related-urls&gt;&lt;url&gt;https://pubmed.ncbi.nlm.nih.gov/10547847/&lt;/url&gt;&lt;/related-urls&gt;&lt;/urls&gt;&lt;custom2&gt;10547847&lt;/custom2&gt;&lt;electronic-resource-num&gt;10.1385/1-59259-192-2:365&lt;/electronic-resource-num&gt;&lt;/record&gt;&lt;/Cite&gt;&lt;/EndNote&gt;</w:instrText>
      </w:r>
      <w:r w:rsidR="0055220B" w:rsidRPr="009819CE">
        <w:rPr>
          <w:rFonts w:eastAsiaTheme="minorEastAsia" w:cstheme="minorBidi"/>
          <w:color w:val="000000" w:themeColor="text1"/>
        </w:rPr>
        <w:fldChar w:fldCharType="separate"/>
      </w:r>
      <w:r w:rsidR="00D50EFF" w:rsidRPr="009819CE">
        <w:rPr>
          <w:rFonts w:eastAsiaTheme="minorEastAsia" w:cstheme="minorBidi"/>
          <w:noProof/>
          <w:color w:val="000000" w:themeColor="text1"/>
        </w:rPr>
        <w:t>(</w:t>
      </w:r>
      <w:hyperlink w:anchor="_ENREF_262" w:tooltip="Rozen, 2000 #1261" w:history="1">
        <w:r w:rsidR="00950097" w:rsidRPr="009819CE">
          <w:rPr>
            <w:rFonts w:eastAsiaTheme="minorEastAsia" w:cstheme="minorBidi"/>
            <w:noProof/>
            <w:color w:val="000000" w:themeColor="text1"/>
          </w:rPr>
          <w:t>Rozen and Skaletsky, 2000</w:t>
        </w:r>
      </w:hyperlink>
      <w:r w:rsidR="00D50EFF" w:rsidRPr="009819CE">
        <w:rPr>
          <w:rFonts w:eastAsiaTheme="minorEastAsia" w:cstheme="minorBidi"/>
          <w:noProof/>
          <w:color w:val="000000" w:themeColor="text1"/>
        </w:rPr>
        <w:t>)</w:t>
      </w:r>
      <w:r w:rsidR="0055220B" w:rsidRPr="009819CE">
        <w:rPr>
          <w:rFonts w:eastAsiaTheme="minorEastAsia" w:cstheme="minorBidi"/>
          <w:color w:val="000000" w:themeColor="text1"/>
        </w:rPr>
        <w:fldChar w:fldCharType="end"/>
      </w:r>
      <w:r w:rsidR="0055220B" w:rsidRPr="009819CE">
        <w:rPr>
          <w:rFonts w:eastAsiaTheme="minorEastAsia" w:cstheme="minorBidi"/>
          <w:color w:val="000000" w:themeColor="text1"/>
        </w:rPr>
        <w:t xml:space="preserve">. The forward primer HSPP-F1 (5’GGAAGTTTAGTGAACCTTATCAC’3, Tm= 68.2°C) and the reverse primer HSPP-R1 (5’CAGCCTTTTCCAGTTTCTGGAAG’3, Tm= 71.8°C) were selected for the amplification of </w:t>
      </w:r>
      <w:r w:rsidR="009D03F4" w:rsidRPr="009819CE">
        <w:rPr>
          <w:rFonts w:eastAsiaTheme="minorEastAsia" w:cstheme="minorBidi"/>
          <w:i/>
          <w:iCs/>
          <w:color w:val="000000" w:themeColor="text1"/>
        </w:rPr>
        <w:t>Hematodinium</w:t>
      </w:r>
      <w:r w:rsidR="0055220B" w:rsidRPr="009819CE">
        <w:rPr>
          <w:rFonts w:eastAsiaTheme="minorEastAsia" w:cstheme="minorBidi"/>
          <w:color w:val="000000" w:themeColor="text1"/>
        </w:rPr>
        <w:t xml:space="preserve"> sp. PCR was performed in a total reaction volume of 25 µl, using GoTaq® Green Master Mix (Promega, UK).</w:t>
      </w:r>
      <w:r w:rsidR="0055220B" w:rsidRPr="009819CE">
        <w:rPr>
          <w:rFonts w:cstheme="minorBidi"/>
          <w:color w:val="000000" w:themeColor="text1"/>
        </w:rPr>
        <w:t xml:space="preserve"> </w:t>
      </w:r>
      <w:r w:rsidR="0055220B" w:rsidRPr="009819CE">
        <w:rPr>
          <w:rFonts w:eastAsiaTheme="minorEastAsia" w:cstheme="minorBidi"/>
          <w:color w:val="000000" w:themeColor="text1"/>
        </w:rPr>
        <w:t>Positive and negative controls were run alongside all screening PCR reactions. The PCR was conducted on a Systemics™ PCR machine using the following thermal profile: initial denaturation at 94°C for 5 mins, then 35 cycles of denaturation at 94°C for 30s, annealing at 56°C for 30s and extension at 72°C for 1 min 30 s, with a final extension of 72°C for 5 mins. A 5 µL aliquot of each PCR  product was checked using 1.5 % agarose gel containing 0.1 μg/mL ethidium bromide in Tris-Acetate-EDTA (TAE) buffer. Images were captured with a BioRad™ gel documentation system. For sequence verification, the PCR amplicons were purified using a WIZARD clean-up kit, in accordance with the manufacturer's instructions, and subsequently sent for sequencing to Eurofins Genomics, UK.</w:t>
      </w:r>
      <w:r w:rsidR="008328BF" w:rsidRPr="00FA7D47">
        <w:t xml:space="preserve"> </w:t>
      </w:r>
      <w:r w:rsidR="008328BF" w:rsidRPr="00FA7D47">
        <w:rPr>
          <w:rFonts w:eastAsiaTheme="minorEastAsia" w:cstheme="minorBidi"/>
          <w:color w:val="000000" w:themeColor="text1"/>
        </w:rPr>
        <w:t xml:space="preserve">The resulting sequences were </w:t>
      </w:r>
      <w:r w:rsidR="00D70428">
        <w:t>nucleotide BLAST (blastn</w:t>
      </w:r>
      <w:r w:rsidR="00D70428">
        <w:rPr>
          <w:lang w:val="es-ES"/>
        </w:rPr>
        <w:t>)</w:t>
      </w:r>
      <w:r w:rsidR="008328BF" w:rsidRPr="00FA7D47">
        <w:rPr>
          <w:rFonts w:eastAsiaTheme="minorEastAsia" w:cstheme="minorBidi"/>
          <w:color w:val="000000" w:themeColor="text1"/>
        </w:rPr>
        <w:t xml:space="preserve"> in GenBank, with the top hit identified as </w:t>
      </w:r>
      <w:r w:rsidR="008328BF" w:rsidRPr="007268F5">
        <w:rPr>
          <w:rFonts w:eastAsiaTheme="minorEastAsia" w:cstheme="minorBidi"/>
          <w:i/>
          <w:iCs/>
          <w:color w:val="000000" w:themeColor="text1"/>
        </w:rPr>
        <w:t>Hematodinium</w:t>
      </w:r>
      <w:r w:rsidR="008328BF" w:rsidRPr="00FA7D47">
        <w:rPr>
          <w:rFonts w:eastAsiaTheme="minorEastAsia" w:cstheme="minorBidi"/>
          <w:color w:val="000000" w:themeColor="text1"/>
        </w:rPr>
        <w:t xml:space="preserve"> spp. (data not included).</w:t>
      </w:r>
    </w:p>
    <w:p w14:paraId="668E52A7" w14:textId="77777777" w:rsidR="0055220B" w:rsidRPr="009819CE" w:rsidRDefault="0055220B" w:rsidP="00FD0393">
      <w:pPr>
        <w:pStyle w:val="Heading3"/>
        <w:rPr>
          <w:rFonts w:cstheme="minorBidi"/>
        </w:rPr>
      </w:pPr>
      <w:bookmarkStart w:id="257" w:name="_Toc204106644"/>
      <w:r w:rsidRPr="009819CE">
        <w:rPr>
          <w:rFonts w:cstheme="minorBidi"/>
        </w:rPr>
        <w:t>Bacterial 16S rRNA amplicon sequencing</w:t>
      </w:r>
      <w:bookmarkEnd w:id="257"/>
    </w:p>
    <w:p w14:paraId="7D05B55E" w14:textId="56A3A5D6" w:rsidR="0055220B" w:rsidRPr="009819CE" w:rsidRDefault="0055220B" w:rsidP="0055220B">
      <w:pPr>
        <w:spacing w:after="0"/>
        <w:rPr>
          <w:rFonts w:cstheme="minorBidi"/>
          <w:color w:val="000000" w:themeColor="text1"/>
        </w:rPr>
      </w:pPr>
      <w:r w:rsidRPr="009819CE">
        <w:rPr>
          <w:rFonts w:cstheme="minorBidi"/>
          <w:color w:val="000000" w:themeColor="text1"/>
        </w:rPr>
        <w:t>The extracted DNA was dispatched to Novogene (Cambridge, United Kingdom) for the preparation of 16S rRNA amplicon libraries and subsequent sequencing. Among the initial pool of n=195 haemolymph samples, a subset of n=122 (equivalent to 63%) successfully met Novogene's stringent quality control criteria, thus qualifying for the subsequent stages of library preparation and sequencing. This cohort was paralleled by a corresponding set of gut samples (n=122), which underwent the same processes. Amplification of the V4 hypervariable region of the bacterial 16S rRNA gene (approximately 292 base pairs) was achieved through the utilization of specific primers: 515F (GTGCCAGCMGCCGCGGTAA) and 806R (GGACTACHVGGGTWTCTAAT). The sequencing phase was executed by Novogene, employing an Illumina paired-end platform (Illumina PE250 platform) in conjunction with an S4 flowcell on an Illumina Novaseq system (Illumina, United States).</w:t>
      </w:r>
    </w:p>
    <w:p w14:paraId="5F0BDC25" w14:textId="77777777" w:rsidR="0055220B" w:rsidRPr="009819CE" w:rsidRDefault="0055220B" w:rsidP="00FD0393">
      <w:pPr>
        <w:pStyle w:val="Heading3"/>
        <w:rPr>
          <w:rFonts w:cstheme="minorBidi"/>
        </w:rPr>
      </w:pPr>
      <w:bookmarkStart w:id="258" w:name="_Toc204106645"/>
      <w:r w:rsidRPr="009819CE">
        <w:rPr>
          <w:rFonts w:cstheme="minorBidi"/>
        </w:rPr>
        <w:t>Bioinformatics</w:t>
      </w:r>
      <w:bookmarkEnd w:id="258"/>
    </w:p>
    <w:p w14:paraId="65701DA1" w14:textId="17B8D5F1" w:rsidR="00654995" w:rsidRDefault="0055220B" w:rsidP="0055220B">
      <w:pPr>
        <w:autoSpaceDE w:val="0"/>
        <w:autoSpaceDN w:val="0"/>
        <w:adjustRightInd w:val="0"/>
        <w:rPr>
          <w:rFonts w:cstheme="minorBidi"/>
          <w:color w:val="000000" w:themeColor="text1"/>
        </w:rPr>
        <w:sectPr w:rsidR="00654995" w:rsidSect="005D4F1C">
          <w:headerReference w:type="default" r:id="rId75"/>
          <w:footerReference w:type="default" r:id="rId76"/>
          <w:pgSz w:w="12240" w:h="15840"/>
          <w:pgMar w:top="1440" w:right="1440" w:bottom="1440" w:left="1440" w:header="708" w:footer="708" w:gutter="0"/>
          <w:cols w:space="708"/>
          <w:docGrid w:linePitch="360"/>
        </w:sectPr>
      </w:pPr>
      <w:r w:rsidRPr="009819CE">
        <w:rPr>
          <w:rFonts w:cstheme="minorBidi"/>
          <w:color w:val="000000" w:themeColor="text1"/>
        </w:rPr>
        <w:t xml:space="preserve">Data processing was executed on a Debian Linux (version 10) system, utilizing an HP workstation equipped with 32 processors. For the processing of raw paired-end (PE) fastq files, a tailored Python pipeline was devised, integrating Mothur's Standard Operating Procedure (SOP)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&lt;EndNote&gt;&lt;Cite&gt;&lt;Author&gt;Schloss&lt;/Author&gt;&lt;Year&gt;2009&lt;/Year&gt;&lt;RecNum&gt;50&lt;/RecNum&gt;&lt;DisplayText&gt;(Schloss et al., 2009)&lt;/DisplayText&gt;&lt;record&gt;&lt;rec-number&gt;50&lt;/rec-number&gt;&lt;foreign-keys&gt;&lt;key app="EN" db-id="rz0tfatv1s09wuezswapzsf99te9p0txe950" timestamp="1644486986"&gt;50&lt;/key&gt;&lt;/foreign-keys&gt;&lt;ref-type name="Journal Article"&gt;17&lt;/ref-type&gt;&lt;contributors&gt;&lt;authors&gt;&lt;author&gt;Schloss, Patrick D.&lt;/author&gt;&lt;author&gt;Westcott, Sarah L.&lt;/author&gt;&lt;author&gt;Ryabin, Thomas&lt;/author&gt;&lt;author&gt;Hall, Justine R.&lt;/author&gt;&lt;author&gt;Hartmann, Martin&lt;/author&gt;&lt;author&gt;Hollister, Emily B.&lt;/author&gt;&lt;author&gt;Lesniewski, Ryan A.&lt;/author&gt;&lt;author&gt;Oakley, Brian B.&lt;/author&gt;&lt;author&gt;Parks, Donovan H.&lt;/author&gt;&lt;author&gt;Robinson, Courtney J.&lt;/author&gt;&lt;author&gt;Sahl, Jason W.&lt;/author&gt;&lt;author&gt;Stres, Blaz&lt;/author&gt;&lt;author&gt;Thallinger, Gerhard G.&lt;/author&gt;&lt;author&gt;Van Horn, David J.&lt;/author&gt;&lt;author&gt;Weber, Carolyn F.&lt;/author&gt;&lt;/authors&gt;&lt;/contributors&gt;&lt;titles&gt;&lt;title&gt;Introducing mothur: Open-Source, Platform-Independent, Community-Supported Software for Describing and Comparing Microbial Communities&lt;/title&gt;&lt;secondary-title&gt;Applied and Environmental Microbiology&lt;/secondary-title&gt;&lt;/titles&gt;&lt;periodical&gt;&lt;full-title&gt;Applied and environmental microbiology&lt;/full-title&gt;&lt;abbr-1&gt;Appl Environ Microbiol&lt;/abbr-1&gt;&lt;/periodical&gt;&lt;pages&gt;7537&lt;/pages&gt;&lt;volume&gt;75&lt;/volume&gt;&lt;number&gt;23&lt;/number&gt;&lt;dates&gt;&lt;year&gt;2009&lt;/year&gt;&lt;/dates&gt;&lt;urls&gt;&lt;related-urls&gt;&lt;url&gt;http://aem.asm.org/content/75/23/7537.abstract&lt;/url&gt;&lt;/related-urls&gt;&lt;/urls&gt;&lt;electronic-resource-num&gt;10.1128/AEM.01541-09&lt;/electronic-resource-num&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272" w:tooltip="Schloss, 2009 #50" w:history="1">
        <w:r w:rsidR="00950097" w:rsidRPr="009819CE">
          <w:rPr>
            <w:rFonts w:cstheme="minorBidi"/>
            <w:color w:val="000000" w:themeColor="text1"/>
          </w:rPr>
          <w:t>Schloss et al., 2009</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along with the SILVA reference database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&lt;EndNote&gt;&lt;Cite&gt;&lt;Author&gt;Quast&lt;/Author&gt;&lt;Year&gt;2013&lt;/Year&gt;&lt;RecNum&gt;1327&lt;/RecNum&gt;&lt;DisplayText&gt;(Quast et al., 2013)&lt;/DisplayText&gt;&lt;record&gt;&lt;rec-number&gt;1327&lt;/rec-number&gt;&lt;foreign-keys&gt;&lt;key app="EN" db-id="sd9wrx9fj09rx3erprsx999o0r5aprvp2zse" timestamp="1687855902" guid="d79ab32e-8fca-4f98-b3a8-ce6624aea57e"&gt;1327&lt;/key&gt;&lt;/foreign-keys&gt;&lt;ref-type name="Journal Article"&gt;17&lt;/ref-type&gt;&lt;contributors&gt;&lt;authors&gt;&lt;author&gt;Quast, Christian&lt;/author&gt;&lt;author&gt;Pruesse, Elmar&lt;/author&gt;&lt;author&gt;Yilmaz, Pelin&lt;/author&gt;&lt;author&gt;Gerken, Jan&lt;/author&gt;&lt;author&gt;Schweer, Timmy&lt;/author&gt;&lt;author&gt;Yarza, Pablo&lt;/author&gt;&lt;author&gt;Peplies, Jörg&lt;/author&gt;&lt;author&gt;Glöckner, Frank Oliver&lt;/author&gt;&lt;/authors&gt;&lt;/contributors&gt;&lt;titles&gt;&lt;title&gt;The SILVA ribosomal RNA gene database project: improved data processing and web-based tools&lt;/title&gt;&lt;secondary-title&gt;Nucleic Acids Research&lt;/secondary-title&gt;&lt;/titles&gt;&lt;periodical&gt;&lt;full-title&gt;Nucleic Acids Research&lt;/full-title&gt;&lt;/periodical&gt;&lt;pages&gt;D590-D596&lt;/pages&gt;&lt;volume&gt;41&lt;/volume&gt;&lt;number&gt;D1&lt;/number&gt;&lt;keywords&gt;&lt;keyword&gt;bacteria&lt;/keyword&gt;&lt;keyword&gt;quality control&lt;/keyword&gt;&lt;/keywords&gt;&lt;dates&gt;&lt;year&gt;2013&lt;/year&gt;&lt;pub-dates&gt;&lt;date&gt;2013/1//&lt;/date&gt;&lt;/pub-dates&gt;&lt;/dates&gt;&lt;publisher&gt;Oxford Academic&lt;/publisher&gt;&lt;isbn&gt;590/1069277&lt;/isbn&gt;&lt;urls&gt;&lt;related-urls&gt;&lt;url&gt;https://dx.doi.org/10.1093/nar/gks1219&lt;/url&gt;&lt;/related-urls&gt;&lt;/urls&gt;&lt;electronic-resource-num&gt;10.1093/NAR/GKS1219&lt;/electronic-resource-num&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249" w:tooltip="Quast, 2013 #1327" w:history="1">
        <w:r w:rsidR="00950097" w:rsidRPr="009819CE">
          <w:rPr>
            <w:rFonts w:cstheme="minorBidi"/>
            <w:color w:val="000000" w:themeColor="text1"/>
          </w:rPr>
          <w:t>Quast et al., 2013</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rPr>
        <w:t xml:space="preserve">This comprehensive pipeline encompassed sequence cleansing, operational taxonomic units (OTUs) clustering, and taxonomic classifications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&lt;EndNote&gt;&lt;Cite&gt;&lt;Author&gt;Elsheshtawy&lt;/Author&gt;&lt;Year&gt;2021&lt;/Year&gt;&lt;RecNum&gt;562&lt;/RecNum&gt;&lt;DisplayText&gt;(Elsheshtawy et al., 2021)&lt;/DisplayText&gt;&lt;record&gt;&lt;rec-number&gt;562&lt;/rec-number&gt;&lt;foreign-keys&gt;&lt;key app="EN" db-id="sd9wrx9fj09rx3erprsx999o0r5aprvp2zse" timestamp="1687855901" guid="31a214a0-3c73-44a6-a77a-42013873132f"&gt;562&lt;/key&gt;&lt;/foreign-keys&gt;&lt;ref-type name="Journal Article"&gt;17&lt;/ref-type&gt;&lt;contributors&gt;&lt;authors&gt;&lt;author&gt;Elsheshtawy, Ahmed&lt;/author&gt;&lt;author&gt;Clokie, Benjamin Gregory James&lt;/author&gt;&lt;author&gt;Albalat, Amaya&lt;/author&gt;&lt;author&gt;Beveridge, Allan&lt;/author&gt;&lt;author&gt;Hamza, Ahmad&lt;/author&gt;&lt;author&gt;Ibrahim, Abdelaziz&lt;/author&gt;&lt;author&gt;MacKenzie, Simon&lt;/author&gt;&lt;/authors&gt;&lt;/contributors&gt;&lt;titles&gt;&lt;title&gt;Characterization of external mucosal microbiomes of Nile tilapia and grey mullet co-cultured in semi-intensive pond systems&lt;/title&gt;&lt;secondary-title&gt;Frontiers in Microbiology&lt;/secondary-title&gt;&lt;/titles&gt;&lt;periodical&gt;&lt;full-title&gt;Frontiers in Microbiology&lt;/full-title&gt;&lt;/periodical&gt;&lt;pages&gt;3729-3729&lt;/pages&gt;&lt;volume&gt;12&lt;/volume&gt;&lt;keywords&gt;&lt;keyword&gt;Mugil capito&lt;/keyword&gt;&lt;keyword&gt;Oreochromis niloticus&lt;/keyword&gt;&lt;keyword&gt;aquaculture&lt;/keyword&gt;&lt;keyword&gt;gill microbiota&lt;/keyword&gt;&lt;keyword&gt;polyculture&lt;/keyword&gt;&lt;keyword&gt;skin microbiota&lt;/keyword&gt;&lt;/keywords&gt;&lt;dates&gt;&lt;year&gt;2021&lt;/year&gt;&lt;pub-dates&gt;&lt;date&gt;2021/12//&lt;/date&gt;&lt;/pub-dates&gt;&lt;/dates&gt;&lt;publisher&gt;Frontiers Media S.A.&lt;/publisher&gt;&lt;urls&gt;&lt;related-urls&gt;&lt;url&gt;https://doi.org/10.3389/fmicb.2021.773860&lt;/url&gt;&lt;/related-urls&gt;&lt;/urls&gt;&lt;electronic-resource-num&gt;10.3389/FMICB.2021.773860/BIBTEX&lt;/electronic-resource-num&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84" w:tooltip="Elsheshtawy, 2021 #562" w:history="1">
        <w:r w:rsidR="00950097" w:rsidRPr="009819CE">
          <w:rPr>
            <w:rFonts w:cstheme="minorBidi"/>
            <w:color w:val="000000" w:themeColor="text1"/>
          </w:rPr>
          <w:t>Elsheshtawy et al., 2021</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To enhance the efficiency of high-throughput analysis of numerous sample sets, the pipeline was compartmentalized into discrete tasks. Sequential execution of each task was accomplished by employing Mothur in batch mode. </w:t>
      </w:r>
      <w:r w:rsidRPr="009819CE">
        <w:rPr>
          <w:rFonts w:cstheme="minorBidi"/>
        </w:rPr>
        <w:t xml:space="preserve">Python scripts were employed to generate the requisite Mothur commands for individual sample fastq files and their corresponding mock fastqs. </w:t>
      </w:r>
      <w:r w:rsidRPr="009819CE">
        <w:rPr>
          <w:rFonts w:cstheme="minorBidi"/>
          <w:color w:val="000000" w:themeColor="text1"/>
        </w:rPr>
        <w:t xml:space="preserve">Statistical analyses were conducted in R Studio (Version R-4.1.2), using the Phyloseq package to compute alpha diversity </w:t>
      </w:r>
      <w:r w:rsidRPr="009819CE">
        <w:rPr>
          <w:rFonts w:cstheme="minorBidi"/>
          <w:color w:val="000000" w:themeColor="text1"/>
        </w:rPr>
        <w:fldChar w:fldCharType="begin"/>
      </w:r>
      <w:r w:rsidR="00EE7FB9">
        <w:rPr>
          <w:rFonts w:cstheme="minorBidi"/>
          <w:color w:val="000000" w:themeColor="text1"/>
        </w:rPr>
        <w:instrText xml:space="preserve"> ADDIN EN.CITE &lt;EndNote&gt;&lt;Cite&gt;&lt;Author&gt;McMurdie&lt;/Author&gt;&lt;Year&gt;2013&lt;/Year&gt;&lt;RecNum&gt;563&lt;/RecNum&gt;&lt;DisplayText&gt;(McMurdie and Holmes, 2013)&lt;/DisplayText&gt;&lt;record&gt;&lt;rec-number&gt;563&lt;/rec-number&gt;&lt;foreign-keys&gt;&lt;key app="EN" db-id="sd9wrx9fj09rx3erprsx999o0r5aprvp2zse" timestamp="1687855901" guid="ece79647-0ba6-4805-9433-bec49d045585"&gt;563&lt;/key&gt;&lt;/foreign-keys&gt;&lt;ref-type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ONE&lt;/full-title&gt;&lt;/periodical&gt;&lt;pages&gt;e61217-e61217&lt;/pages&gt;&lt;volume&gt;8&lt;/volume&gt;&lt;number&gt;4&lt;/number&gt;&lt;keywords&gt;&lt;keyword&gt;Census&lt;/keyword&gt;&lt;keyword&gt;Microbial ecology&lt;/keyword&gt;&lt;keyword&gt;Microbiome&lt;/keyword&gt;&lt;keyword&gt;Phylogenetic analysis&lt;/keyword&gt;&lt;keyword&gt;Phylogenetics&lt;/keyword&gt;&lt;keyword&gt;Preprocessing&lt;/keyword&gt;&lt;keyword&gt;Reproducibility&lt;/keyword&gt;&lt;keyword&gt;Shotgun sequencing&lt;/keyword&gt;&lt;/keywords&gt;&lt;dates&gt;&lt;year&gt;2013&lt;/year&gt;&lt;pub-dates&gt;&lt;date&gt;2013/4//&lt;/date&gt;&lt;/pub-dates&gt;&lt;/dates&gt;&lt;publisher&gt;Public Library of Science&lt;/publisher&gt;&lt;urls&gt;&lt;related-urls&gt;&lt;url&gt;https://journals.plos.org/plosone/article?id=10.1371/journal.pone.0061217&lt;/url&gt;&lt;/related-urls&gt;&lt;/urls&gt;&lt;electronic-resource-num&gt;10.1371/JOURNAL.PONE.0061217&lt;/electronic-resource-num&gt;&lt;/record&gt;&lt;/Cite&gt;&lt;/EndNote&gt;</w:instrText>
      </w:r>
      <w:r w:rsidRPr="009819CE">
        <w:rPr>
          <w:rFonts w:cstheme="minorBidi"/>
          <w:color w:val="000000" w:themeColor="text1"/>
        </w:rPr>
        <w:fldChar w:fldCharType="separate"/>
      </w:r>
      <w:r w:rsidR="00D50EFF" w:rsidRPr="009819CE">
        <w:rPr>
          <w:rFonts w:cstheme="minorBidi"/>
          <w:noProof/>
          <w:color w:val="000000" w:themeColor="text1"/>
        </w:rPr>
        <w:t>(</w:t>
      </w:r>
      <w:hyperlink w:anchor="_ENREF_210" w:tooltip="McMurdie, 2013 #563" w:history="1">
        <w:r w:rsidR="00950097" w:rsidRPr="009819CE">
          <w:rPr>
            <w:rFonts w:cstheme="minorBidi"/>
            <w:noProof/>
            <w:color w:val="000000" w:themeColor="text1"/>
          </w:rPr>
          <w:t>McMurdie and Holmes, 2013</w:t>
        </w:r>
      </w:hyperlink>
      <w:r w:rsidR="00D50EFF" w:rsidRPr="009819CE">
        <w:rPr>
          <w:rFonts w:cstheme="minorBidi"/>
          <w:noProof/>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rPr>
        <w:t>Before evaluating group differences, the homogeneity of variance in alpha-diversity indices was verified using the Shapiro-Wilk test</w:t>
      </w:r>
      <w:r w:rsidR="009F3FDA" w:rsidRPr="009819CE">
        <w:rPr>
          <w:rFonts w:cstheme="minorBidi"/>
        </w:rPr>
        <w:t xml:space="preserve"> </w:t>
      </w:r>
      <w:r w:rsidR="009F3FDA" w:rsidRPr="009819CE">
        <w:rPr>
          <w:rFonts w:cstheme="minorBidi"/>
        </w:rPr>
        <w:fldChar w:fldCharType="begin"/>
      </w:r>
      <w:r w:rsidR="00ED1A9E" w:rsidRPr="009819CE">
        <w:rPr>
          <w:rFonts w:cstheme="minorBidi"/>
        </w:rPr>
        <w:instrText xml:space="preserve"> ADDIN EN.CITE &lt;EndNote&gt;&lt;Cite&gt;&lt;Author&gt;Royston&lt;/Author&gt;&lt;Year&gt;1982&lt;/Year&gt;&lt;RecNum&gt;889&lt;/RecNum&gt;&lt;DisplayText&gt;(Royston, 1982)&lt;/DisplayText&gt;&lt;record&gt;&lt;rec-number&gt;889&lt;/rec-number&gt;&lt;foreign-keys&gt;&lt;key app="EN" db-id="sd9wrx9fj09rx3erprsx999o0r5aprvp2zse" timestamp="1687855901" guid="e5cd2346-592c-4e64-9128-22a221627196"&gt;889&lt;/key&gt;&lt;/foreign-keys&gt;&lt;ref-type name="Journal Article"&gt;17&lt;/ref-type&gt;&lt;contributors&gt;&lt;authors&gt;&lt;author&gt;Royston, J. P.&lt;/author&gt;&lt;/authors&gt;&lt;/contributors&gt;&lt;titles&gt;&lt;title&gt;An extension of Shapiro and Wilk&amp;apos;s W test for normality to large samples&lt;/title&gt;&lt;secondary-title&gt;Applied Statistics&lt;/secondary-title&gt;&lt;/titles&gt;&lt;periodical&gt;&lt;full-title&gt;Applied Statistics&lt;/full-title&gt;&lt;/periodical&gt;&lt;pages&gt;115-115&lt;/pages&gt;&lt;volume&gt;31&lt;/volume&gt;&lt;number&gt;2&lt;/number&gt;&lt;dates&gt;&lt;year&gt;1982&lt;/year&gt;&lt;/dates&gt;&lt;publisher&gt;JSTOR&lt;/publisher&gt;&lt;urls&gt;&lt;/urls&gt;&lt;electronic-resource-num&gt;10.2307/2347973&lt;/electronic-resource-num&gt;&lt;/record&gt;&lt;/Cite&gt;&lt;/EndNote&gt;</w:instrText>
      </w:r>
      <w:r w:rsidR="009F3FDA" w:rsidRPr="009819CE">
        <w:rPr>
          <w:rFonts w:cstheme="minorBidi"/>
        </w:rPr>
        <w:fldChar w:fldCharType="separate"/>
      </w:r>
      <w:r w:rsidR="009F3FDA" w:rsidRPr="007268F5">
        <w:rPr>
          <w:rFonts w:cstheme="minorBidi"/>
        </w:rPr>
        <w:t>(</w:t>
      </w:r>
      <w:hyperlink w:anchor="_ENREF_261" w:tooltip="Royston, 1982 #889" w:history="1">
        <w:r w:rsidR="00950097" w:rsidRPr="007268F5">
          <w:rPr>
            <w:rFonts w:cstheme="minorBidi"/>
          </w:rPr>
          <w:t>Royston, 1982</w:t>
        </w:r>
      </w:hyperlink>
      <w:r w:rsidR="009F3FDA" w:rsidRPr="007268F5">
        <w:rPr>
          <w:rFonts w:cstheme="minorBidi"/>
        </w:rPr>
        <w:t>)</w:t>
      </w:r>
      <w:r w:rsidR="009F3FDA" w:rsidRPr="009819CE">
        <w:rPr>
          <w:rFonts w:cstheme="minorBidi"/>
        </w:rPr>
        <w:fldChar w:fldCharType="end"/>
      </w:r>
      <w:r w:rsidRPr="009819CE">
        <w:rPr>
          <w:rFonts w:cstheme="minorBidi"/>
        </w:rPr>
        <w:t xml:space="preserve">. For normally distributed data, one-way ANOVA was applied to analyse alpha diversity indices, followed by pairwise comparisons via t-tests. </w:t>
      </w:r>
      <w:r w:rsidRPr="009819CE">
        <w:rPr>
          <w:rFonts w:cstheme="minorBidi"/>
          <w:color w:val="000000" w:themeColor="text1"/>
        </w:rPr>
        <w:t xml:space="preserve">Alternatively, for non-normally distributed data, the Kruskal-Wallis test was applied, and further pairwise comparisons used the Wilcoxon test (rank-sum test). The Benjamini and Hochberg (BH) correction </w:t>
      </w:r>
      <w:r w:rsidRPr="009819CE">
        <w:rPr>
          <w:rFonts w:cstheme="minorBidi"/>
          <w:color w:val="000000" w:themeColor="text1"/>
        </w:rPr>
        <w:fldChar w:fldCharType="begin"/>
      </w:r>
      <w:r w:rsidR="00750BF2" w:rsidRPr="009819CE">
        <w:rPr>
          <w:rFonts w:cstheme="minorBidi"/>
          <w:color w:val="000000" w:themeColor="text1"/>
        </w:rPr>
        <w:instrText xml:space="preserve"> ADDIN EN.CITE &lt;EndNote&gt;&lt;Cite&gt;&lt;Author&gt;Benjamini&lt;/Author&gt;&lt;Year&gt;1995&lt;/Year&gt;&lt;RecNum&gt;564&lt;/RecNum&gt;&lt;DisplayText&gt;(Benjamini and Hochberg, 1995)&lt;/DisplayText&gt;&lt;record&gt;&lt;rec-number&gt;564&lt;/rec-number&gt;&lt;foreign-keys&gt;&lt;key app="EN" db-id="sd9wrx9fj09rx3erprsx999o0r5aprvp2zse" timestamp="1687855901" guid="fdd2eb1c-7357-4d9f-9d21-e5dd903d9029"&gt;564&lt;/key&gt;&lt;/foreign-keys&gt;&lt;ref-type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(Methodological)&lt;/full-title&gt;&lt;/periodical&gt;&lt;pages&gt;289-300&lt;/pages&gt;&lt;volume&gt;57&lt;/volume&gt;&lt;number&gt;1&lt;/number&gt;&lt;keywords&gt;&lt;keyword&gt;bonferroni&lt;/keyword&gt;&lt;keyword&gt;comparison procedures&lt;/keyword&gt;&lt;keyword&gt;familywise error rate&lt;/keyword&gt;&lt;keyword&gt;multiple&lt;/keyword&gt;&lt;keyword&gt;p&lt;/keyword&gt;&lt;keyword&gt;type procedures&lt;/keyword&gt;&lt;keyword&gt;values&lt;/keyword&gt;&lt;/keywords&gt;&lt;dates&gt;&lt;year&gt;1995&lt;/year&gt;&lt;pub-dates&gt;&lt;date&gt;1995/1//&lt;/date&gt;&lt;/pub-dates&gt;&lt;/dates&gt;&lt;publisher&gt;John Wiley &amp;amp; Sons, Ltd&lt;/publisher&gt;&lt;urls&gt;&lt;related-urls&gt;&lt;url&gt;https://onlinelibrary.wiley.com/doi/10.1111/j.2517-6161.1995.tb02031.x&lt;/url&gt;&lt;/related-urls&gt;&lt;/urls&gt;&lt;electronic-resource-num&gt;10.1111/j.2517-6161.1995.tb02031.x&lt;/electronic-resource-num&gt;&lt;/record&gt;&lt;/Cite&gt;&lt;/EndNote&gt;</w:instrText>
      </w:r>
      <w:r w:rsidRPr="009819CE">
        <w:rPr>
          <w:rFonts w:cstheme="minorBidi"/>
          <w:color w:val="000000" w:themeColor="text1"/>
        </w:rPr>
        <w:fldChar w:fldCharType="separate"/>
      </w:r>
      <w:r w:rsidR="00A8698B" w:rsidRPr="007268F5">
        <w:rPr>
          <w:rFonts w:cstheme="minorBidi"/>
          <w:color w:val="000000" w:themeColor="text1"/>
        </w:rPr>
        <w:t>(</w:t>
      </w:r>
      <w:hyperlink w:anchor="_ENREF_32" w:tooltip="Benjamini, 1995 #564" w:history="1">
        <w:r w:rsidR="00950097" w:rsidRPr="007268F5">
          <w:rPr>
            <w:rFonts w:cstheme="minorBidi"/>
            <w:color w:val="000000" w:themeColor="text1"/>
          </w:rPr>
          <w:t>Benjamini and Hochberg, 1995</w:t>
        </w:r>
      </w:hyperlink>
      <w:r w:rsidR="00A8698B"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rPr>
        <w:t>was employed for p-value adjustment,</w:t>
      </w:r>
      <w:r w:rsidRPr="009819CE">
        <w:rPr>
          <w:rFonts w:cstheme="minorBidi"/>
          <w:color w:val="000000" w:themeColor="text1"/>
        </w:rPr>
        <w:t xml:space="preserve"> with statistical analysis conducted using the rstatix package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&lt;EndNote&gt;&lt;Cite&gt;&lt;Author&gt;Kassambara&lt;/Author&gt;&lt;Year&gt;2020&lt;/Year&gt;&lt;RecNum&gt;579&lt;/RecNum&gt;&lt;DisplayText&gt;(Kassambara, 2020)&lt;/DisplayText&gt;&lt;record&gt;&lt;rec-number&gt;579&lt;/rec-number&gt;&lt;foreign-keys&gt;&lt;key app="EN" db-id="sd9wrx9fj09rx3erprsx999o0r5aprvp2zse" timestamp="1687855901" guid="2e177f75-7ffa-4d2c-b9f5-9b9742f5809d"&gt;579&lt;/key&gt;&lt;/foreign-keys&gt;&lt;ref-type name="Generic"&gt;13&lt;/ref-type&gt;&lt;contributors&gt;&lt;authors&gt;&lt;author&gt;Kassambara, Alboukadel&lt;/author&gt;&lt;/authors&gt;&lt;/contributors&gt;&lt;titles&gt;&lt;title&gt;Pipe-Friendly Framework for Basic Statistical Tests&lt;/title&gt;&lt;secondary-title&gt;rstatix&lt;/secondary-title&gt;&lt;/titles&gt;&lt;dates&gt;&lt;year&gt;2020&lt;/year&gt;&lt;/dates&gt;&lt;urls&gt;&lt;related-urls&gt;&lt;url&gt;https://rpkgs.datanovia.com/rstatix/&lt;/url&gt;&lt;/related-urls&gt;&lt;/urls&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162" w:tooltip="Kassambara, 2020 #579" w:history="1">
        <w:r w:rsidR="00950097" w:rsidRPr="009819CE">
          <w:rPr>
            <w:rFonts w:cstheme="minorBidi"/>
            <w:color w:val="000000" w:themeColor="text1"/>
          </w:rPr>
          <w:t>Kassambara, 2020</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w:t>
      </w:r>
      <w:r w:rsidR="008328BF" w:rsidRPr="009819CE">
        <w:rPr>
          <w:rFonts w:cstheme="minorBidi"/>
          <w:color w:val="000000" w:themeColor="text1"/>
        </w:rPr>
        <w:t xml:space="preserve"> </w:t>
      </w:r>
      <w:r w:rsidRPr="009819CE">
        <w:rPr>
          <w:rFonts w:cstheme="minorBidi"/>
          <w:color w:val="000000" w:themeColor="text1"/>
        </w:rPr>
        <w:t xml:space="preserve">All figures were generated using the R packages ggpubr and ggplot2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&lt;EndNote&gt;&lt;Cite&gt;&lt;Author&gt;Kassambara&lt;/Author&gt;&lt;Year&gt;2020&lt;/Year&gt;&lt;RecNum&gt;579&lt;/RecNum&gt;&lt;DisplayText&gt;(Kassambara, 2020; Wickham, 2016)&lt;/DisplayText&gt;&lt;record&gt;&lt;rec-number&gt;579&lt;/rec-number&gt;&lt;foreign-keys&gt;&lt;key app="EN" db-id="sd9wrx9fj09rx3erprsx999o0r5aprvp2zse" timestamp="1687855901" guid="2e177f75-7ffa-4d2c-b9f5-9b9742f5809d"&gt;579&lt;/key&gt;&lt;/foreign-keys&gt;&lt;ref-type name="Generic"&gt;13&lt;/ref-type&gt;&lt;contributors&gt;&lt;authors&gt;&lt;author&gt;Kassambara, Alboukadel&lt;/author&gt;&lt;/authors&gt;&lt;/contributors&gt;&lt;titles&gt;&lt;title&gt;Pipe-Friendly Framework for Basic Statistical Tests&lt;/title&gt;&lt;secondary-title&gt;rstatix&lt;/secondary-title&gt;&lt;/titles&gt;&lt;dates&gt;&lt;year&gt;2020&lt;/year&gt;&lt;/dates&gt;&lt;urls&gt;&lt;related-urls&gt;&lt;url&gt;https://rpkgs.datanovia.com/rstatix/&lt;/url&gt;&lt;/related-urls&gt;&lt;/urls&gt;&lt;/record&gt;&lt;/Cite&gt;&lt;Cite&gt;&lt;Author&gt;Wickham&lt;/Author&gt;&lt;Year&gt;2016&lt;/Year&gt;&lt;RecNum&gt;582&lt;/RecNum&gt;&lt;record&gt;&lt;rec-number&gt;582&lt;/rec-number&gt;&lt;foreign-keys&gt;&lt;key app="EN" db-id="sd9wrx9fj09rx3erprsx999o0r5aprvp2zse" timestamp="1687855901" guid="7a45a2d6-b31e-4d27-bf6e-7e298f8392a8"&gt;582&lt;/key&gt;&lt;/foreign-keys&gt;&lt;ref-type name="Book Section"&gt;5&lt;/ref-type&gt;&lt;contributors&gt;&lt;authors&gt;&lt;author&gt;Wickham, Hadley&lt;/author&gt;&lt;/authors&gt;&lt;/contributors&gt;&lt;titles&gt;&lt;title&gt;Programming with ggplot2&lt;/title&gt;&lt;secondary-title&gt;ggplot2: Elegant Graphics for Data Analysis&lt;/secondary-title&gt;&lt;/titles&gt;&lt;pages&gt;241-253&lt;/pages&gt;&lt;dates&gt;&lt;year&gt;2016&lt;/year&gt;&lt;/dates&gt;&lt;publisher&gt;Springer, Cham&lt;/publisher&gt;&lt;isbn&gt;978-3319242750&lt;/isbn&gt;&lt;urls&gt;&lt;/urls&gt;&lt;/record&gt;&lt;/Cite&gt;&lt;/EndNote&gt;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162" w:tooltip="Kassambara, 2020 #579" w:history="1">
        <w:r w:rsidR="00950097" w:rsidRPr="009819CE">
          <w:rPr>
            <w:rFonts w:cstheme="minorBidi"/>
            <w:color w:val="000000" w:themeColor="text1"/>
          </w:rPr>
          <w:t>Kassambara, 2020</w:t>
        </w:r>
      </w:hyperlink>
      <w:r w:rsidR="00D50EFF" w:rsidRPr="009819CE">
        <w:rPr>
          <w:rFonts w:cstheme="minorBidi"/>
          <w:color w:val="000000" w:themeColor="text1"/>
        </w:rPr>
        <w:t xml:space="preserve">; </w:t>
      </w:r>
      <w:hyperlink w:anchor="_ENREF_357" w:tooltip="Wickham, 2016 #582" w:history="1">
        <w:r w:rsidR="00950097" w:rsidRPr="009819CE">
          <w:rPr>
            <w:rFonts w:cstheme="minorBidi"/>
            <w:color w:val="000000" w:themeColor="text1"/>
          </w:rPr>
          <w:t>Wickham, 2016</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Beta-diversity comparisons were computed using the Bray-Curtis pairwise distances with </w:t>
      </w:r>
      <w:r w:rsidR="008328BF" w:rsidRPr="00FA7D47">
        <w:rPr>
          <w:rFonts w:cstheme="minorBidi"/>
          <w:color w:val="000000" w:themeColor="text1"/>
        </w:rPr>
        <w:t>V</w:t>
      </w:r>
      <w:r w:rsidRPr="009819CE">
        <w:rPr>
          <w:rFonts w:cstheme="minorBidi"/>
          <w:color w:val="000000" w:themeColor="text1"/>
        </w:rPr>
        <w:t xml:space="preserve">egan </w:t>
      </w:r>
      <w:r w:rsidRPr="009819CE">
        <w:rPr>
          <w:rFonts w:cstheme="minorBidi"/>
          <w:color w:val="000000" w:themeColor="text1"/>
        </w:rPr>
        <w:fldChar w:fldCharType="begin"/>
      </w:r>
      <w:r w:rsidR="00ED1A9E" w:rsidRPr="009819CE">
        <w:rPr>
          <w:rFonts w:cstheme="minorBidi"/>
          <w:color w:val="000000" w:themeColor="text1"/>
        </w:rPr>
        <w:instrText xml:space="preserve"> ADDIN EN.CITE &lt;EndNote&gt;&lt;Cite&gt;&lt;Author&gt;Oksanen&lt;/Author&gt;&lt;Year&gt;2014&lt;/Year&gt;&lt;RecNum&gt;581&lt;/RecNum&gt;&lt;DisplayText&gt;(Oksanen et al., 2014)&lt;/DisplayText&gt;&lt;record&gt;&lt;rec-number&gt;581&lt;/rec-number&gt;&lt;foreign-keys&gt;&lt;key app="EN" db-id="sd9wrx9fj09rx3erprsx999o0r5aprvp2zse" timestamp="1687855901" guid="3ea6a46b-24c1-4c73-b826-aab3b17a9881"&gt;581&lt;/key&gt;&lt;/foreign-keys&gt;&lt;ref-type name="Journal Article"&gt;17&lt;/ref-type&gt;&lt;contributors&gt;&lt;authors&gt;&lt;author&gt;Oksanen, J.&lt;/author&gt;&lt;author&gt;Blanchet, F. G.&lt;/author&gt;&lt;author&gt;Kindt, R.&lt;/author&gt;&lt;author&gt;Legendre, P.&lt;/author&gt;&lt;author&gt;Minchin, P. R.&lt;/author&gt;&lt;author&gt;O’Hara, R. B.&lt;/author&gt;&lt;author&gt;Simpson, G. L.&lt;/author&gt;&lt;author&gt;Solymos, P.&lt;/author&gt;&lt;author&gt;Stevens, M. H. H.&lt;/author&gt;&lt;author&gt;Wagner, H.&lt;/author&gt;&lt;/authors&gt;&lt;/contributors&gt;&lt;titles&gt;&lt;title&gt;Vegan: community ecology package. R package version 2.2--0&lt;/title&gt;&lt;/titles&gt;&lt;dates&gt;&lt;year&gt;2014&lt;/year&gt;&lt;/dates&gt;&lt;urls&gt;&lt;related-urls&gt;&lt;url&gt;https://www.researchgate.net/publication/323265400_Community_Ecology_Package_R_package_version_22--0_2014&lt;/url&gt;&lt;/related-urls&gt;&lt;/urls&gt;&lt;/record&gt;&lt;/Cite&gt;&lt;/EndNote&gt;</w:instrText>
      </w:r>
      <w:r w:rsidRPr="009819CE">
        <w:rPr>
          <w:rFonts w:cstheme="minorBidi"/>
          <w:color w:val="000000" w:themeColor="text1"/>
        </w:rPr>
        <w:fldChar w:fldCharType="separate"/>
      </w:r>
      <w:r w:rsidR="00D50EFF" w:rsidRPr="007268F5">
        <w:rPr>
          <w:rFonts w:cstheme="minorBidi"/>
          <w:color w:val="000000" w:themeColor="text1"/>
        </w:rPr>
        <w:t>(</w:t>
      </w:r>
      <w:hyperlink w:anchor="_ENREF_235" w:tooltip="Oksanen, 2014 #581" w:history="1">
        <w:r w:rsidR="00950097" w:rsidRPr="007268F5">
          <w:rPr>
            <w:rFonts w:cstheme="minorBidi"/>
            <w:color w:val="000000" w:themeColor="text1"/>
          </w:rPr>
          <w:t>Oksanen et al., 2014</w:t>
        </w:r>
      </w:hyperlink>
      <w:r w:rsidR="00D50EFF"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and Phyloseq packages, and visualized using Principal Coordinate Analysis (PCoA). Group differences were calculated using the Vegan package's non-parametric permutational multivariate ANOVA (PERMANOVA) with 1,002 permutations. An adjusted p-value less than 0.05 was deemed statistically significant. The core microbiome and shared communities were identified using the ampvis2 package </w:t>
      </w:r>
      <w:r w:rsidRPr="009819CE">
        <w:rPr>
          <w:rFonts w:cstheme="minorBidi"/>
          <w:color w:val="000000" w:themeColor="text1"/>
        </w:rPr>
        <w:fldChar w:fldCharType="begin"/>
      </w:r>
      <w:r w:rsidR="00A8698B" w:rsidRPr="009819CE">
        <w:rPr>
          <w:rFonts w:cstheme="minorBidi"/>
          <w:color w:val="000000" w:themeColor="text1"/>
        </w:rPr>
        <w:instrText xml:space="preserve"> ADDIN EN.CITE &lt;EndNote&gt;&lt;Cite&gt;&lt;Author&gt;Andersen&lt;/Author&gt;&lt;Year&gt;2018&lt;/Year&gt;&lt;RecNum&gt;566&lt;/RecNum&gt;&lt;DisplayText&gt;(Andersen et al., 2018)&lt;/DisplayText&gt;&lt;record&gt;&lt;rec-number&gt;566&lt;/rec-number&gt;&lt;foreign-keys&gt;&lt;key app="EN" db-id="sd9wrx9fj09rx3erprsx999o0r5aprvp2zse" timestamp="1687855901" guid="12ab81f4-2ba0-4e6b-8cfe-e9fcc5f6adfe"&gt;566&lt;/key&gt;&lt;/foreign-keys&gt;&lt;ref-type name="Journal Article"&gt;17&lt;/ref-type&gt;&lt;contributors&gt;&lt;authors&gt;&lt;author&gt;Andersen, Kasper S.&lt;/author&gt;&lt;author&gt;Kirkegaard, Rasmus H.&lt;/author&gt;&lt;author&gt;Karst, Søren M.&lt;/author&gt;&lt;author&gt;Albertsen, Mads&lt;/author&gt;&lt;/authors&gt;&lt;/contributors&gt;&lt;titles&gt;&lt;title&gt;ampvis2: an R package to analyse and visualise 16S rRNA amplicon data&lt;/title&gt;&lt;secondary-title&gt;bioRxiv&lt;/secondary-title&gt;&lt;/titles&gt;&lt;periodical&gt;&lt;full-title&gt;bioRxiv&lt;/full-title&gt;&lt;/periodical&gt;&lt;pages&gt;299537-299537&lt;/pages&gt;&lt;dates&gt;&lt;year&gt;2018&lt;/year&gt;&lt;pub-dates&gt;&lt;date&gt;2018/4//&lt;/date&gt;&lt;/pub-dates&gt;&lt;/dates&gt;&lt;publisher&gt;Cold Spring Harbor Laboratory&lt;/publisher&gt;&lt;isbn&gt;9781780404745&lt;/isbn&gt;&lt;urls&gt;&lt;related-urls&gt;&lt;url&gt;https://www.biorxiv.org/content/10.1101/299537v1&lt;/url&gt;&lt;url&gt;https://www.biorxiv.org/content/10.1101/299537v1.abstract&lt;/url&gt;&lt;/related-urls&gt;&lt;/urls&gt;&lt;electronic-resource-num&gt;10.1101/299537&lt;/electronic-resource-num&gt;&lt;/record&gt;&lt;/Cite&gt;&lt;/EndNote&gt;</w:instrText>
      </w:r>
      <w:r w:rsidRPr="009819CE">
        <w:rPr>
          <w:rFonts w:cstheme="minorBidi"/>
          <w:color w:val="000000" w:themeColor="text1"/>
        </w:rPr>
        <w:fldChar w:fldCharType="separate"/>
      </w:r>
      <w:r w:rsidR="00A8698B" w:rsidRPr="009819CE">
        <w:rPr>
          <w:rFonts w:cstheme="minorBidi"/>
          <w:color w:val="000000" w:themeColor="text1"/>
        </w:rPr>
        <w:t>(</w:t>
      </w:r>
      <w:hyperlink w:anchor="_ENREF_15" w:tooltip="Andersen, 2018 #566" w:history="1">
        <w:r w:rsidR="00950097" w:rsidRPr="009819CE">
          <w:rPr>
            <w:rFonts w:cstheme="minorBidi"/>
            <w:color w:val="000000" w:themeColor="text1"/>
          </w:rPr>
          <w:t>Andersen et al., 2018</w:t>
        </w:r>
      </w:hyperlink>
      <w:r w:rsidR="00A8698B"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Both the observed and abundant OTUs (the top 80% of reads) in both tissues were defined as the core communities. The average abundance of each OTU in all the samples from a given tissue was computed, divided by the total abundance of all OTUs in that tissue. Cumulative OTU read abundance for each tissue was calculated, with OTUs having the top 80% of reads </w:t>
      </w:r>
      <w:r w:rsidR="00EE3644" w:rsidRPr="009819CE">
        <w:rPr>
          <w:rFonts w:cstheme="minorBidi"/>
          <w:color w:val="000000" w:themeColor="text1"/>
        </w:rPr>
        <w:t xml:space="preserve">considered </w:t>
      </w:r>
      <w:r w:rsidRPr="009819CE">
        <w:rPr>
          <w:rFonts w:cstheme="minorBidi"/>
          <w:color w:val="000000" w:themeColor="text1"/>
        </w:rPr>
        <w:t>abundant. The Wilcoxon rank-sum test was used for comparisons of the same taxa in different groups, followed by BH false discovery rate (FDR) correction with a 0.05 p-value.</w:t>
      </w:r>
    </w:p>
    <w:p w14:paraId="33E16D69" w14:textId="77777777" w:rsidR="0055220B" w:rsidRPr="009819CE" w:rsidRDefault="0055220B" w:rsidP="0055220B">
      <w:pPr>
        <w:pStyle w:val="Heading2"/>
        <w:rPr>
          <w:rFonts w:cstheme="minorBidi"/>
        </w:rPr>
      </w:pPr>
      <w:bookmarkStart w:id="259" w:name="_Toc204106646"/>
      <w:r w:rsidRPr="009819CE">
        <w:rPr>
          <w:rFonts w:cstheme="minorBidi"/>
        </w:rPr>
        <w:t>Results</w:t>
      </w:r>
      <w:bookmarkEnd w:id="259"/>
    </w:p>
    <w:p w14:paraId="6A2F3739" w14:textId="2CCC08A8" w:rsidR="0055220B" w:rsidRPr="009819CE" w:rsidRDefault="0055220B" w:rsidP="00FD0393">
      <w:pPr>
        <w:pStyle w:val="Heading3"/>
        <w:rPr>
          <w:rFonts w:cstheme="minorBidi"/>
        </w:rPr>
      </w:pPr>
      <w:bookmarkStart w:id="260" w:name="_Toc204106647"/>
      <w:r w:rsidRPr="009819CE">
        <w:rPr>
          <w:rFonts w:cstheme="minorBidi"/>
        </w:rPr>
        <w:t xml:space="preserve">Prevalence of </w:t>
      </w:r>
      <w:r w:rsidR="009D03F4" w:rsidRPr="009819CE">
        <w:rPr>
          <w:rFonts w:cstheme="minorBidi"/>
          <w:i/>
        </w:rPr>
        <w:t>Hematodinium</w:t>
      </w:r>
      <w:r w:rsidRPr="009819CE">
        <w:rPr>
          <w:rFonts w:cstheme="minorBidi"/>
        </w:rPr>
        <w:t xml:space="preserve"> sp. in </w:t>
      </w:r>
      <w:r w:rsidR="00C31E47" w:rsidRPr="009819CE">
        <w:rPr>
          <w:rFonts w:cstheme="minorBidi"/>
          <w:i/>
        </w:rPr>
        <w:t>Nephrops</w:t>
      </w:r>
      <w:r w:rsidRPr="009819CE">
        <w:rPr>
          <w:rFonts w:cstheme="minorBidi"/>
        </w:rPr>
        <w:t xml:space="preserve"> norvegicus from the Clyde Sea Area (CSA): The 'Prevalence-Set'</w:t>
      </w:r>
      <w:bookmarkEnd w:id="260"/>
    </w:p>
    <w:p w14:paraId="23B1B9C7" w14:textId="3AC261EB" w:rsidR="00412162" w:rsidRPr="009819CE" w:rsidRDefault="0055220B" w:rsidP="0055220B">
      <w:pPr>
        <w:rPr>
          <w:rFonts w:cstheme="minorBidi"/>
        </w:rPr>
      </w:pPr>
      <w:r w:rsidRPr="009819CE">
        <w:rPr>
          <w:rFonts w:cstheme="minorBidi"/>
        </w:rPr>
        <w:t xml:space="preserve">The body colour (BCM) and pleopod method (PM) were used to evaluate the levels of patent </w:t>
      </w:r>
      <w:r w:rsidR="009D03F4" w:rsidRPr="009819CE">
        <w:rPr>
          <w:rFonts w:cstheme="minorBidi"/>
          <w:i/>
        </w:rPr>
        <w:t>Hematodinium</w:t>
      </w:r>
      <w:r w:rsidRPr="009819CE">
        <w:rPr>
          <w:rFonts w:cstheme="minorBidi"/>
        </w:rPr>
        <w:t xml:space="preserve"> sp. infection at the time of this work in the area of study (CSA). According to the BCM, around 17% of </w:t>
      </w:r>
      <w:r w:rsidR="00C31E47" w:rsidRPr="009819CE">
        <w:rPr>
          <w:rFonts w:cstheme="minorBidi"/>
          <w:i/>
        </w:rPr>
        <w:t>Nephrops</w:t>
      </w:r>
      <w:r w:rsidRPr="009819CE">
        <w:rPr>
          <w:rFonts w:cstheme="minorBidi"/>
        </w:rPr>
        <w:t xml:space="preserve"> showed a high intensity level of infection (BCM) (</w:t>
      </w:r>
      <w:r w:rsidR="00B468D2" w:rsidRPr="009819CE">
        <w:rPr>
          <w:rFonts w:cstheme="minorBidi"/>
        </w:rPr>
        <w:fldChar w:fldCharType="begin"/>
      </w:r>
      <w:r w:rsidR="00B468D2" w:rsidRPr="009819CE">
        <w:rPr>
          <w:rFonts w:cstheme="minorBidi"/>
        </w:rPr>
        <w:instrText xml:space="preserve"> REF _Ref171358267 \h </w:instrText>
      </w:r>
      <w:r w:rsidR="008B0BF3" w:rsidRPr="009819CE">
        <w:rPr>
          <w:rFonts w:cstheme="minorBidi"/>
        </w:rPr>
        <w:instrText xml:space="preserve"> \* MERGEFORMAT </w:instrText>
      </w:r>
      <w:r w:rsidR="00B468D2" w:rsidRPr="009819CE">
        <w:rPr>
          <w:rFonts w:cstheme="minorBidi"/>
        </w:rPr>
      </w:r>
      <w:r w:rsidR="00B468D2" w:rsidRPr="009819CE">
        <w:rPr>
          <w:rFonts w:cstheme="minorBidi"/>
        </w:rPr>
        <w:fldChar w:fldCharType="separate"/>
      </w:r>
      <w:r w:rsidR="008549FC" w:rsidRPr="009819CE">
        <w:rPr>
          <w:rFonts w:cstheme="minorBidi"/>
          <w:b/>
          <w:sz w:val="22"/>
          <w:szCs w:val="18"/>
        </w:rPr>
        <w:t xml:space="preserve">Figure </w:t>
      </w:r>
      <w:r w:rsidR="008549FC">
        <w:rPr>
          <w:rFonts w:cstheme="minorBidi"/>
          <w:b/>
          <w:sz w:val="22"/>
          <w:szCs w:val="18"/>
        </w:rPr>
        <w:t>3</w:t>
      </w:r>
      <w:r w:rsidR="008549FC" w:rsidRPr="009819CE">
        <w:rPr>
          <w:rFonts w:cstheme="minorBidi"/>
          <w:b/>
          <w:sz w:val="22"/>
          <w:szCs w:val="18"/>
        </w:rPr>
        <w:t>.</w:t>
      </w:r>
      <w:r w:rsidR="008549FC">
        <w:rPr>
          <w:rFonts w:cstheme="minorBidi"/>
          <w:b/>
          <w:sz w:val="22"/>
          <w:szCs w:val="18"/>
        </w:rPr>
        <w:t>1</w:t>
      </w:r>
      <w:r w:rsidR="00B468D2" w:rsidRPr="009819CE">
        <w:rPr>
          <w:rFonts w:cstheme="minorBidi"/>
        </w:rPr>
        <w:fldChar w:fldCharType="end"/>
      </w:r>
      <w:r w:rsidRPr="009819CE">
        <w:rPr>
          <w:rFonts w:cstheme="minorBidi"/>
        </w:rPr>
        <w:t>A) and up to around 26% were infected according to the PM) (</w:t>
      </w:r>
      <w:r w:rsidR="00B468D2" w:rsidRPr="009819CE">
        <w:rPr>
          <w:rFonts w:cstheme="minorBidi"/>
        </w:rPr>
        <w:fldChar w:fldCharType="begin"/>
      </w:r>
      <w:r w:rsidR="00B468D2" w:rsidRPr="009819CE">
        <w:rPr>
          <w:rFonts w:cstheme="minorBidi"/>
        </w:rPr>
        <w:instrText xml:space="preserve"> REF _Ref171358267 \h </w:instrText>
      </w:r>
      <w:r w:rsidR="008B0BF3" w:rsidRPr="009819CE">
        <w:rPr>
          <w:rFonts w:cstheme="minorBidi"/>
        </w:rPr>
        <w:instrText xml:space="preserve"> \* MERGEFORMAT </w:instrText>
      </w:r>
      <w:r w:rsidR="00B468D2" w:rsidRPr="009819CE">
        <w:rPr>
          <w:rFonts w:cstheme="minorBidi"/>
        </w:rPr>
      </w:r>
      <w:r w:rsidR="00B468D2" w:rsidRPr="009819CE">
        <w:rPr>
          <w:rFonts w:cstheme="minorBidi"/>
        </w:rPr>
        <w:fldChar w:fldCharType="separate"/>
      </w:r>
      <w:r w:rsidR="008549FC" w:rsidRPr="009819CE">
        <w:rPr>
          <w:rFonts w:cstheme="minorBidi"/>
          <w:b/>
          <w:sz w:val="22"/>
          <w:szCs w:val="18"/>
        </w:rPr>
        <w:t xml:space="preserve">Figure </w:t>
      </w:r>
      <w:r w:rsidR="008549FC">
        <w:rPr>
          <w:rFonts w:cstheme="minorBidi"/>
          <w:b/>
          <w:sz w:val="22"/>
          <w:szCs w:val="18"/>
        </w:rPr>
        <w:t>3</w:t>
      </w:r>
      <w:r w:rsidR="008549FC" w:rsidRPr="009819CE">
        <w:rPr>
          <w:rFonts w:cstheme="minorBidi"/>
          <w:b/>
          <w:sz w:val="22"/>
          <w:szCs w:val="18"/>
        </w:rPr>
        <w:t>.</w:t>
      </w:r>
      <w:r w:rsidR="008549FC">
        <w:rPr>
          <w:rFonts w:cstheme="minorBidi"/>
          <w:b/>
          <w:sz w:val="22"/>
          <w:szCs w:val="18"/>
        </w:rPr>
        <w:t>1</w:t>
      </w:r>
      <w:r w:rsidR="00B468D2" w:rsidRPr="009819CE">
        <w:rPr>
          <w:rFonts w:cstheme="minorBidi"/>
        </w:rPr>
        <w:fldChar w:fldCharType="end"/>
      </w:r>
      <w:r w:rsidRPr="009819CE">
        <w:rPr>
          <w:rFonts w:cstheme="minorBidi"/>
        </w:rPr>
        <w:t>B). No significant differences in patent infection were found between sexes. Full information on the data collected from the ‘prevalence-set’ is available in</w:t>
      </w:r>
      <w:r w:rsidR="00243751" w:rsidRPr="009819CE">
        <w:rPr>
          <w:rFonts w:cstheme="minorBidi"/>
        </w:rPr>
        <w:t xml:space="preserve"> </w:t>
      </w:r>
      <w:r w:rsidR="00243751" w:rsidRPr="009819CE">
        <w:rPr>
          <w:rFonts w:cstheme="minorBidi"/>
          <w:b/>
          <w:bCs/>
          <w:sz w:val="22"/>
          <w:szCs w:val="22"/>
        </w:rPr>
        <w:t xml:space="preserve">Table </w:t>
      </w:r>
      <w:r w:rsidR="00243751" w:rsidRPr="007268F5">
        <w:rPr>
          <w:rFonts w:cstheme="minorBidi"/>
          <w:b/>
          <w:bCs/>
          <w:sz w:val="22"/>
          <w:szCs w:val="22"/>
        </w:rPr>
        <w:t>3</w:t>
      </w:r>
      <w:r w:rsidR="00243751" w:rsidRPr="009819CE">
        <w:rPr>
          <w:rFonts w:cstheme="minorBidi"/>
          <w:b/>
          <w:bCs/>
          <w:sz w:val="22"/>
          <w:szCs w:val="22"/>
        </w:rPr>
        <w:t>.</w:t>
      </w:r>
      <w:r w:rsidR="00243751" w:rsidRPr="007268F5">
        <w:rPr>
          <w:rFonts w:cstheme="minorBidi"/>
          <w:b/>
          <w:bCs/>
          <w:sz w:val="22"/>
          <w:szCs w:val="22"/>
        </w:rPr>
        <w:t>1</w:t>
      </w:r>
      <w:r w:rsidR="00412162" w:rsidRPr="009819CE">
        <w:rPr>
          <w:rFonts w:cstheme="minorBidi"/>
        </w:rPr>
        <w:t>.</w:t>
      </w:r>
    </w:p>
    <w:p w14:paraId="48AABB35" w14:textId="21B3BAA3" w:rsidR="00A903FB" w:rsidRPr="009819CE" w:rsidRDefault="0055220B" w:rsidP="0055220B">
      <w:pPr>
        <w:rPr>
          <w:rFonts w:cstheme="minorBidi"/>
        </w:rPr>
      </w:pPr>
      <w:r w:rsidRPr="009819CE">
        <w:rPr>
          <w:rFonts w:cstheme="minorBidi"/>
        </w:rPr>
        <w:t>Males constituted the majority (69.1%) of the trawl composition and exhibited a significantly larger carapace length (Anova, P= 1.9e-06) compared to females (31.8 ± 2.7 mm for males; 27.7 ± 2.7 mm for females). The size distribution for males during this month ranged from 23 to 49.7 mm, while for females it ranged from 23.8 to 36.7 mm. The population consisted mainly of mature individuals, accounting for 67.1% of the total, whereas only 37.</w:t>
      </w:r>
      <w:r w:rsidR="00A20704" w:rsidRPr="00FA7D47">
        <w:rPr>
          <w:rFonts w:cstheme="minorBidi"/>
        </w:rPr>
        <w:t>9</w:t>
      </w:r>
      <w:r w:rsidRPr="009819CE">
        <w:rPr>
          <w:rFonts w:cstheme="minorBidi"/>
        </w:rPr>
        <w:t>% of the males and 21.7% of the females were immature (Queirós et al., 2013; Tuck, 1997; Watts et al., 2016). Both males and females were predominantly categorized as 'hard' (93.2% for males and 84.</w:t>
      </w:r>
      <w:r w:rsidR="00A20704" w:rsidRPr="00FA7D47">
        <w:rPr>
          <w:rFonts w:cstheme="minorBidi"/>
        </w:rPr>
        <w:t>8</w:t>
      </w:r>
      <w:r w:rsidRPr="009819CE">
        <w:rPr>
          <w:rFonts w:cstheme="minorBidi"/>
        </w:rPr>
        <w:t>% for females). Regarding the moult stage, the majority of the population (71.8%) was in the inter-moult stage, followed by 20.8% in the pre-moult stage and 7.</w:t>
      </w:r>
      <w:r w:rsidR="00A20704" w:rsidRPr="00FA7D47">
        <w:rPr>
          <w:rFonts w:cstheme="minorBidi"/>
        </w:rPr>
        <w:t>4</w:t>
      </w:r>
      <w:r w:rsidRPr="009819CE">
        <w:rPr>
          <w:rFonts w:cstheme="minorBidi"/>
        </w:rPr>
        <w:t xml:space="preserve">% in the post-moult stage. In the CSA, females undergo synchronous moulting during the spring months, as discussed in </w:t>
      </w:r>
      <w:r w:rsidR="00E11D80" w:rsidRPr="009819CE">
        <w:rPr>
          <w:rFonts w:cstheme="minorBidi"/>
        </w:rPr>
        <w:t xml:space="preserve">Chapter 2, </w:t>
      </w:r>
      <w:r w:rsidR="009C0BE9" w:rsidRPr="00FA7D47">
        <w:rPr>
          <w:rFonts w:cstheme="minorBidi"/>
          <w:b/>
          <w:bCs/>
        </w:rPr>
        <w:t>s</w:t>
      </w:r>
      <w:r w:rsidR="00E11D80" w:rsidRPr="009819CE">
        <w:rPr>
          <w:rFonts w:cstheme="minorBidi"/>
          <w:b/>
          <w:bCs/>
        </w:rPr>
        <w:t>ection</w:t>
      </w:r>
      <w:r w:rsidR="00E11D80" w:rsidRPr="009819CE">
        <w:rPr>
          <w:rFonts w:cstheme="minorBidi"/>
        </w:rPr>
        <w:t xml:space="preserve"> </w:t>
      </w:r>
      <w:r w:rsidR="00E11D80" w:rsidRPr="009819CE">
        <w:rPr>
          <w:rFonts w:cstheme="minorBidi"/>
          <w:b/>
          <w:bCs/>
        </w:rPr>
        <w:fldChar w:fldCharType="begin"/>
      </w:r>
      <w:r w:rsidR="00E11D80" w:rsidRPr="009819CE">
        <w:rPr>
          <w:rFonts w:cstheme="minorBidi"/>
          <w:b/>
          <w:bCs/>
        </w:rPr>
        <w:instrText xml:space="preserve"> REF _Ref169630991 \r \h </w:instrText>
      </w:r>
      <w:r w:rsidR="007636FB" w:rsidRPr="009819CE">
        <w:rPr>
          <w:rFonts w:cstheme="minorBidi"/>
          <w:b/>
          <w:bCs/>
        </w:rPr>
        <w:instrText xml:space="preserve"> \* MERGEFORMAT </w:instrText>
      </w:r>
      <w:r w:rsidR="00E11D80" w:rsidRPr="009819CE">
        <w:rPr>
          <w:rFonts w:cstheme="minorBidi"/>
          <w:b/>
          <w:bCs/>
        </w:rPr>
      </w:r>
      <w:r w:rsidR="00E11D80" w:rsidRPr="009819CE">
        <w:rPr>
          <w:rFonts w:cstheme="minorBidi"/>
          <w:b/>
          <w:bCs/>
        </w:rPr>
        <w:fldChar w:fldCharType="separate"/>
      </w:r>
      <w:r w:rsidR="008549FC">
        <w:rPr>
          <w:rFonts w:cstheme="minorBidi"/>
          <w:b/>
          <w:bCs/>
        </w:rPr>
        <w:t>2.5</w:t>
      </w:r>
      <w:r w:rsidR="00E11D80" w:rsidRPr="009819CE">
        <w:rPr>
          <w:rFonts w:cstheme="minorBidi"/>
          <w:b/>
          <w:bCs/>
        </w:rPr>
        <w:fldChar w:fldCharType="end"/>
      </w:r>
      <w:r w:rsidRPr="009819CE">
        <w:rPr>
          <w:rFonts w:cstheme="minorBidi"/>
          <w:b/>
          <w:bCs/>
        </w:rPr>
        <w:t>.</w:t>
      </w:r>
      <w:r w:rsidRPr="009819CE">
        <w:rPr>
          <w:rFonts w:cstheme="minorBidi"/>
        </w:rPr>
        <w:t xml:space="preserve"> Hence, during March 2020, a relatively higher proportion of females were observed in the pre-moult stage (23.9%) and post-moult stage (10.</w:t>
      </w:r>
      <w:r w:rsidR="00A20704" w:rsidRPr="00FA7D47">
        <w:rPr>
          <w:rFonts w:cstheme="minorBidi"/>
        </w:rPr>
        <w:t>9</w:t>
      </w:r>
      <w:r w:rsidRPr="009819CE">
        <w:rPr>
          <w:rFonts w:cstheme="minorBidi"/>
        </w:rPr>
        <w:t>%).</w:t>
      </w:r>
      <w:bookmarkStart w:id="261" w:name="_Ref139456805"/>
      <w:bookmarkStart w:id="262" w:name="_Ref171511819"/>
    </w:p>
    <w:p w14:paraId="52567C32" w14:textId="77777777" w:rsidR="008328BF" w:rsidRPr="009819CE" w:rsidRDefault="008328BF" w:rsidP="0055220B">
      <w:pPr>
        <w:rPr>
          <w:rFonts w:cstheme="minorBidi"/>
          <w:b/>
          <w:bCs/>
          <w:sz w:val="22"/>
          <w:szCs w:val="22"/>
        </w:rPr>
        <w:sectPr w:rsidR="008328BF" w:rsidRPr="009819CE" w:rsidSect="005D4F1C">
          <w:pgSz w:w="12240" w:h="15840"/>
          <w:pgMar w:top="1440" w:right="1440" w:bottom="1440" w:left="1440" w:header="708" w:footer="708" w:gutter="0"/>
          <w:cols w:space="708"/>
          <w:docGrid w:linePitch="360"/>
        </w:sectPr>
      </w:pPr>
    </w:p>
    <w:p w14:paraId="096A3647" w14:textId="688252E2" w:rsidR="0055220B" w:rsidRPr="009819CE" w:rsidRDefault="0055220B" w:rsidP="0055220B">
      <w:pPr>
        <w:rPr>
          <w:rFonts w:cstheme="minorBidi"/>
          <w:sz w:val="22"/>
          <w:szCs w:val="22"/>
        </w:rPr>
      </w:pPr>
      <w:bookmarkStart w:id="263" w:name="_Toc202273061"/>
      <w:bookmarkStart w:id="264" w:name="_Toc204106759"/>
      <w:r w:rsidRPr="009819CE">
        <w:rPr>
          <w:rFonts w:cstheme="minorBidi"/>
          <w:b/>
          <w:bCs/>
          <w:sz w:val="22"/>
          <w:szCs w:val="22"/>
        </w:rPr>
        <w:t xml:space="preserve">Table </w:t>
      </w:r>
      <w:r w:rsidR="0095522A">
        <w:rPr>
          <w:rFonts w:cstheme="minorBidi"/>
          <w:b/>
          <w:bCs/>
          <w:sz w:val="22"/>
          <w:szCs w:val="22"/>
        </w:rPr>
        <w:fldChar w:fldCharType="begin"/>
      </w:r>
      <w:r w:rsidR="0095522A">
        <w:rPr>
          <w:rFonts w:cstheme="minorBidi"/>
          <w:b/>
          <w:bCs/>
          <w:sz w:val="22"/>
          <w:szCs w:val="22"/>
        </w:rPr>
        <w:instrText xml:space="preserve"> STYLEREF 1 \s </w:instrText>
      </w:r>
      <w:r w:rsidR="0095522A">
        <w:rPr>
          <w:rFonts w:cstheme="minorBidi"/>
          <w:b/>
          <w:bCs/>
          <w:sz w:val="22"/>
          <w:szCs w:val="22"/>
        </w:rPr>
        <w:fldChar w:fldCharType="separate"/>
      </w:r>
      <w:r w:rsidR="008549FC">
        <w:rPr>
          <w:rFonts w:cstheme="minorBidi"/>
          <w:b/>
          <w:bCs/>
          <w:noProof/>
          <w:sz w:val="22"/>
          <w:szCs w:val="22"/>
        </w:rPr>
        <w:t>3</w:t>
      </w:r>
      <w:r w:rsidR="0095522A">
        <w:rPr>
          <w:rFonts w:cstheme="minorBidi"/>
          <w:b/>
          <w:bCs/>
          <w:sz w:val="22"/>
          <w:szCs w:val="22"/>
        </w:rPr>
        <w:fldChar w:fldCharType="end"/>
      </w:r>
      <w:r w:rsidR="0095522A">
        <w:rPr>
          <w:rFonts w:cstheme="minorBidi"/>
          <w:b/>
          <w:bCs/>
          <w:sz w:val="22"/>
          <w:szCs w:val="22"/>
        </w:rPr>
        <w:t>.</w:t>
      </w:r>
      <w:r w:rsidR="0095522A">
        <w:rPr>
          <w:rFonts w:cstheme="minorBidi"/>
          <w:b/>
          <w:bCs/>
          <w:sz w:val="22"/>
          <w:szCs w:val="22"/>
        </w:rPr>
        <w:fldChar w:fldCharType="begin"/>
      </w:r>
      <w:r w:rsidR="0095522A">
        <w:rPr>
          <w:rFonts w:cstheme="minorBidi"/>
          <w:b/>
          <w:bCs/>
          <w:sz w:val="22"/>
          <w:szCs w:val="22"/>
        </w:rPr>
        <w:instrText xml:space="preserve"> SEQ Table \* ARABIC \s 1 </w:instrText>
      </w:r>
      <w:r w:rsidR="0095522A">
        <w:rPr>
          <w:rFonts w:cstheme="minorBidi"/>
          <w:b/>
          <w:bCs/>
          <w:sz w:val="22"/>
          <w:szCs w:val="22"/>
        </w:rPr>
        <w:fldChar w:fldCharType="separate"/>
      </w:r>
      <w:r w:rsidR="008549FC">
        <w:rPr>
          <w:rFonts w:cstheme="minorBidi"/>
          <w:b/>
          <w:bCs/>
          <w:noProof/>
          <w:sz w:val="22"/>
          <w:szCs w:val="22"/>
        </w:rPr>
        <w:t>1</w:t>
      </w:r>
      <w:r w:rsidR="0095522A">
        <w:rPr>
          <w:rFonts w:cstheme="minorBidi"/>
          <w:b/>
          <w:bCs/>
          <w:sz w:val="22"/>
          <w:szCs w:val="22"/>
        </w:rPr>
        <w:fldChar w:fldCharType="end"/>
      </w:r>
      <w:bookmarkEnd w:id="261"/>
      <w:bookmarkEnd w:id="262"/>
      <w:r w:rsidRPr="009819CE">
        <w:rPr>
          <w:rFonts w:cstheme="minorBidi"/>
          <w:sz w:val="22"/>
          <w:szCs w:val="22"/>
        </w:rPr>
        <w:t xml:space="preserve"> Summary data for the ‘prevalence-set’ of </w:t>
      </w:r>
      <w:r w:rsidR="00C31E47" w:rsidRPr="009819CE">
        <w:rPr>
          <w:rFonts w:cstheme="minorBidi"/>
          <w:i/>
          <w:sz w:val="22"/>
          <w:szCs w:val="22"/>
        </w:rPr>
        <w:t>Nephrops</w:t>
      </w:r>
      <w:r w:rsidRPr="007268F5">
        <w:rPr>
          <w:rFonts w:cstheme="minorBidi"/>
          <w:i/>
          <w:sz w:val="22"/>
          <w:szCs w:val="22"/>
        </w:rPr>
        <w:t xml:space="preserve"> norvegicus </w:t>
      </w:r>
      <w:r w:rsidRPr="009819CE">
        <w:rPr>
          <w:rFonts w:cstheme="minorBidi"/>
          <w:sz w:val="22"/>
          <w:szCs w:val="22"/>
        </w:rPr>
        <w:t>collected from the Clyde Sea Area.</w:t>
      </w:r>
      <w:bookmarkEnd w:id="263"/>
      <w:bookmarkEnd w:id="264"/>
    </w:p>
    <w:tbl>
      <w:tblPr>
        <w:tblStyle w:val="PlainTable2"/>
        <w:tblpPr w:leftFromText="180" w:rightFromText="180" w:vertAnchor="page" w:horzAnchor="margin" w:tblpY="2513"/>
        <w:tblW w:w="5000" w:type="pct"/>
        <w:tblLook w:val="04A0" w:firstRow="1" w:lastRow="0" w:firstColumn="1" w:lastColumn="0" w:noHBand="0" w:noVBand="1"/>
      </w:tblPr>
      <w:tblGrid>
        <w:gridCol w:w="3644"/>
        <w:gridCol w:w="680"/>
        <w:gridCol w:w="1110"/>
        <w:gridCol w:w="852"/>
        <w:gridCol w:w="1110"/>
        <w:gridCol w:w="852"/>
        <w:gridCol w:w="1112"/>
      </w:tblGrid>
      <w:tr w:rsidR="008B449A" w:rsidRPr="00FA7D47" w14:paraId="29948596" w14:textId="77777777" w:rsidTr="008F0385">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Merge w:val="restart"/>
            <w:vAlign w:val="center"/>
            <w:hideMark/>
          </w:tcPr>
          <w:p w14:paraId="38AF6553" w14:textId="77777777" w:rsidR="008B449A" w:rsidRPr="009819CE" w:rsidRDefault="008B449A" w:rsidP="008F0385">
            <w:pPr>
              <w:jc w:val="center"/>
              <w:rPr>
                <w:rFonts w:cstheme="minorBidi"/>
                <w:sz w:val="20"/>
                <w:szCs w:val="20"/>
              </w:rPr>
            </w:pPr>
            <w:r w:rsidRPr="009819CE">
              <w:rPr>
                <w:rFonts w:cstheme="minorBidi"/>
                <w:sz w:val="20"/>
                <w:szCs w:val="20"/>
              </w:rPr>
              <w:t>Parameters</w:t>
            </w:r>
          </w:p>
        </w:tc>
        <w:tc>
          <w:tcPr>
            <w:tcW w:w="956" w:type="pct"/>
            <w:gridSpan w:val="2"/>
            <w:vAlign w:val="center"/>
            <w:hideMark/>
          </w:tcPr>
          <w:p w14:paraId="3BCEF632" w14:textId="77777777" w:rsidR="008B449A" w:rsidRPr="009819CE" w:rsidRDefault="008B449A" w:rsidP="008F0385">
            <w:pPr>
              <w:jc w:val="center"/>
              <w:cnfStyle w:val="100000000000" w:firstRow="1"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Female</w:t>
            </w:r>
          </w:p>
        </w:tc>
        <w:tc>
          <w:tcPr>
            <w:tcW w:w="1048" w:type="pct"/>
            <w:gridSpan w:val="2"/>
            <w:vAlign w:val="center"/>
            <w:hideMark/>
          </w:tcPr>
          <w:p w14:paraId="0DC7BC3A" w14:textId="77777777" w:rsidR="008B449A" w:rsidRPr="009819CE" w:rsidRDefault="008B449A" w:rsidP="008F0385">
            <w:pPr>
              <w:jc w:val="center"/>
              <w:cnfStyle w:val="100000000000" w:firstRow="1"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Male</w:t>
            </w:r>
          </w:p>
        </w:tc>
        <w:tc>
          <w:tcPr>
            <w:tcW w:w="1048" w:type="pct"/>
            <w:gridSpan w:val="2"/>
            <w:vAlign w:val="center"/>
            <w:hideMark/>
          </w:tcPr>
          <w:p w14:paraId="428CAB4D" w14:textId="77777777" w:rsidR="008B449A" w:rsidRPr="009819CE" w:rsidRDefault="008B449A" w:rsidP="008F0385">
            <w:pPr>
              <w:jc w:val="center"/>
              <w:cnfStyle w:val="100000000000" w:firstRow="1"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Total</w:t>
            </w:r>
          </w:p>
        </w:tc>
      </w:tr>
      <w:tr w:rsidR="008B449A" w:rsidRPr="00FA7D47" w14:paraId="128DBFC2"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Merge/>
            <w:vAlign w:val="center"/>
          </w:tcPr>
          <w:p w14:paraId="41D59273" w14:textId="77777777" w:rsidR="008B449A" w:rsidRPr="00FA7D47" w:rsidRDefault="008B449A" w:rsidP="008F0385">
            <w:pPr>
              <w:jc w:val="center"/>
              <w:rPr>
                <w:rFonts w:cstheme="minorBidi"/>
                <w:sz w:val="20"/>
                <w:szCs w:val="20"/>
              </w:rPr>
            </w:pPr>
          </w:p>
        </w:tc>
        <w:tc>
          <w:tcPr>
            <w:tcW w:w="363" w:type="pct"/>
            <w:vAlign w:val="center"/>
          </w:tcPr>
          <w:p w14:paraId="39602024"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b/>
                <w:bCs/>
                <w:sz w:val="20"/>
                <w:szCs w:val="20"/>
              </w:rPr>
            </w:pPr>
            <w:r w:rsidRPr="009819CE">
              <w:rPr>
                <w:rFonts w:cstheme="minorBidi"/>
                <w:b/>
                <w:bCs/>
                <w:sz w:val="20"/>
                <w:szCs w:val="20"/>
              </w:rPr>
              <w:t>N</w:t>
            </w:r>
          </w:p>
        </w:tc>
        <w:tc>
          <w:tcPr>
            <w:tcW w:w="593" w:type="pct"/>
            <w:vAlign w:val="center"/>
          </w:tcPr>
          <w:p w14:paraId="37BDE12A"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b/>
                <w:bCs/>
                <w:sz w:val="20"/>
                <w:szCs w:val="20"/>
              </w:rPr>
            </w:pPr>
            <w:r w:rsidRPr="009819CE">
              <w:rPr>
                <w:rFonts w:cstheme="minorBidi"/>
                <w:b/>
                <w:bCs/>
                <w:sz w:val="20"/>
                <w:szCs w:val="20"/>
              </w:rPr>
              <w:t>%</w:t>
            </w:r>
          </w:p>
        </w:tc>
        <w:tc>
          <w:tcPr>
            <w:tcW w:w="455" w:type="pct"/>
            <w:vAlign w:val="center"/>
          </w:tcPr>
          <w:p w14:paraId="0A73EB2B"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b/>
                <w:bCs/>
                <w:sz w:val="20"/>
                <w:szCs w:val="20"/>
              </w:rPr>
            </w:pPr>
            <w:r w:rsidRPr="009819CE">
              <w:rPr>
                <w:rFonts w:cstheme="minorBidi"/>
                <w:b/>
                <w:bCs/>
                <w:sz w:val="20"/>
                <w:szCs w:val="20"/>
              </w:rPr>
              <w:t>N</w:t>
            </w:r>
          </w:p>
        </w:tc>
        <w:tc>
          <w:tcPr>
            <w:tcW w:w="593" w:type="pct"/>
            <w:vAlign w:val="center"/>
          </w:tcPr>
          <w:p w14:paraId="1C117B1C"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b/>
                <w:bCs/>
                <w:sz w:val="20"/>
                <w:szCs w:val="20"/>
              </w:rPr>
            </w:pPr>
            <w:r w:rsidRPr="009819CE">
              <w:rPr>
                <w:rFonts w:cstheme="minorBidi"/>
                <w:b/>
                <w:bCs/>
                <w:sz w:val="20"/>
                <w:szCs w:val="20"/>
              </w:rPr>
              <w:t>%</w:t>
            </w:r>
          </w:p>
        </w:tc>
        <w:tc>
          <w:tcPr>
            <w:tcW w:w="455" w:type="pct"/>
            <w:vAlign w:val="center"/>
          </w:tcPr>
          <w:p w14:paraId="65AC9445"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b/>
                <w:bCs/>
                <w:sz w:val="20"/>
                <w:szCs w:val="20"/>
              </w:rPr>
            </w:pPr>
            <w:r w:rsidRPr="009819CE">
              <w:rPr>
                <w:rFonts w:cstheme="minorBidi"/>
                <w:b/>
                <w:bCs/>
                <w:sz w:val="20"/>
                <w:szCs w:val="20"/>
              </w:rPr>
              <w:t>N</w:t>
            </w:r>
          </w:p>
        </w:tc>
        <w:tc>
          <w:tcPr>
            <w:tcW w:w="593" w:type="pct"/>
            <w:vAlign w:val="center"/>
          </w:tcPr>
          <w:p w14:paraId="28C116A0"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b/>
                <w:bCs/>
                <w:sz w:val="20"/>
                <w:szCs w:val="20"/>
              </w:rPr>
            </w:pPr>
            <w:r w:rsidRPr="009819CE">
              <w:rPr>
                <w:rFonts w:cstheme="minorBidi"/>
                <w:b/>
                <w:bCs/>
                <w:sz w:val="20"/>
                <w:szCs w:val="20"/>
              </w:rPr>
              <w:t>%</w:t>
            </w:r>
          </w:p>
        </w:tc>
      </w:tr>
      <w:tr w:rsidR="008B449A" w:rsidRPr="00FA7D47" w14:paraId="2D2AECCB"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tcPr>
          <w:p w14:paraId="630241D4" w14:textId="77777777" w:rsidR="008B449A" w:rsidRPr="009819CE" w:rsidRDefault="008B449A" w:rsidP="008F0385">
            <w:pPr>
              <w:jc w:val="center"/>
              <w:rPr>
                <w:rFonts w:cstheme="minorBidi"/>
                <w:sz w:val="20"/>
                <w:szCs w:val="20"/>
              </w:rPr>
            </w:pPr>
            <w:r w:rsidRPr="009819CE">
              <w:rPr>
                <w:rFonts w:cstheme="minorBidi"/>
                <w:sz w:val="20"/>
                <w:szCs w:val="20"/>
              </w:rPr>
              <w:t>Sex</w:t>
            </w:r>
          </w:p>
        </w:tc>
        <w:tc>
          <w:tcPr>
            <w:tcW w:w="363" w:type="pct"/>
            <w:vAlign w:val="center"/>
          </w:tcPr>
          <w:p w14:paraId="68A43F60"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46</w:t>
            </w:r>
          </w:p>
        </w:tc>
        <w:tc>
          <w:tcPr>
            <w:tcW w:w="593" w:type="pct"/>
            <w:vAlign w:val="center"/>
          </w:tcPr>
          <w:p w14:paraId="00202C28" w14:textId="10CC8F0B"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30.</w:t>
            </w:r>
            <w:r w:rsidR="00A20704" w:rsidRPr="00FA7D47">
              <w:rPr>
                <w:rFonts w:cstheme="minorBidi"/>
                <w:sz w:val="20"/>
                <w:szCs w:val="20"/>
              </w:rPr>
              <w:t>9</w:t>
            </w:r>
          </w:p>
        </w:tc>
        <w:tc>
          <w:tcPr>
            <w:tcW w:w="455" w:type="pct"/>
            <w:vAlign w:val="center"/>
          </w:tcPr>
          <w:p w14:paraId="6D4AABAF"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103</w:t>
            </w:r>
          </w:p>
        </w:tc>
        <w:tc>
          <w:tcPr>
            <w:tcW w:w="593" w:type="pct"/>
            <w:vAlign w:val="center"/>
          </w:tcPr>
          <w:p w14:paraId="64A93868" w14:textId="563D1C42"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69.1</w:t>
            </w:r>
          </w:p>
        </w:tc>
        <w:tc>
          <w:tcPr>
            <w:tcW w:w="455" w:type="pct"/>
            <w:vAlign w:val="center"/>
          </w:tcPr>
          <w:p w14:paraId="4AE5E24B"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149</w:t>
            </w:r>
          </w:p>
        </w:tc>
        <w:tc>
          <w:tcPr>
            <w:tcW w:w="593" w:type="pct"/>
            <w:vAlign w:val="center"/>
          </w:tcPr>
          <w:p w14:paraId="70274264"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100</w:t>
            </w:r>
          </w:p>
        </w:tc>
      </w:tr>
      <w:tr w:rsidR="008B449A" w:rsidRPr="00FA7D47" w14:paraId="1C4B9FBE"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2CAE1F7" w14:textId="77777777" w:rsidR="008B449A" w:rsidRPr="009819CE" w:rsidRDefault="008B449A" w:rsidP="008F0385">
            <w:pPr>
              <w:jc w:val="center"/>
              <w:rPr>
                <w:rFonts w:cstheme="minorBidi"/>
                <w:sz w:val="20"/>
                <w:szCs w:val="20"/>
              </w:rPr>
            </w:pPr>
            <w:r w:rsidRPr="009819CE">
              <w:rPr>
                <w:rFonts w:cstheme="minorBidi"/>
                <w:sz w:val="20"/>
                <w:szCs w:val="20"/>
              </w:rPr>
              <w:t>Body colour method (BCM)</w:t>
            </w:r>
          </w:p>
        </w:tc>
      </w:tr>
      <w:tr w:rsidR="008B449A" w:rsidRPr="00FA7D47" w14:paraId="7FCE1A4B"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1C3BFBCA"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Negative (BCM)</w:t>
            </w:r>
          </w:p>
        </w:tc>
        <w:tc>
          <w:tcPr>
            <w:tcW w:w="363" w:type="pct"/>
            <w:vAlign w:val="center"/>
            <w:hideMark/>
          </w:tcPr>
          <w:p w14:paraId="44373DF6"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37</w:t>
            </w:r>
          </w:p>
        </w:tc>
        <w:tc>
          <w:tcPr>
            <w:tcW w:w="593" w:type="pct"/>
            <w:vAlign w:val="center"/>
          </w:tcPr>
          <w:p w14:paraId="1650EE72" w14:textId="01720398"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29.8</w:t>
            </w:r>
          </w:p>
        </w:tc>
        <w:tc>
          <w:tcPr>
            <w:tcW w:w="455" w:type="pct"/>
            <w:vAlign w:val="center"/>
            <w:hideMark/>
          </w:tcPr>
          <w:p w14:paraId="39D84A5B"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87</w:t>
            </w:r>
          </w:p>
        </w:tc>
        <w:tc>
          <w:tcPr>
            <w:tcW w:w="593" w:type="pct"/>
            <w:vAlign w:val="center"/>
          </w:tcPr>
          <w:p w14:paraId="39A94EB7" w14:textId="0E009C1D"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70.</w:t>
            </w:r>
            <w:r w:rsidR="00A20704" w:rsidRPr="00FA7D47">
              <w:rPr>
                <w:rFonts w:cstheme="minorBidi"/>
                <w:sz w:val="20"/>
                <w:szCs w:val="20"/>
              </w:rPr>
              <w:t>2</w:t>
            </w:r>
          </w:p>
        </w:tc>
        <w:tc>
          <w:tcPr>
            <w:tcW w:w="455" w:type="pct"/>
            <w:vAlign w:val="center"/>
            <w:hideMark/>
          </w:tcPr>
          <w:p w14:paraId="2F3D8B2A"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124</w:t>
            </w:r>
          </w:p>
        </w:tc>
        <w:tc>
          <w:tcPr>
            <w:tcW w:w="593" w:type="pct"/>
            <w:vAlign w:val="center"/>
          </w:tcPr>
          <w:p w14:paraId="67108513" w14:textId="4871B95C"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83.2</w:t>
            </w:r>
          </w:p>
        </w:tc>
      </w:tr>
      <w:tr w:rsidR="008B449A" w:rsidRPr="00FA7D47" w14:paraId="1E620EF5"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20D39AC5"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Positive (BCM)</w:t>
            </w:r>
          </w:p>
        </w:tc>
        <w:tc>
          <w:tcPr>
            <w:tcW w:w="363" w:type="pct"/>
            <w:vAlign w:val="center"/>
            <w:hideMark/>
          </w:tcPr>
          <w:p w14:paraId="70E54437"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9</w:t>
            </w:r>
          </w:p>
        </w:tc>
        <w:tc>
          <w:tcPr>
            <w:tcW w:w="593" w:type="pct"/>
            <w:vAlign w:val="center"/>
          </w:tcPr>
          <w:p w14:paraId="2676EB37"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36</w:t>
            </w:r>
          </w:p>
        </w:tc>
        <w:tc>
          <w:tcPr>
            <w:tcW w:w="455" w:type="pct"/>
            <w:vAlign w:val="center"/>
            <w:hideMark/>
          </w:tcPr>
          <w:p w14:paraId="3B2A72ED"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16</w:t>
            </w:r>
          </w:p>
        </w:tc>
        <w:tc>
          <w:tcPr>
            <w:tcW w:w="593" w:type="pct"/>
            <w:vAlign w:val="center"/>
          </w:tcPr>
          <w:p w14:paraId="6687AEAF"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64</w:t>
            </w:r>
          </w:p>
        </w:tc>
        <w:tc>
          <w:tcPr>
            <w:tcW w:w="455" w:type="pct"/>
            <w:vAlign w:val="center"/>
            <w:hideMark/>
          </w:tcPr>
          <w:p w14:paraId="7E455F70"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25</w:t>
            </w:r>
          </w:p>
        </w:tc>
        <w:tc>
          <w:tcPr>
            <w:tcW w:w="593" w:type="pct"/>
            <w:vAlign w:val="center"/>
          </w:tcPr>
          <w:p w14:paraId="466B5328" w14:textId="4DE0E5EF"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16.</w:t>
            </w:r>
            <w:r w:rsidR="00ED4207" w:rsidRPr="00FA7D47">
              <w:rPr>
                <w:rFonts w:cstheme="minorBidi"/>
                <w:sz w:val="20"/>
                <w:szCs w:val="20"/>
              </w:rPr>
              <w:t>8</w:t>
            </w:r>
          </w:p>
        </w:tc>
      </w:tr>
      <w:tr w:rsidR="00C11C49" w:rsidRPr="00FA7D47" w14:paraId="5EEC8F40"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75C6991B" w14:textId="571FE79B" w:rsidR="00C11C49" w:rsidRPr="009819CE" w:rsidRDefault="00C11C49" w:rsidP="008F0385">
            <w:pPr>
              <w:jc w:val="center"/>
              <w:rPr>
                <w:rFonts w:cstheme="minorBidi"/>
                <w:sz w:val="20"/>
                <w:szCs w:val="20"/>
              </w:rPr>
            </w:pPr>
            <w:r w:rsidRPr="009819CE">
              <w:rPr>
                <w:rFonts w:cstheme="minorBidi"/>
                <w:sz w:val="20"/>
                <w:szCs w:val="20"/>
              </w:rPr>
              <w:t>Pleopod method (PM)</w:t>
            </w:r>
          </w:p>
        </w:tc>
      </w:tr>
      <w:tr w:rsidR="008B449A" w:rsidRPr="00FA7D47" w14:paraId="3EA8D748"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1AE79AA2"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S0</w:t>
            </w:r>
          </w:p>
        </w:tc>
        <w:tc>
          <w:tcPr>
            <w:tcW w:w="363" w:type="pct"/>
            <w:vAlign w:val="center"/>
            <w:hideMark/>
          </w:tcPr>
          <w:p w14:paraId="42240102"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34</w:t>
            </w:r>
          </w:p>
        </w:tc>
        <w:tc>
          <w:tcPr>
            <w:tcW w:w="593" w:type="pct"/>
            <w:vAlign w:val="center"/>
          </w:tcPr>
          <w:p w14:paraId="7A47807E" w14:textId="47E1EC5F"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30.6</w:t>
            </w:r>
          </w:p>
        </w:tc>
        <w:tc>
          <w:tcPr>
            <w:tcW w:w="455" w:type="pct"/>
            <w:vAlign w:val="center"/>
            <w:hideMark/>
          </w:tcPr>
          <w:p w14:paraId="241948A7"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77</w:t>
            </w:r>
          </w:p>
        </w:tc>
        <w:tc>
          <w:tcPr>
            <w:tcW w:w="593" w:type="pct"/>
            <w:vAlign w:val="center"/>
          </w:tcPr>
          <w:p w14:paraId="7904F147" w14:textId="4135DD9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69.</w:t>
            </w:r>
            <w:r w:rsidR="00A20704" w:rsidRPr="00FA7D47">
              <w:rPr>
                <w:rFonts w:cstheme="minorBidi"/>
                <w:sz w:val="20"/>
                <w:szCs w:val="20"/>
              </w:rPr>
              <w:t>4</w:t>
            </w:r>
          </w:p>
        </w:tc>
        <w:tc>
          <w:tcPr>
            <w:tcW w:w="455" w:type="pct"/>
            <w:vAlign w:val="center"/>
            <w:hideMark/>
          </w:tcPr>
          <w:p w14:paraId="4DA91CFD"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111</w:t>
            </w:r>
          </w:p>
        </w:tc>
        <w:tc>
          <w:tcPr>
            <w:tcW w:w="593" w:type="pct"/>
            <w:vAlign w:val="center"/>
          </w:tcPr>
          <w:p w14:paraId="6BC9FAD6" w14:textId="4A82C4F8"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74.5</w:t>
            </w:r>
          </w:p>
        </w:tc>
      </w:tr>
      <w:tr w:rsidR="008B449A" w:rsidRPr="00FA7D47" w14:paraId="75507B71"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6E57C297"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S1</w:t>
            </w:r>
          </w:p>
        </w:tc>
        <w:tc>
          <w:tcPr>
            <w:tcW w:w="363" w:type="pct"/>
            <w:vAlign w:val="center"/>
            <w:hideMark/>
          </w:tcPr>
          <w:p w14:paraId="37D1081A"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4</w:t>
            </w:r>
          </w:p>
        </w:tc>
        <w:tc>
          <w:tcPr>
            <w:tcW w:w="593" w:type="pct"/>
            <w:vAlign w:val="center"/>
          </w:tcPr>
          <w:p w14:paraId="6930A0FD" w14:textId="15CB3324"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21.</w:t>
            </w:r>
            <w:r w:rsidR="00A20704" w:rsidRPr="00FA7D47">
              <w:rPr>
                <w:rFonts w:cstheme="minorBidi"/>
                <w:sz w:val="20"/>
                <w:szCs w:val="20"/>
              </w:rPr>
              <w:t>1</w:t>
            </w:r>
          </w:p>
        </w:tc>
        <w:tc>
          <w:tcPr>
            <w:tcW w:w="455" w:type="pct"/>
            <w:vAlign w:val="center"/>
            <w:hideMark/>
          </w:tcPr>
          <w:p w14:paraId="099CF80F"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15</w:t>
            </w:r>
          </w:p>
        </w:tc>
        <w:tc>
          <w:tcPr>
            <w:tcW w:w="593" w:type="pct"/>
            <w:vAlign w:val="center"/>
          </w:tcPr>
          <w:p w14:paraId="65E50B5F" w14:textId="61738741"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7</w:t>
            </w:r>
            <w:r w:rsidR="00A20704" w:rsidRPr="00FA7D47">
              <w:rPr>
                <w:rFonts w:cstheme="minorBidi"/>
                <w:sz w:val="20"/>
                <w:szCs w:val="20"/>
              </w:rPr>
              <w:t>9</w:t>
            </w:r>
          </w:p>
        </w:tc>
        <w:tc>
          <w:tcPr>
            <w:tcW w:w="455" w:type="pct"/>
            <w:vAlign w:val="center"/>
            <w:hideMark/>
          </w:tcPr>
          <w:p w14:paraId="1EF236FF"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19</w:t>
            </w:r>
          </w:p>
        </w:tc>
        <w:tc>
          <w:tcPr>
            <w:tcW w:w="593" w:type="pct"/>
            <w:vAlign w:val="center"/>
          </w:tcPr>
          <w:p w14:paraId="4D34954D" w14:textId="57E5C23A"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12.</w:t>
            </w:r>
            <w:r w:rsidR="00ED4207" w:rsidRPr="00FA7D47">
              <w:rPr>
                <w:rFonts w:cstheme="minorBidi"/>
                <w:sz w:val="20"/>
                <w:szCs w:val="20"/>
              </w:rPr>
              <w:t>8</w:t>
            </w:r>
          </w:p>
        </w:tc>
      </w:tr>
      <w:tr w:rsidR="008B449A" w:rsidRPr="00FA7D47" w14:paraId="19EE3DD6"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2B9CA167"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S2</w:t>
            </w:r>
          </w:p>
        </w:tc>
        <w:tc>
          <w:tcPr>
            <w:tcW w:w="363" w:type="pct"/>
            <w:vAlign w:val="center"/>
            <w:hideMark/>
          </w:tcPr>
          <w:p w14:paraId="32E8AFEE"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w:t>
            </w:r>
          </w:p>
        </w:tc>
        <w:tc>
          <w:tcPr>
            <w:tcW w:w="593" w:type="pct"/>
            <w:vAlign w:val="center"/>
          </w:tcPr>
          <w:p w14:paraId="23B20A31" w14:textId="2459231C"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37.5</w:t>
            </w:r>
          </w:p>
        </w:tc>
        <w:tc>
          <w:tcPr>
            <w:tcW w:w="455" w:type="pct"/>
            <w:vAlign w:val="center"/>
            <w:hideMark/>
          </w:tcPr>
          <w:p w14:paraId="003DAD48"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5</w:t>
            </w:r>
          </w:p>
        </w:tc>
        <w:tc>
          <w:tcPr>
            <w:tcW w:w="593" w:type="pct"/>
            <w:vAlign w:val="center"/>
          </w:tcPr>
          <w:p w14:paraId="592D4E77" w14:textId="0AA49C34"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62.5</w:t>
            </w:r>
          </w:p>
        </w:tc>
        <w:tc>
          <w:tcPr>
            <w:tcW w:w="455" w:type="pct"/>
            <w:vAlign w:val="center"/>
            <w:hideMark/>
          </w:tcPr>
          <w:p w14:paraId="3A28049F"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8</w:t>
            </w:r>
          </w:p>
        </w:tc>
        <w:tc>
          <w:tcPr>
            <w:tcW w:w="593" w:type="pct"/>
            <w:vAlign w:val="center"/>
          </w:tcPr>
          <w:p w14:paraId="2C462460" w14:textId="68091EC0"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5.</w:t>
            </w:r>
            <w:r w:rsidR="00ED4207" w:rsidRPr="00FA7D47">
              <w:rPr>
                <w:rFonts w:cstheme="minorBidi"/>
                <w:sz w:val="20"/>
                <w:szCs w:val="20"/>
              </w:rPr>
              <w:t>4</w:t>
            </w:r>
          </w:p>
        </w:tc>
      </w:tr>
      <w:tr w:rsidR="008B449A" w:rsidRPr="00FA7D47" w14:paraId="0E359A69"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63C6EEBE"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S3</w:t>
            </w:r>
          </w:p>
        </w:tc>
        <w:tc>
          <w:tcPr>
            <w:tcW w:w="363" w:type="pct"/>
            <w:vAlign w:val="center"/>
            <w:hideMark/>
          </w:tcPr>
          <w:p w14:paraId="61C1CB1C"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w:t>
            </w:r>
          </w:p>
        </w:tc>
        <w:tc>
          <w:tcPr>
            <w:tcW w:w="593" w:type="pct"/>
            <w:vAlign w:val="center"/>
          </w:tcPr>
          <w:p w14:paraId="6299D413"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50</w:t>
            </w:r>
          </w:p>
        </w:tc>
        <w:tc>
          <w:tcPr>
            <w:tcW w:w="455" w:type="pct"/>
            <w:vAlign w:val="center"/>
            <w:hideMark/>
          </w:tcPr>
          <w:p w14:paraId="4269D41D"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w:t>
            </w:r>
          </w:p>
        </w:tc>
        <w:tc>
          <w:tcPr>
            <w:tcW w:w="593" w:type="pct"/>
            <w:vAlign w:val="center"/>
          </w:tcPr>
          <w:p w14:paraId="70FB35FF"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50</w:t>
            </w:r>
          </w:p>
        </w:tc>
        <w:tc>
          <w:tcPr>
            <w:tcW w:w="455" w:type="pct"/>
            <w:vAlign w:val="center"/>
            <w:hideMark/>
          </w:tcPr>
          <w:p w14:paraId="70537331"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10</w:t>
            </w:r>
          </w:p>
        </w:tc>
        <w:tc>
          <w:tcPr>
            <w:tcW w:w="593" w:type="pct"/>
            <w:vAlign w:val="center"/>
          </w:tcPr>
          <w:p w14:paraId="4C770CDF" w14:textId="40ED9DDE"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6.7</w:t>
            </w:r>
          </w:p>
        </w:tc>
      </w:tr>
      <w:tr w:rsidR="008B449A" w:rsidRPr="00FA7D47" w14:paraId="4011AAEA"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397167FD"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S4</w:t>
            </w:r>
          </w:p>
        </w:tc>
        <w:tc>
          <w:tcPr>
            <w:tcW w:w="363" w:type="pct"/>
            <w:vAlign w:val="center"/>
            <w:hideMark/>
          </w:tcPr>
          <w:p w14:paraId="4EAF3771"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w:t>
            </w:r>
          </w:p>
        </w:tc>
        <w:tc>
          <w:tcPr>
            <w:tcW w:w="593" w:type="pct"/>
            <w:vAlign w:val="center"/>
          </w:tcPr>
          <w:p w14:paraId="32EEBE6C"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100</w:t>
            </w:r>
          </w:p>
        </w:tc>
        <w:tc>
          <w:tcPr>
            <w:tcW w:w="455" w:type="pct"/>
            <w:vAlign w:val="center"/>
            <w:hideMark/>
          </w:tcPr>
          <w:p w14:paraId="0C0BFCF2"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0</w:t>
            </w:r>
          </w:p>
        </w:tc>
        <w:tc>
          <w:tcPr>
            <w:tcW w:w="593" w:type="pct"/>
            <w:vAlign w:val="center"/>
          </w:tcPr>
          <w:p w14:paraId="42F37CDF"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0</w:t>
            </w:r>
          </w:p>
        </w:tc>
        <w:tc>
          <w:tcPr>
            <w:tcW w:w="455" w:type="pct"/>
            <w:vAlign w:val="center"/>
            <w:hideMark/>
          </w:tcPr>
          <w:p w14:paraId="120A5041"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w:t>
            </w:r>
          </w:p>
        </w:tc>
        <w:tc>
          <w:tcPr>
            <w:tcW w:w="593" w:type="pct"/>
            <w:vAlign w:val="center"/>
          </w:tcPr>
          <w:p w14:paraId="30B58DE7" w14:textId="1AB09D61"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0.</w:t>
            </w:r>
            <w:r w:rsidR="00ED4207" w:rsidRPr="00FA7D47">
              <w:rPr>
                <w:rFonts w:cstheme="minorBidi"/>
                <w:sz w:val="20"/>
                <w:szCs w:val="20"/>
              </w:rPr>
              <w:t>7</w:t>
            </w:r>
          </w:p>
        </w:tc>
      </w:tr>
      <w:tr w:rsidR="008B449A" w:rsidRPr="00FA7D47" w14:paraId="219351A9"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00D69E3D" w14:textId="77777777" w:rsidR="008B449A" w:rsidRPr="009819CE" w:rsidRDefault="008B449A" w:rsidP="008F0385">
            <w:pPr>
              <w:ind w:firstLine="170"/>
              <w:jc w:val="center"/>
              <w:rPr>
                <w:rFonts w:cstheme="minorBidi"/>
                <w:b w:val="0"/>
                <w:bCs w:val="0"/>
                <w:sz w:val="20"/>
                <w:szCs w:val="20"/>
              </w:rPr>
            </w:pPr>
            <w:r w:rsidRPr="009819CE">
              <w:rPr>
                <w:rFonts w:cstheme="minorBidi"/>
                <w:b w:val="0"/>
                <w:bCs w:val="0"/>
                <w:sz w:val="20"/>
                <w:szCs w:val="20"/>
              </w:rPr>
              <w:t>S1-4</w:t>
            </w:r>
          </w:p>
        </w:tc>
        <w:tc>
          <w:tcPr>
            <w:tcW w:w="363" w:type="pct"/>
            <w:vAlign w:val="center"/>
            <w:hideMark/>
          </w:tcPr>
          <w:p w14:paraId="44814BB9"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12</w:t>
            </w:r>
          </w:p>
        </w:tc>
        <w:tc>
          <w:tcPr>
            <w:tcW w:w="593" w:type="pct"/>
            <w:vAlign w:val="center"/>
          </w:tcPr>
          <w:p w14:paraId="2F42CF93" w14:textId="7BF0C774"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31.</w:t>
            </w:r>
            <w:r w:rsidR="00A20704" w:rsidRPr="00FA7D47">
              <w:rPr>
                <w:rFonts w:cstheme="minorBidi"/>
                <w:sz w:val="20"/>
                <w:szCs w:val="20"/>
              </w:rPr>
              <w:t>6</w:t>
            </w:r>
          </w:p>
        </w:tc>
        <w:tc>
          <w:tcPr>
            <w:tcW w:w="455" w:type="pct"/>
            <w:vAlign w:val="center"/>
            <w:hideMark/>
          </w:tcPr>
          <w:p w14:paraId="312217C4"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26</w:t>
            </w:r>
          </w:p>
        </w:tc>
        <w:tc>
          <w:tcPr>
            <w:tcW w:w="593" w:type="pct"/>
            <w:vAlign w:val="center"/>
          </w:tcPr>
          <w:p w14:paraId="03F67A1F" w14:textId="5F20A4F3"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68.4</w:t>
            </w:r>
          </w:p>
        </w:tc>
        <w:tc>
          <w:tcPr>
            <w:tcW w:w="455" w:type="pct"/>
            <w:vAlign w:val="center"/>
            <w:hideMark/>
          </w:tcPr>
          <w:p w14:paraId="21B7A86B"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38</w:t>
            </w:r>
          </w:p>
        </w:tc>
        <w:tc>
          <w:tcPr>
            <w:tcW w:w="593" w:type="pct"/>
            <w:vAlign w:val="center"/>
          </w:tcPr>
          <w:p w14:paraId="1DC4CA58" w14:textId="0264E934"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25.5</w:t>
            </w:r>
          </w:p>
        </w:tc>
      </w:tr>
      <w:tr w:rsidR="008B449A" w:rsidRPr="00FA7D47" w14:paraId="2D9EA990"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2BB08302" w14:textId="74532B15" w:rsidR="008B449A" w:rsidRPr="009819CE" w:rsidRDefault="00272268" w:rsidP="008F0385">
            <w:pPr>
              <w:jc w:val="center"/>
              <w:rPr>
                <w:rFonts w:cstheme="minorBidi"/>
                <w:sz w:val="20"/>
                <w:szCs w:val="20"/>
              </w:rPr>
            </w:pPr>
            <w:r w:rsidRPr="00FA7D47">
              <w:rPr>
                <w:rFonts w:cstheme="minorBidi"/>
                <w:sz w:val="20"/>
                <w:szCs w:val="20"/>
              </w:rPr>
              <w:t>Moult</w:t>
            </w:r>
            <w:r w:rsidR="008B449A" w:rsidRPr="009819CE">
              <w:rPr>
                <w:rFonts w:cstheme="minorBidi"/>
                <w:sz w:val="20"/>
                <w:szCs w:val="20"/>
              </w:rPr>
              <w:t xml:space="preserve"> parameters</w:t>
            </w:r>
          </w:p>
        </w:tc>
      </w:tr>
      <w:tr w:rsidR="008B449A" w:rsidRPr="00FA7D47" w14:paraId="1C57A899"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3ADBB7E1"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Hard (H)</w:t>
            </w:r>
          </w:p>
        </w:tc>
        <w:tc>
          <w:tcPr>
            <w:tcW w:w="363" w:type="pct"/>
            <w:vAlign w:val="center"/>
            <w:hideMark/>
          </w:tcPr>
          <w:p w14:paraId="1A29FFEB"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39</w:t>
            </w:r>
          </w:p>
        </w:tc>
        <w:tc>
          <w:tcPr>
            <w:tcW w:w="593" w:type="pct"/>
            <w:vAlign w:val="center"/>
          </w:tcPr>
          <w:p w14:paraId="584B914B" w14:textId="3FF1117C"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28.</w:t>
            </w:r>
            <w:r w:rsidR="00A20704" w:rsidRPr="00FA7D47">
              <w:rPr>
                <w:rFonts w:cstheme="minorBidi"/>
                <w:sz w:val="20"/>
                <w:szCs w:val="20"/>
              </w:rPr>
              <w:t>9</w:t>
            </w:r>
          </w:p>
        </w:tc>
        <w:tc>
          <w:tcPr>
            <w:tcW w:w="455" w:type="pct"/>
            <w:vAlign w:val="center"/>
            <w:hideMark/>
          </w:tcPr>
          <w:p w14:paraId="6611C98E"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96</w:t>
            </w:r>
          </w:p>
        </w:tc>
        <w:tc>
          <w:tcPr>
            <w:tcW w:w="593" w:type="pct"/>
            <w:vAlign w:val="center"/>
          </w:tcPr>
          <w:p w14:paraId="536E2839" w14:textId="61F58573"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71.1</w:t>
            </w:r>
          </w:p>
        </w:tc>
        <w:tc>
          <w:tcPr>
            <w:tcW w:w="455" w:type="pct"/>
            <w:vAlign w:val="center"/>
            <w:hideMark/>
          </w:tcPr>
          <w:p w14:paraId="4409F22A"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135</w:t>
            </w:r>
          </w:p>
        </w:tc>
        <w:tc>
          <w:tcPr>
            <w:tcW w:w="593" w:type="pct"/>
            <w:vAlign w:val="center"/>
          </w:tcPr>
          <w:p w14:paraId="4C9C1ED5" w14:textId="37D7CDFD"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90.6</w:t>
            </w:r>
          </w:p>
        </w:tc>
      </w:tr>
      <w:tr w:rsidR="008B449A" w:rsidRPr="00FA7D47" w14:paraId="336947CC"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69EBB98A"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Soft (S)</w:t>
            </w:r>
          </w:p>
        </w:tc>
        <w:tc>
          <w:tcPr>
            <w:tcW w:w="363" w:type="pct"/>
            <w:vAlign w:val="center"/>
            <w:hideMark/>
          </w:tcPr>
          <w:p w14:paraId="1339D9AC"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w:t>
            </w:r>
          </w:p>
        </w:tc>
        <w:tc>
          <w:tcPr>
            <w:tcW w:w="593" w:type="pct"/>
            <w:vAlign w:val="center"/>
          </w:tcPr>
          <w:p w14:paraId="2D605C99"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50</w:t>
            </w:r>
          </w:p>
        </w:tc>
        <w:tc>
          <w:tcPr>
            <w:tcW w:w="455" w:type="pct"/>
            <w:vAlign w:val="center"/>
            <w:hideMark/>
          </w:tcPr>
          <w:p w14:paraId="64CD2D80"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w:t>
            </w:r>
          </w:p>
        </w:tc>
        <w:tc>
          <w:tcPr>
            <w:tcW w:w="593" w:type="pct"/>
            <w:vAlign w:val="center"/>
          </w:tcPr>
          <w:p w14:paraId="2E577220"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50</w:t>
            </w:r>
          </w:p>
        </w:tc>
        <w:tc>
          <w:tcPr>
            <w:tcW w:w="455" w:type="pct"/>
            <w:vAlign w:val="center"/>
            <w:hideMark/>
          </w:tcPr>
          <w:p w14:paraId="6BC1FB4E"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14</w:t>
            </w:r>
          </w:p>
        </w:tc>
        <w:tc>
          <w:tcPr>
            <w:tcW w:w="593" w:type="pct"/>
            <w:vAlign w:val="center"/>
          </w:tcPr>
          <w:p w14:paraId="0BD2DCB2" w14:textId="6D0624B2"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9.4</w:t>
            </w:r>
          </w:p>
        </w:tc>
      </w:tr>
      <w:tr w:rsidR="008B449A" w:rsidRPr="00FA7D47" w14:paraId="54C87976"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68F41A40"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RM (recently moulted)</w:t>
            </w:r>
          </w:p>
        </w:tc>
        <w:tc>
          <w:tcPr>
            <w:tcW w:w="363" w:type="pct"/>
            <w:vAlign w:val="center"/>
            <w:hideMark/>
          </w:tcPr>
          <w:p w14:paraId="779FEB7A"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w:t>
            </w:r>
          </w:p>
        </w:tc>
        <w:tc>
          <w:tcPr>
            <w:tcW w:w="593" w:type="pct"/>
            <w:vAlign w:val="center"/>
          </w:tcPr>
          <w:p w14:paraId="4D19AC8B" w14:textId="1FBAACF0"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45.</w:t>
            </w:r>
            <w:r w:rsidR="00ED4207" w:rsidRPr="00FA7D47">
              <w:rPr>
                <w:rFonts w:cstheme="minorBidi"/>
                <w:sz w:val="20"/>
                <w:szCs w:val="20"/>
              </w:rPr>
              <w:t>5</w:t>
            </w:r>
          </w:p>
        </w:tc>
        <w:tc>
          <w:tcPr>
            <w:tcW w:w="455" w:type="pct"/>
            <w:vAlign w:val="center"/>
            <w:hideMark/>
          </w:tcPr>
          <w:p w14:paraId="6CFD28D6"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w:t>
            </w:r>
          </w:p>
        </w:tc>
        <w:tc>
          <w:tcPr>
            <w:tcW w:w="593" w:type="pct"/>
            <w:vAlign w:val="center"/>
          </w:tcPr>
          <w:p w14:paraId="47147980" w14:textId="3C86865A"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54.</w:t>
            </w:r>
            <w:r w:rsidR="00A20704" w:rsidRPr="00FA7D47">
              <w:rPr>
                <w:rFonts w:cstheme="minorBidi"/>
                <w:sz w:val="20"/>
                <w:szCs w:val="20"/>
              </w:rPr>
              <w:t>6</w:t>
            </w:r>
          </w:p>
        </w:tc>
        <w:tc>
          <w:tcPr>
            <w:tcW w:w="455" w:type="pct"/>
            <w:vAlign w:val="center"/>
            <w:hideMark/>
          </w:tcPr>
          <w:p w14:paraId="778602BB"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11</w:t>
            </w:r>
          </w:p>
        </w:tc>
        <w:tc>
          <w:tcPr>
            <w:tcW w:w="593" w:type="pct"/>
            <w:vAlign w:val="center"/>
          </w:tcPr>
          <w:p w14:paraId="6B23BAF7" w14:textId="0FDD0AAF"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7.</w:t>
            </w:r>
            <w:r w:rsidR="00ED4207" w:rsidRPr="00FA7D47">
              <w:rPr>
                <w:rFonts w:cstheme="minorBidi"/>
                <w:sz w:val="20"/>
                <w:szCs w:val="20"/>
              </w:rPr>
              <w:t>4</w:t>
            </w:r>
          </w:p>
        </w:tc>
      </w:tr>
      <w:tr w:rsidR="008B449A" w:rsidRPr="00FA7D47" w14:paraId="30F4497B"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29E874B7"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IM (inter-moult)</w:t>
            </w:r>
          </w:p>
        </w:tc>
        <w:tc>
          <w:tcPr>
            <w:tcW w:w="363" w:type="pct"/>
            <w:vAlign w:val="center"/>
            <w:hideMark/>
          </w:tcPr>
          <w:p w14:paraId="55D269F2"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28</w:t>
            </w:r>
          </w:p>
        </w:tc>
        <w:tc>
          <w:tcPr>
            <w:tcW w:w="593" w:type="pct"/>
            <w:vAlign w:val="center"/>
          </w:tcPr>
          <w:p w14:paraId="04373E1D" w14:textId="2DEF82D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27.</w:t>
            </w:r>
            <w:r w:rsidR="00ED4207" w:rsidRPr="00FA7D47">
              <w:rPr>
                <w:rFonts w:cstheme="minorBidi"/>
                <w:sz w:val="20"/>
                <w:szCs w:val="20"/>
              </w:rPr>
              <w:t>8</w:t>
            </w:r>
          </w:p>
        </w:tc>
        <w:tc>
          <w:tcPr>
            <w:tcW w:w="455" w:type="pct"/>
            <w:vAlign w:val="center"/>
            <w:hideMark/>
          </w:tcPr>
          <w:p w14:paraId="56567FCD"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73</w:t>
            </w:r>
          </w:p>
        </w:tc>
        <w:tc>
          <w:tcPr>
            <w:tcW w:w="593" w:type="pct"/>
            <w:vAlign w:val="center"/>
          </w:tcPr>
          <w:p w14:paraId="4F71CE30" w14:textId="587B2C79"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72.</w:t>
            </w:r>
            <w:r w:rsidR="00ED4207" w:rsidRPr="00FA7D47">
              <w:rPr>
                <w:rFonts w:cstheme="minorBidi"/>
                <w:sz w:val="20"/>
                <w:szCs w:val="20"/>
              </w:rPr>
              <w:t>3</w:t>
            </w:r>
          </w:p>
        </w:tc>
        <w:tc>
          <w:tcPr>
            <w:tcW w:w="455" w:type="pct"/>
            <w:vAlign w:val="center"/>
            <w:hideMark/>
          </w:tcPr>
          <w:p w14:paraId="5BFFE4CC"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101</w:t>
            </w:r>
          </w:p>
        </w:tc>
        <w:tc>
          <w:tcPr>
            <w:tcW w:w="593" w:type="pct"/>
            <w:vAlign w:val="center"/>
          </w:tcPr>
          <w:p w14:paraId="02F94C64" w14:textId="2C0BCC72"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67.</w:t>
            </w:r>
            <w:r w:rsidR="00ED4207" w:rsidRPr="00FA7D47">
              <w:rPr>
                <w:rFonts w:cstheme="minorBidi"/>
                <w:sz w:val="20"/>
                <w:szCs w:val="20"/>
              </w:rPr>
              <w:t>8</w:t>
            </w:r>
          </w:p>
        </w:tc>
      </w:tr>
      <w:tr w:rsidR="008B449A" w:rsidRPr="00FA7D47" w14:paraId="4AE4DCAA"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26B3D385"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A+B</w:t>
            </w:r>
          </w:p>
        </w:tc>
        <w:tc>
          <w:tcPr>
            <w:tcW w:w="363" w:type="pct"/>
            <w:vAlign w:val="center"/>
            <w:hideMark/>
          </w:tcPr>
          <w:p w14:paraId="5BC66C02"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w:t>
            </w:r>
          </w:p>
        </w:tc>
        <w:tc>
          <w:tcPr>
            <w:tcW w:w="593" w:type="pct"/>
            <w:vAlign w:val="center"/>
          </w:tcPr>
          <w:p w14:paraId="662A68A2" w14:textId="5BAF04BC"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45.</w:t>
            </w:r>
            <w:r w:rsidR="00ED4207" w:rsidRPr="00FA7D47">
              <w:rPr>
                <w:rFonts w:cstheme="minorBidi"/>
                <w:sz w:val="20"/>
                <w:szCs w:val="20"/>
              </w:rPr>
              <w:t>5</w:t>
            </w:r>
          </w:p>
        </w:tc>
        <w:tc>
          <w:tcPr>
            <w:tcW w:w="455" w:type="pct"/>
            <w:vAlign w:val="center"/>
            <w:hideMark/>
          </w:tcPr>
          <w:p w14:paraId="03FCFBE0"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w:t>
            </w:r>
          </w:p>
        </w:tc>
        <w:tc>
          <w:tcPr>
            <w:tcW w:w="593" w:type="pct"/>
            <w:vAlign w:val="center"/>
          </w:tcPr>
          <w:p w14:paraId="1B577EDE" w14:textId="64557989"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54.</w:t>
            </w:r>
            <w:r w:rsidR="00ED4207" w:rsidRPr="00FA7D47">
              <w:rPr>
                <w:rFonts w:cstheme="minorBidi"/>
                <w:sz w:val="20"/>
                <w:szCs w:val="20"/>
              </w:rPr>
              <w:t>6</w:t>
            </w:r>
          </w:p>
        </w:tc>
        <w:tc>
          <w:tcPr>
            <w:tcW w:w="455" w:type="pct"/>
            <w:vAlign w:val="center"/>
            <w:hideMark/>
          </w:tcPr>
          <w:p w14:paraId="06AAD0DC"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11</w:t>
            </w:r>
          </w:p>
        </w:tc>
        <w:tc>
          <w:tcPr>
            <w:tcW w:w="593" w:type="pct"/>
            <w:vAlign w:val="center"/>
          </w:tcPr>
          <w:p w14:paraId="621B42F7" w14:textId="3E24636C"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7.</w:t>
            </w:r>
            <w:r w:rsidR="00ED4207" w:rsidRPr="00FA7D47">
              <w:rPr>
                <w:rFonts w:cstheme="minorBidi"/>
                <w:sz w:val="20"/>
                <w:szCs w:val="20"/>
              </w:rPr>
              <w:t>4</w:t>
            </w:r>
          </w:p>
        </w:tc>
      </w:tr>
      <w:tr w:rsidR="008B449A" w:rsidRPr="00FA7D47" w14:paraId="3994E1C6"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48F244EB"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C</w:t>
            </w:r>
          </w:p>
        </w:tc>
        <w:tc>
          <w:tcPr>
            <w:tcW w:w="363" w:type="pct"/>
            <w:vAlign w:val="center"/>
            <w:hideMark/>
          </w:tcPr>
          <w:p w14:paraId="114AB913"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28</w:t>
            </w:r>
          </w:p>
        </w:tc>
        <w:tc>
          <w:tcPr>
            <w:tcW w:w="593" w:type="pct"/>
            <w:vAlign w:val="center"/>
          </w:tcPr>
          <w:p w14:paraId="7AAACF3D" w14:textId="1506FA3B"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27.7</w:t>
            </w:r>
          </w:p>
        </w:tc>
        <w:tc>
          <w:tcPr>
            <w:tcW w:w="455" w:type="pct"/>
            <w:vAlign w:val="center"/>
            <w:hideMark/>
          </w:tcPr>
          <w:p w14:paraId="05DD3FFD"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73</w:t>
            </w:r>
          </w:p>
        </w:tc>
        <w:tc>
          <w:tcPr>
            <w:tcW w:w="593" w:type="pct"/>
            <w:vAlign w:val="center"/>
          </w:tcPr>
          <w:p w14:paraId="13EC84E2" w14:textId="47BA74A9"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72.</w:t>
            </w:r>
            <w:r w:rsidR="00ED4207" w:rsidRPr="00FA7D47">
              <w:rPr>
                <w:rFonts w:cstheme="minorBidi"/>
                <w:sz w:val="20"/>
                <w:szCs w:val="20"/>
              </w:rPr>
              <w:t>3</w:t>
            </w:r>
          </w:p>
        </w:tc>
        <w:tc>
          <w:tcPr>
            <w:tcW w:w="455" w:type="pct"/>
            <w:vAlign w:val="center"/>
            <w:hideMark/>
          </w:tcPr>
          <w:p w14:paraId="73B29FE0"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101</w:t>
            </w:r>
          </w:p>
        </w:tc>
        <w:tc>
          <w:tcPr>
            <w:tcW w:w="593" w:type="pct"/>
            <w:vAlign w:val="center"/>
          </w:tcPr>
          <w:p w14:paraId="26AC430C" w14:textId="571A5F52"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67.</w:t>
            </w:r>
            <w:r w:rsidR="00ED4207" w:rsidRPr="00FA7D47">
              <w:rPr>
                <w:rFonts w:cstheme="minorBidi"/>
                <w:sz w:val="20"/>
                <w:szCs w:val="20"/>
              </w:rPr>
              <w:t>8</w:t>
            </w:r>
          </w:p>
        </w:tc>
      </w:tr>
      <w:tr w:rsidR="008B449A" w:rsidRPr="00FA7D47" w14:paraId="394B7F7E"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1FA64E89"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D</w:t>
            </w:r>
          </w:p>
        </w:tc>
        <w:tc>
          <w:tcPr>
            <w:tcW w:w="363" w:type="pct"/>
            <w:vAlign w:val="center"/>
            <w:hideMark/>
          </w:tcPr>
          <w:p w14:paraId="4A1F9CEF"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13</w:t>
            </w:r>
          </w:p>
        </w:tc>
        <w:tc>
          <w:tcPr>
            <w:tcW w:w="593" w:type="pct"/>
            <w:vAlign w:val="center"/>
          </w:tcPr>
          <w:p w14:paraId="39D45B62" w14:textId="29C7A428"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35.1</w:t>
            </w:r>
          </w:p>
        </w:tc>
        <w:tc>
          <w:tcPr>
            <w:tcW w:w="455" w:type="pct"/>
            <w:vAlign w:val="center"/>
            <w:hideMark/>
          </w:tcPr>
          <w:p w14:paraId="22C2A149"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24</w:t>
            </w:r>
          </w:p>
        </w:tc>
        <w:tc>
          <w:tcPr>
            <w:tcW w:w="593" w:type="pct"/>
            <w:vAlign w:val="center"/>
          </w:tcPr>
          <w:p w14:paraId="1FB22977" w14:textId="6AF1646D"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64.</w:t>
            </w:r>
            <w:r w:rsidR="00ED4207" w:rsidRPr="00FA7D47">
              <w:rPr>
                <w:rFonts w:cstheme="minorBidi"/>
                <w:sz w:val="20"/>
                <w:szCs w:val="20"/>
              </w:rPr>
              <w:t>9</w:t>
            </w:r>
          </w:p>
        </w:tc>
        <w:tc>
          <w:tcPr>
            <w:tcW w:w="455" w:type="pct"/>
            <w:vAlign w:val="center"/>
            <w:hideMark/>
          </w:tcPr>
          <w:p w14:paraId="10ED79B3"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37</w:t>
            </w:r>
          </w:p>
        </w:tc>
        <w:tc>
          <w:tcPr>
            <w:tcW w:w="593" w:type="pct"/>
            <w:vAlign w:val="center"/>
          </w:tcPr>
          <w:p w14:paraId="016275BD" w14:textId="49A697E4"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24.8</w:t>
            </w:r>
          </w:p>
        </w:tc>
      </w:tr>
      <w:tr w:rsidR="008B449A" w:rsidRPr="00FA7D47" w14:paraId="26F558F9"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2066E895" w14:textId="77777777" w:rsidR="008B449A" w:rsidRPr="009819CE" w:rsidRDefault="008B449A" w:rsidP="008F0385">
            <w:pPr>
              <w:jc w:val="center"/>
              <w:rPr>
                <w:rFonts w:cstheme="minorBidi"/>
                <w:sz w:val="20"/>
                <w:szCs w:val="20"/>
              </w:rPr>
            </w:pPr>
            <w:r w:rsidRPr="009819CE">
              <w:rPr>
                <w:rFonts w:cstheme="minorBidi"/>
                <w:sz w:val="20"/>
                <w:szCs w:val="20"/>
              </w:rPr>
              <w:t>Size parameter</w:t>
            </w:r>
          </w:p>
        </w:tc>
      </w:tr>
      <w:tr w:rsidR="008B449A" w:rsidRPr="00FA7D47" w14:paraId="40BBD1A2"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2D630ED1"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Immature</w:t>
            </w:r>
          </w:p>
        </w:tc>
        <w:tc>
          <w:tcPr>
            <w:tcW w:w="363" w:type="pct"/>
            <w:vAlign w:val="center"/>
            <w:hideMark/>
          </w:tcPr>
          <w:p w14:paraId="4C3C30E8"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10</w:t>
            </w:r>
          </w:p>
        </w:tc>
        <w:tc>
          <w:tcPr>
            <w:tcW w:w="593" w:type="pct"/>
            <w:vAlign w:val="center"/>
          </w:tcPr>
          <w:p w14:paraId="3C2D0AF9" w14:textId="171DEE0E"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20.4</w:t>
            </w:r>
          </w:p>
        </w:tc>
        <w:tc>
          <w:tcPr>
            <w:tcW w:w="455" w:type="pct"/>
            <w:vAlign w:val="center"/>
            <w:hideMark/>
          </w:tcPr>
          <w:p w14:paraId="270AD25E"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39</w:t>
            </w:r>
          </w:p>
        </w:tc>
        <w:tc>
          <w:tcPr>
            <w:tcW w:w="593" w:type="pct"/>
            <w:vAlign w:val="center"/>
          </w:tcPr>
          <w:p w14:paraId="653526CE" w14:textId="72425BF6"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79.</w:t>
            </w:r>
            <w:r w:rsidR="00ED4207" w:rsidRPr="00FA7D47">
              <w:rPr>
                <w:rFonts w:cstheme="minorBidi"/>
                <w:sz w:val="20"/>
                <w:szCs w:val="20"/>
              </w:rPr>
              <w:t>6</w:t>
            </w:r>
          </w:p>
        </w:tc>
        <w:tc>
          <w:tcPr>
            <w:tcW w:w="455" w:type="pct"/>
            <w:vAlign w:val="center"/>
            <w:hideMark/>
          </w:tcPr>
          <w:p w14:paraId="431E91B1"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49</w:t>
            </w:r>
          </w:p>
        </w:tc>
        <w:tc>
          <w:tcPr>
            <w:tcW w:w="593" w:type="pct"/>
            <w:vAlign w:val="center"/>
          </w:tcPr>
          <w:p w14:paraId="06C7F983" w14:textId="76CED424"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32.</w:t>
            </w:r>
            <w:r w:rsidR="00ED4207" w:rsidRPr="00FA7D47">
              <w:rPr>
                <w:rFonts w:cstheme="minorBidi"/>
                <w:sz w:val="20"/>
                <w:szCs w:val="20"/>
              </w:rPr>
              <w:t>9</w:t>
            </w:r>
          </w:p>
        </w:tc>
      </w:tr>
      <w:tr w:rsidR="008B449A" w:rsidRPr="00FA7D47" w14:paraId="7ADA2148"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006612CA"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Mature</w:t>
            </w:r>
          </w:p>
        </w:tc>
        <w:tc>
          <w:tcPr>
            <w:tcW w:w="363" w:type="pct"/>
            <w:vAlign w:val="center"/>
            <w:hideMark/>
          </w:tcPr>
          <w:p w14:paraId="66EB882D"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36</w:t>
            </w:r>
          </w:p>
        </w:tc>
        <w:tc>
          <w:tcPr>
            <w:tcW w:w="593" w:type="pct"/>
            <w:vAlign w:val="center"/>
          </w:tcPr>
          <w:p w14:paraId="74D41A69"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36</w:t>
            </w:r>
          </w:p>
        </w:tc>
        <w:tc>
          <w:tcPr>
            <w:tcW w:w="455" w:type="pct"/>
            <w:vAlign w:val="center"/>
            <w:hideMark/>
          </w:tcPr>
          <w:p w14:paraId="0806243C"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64</w:t>
            </w:r>
          </w:p>
        </w:tc>
        <w:tc>
          <w:tcPr>
            <w:tcW w:w="593" w:type="pct"/>
            <w:vAlign w:val="center"/>
          </w:tcPr>
          <w:p w14:paraId="6EA8CF76"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64</w:t>
            </w:r>
          </w:p>
        </w:tc>
        <w:tc>
          <w:tcPr>
            <w:tcW w:w="455" w:type="pct"/>
            <w:vAlign w:val="center"/>
            <w:hideMark/>
          </w:tcPr>
          <w:p w14:paraId="5D2BCE83"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100</w:t>
            </w:r>
          </w:p>
        </w:tc>
        <w:tc>
          <w:tcPr>
            <w:tcW w:w="593" w:type="pct"/>
            <w:vAlign w:val="center"/>
          </w:tcPr>
          <w:p w14:paraId="749E601D" w14:textId="77AD58F1"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67.1</w:t>
            </w:r>
          </w:p>
        </w:tc>
      </w:tr>
      <w:tr w:rsidR="008B449A" w:rsidRPr="00FA7D47" w14:paraId="357EEE71"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1D3BC4F7"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S (23-25mm)</w:t>
            </w:r>
          </w:p>
        </w:tc>
        <w:tc>
          <w:tcPr>
            <w:tcW w:w="363" w:type="pct"/>
            <w:vAlign w:val="center"/>
            <w:hideMark/>
          </w:tcPr>
          <w:p w14:paraId="18FFEA4F"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w:t>
            </w:r>
          </w:p>
        </w:tc>
        <w:tc>
          <w:tcPr>
            <w:tcW w:w="593" w:type="pct"/>
            <w:vAlign w:val="center"/>
          </w:tcPr>
          <w:p w14:paraId="2CCCA37B" w14:textId="503A1D18"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62.5</w:t>
            </w:r>
          </w:p>
        </w:tc>
        <w:tc>
          <w:tcPr>
            <w:tcW w:w="455" w:type="pct"/>
            <w:vAlign w:val="center"/>
            <w:hideMark/>
          </w:tcPr>
          <w:p w14:paraId="41A863CD"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w:t>
            </w:r>
          </w:p>
        </w:tc>
        <w:tc>
          <w:tcPr>
            <w:tcW w:w="593" w:type="pct"/>
            <w:vAlign w:val="center"/>
          </w:tcPr>
          <w:p w14:paraId="74097933" w14:textId="607B122F"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37.5</w:t>
            </w:r>
          </w:p>
        </w:tc>
        <w:tc>
          <w:tcPr>
            <w:tcW w:w="455" w:type="pct"/>
            <w:vAlign w:val="center"/>
            <w:hideMark/>
          </w:tcPr>
          <w:p w14:paraId="2A7B8F8B"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8</w:t>
            </w:r>
          </w:p>
        </w:tc>
        <w:tc>
          <w:tcPr>
            <w:tcW w:w="593" w:type="pct"/>
            <w:vAlign w:val="center"/>
          </w:tcPr>
          <w:p w14:paraId="613E7E44" w14:textId="6C758790"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w:t>
            </w:r>
            <w:r w:rsidR="00ED4207" w:rsidRPr="00FA7D47">
              <w:rPr>
                <w:rFonts w:cstheme="minorBidi"/>
                <w:sz w:val="20"/>
                <w:szCs w:val="20"/>
              </w:rPr>
              <w:t>4</w:t>
            </w:r>
          </w:p>
        </w:tc>
      </w:tr>
      <w:tr w:rsidR="008B449A" w:rsidRPr="00FA7D47" w14:paraId="6776FD94" w14:textId="77777777" w:rsidTr="008F03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618E2291" w14:textId="77777777"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M (25-30mm)</w:t>
            </w:r>
          </w:p>
        </w:tc>
        <w:tc>
          <w:tcPr>
            <w:tcW w:w="363" w:type="pct"/>
            <w:vAlign w:val="center"/>
            <w:hideMark/>
          </w:tcPr>
          <w:p w14:paraId="24D0F363"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33</w:t>
            </w:r>
          </w:p>
        </w:tc>
        <w:tc>
          <w:tcPr>
            <w:tcW w:w="593" w:type="pct"/>
            <w:vAlign w:val="center"/>
          </w:tcPr>
          <w:p w14:paraId="7F15E737" w14:textId="73DE8E21"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43.4</w:t>
            </w:r>
          </w:p>
        </w:tc>
        <w:tc>
          <w:tcPr>
            <w:tcW w:w="455" w:type="pct"/>
            <w:vAlign w:val="center"/>
            <w:hideMark/>
          </w:tcPr>
          <w:p w14:paraId="06542969"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43</w:t>
            </w:r>
          </w:p>
        </w:tc>
        <w:tc>
          <w:tcPr>
            <w:tcW w:w="593" w:type="pct"/>
            <w:vAlign w:val="center"/>
          </w:tcPr>
          <w:p w14:paraId="65C56182" w14:textId="3BFF7AB4"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56.</w:t>
            </w:r>
            <w:r w:rsidR="00ED4207" w:rsidRPr="00FA7D47">
              <w:rPr>
                <w:rFonts w:cstheme="minorBidi"/>
                <w:sz w:val="20"/>
                <w:szCs w:val="20"/>
              </w:rPr>
              <w:t>6</w:t>
            </w:r>
          </w:p>
        </w:tc>
        <w:tc>
          <w:tcPr>
            <w:tcW w:w="455" w:type="pct"/>
            <w:vAlign w:val="center"/>
            <w:hideMark/>
          </w:tcPr>
          <w:p w14:paraId="603A9330" w14:textId="77777777"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76</w:t>
            </w:r>
          </w:p>
        </w:tc>
        <w:tc>
          <w:tcPr>
            <w:tcW w:w="593" w:type="pct"/>
            <w:vAlign w:val="center"/>
          </w:tcPr>
          <w:p w14:paraId="422D85E8" w14:textId="531328D3" w:rsidR="008B449A" w:rsidRPr="009819CE" w:rsidRDefault="008B449A" w:rsidP="008F0385">
            <w:pPr>
              <w:jc w:val="center"/>
              <w:cnfStyle w:val="000000100000" w:firstRow="0" w:lastRow="0" w:firstColumn="0" w:lastColumn="0" w:oddVBand="0" w:evenVBand="0" w:oddHBand="1" w:evenHBand="0" w:firstRowFirstColumn="0" w:firstRowLastColumn="0" w:lastRowFirstColumn="0" w:lastRowLastColumn="0"/>
              <w:rPr>
                <w:rFonts w:cstheme="minorBidi"/>
                <w:sz w:val="20"/>
                <w:szCs w:val="20"/>
              </w:rPr>
            </w:pPr>
            <w:r w:rsidRPr="009819CE">
              <w:rPr>
                <w:rFonts w:cstheme="minorBidi"/>
                <w:sz w:val="20"/>
                <w:szCs w:val="20"/>
              </w:rPr>
              <w:t>51.0</w:t>
            </w:r>
          </w:p>
        </w:tc>
      </w:tr>
      <w:tr w:rsidR="008B449A" w:rsidRPr="00FA7D47" w14:paraId="1A6F4DA5" w14:textId="77777777" w:rsidTr="008F0385">
        <w:trPr>
          <w:trHeight w:val="567"/>
        </w:trPr>
        <w:tc>
          <w:tcPr>
            <w:cnfStyle w:val="001000000000" w:firstRow="0" w:lastRow="0" w:firstColumn="1" w:lastColumn="0" w:oddVBand="0" w:evenVBand="0" w:oddHBand="0" w:evenHBand="0" w:firstRowFirstColumn="0" w:firstRowLastColumn="0" w:lastRowFirstColumn="0" w:lastRowLastColumn="0"/>
            <w:tcW w:w="1947" w:type="pct"/>
            <w:vAlign w:val="center"/>
            <w:hideMark/>
          </w:tcPr>
          <w:p w14:paraId="5AEB10F9" w14:textId="211213E6" w:rsidR="008B449A" w:rsidRPr="009819CE" w:rsidRDefault="008B449A" w:rsidP="008F0385">
            <w:pPr>
              <w:ind w:left="312" w:hanging="142"/>
              <w:jc w:val="center"/>
              <w:rPr>
                <w:rFonts w:cstheme="minorBidi"/>
                <w:b w:val="0"/>
                <w:bCs w:val="0"/>
                <w:sz w:val="20"/>
                <w:szCs w:val="20"/>
              </w:rPr>
            </w:pPr>
            <w:r w:rsidRPr="009819CE">
              <w:rPr>
                <w:rFonts w:cstheme="minorBidi"/>
                <w:b w:val="0"/>
                <w:bCs w:val="0"/>
                <w:sz w:val="20"/>
                <w:szCs w:val="20"/>
              </w:rPr>
              <w:t>L (30-</w:t>
            </w:r>
            <w:r w:rsidR="00ED4207" w:rsidRPr="00FA7D47">
              <w:rPr>
                <w:rFonts w:cstheme="minorBidi"/>
                <w:b w:val="0"/>
                <w:bCs w:val="0"/>
                <w:sz w:val="20"/>
                <w:szCs w:val="20"/>
              </w:rPr>
              <w:t>50</w:t>
            </w:r>
            <w:r w:rsidRPr="009819CE">
              <w:rPr>
                <w:rFonts w:cstheme="minorBidi"/>
                <w:b w:val="0"/>
                <w:bCs w:val="0"/>
                <w:sz w:val="20"/>
                <w:szCs w:val="20"/>
              </w:rPr>
              <w:t>mm)</w:t>
            </w:r>
          </w:p>
        </w:tc>
        <w:tc>
          <w:tcPr>
            <w:tcW w:w="363" w:type="pct"/>
            <w:vAlign w:val="center"/>
            <w:hideMark/>
          </w:tcPr>
          <w:p w14:paraId="06F7041E"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8</w:t>
            </w:r>
          </w:p>
        </w:tc>
        <w:tc>
          <w:tcPr>
            <w:tcW w:w="593" w:type="pct"/>
            <w:vAlign w:val="center"/>
          </w:tcPr>
          <w:p w14:paraId="4D659657" w14:textId="4D9231F3"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12.3</w:t>
            </w:r>
          </w:p>
        </w:tc>
        <w:tc>
          <w:tcPr>
            <w:tcW w:w="455" w:type="pct"/>
            <w:vAlign w:val="center"/>
            <w:hideMark/>
          </w:tcPr>
          <w:p w14:paraId="4D455E39"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57</w:t>
            </w:r>
          </w:p>
        </w:tc>
        <w:tc>
          <w:tcPr>
            <w:tcW w:w="593" w:type="pct"/>
            <w:vAlign w:val="center"/>
          </w:tcPr>
          <w:p w14:paraId="793C89A5" w14:textId="7C93177B"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87.</w:t>
            </w:r>
            <w:r w:rsidR="00ED4207" w:rsidRPr="00FA7D47">
              <w:rPr>
                <w:rFonts w:cstheme="minorBidi"/>
                <w:sz w:val="20"/>
                <w:szCs w:val="20"/>
              </w:rPr>
              <w:t>7</w:t>
            </w:r>
          </w:p>
        </w:tc>
        <w:tc>
          <w:tcPr>
            <w:tcW w:w="455" w:type="pct"/>
            <w:vAlign w:val="center"/>
            <w:hideMark/>
          </w:tcPr>
          <w:p w14:paraId="22797016" w14:textId="77777777"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65</w:t>
            </w:r>
          </w:p>
        </w:tc>
        <w:tc>
          <w:tcPr>
            <w:tcW w:w="593" w:type="pct"/>
            <w:vAlign w:val="center"/>
          </w:tcPr>
          <w:p w14:paraId="27CDBA42" w14:textId="31F8D294" w:rsidR="008B449A" w:rsidRPr="009819CE" w:rsidRDefault="008B449A" w:rsidP="008F0385">
            <w:pPr>
              <w:jc w:val="center"/>
              <w:cnfStyle w:val="000000000000" w:firstRow="0" w:lastRow="0" w:firstColumn="0" w:lastColumn="0" w:oddVBand="0" w:evenVBand="0" w:oddHBand="0" w:evenHBand="0" w:firstRowFirstColumn="0" w:firstRowLastColumn="0" w:lastRowFirstColumn="0" w:lastRowLastColumn="0"/>
              <w:rPr>
                <w:rFonts w:cstheme="minorBidi"/>
                <w:sz w:val="20"/>
                <w:szCs w:val="20"/>
              </w:rPr>
            </w:pPr>
            <w:r w:rsidRPr="009819CE">
              <w:rPr>
                <w:rFonts w:cstheme="minorBidi"/>
                <w:sz w:val="20"/>
                <w:szCs w:val="20"/>
              </w:rPr>
              <w:t>43.6</w:t>
            </w:r>
          </w:p>
        </w:tc>
      </w:tr>
    </w:tbl>
    <w:p w14:paraId="246BAC2E" w14:textId="77777777" w:rsidR="0055220B" w:rsidRPr="009819CE" w:rsidRDefault="0055220B" w:rsidP="0055220B">
      <w:pPr>
        <w:rPr>
          <w:rFonts w:cstheme="minorBidi"/>
        </w:rPr>
      </w:pPr>
    </w:p>
    <w:p w14:paraId="15AB4DC4" w14:textId="77777777" w:rsidR="00442D64" w:rsidRPr="009819CE" w:rsidRDefault="00442D64"/>
    <w:p w14:paraId="16F0F522" w14:textId="77777777" w:rsidR="007D63DB" w:rsidRPr="009819CE" w:rsidRDefault="007D63DB"/>
    <w:p w14:paraId="46C87ED8" w14:textId="77777777" w:rsidR="007D63DB" w:rsidRPr="009819CE" w:rsidRDefault="007D63DB"/>
    <w:p w14:paraId="4BC568AE" w14:textId="77777777" w:rsidR="007D63DB" w:rsidRPr="009819CE" w:rsidRDefault="007D63DB"/>
    <w:p w14:paraId="14A8B411" w14:textId="77777777" w:rsidR="007D63DB" w:rsidRPr="009819CE" w:rsidRDefault="007D63DB"/>
    <w:p w14:paraId="47CCE806" w14:textId="77777777" w:rsidR="007D63DB" w:rsidRPr="009819CE" w:rsidRDefault="007D63DB"/>
    <w:p w14:paraId="3A9F2381" w14:textId="77777777" w:rsidR="007D63DB" w:rsidRPr="009819CE" w:rsidRDefault="007D63DB"/>
    <w:p w14:paraId="5BE38E2B" w14:textId="77777777" w:rsidR="007D63DB" w:rsidRPr="009819CE" w:rsidRDefault="007D63D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5220B" w:rsidRPr="00FA7D47" w14:paraId="478421DD" w14:textId="77777777" w:rsidTr="007D6607">
        <w:tc>
          <w:tcPr>
            <w:tcW w:w="5000" w:type="pct"/>
          </w:tcPr>
          <w:p w14:paraId="51B929C4" w14:textId="77777777" w:rsidR="0055220B" w:rsidRPr="009819CE" w:rsidRDefault="0055220B" w:rsidP="007D6607">
            <w:pPr>
              <w:jc w:val="center"/>
              <w:rPr>
                <w:rFonts w:cstheme="minorBidi"/>
                <w:lang w:val="en-GB"/>
              </w:rPr>
            </w:pPr>
            <w:r w:rsidRPr="00FF34FE">
              <w:rPr>
                <w:rFonts w:cstheme="minorBidi"/>
                <w:noProof/>
              </w:rPr>
              <w:drawing>
                <wp:inline distT="0" distB="0" distL="0" distR="0" wp14:anchorId="5DEFEF3A" wp14:editId="22F3416D">
                  <wp:extent cx="5295568" cy="2649766"/>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302172" cy="2653071"/>
                          </a:xfrm>
                          <a:prstGeom prst="rect">
                            <a:avLst/>
                          </a:prstGeom>
                          <a:noFill/>
                          <a:ln>
                            <a:noFill/>
                          </a:ln>
                        </pic:spPr>
                      </pic:pic>
                    </a:graphicData>
                  </a:graphic>
                </wp:inline>
              </w:drawing>
            </w:r>
          </w:p>
        </w:tc>
      </w:tr>
      <w:tr w:rsidR="0055220B" w:rsidRPr="00FA7D47" w14:paraId="1FFA5AF0" w14:textId="77777777" w:rsidTr="007D6607">
        <w:tc>
          <w:tcPr>
            <w:tcW w:w="5000" w:type="pct"/>
          </w:tcPr>
          <w:p w14:paraId="3313F713" w14:textId="2F8E0E65" w:rsidR="0055220B" w:rsidRPr="009819CE" w:rsidRDefault="0055220B" w:rsidP="007D6607">
            <w:pPr>
              <w:spacing w:line="240" w:lineRule="auto"/>
              <w:rPr>
                <w:rFonts w:cstheme="minorBidi"/>
                <w:lang w:val="en-GB"/>
              </w:rPr>
            </w:pPr>
            <w:bookmarkStart w:id="265" w:name="_Ref171358267"/>
            <w:bookmarkStart w:id="266" w:name="_Toc204106725"/>
            <w:r w:rsidRPr="009819CE">
              <w:rPr>
                <w:rFonts w:cstheme="minorBidi"/>
                <w:b/>
                <w:sz w:val="22"/>
                <w:szCs w:val="18"/>
                <w:lang w:val="en-GB"/>
              </w:rPr>
              <w:t xml:space="preserve">Figure </w:t>
            </w:r>
            <w:r w:rsidRPr="007268F5">
              <w:rPr>
                <w:rFonts w:cstheme="minorBidi"/>
                <w:b/>
                <w:sz w:val="22"/>
                <w:szCs w:val="18"/>
              </w:rPr>
              <w:fldChar w:fldCharType="begin"/>
            </w:r>
            <w:r w:rsidRPr="009819CE">
              <w:rPr>
                <w:rFonts w:cstheme="minorBidi"/>
                <w:b/>
                <w:sz w:val="22"/>
                <w:szCs w:val="18"/>
                <w:lang w:val="en-GB"/>
              </w:rPr>
              <w:instrText xml:space="preserve"> STYLEREF 1 \s </w:instrText>
            </w:r>
            <w:r w:rsidRPr="007268F5">
              <w:rPr>
                <w:rFonts w:cstheme="minorBidi"/>
                <w:b/>
                <w:sz w:val="22"/>
                <w:szCs w:val="18"/>
              </w:rPr>
              <w:fldChar w:fldCharType="separate"/>
            </w:r>
            <w:r w:rsidR="008549FC">
              <w:rPr>
                <w:rFonts w:cstheme="minorBidi"/>
                <w:b/>
                <w:noProof/>
                <w:sz w:val="22"/>
                <w:szCs w:val="18"/>
                <w:lang w:val="en-GB"/>
              </w:rPr>
              <w:t>3</w:t>
            </w:r>
            <w:r w:rsidRPr="007268F5">
              <w:rPr>
                <w:rFonts w:cstheme="minorBidi"/>
                <w:b/>
                <w:sz w:val="22"/>
                <w:szCs w:val="18"/>
              </w:rPr>
              <w:fldChar w:fldCharType="end"/>
            </w:r>
            <w:r w:rsidRPr="009819CE">
              <w:rPr>
                <w:rFonts w:cstheme="minorBidi"/>
                <w:b/>
                <w:sz w:val="22"/>
                <w:szCs w:val="18"/>
                <w:lang w:val="en-GB"/>
              </w:rPr>
              <w:t>.</w:t>
            </w:r>
            <w:r w:rsidRPr="007268F5">
              <w:rPr>
                <w:rFonts w:cstheme="minorBidi"/>
                <w:b/>
                <w:sz w:val="22"/>
                <w:szCs w:val="18"/>
              </w:rPr>
              <w:fldChar w:fldCharType="begin"/>
            </w:r>
            <w:r w:rsidRPr="009819CE">
              <w:rPr>
                <w:rFonts w:cstheme="minorBidi"/>
                <w:b/>
                <w:sz w:val="22"/>
                <w:szCs w:val="18"/>
                <w:lang w:val="en-GB"/>
              </w:rPr>
              <w:instrText xml:space="preserve"> SEQ Figure \* ARABIC \s 1 </w:instrText>
            </w:r>
            <w:r w:rsidRPr="007268F5">
              <w:rPr>
                <w:rFonts w:cstheme="minorBidi"/>
                <w:b/>
                <w:sz w:val="22"/>
                <w:szCs w:val="18"/>
              </w:rPr>
              <w:fldChar w:fldCharType="separate"/>
            </w:r>
            <w:r w:rsidR="008549FC">
              <w:rPr>
                <w:rFonts w:cstheme="minorBidi"/>
                <w:b/>
                <w:noProof/>
                <w:sz w:val="22"/>
                <w:szCs w:val="18"/>
                <w:lang w:val="en-GB"/>
              </w:rPr>
              <w:t>1</w:t>
            </w:r>
            <w:r w:rsidRPr="007268F5">
              <w:rPr>
                <w:rFonts w:cstheme="minorBidi"/>
                <w:b/>
                <w:sz w:val="22"/>
                <w:szCs w:val="18"/>
              </w:rPr>
              <w:fldChar w:fldCharType="end"/>
            </w:r>
            <w:bookmarkEnd w:id="265"/>
            <w:r w:rsidRPr="009819CE">
              <w:rPr>
                <w:rFonts w:cstheme="minorBidi"/>
                <w:sz w:val="22"/>
                <w:szCs w:val="18"/>
                <w:lang w:val="en-GB"/>
              </w:rPr>
              <w:t xml:space="preserve"> A) Percentage </w:t>
            </w:r>
            <w:r w:rsidR="00F116B1" w:rsidRPr="00FA7D47">
              <w:rPr>
                <w:rFonts w:cstheme="minorBidi"/>
                <w:sz w:val="22"/>
                <w:szCs w:val="18"/>
                <w:lang w:val="en-GB"/>
              </w:rPr>
              <w:t>d</w:t>
            </w:r>
            <w:r w:rsidRPr="009819CE">
              <w:rPr>
                <w:rFonts w:cstheme="minorBidi"/>
                <w:sz w:val="22"/>
                <w:szCs w:val="18"/>
                <w:lang w:val="en-GB"/>
              </w:rPr>
              <w:t xml:space="preserve">istribution of </w:t>
            </w:r>
            <w:r w:rsidR="00F116B1" w:rsidRPr="00FA7D47">
              <w:rPr>
                <w:rFonts w:cstheme="minorBidi"/>
                <w:sz w:val="22"/>
                <w:szCs w:val="18"/>
                <w:lang w:val="en-GB"/>
              </w:rPr>
              <w:t>p</w:t>
            </w:r>
            <w:r w:rsidRPr="009819CE">
              <w:rPr>
                <w:rFonts w:cstheme="minorBidi"/>
                <w:sz w:val="22"/>
                <w:szCs w:val="18"/>
                <w:lang w:val="en-GB"/>
              </w:rPr>
              <w:t xml:space="preserve">atent </w:t>
            </w:r>
            <w:r w:rsidR="00F116B1" w:rsidRPr="00FA7D47">
              <w:rPr>
                <w:rFonts w:cstheme="minorBidi"/>
                <w:sz w:val="22"/>
                <w:szCs w:val="18"/>
                <w:lang w:val="en-GB"/>
              </w:rPr>
              <w:t>i</w:t>
            </w:r>
            <w:r w:rsidRPr="009819CE">
              <w:rPr>
                <w:rFonts w:cstheme="minorBidi"/>
                <w:sz w:val="22"/>
                <w:szCs w:val="18"/>
                <w:lang w:val="en-GB"/>
              </w:rPr>
              <w:t xml:space="preserve">nfection </w:t>
            </w:r>
            <w:r w:rsidR="00F116B1" w:rsidRPr="009819CE">
              <w:rPr>
                <w:rFonts w:cstheme="minorBidi"/>
                <w:sz w:val="22"/>
                <w:szCs w:val="18"/>
                <w:lang w:val="en-GB"/>
              </w:rPr>
              <w:t xml:space="preserve">based on body-colour </w:t>
            </w:r>
            <w:r w:rsidR="00F116B1" w:rsidRPr="00FA7D47">
              <w:rPr>
                <w:rFonts w:cstheme="minorBidi"/>
                <w:sz w:val="22"/>
                <w:szCs w:val="18"/>
                <w:lang w:val="en-GB"/>
              </w:rPr>
              <w:t>m</w:t>
            </w:r>
            <w:r w:rsidRPr="009819CE">
              <w:rPr>
                <w:rFonts w:cstheme="minorBidi"/>
                <w:sz w:val="22"/>
                <w:szCs w:val="18"/>
                <w:lang w:val="en-GB"/>
              </w:rPr>
              <w:t xml:space="preserve">ethod (BCM) and </w:t>
            </w:r>
            <w:r w:rsidR="00F116B1" w:rsidRPr="00FA7D47">
              <w:rPr>
                <w:rFonts w:cstheme="minorBidi"/>
                <w:sz w:val="22"/>
                <w:szCs w:val="18"/>
                <w:lang w:val="en-GB"/>
              </w:rPr>
              <w:t>p</w:t>
            </w:r>
            <w:r w:rsidRPr="009819CE">
              <w:rPr>
                <w:rFonts w:cstheme="minorBidi"/>
                <w:sz w:val="22"/>
                <w:szCs w:val="18"/>
                <w:lang w:val="en-GB"/>
              </w:rPr>
              <w:t xml:space="preserve">leopod </w:t>
            </w:r>
            <w:r w:rsidR="00F116B1" w:rsidRPr="00FA7D47">
              <w:rPr>
                <w:rFonts w:cstheme="minorBidi"/>
                <w:sz w:val="22"/>
                <w:szCs w:val="18"/>
                <w:lang w:val="en-GB"/>
              </w:rPr>
              <w:t>m</w:t>
            </w:r>
            <w:r w:rsidRPr="009819CE">
              <w:rPr>
                <w:rFonts w:cstheme="minorBidi"/>
                <w:sz w:val="22"/>
                <w:szCs w:val="18"/>
                <w:lang w:val="en-GB"/>
              </w:rPr>
              <w:t xml:space="preserve">ethod (PM) Stages 1-4. B) Distribution of </w:t>
            </w:r>
            <w:r w:rsidR="00F116B1" w:rsidRPr="00FA7D47">
              <w:rPr>
                <w:rFonts w:cstheme="minorBidi"/>
                <w:sz w:val="22"/>
                <w:szCs w:val="18"/>
                <w:lang w:val="en-GB"/>
              </w:rPr>
              <w:t>p</w:t>
            </w:r>
            <w:r w:rsidRPr="009819CE">
              <w:rPr>
                <w:rFonts w:cstheme="minorBidi"/>
                <w:sz w:val="22"/>
                <w:szCs w:val="18"/>
                <w:lang w:val="en-GB"/>
              </w:rPr>
              <w:t xml:space="preserve">leopod </w:t>
            </w:r>
            <w:r w:rsidR="00F116B1" w:rsidRPr="00FA7D47">
              <w:rPr>
                <w:rFonts w:cstheme="minorBidi"/>
                <w:sz w:val="22"/>
                <w:szCs w:val="18"/>
                <w:lang w:val="en-GB"/>
              </w:rPr>
              <w:t>p</w:t>
            </w:r>
            <w:r w:rsidRPr="009819CE">
              <w:rPr>
                <w:rFonts w:cstheme="minorBidi"/>
                <w:sz w:val="22"/>
                <w:szCs w:val="18"/>
                <w:lang w:val="en-GB"/>
              </w:rPr>
              <w:t xml:space="preserve">atent </w:t>
            </w:r>
            <w:r w:rsidR="00F116B1" w:rsidRPr="00FA7D47">
              <w:rPr>
                <w:rFonts w:cstheme="minorBidi"/>
                <w:sz w:val="22"/>
                <w:szCs w:val="18"/>
                <w:lang w:val="en-GB"/>
              </w:rPr>
              <w:t>i</w:t>
            </w:r>
            <w:r w:rsidRPr="009819CE">
              <w:rPr>
                <w:rFonts w:cstheme="minorBidi"/>
                <w:sz w:val="22"/>
                <w:szCs w:val="18"/>
                <w:lang w:val="en-GB"/>
              </w:rPr>
              <w:t xml:space="preserve">nfection </w:t>
            </w:r>
            <w:r w:rsidR="00F116B1" w:rsidRPr="009819CE">
              <w:rPr>
                <w:rFonts w:cstheme="minorBidi"/>
                <w:sz w:val="22"/>
                <w:szCs w:val="18"/>
                <w:lang w:val="en-GB"/>
              </w:rPr>
              <w:t xml:space="preserve">percentage across different pleopod stages </w:t>
            </w:r>
            <w:r w:rsidRPr="009819CE">
              <w:rPr>
                <w:rFonts w:cstheme="minorBidi"/>
                <w:sz w:val="22"/>
                <w:szCs w:val="18"/>
                <w:lang w:val="en-GB"/>
              </w:rPr>
              <w:t>(</w:t>
            </w:r>
            <w:r w:rsidR="00F116B1" w:rsidRPr="00FA7D47">
              <w:rPr>
                <w:rFonts w:cstheme="minorBidi"/>
                <w:sz w:val="22"/>
                <w:szCs w:val="18"/>
                <w:lang w:val="en-GB"/>
              </w:rPr>
              <w:t>p</w:t>
            </w:r>
            <w:r w:rsidRPr="009819CE">
              <w:rPr>
                <w:rFonts w:cstheme="minorBidi"/>
                <w:sz w:val="22"/>
                <w:szCs w:val="18"/>
                <w:lang w:val="en-GB"/>
              </w:rPr>
              <w:t>revalence-</w:t>
            </w:r>
            <w:r w:rsidR="00F116B1" w:rsidRPr="00FA7D47">
              <w:rPr>
                <w:rFonts w:cstheme="minorBidi"/>
                <w:sz w:val="22"/>
                <w:szCs w:val="18"/>
                <w:lang w:val="en-GB"/>
              </w:rPr>
              <w:t>s</w:t>
            </w:r>
            <w:r w:rsidRPr="009819CE">
              <w:rPr>
                <w:rFonts w:cstheme="minorBidi"/>
                <w:sz w:val="22"/>
                <w:szCs w:val="18"/>
                <w:lang w:val="en-GB"/>
              </w:rPr>
              <w:t>et).</w:t>
            </w:r>
            <w:bookmarkEnd w:id="266"/>
          </w:p>
        </w:tc>
      </w:tr>
    </w:tbl>
    <w:p w14:paraId="31769171" w14:textId="77777777" w:rsidR="0095596E" w:rsidRPr="009819CE" w:rsidRDefault="0095596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5220B" w:rsidRPr="00FA7D47" w14:paraId="4C322A7F" w14:textId="77777777" w:rsidTr="007D6607">
        <w:tc>
          <w:tcPr>
            <w:tcW w:w="5000" w:type="pct"/>
          </w:tcPr>
          <w:p w14:paraId="627F6427" w14:textId="77777777" w:rsidR="0055220B" w:rsidRPr="009819CE" w:rsidRDefault="0055220B" w:rsidP="007D6607">
            <w:pPr>
              <w:pStyle w:val="Caption"/>
              <w:rPr>
                <w:rFonts w:asciiTheme="minorBidi" w:hAnsiTheme="minorBidi" w:cstheme="minorBidi"/>
                <w:lang w:val="en-GB"/>
              </w:rPr>
            </w:pPr>
            <w:r w:rsidRPr="00FF34FE">
              <w:rPr>
                <w:rFonts w:asciiTheme="minorBidi" w:hAnsiTheme="minorBidi" w:cstheme="minorBidi"/>
                <w:noProof/>
              </w:rPr>
              <w:drawing>
                <wp:inline distT="0" distB="0" distL="0" distR="0" wp14:anchorId="5B293BBF" wp14:editId="6E6E9266">
                  <wp:extent cx="5784217" cy="2894274"/>
                  <wp:effectExtent l="0" t="0" r="6985" b="1905"/>
                  <wp:docPr id="7" name="Picture 7"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of different colored bars&#10;&#10;Description automatically generated with medium confidence"/>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98383" cy="2901362"/>
                          </a:xfrm>
                          <a:prstGeom prst="rect">
                            <a:avLst/>
                          </a:prstGeom>
                          <a:noFill/>
                          <a:ln>
                            <a:noFill/>
                          </a:ln>
                        </pic:spPr>
                      </pic:pic>
                    </a:graphicData>
                  </a:graphic>
                </wp:inline>
              </w:drawing>
            </w:r>
          </w:p>
        </w:tc>
      </w:tr>
      <w:tr w:rsidR="0055220B" w:rsidRPr="00FA7D47" w14:paraId="64FC2F32" w14:textId="77777777" w:rsidTr="007D6607">
        <w:trPr>
          <w:trHeight w:val="822"/>
        </w:trPr>
        <w:tc>
          <w:tcPr>
            <w:tcW w:w="5000" w:type="pct"/>
          </w:tcPr>
          <w:p w14:paraId="3B952D6B" w14:textId="43994896" w:rsidR="0055220B" w:rsidRPr="009819CE" w:rsidRDefault="0055220B" w:rsidP="007D6607">
            <w:pPr>
              <w:spacing w:line="240" w:lineRule="auto"/>
              <w:rPr>
                <w:rFonts w:cstheme="minorBidi"/>
                <w:lang w:val="en-GB"/>
              </w:rPr>
            </w:pPr>
            <w:bookmarkStart w:id="267" w:name="_Toc204106726"/>
            <w:r w:rsidRPr="009819CE">
              <w:rPr>
                <w:rFonts w:cstheme="minorBidi"/>
                <w:b/>
                <w:sz w:val="22"/>
                <w:szCs w:val="18"/>
                <w:lang w:val="en-GB"/>
              </w:rPr>
              <w:t xml:space="preserve">Figure </w:t>
            </w:r>
            <w:r w:rsidRPr="007268F5">
              <w:rPr>
                <w:rFonts w:cstheme="minorBidi"/>
                <w:b/>
                <w:sz w:val="22"/>
                <w:szCs w:val="18"/>
              </w:rPr>
              <w:fldChar w:fldCharType="begin"/>
            </w:r>
            <w:r w:rsidRPr="009819CE">
              <w:rPr>
                <w:rFonts w:cstheme="minorBidi"/>
                <w:b/>
                <w:sz w:val="22"/>
                <w:szCs w:val="18"/>
                <w:lang w:val="en-GB"/>
              </w:rPr>
              <w:instrText xml:space="preserve"> STYLEREF 1 \s </w:instrText>
            </w:r>
            <w:r w:rsidRPr="007268F5">
              <w:rPr>
                <w:rFonts w:cstheme="minorBidi"/>
                <w:b/>
                <w:sz w:val="22"/>
                <w:szCs w:val="18"/>
              </w:rPr>
              <w:fldChar w:fldCharType="separate"/>
            </w:r>
            <w:r w:rsidR="008549FC">
              <w:rPr>
                <w:rFonts w:cstheme="minorBidi"/>
                <w:b/>
                <w:noProof/>
                <w:sz w:val="22"/>
                <w:szCs w:val="18"/>
                <w:lang w:val="en-GB"/>
              </w:rPr>
              <w:t>3</w:t>
            </w:r>
            <w:r w:rsidRPr="007268F5">
              <w:rPr>
                <w:rFonts w:cstheme="minorBidi"/>
                <w:b/>
                <w:sz w:val="22"/>
                <w:szCs w:val="18"/>
              </w:rPr>
              <w:fldChar w:fldCharType="end"/>
            </w:r>
            <w:r w:rsidRPr="009819CE">
              <w:rPr>
                <w:rFonts w:cstheme="minorBidi"/>
                <w:b/>
                <w:sz w:val="22"/>
                <w:szCs w:val="18"/>
                <w:lang w:val="en-GB"/>
              </w:rPr>
              <w:t>.</w:t>
            </w:r>
            <w:r w:rsidRPr="007268F5">
              <w:rPr>
                <w:rFonts w:cstheme="minorBidi"/>
                <w:b/>
                <w:sz w:val="22"/>
                <w:szCs w:val="18"/>
              </w:rPr>
              <w:fldChar w:fldCharType="begin"/>
            </w:r>
            <w:r w:rsidRPr="009819CE">
              <w:rPr>
                <w:rFonts w:cstheme="minorBidi"/>
                <w:b/>
                <w:sz w:val="22"/>
                <w:szCs w:val="18"/>
                <w:lang w:val="en-GB"/>
              </w:rPr>
              <w:instrText xml:space="preserve"> SEQ Figure \* ARABIC \s 1 </w:instrText>
            </w:r>
            <w:r w:rsidRPr="007268F5">
              <w:rPr>
                <w:rFonts w:cstheme="minorBidi"/>
                <w:b/>
                <w:sz w:val="22"/>
                <w:szCs w:val="18"/>
              </w:rPr>
              <w:fldChar w:fldCharType="separate"/>
            </w:r>
            <w:r w:rsidR="008549FC">
              <w:rPr>
                <w:rFonts w:cstheme="minorBidi"/>
                <w:b/>
                <w:noProof/>
                <w:sz w:val="22"/>
                <w:szCs w:val="18"/>
                <w:lang w:val="en-GB"/>
              </w:rPr>
              <w:t>2</w:t>
            </w:r>
            <w:r w:rsidRPr="007268F5">
              <w:rPr>
                <w:rFonts w:cstheme="minorBidi"/>
                <w:b/>
                <w:sz w:val="22"/>
                <w:szCs w:val="18"/>
              </w:rPr>
              <w:fldChar w:fldCharType="end"/>
            </w:r>
            <w:r w:rsidRPr="009819CE">
              <w:rPr>
                <w:rFonts w:cstheme="minorBidi"/>
                <w:sz w:val="22"/>
                <w:szCs w:val="18"/>
                <w:lang w:val="en-GB"/>
              </w:rPr>
              <w:t xml:space="preserve"> A) </w:t>
            </w:r>
            <w:r w:rsidR="00F116B1" w:rsidRPr="00FA7D47">
              <w:rPr>
                <w:rFonts w:cstheme="minorBidi"/>
                <w:sz w:val="22"/>
                <w:szCs w:val="18"/>
                <w:lang w:val="en-GB"/>
              </w:rPr>
              <w:t>D</w:t>
            </w:r>
            <w:r w:rsidR="00F116B1" w:rsidRPr="009819CE">
              <w:rPr>
                <w:rFonts w:cstheme="minorBidi"/>
                <w:sz w:val="22"/>
                <w:szCs w:val="18"/>
                <w:lang w:val="en-GB"/>
              </w:rPr>
              <w:t>istribution of patent infection percentage by sex and diagnostic method (body-colour/pleopod method)</w:t>
            </w:r>
            <w:r w:rsidRPr="009819CE">
              <w:rPr>
                <w:rFonts w:cstheme="minorBidi"/>
                <w:sz w:val="22"/>
                <w:szCs w:val="18"/>
                <w:lang w:val="en-GB"/>
              </w:rPr>
              <w:t xml:space="preserve">. B) Distribution </w:t>
            </w:r>
            <w:r w:rsidR="00F116B1" w:rsidRPr="009819CE">
              <w:rPr>
                <w:rFonts w:cstheme="minorBidi"/>
                <w:sz w:val="22"/>
                <w:szCs w:val="18"/>
                <w:lang w:val="en-GB"/>
              </w:rPr>
              <w:t>of pleopod patent infection percentage across different pleopod stages and sex (prevalence-set)</w:t>
            </w:r>
            <w:r w:rsidRPr="009819CE">
              <w:rPr>
                <w:rFonts w:cstheme="minorBidi"/>
                <w:sz w:val="22"/>
                <w:szCs w:val="18"/>
                <w:lang w:val="en-GB"/>
              </w:rPr>
              <w:t>.</w:t>
            </w:r>
            <w:bookmarkEnd w:id="267"/>
          </w:p>
        </w:tc>
      </w:tr>
    </w:tbl>
    <w:p w14:paraId="2E446CA3" w14:textId="77777777" w:rsidR="0005108A" w:rsidRPr="009819CE" w:rsidRDefault="0005108A" w:rsidP="0005108A">
      <w:pPr>
        <w:pStyle w:val="Heading3"/>
        <w:numPr>
          <w:ilvl w:val="0"/>
          <w:numId w:val="0"/>
        </w:numPr>
        <w:ind w:left="1224" w:hanging="504"/>
        <w:rPr>
          <w:rFonts w:cstheme="minorBidi"/>
        </w:rPr>
        <w:sectPr w:rsidR="0005108A" w:rsidRPr="009819CE" w:rsidSect="005D4F1C">
          <w:pgSz w:w="12240" w:h="15840"/>
          <w:pgMar w:top="1440" w:right="1440" w:bottom="1440" w:left="1440" w:header="708" w:footer="708" w:gutter="0"/>
          <w:cols w:space="708"/>
          <w:docGrid w:linePitch="360"/>
        </w:sectPr>
      </w:pPr>
      <w:bookmarkStart w:id="268" w:name="_Ref157963565"/>
    </w:p>
    <w:p w14:paraId="75FA444A" w14:textId="269299E7" w:rsidR="0055220B" w:rsidRPr="009819CE" w:rsidRDefault="0055220B" w:rsidP="00FD0393">
      <w:pPr>
        <w:pStyle w:val="Heading3"/>
        <w:rPr>
          <w:rFonts w:cstheme="minorBidi"/>
        </w:rPr>
      </w:pPr>
      <w:bookmarkStart w:id="269" w:name="_Ref193712415"/>
      <w:bookmarkStart w:id="270" w:name="_Ref194393478"/>
      <w:bookmarkStart w:id="271" w:name="_Toc204106648"/>
      <w:r w:rsidRPr="009819CE">
        <w:rPr>
          <w:rFonts w:cstheme="minorBidi"/>
        </w:rPr>
        <w:t>Infection profiles on samples from the ‘pathobiome-set’</w:t>
      </w:r>
      <w:bookmarkEnd w:id="268"/>
      <w:bookmarkEnd w:id="269"/>
      <w:bookmarkEnd w:id="270"/>
      <w:bookmarkEnd w:id="271"/>
    </w:p>
    <w:p w14:paraId="1D1AC9AB" w14:textId="2FC0C240" w:rsidR="0055220B" w:rsidRPr="009819CE" w:rsidRDefault="0055220B" w:rsidP="0055220B">
      <w:pPr>
        <w:rPr>
          <w:rFonts w:cstheme="minorBidi"/>
        </w:rPr>
      </w:pPr>
      <w:r w:rsidRPr="009819CE">
        <w:rPr>
          <w:rFonts w:cstheme="minorBidi"/>
        </w:rPr>
        <w:t xml:space="preserve">To probe the potential existence of a pathobiome linked to </w:t>
      </w:r>
      <w:r w:rsidR="009D03F4" w:rsidRPr="009819CE">
        <w:rPr>
          <w:rFonts w:cstheme="minorBidi"/>
          <w:i/>
          <w:iCs/>
        </w:rPr>
        <w:t>Hematodinium</w:t>
      </w:r>
      <w:r w:rsidRPr="009819CE">
        <w:rPr>
          <w:rFonts w:cstheme="minorBidi"/>
        </w:rPr>
        <w:t xml:space="preserve"> sp. infection, a selected cohort of 200 </w:t>
      </w:r>
      <w:r w:rsidR="00C31E47" w:rsidRPr="009819CE">
        <w:rPr>
          <w:rFonts w:cstheme="minorBidi"/>
          <w:i/>
          <w:iCs/>
        </w:rPr>
        <w:t>Nephrops</w:t>
      </w:r>
      <w:r w:rsidR="001C00B1" w:rsidRPr="009819CE">
        <w:rPr>
          <w:rFonts w:cstheme="minorBidi"/>
        </w:rPr>
        <w:t xml:space="preserve"> individuals</w:t>
      </w:r>
      <w:r w:rsidRPr="009819CE">
        <w:rPr>
          <w:rFonts w:cstheme="minorBidi"/>
        </w:rPr>
        <w:t xml:space="preserve"> was drawn from the catch. </w:t>
      </w:r>
      <w:r w:rsidRPr="009819CE">
        <w:rPr>
          <w:rFonts w:cstheme="minorBidi"/>
          <w:color w:val="000000" w:themeColor="text1"/>
        </w:rPr>
        <w:t xml:space="preserve">The selection was based on their visible characteristics, including both those with and without visible signs of disease (BCM positive and negative). </w:t>
      </w:r>
      <w:r w:rsidRPr="009819CE">
        <w:rPr>
          <w:rFonts w:cstheme="minorBidi"/>
        </w:rPr>
        <w:t>Th</w:t>
      </w:r>
      <w:r w:rsidR="00ED4207" w:rsidRPr="00FA7D47">
        <w:rPr>
          <w:rFonts w:cstheme="minorBidi"/>
        </w:rPr>
        <w:t>ese</w:t>
      </w:r>
      <w:r w:rsidRPr="009819CE">
        <w:rPr>
          <w:rFonts w:cstheme="minorBidi"/>
        </w:rPr>
        <w:t xml:space="preserve"> </w:t>
      </w:r>
      <w:r w:rsidR="00ED4207" w:rsidRPr="00FA7D47">
        <w:rPr>
          <w:rFonts w:cstheme="minorBidi"/>
        </w:rPr>
        <w:t xml:space="preserve">animals </w:t>
      </w:r>
      <w:r w:rsidRPr="009819CE">
        <w:rPr>
          <w:rFonts w:cstheme="minorBidi"/>
        </w:rPr>
        <w:t xml:space="preserve">underwent rigorous processing procedures, ensuring the simultaneous capture of relevant data and biological samples for subsequent analyses conducted on the same day. However, following DNA extraction from the haemolymph, a refined subset of n=122 samples successfully met stringent quality control criteria and subsequently underwent in-depth analysis. Within this scrutinized subset (n=122), 44.3% </w:t>
      </w:r>
      <w:r w:rsidRPr="009819CE">
        <w:rPr>
          <w:rFonts w:cstheme="minorBidi"/>
          <w:color w:val="000000" w:themeColor="text1"/>
        </w:rPr>
        <w:t xml:space="preserve">were BCM positive </w:t>
      </w:r>
      <w:r w:rsidRPr="009819CE">
        <w:rPr>
          <w:rFonts w:cstheme="minorBidi"/>
        </w:rPr>
        <w:t xml:space="preserve">(n=54), while 55.7% </w:t>
      </w:r>
      <w:r w:rsidRPr="009819CE">
        <w:rPr>
          <w:rFonts w:cstheme="minorBidi"/>
          <w:color w:val="000000" w:themeColor="text1"/>
        </w:rPr>
        <w:t xml:space="preserve">were BCM negative </w:t>
      </w:r>
      <w:r w:rsidRPr="009819CE">
        <w:rPr>
          <w:rFonts w:cstheme="minorBidi"/>
        </w:rPr>
        <w:t xml:space="preserve">(n=68). </w:t>
      </w:r>
      <w:r w:rsidR="00080736" w:rsidRPr="009819CE">
        <w:rPr>
          <w:rFonts w:cstheme="minorBidi"/>
        </w:rPr>
        <w:t>A</w:t>
      </w:r>
      <w:r w:rsidRPr="009819CE">
        <w:rPr>
          <w:rFonts w:cstheme="minorBidi"/>
        </w:rPr>
        <w:t>mong the specimens yielding a BCM-negative result, a total of n=66 were subsequently corroborated as negative using the pleopod method (PM). Yet, after histological and molecular screening, a subset of n=45 (out of the initial n=66) were definitively ascertained to be '</w:t>
      </w:r>
      <w:r w:rsidR="009D03F4" w:rsidRPr="009819CE">
        <w:rPr>
          <w:rFonts w:cstheme="minorBidi"/>
          <w:i/>
        </w:rPr>
        <w:t>Hematodinium</w:t>
      </w:r>
      <w:r w:rsidRPr="009819CE">
        <w:rPr>
          <w:rFonts w:cstheme="minorBidi"/>
        </w:rPr>
        <w:t>-free,' a determination derived from both histological and PCR assessments.</w:t>
      </w:r>
    </w:p>
    <w:p w14:paraId="27B75633" w14:textId="0867A7B4" w:rsidR="0055220B" w:rsidRPr="009819CE" w:rsidRDefault="0055220B" w:rsidP="0055220B">
      <w:pPr>
        <w:rPr>
          <w:rFonts w:cstheme="minorBidi"/>
          <w:b/>
          <w:bCs/>
        </w:rPr>
        <w:sectPr w:rsidR="0055220B" w:rsidRPr="009819CE" w:rsidSect="0005108A">
          <w:pgSz w:w="12240" w:h="15840"/>
          <w:pgMar w:top="1440" w:right="1440" w:bottom="1440" w:left="1440" w:header="708" w:footer="708" w:gutter="0"/>
          <w:cols w:space="708"/>
          <w:docGrid w:linePitch="360"/>
        </w:sectPr>
      </w:pPr>
      <w:r w:rsidRPr="009819CE">
        <w:rPr>
          <w:rFonts w:cstheme="minorBidi"/>
        </w:rPr>
        <w:t>The histological analysis revealed a strong correlation between the observed level of infection in the tissue sections and the pleopod scoring. The gonads, the heart and the hepatopancreas were the most frequently colonised tissue, followed by gills and muscle (</w:t>
      </w:r>
      <w:r w:rsidR="00EF1182" w:rsidRPr="009819CE">
        <w:rPr>
          <w:rFonts w:cstheme="minorBidi"/>
          <w:b/>
          <w:bCs/>
        </w:rPr>
        <w:fldChar w:fldCharType="begin"/>
      </w:r>
      <w:r w:rsidR="00EF1182" w:rsidRPr="009819CE">
        <w:rPr>
          <w:rFonts w:cstheme="minorBidi"/>
          <w:b/>
          <w:bCs/>
        </w:rPr>
        <w:instrText xml:space="preserve"> REF _Ref142492876 \h  \* MERGEFORMAT </w:instrText>
      </w:r>
      <w:r w:rsidR="00EF1182" w:rsidRPr="009819CE">
        <w:rPr>
          <w:rFonts w:cstheme="minorBidi"/>
          <w:b/>
          <w:bCs/>
        </w:rPr>
      </w:r>
      <w:r w:rsidR="00EF1182" w:rsidRPr="009819CE">
        <w:rPr>
          <w:rFonts w:cstheme="minorBidi"/>
          <w:b/>
          <w:bCs/>
        </w:rPr>
        <w:fldChar w:fldCharType="separate"/>
      </w:r>
      <w:r w:rsidR="008549FC" w:rsidRPr="008549FC">
        <w:rPr>
          <w:rFonts w:cstheme="minorBidi"/>
          <w:b/>
          <w:bCs/>
        </w:rPr>
        <w:t>Figure 3.3</w:t>
      </w:r>
      <w:r w:rsidR="00EF1182" w:rsidRPr="009819CE">
        <w:rPr>
          <w:rFonts w:cstheme="minorBidi"/>
          <w:b/>
          <w:bCs/>
        </w:rPr>
        <w:fldChar w:fldCharType="end"/>
      </w:r>
      <w:r w:rsidR="00EF1182" w:rsidRPr="009819CE">
        <w:rPr>
          <w:rFonts w:cstheme="minorBidi"/>
        </w:rPr>
        <w:t>-</w:t>
      </w:r>
      <w:r w:rsidR="00EF1182" w:rsidRPr="009819CE">
        <w:rPr>
          <w:rFonts w:cstheme="minorBidi"/>
        </w:rPr>
        <w:fldChar w:fldCharType="begin"/>
      </w:r>
      <w:r w:rsidR="00EF1182" w:rsidRPr="009819CE">
        <w:rPr>
          <w:rFonts w:cstheme="minorBidi"/>
        </w:rPr>
        <w:instrText xml:space="preserve"> REF _Ref142492887 \h  \* MERGEFORMAT </w:instrText>
      </w:r>
      <w:r w:rsidR="00EF1182" w:rsidRPr="009819CE">
        <w:rPr>
          <w:rFonts w:cstheme="minorBidi"/>
        </w:rPr>
      </w:r>
      <w:r w:rsidR="00EF1182" w:rsidRPr="009819CE">
        <w:rPr>
          <w:rFonts w:cstheme="minorBidi"/>
        </w:rPr>
        <w:fldChar w:fldCharType="separate"/>
      </w:r>
      <w:r w:rsidR="008549FC" w:rsidRPr="009819CE">
        <w:rPr>
          <w:rFonts w:cstheme="minorBidi"/>
          <w:b/>
        </w:rPr>
        <w:t xml:space="preserve">Figure </w:t>
      </w:r>
      <w:r w:rsidR="008549FC">
        <w:rPr>
          <w:rFonts w:cstheme="minorBidi"/>
          <w:b/>
        </w:rPr>
        <w:t>3</w:t>
      </w:r>
      <w:r w:rsidR="008549FC" w:rsidRPr="009819CE">
        <w:rPr>
          <w:rFonts w:cstheme="minorBidi"/>
          <w:b/>
        </w:rPr>
        <w:t>.</w:t>
      </w:r>
      <w:r w:rsidR="008549FC">
        <w:rPr>
          <w:rFonts w:cstheme="minorBidi"/>
          <w:b/>
        </w:rPr>
        <w:t>8</w:t>
      </w:r>
      <w:r w:rsidR="00EF1182" w:rsidRPr="009819CE">
        <w:rPr>
          <w:rFonts w:cstheme="minorBidi"/>
        </w:rPr>
        <w:fldChar w:fldCharType="end"/>
      </w:r>
      <w:r w:rsidRPr="009819CE">
        <w:rPr>
          <w:rFonts w:cstheme="minorBidi"/>
        </w:rPr>
        <w:t xml:space="preserve">). In heavily infected </w:t>
      </w:r>
      <w:r w:rsidR="00C31E47" w:rsidRPr="009819CE">
        <w:rPr>
          <w:rFonts w:cstheme="minorBidi"/>
          <w:i/>
        </w:rPr>
        <w:t>Nephrops</w:t>
      </w:r>
      <w:r w:rsidRPr="009819CE">
        <w:rPr>
          <w:rFonts w:cstheme="minorBidi"/>
        </w:rPr>
        <w:t xml:space="preserve">, </w:t>
      </w:r>
      <w:r w:rsidR="009D03F4" w:rsidRPr="009819CE">
        <w:rPr>
          <w:rFonts w:cstheme="minorBidi"/>
          <w:i/>
        </w:rPr>
        <w:t>Hematodinium</w:t>
      </w:r>
      <w:r w:rsidRPr="009819CE">
        <w:rPr>
          <w:rFonts w:cstheme="minorBidi"/>
        </w:rPr>
        <w:t xml:space="preserve"> </w:t>
      </w:r>
      <w:r w:rsidR="000B5CDF" w:rsidRPr="009819CE">
        <w:rPr>
          <w:rFonts w:cstheme="minorBidi"/>
        </w:rPr>
        <w:t xml:space="preserve">sp. </w:t>
      </w:r>
      <w:r w:rsidRPr="009819CE">
        <w:rPr>
          <w:rFonts w:cstheme="minorBidi"/>
        </w:rPr>
        <w:t xml:space="preserve">cells occluded the haemocoel spaces, causing the rupture of the tissue. No signs of cell-directed response </w:t>
      </w:r>
      <w:r w:rsidR="007900F2">
        <w:rPr>
          <w:rFonts w:cstheme="minorBidi"/>
        </w:rPr>
        <w:t>or</w:t>
      </w:r>
      <w:r w:rsidR="003A7E36" w:rsidRPr="00FA7D47">
        <w:rPr>
          <w:rFonts w:cstheme="minorBidi"/>
        </w:rPr>
        <w:t xml:space="preserve"> melanisation </w:t>
      </w:r>
      <w:r w:rsidRPr="009819CE">
        <w:rPr>
          <w:rFonts w:cstheme="minorBidi"/>
        </w:rPr>
        <w:t xml:space="preserve">were observed </w:t>
      </w:r>
      <w:r w:rsidR="007900F2">
        <w:rPr>
          <w:rFonts w:cstheme="minorBidi"/>
        </w:rPr>
        <w:t>in response to</w:t>
      </w:r>
      <w:r w:rsidR="007900F2" w:rsidRPr="009819CE">
        <w:rPr>
          <w:rFonts w:cstheme="minorBidi"/>
        </w:rPr>
        <w:t xml:space="preserve"> </w:t>
      </w:r>
      <w:r w:rsidR="009D03F4" w:rsidRPr="009819CE">
        <w:rPr>
          <w:rFonts w:cstheme="minorBidi"/>
          <w:i/>
        </w:rPr>
        <w:t>Hematodinium</w:t>
      </w:r>
      <w:r w:rsidRPr="009819CE">
        <w:rPr>
          <w:rFonts w:cstheme="minorBidi"/>
        </w:rPr>
        <w:t xml:space="preserve"> </w:t>
      </w:r>
      <w:r w:rsidR="000B5CDF" w:rsidRPr="009819CE">
        <w:rPr>
          <w:rFonts w:cstheme="minorBidi"/>
        </w:rPr>
        <w:t xml:space="preserve">sp. </w:t>
      </w:r>
      <w:r w:rsidRPr="009819CE">
        <w:rPr>
          <w:rFonts w:cstheme="minorBidi"/>
        </w:rPr>
        <w:t xml:space="preserve">and no co-infections were visually apparent either. </w:t>
      </w:r>
      <w:r w:rsidR="009D03F4" w:rsidRPr="009819CE">
        <w:rPr>
          <w:rFonts w:cstheme="minorBidi"/>
          <w:i/>
        </w:rPr>
        <w:t>Hematodinium</w:t>
      </w:r>
      <w:r w:rsidRPr="009819CE">
        <w:rPr>
          <w:rFonts w:cstheme="minorBidi"/>
        </w:rPr>
        <w:t xml:space="preserve"> </w:t>
      </w:r>
      <w:r w:rsidR="00C02ADA" w:rsidRPr="009819CE">
        <w:rPr>
          <w:rFonts w:cstheme="minorBidi"/>
        </w:rPr>
        <w:t xml:space="preserve">sp. </w:t>
      </w:r>
      <w:r w:rsidRPr="009819CE">
        <w:rPr>
          <w:rFonts w:cstheme="minorBidi"/>
        </w:rPr>
        <w:t>trophonts presented a variety of oval shapes and could have one or more nuclei.</w:t>
      </w:r>
      <w:r w:rsidR="00C02ADA" w:rsidRPr="009819CE">
        <w:rPr>
          <w:rFonts w:cstheme="minorBidi"/>
        </w:rPr>
        <w:t xml:space="preserve"> I</w:t>
      </w:r>
      <w:r w:rsidRPr="009819CE">
        <w:rPr>
          <w:rFonts w:cstheme="minorBidi"/>
        </w:rPr>
        <w:t xml:space="preserve">nformation concerning the distribution of samples among diverse categories based on distinct methodologies employed for determining </w:t>
      </w:r>
      <w:r w:rsidR="009D03F4" w:rsidRPr="009819CE">
        <w:rPr>
          <w:rFonts w:cstheme="minorBidi"/>
          <w:i/>
        </w:rPr>
        <w:t>Hematodinium</w:t>
      </w:r>
      <w:r w:rsidRPr="009819CE">
        <w:rPr>
          <w:rFonts w:cstheme="minorBidi"/>
        </w:rPr>
        <w:t xml:space="preserve"> sp. infection severity is summarized in </w:t>
      </w:r>
      <w:r w:rsidRPr="009819CE">
        <w:rPr>
          <w:rFonts w:cstheme="minorBidi"/>
          <w:b/>
          <w:bCs/>
        </w:rPr>
        <w:fldChar w:fldCharType="begin"/>
      </w:r>
      <w:r w:rsidRPr="009819CE">
        <w:rPr>
          <w:rFonts w:cstheme="minorBidi"/>
          <w:b/>
          <w:bCs/>
        </w:rPr>
        <w:instrText xml:space="preserve"> REF _Ref139449693 \h  \* MERGEFORMAT </w:instrText>
      </w:r>
      <w:r w:rsidRPr="009819CE">
        <w:rPr>
          <w:rFonts w:cstheme="minorBidi"/>
          <w:b/>
          <w:bCs/>
        </w:rPr>
      </w:r>
      <w:r w:rsidRPr="009819CE">
        <w:rPr>
          <w:rFonts w:cstheme="minorBidi"/>
          <w:b/>
          <w:bCs/>
        </w:rPr>
        <w:fldChar w:fldCharType="separate"/>
      </w:r>
      <w:r w:rsidR="008549FC" w:rsidRPr="008549FC">
        <w:rPr>
          <w:rFonts w:cstheme="minorBidi"/>
          <w:b/>
          <w:bCs/>
        </w:rPr>
        <w:t>Table 3.2</w:t>
      </w:r>
      <w:r w:rsidRPr="009819CE">
        <w:rPr>
          <w:rFonts w:cstheme="minorBidi"/>
          <w:b/>
          <w:bCs/>
        </w:rPr>
        <w:fldChar w:fldCharType="end"/>
      </w:r>
      <w:r w:rsidRPr="009819CE">
        <w:rPr>
          <w:rFonts w:cstheme="minorBidi"/>
          <w:b/>
          <w:bCs/>
        </w:rPr>
        <w:t>.</w:t>
      </w:r>
    </w:p>
    <w:p w14:paraId="3F72BB65" w14:textId="0E570D37" w:rsidR="0055220B" w:rsidRPr="009819CE" w:rsidRDefault="0055220B" w:rsidP="0055220B">
      <w:pPr>
        <w:pStyle w:val="Caption"/>
        <w:rPr>
          <w:rFonts w:asciiTheme="minorBidi" w:hAnsiTheme="minorBidi" w:cstheme="minorBidi"/>
          <w:szCs w:val="22"/>
        </w:rPr>
      </w:pPr>
      <w:bookmarkStart w:id="272" w:name="_Ref139449693"/>
      <w:bookmarkStart w:id="273" w:name="_Toc97140599"/>
      <w:bookmarkStart w:id="274" w:name="_Ref100944287"/>
      <w:bookmarkStart w:id="275" w:name="_Ref139449584"/>
      <w:bookmarkStart w:id="276" w:name="_Toc202273062"/>
      <w:bookmarkStart w:id="277" w:name="_Toc204106760"/>
      <w:r w:rsidRPr="009819CE">
        <w:rPr>
          <w:rFonts w:asciiTheme="minorBidi" w:hAnsiTheme="minorBidi" w:cstheme="minorBidi"/>
          <w:b/>
          <w:szCs w:val="22"/>
        </w:rPr>
        <w:t xml:space="preserve">Table </w:t>
      </w:r>
      <w:r w:rsidR="0095522A">
        <w:rPr>
          <w:rFonts w:asciiTheme="minorBidi" w:hAnsiTheme="minorBidi" w:cstheme="minorBidi"/>
          <w:b/>
          <w:szCs w:val="22"/>
        </w:rPr>
        <w:fldChar w:fldCharType="begin"/>
      </w:r>
      <w:r w:rsidR="0095522A">
        <w:rPr>
          <w:rFonts w:asciiTheme="minorBidi" w:hAnsiTheme="minorBidi" w:cstheme="minorBidi"/>
          <w:b/>
          <w:szCs w:val="22"/>
        </w:rPr>
        <w:instrText xml:space="preserve"> STYLEREF 1 \s </w:instrText>
      </w:r>
      <w:r w:rsidR="0095522A">
        <w:rPr>
          <w:rFonts w:asciiTheme="minorBidi" w:hAnsiTheme="minorBidi" w:cstheme="minorBidi"/>
          <w:b/>
          <w:szCs w:val="22"/>
        </w:rPr>
        <w:fldChar w:fldCharType="separate"/>
      </w:r>
      <w:r w:rsidR="008549FC">
        <w:rPr>
          <w:rFonts w:asciiTheme="minorBidi" w:hAnsiTheme="minorBidi" w:cstheme="minorBidi"/>
          <w:b/>
          <w:noProof/>
          <w:szCs w:val="22"/>
        </w:rPr>
        <w:t>3</w:t>
      </w:r>
      <w:r w:rsidR="0095522A">
        <w:rPr>
          <w:rFonts w:asciiTheme="minorBidi" w:hAnsiTheme="minorBidi" w:cstheme="minorBidi"/>
          <w:b/>
          <w:szCs w:val="22"/>
        </w:rPr>
        <w:fldChar w:fldCharType="end"/>
      </w:r>
      <w:r w:rsidR="0095522A">
        <w:rPr>
          <w:rFonts w:asciiTheme="minorBidi" w:hAnsiTheme="minorBidi" w:cstheme="minorBidi"/>
          <w:b/>
          <w:szCs w:val="22"/>
        </w:rPr>
        <w:t>.</w:t>
      </w:r>
      <w:r w:rsidR="0095522A">
        <w:rPr>
          <w:rFonts w:asciiTheme="minorBidi" w:hAnsiTheme="minorBidi" w:cstheme="minorBidi"/>
          <w:b/>
          <w:szCs w:val="22"/>
        </w:rPr>
        <w:fldChar w:fldCharType="begin"/>
      </w:r>
      <w:r w:rsidR="0095522A">
        <w:rPr>
          <w:rFonts w:asciiTheme="minorBidi" w:hAnsiTheme="minorBidi" w:cstheme="minorBidi"/>
          <w:b/>
          <w:szCs w:val="22"/>
        </w:rPr>
        <w:instrText xml:space="preserve"> SEQ Table \* ARABIC \s 1 </w:instrText>
      </w:r>
      <w:r w:rsidR="0095522A">
        <w:rPr>
          <w:rFonts w:asciiTheme="minorBidi" w:hAnsiTheme="minorBidi" w:cstheme="minorBidi"/>
          <w:b/>
          <w:szCs w:val="22"/>
        </w:rPr>
        <w:fldChar w:fldCharType="separate"/>
      </w:r>
      <w:r w:rsidR="008549FC">
        <w:rPr>
          <w:rFonts w:asciiTheme="minorBidi" w:hAnsiTheme="minorBidi" w:cstheme="minorBidi"/>
          <w:b/>
          <w:noProof/>
          <w:szCs w:val="22"/>
        </w:rPr>
        <w:t>2</w:t>
      </w:r>
      <w:r w:rsidR="0095522A">
        <w:rPr>
          <w:rFonts w:asciiTheme="minorBidi" w:hAnsiTheme="minorBidi" w:cstheme="minorBidi"/>
          <w:b/>
          <w:szCs w:val="22"/>
        </w:rPr>
        <w:fldChar w:fldCharType="end"/>
      </w:r>
      <w:bookmarkEnd w:id="272"/>
      <w:r w:rsidRPr="009819CE">
        <w:rPr>
          <w:rFonts w:asciiTheme="minorBidi" w:hAnsiTheme="minorBidi" w:cstheme="minorBidi"/>
          <w:szCs w:val="22"/>
        </w:rPr>
        <w:t xml:space="preserve"> </w:t>
      </w:r>
      <w:bookmarkEnd w:id="273"/>
      <w:bookmarkEnd w:id="274"/>
      <w:bookmarkEnd w:id="275"/>
      <w:r w:rsidRPr="009819CE">
        <w:rPr>
          <w:rFonts w:asciiTheme="minorBidi" w:hAnsiTheme="minorBidi" w:cstheme="minorBidi"/>
          <w:szCs w:val="22"/>
        </w:rPr>
        <w:t xml:space="preserve">Summary data for the ‘pathobiome-set’ of </w:t>
      </w:r>
      <w:r w:rsidR="00C31E47" w:rsidRPr="009819CE">
        <w:rPr>
          <w:rFonts w:asciiTheme="minorBidi" w:hAnsiTheme="minorBidi" w:cstheme="minorBidi"/>
          <w:i/>
          <w:szCs w:val="22"/>
        </w:rPr>
        <w:t>Nephrops</w:t>
      </w:r>
      <w:r w:rsidRPr="009819CE">
        <w:rPr>
          <w:rFonts w:asciiTheme="minorBidi" w:hAnsiTheme="minorBidi" w:cstheme="minorBidi"/>
          <w:szCs w:val="22"/>
        </w:rPr>
        <w:t xml:space="preserve"> norvegicus collected from the Clyde Sea Area.</w:t>
      </w:r>
      <w:bookmarkEnd w:id="276"/>
      <w:bookmarkEnd w:id="277"/>
    </w:p>
    <w:tbl>
      <w:tblPr>
        <w:tblStyle w:val="PlainTable2"/>
        <w:tblW w:w="9214" w:type="dxa"/>
        <w:tblLook w:val="04A0" w:firstRow="1" w:lastRow="0" w:firstColumn="1" w:lastColumn="0" w:noHBand="0" w:noVBand="1"/>
      </w:tblPr>
      <w:tblGrid>
        <w:gridCol w:w="3403"/>
        <w:gridCol w:w="850"/>
        <w:gridCol w:w="817"/>
        <w:gridCol w:w="960"/>
        <w:gridCol w:w="954"/>
        <w:gridCol w:w="960"/>
        <w:gridCol w:w="1270"/>
      </w:tblGrid>
      <w:tr w:rsidR="0055220B" w:rsidRPr="00FA7D47" w14:paraId="159BFA3F" w14:textId="77777777" w:rsidTr="007D660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3" w:type="dxa"/>
            <w:vMerge w:val="restart"/>
            <w:noWrap/>
            <w:hideMark/>
          </w:tcPr>
          <w:p w14:paraId="2F8BD581" w14:textId="77777777" w:rsidR="0055220B" w:rsidRPr="009819CE" w:rsidRDefault="0055220B" w:rsidP="007D6607">
            <w:pPr>
              <w:rPr>
                <w:rFonts w:cstheme="minorBidi"/>
                <w:b w:val="0"/>
                <w:bCs w:val="0"/>
                <w:color w:val="000000"/>
                <w:sz w:val="22"/>
                <w:szCs w:val="22"/>
              </w:rPr>
            </w:pPr>
            <w:r w:rsidRPr="009819CE">
              <w:rPr>
                <w:rFonts w:cstheme="minorBidi"/>
                <w:color w:val="000000"/>
                <w:sz w:val="22"/>
                <w:szCs w:val="22"/>
              </w:rPr>
              <w:t>Parameters</w:t>
            </w:r>
          </w:p>
        </w:tc>
        <w:tc>
          <w:tcPr>
            <w:tcW w:w="1667" w:type="dxa"/>
            <w:gridSpan w:val="2"/>
            <w:hideMark/>
          </w:tcPr>
          <w:p w14:paraId="228A781A" w14:textId="77777777" w:rsidR="0055220B" w:rsidRPr="009819CE" w:rsidRDefault="0055220B" w:rsidP="007D6607">
            <w:pPr>
              <w:jc w:val="center"/>
              <w:cnfStyle w:val="100000000000" w:firstRow="1" w:lastRow="0" w:firstColumn="0" w:lastColumn="0" w:oddVBand="0" w:evenVBand="0" w:oddHBand="0" w:evenHBand="0" w:firstRowFirstColumn="0" w:firstRowLastColumn="0" w:lastRowFirstColumn="0" w:lastRowLastColumn="0"/>
              <w:rPr>
                <w:rFonts w:cstheme="minorBidi"/>
                <w:b w:val="0"/>
                <w:bCs w:val="0"/>
                <w:color w:val="000000"/>
                <w:sz w:val="22"/>
                <w:szCs w:val="22"/>
              </w:rPr>
            </w:pPr>
            <w:r w:rsidRPr="009819CE">
              <w:rPr>
                <w:rFonts w:cstheme="minorBidi"/>
                <w:color w:val="000000"/>
                <w:sz w:val="22"/>
                <w:szCs w:val="22"/>
              </w:rPr>
              <w:t>Female</w:t>
            </w:r>
          </w:p>
        </w:tc>
        <w:tc>
          <w:tcPr>
            <w:tcW w:w="1914" w:type="dxa"/>
            <w:gridSpan w:val="2"/>
            <w:hideMark/>
          </w:tcPr>
          <w:p w14:paraId="352E46CD" w14:textId="77777777" w:rsidR="0055220B" w:rsidRPr="009819CE" w:rsidRDefault="0055220B" w:rsidP="007D6607">
            <w:pPr>
              <w:jc w:val="center"/>
              <w:cnfStyle w:val="100000000000" w:firstRow="1" w:lastRow="0" w:firstColumn="0" w:lastColumn="0" w:oddVBand="0" w:evenVBand="0" w:oddHBand="0" w:evenHBand="0" w:firstRowFirstColumn="0" w:firstRowLastColumn="0" w:lastRowFirstColumn="0" w:lastRowLastColumn="0"/>
              <w:rPr>
                <w:rFonts w:cstheme="minorBidi"/>
                <w:b w:val="0"/>
                <w:bCs w:val="0"/>
                <w:color w:val="000000"/>
                <w:sz w:val="22"/>
                <w:szCs w:val="22"/>
              </w:rPr>
            </w:pPr>
            <w:r w:rsidRPr="009819CE">
              <w:rPr>
                <w:rFonts w:cstheme="minorBidi"/>
                <w:color w:val="000000"/>
                <w:sz w:val="22"/>
                <w:szCs w:val="22"/>
              </w:rPr>
              <w:t>Male</w:t>
            </w:r>
          </w:p>
        </w:tc>
        <w:tc>
          <w:tcPr>
            <w:tcW w:w="2230" w:type="dxa"/>
            <w:gridSpan w:val="2"/>
            <w:hideMark/>
          </w:tcPr>
          <w:p w14:paraId="4B5EF9A5" w14:textId="77777777" w:rsidR="0055220B" w:rsidRPr="009819CE" w:rsidRDefault="0055220B" w:rsidP="007D6607">
            <w:pPr>
              <w:jc w:val="center"/>
              <w:cnfStyle w:val="100000000000" w:firstRow="1" w:lastRow="0" w:firstColumn="0" w:lastColumn="0" w:oddVBand="0" w:evenVBand="0" w:oddHBand="0" w:evenHBand="0" w:firstRowFirstColumn="0" w:firstRowLastColumn="0" w:lastRowFirstColumn="0" w:lastRowLastColumn="0"/>
              <w:rPr>
                <w:rFonts w:cstheme="minorBidi"/>
                <w:b w:val="0"/>
                <w:bCs w:val="0"/>
                <w:color w:val="000000"/>
                <w:sz w:val="22"/>
                <w:szCs w:val="22"/>
              </w:rPr>
            </w:pPr>
            <w:r w:rsidRPr="009819CE">
              <w:rPr>
                <w:rFonts w:cstheme="minorBidi"/>
                <w:color w:val="000000"/>
                <w:sz w:val="22"/>
                <w:szCs w:val="22"/>
              </w:rPr>
              <w:t>Total</w:t>
            </w:r>
          </w:p>
        </w:tc>
      </w:tr>
      <w:tr w:rsidR="0055220B" w:rsidRPr="00FA7D47" w14:paraId="7BB6E56C" w14:textId="77777777" w:rsidTr="008F565F">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3403" w:type="dxa"/>
            <w:vMerge/>
            <w:noWrap/>
          </w:tcPr>
          <w:p w14:paraId="1BDC0B6B" w14:textId="77777777" w:rsidR="0055220B" w:rsidRPr="00FA7D47" w:rsidRDefault="0055220B" w:rsidP="007D6607">
            <w:pPr>
              <w:ind w:firstLineChars="100" w:firstLine="221"/>
              <w:rPr>
                <w:rFonts w:cstheme="minorBidi"/>
                <w:color w:val="000000"/>
                <w:sz w:val="22"/>
                <w:szCs w:val="22"/>
              </w:rPr>
            </w:pPr>
          </w:p>
        </w:tc>
        <w:tc>
          <w:tcPr>
            <w:tcW w:w="850" w:type="dxa"/>
            <w:noWrap/>
          </w:tcPr>
          <w:p w14:paraId="63AEDB1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b/>
                <w:bCs/>
                <w:color w:val="000000"/>
                <w:sz w:val="22"/>
                <w:szCs w:val="22"/>
              </w:rPr>
            </w:pPr>
            <w:r w:rsidRPr="009819CE">
              <w:rPr>
                <w:rFonts w:cstheme="minorBidi"/>
                <w:b/>
                <w:bCs/>
                <w:color w:val="000000"/>
                <w:sz w:val="22"/>
                <w:szCs w:val="22"/>
              </w:rPr>
              <w:t>N</w:t>
            </w:r>
          </w:p>
        </w:tc>
        <w:tc>
          <w:tcPr>
            <w:tcW w:w="817" w:type="dxa"/>
          </w:tcPr>
          <w:p w14:paraId="4618E02B"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b/>
                <w:bCs/>
                <w:color w:val="000000"/>
                <w:sz w:val="22"/>
                <w:szCs w:val="22"/>
              </w:rPr>
            </w:pPr>
            <w:r w:rsidRPr="009819CE">
              <w:rPr>
                <w:rFonts w:cstheme="minorBidi"/>
                <w:b/>
                <w:bCs/>
                <w:color w:val="000000"/>
                <w:sz w:val="22"/>
                <w:szCs w:val="22"/>
              </w:rPr>
              <w:t>%</w:t>
            </w:r>
          </w:p>
        </w:tc>
        <w:tc>
          <w:tcPr>
            <w:tcW w:w="960" w:type="dxa"/>
            <w:noWrap/>
          </w:tcPr>
          <w:p w14:paraId="435CBC6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b/>
                <w:bCs/>
                <w:color w:val="000000"/>
                <w:sz w:val="22"/>
                <w:szCs w:val="22"/>
              </w:rPr>
            </w:pPr>
            <w:r w:rsidRPr="009819CE">
              <w:rPr>
                <w:rFonts w:cstheme="minorBidi"/>
                <w:b/>
                <w:bCs/>
                <w:color w:val="000000"/>
                <w:sz w:val="22"/>
                <w:szCs w:val="22"/>
              </w:rPr>
              <w:t>N</w:t>
            </w:r>
          </w:p>
        </w:tc>
        <w:tc>
          <w:tcPr>
            <w:tcW w:w="954" w:type="dxa"/>
          </w:tcPr>
          <w:p w14:paraId="57B4424F"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b/>
                <w:bCs/>
                <w:color w:val="000000"/>
                <w:sz w:val="22"/>
                <w:szCs w:val="22"/>
              </w:rPr>
            </w:pPr>
            <w:r w:rsidRPr="009819CE">
              <w:rPr>
                <w:rFonts w:cstheme="minorBidi"/>
                <w:b/>
                <w:bCs/>
                <w:color w:val="000000"/>
                <w:sz w:val="22"/>
                <w:szCs w:val="22"/>
              </w:rPr>
              <w:t>%</w:t>
            </w:r>
          </w:p>
        </w:tc>
        <w:tc>
          <w:tcPr>
            <w:tcW w:w="960" w:type="dxa"/>
            <w:noWrap/>
          </w:tcPr>
          <w:p w14:paraId="3960C5D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b/>
                <w:bCs/>
                <w:color w:val="000000"/>
                <w:sz w:val="22"/>
                <w:szCs w:val="22"/>
              </w:rPr>
            </w:pPr>
            <w:r w:rsidRPr="009819CE">
              <w:rPr>
                <w:rFonts w:cstheme="minorBidi"/>
                <w:b/>
                <w:bCs/>
                <w:color w:val="000000"/>
                <w:sz w:val="22"/>
                <w:szCs w:val="22"/>
              </w:rPr>
              <w:t>N</w:t>
            </w:r>
          </w:p>
        </w:tc>
        <w:tc>
          <w:tcPr>
            <w:tcW w:w="1270" w:type="dxa"/>
            <w:noWrap/>
          </w:tcPr>
          <w:p w14:paraId="509192BB"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b/>
                <w:bCs/>
                <w:color w:val="000000"/>
                <w:sz w:val="22"/>
                <w:szCs w:val="22"/>
              </w:rPr>
            </w:pPr>
            <w:r w:rsidRPr="009819CE">
              <w:rPr>
                <w:rFonts w:cstheme="minorBidi"/>
                <w:b/>
                <w:bCs/>
                <w:color w:val="000000"/>
                <w:sz w:val="22"/>
                <w:szCs w:val="22"/>
              </w:rPr>
              <w:t>%</w:t>
            </w:r>
          </w:p>
        </w:tc>
      </w:tr>
      <w:tr w:rsidR="0055220B" w:rsidRPr="00FA7D47" w14:paraId="4C1FA98B"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noWrap/>
            <w:hideMark/>
          </w:tcPr>
          <w:p w14:paraId="328C6A1B" w14:textId="77777777" w:rsidR="0055220B" w:rsidRPr="009819CE" w:rsidRDefault="0055220B" w:rsidP="007D6607">
            <w:pPr>
              <w:ind w:firstLineChars="100" w:firstLine="221"/>
              <w:rPr>
                <w:rFonts w:cstheme="minorBidi"/>
                <w:color w:val="000000"/>
                <w:sz w:val="22"/>
                <w:szCs w:val="22"/>
              </w:rPr>
            </w:pPr>
            <w:r w:rsidRPr="009819CE">
              <w:rPr>
                <w:rFonts w:cstheme="minorBidi"/>
                <w:color w:val="000000"/>
                <w:sz w:val="22"/>
                <w:szCs w:val="22"/>
              </w:rPr>
              <w:t>Sex</w:t>
            </w:r>
          </w:p>
        </w:tc>
        <w:tc>
          <w:tcPr>
            <w:tcW w:w="850" w:type="dxa"/>
            <w:noWrap/>
            <w:hideMark/>
          </w:tcPr>
          <w:p w14:paraId="4FCF49A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56</w:t>
            </w:r>
          </w:p>
        </w:tc>
        <w:tc>
          <w:tcPr>
            <w:tcW w:w="817" w:type="dxa"/>
          </w:tcPr>
          <w:p w14:paraId="5E4A50B5"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45.9</w:t>
            </w:r>
          </w:p>
        </w:tc>
        <w:tc>
          <w:tcPr>
            <w:tcW w:w="960" w:type="dxa"/>
            <w:noWrap/>
            <w:hideMark/>
          </w:tcPr>
          <w:p w14:paraId="640707F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66</w:t>
            </w:r>
          </w:p>
        </w:tc>
        <w:tc>
          <w:tcPr>
            <w:tcW w:w="954" w:type="dxa"/>
          </w:tcPr>
          <w:p w14:paraId="7CC8A0BB"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54.1</w:t>
            </w:r>
          </w:p>
        </w:tc>
        <w:tc>
          <w:tcPr>
            <w:tcW w:w="960" w:type="dxa"/>
            <w:noWrap/>
            <w:hideMark/>
          </w:tcPr>
          <w:p w14:paraId="37CB33A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122</w:t>
            </w:r>
          </w:p>
        </w:tc>
        <w:tc>
          <w:tcPr>
            <w:tcW w:w="1270" w:type="dxa"/>
            <w:noWrap/>
            <w:hideMark/>
          </w:tcPr>
          <w:p w14:paraId="0988473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100</w:t>
            </w:r>
          </w:p>
        </w:tc>
      </w:tr>
      <w:tr w:rsidR="0055220B" w:rsidRPr="00FA7D47" w14:paraId="33CA44E5" w14:textId="77777777" w:rsidTr="008F565F">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9214" w:type="dxa"/>
            <w:gridSpan w:val="7"/>
            <w:noWrap/>
            <w:hideMark/>
          </w:tcPr>
          <w:p w14:paraId="75B820AB" w14:textId="77777777" w:rsidR="0055220B" w:rsidRPr="009819CE" w:rsidRDefault="0055220B" w:rsidP="009F4765">
            <w:pPr>
              <w:jc w:val="center"/>
              <w:rPr>
                <w:rFonts w:cstheme="minorBidi"/>
                <w:color w:val="000000"/>
                <w:sz w:val="22"/>
                <w:szCs w:val="22"/>
              </w:rPr>
            </w:pPr>
            <w:r w:rsidRPr="009819CE">
              <w:rPr>
                <w:rFonts w:cstheme="minorBidi"/>
                <w:color w:val="000000"/>
                <w:sz w:val="22"/>
                <w:szCs w:val="22"/>
              </w:rPr>
              <w:t>Body colour method (BCM)</w:t>
            </w:r>
          </w:p>
        </w:tc>
      </w:tr>
      <w:tr w:rsidR="0055220B" w:rsidRPr="00FA7D47" w14:paraId="6F4D882D"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71C1D9EF"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(BCM)</w:t>
            </w:r>
          </w:p>
        </w:tc>
        <w:tc>
          <w:tcPr>
            <w:tcW w:w="850" w:type="dxa"/>
            <w:hideMark/>
          </w:tcPr>
          <w:p w14:paraId="34D2906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29</w:t>
            </w:r>
          </w:p>
        </w:tc>
        <w:tc>
          <w:tcPr>
            <w:tcW w:w="817" w:type="dxa"/>
            <w:vAlign w:val="center"/>
          </w:tcPr>
          <w:p w14:paraId="0CF971BE" w14:textId="5ACC0938"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42.</w:t>
            </w:r>
            <w:r w:rsidR="00ED4207" w:rsidRPr="00FA7D47">
              <w:rPr>
                <w:rFonts w:cstheme="minorBidi"/>
                <w:sz w:val="22"/>
                <w:szCs w:val="22"/>
              </w:rPr>
              <w:t>6</w:t>
            </w:r>
          </w:p>
        </w:tc>
        <w:tc>
          <w:tcPr>
            <w:tcW w:w="960" w:type="dxa"/>
            <w:hideMark/>
          </w:tcPr>
          <w:p w14:paraId="588D48B5"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39</w:t>
            </w:r>
          </w:p>
        </w:tc>
        <w:tc>
          <w:tcPr>
            <w:tcW w:w="954" w:type="dxa"/>
            <w:vAlign w:val="center"/>
          </w:tcPr>
          <w:p w14:paraId="3F2B3AEB" w14:textId="78C9292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57.</w:t>
            </w:r>
            <w:r w:rsidR="00ED4207" w:rsidRPr="00FA7D47">
              <w:rPr>
                <w:rFonts w:cstheme="minorBidi"/>
                <w:sz w:val="22"/>
                <w:szCs w:val="22"/>
              </w:rPr>
              <w:t>4</w:t>
            </w:r>
          </w:p>
        </w:tc>
        <w:tc>
          <w:tcPr>
            <w:tcW w:w="960" w:type="dxa"/>
            <w:hideMark/>
          </w:tcPr>
          <w:p w14:paraId="78802A2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68</w:t>
            </w:r>
          </w:p>
        </w:tc>
        <w:tc>
          <w:tcPr>
            <w:tcW w:w="1270" w:type="dxa"/>
            <w:vAlign w:val="center"/>
            <w:hideMark/>
          </w:tcPr>
          <w:p w14:paraId="67DEF442" w14:textId="6C21670E"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55.7</w:t>
            </w:r>
          </w:p>
        </w:tc>
      </w:tr>
      <w:tr w:rsidR="0055220B" w:rsidRPr="00FA7D47" w14:paraId="37B0227F"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0C6E1E63"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(BCM)</w:t>
            </w:r>
          </w:p>
        </w:tc>
        <w:tc>
          <w:tcPr>
            <w:tcW w:w="850" w:type="dxa"/>
            <w:hideMark/>
          </w:tcPr>
          <w:p w14:paraId="77906F23"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27</w:t>
            </w:r>
          </w:p>
        </w:tc>
        <w:tc>
          <w:tcPr>
            <w:tcW w:w="817" w:type="dxa"/>
            <w:vAlign w:val="center"/>
          </w:tcPr>
          <w:p w14:paraId="7B04943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50</w:t>
            </w:r>
          </w:p>
        </w:tc>
        <w:tc>
          <w:tcPr>
            <w:tcW w:w="960" w:type="dxa"/>
            <w:hideMark/>
          </w:tcPr>
          <w:p w14:paraId="79B7D22E"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27</w:t>
            </w:r>
          </w:p>
        </w:tc>
        <w:tc>
          <w:tcPr>
            <w:tcW w:w="954" w:type="dxa"/>
            <w:vAlign w:val="center"/>
          </w:tcPr>
          <w:p w14:paraId="1C072FD1"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50</w:t>
            </w:r>
          </w:p>
        </w:tc>
        <w:tc>
          <w:tcPr>
            <w:tcW w:w="960" w:type="dxa"/>
            <w:hideMark/>
          </w:tcPr>
          <w:p w14:paraId="5AC2173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54</w:t>
            </w:r>
          </w:p>
        </w:tc>
        <w:tc>
          <w:tcPr>
            <w:tcW w:w="1270" w:type="dxa"/>
            <w:vAlign w:val="center"/>
            <w:hideMark/>
          </w:tcPr>
          <w:p w14:paraId="6300FB28" w14:textId="587B8629"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44.</w:t>
            </w:r>
            <w:r w:rsidR="00ED4207" w:rsidRPr="00FA7D47">
              <w:rPr>
                <w:rFonts w:cstheme="minorBidi"/>
                <w:sz w:val="22"/>
                <w:szCs w:val="22"/>
              </w:rPr>
              <w:t>3</w:t>
            </w:r>
          </w:p>
        </w:tc>
      </w:tr>
      <w:tr w:rsidR="0055220B" w:rsidRPr="00FA7D47" w14:paraId="4EEE35E2"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9214" w:type="dxa"/>
            <w:gridSpan w:val="7"/>
            <w:hideMark/>
          </w:tcPr>
          <w:p w14:paraId="7B282A5D" w14:textId="2CEEB87B" w:rsidR="0055220B" w:rsidRPr="009819CE" w:rsidRDefault="0055220B" w:rsidP="009F4765">
            <w:pPr>
              <w:jc w:val="center"/>
              <w:rPr>
                <w:rFonts w:cstheme="minorBidi"/>
                <w:color w:val="000000"/>
                <w:sz w:val="22"/>
                <w:szCs w:val="22"/>
              </w:rPr>
            </w:pPr>
            <w:r w:rsidRPr="009819CE">
              <w:rPr>
                <w:rFonts w:cstheme="minorBidi"/>
                <w:color w:val="000000"/>
                <w:sz w:val="22"/>
                <w:szCs w:val="22"/>
              </w:rPr>
              <w:t>Pleopod method (PM)</w:t>
            </w:r>
          </w:p>
        </w:tc>
      </w:tr>
      <w:tr w:rsidR="0055220B" w:rsidRPr="00FA7D47" w14:paraId="4DE906F2"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239601EF"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S0</w:t>
            </w:r>
          </w:p>
        </w:tc>
        <w:tc>
          <w:tcPr>
            <w:tcW w:w="850" w:type="dxa"/>
            <w:hideMark/>
          </w:tcPr>
          <w:p w14:paraId="4CD4F7B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28</w:t>
            </w:r>
          </w:p>
        </w:tc>
        <w:tc>
          <w:tcPr>
            <w:tcW w:w="817" w:type="dxa"/>
          </w:tcPr>
          <w:p w14:paraId="212F91FA"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42.4</w:t>
            </w:r>
          </w:p>
        </w:tc>
        <w:tc>
          <w:tcPr>
            <w:tcW w:w="960" w:type="dxa"/>
            <w:hideMark/>
          </w:tcPr>
          <w:p w14:paraId="38FFF8A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38</w:t>
            </w:r>
          </w:p>
        </w:tc>
        <w:tc>
          <w:tcPr>
            <w:tcW w:w="954" w:type="dxa"/>
          </w:tcPr>
          <w:p w14:paraId="4EF276BB"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57.6</w:t>
            </w:r>
          </w:p>
        </w:tc>
        <w:tc>
          <w:tcPr>
            <w:tcW w:w="960" w:type="dxa"/>
            <w:hideMark/>
          </w:tcPr>
          <w:p w14:paraId="46C1C4E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66</w:t>
            </w:r>
          </w:p>
        </w:tc>
        <w:tc>
          <w:tcPr>
            <w:tcW w:w="1270" w:type="dxa"/>
            <w:hideMark/>
          </w:tcPr>
          <w:p w14:paraId="12AB3A52"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54.1</w:t>
            </w:r>
          </w:p>
        </w:tc>
      </w:tr>
      <w:tr w:rsidR="0055220B" w:rsidRPr="00FA7D47" w14:paraId="244877D1"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7FBC63BA"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S1</w:t>
            </w:r>
          </w:p>
        </w:tc>
        <w:tc>
          <w:tcPr>
            <w:tcW w:w="850" w:type="dxa"/>
            <w:hideMark/>
          </w:tcPr>
          <w:p w14:paraId="794AD36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w:t>
            </w:r>
          </w:p>
        </w:tc>
        <w:tc>
          <w:tcPr>
            <w:tcW w:w="817" w:type="dxa"/>
          </w:tcPr>
          <w:p w14:paraId="469CE192"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41.7</w:t>
            </w:r>
          </w:p>
        </w:tc>
        <w:tc>
          <w:tcPr>
            <w:tcW w:w="960" w:type="dxa"/>
            <w:hideMark/>
          </w:tcPr>
          <w:p w14:paraId="0B867F13"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7</w:t>
            </w:r>
          </w:p>
        </w:tc>
        <w:tc>
          <w:tcPr>
            <w:tcW w:w="954" w:type="dxa"/>
          </w:tcPr>
          <w:p w14:paraId="41C5B7FF"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58.3</w:t>
            </w:r>
          </w:p>
        </w:tc>
        <w:tc>
          <w:tcPr>
            <w:tcW w:w="960" w:type="dxa"/>
            <w:hideMark/>
          </w:tcPr>
          <w:p w14:paraId="59307F09"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12</w:t>
            </w:r>
          </w:p>
        </w:tc>
        <w:tc>
          <w:tcPr>
            <w:tcW w:w="1270" w:type="dxa"/>
            <w:hideMark/>
          </w:tcPr>
          <w:p w14:paraId="34866E7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9.8</w:t>
            </w:r>
          </w:p>
        </w:tc>
      </w:tr>
      <w:tr w:rsidR="0055220B" w:rsidRPr="00FA7D47" w14:paraId="211596DC"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0B294354"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S2</w:t>
            </w:r>
          </w:p>
        </w:tc>
        <w:tc>
          <w:tcPr>
            <w:tcW w:w="850" w:type="dxa"/>
            <w:hideMark/>
          </w:tcPr>
          <w:p w14:paraId="49089C0C"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11</w:t>
            </w:r>
          </w:p>
        </w:tc>
        <w:tc>
          <w:tcPr>
            <w:tcW w:w="817" w:type="dxa"/>
          </w:tcPr>
          <w:p w14:paraId="6A574A7B"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52.4</w:t>
            </w:r>
          </w:p>
        </w:tc>
        <w:tc>
          <w:tcPr>
            <w:tcW w:w="960" w:type="dxa"/>
            <w:hideMark/>
          </w:tcPr>
          <w:p w14:paraId="31D12D8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10</w:t>
            </w:r>
          </w:p>
        </w:tc>
        <w:tc>
          <w:tcPr>
            <w:tcW w:w="954" w:type="dxa"/>
          </w:tcPr>
          <w:p w14:paraId="40CC232E"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47.6</w:t>
            </w:r>
          </w:p>
        </w:tc>
        <w:tc>
          <w:tcPr>
            <w:tcW w:w="960" w:type="dxa"/>
            <w:hideMark/>
          </w:tcPr>
          <w:p w14:paraId="726E69B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21</w:t>
            </w:r>
          </w:p>
        </w:tc>
        <w:tc>
          <w:tcPr>
            <w:tcW w:w="1270" w:type="dxa"/>
            <w:hideMark/>
          </w:tcPr>
          <w:p w14:paraId="10DA485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17.2</w:t>
            </w:r>
          </w:p>
        </w:tc>
      </w:tr>
      <w:tr w:rsidR="0055220B" w:rsidRPr="00FA7D47" w14:paraId="0DD9B9E8"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54492F51"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S3</w:t>
            </w:r>
          </w:p>
        </w:tc>
        <w:tc>
          <w:tcPr>
            <w:tcW w:w="850" w:type="dxa"/>
            <w:hideMark/>
          </w:tcPr>
          <w:p w14:paraId="16A91583"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w:t>
            </w:r>
          </w:p>
        </w:tc>
        <w:tc>
          <w:tcPr>
            <w:tcW w:w="817" w:type="dxa"/>
          </w:tcPr>
          <w:p w14:paraId="6FAB0952"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36.4</w:t>
            </w:r>
          </w:p>
        </w:tc>
        <w:tc>
          <w:tcPr>
            <w:tcW w:w="960" w:type="dxa"/>
            <w:hideMark/>
          </w:tcPr>
          <w:p w14:paraId="0F917A9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7</w:t>
            </w:r>
          </w:p>
        </w:tc>
        <w:tc>
          <w:tcPr>
            <w:tcW w:w="954" w:type="dxa"/>
          </w:tcPr>
          <w:p w14:paraId="5B199B32"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63.6</w:t>
            </w:r>
          </w:p>
        </w:tc>
        <w:tc>
          <w:tcPr>
            <w:tcW w:w="960" w:type="dxa"/>
            <w:hideMark/>
          </w:tcPr>
          <w:p w14:paraId="0063B5EB"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11</w:t>
            </w:r>
          </w:p>
        </w:tc>
        <w:tc>
          <w:tcPr>
            <w:tcW w:w="1270" w:type="dxa"/>
            <w:hideMark/>
          </w:tcPr>
          <w:p w14:paraId="0C46A94E"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9.0</w:t>
            </w:r>
          </w:p>
        </w:tc>
      </w:tr>
      <w:tr w:rsidR="0055220B" w:rsidRPr="00FA7D47" w14:paraId="03E6A579"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74BDAD58"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S4</w:t>
            </w:r>
          </w:p>
        </w:tc>
        <w:tc>
          <w:tcPr>
            <w:tcW w:w="850" w:type="dxa"/>
            <w:hideMark/>
          </w:tcPr>
          <w:p w14:paraId="2BB0032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8</w:t>
            </w:r>
          </w:p>
        </w:tc>
        <w:tc>
          <w:tcPr>
            <w:tcW w:w="817" w:type="dxa"/>
          </w:tcPr>
          <w:p w14:paraId="1A75492F"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66.7</w:t>
            </w:r>
          </w:p>
        </w:tc>
        <w:tc>
          <w:tcPr>
            <w:tcW w:w="960" w:type="dxa"/>
            <w:hideMark/>
          </w:tcPr>
          <w:p w14:paraId="20854008"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w:t>
            </w:r>
          </w:p>
        </w:tc>
        <w:tc>
          <w:tcPr>
            <w:tcW w:w="954" w:type="dxa"/>
          </w:tcPr>
          <w:p w14:paraId="32F62FF9"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33.3</w:t>
            </w:r>
          </w:p>
        </w:tc>
        <w:tc>
          <w:tcPr>
            <w:tcW w:w="960" w:type="dxa"/>
            <w:hideMark/>
          </w:tcPr>
          <w:p w14:paraId="299B3EB9"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12</w:t>
            </w:r>
          </w:p>
        </w:tc>
        <w:tc>
          <w:tcPr>
            <w:tcW w:w="1270" w:type="dxa"/>
            <w:hideMark/>
          </w:tcPr>
          <w:p w14:paraId="43C1FBD3"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9.8</w:t>
            </w:r>
          </w:p>
        </w:tc>
      </w:tr>
      <w:tr w:rsidR="0055220B" w:rsidRPr="00FA7D47" w14:paraId="710F057E"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4266C1F0"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S1-4</w:t>
            </w:r>
          </w:p>
        </w:tc>
        <w:tc>
          <w:tcPr>
            <w:tcW w:w="850" w:type="dxa"/>
            <w:hideMark/>
          </w:tcPr>
          <w:p w14:paraId="7B2AE9C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28</w:t>
            </w:r>
          </w:p>
        </w:tc>
        <w:tc>
          <w:tcPr>
            <w:tcW w:w="817" w:type="dxa"/>
          </w:tcPr>
          <w:p w14:paraId="38567B9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50</w:t>
            </w:r>
          </w:p>
        </w:tc>
        <w:tc>
          <w:tcPr>
            <w:tcW w:w="960" w:type="dxa"/>
            <w:hideMark/>
          </w:tcPr>
          <w:p w14:paraId="68D007A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28</w:t>
            </w:r>
          </w:p>
        </w:tc>
        <w:tc>
          <w:tcPr>
            <w:tcW w:w="954" w:type="dxa"/>
          </w:tcPr>
          <w:p w14:paraId="0FC35E0E"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50</w:t>
            </w:r>
          </w:p>
        </w:tc>
        <w:tc>
          <w:tcPr>
            <w:tcW w:w="960" w:type="dxa"/>
            <w:hideMark/>
          </w:tcPr>
          <w:p w14:paraId="54FBE945"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56</w:t>
            </w:r>
          </w:p>
        </w:tc>
        <w:tc>
          <w:tcPr>
            <w:tcW w:w="1270" w:type="dxa"/>
            <w:hideMark/>
          </w:tcPr>
          <w:p w14:paraId="5F30E005"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45.9</w:t>
            </w:r>
          </w:p>
        </w:tc>
      </w:tr>
      <w:tr w:rsidR="0055220B" w:rsidRPr="00FA7D47" w14:paraId="44B4F48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14" w:type="dxa"/>
            <w:gridSpan w:val="7"/>
            <w:hideMark/>
          </w:tcPr>
          <w:p w14:paraId="68529F44" w14:textId="5D281F9F" w:rsidR="0055220B" w:rsidRPr="009819CE" w:rsidRDefault="0055220B" w:rsidP="009F4765">
            <w:pPr>
              <w:jc w:val="center"/>
              <w:rPr>
                <w:rFonts w:cstheme="minorBidi"/>
                <w:color w:val="000000"/>
                <w:sz w:val="22"/>
                <w:szCs w:val="22"/>
              </w:rPr>
            </w:pPr>
            <w:r w:rsidRPr="009819CE">
              <w:rPr>
                <w:rFonts w:cstheme="minorBidi"/>
                <w:color w:val="000000"/>
                <w:sz w:val="22"/>
                <w:szCs w:val="22"/>
              </w:rPr>
              <w:t>Molecular diagnostic (PCR)</w:t>
            </w:r>
          </w:p>
        </w:tc>
      </w:tr>
      <w:tr w:rsidR="0055220B" w:rsidRPr="00FA7D47" w14:paraId="2EDFC483"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6D14DBEB"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(PCR)</w:t>
            </w:r>
          </w:p>
        </w:tc>
        <w:tc>
          <w:tcPr>
            <w:tcW w:w="850" w:type="dxa"/>
            <w:hideMark/>
          </w:tcPr>
          <w:p w14:paraId="5445A528"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20</w:t>
            </w:r>
          </w:p>
        </w:tc>
        <w:tc>
          <w:tcPr>
            <w:tcW w:w="817" w:type="dxa"/>
          </w:tcPr>
          <w:p w14:paraId="0EDDC0D5"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35.7</w:t>
            </w:r>
          </w:p>
        </w:tc>
        <w:tc>
          <w:tcPr>
            <w:tcW w:w="960" w:type="dxa"/>
            <w:hideMark/>
          </w:tcPr>
          <w:p w14:paraId="6C3B61E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28</w:t>
            </w:r>
          </w:p>
        </w:tc>
        <w:tc>
          <w:tcPr>
            <w:tcW w:w="954" w:type="dxa"/>
          </w:tcPr>
          <w:p w14:paraId="3D28A3EE"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42.4</w:t>
            </w:r>
          </w:p>
        </w:tc>
        <w:tc>
          <w:tcPr>
            <w:tcW w:w="960" w:type="dxa"/>
            <w:hideMark/>
          </w:tcPr>
          <w:p w14:paraId="5B25AB6A"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48</w:t>
            </w:r>
          </w:p>
        </w:tc>
        <w:tc>
          <w:tcPr>
            <w:tcW w:w="1270" w:type="dxa"/>
            <w:hideMark/>
          </w:tcPr>
          <w:p w14:paraId="4F2DE61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39.3</w:t>
            </w:r>
          </w:p>
        </w:tc>
      </w:tr>
      <w:tr w:rsidR="0055220B" w:rsidRPr="00FA7D47" w14:paraId="5A197F1E"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5982A11E"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(PCR)</w:t>
            </w:r>
          </w:p>
        </w:tc>
        <w:tc>
          <w:tcPr>
            <w:tcW w:w="850" w:type="dxa"/>
            <w:hideMark/>
          </w:tcPr>
          <w:p w14:paraId="036BD957"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36</w:t>
            </w:r>
          </w:p>
        </w:tc>
        <w:tc>
          <w:tcPr>
            <w:tcW w:w="817" w:type="dxa"/>
          </w:tcPr>
          <w:p w14:paraId="5B7D7F1F"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64.3</w:t>
            </w:r>
          </w:p>
        </w:tc>
        <w:tc>
          <w:tcPr>
            <w:tcW w:w="960" w:type="dxa"/>
            <w:hideMark/>
          </w:tcPr>
          <w:p w14:paraId="7882C20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38</w:t>
            </w:r>
          </w:p>
        </w:tc>
        <w:tc>
          <w:tcPr>
            <w:tcW w:w="954" w:type="dxa"/>
          </w:tcPr>
          <w:p w14:paraId="4B5A1A0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57.6</w:t>
            </w:r>
          </w:p>
        </w:tc>
        <w:tc>
          <w:tcPr>
            <w:tcW w:w="960" w:type="dxa"/>
            <w:hideMark/>
          </w:tcPr>
          <w:p w14:paraId="5AA53AB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74</w:t>
            </w:r>
          </w:p>
        </w:tc>
        <w:tc>
          <w:tcPr>
            <w:tcW w:w="1270" w:type="dxa"/>
            <w:hideMark/>
          </w:tcPr>
          <w:p w14:paraId="0FCA2C7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60.7</w:t>
            </w:r>
          </w:p>
        </w:tc>
      </w:tr>
      <w:tr w:rsidR="0055220B" w:rsidRPr="00FA7D47" w14:paraId="5453BE95"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9214" w:type="dxa"/>
            <w:gridSpan w:val="7"/>
            <w:hideMark/>
          </w:tcPr>
          <w:p w14:paraId="1F2E7539" w14:textId="77777777" w:rsidR="0055220B" w:rsidRPr="009819CE" w:rsidRDefault="0055220B" w:rsidP="009F4765">
            <w:pPr>
              <w:jc w:val="center"/>
              <w:rPr>
                <w:rFonts w:cstheme="minorBidi"/>
                <w:color w:val="000000"/>
                <w:sz w:val="22"/>
                <w:szCs w:val="22"/>
              </w:rPr>
            </w:pPr>
            <w:r w:rsidRPr="009819CE">
              <w:rPr>
                <w:rFonts w:cstheme="minorBidi"/>
                <w:color w:val="000000"/>
                <w:sz w:val="22"/>
                <w:szCs w:val="22"/>
              </w:rPr>
              <w:t>Histology</w:t>
            </w:r>
          </w:p>
        </w:tc>
      </w:tr>
      <w:tr w:rsidR="0055220B" w:rsidRPr="00FA7D47" w14:paraId="05757A9B"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2BC340C8"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(Histology)</w:t>
            </w:r>
          </w:p>
        </w:tc>
        <w:tc>
          <w:tcPr>
            <w:tcW w:w="850" w:type="dxa"/>
            <w:vAlign w:val="center"/>
            <w:hideMark/>
          </w:tcPr>
          <w:p w14:paraId="7C990CA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19</w:t>
            </w:r>
          </w:p>
        </w:tc>
        <w:tc>
          <w:tcPr>
            <w:tcW w:w="817" w:type="dxa"/>
            <w:vAlign w:val="center"/>
          </w:tcPr>
          <w:p w14:paraId="16872DE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38.8</w:t>
            </w:r>
          </w:p>
        </w:tc>
        <w:tc>
          <w:tcPr>
            <w:tcW w:w="960" w:type="dxa"/>
            <w:vAlign w:val="center"/>
            <w:hideMark/>
          </w:tcPr>
          <w:p w14:paraId="5AF8921E"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30</w:t>
            </w:r>
          </w:p>
        </w:tc>
        <w:tc>
          <w:tcPr>
            <w:tcW w:w="954" w:type="dxa"/>
            <w:vAlign w:val="center"/>
          </w:tcPr>
          <w:p w14:paraId="0D0A604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61.2</w:t>
            </w:r>
          </w:p>
        </w:tc>
        <w:tc>
          <w:tcPr>
            <w:tcW w:w="960" w:type="dxa"/>
            <w:vAlign w:val="center"/>
            <w:hideMark/>
          </w:tcPr>
          <w:p w14:paraId="621BE299"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49</w:t>
            </w:r>
          </w:p>
        </w:tc>
        <w:tc>
          <w:tcPr>
            <w:tcW w:w="1270" w:type="dxa"/>
            <w:vAlign w:val="center"/>
            <w:hideMark/>
          </w:tcPr>
          <w:p w14:paraId="62D0F5E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40.16</w:t>
            </w:r>
          </w:p>
        </w:tc>
      </w:tr>
      <w:tr w:rsidR="0055220B" w:rsidRPr="00FA7D47" w14:paraId="014FA438"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3403" w:type="dxa"/>
            <w:hideMark/>
          </w:tcPr>
          <w:p w14:paraId="06ED32D3"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(Histology)</w:t>
            </w:r>
          </w:p>
        </w:tc>
        <w:tc>
          <w:tcPr>
            <w:tcW w:w="850" w:type="dxa"/>
            <w:vAlign w:val="center"/>
            <w:hideMark/>
          </w:tcPr>
          <w:p w14:paraId="54C38A1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37</w:t>
            </w:r>
          </w:p>
        </w:tc>
        <w:tc>
          <w:tcPr>
            <w:tcW w:w="817" w:type="dxa"/>
            <w:vAlign w:val="center"/>
          </w:tcPr>
          <w:p w14:paraId="6C94779A"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50.7</w:t>
            </w:r>
          </w:p>
        </w:tc>
        <w:tc>
          <w:tcPr>
            <w:tcW w:w="960" w:type="dxa"/>
            <w:vAlign w:val="center"/>
            <w:hideMark/>
          </w:tcPr>
          <w:p w14:paraId="16BD4F73"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36</w:t>
            </w:r>
          </w:p>
        </w:tc>
        <w:tc>
          <w:tcPr>
            <w:tcW w:w="954" w:type="dxa"/>
            <w:vAlign w:val="center"/>
          </w:tcPr>
          <w:p w14:paraId="779DB608"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49.3</w:t>
            </w:r>
          </w:p>
        </w:tc>
        <w:tc>
          <w:tcPr>
            <w:tcW w:w="960" w:type="dxa"/>
            <w:vAlign w:val="center"/>
            <w:hideMark/>
          </w:tcPr>
          <w:p w14:paraId="785D4724"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73</w:t>
            </w:r>
          </w:p>
        </w:tc>
        <w:tc>
          <w:tcPr>
            <w:tcW w:w="1270" w:type="dxa"/>
            <w:vAlign w:val="center"/>
            <w:hideMark/>
          </w:tcPr>
          <w:p w14:paraId="2D7F2232" w14:textId="15D6B953"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59.8</w:t>
            </w:r>
          </w:p>
        </w:tc>
      </w:tr>
      <w:tr w:rsidR="0055220B" w:rsidRPr="00FA7D47" w14:paraId="430C60F0"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675BB9D4"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(gill)</w:t>
            </w:r>
          </w:p>
        </w:tc>
        <w:tc>
          <w:tcPr>
            <w:tcW w:w="850" w:type="dxa"/>
            <w:vAlign w:val="center"/>
            <w:hideMark/>
          </w:tcPr>
          <w:p w14:paraId="44F4F0C7"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22</w:t>
            </w:r>
          </w:p>
        </w:tc>
        <w:tc>
          <w:tcPr>
            <w:tcW w:w="817" w:type="dxa"/>
            <w:vAlign w:val="center"/>
          </w:tcPr>
          <w:p w14:paraId="03C5E3C7" w14:textId="6990643D"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40.7</w:t>
            </w:r>
          </w:p>
        </w:tc>
        <w:tc>
          <w:tcPr>
            <w:tcW w:w="960" w:type="dxa"/>
            <w:vAlign w:val="center"/>
            <w:hideMark/>
          </w:tcPr>
          <w:p w14:paraId="59C008D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32</w:t>
            </w:r>
          </w:p>
        </w:tc>
        <w:tc>
          <w:tcPr>
            <w:tcW w:w="954" w:type="dxa"/>
            <w:vAlign w:val="center"/>
          </w:tcPr>
          <w:p w14:paraId="371FAE6B" w14:textId="6362761D"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59.</w:t>
            </w:r>
            <w:r w:rsidR="00ED4207" w:rsidRPr="00FA7D47">
              <w:rPr>
                <w:rFonts w:cstheme="minorBidi"/>
                <w:sz w:val="22"/>
                <w:szCs w:val="22"/>
              </w:rPr>
              <w:t>3</w:t>
            </w:r>
          </w:p>
        </w:tc>
        <w:tc>
          <w:tcPr>
            <w:tcW w:w="960" w:type="dxa"/>
            <w:vAlign w:val="center"/>
            <w:hideMark/>
          </w:tcPr>
          <w:p w14:paraId="55730CF2"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54</w:t>
            </w:r>
          </w:p>
        </w:tc>
        <w:tc>
          <w:tcPr>
            <w:tcW w:w="1270" w:type="dxa"/>
            <w:vAlign w:val="center"/>
            <w:hideMark/>
          </w:tcPr>
          <w:p w14:paraId="39C48418" w14:textId="535A1D56"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44.</w:t>
            </w:r>
            <w:r w:rsidR="00DA716F" w:rsidRPr="00FA7D47">
              <w:rPr>
                <w:rFonts w:cstheme="minorBidi"/>
                <w:sz w:val="22"/>
                <w:szCs w:val="22"/>
              </w:rPr>
              <w:t>3</w:t>
            </w:r>
          </w:p>
        </w:tc>
      </w:tr>
      <w:tr w:rsidR="0055220B" w:rsidRPr="00FA7D47" w14:paraId="5326038F"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4CEFB752"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(gill)</w:t>
            </w:r>
          </w:p>
        </w:tc>
        <w:tc>
          <w:tcPr>
            <w:tcW w:w="850" w:type="dxa"/>
            <w:vAlign w:val="center"/>
            <w:hideMark/>
          </w:tcPr>
          <w:p w14:paraId="2358A05A"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34</w:t>
            </w:r>
          </w:p>
        </w:tc>
        <w:tc>
          <w:tcPr>
            <w:tcW w:w="817" w:type="dxa"/>
            <w:vAlign w:val="center"/>
          </w:tcPr>
          <w:p w14:paraId="1A0C753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50</w:t>
            </w:r>
          </w:p>
        </w:tc>
        <w:tc>
          <w:tcPr>
            <w:tcW w:w="960" w:type="dxa"/>
            <w:vAlign w:val="center"/>
            <w:hideMark/>
          </w:tcPr>
          <w:p w14:paraId="6AF879C4"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34</w:t>
            </w:r>
          </w:p>
        </w:tc>
        <w:tc>
          <w:tcPr>
            <w:tcW w:w="954" w:type="dxa"/>
            <w:vAlign w:val="center"/>
          </w:tcPr>
          <w:p w14:paraId="59645168" w14:textId="62D7D755"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50</w:t>
            </w:r>
          </w:p>
        </w:tc>
        <w:tc>
          <w:tcPr>
            <w:tcW w:w="960" w:type="dxa"/>
            <w:vAlign w:val="center"/>
            <w:hideMark/>
          </w:tcPr>
          <w:p w14:paraId="7893F0B3"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68</w:t>
            </w:r>
          </w:p>
        </w:tc>
        <w:tc>
          <w:tcPr>
            <w:tcW w:w="1270" w:type="dxa"/>
            <w:vAlign w:val="center"/>
            <w:hideMark/>
          </w:tcPr>
          <w:p w14:paraId="5E85EEC6" w14:textId="0D6CC08F"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55.7</w:t>
            </w:r>
          </w:p>
        </w:tc>
      </w:tr>
      <w:tr w:rsidR="0055220B" w:rsidRPr="00FA7D47" w14:paraId="55FCF146"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746378C9"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(gonad)</w:t>
            </w:r>
          </w:p>
        </w:tc>
        <w:tc>
          <w:tcPr>
            <w:tcW w:w="850" w:type="dxa"/>
            <w:vAlign w:val="center"/>
            <w:hideMark/>
          </w:tcPr>
          <w:p w14:paraId="271DB02E"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24</w:t>
            </w:r>
          </w:p>
        </w:tc>
        <w:tc>
          <w:tcPr>
            <w:tcW w:w="817" w:type="dxa"/>
            <w:vAlign w:val="center"/>
          </w:tcPr>
          <w:p w14:paraId="38FCA39C" w14:textId="2023D7E9"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54.</w:t>
            </w:r>
            <w:r w:rsidR="00ED4207" w:rsidRPr="00FA7D47">
              <w:rPr>
                <w:rFonts w:cstheme="minorBidi"/>
                <w:sz w:val="22"/>
                <w:szCs w:val="22"/>
              </w:rPr>
              <w:t>6</w:t>
            </w:r>
          </w:p>
        </w:tc>
        <w:tc>
          <w:tcPr>
            <w:tcW w:w="960" w:type="dxa"/>
            <w:vAlign w:val="center"/>
            <w:hideMark/>
          </w:tcPr>
          <w:p w14:paraId="4F1D7BC7"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20</w:t>
            </w:r>
          </w:p>
        </w:tc>
        <w:tc>
          <w:tcPr>
            <w:tcW w:w="954" w:type="dxa"/>
            <w:vAlign w:val="center"/>
          </w:tcPr>
          <w:p w14:paraId="39224E8B" w14:textId="1A1ED4B2"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45.</w:t>
            </w:r>
            <w:r w:rsidR="00ED4207" w:rsidRPr="00FA7D47">
              <w:rPr>
                <w:rFonts w:cstheme="minorBidi"/>
                <w:sz w:val="22"/>
                <w:szCs w:val="22"/>
              </w:rPr>
              <w:t>5</w:t>
            </w:r>
          </w:p>
        </w:tc>
        <w:tc>
          <w:tcPr>
            <w:tcW w:w="960" w:type="dxa"/>
            <w:vAlign w:val="center"/>
            <w:hideMark/>
          </w:tcPr>
          <w:p w14:paraId="742C0EBF"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44</w:t>
            </w:r>
          </w:p>
        </w:tc>
        <w:tc>
          <w:tcPr>
            <w:tcW w:w="1270" w:type="dxa"/>
            <w:vAlign w:val="center"/>
            <w:hideMark/>
          </w:tcPr>
          <w:p w14:paraId="593EB6F0" w14:textId="2BD27C58"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36.</w:t>
            </w:r>
            <w:r w:rsidR="00DA716F" w:rsidRPr="00FA7D47">
              <w:rPr>
                <w:rFonts w:cstheme="minorBidi"/>
                <w:sz w:val="22"/>
                <w:szCs w:val="22"/>
              </w:rPr>
              <w:t>1</w:t>
            </w:r>
          </w:p>
        </w:tc>
      </w:tr>
      <w:tr w:rsidR="0055220B" w:rsidRPr="00FA7D47" w14:paraId="22EE5027"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63C0ED55"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(gonad)</w:t>
            </w:r>
          </w:p>
        </w:tc>
        <w:tc>
          <w:tcPr>
            <w:tcW w:w="850" w:type="dxa"/>
            <w:vAlign w:val="center"/>
            <w:hideMark/>
          </w:tcPr>
          <w:p w14:paraId="7B5DCD1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27</w:t>
            </w:r>
          </w:p>
        </w:tc>
        <w:tc>
          <w:tcPr>
            <w:tcW w:w="817" w:type="dxa"/>
            <w:vAlign w:val="center"/>
          </w:tcPr>
          <w:p w14:paraId="5891C4D2" w14:textId="44F900FA"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71.</w:t>
            </w:r>
            <w:r w:rsidR="00DA716F" w:rsidRPr="00FA7D47">
              <w:rPr>
                <w:rFonts w:cstheme="minorBidi"/>
                <w:sz w:val="22"/>
                <w:szCs w:val="22"/>
              </w:rPr>
              <w:t>1</w:t>
            </w:r>
          </w:p>
        </w:tc>
        <w:tc>
          <w:tcPr>
            <w:tcW w:w="960" w:type="dxa"/>
            <w:vAlign w:val="center"/>
            <w:hideMark/>
          </w:tcPr>
          <w:p w14:paraId="6B3881A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11</w:t>
            </w:r>
          </w:p>
        </w:tc>
        <w:tc>
          <w:tcPr>
            <w:tcW w:w="954" w:type="dxa"/>
            <w:vAlign w:val="center"/>
          </w:tcPr>
          <w:p w14:paraId="71D1F96B" w14:textId="1FA75BD3"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2</w:t>
            </w:r>
            <w:r w:rsidR="00DA716F" w:rsidRPr="00FA7D47">
              <w:rPr>
                <w:rFonts w:cstheme="minorBidi"/>
                <w:sz w:val="22"/>
                <w:szCs w:val="22"/>
              </w:rPr>
              <w:t>9</w:t>
            </w:r>
          </w:p>
        </w:tc>
        <w:tc>
          <w:tcPr>
            <w:tcW w:w="960" w:type="dxa"/>
            <w:vAlign w:val="center"/>
            <w:hideMark/>
          </w:tcPr>
          <w:p w14:paraId="1F5A687F"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38</w:t>
            </w:r>
          </w:p>
        </w:tc>
        <w:tc>
          <w:tcPr>
            <w:tcW w:w="1270" w:type="dxa"/>
            <w:vAlign w:val="center"/>
            <w:hideMark/>
          </w:tcPr>
          <w:p w14:paraId="6A6795E5" w14:textId="727A81CB"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31.</w:t>
            </w:r>
            <w:r w:rsidR="00ED4207" w:rsidRPr="00FA7D47">
              <w:rPr>
                <w:rFonts w:cstheme="minorBidi"/>
                <w:sz w:val="22"/>
                <w:szCs w:val="22"/>
              </w:rPr>
              <w:t>2</w:t>
            </w:r>
          </w:p>
        </w:tc>
      </w:tr>
      <w:tr w:rsidR="0055220B" w:rsidRPr="00FA7D47" w14:paraId="1F6B147C"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2B85B977"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(heart)</w:t>
            </w:r>
          </w:p>
        </w:tc>
        <w:tc>
          <w:tcPr>
            <w:tcW w:w="850" w:type="dxa"/>
            <w:vAlign w:val="center"/>
            <w:hideMark/>
          </w:tcPr>
          <w:p w14:paraId="4428E72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22</w:t>
            </w:r>
          </w:p>
        </w:tc>
        <w:tc>
          <w:tcPr>
            <w:tcW w:w="817" w:type="dxa"/>
            <w:vAlign w:val="center"/>
          </w:tcPr>
          <w:p w14:paraId="703832E8" w14:textId="60D24846"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40.7</w:t>
            </w:r>
          </w:p>
        </w:tc>
        <w:tc>
          <w:tcPr>
            <w:tcW w:w="960" w:type="dxa"/>
            <w:vAlign w:val="center"/>
            <w:hideMark/>
          </w:tcPr>
          <w:p w14:paraId="3705DE8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32</w:t>
            </w:r>
          </w:p>
        </w:tc>
        <w:tc>
          <w:tcPr>
            <w:tcW w:w="954" w:type="dxa"/>
            <w:vAlign w:val="center"/>
          </w:tcPr>
          <w:p w14:paraId="77369869" w14:textId="7E2B8542"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59.</w:t>
            </w:r>
            <w:r w:rsidR="00DA716F" w:rsidRPr="00FA7D47">
              <w:rPr>
                <w:rFonts w:cstheme="minorBidi"/>
                <w:sz w:val="22"/>
                <w:szCs w:val="22"/>
              </w:rPr>
              <w:t>3</w:t>
            </w:r>
          </w:p>
        </w:tc>
        <w:tc>
          <w:tcPr>
            <w:tcW w:w="960" w:type="dxa"/>
            <w:vAlign w:val="center"/>
            <w:hideMark/>
          </w:tcPr>
          <w:p w14:paraId="0481FD4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54</w:t>
            </w:r>
          </w:p>
        </w:tc>
        <w:tc>
          <w:tcPr>
            <w:tcW w:w="1270" w:type="dxa"/>
            <w:vAlign w:val="center"/>
            <w:hideMark/>
          </w:tcPr>
          <w:p w14:paraId="09DDDCC5" w14:textId="66A44164"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44.</w:t>
            </w:r>
            <w:r w:rsidR="00ED4207" w:rsidRPr="00FA7D47">
              <w:rPr>
                <w:rFonts w:cstheme="minorBidi"/>
                <w:sz w:val="22"/>
                <w:szCs w:val="22"/>
              </w:rPr>
              <w:t>3</w:t>
            </w:r>
          </w:p>
        </w:tc>
      </w:tr>
      <w:tr w:rsidR="0055220B" w:rsidRPr="00FA7D47" w14:paraId="454EF706"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69FDA53F"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(heart)</w:t>
            </w:r>
          </w:p>
        </w:tc>
        <w:tc>
          <w:tcPr>
            <w:tcW w:w="850" w:type="dxa"/>
            <w:vAlign w:val="center"/>
            <w:hideMark/>
          </w:tcPr>
          <w:p w14:paraId="42B957A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30</w:t>
            </w:r>
          </w:p>
        </w:tc>
        <w:tc>
          <w:tcPr>
            <w:tcW w:w="817" w:type="dxa"/>
            <w:vAlign w:val="center"/>
          </w:tcPr>
          <w:p w14:paraId="5B655001" w14:textId="466D8274"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50.</w:t>
            </w:r>
            <w:r w:rsidR="00DA716F" w:rsidRPr="00FA7D47">
              <w:rPr>
                <w:rFonts w:cstheme="minorBidi"/>
                <w:sz w:val="22"/>
                <w:szCs w:val="22"/>
              </w:rPr>
              <w:t>9</w:t>
            </w:r>
          </w:p>
        </w:tc>
        <w:tc>
          <w:tcPr>
            <w:tcW w:w="960" w:type="dxa"/>
            <w:vAlign w:val="center"/>
            <w:hideMark/>
          </w:tcPr>
          <w:p w14:paraId="58BB0D2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29</w:t>
            </w:r>
          </w:p>
        </w:tc>
        <w:tc>
          <w:tcPr>
            <w:tcW w:w="954" w:type="dxa"/>
            <w:vAlign w:val="center"/>
          </w:tcPr>
          <w:p w14:paraId="1AF391DE" w14:textId="72326FE8"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49.</w:t>
            </w:r>
            <w:r w:rsidR="00DA716F" w:rsidRPr="00FA7D47">
              <w:rPr>
                <w:rFonts w:cstheme="minorBidi"/>
                <w:sz w:val="22"/>
                <w:szCs w:val="22"/>
              </w:rPr>
              <w:t>2</w:t>
            </w:r>
          </w:p>
        </w:tc>
        <w:tc>
          <w:tcPr>
            <w:tcW w:w="960" w:type="dxa"/>
            <w:vAlign w:val="center"/>
            <w:hideMark/>
          </w:tcPr>
          <w:p w14:paraId="0D2FB43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59</w:t>
            </w:r>
          </w:p>
        </w:tc>
        <w:tc>
          <w:tcPr>
            <w:tcW w:w="1270" w:type="dxa"/>
            <w:vAlign w:val="center"/>
            <w:hideMark/>
          </w:tcPr>
          <w:p w14:paraId="7A20544D" w14:textId="13FC1A55"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48.</w:t>
            </w:r>
            <w:r w:rsidR="00ED4207" w:rsidRPr="00FA7D47">
              <w:rPr>
                <w:rFonts w:cstheme="minorBidi"/>
                <w:sz w:val="22"/>
                <w:szCs w:val="22"/>
              </w:rPr>
              <w:t>4</w:t>
            </w:r>
          </w:p>
        </w:tc>
      </w:tr>
      <w:tr w:rsidR="0055220B" w:rsidRPr="00FA7D47" w14:paraId="4ABE073C" w14:textId="77777777" w:rsidTr="007D660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403" w:type="dxa"/>
            <w:hideMark/>
          </w:tcPr>
          <w:p w14:paraId="01676E23"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(hepatopancreas)</w:t>
            </w:r>
          </w:p>
        </w:tc>
        <w:tc>
          <w:tcPr>
            <w:tcW w:w="850" w:type="dxa"/>
            <w:vAlign w:val="center"/>
            <w:hideMark/>
          </w:tcPr>
          <w:p w14:paraId="77F8D6BB"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23</w:t>
            </w:r>
          </w:p>
        </w:tc>
        <w:tc>
          <w:tcPr>
            <w:tcW w:w="817" w:type="dxa"/>
            <w:vAlign w:val="center"/>
          </w:tcPr>
          <w:p w14:paraId="2052AF9C" w14:textId="498AFCE1"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41.8</w:t>
            </w:r>
          </w:p>
        </w:tc>
        <w:tc>
          <w:tcPr>
            <w:tcW w:w="960" w:type="dxa"/>
            <w:vAlign w:val="center"/>
            <w:hideMark/>
          </w:tcPr>
          <w:p w14:paraId="1F27B37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32</w:t>
            </w:r>
          </w:p>
        </w:tc>
        <w:tc>
          <w:tcPr>
            <w:tcW w:w="954" w:type="dxa"/>
            <w:vAlign w:val="center"/>
          </w:tcPr>
          <w:p w14:paraId="511B9944" w14:textId="741420F2"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58.</w:t>
            </w:r>
            <w:r w:rsidR="00DA716F" w:rsidRPr="00FA7D47">
              <w:rPr>
                <w:rFonts w:cstheme="minorBidi"/>
                <w:sz w:val="22"/>
                <w:szCs w:val="22"/>
              </w:rPr>
              <w:t>2</w:t>
            </w:r>
          </w:p>
        </w:tc>
        <w:tc>
          <w:tcPr>
            <w:tcW w:w="960" w:type="dxa"/>
            <w:vAlign w:val="center"/>
            <w:hideMark/>
          </w:tcPr>
          <w:p w14:paraId="2AD3ADC8"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55</w:t>
            </w:r>
          </w:p>
        </w:tc>
        <w:tc>
          <w:tcPr>
            <w:tcW w:w="1270" w:type="dxa"/>
            <w:vAlign w:val="center"/>
            <w:hideMark/>
          </w:tcPr>
          <w:p w14:paraId="15BE9099" w14:textId="4340E29E"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45.</w:t>
            </w:r>
            <w:r w:rsidR="00ED4207" w:rsidRPr="00FA7D47">
              <w:rPr>
                <w:rFonts w:cstheme="minorBidi"/>
                <w:sz w:val="22"/>
                <w:szCs w:val="22"/>
              </w:rPr>
              <w:t>1</w:t>
            </w:r>
          </w:p>
        </w:tc>
      </w:tr>
      <w:tr w:rsidR="0055220B" w:rsidRPr="00FA7D47" w14:paraId="45EAFDEC" w14:textId="77777777" w:rsidTr="007D6607">
        <w:trPr>
          <w:trHeight w:val="289"/>
        </w:trPr>
        <w:tc>
          <w:tcPr>
            <w:cnfStyle w:val="001000000000" w:firstRow="0" w:lastRow="0" w:firstColumn="1" w:lastColumn="0" w:oddVBand="0" w:evenVBand="0" w:oddHBand="0" w:evenHBand="0" w:firstRowFirstColumn="0" w:firstRowLastColumn="0" w:lastRowFirstColumn="0" w:lastRowLastColumn="0"/>
            <w:tcW w:w="3403" w:type="dxa"/>
            <w:hideMark/>
          </w:tcPr>
          <w:p w14:paraId="772877D6"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(hepatopancreas)</w:t>
            </w:r>
          </w:p>
        </w:tc>
        <w:tc>
          <w:tcPr>
            <w:tcW w:w="850" w:type="dxa"/>
            <w:vAlign w:val="center"/>
            <w:hideMark/>
          </w:tcPr>
          <w:p w14:paraId="668A5449"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33</w:t>
            </w:r>
          </w:p>
        </w:tc>
        <w:tc>
          <w:tcPr>
            <w:tcW w:w="817" w:type="dxa"/>
            <w:vAlign w:val="center"/>
          </w:tcPr>
          <w:p w14:paraId="63D064FC" w14:textId="2B42A73C"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49.</w:t>
            </w:r>
            <w:r w:rsidR="00DA716F" w:rsidRPr="00FA7D47">
              <w:rPr>
                <w:rFonts w:cstheme="minorBidi"/>
                <w:sz w:val="22"/>
                <w:szCs w:val="22"/>
              </w:rPr>
              <w:t>4</w:t>
            </w:r>
          </w:p>
        </w:tc>
        <w:tc>
          <w:tcPr>
            <w:tcW w:w="960" w:type="dxa"/>
            <w:vAlign w:val="center"/>
            <w:hideMark/>
          </w:tcPr>
          <w:p w14:paraId="4CBF0A09"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34</w:t>
            </w:r>
          </w:p>
        </w:tc>
        <w:tc>
          <w:tcPr>
            <w:tcW w:w="954" w:type="dxa"/>
            <w:vAlign w:val="center"/>
          </w:tcPr>
          <w:p w14:paraId="57F0EA16" w14:textId="3716687D"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50.</w:t>
            </w:r>
            <w:r w:rsidR="00DA716F" w:rsidRPr="00FA7D47">
              <w:rPr>
                <w:rFonts w:cstheme="minorBidi"/>
                <w:sz w:val="22"/>
                <w:szCs w:val="22"/>
              </w:rPr>
              <w:t>8</w:t>
            </w:r>
          </w:p>
        </w:tc>
        <w:tc>
          <w:tcPr>
            <w:tcW w:w="960" w:type="dxa"/>
            <w:vAlign w:val="center"/>
            <w:hideMark/>
          </w:tcPr>
          <w:p w14:paraId="505140A2"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67</w:t>
            </w:r>
          </w:p>
        </w:tc>
        <w:tc>
          <w:tcPr>
            <w:tcW w:w="1270" w:type="dxa"/>
            <w:vAlign w:val="center"/>
            <w:hideMark/>
          </w:tcPr>
          <w:p w14:paraId="58295D3E" w14:textId="71B34605"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54.9</w:t>
            </w:r>
          </w:p>
        </w:tc>
      </w:tr>
      <w:tr w:rsidR="0055220B" w:rsidRPr="00FA7D47" w14:paraId="6F97E53B" w14:textId="77777777" w:rsidTr="007D6607">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403" w:type="dxa"/>
            <w:hideMark/>
          </w:tcPr>
          <w:p w14:paraId="631C1DE0"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Negative (muscle)</w:t>
            </w:r>
          </w:p>
        </w:tc>
        <w:tc>
          <w:tcPr>
            <w:tcW w:w="850" w:type="dxa"/>
            <w:vAlign w:val="center"/>
            <w:hideMark/>
          </w:tcPr>
          <w:p w14:paraId="48B2FDBB"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23</w:t>
            </w:r>
          </w:p>
        </w:tc>
        <w:tc>
          <w:tcPr>
            <w:tcW w:w="817" w:type="dxa"/>
            <w:vAlign w:val="center"/>
          </w:tcPr>
          <w:p w14:paraId="15BCC33B" w14:textId="05921A04"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44.2</w:t>
            </w:r>
          </w:p>
        </w:tc>
        <w:tc>
          <w:tcPr>
            <w:tcW w:w="960" w:type="dxa"/>
            <w:vAlign w:val="center"/>
            <w:hideMark/>
          </w:tcPr>
          <w:p w14:paraId="059A6F2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29</w:t>
            </w:r>
          </w:p>
        </w:tc>
        <w:tc>
          <w:tcPr>
            <w:tcW w:w="954" w:type="dxa"/>
            <w:vAlign w:val="center"/>
          </w:tcPr>
          <w:p w14:paraId="10A7C26E" w14:textId="50FCCA04"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55.</w:t>
            </w:r>
            <w:r w:rsidR="00DA716F" w:rsidRPr="00FA7D47">
              <w:rPr>
                <w:rFonts w:cstheme="minorBidi"/>
                <w:sz w:val="22"/>
                <w:szCs w:val="22"/>
              </w:rPr>
              <w:t>8</w:t>
            </w:r>
          </w:p>
        </w:tc>
        <w:tc>
          <w:tcPr>
            <w:tcW w:w="960" w:type="dxa"/>
            <w:vAlign w:val="center"/>
            <w:hideMark/>
          </w:tcPr>
          <w:p w14:paraId="0EDAA877"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52</w:t>
            </w:r>
          </w:p>
        </w:tc>
        <w:tc>
          <w:tcPr>
            <w:tcW w:w="1270" w:type="dxa"/>
            <w:vAlign w:val="center"/>
            <w:hideMark/>
          </w:tcPr>
          <w:p w14:paraId="757DA10A" w14:textId="0CDEEEFF"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42.6</w:t>
            </w:r>
          </w:p>
        </w:tc>
      </w:tr>
      <w:tr w:rsidR="0055220B" w:rsidRPr="00FA7D47" w14:paraId="2B2154DA"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3141F827"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Positive (muscle)</w:t>
            </w:r>
          </w:p>
        </w:tc>
        <w:tc>
          <w:tcPr>
            <w:tcW w:w="850" w:type="dxa"/>
            <w:vAlign w:val="center"/>
            <w:hideMark/>
          </w:tcPr>
          <w:p w14:paraId="4AD9C36A"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33</w:t>
            </w:r>
          </w:p>
        </w:tc>
        <w:tc>
          <w:tcPr>
            <w:tcW w:w="817" w:type="dxa"/>
            <w:vAlign w:val="center"/>
          </w:tcPr>
          <w:p w14:paraId="1F2A8BC8" w14:textId="5F83638F"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47.1</w:t>
            </w:r>
          </w:p>
        </w:tc>
        <w:tc>
          <w:tcPr>
            <w:tcW w:w="960" w:type="dxa"/>
            <w:vAlign w:val="center"/>
            <w:hideMark/>
          </w:tcPr>
          <w:p w14:paraId="3E413C1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37</w:t>
            </w:r>
          </w:p>
        </w:tc>
        <w:tc>
          <w:tcPr>
            <w:tcW w:w="954" w:type="dxa"/>
            <w:vAlign w:val="center"/>
          </w:tcPr>
          <w:p w14:paraId="67AA2BCB" w14:textId="4E8F4442"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52.</w:t>
            </w:r>
            <w:r w:rsidR="00DA716F" w:rsidRPr="00FA7D47">
              <w:rPr>
                <w:rFonts w:cstheme="minorBidi"/>
                <w:sz w:val="22"/>
                <w:szCs w:val="22"/>
              </w:rPr>
              <w:t>9</w:t>
            </w:r>
          </w:p>
        </w:tc>
        <w:tc>
          <w:tcPr>
            <w:tcW w:w="960" w:type="dxa"/>
            <w:vAlign w:val="center"/>
            <w:hideMark/>
          </w:tcPr>
          <w:p w14:paraId="065EFFDD"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70</w:t>
            </w:r>
          </w:p>
        </w:tc>
        <w:tc>
          <w:tcPr>
            <w:tcW w:w="1270" w:type="dxa"/>
            <w:vAlign w:val="center"/>
            <w:hideMark/>
          </w:tcPr>
          <w:p w14:paraId="058A7118" w14:textId="693A739D"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57.</w:t>
            </w:r>
            <w:r w:rsidR="00ED4207" w:rsidRPr="00FA7D47">
              <w:rPr>
                <w:rFonts w:cstheme="minorBidi"/>
                <w:sz w:val="22"/>
                <w:szCs w:val="22"/>
              </w:rPr>
              <w:t>4</w:t>
            </w:r>
          </w:p>
        </w:tc>
      </w:tr>
      <w:tr w:rsidR="0055220B" w:rsidRPr="00FA7D47" w14:paraId="5C378179"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14" w:type="dxa"/>
            <w:gridSpan w:val="7"/>
            <w:hideMark/>
          </w:tcPr>
          <w:p w14:paraId="38C0EC56" w14:textId="675207E7" w:rsidR="0055220B" w:rsidRPr="009819CE" w:rsidRDefault="0055220B" w:rsidP="009F4765">
            <w:pPr>
              <w:jc w:val="center"/>
              <w:rPr>
                <w:rFonts w:cstheme="minorBidi"/>
                <w:color w:val="000000"/>
                <w:sz w:val="22"/>
                <w:szCs w:val="22"/>
              </w:rPr>
            </w:pPr>
            <w:r w:rsidRPr="009819CE">
              <w:rPr>
                <w:rFonts w:cstheme="minorBidi"/>
                <w:color w:val="000000"/>
                <w:sz w:val="22"/>
                <w:szCs w:val="22"/>
              </w:rPr>
              <w:t>Histology/PCR</w:t>
            </w:r>
          </w:p>
        </w:tc>
      </w:tr>
      <w:tr w:rsidR="0055220B" w:rsidRPr="00FA7D47" w14:paraId="07092BFE" w14:textId="77777777" w:rsidTr="007D6607">
        <w:trPr>
          <w:trHeight w:val="239"/>
        </w:trPr>
        <w:tc>
          <w:tcPr>
            <w:cnfStyle w:val="001000000000" w:firstRow="0" w:lastRow="0" w:firstColumn="1" w:lastColumn="0" w:oddVBand="0" w:evenVBand="0" w:oddHBand="0" w:evenHBand="0" w:firstRowFirstColumn="0" w:firstRowLastColumn="0" w:lastRowFirstColumn="0" w:lastRowLastColumn="0"/>
            <w:tcW w:w="3403" w:type="dxa"/>
            <w:hideMark/>
          </w:tcPr>
          <w:p w14:paraId="586EDDD1" w14:textId="77777777" w:rsidR="0055220B" w:rsidRPr="009819CE" w:rsidRDefault="0055220B" w:rsidP="007D6607">
            <w:pPr>
              <w:ind w:left="312"/>
              <w:rPr>
                <w:rFonts w:cstheme="minorBidi"/>
                <w:b w:val="0"/>
                <w:bCs w:val="0"/>
                <w:color w:val="000000"/>
                <w:sz w:val="22"/>
                <w:szCs w:val="22"/>
              </w:rPr>
            </w:pPr>
            <w:r w:rsidRPr="009819CE">
              <w:rPr>
                <w:rFonts w:cstheme="minorBidi"/>
                <w:b w:val="0"/>
                <w:bCs w:val="0"/>
                <w:color w:val="000000"/>
                <w:sz w:val="22"/>
                <w:szCs w:val="22"/>
              </w:rPr>
              <w:t>Histology/PCR (Negative / Negative)</w:t>
            </w:r>
          </w:p>
        </w:tc>
        <w:tc>
          <w:tcPr>
            <w:tcW w:w="850" w:type="dxa"/>
            <w:hideMark/>
          </w:tcPr>
          <w:p w14:paraId="3040731E"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18</w:t>
            </w:r>
          </w:p>
        </w:tc>
        <w:tc>
          <w:tcPr>
            <w:tcW w:w="817" w:type="dxa"/>
          </w:tcPr>
          <w:p w14:paraId="338D17B9"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40</w:t>
            </w:r>
          </w:p>
        </w:tc>
        <w:tc>
          <w:tcPr>
            <w:tcW w:w="960" w:type="dxa"/>
            <w:hideMark/>
          </w:tcPr>
          <w:p w14:paraId="46D3D52B"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27</w:t>
            </w:r>
          </w:p>
        </w:tc>
        <w:tc>
          <w:tcPr>
            <w:tcW w:w="954" w:type="dxa"/>
          </w:tcPr>
          <w:p w14:paraId="47A5BEF8"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60</w:t>
            </w:r>
          </w:p>
        </w:tc>
        <w:tc>
          <w:tcPr>
            <w:tcW w:w="960" w:type="dxa"/>
            <w:hideMark/>
          </w:tcPr>
          <w:p w14:paraId="3C9BFC99"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45</w:t>
            </w:r>
          </w:p>
        </w:tc>
        <w:tc>
          <w:tcPr>
            <w:tcW w:w="1270" w:type="dxa"/>
            <w:hideMark/>
          </w:tcPr>
          <w:p w14:paraId="47363E84"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36.9</w:t>
            </w:r>
          </w:p>
        </w:tc>
      </w:tr>
      <w:tr w:rsidR="0055220B" w:rsidRPr="00FA7D47" w14:paraId="534557C5" w14:textId="77777777" w:rsidTr="007D6607">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403" w:type="dxa"/>
            <w:hideMark/>
          </w:tcPr>
          <w:p w14:paraId="05E9612E" w14:textId="77777777" w:rsidR="0055220B" w:rsidRPr="009819CE" w:rsidRDefault="0055220B" w:rsidP="007D6607">
            <w:pPr>
              <w:ind w:left="312"/>
              <w:rPr>
                <w:rFonts w:cstheme="minorBidi"/>
                <w:b w:val="0"/>
                <w:bCs w:val="0"/>
                <w:color w:val="000000"/>
                <w:sz w:val="22"/>
                <w:szCs w:val="22"/>
              </w:rPr>
            </w:pPr>
            <w:r w:rsidRPr="009819CE">
              <w:rPr>
                <w:rFonts w:cstheme="minorBidi"/>
                <w:b w:val="0"/>
                <w:bCs w:val="0"/>
                <w:color w:val="000000"/>
                <w:sz w:val="22"/>
                <w:szCs w:val="22"/>
              </w:rPr>
              <w:t>Histology/PCR (Positive / Negative)</w:t>
            </w:r>
          </w:p>
        </w:tc>
        <w:tc>
          <w:tcPr>
            <w:tcW w:w="850" w:type="dxa"/>
            <w:hideMark/>
          </w:tcPr>
          <w:p w14:paraId="6541D423"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w:t>
            </w:r>
          </w:p>
        </w:tc>
        <w:tc>
          <w:tcPr>
            <w:tcW w:w="817" w:type="dxa"/>
          </w:tcPr>
          <w:p w14:paraId="297425EC"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66.7</w:t>
            </w:r>
          </w:p>
        </w:tc>
        <w:tc>
          <w:tcPr>
            <w:tcW w:w="960" w:type="dxa"/>
            <w:hideMark/>
          </w:tcPr>
          <w:p w14:paraId="67DF9517"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w:t>
            </w:r>
          </w:p>
        </w:tc>
        <w:tc>
          <w:tcPr>
            <w:tcW w:w="954" w:type="dxa"/>
          </w:tcPr>
          <w:p w14:paraId="076782B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33.3</w:t>
            </w:r>
          </w:p>
        </w:tc>
        <w:tc>
          <w:tcPr>
            <w:tcW w:w="960" w:type="dxa"/>
            <w:hideMark/>
          </w:tcPr>
          <w:p w14:paraId="290DE3B9"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w:t>
            </w:r>
          </w:p>
        </w:tc>
        <w:tc>
          <w:tcPr>
            <w:tcW w:w="1270" w:type="dxa"/>
            <w:hideMark/>
          </w:tcPr>
          <w:p w14:paraId="14E5E9C1"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2.5</w:t>
            </w:r>
          </w:p>
        </w:tc>
      </w:tr>
      <w:tr w:rsidR="0055220B" w:rsidRPr="00FA7D47" w14:paraId="402B6BD6" w14:textId="77777777" w:rsidTr="007D6607">
        <w:trPr>
          <w:trHeight w:val="275"/>
        </w:trPr>
        <w:tc>
          <w:tcPr>
            <w:cnfStyle w:val="001000000000" w:firstRow="0" w:lastRow="0" w:firstColumn="1" w:lastColumn="0" w:oddVBand="0" w:evenVBand="0" w:oddHBand="0" w:evenHBand="0" w:firstRowFirstColumn="0" w:firstRowLastColumn="0" w:lastRowFirstColumn="0" w:lastRowLastColumn="0"/>
            <w:tcW w:w="3403" w:type="dxa"/>
            <w:hideMark/>
          </w:tcPr>
          <w:p w14:paraId="2645056C" w14:textId="77777777" w:rsidR="0055220B" w:rsidRPr="009819CE" w:rsidRDefault="0055220B" w:rsidP="007D6607">
            <w:pPr>
              <w:ind w:left="312"/>
              <w:rPr>
                <w:rFonts w:cstheme="minorBidi"/>
                <w:b w:val="0"/>
                <w:bCs w:val="0"/>
                <w:color w:val="000000"/>
                <w:sz w:val="22"/>
                <w:szCs w:val="22"/>
              </w:rPr>
            </w:pPr>
            <w:r w:rsidRPr="009819CE">
              <w:rPr>
                <w:rFonts w:cstheme="minorBidi"/>
                <w:b w:val="0"/>
                <w:bCs w:val="0"/>
                <w:color w:val="000000"/>
                <w:sz w:val="22"/>
                <w:szCs w:val="22"/>
              </w:rPr>
              <w:t>Histology/PCR (Negative / Positive)</w:t>
            </w:r>
          </w:p>
        </w:tc>
        <w:tc>
          <w:tcPr>
            <w:tcW w:w="850" w:type="dxa"/>
            <w:hideMark/>
          </w:tcPr>
          <w:p w14:paraId="40EDC67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1</w:t>
            </w:r>
          </w:p>
        </w:tc>
        <w:tc>
          <w:tcPr>
            <w:tcW w:w="817" w:type="dxa"/>
          </w:tcPr>
          <w:p w14:paraId="7CE2BE74"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25</w:t>
            </w:r>
          </w:p>
        </w:tc>
        <w:tc>
          <w:tcPr>
            <w:tcW w:w="960" w:type="dxa"/>
            <w:hideMark/>
          </w:tcPr>
          <w:p w14:paraId="21B16D71"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w:t>
            </w:r>
          </w:p>
        </w:tc>
        <w:tc>
          <w:tcPr>
            <w:tcW w:w="954" w:type="dxa"/>
          </w:tcPr>
          <w:p w14:paraId="2EC040EC"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75</w:t>
            </w:r>
          </w:p>
        </w:tc>
        <w:tc>
          <w:tcPr>
            <w:tcW w:w="960" w:type="dxa"/>
            <w:hideMark/>
          </w:tcPr>
          <w:p w14:paraId="20877268"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4</w:t>
            </w:r>
          </w:p>
        </w:tc>
        <w:tc>
          <w:tcPr>
            <w:tcW w:w="1270" w:type="dxa"/>
            <w:hideMark/>
          </w:tcPr>
          <w:p w14:paraId="073CBD0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3.3</w:t>
            </w:r>
          </w:p>
        </w:tc>
      </w:tr>
      <w:tr w:rsidR="0055220B" w:rsidRPr="00FA7D47" w14:paraId="4FDF8DDD" w14:textId="77777777" w:rsidTr="007D6607">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3403" w:type="dxa"/>
            <w:hideMark/>
          </w:tcPr>
          <w:p w14:paraId="5CD4CB7B" w14:textId="77777777" w:rsidR="0055220B" w:rsidRPr="009819CE" w:rsidRDefault="0055220B" w:rsidP="007D6607">
            <w:pPr>
              <w:ind w:left="312"/>
              <w:rPr>
                <w:rFonts w:cstheme="minorBidi"/>
                <w:b w:val="0"/>
                <w:bCs w:val="0"/>
                <w:color w:val="000000"/>
                <w:sz w:val="22"/>
                <w:szCs w:val="22"/>
              </w:rPr>
            </w:pPr>
            <w:r w:rsidRPr="009819CE">
              <w:rPr>
                <w:rFonts w:cstheme="minorBidi"/>
                <w:b w:val="0"/>
                <w:bCs w:val="0"/>
                <w:color w:val="000000"/>
                <w:sz w:val="22"/>
                <w:szCs w:val="22"/>
              </w:rPr>
              <w:t>Histology/PCR (Positive / Positive)</w:t>
            </w:r>
          </w:p>
        </w:tc>
        <w:tc>
          <w:tcPr>
            <w:tcW w:w="850" w:type="dxa"/>
            <w:hideMark/>
          </w:tcPr>
          <w:p w14:paraId="6A8F063F"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35</w:t>
            </w:r>
          </w:p>
        </w:tc>
        <w:tc>
          <w:tcPr>
            <w:tcW w:w="817" w:type="dxa"/>
          </w:tcPr>
          <w:p w14:paraId="0BEF938E"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50</w:t>
            </w:r>
          </w:p>
        </w:tc>
        <w:tc>
          <w:tcPr>
            <w:tcW w:w="960" w:type="dxa"/>
            <w:hideMark/>
          </w:tcPr>
          <w:p w14:paraId="00FC5AF3"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35</w:t>
            </w:r>
          </w:p>
        </w:tc>
        <w:tc>
          <w:tcPr>
            <w:tcW w:w="954" w:type="dxa"/>
          </w:tcPr>
          <w:p w14:paraId="6C39BDC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50</w:t>
            </w:r>
          </w:p>
        </w:tc>
        <w:tc>
          <w:tcPr>
            <w:tcW w:w="960" w:type="dxa"/>
            <w:hideMark/>
          </w:tcPr>
          <w:p w14:paraId="7E320FD2"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70</w:t>
            </w:r>
          </w:p>
        </w:tc>
        <w:tc>
          <w:tcPr>
            <w:tcW w:w="1270" w:type="dxa"/>
            <w:hideMark/>
          </w:tcPr>
          <w:p w14:paraId="6195EE3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color w:val="000000"/>
                <w:sz w:val="22"/>
                <w:szCs w:val="22"/>
              </w:rPr>
              <w:t>57.4</w:t>
            </w:r>
          </w:p>
        </w:tc>
      </w:tr>
      <w:tr w:rsidR="0055220B" w:rsidRPr="00FA7D47" w14:paraId="43F0F640"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9214" w:type="dxa"/>
            <w:gridSpan w:val="7"/>
            <w:hideMark/>
          </w:tcPr>
          <w:p w14:paraId="4E523CBD" w14:textId="02722D7F" w:rsidR="0055220B" w:rsidRPr="009819CE" w:rsidRDefault="00272268" w:rsidP="009F4765">
            <w:pPr>
              <w:jc w:val="center"/>
              <w:rPr>
                <w:rFonts w:cstheme="minorBidi"/>
                <w:color w:val="000000"/>
                <w:sz w:val="22"/>
                <w:szCs w:val="22"/>
              </w:rPr>
            </w:pPr>
            <w:r w:rsidRPr="00FA7D47">
              <w:rPr>
                <w:rFonts w:cstheme="minorBidi"/>
                <w:color w:val="000000"/>
                <w:sz w:val="22"/>
                <w:szCs w:val="22"/>
              </w:rPr>
              <w:t>Moult</w:t>
            </w:r>
            <w:r w:rsidR="0055220B" w:rsidRPr="009819CE">
              <w:rPr>
                <w:rFonts w:cstheme="minorBidi"/>
                <w:color w:val="000000"/>
                <w:sz w:val="22"/>
                <w:szCs w:val="22"/>
              </w:rPr>
              <w:t xml:space="preserve"> stag</w:t>
            </w:r>
            <w:r w:rsidR="0055220B" w:rsidRPr="009819CE">
              <w:rPr>
                <w:rFonts w:cstheme="minorBidi"/>
                <w:b w:val="0"/>
                <w:bCs w:val="0"/>
                <w:color w:val="000000"/>
                <w:sz w:val="22"/>
                <w:szCs w:val="22"/>
              </w:rPr>
              <w:t>e</w:t>
            </w:r>
          </w:p>
        </w:tc>
      </w:tr>
      <w:tr w:rsidR="0055220B" w:rsidRPr="00FA7D47" w14:paraId="03E01EFE"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0E23DC0E"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Hard (H)</w:t>
            </w:r>
          </w:p>
        </w:tc>
        <w:tc>
          <w:tcPr>
            <w:tcW w:w="850" w:type="dxa"/>
            <w:vAlign w:val="center"/>
            <w:hideMark/>
          </w:tcPr>
          <w:p w14:paraId="10BDC0A8"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45</w:t>
            </w:r>
          </w:p>
        </w:tc>
        <w:tc>
          <w:tcPr>
            <w:tcW w:w="817" w:type="dxa"/>
            <w:vAlign w:val="center"/>
          </w:tcPr>
          <w:p w14:paraId="5A94B004" w14:textId="71482458"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42.</w:t>
            </w:r>
            <w:r w:rsidR="00DA716F" w:rsidRPr="00FA7D47">
              <w:rPr>
                <w:rFonts w:cstheme="minorBidi"/>
                <w:sz w:val="22"/>
                <w:szCs w:val="22"/>
              </w:rPr>
              <w:t>9</w:t>
            </w:r>
          </w:p>
        </w:tc>
        <w:tc>
          <w:tcPr>
            <w:tcW w:w="960" w:type="dxa"/>
            <w:vAlign w:val="center"/>
            <w:hideMark/>
          </w:tcPr>
          <w:p w14:paraId="15317222"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60</w:t>
            </w:r>
          </w:p>
        </w:tc>
        <w:tc>
          <w:tcPr>
            <w:tcW w:w="954" w:type="dxa"/>
            <w:vAlign w:val="center"/>
          </w:tcPr>
          <w:p w14:paraId="24F42C50" w14:textId="77A7418C"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57.1</w:t>
            </w:r>
          </w:p>
        </w:tc>
        <w:tc>
          <w:tcPr>
            <w:tcW w:w="960" w:type="dxa"/>
            <w:vAlign w:val="center"/>
            <w:hideMark/>
          </w:tcPr>
          <w:p w14:paraId="4654C81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105</w:t>
            </w:r>
          </w:p>
        </w:tc>
        <w:tc>
          <w:tcPr>
            <w:tcW w:w="1270" w:type="dxa"/>
            <w:vAlign w:val="center"/>
            <w:hideMark/>
          </w:tcPr>
          <w:p w14:paraId="3D8DCC37" w14:textId="668A9942"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86.</w:t>
            </w:r>
            <w:r w:rsidR="00DA716F" w:rsidRPr="00FA7D47">
              <w:rPr>
                <w:rFonts w:cstheme="minorBidi"/>
                <w:sz w:val="22"/>
                <w:szCs w:val="22"/>
              </w:rPr>
              <w:t>1</w:t>
            </w:r>
          </w:p>
        </w:tc>
      </w:tr>
      <w:tr w:rsidR="0055220B" w:rsidRPr="00FA7D47" w14:paraId="06E4FFB4"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hideMark/>
          </w:tcPr>
          <w:p w14:paraId="4811B4EA"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color w:val="000000"/>
                <w:sz w:val="22"/>
                <w:szCs w:val="22"/>
              </w:rPr>
              <w:t>Soft (S)</w:t>
            </w:r>
          </w:p>
        </w:tc>
        <w:tc>
          <w:tcPr>
            <w:tcW w:w="850" w:type="dxa"/>
            <w:vAlign w:val="center"/>
            <w:hideMark/>
          </w:tcPr>
          <w:p w14:paraId="6A56492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11</w:t>
            </w:r>
          </w:p>
        </w:tc>
        <w:tc>
          <w:tcPr>
            <w:tcW w:w="817" w:type="dxa"/>
            <w:vAlign w:val="center"/>
          </w:tcPr>
          <w:p w14:paraId="0B413656" w14:textId="6E266D7D"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64.7</w:t>
            </w:r>
          </w:p>
        </w:tc>
        <w:tc>
          <w:tcPr>
            <w:tcW w:w="960" w:type="dxa"/>
            <w:vAlign w:val="center"/>
            <w:hideMark/>
          </w:tcPr>
          <w:p w14:paraId="5FCE3A9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6</w:t>
            </w:r>
          </w:p>
        </w:tc>
        <w:tc>
          <w:tcPr>
            <w:tcW w:w="954" w:type="dxa"/>
            <w:vAlign w:val="center"/>
          </w:tcPr>
          <w:p w14:paraId="05A97E6F" w14:textId="53433F8F"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35.</w:t>
            </w:r>
            <w:r w:rsidR="00DA716F" w:rsidRPr="00FA7D47">
              <w:rPr>
                <w:rFonts w:cstheme="minorBidi"/>
                <w:sz w:val="22"/>
                <w:szCs w:val="22"/>
              </w:rPr>
              <w:t>3</w:t>
            </w:r>
          </w:p>
        </w:tc>
        <w:tc>
          <w:tcPr>
            <w:tcW w:w="960" w:type="dxa"/>
            <w:vAlign w:val="center"/>
            <w:hideMark/>
          </w:tcPr>
          <w:p w14:paraId="52640CD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17</w:t>
            </w:r>
          </w:p>
        </w:tc>
        <w:tc>
          <w:tcPr>
            <w:tcW w:w="1270" w:type="dxa"/>
            <w:vAlign w:val="center"/>
            <w:hideMark/>
          </w:tcPr>
          <w:p w14:paraId="634C7302" w14:textId="55EA2132"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13.9</w:t>
            </w:r>
          </w:p>
        </w:tc>
      </w:tr>
      <w:tr w:rsidR="0055220B" w:rsidRPr="00FA7D47" w14:paraId="1AB0BFB1"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1A32460E"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RM (recently-moulted)</w:t>
            </w:r>
          </w:p>
        </w:tc>
        <w:tc>
          <w:tcPr>
            <w:tcW w:w="850" w:type="dxa"/>
            <w:vAlign w:val="center"/>
          </w:tcPr>
          <w:p w14:paraId="15B63A44"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17</w:t>
            </w:r>
          </w:p>
        </w:tc>
        <w:tc>
          <w:tcPr>
            <w:tcW w:w="817" w:type="dxa"/>
            <w:vAlign w:val="center"/>
          </w:tcPr>
          <w:p w14:paraId="0AE5F881" w14:textId="1208699D"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54.8</w:t>
            </w:r>
          </w:p>
        </w:tc>
        <w:tc>
          <w:tcPr>
            <w:tcW w:w="960" w:type="dxa"/>
            <w:vAlign w:val="center"/>
          </w:tcPr>
          <w:p w14:paraId="337B306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14</w:t>
            </w:r>
          </w:p>
        </w:tc>
        <w:tc>
          <w:tcPr>
            <w:tcW w:w="954" w:type="dxa"/>
            <w:vAlign w:val="center"/>
          </w:tcPr>
          <w:p w14:paraId="17FB9F9B" w14:textId="67C85578"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45.</w:t>
            </w:r>
            <w:r w:rsidR="00DA716F" w:rsidRPr="00FA7D47">
              <w:rPr>
                <w:rFonts w:cstheme="minorBidi"/>
                <w:sz w:val="22"/>
                <w:szCs w:val="22"/>
              </w:rPr>
              <w:t>2</w:t>
            </w:r>
          </w:p>
        </w:tc>
        <w:tc>
          <w:tcPr>
            <w:tcW w:w="960" w:type="dxa"/>
            <w:vAlign w:val="center"/>
          </w:tcPr>
          <w:p w14:paraId="2B26B0C9"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31</w:t>
            </w:r>
          </w:p>
        </w:tc>
        <w:tc>
          <w:tcPr>
            <w:tcW w:w="1270" w:type="dxa"/>
            <w:vAlign w:val="center"/>
          </w:tcPr>
          <w:p w14:paraId="0658E0B2" w14:textId="0B83C798"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25.4</w:t>
            </w:r>
          </w:p>
        </w:tc>
      </w:tr>
      <w:tr w:rsidR="0055220B" w:rsidRPr="00FA7D47" w14:paraId="72F4E87A"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09B6B788"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IM (inter-moult)</w:t>
            </w:r>
          </w:p>
        </w:tc>
        <w:tc>
          <w:tcPr>
            <w:tcW w:w="850" w:type="dxa"/>
            <w:vAlign w:val="center"/>
          </w:tcPr>
          <w:p w14:paraId="41AB81CC"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39</w:t>
            </w:r>
          </w:p>
        </w:tc>
        <w:tc>
          <w:tcPr>
            <w:tcW w:w="817" w:type="dxa"/>
            <w:vAlign w:val="center"/>
          </w:tcPr>
          <w:p w14:paraId="6B9F3B16" w14:textId="598CD461"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42.</w:t>
            </w:r>
            <w:r w:rsidR="00DA716F" w:rsidRPr="00FA7D47">
              <w:rPr>
                <w:rFonts w:cstheme="minorBidi"/>
                <w:sz w:val="22"/>
                <w:szCs w:val="22"/>
              </w:rPr>
              <w:t>9</w:t>
            </w:r>
          </w:p>
        </w:tc>
        <w:tc>
          <w:tcPr>
            <w:tcW w:w="960" w:type="dxa"/>
            <w:vAlign w:val="center"/>
          </w:tcPr>
          <w:p w14:paraId="56AA9BE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52</w:t>
            </w:r>
          </w:p>
        </w:tc>
        <w:tc>
          <w:tcPr>
            <w:tcW w:w="954" w:type="dxa"/>
            <w:vAlign w:val="center"/>
          </w:tcPr>
          <w:p w14:paraId="6A2AB4F7" w14:textId="0ABC75FE"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57.1</w:t>
            </w:r>
          </w:p>
        </w:tc>
        <w:tc>
          <w:tcPr>
            <w:tcW w:w="960" w:type="dxa"/>
            <w:vAlign w:val="center"/>
          </w:tcPr>
          <w:p w14:paraId="036D6AB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91</w:t>
            </w:r>
          </w:p>
        </w:tc>
        <w:tc>
          <w:tcPr>
            <w:tcW w:w="1270" w:type="dxa"/>
            <w:vAlign w:val="center"/>
          </w:tcPr>
          <w:p w14:paraId="17A368B7" w14:textId="7B074233"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74.</w:t>
            </w:r>
            <w:r w:rsidR="00DA716F" w:rsidRPr="00FA7D47">
              <w:rPr>
                <w:rFonts w:cstheme="minorBidi"/>
                <w:sz w:val="22"/>
                <w:szCs w:val="22"/>
              </w:rPr>
              <w:t>6</w:t>
            </w:r>
          </w:p>
        </w:tc>
      </w:tr>
      <w:tr w:rsidR="0055220B" w:rsidRPr="00FA7D47" w14:paraId="529373E7"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388792C5"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B</w:t>
            </w:r>
          </w:p>
        </w:tc>
        <w:tc>
          <w:tcPr>
            <w:tcW w:w="850" w:type="dxa"/>
            <w:vAlign w:val="center"/>
          </w:tcPr>
          <w:p w14:paraId="4416728C"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11</w:t>
            </w:r>
          </w:p>
        </w:tc>
        <w:tc>
          <w:tcPr>
            <w:tcW w:w="817" w:type="dxa"/>
            <w:vAlign w:val="center"/>
          </w:tcPr>
          <w:p w14:paraId="2C353CAD" w14:textId="60838FD1"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68.</w:t>
            </w:r>
            <w:r w:rsidR="00DA716F" w:rsidRPr="00FA7D47">
              <w:rPr>
                <w:rFonts w:cstheme="minorBidi"/>
                <w:sz w:val="22"/>
                <w:szCs w:val="22"/>
              </w:rPr>
              <w:t>8</w:t>
            </w:r>
          </w:p>
        </w:tc>
        <w:tc>
          <w:tcPr>
            <w:tcW w:w="960" w:type="dxa"/>
            <w:vAlign w:val="center"/>
          </w:tcPr>
          <w:p w14:paraId="11658E32"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w:t>
            </w:r>
          </w:p>
        </w:tc>
        <w:tc>
          <w:tcPr>
            <w:tcW w:w="954" w:type="dxa"/>
            <w:vAlign w:val="center"/>
          </w:tcPr>
          <w:p w14:paraId="000CC360" w14:textId="32313758"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31.</w:t>
            </w:r>
            <w:r w:rsidR="00DA716F" w:rsidRPr="00FA7D47">
              <w:rPr>
                <w:rFonts w:cstheme="minorBidi"/>
                <w:sz w:val="22"/>
                <w:szCs w:val="22"/>
              </w:rPr>
              <w:t>3</w:t>
            </w:r>
          </w:p>
        </w:tc>
        <w:tc>
          <w:tcPr>
            <w:tcW w:w="960" w:type="dxa"/>
            <w:vAlign w:val="center"/>
          </w:tcPr>
          <w:p w14:paraId="04AFD7A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16</w:t>
            </w:r>
          </w:p>
        </w:tc>
        <w:tc>
          <w:tcPr>
            <w:tcW w:w="1270" w:type="dxa"/>
            <w:vAlign w:val="center"/>
          </w:tcPr>
          <w:p w14:paraId="68EFCCDF" w14:textId="2524EC75"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13.1</w:t>
            </w:r>
          </w:p>
        </w:tc>
      </w:tr>
      <w:tr w:rsidR="0055220B" w:rsidRPr="00FA7D47" w14:paraId="62966ADA"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7DD233F7"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C</w:t>
            </w:r>
          </w:p>
        </w:tc>
        <w:tc>
          <w:tcPr>
            <w:tcW w:w="850" w:type="dxa"/>
            <w:vAlign w:val="center"/>
          </w:tcPr>
          <w:p w14:paraId="04207CC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39</w:t>
            </w:r>
          </w:p>
        </w:tc>
        <w:tc>
          <w:tcPr>
            <w:tcW w:w="817" w:type="dxa"/>
            <w:vAlign w:val="center"/>
          </w:tcPr>
          <w:p w14:paraId="6D5F7D16" w14:textId="149014E8"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43.3</w:t>
            </w:r>
          </w:p>
        </w:tc>
        <w:tc>
          <w:tcPr>
            <w:tcW w:w="960" w:type="dxa"/>
            <w:vAlign w:val="center"/>
          </w:tcPr>
          <w:p w14:paraId="034EA7F0"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51</w:t>
            </w:r>
          </w:p>
        </w:tc>
        <w:tc>
          <w:tcPr>
            <w:tcW w:w="954" w:type="dxa"/>
            <w:vAlign w:val="center"/>
          </w:tcPr>
          <w:p w14:paraId="7B8D47E0" w14:textId="767EB7EF"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56.</w:t>
            </w:r>
            <w:r w:rsidR="00DA716F" w:rsidRPr="00FA7D47">
              <w:rPr>
                <w:rFonts w:cstheme="minorBidi"/>
                <w:sz w:val="22"/>
                <w:szCs w:val="22"/>
              </w:rPr>
              <w:t>7</w:t>
            </w:r>
          </w:p>
        </w:tc>
        <w:tc>
          <w:tcPr>
            <w:tcW w:w="960" w:type="dxa"/>
            <w:vAlign w:val="center"/>
          </w:tcPr>
          <w:p w14:paraId="760B443A"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90</w:t>
            </w:r>
          </w:p>
        </w:tc>
        <w:tc>
          <w:tcPr>
            <w:tcW w:w="1270" w:type="dxa"/>
            <w:vAlign w:val="center"/>
          </w:tcPr>
          <w:p w14:paraId="29454C8C" w14:textId="766339BE"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73.</w:t>
            </w:r>
            <w:r w:rsidR="00DA716F" w:rsidRPr="00FA7D47">
              <w:rPr>
                <w:rFonts w:cstheme="minorBidi"/>
                <w:sz w:val="22"/>
                <w:szCs w:val="22"/>
              </w:rPr>
              <w:t>8</w:t>
            </w:r>
          </w:p>
        </w:tc>
      </w:tr>
      <w:tr w:rsidR="0055220B" w:rsidRPr="00FA7D47" w14:paraId="4CABA8C4"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3F8E1EC9"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D</w:t>
            </w:r>
          </w:p>
        </w:tc>
        <w:tc>
          <w:tcPr>
            <w:tcW w:w="850" w:type="dxa"/>
            <w:vAlign w:val="center"/>
          </w:tcPr>
          <w:p w14:paraId="4A3FECF2"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6</w:t>
            </w:r>
          </w:p>
        </w:tc>
        <w:tc>
          <w:tcPr>
            <w:tcW w:w="817" w:type="dxa"/>
            <w:vAlign w:val="center"/>
          </w:tcPr>
          <w:p w14:paraId="1171D749"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37.5</w:t>
            </w:r>
          </w:p>
        </w:tc>
        <w:tc>
          <w:tcPr>
            <w:tcW w:w="960" w:type="dxa"/>
            <w:vAlign w:val="center"/>
          </w:tcPr>
          <w:p w14:paraId="575CB70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10</w:t>
            </w:r>
          </w:p>
        </w:tc>
        <w:tc>
          <w:tcPr>
            <w:tcW w:w="954" w:type="dxa"/>
            <w:vAlign w:val="center"/>
          </w:tcPr>
          <w:p w14:paraId="1AE75C05" w14:textId="57AB19D8"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62.5</w:t>
            </w:r>
          </w:p>
        </w:tc>
        <w:tc>
          <w:tcPr>
            <w:tcW w:w="960" w:type="dxa"/>
            <w:vAlign w:val="center"/>
          </w:tcPr>
          <w:p w14:paraId="38C1EDAE"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16</w:t>
            </w:r>
          </w:p>
        </w:tc>
        <w:tc>
          <w:tcPr>
            <w:tcW w:w="1270" w:type="dxa"/>
            <w:vAlign w:val="center"/>
          </w:tcPr>
          <w:p w14:paraId="02C7F917" w14:textId="5A0B5BFE"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13.1</w:t>
            </w:r>
          </w:p>
        </w:tc>
      </w:tr>
      <w:tr w:rsidR="009F4765" w:rsidRPr="00FA7D47" w14:paraId="6DD5C802" w14:textId="77777777" w:rsidTr="0095549A">
        <w:trPr>
          <w:trHeight w:val="288"/>
        </w:trPr>
        <w:tc>
          <w:tcPr>
            <w:cnfStyle w:val="001000000000" w:firstRow="0" w:lastRow="0" w:firstColumn="1" w:lastColumn="0" w:oddVBand="0" w:evenVBand="0" w:oddHBand="0" w:evenHBand="0" w:firstRowFirstColumn="0" w:firstRowLastColumn="0" w:lastRowFirstColumn="0" w:lastRowLastColumn="0"/>
            <w:tcW w:w="9214" w:type="dxa"/>
            <w:gridSpan w:val="7"/>
            <w:hideMark/>
          </w:tcPr>
          <w:p w14:paraId="09932A98" w14:textId="1BCB241C" w:rsidR="009F4765" w:rsidRPr="009819CE" w:rsidRDefault="009F4765" w:rsidP="009F4765">
            <w:pPr>
              <w:jc w:val="center"/>
              <w:rPr>
                <w:rFonts w:cstheme="minorBidi"/>
                <w:color w:val="000000"/>
                <w:sz w:val="22"/>
                <w:szCs w:val="22"/>
              </w:rPr>
            </w:pPr>
            <w:r w:rsidRPr="009819CE">
              <w:rPr>
                <w:rFonts w:cstheme="minorBidi"/>
                <w:color w:val="000000"/>
                <w:sz w:val="22"/>
                <w:szCs w:val="22"/>
              </w:rPr>
              <w:t>Size range</w:t>
            </w:r>
          </w:p>
        </w:tc>
      </w:tr>
      <w:tr w:rsidR="0055220B" w:rsidRPr="00FA7D47" w14:paraId="5A6EEBF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3D66D6CF"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Immature</w:t>
            </w:r>
          </w:p>
        </w:tc>
        <w:tc>
          <w:tcPr>
            <w:tcW w:w="850" w:type="dxa"/>
            <w:vAlign w:val="center"/>
          </w:tcPr>
          <w:p w14:paraId="2D4B9433"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13</w:t>
            </w:r>
          </w:p>
        </w:tc>
        <w:tc>
          <w:tcPr>
            <w:tcW w:w="817" w:type="dxa"/>
            <w:vAlign w:val="center"/>
          </w:tcPr>
          <w:p w14:paraId="47812991"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25</w:t>
            </w:r>
          </w:p>
        </w:tc>
        <w:tc>
          <w:tcPr>
            <w:tcW w:w="960" w:type="dxa"/>
            <w:vAlign w:val="center"/>
          </w:tcPr>
          <w:p w14:paraId="41246CA1"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39</w:t>
            </w:r>
          </w:p>
        </w:tc>
        <w:tc>
          <w:tcPr>
            <w:tcW w:w="954" w:type="dxa"/>
            <w:vAlign w:val="center"/>
          </w:tcPr>
          <w:p w14:paraId="2D6824DF"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75</w:t>
            </w:r>
          </w:p>
        </w:tc>
        <w:tc>
          <w:tcPr>
            <w:tcW w:w="960" w:type="dxa"/>
            <w:vAlign w:val="center"/>
          </w:tcPr>
          <w:p w14:paraId="0F5B4453"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52</w:t>
            </w:r>
          </w:p>
        </w:tc>
        <w:tc>
          <w:tcPr>
            <w:tcW w:w="1270" w:type="dxa"/>
            <w:vAlign w:val="center"/>
          </w:tcPr>
          <w:p w14:paraId="3B58D84E" w14:textId="00D5080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42.6</w:t>
            </w:r>
          </w:p>
        </w:tc>
      </w:tr>
      <w:tr w:rsidR="0055220B" w:rsidRPr="00FA7D47" w14:paraId="4952A979"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3403" w:type="dxa"/>
            <w:vAlign w:val="center"/>
          </w:tcPr>
          <w:p w14:paraId="6C60704C"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Mature</w:t>
            </w:r>
          </w:p>
        </w:tc>
        <w:tc>
          <w:tcPr>
            <w:tcW w:w="850" w:type="dxa"/>
            <w:vAlign w:val="center"/>
          </w:tcPr>
          <w:p w14:paraId="4AC10B92"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43</w:t>
            </w:r>
          </w:p>
        </w:tc>
        <w:tc>
          <w:tcPr>
            <w:tcW w:w="817" w:type="dxa"/>
            <w:vAlign w:val="center"/>
          </w:tcPr>
          <w:p w14:paraId="6AE5B288" w14:textId="07A1A57A"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61.4</w:t>
            </w:r>
          </w:p>
        </w:tc>
        <w:tc>
          <w:tcPr>
            <w:tcW w:w="960" w:type="dxa"/>
            <w:vAlign w:val="center"/>
          </w:tcPr>
          <w:p w14:paraId="08FF0B16"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27</w:t>
            </w:r>
          </w:p>
        </w:tc>
        <w:tc>
          <w:tcPr>
            <w:tcW w:w="954" w:type="dxa"/>
            <w:vAlign w:val="center"/>
          </w:tcPr>
          <w:p w14:paraId="3B591240" w14:textId="5F55DDE3"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38.</w:t>
            </w:r>
            <w:r w:rsidR="00DA716F" w:rsidRPr="00FA7D47">
              <w:rPr>
                <w:rFonts w:cstheme="minorBidi"/>
                <w:sz w:val="22"/>
                <w:szCs w:val="22"/>
              </w:rPr>
              <w:t>6</w:t>
            </w:r>
          </w:p>
        </w:tc>
        <w:tc>
          <w:tcPr>
            <w:tcW w:w="960" w:type="dxa"/>
            <w:vAlign w:val="center"/>
          </w:tcPr>
          <w:p w14:paraId="631DF11F"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70</w:t>
            </w:r>
          </w:p>
        </w:tc>
        <w:tc>
          <w:tcPr>
            <w:tcW w:w="1270" w:type="dxa"/>
            <w:vAlign w:val="center"/>
          </w:tcPr>
          <w:p w14:paraId="0EB8243B" w14:textId="7C2E2504"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57.</w:t>
            </w:r>
            <w:r w:rsidR="00DA716F" w:rsidRPr="00FA7D47">
              <w:rPr>
                <w:rFonts w:cstheme="minorBidi"/>
                <w:sz w:val="22"/>
                <w:szCs w:val="22"/>
              </w:rPr>
              <w:t>4</w:t>
            </w:r>
          </w:p>
        </w:tc>
      </w:tr>
      <w:tr w:rsidR="0055220B" w:rsidRPr="00FA7D47" w14:paraId="1526049C"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3" w:type="dxa"/>
            <w:vAlign w:val="center"/>
            <w:hideMark/>
          </w:tcPr>
          <w:p w14:paraId="033C7016"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S (22.6-25mm)</w:t>
            </w:r>
          </w:p>
        </w:tc>
        <w:tc>
          <w:tcPr>
            <w:tcW w:w="850" w:type="dxa"/>
            <w:vAlign w:val="center"/>
            <w:hideMark/>
          </w:tcPr>
          <w:p w14:paraId="40A4A96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8</w:t>
            </w:r>
          </w:p>
        </w:tc>
        <w:tc>
          <w:tcPr>
            <w:tcW w:w="817" w:type="dxa"/>
            <w:vAlign w:val="center"/>
          </w:tcPr>
          <w:p w14:paraId="08038ABF" w14:textId="114F00FE"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88.</w:t>
            </w:r>
            <w:r w:rsidR="00DA716F" w:rsidRPr="00FA7D47">
              <w:rPr>
                <w:rFonts w:cstheme="minorBidi"/>
                <w:sz w:val="22"/>
                <w:szCs w:val="22"/>
              </w:rPr>
              <w:t>9</w:t>
            </w:r>
          </w:p>
        </w:tc>
        <w:tc>
          <w:tcPr>
            <w:tcW w:w="960" w:type="dxa"/>
            <w:vAlign w:val="center"/>
            <w:hideMark/>
          </w:tcPr>
          <w:p w14:paraId="0AEE7FF5"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w:t>
            </w:r>
          </w:p>
        </w:tc>
        <w:tc>
          <w:tcPr>
            <w:tcW w:w="954" w:type="dxa"/>
            <w:vAlign w:val="center"/>
          </w:tcPr>
          <w:p w14:paraId="7AAF80D0" w14:textId="1EE5D18A"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11.1</w:t>
            </w:r>
          </w:p>
        </w:tc>
        <w:tc>
          <w:tcPr>
            <w:tcW w:w="960" w:type="dxa"/>
            <w:vAlign w:val="center"/>
            <w:hideMark/>
          </w:tcPr>
          <w:p w14:paraId="39EDAF36"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9</w:t>
            </w:r>
          </w:p>
        </w:tc>
        <w:tc>
          <w:tcPr>
            <w:tcW w:w="1270" w:type="dxa"/>
            <w:vAlign w:val="center"/>
            <w:hideMark/>
          </w:tcPr>
          <w:p w14:paraId="6E678A00" w14:textId="71A456A0"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7.</w:t>
            </w:r>
            <w:r w:rsidR="00DA716F" w:rsidRPr="00FA7D47">
              <w:rPr>
                <w:rFonts w:cstheme="minorBidi"/>
                <w:sz w:val="22"/>
                <w:szCs w:val="22"/>
              </w:rPr>
              <w:t>4</w:t>
            </w:r>
          </w:p>
        </w:tc>
      </w:tr>
      <w:tr w:rsidR="0055220B" w:rsidRPr="00FA7D47" w14:paraId="180CF22B" w14:textId="77777777" w:rsidTr="007D6607">
        <w:trPr>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hideMark/>
          </w:tcPr>
          <w:p w14:paraId="6E8B89A5"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M (25-30mm)</w:t>
            </w:r>
          </w:p>
        </w:tc>
        <w:tc>
          <w:tcPr>
            <w:tcW w:w="850" w:type="dxa"/>
            <w:vAlign w:val="center"/>
            <w:hideMark/>
          </w:tcPr>
          <w:p w14:paraId="7A2C68E3"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42</w:t>
            </w:r>
          </w:p>
        </w:tc>
        <w:tc>
          <w:tcPr>
            <w:tcW w:w="817" w:type="dxa"/>
            <w:vAlign w:val="center"/>
          </w:tcPr>
          <w:p w14:paraId="14C0C6AD" w14:textId="489C1A81"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46.</w:t>
            </w:r>
            <w:r w:rsidR="00DA716F" w:rsidRPr="00FA7D47">
              <w:rPr>
                <w:rFonts w:cstheme="minorBidi"/>
                <w:sz w:val="22"/>
                <w:szCs w:val="22"/>
              </w:rPr>
              <w:t>2</w:t>
            </w:r>
          </w:p>
        </w:tc>
        <w:tc>
          <w:tcPr>
            <w:tcW w:w="960" w:type="dxa"/>
            <w:vAlign w:val="center"/>
            <w:hideMark/>
          </w:tcPr>
          <w:p w14:paraId="42929837"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49</w:t>
            </w:r>
          </w:p>
        </w:tc>
        <w:tc>
          <w:tcPr>
            <w:tcW w:w="954" w:type="dxa"/>
            <w:vAlign w:val="center"/>
          </w:tcPr>
          <w:p w14:paraId="0CE646C2" w14:textId="27B1B3BC"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53.</w:t>
            </w:r>
            <w:r w:rsidR="00DA716F" w:rsidRPr="00FA7D47">
              <w:rPr>
                <w:rFonts w:cstheme="minorBidi"/>
                <w:sz w:val="22"/>
                <w:szCs w:val="22"/>
              </w:rPr>
              <w:t>9</w:t>
            </w:r>
          </w:p>
        </w:tc>
        <w:tc>
          <w:tcPr>
            <w:tcW w:w="960" w:type="dxa"/>
            <w:vAlign w:val="center"/>
            <w:hideMark/>
          </w:tcPr>
          <w:p w14:paraId="79352C9B" w14:textId="77777777"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91</w:t>
            </w:r>
          </w:p>
        </w:tc>
        <w:tc>
          <w:tcPr>
            <w:tcW w:w="1270" w:type="dxa"/>
            <w:vAlign w:val="center"/>
            <w:hideMark/>
          </w:tcPr>
          <w:p w14:paraId="07FD35FD" w14:textId="67490A36" w:rsidR="0055220B" w:rsidRPr="009819CE" w:rsidRDefault="0055220B" w:rsidP="007D6607">
            <w:pPr>
              <w:jc w:val="center"/>
              <w:cnfStyle w:val="000000000000" w:firstRow="0" w:lastRow="0" w:firstColumn="0" w:lastColumn="0" w:oddVBand="0" w:evenVBand="0" w:oddHBand="0" w:evenHBand="0" w:firstRowFirstColumn="0" w:firstRowLastColumn="0" w:lastRowFirstColumn="0" w:lastRowLastColumn="0"/>
              <w:rPr>
                <w:rFonts w:cstheme="minorBidi"/>
                <w:color w:val="000000"/>
                <w:sz w:val="22"/>
                <w:szCs w:val="22"/>
              </w:rPr>
            </w:pPr>
            <w:r w:rsidRPr="009819CE">
              <w:rPr>
                <w:rFonts w:cstheme="minorBidi"/>
                <w:sz w:val="22"/>
                <w:szCs w:val="22"/>
              </w:rPr>
              <w:t>74.</w:t>
            </w:r>
            <w:r w:rsidR="00DA716F" w:rsidRPr="00FA7D47">
              <w:rPr>
                <w:rFonts w:cstheme="minorBidi"/>
                <w:sz w:val="22"/>
                <w:szCs w:val="22"/>
              </w:rPr>
              <w:t>6</w:t>
            </w:r>
          </w:p>
        </w:tc>
      </w:tr>
      <w:tr w:rsidR="0055220B" w:rsidRPr="00FA7D47" w14:paraId="56FE2350" w14:textId="77777777" w:rsidTr="007D660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3" w:type="dxa"/>
            <w:vAlign w:val="center"/>
            <w:hideMark/>
          </w:tcPr>
          <w:p w14:paraId="43B32B7F" w14:textId="77777777" w:rsidR="0055220B" w:rsidRPr="009819CE" w:rsidRDefault="0055220B" w:rsidP="007D6607">
            <w:pPr>
              <w:ind w:firstLineChars="100" w:firstLine="220"/>
              <w:rPr>
                <w:rFonts w:cstheme="minorBidi"/>
                <w:b w:val="0"/>
                <w:bCs w:val="0"/>
                <w:color w:val="000000"/>
                <w:sz w:val="22"/>
                <w:szCs w:val="22"/>
              </w:rPr>
            </w:pPr>
            <w:r w:rsidRPr="009819CE">
              <w:rPr>
                <w:rFonts w:cstheme="minorBidi"/>
                <w:b w:val="0"/>
                <w:bCs w:val="0"/>
                <w:sz w:val="22"/>
                <w:szCs w:val="22"/>
              </w:rPr>
              <w:t>L (30-38.90mm)</w:t>
            </w:r>
          </w:p>
        </w:tc>
        <w:tc>
          <w:tcPr>
            <w:tcW w:w="850" w:type="dxa"/>
            <w:vAlign w:val="center"/>
            <w:hideMark/>
          </w:tcPr>
          <w:p w14:paraId="4B9872BD"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6</w:t>
            </w:r>
          </w:p>
        </w:tc>
        <w:tc>
          <w:tcPr>
            <w:tcW w:w="817" w:type="dxa"/>
            <w:vAlign w:val="center"/>
          </w:tcPr>
          <w:p w14:paraId="3276A111" w14:textId="2F43D009"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27.</w:t>
            </w:r>
            <w:r w:rsidR="00DA716F" w:rsidRPr="00FA7D47">
              <w:rPr>
                <w:rFonts w:cstheme="minorBidi"/>
                <w:sz w:val="22"/>
                <w:szCs w:val="22"/>
              </w:rPr>
              <w:t>3</w:t>
            </w:r>
          </w:p>
        </w:tc>
        <w:tc>
          <w:tcPr>
            <w:tcW w:w="960" w:type="dxa"/>
            <w:vAlign w:val="center"/>
            <w:hideMark/>
          </w:tcPr>
          <w:p w14:paraId="0C0DCBF1"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16</w:t>
            </w:r>
          </w:p>
        </w:tc>
        <w:tc>
          <w:tcPr>
            <w:tcW w:w="954" w:type="dxa"/>
            <w:vAlign w:val="center"/>
          </w:tcPr>
          <w:p w14:paraId="085589F6" w14:textId="5790AFB3"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72.7</w:t>
            </w:r>
          </w:p>
        </w:tc>
        <w:tc>
          <w:tcPr>
            <w:tcW w:w="960" w:type="dxa"/>
            <w:vAlign w:val="center"/>
            <w:hideMark/>
          </w:tcPr>
          <w:p w14:paraId="549A58B0" w14:textId="77777777"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22</w:t>
            </w:r>
          </w:p>
        </w:tc>
        <w:tc>
          <w:tcPr>
            <w:tcW w:w="1270" w:type="dxa"/>
            <w:vAlign w:val="center"/>
            <w:hideMark/>
          </w:tcPr>
          <w:p w14:paraId="40494C3A" w14:textId="64B15C56" w:rsidR="0055220B" w:rsidRPr="009819CE" w:rsidRDefault="0055220B" w:rsidP="007D6607">
            <w:pPr>
              <w:jc w:val="center"/>
              <w:cnfStyle w:val="000000100000" w:firstRow="0" w:lastRow="0" w:firstColumn="0" w:lastColumn="0" w:oddVBand="0" w:evenVBand="0" w:oddHBand="1" w:evenHBand="0" w:firstRowFirstColumn="0" w:firstRowLastColumn="0" w:lastRowFirstColumn="0" w:lastRowLastColumn="0"/>
              <w:rPr>
                <w:rFonts w:cstheme="minorBidi"/>
                <w:color w:val="000000"/>
                <w:sz w:val="22"/>
                <w:szCs w:val="22"/>
              </w:rPr>
            </w:pPr>
            <w:r w:rsidRPr="009819CE">
              <w:rPr>
                <w:rFonts w:cstheme="minorBidi"/>
                <w:sz w:val="22"/>
                <w:szCs w:val="22"/>
              </w:rPr>
              <w:t>18.0</w:t>
            </w:r>
          </w:p>
        </w:tc>
      </w:tr>
    </w:tbl>
    <w:p w14:paraId="6E9D9086" w14:textId="77777777" w:rsidR="0055220B" w:rsidRPr="009819CE" w:rsidRDefault="0055220B" w:rsidP="0055220B">
      <w:pPr>
        <w:pStyle w:val="Caption"/>
        <w:rPr>
          <w:rFonts w:asciiTheme="minorBidi" w:hAnsiTheme="minorBidi" w:cstheme="minorBidi"/>
        </w:rPr>
      </w:pPr>
    </w:p>
    <w:p w14:paraId="6141AE69" w14:textId="77777777" w:rsidR="0055220B" w:rsidRPr="009819CE" w:rsidRDefault="0055220B" w:rsidP="0055220B">
      <w:pPr>
        <w:tabs>
          <w:tab w:val="left" w:pos="1620"/>
        </w:tabs>
        <w:ind w:right="180"/>
        <w:rPr>
          <w:rFonts w:cstheme="minorBidi"/>
          <w:color w:val="000000" w:themeColor="text1"/>
        </w:rPr>
      </w:pPr>
    </w:p>
    <w:p w14:paraId="2D87118E" w14:textId="77777777" w:rsidR="007148E3" w:rsidRPr="009819CE" w:rsidRDefault="007148E3" w:rsidP="0055220B">
      <w:pPr>
        <w:tabs>
          <w:tab w:val="left" w:pos="1620"/>
        </w:tabs>
        <w:ind w:right="180"/>
        <w:rPr>
          <w:rFonts w:cstheme="minorBidi"/>
          <w:color w:val="000000" w:themeColor="text1"/>
        </w:rPr>
        <w:sectPr w:rsidR="007148E3" w:rsidRPr="009819CE" w:rsidSect="003A7A28">
          <w:pgSz w:w="12240" w:h="15840"/>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55220B" w:rsidRPr="00FA7D47" w14:paraId="52F45014" w14:textId="77777777" w:rsidTr="007E6468">
        <w:trPr>
          <w:trHeight w:val="417"/>
        </w:trPr>
        <w:tc>
          <w:tcPr>
            <w:tcW w:w="5000" w:type="pct"/>
            <w:vAlign w:val="center"/>
          </w:tcPr>
          <w:p w14:paraId="7745FC7D" w14:textId="3FABFFCF" w:rsidR="0055220B" w:rsidRPr="007268F5" w:rsidRDefault="00FB4204" w:rsidP="007268F5">
            <w:pPr>
              <w:spacing w:before="0" w:after="0" w:line="240" w:lineRule="auto"/>
              <w:jc w:val="center"/>
              <w:rPr>
                <w:rFonts w:ascii="Times New Roman" w:hAnsi="Times New Roman"/>
                <w:lang w:val="en-GB"/>
              </w:rPr>
            </w:pPr>
            <w:r w:rsidRPr="00FF34FE">
              <w:rPr>
                <w:rFonts w:ascii="Times New Roman" w:hAnsi="Times New Roman"/>
                <w:noProof/>
              </w:rPr>
              <w:drawing>
                <wp:inline distT="0" distB="0" distL="0" distR="0" wp14:anchorId="4DB59DAC" wp14:editId="4BBFA336">
                  <wp:extent cx="6484879" cy="7161291"/>
                  <wp:effectExtent l="0" t="0" r="0" b="1905"/>
                  <wp:docPr id="17276638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63869" name="Picture 5"/>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53" r="1319" b="22811"/>
                          <a:stretch>
                            <a:fillRect/>
                          </a:stretch>
                        </pic:blipFill>
                        <pic:spPr bwMode="auto">
                          <a:xfrm>
                            <a:off x="0" y="0"/>
                            <a:ext cx="6515208" cy="719478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220B" w:rsidRPr="00FA7D47" w14:paraId="7CB76DC9" w14:textId="77777777" w:rsidTr="005E2C45">
        <w:tc>
          <w:tcPr>
            <w:tcW w:w="5000" w:type="pct"/>
          </w:tcPr>
          <w:p w14:paraId="01B0F519" w14:textId="3D146787" w:rsidR="0055220B" w:rsidRPr="009819CE" w:rsidRDefault="0055220B" w:rsidP="007D6607">
            <w:pPr>
              <w:pStyle w:val="Caption"/>
              <w:rPr>
                <w:rFonts w:asciiTheme="minorBidi" w:hAnsiTheme="minorBidi" w:cstheme="minorBidi"/>
                <w:lang w:val="en-GB"/>
              </w:rPr>
            </w:pPr>
            <w:bookmarkStart w:id="278" w:name="_Ref142492876"/>
            <w:bookmarkStart w:id="279" w:name="_Toc204106727"/>
            <w:r w:rsidRPr="009819CE">
              <w:rPr>
                <w:rFonts w:asciiTheme="minorBidi" w:hAnsiTheme="minorBidi" w:cstheme="minorBidi"/>
                <w:b/>
                <w:lang w:val="en-GB"/>
              </w:rPr>
              <w:t xml:space="preserve">Figure </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STYLEREF 1 \s </w:instrText>
            </w:r>
            <w:r w:rsidRPr="007268F5">
              <w:rPr>
                <w:rFonts w:asciiTheme="minorBidi" w:hAnsiTheme="minorBidi" w:cstheme="minorBidi"/>
                <w:b/>
              </w:rPr>
              <w:fldChar w:fldCharType="separate"/>
            </w:r>
            <w:r w:rsidR="008549FC">
              <w:rPr>
                <w:rFonts w:asciiTheme="minorBidi" w:hAnsiTheme="minorBidi" w:cstheme="minorBidi"/>
                <w:b/>
                <w:noProof/>
                <w:lang w:val="en-GB"/>
              </w:rPr>
              <w:t>3</w:t>
            </w:r>
            <w:r w:rsidRPr="007268F5">
              <w:rPr>
                <w:rFonts w:asciiTheme="minorBidi" w:hAnsiTheme="minorBidi" w:cstheme="minorBidi"/>
                <w:b/>
              </w:rPr>
              <w:fldChar w:fldCharType="end"/>
            </w:r>
            <w:r w:rsidRPr="009819CE">
              <w:rPr>
                <w:rFonts w:asciiTheme="minorBidi" w:hAnsiTheme="minorBidi" w:cstheme="minorBidi"/>
                <w:b/>
                <w:lang w:val="en-GB"/>
              </w:rPr>
              <w:t>.</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SEQ Figure \* ARABIC \s 1 </w:instrText>
            </w:r>
            <w:r w:rsidRPr="007268F5">
              <w:rPr>
                <w:rFonts w:asciiTheme="minorBidi" w:hAnsiTheme="minorBidi" w:cstheme="minorBidi"/>
                <w:b/>
              </w:rPr>
              <w:fldChar w:fldCharType="separate"/>
            </w:r>
            <w:r w:rsidR="008549FC">
              <w:rPr>
                <w:rFonts w:asciiTheme="minorBidi" w:hAnsiTheme="minorBidi" w:cstheme="minorBidi"/>
                <w:b/>
                <w:noProof/>
                <w:lang w:val="en-GB"/>
              </w:rPr>
              <w:t>3</w:t>
            </w:r>
            <w:r w:rsidRPr="007268F5">
              <w:rPr>
                <w:rFonts w:asciiTheme="minorBidi" w:hAnsiTheme="minorBidi" w:cstheme="minorBidi"/>
                <w:b/>
              </w:rPr>
              <w:fldChar w:fldCharType="end"/>
            </w:r>
            <w:bookmarkEnd w:id="278"/>
            <w:r w:rsidRPr="009819CE">
              <w:rPr>
                <w:rFonts w:asciiTheme="minorBidi" w:hAnsiTheme="minorBidi" w:cstheme="minorBidi"/>
                <w:lang w:val="en-GB"/>
              </w:rPr>
              <w:t xml:space="preserve"> </w:t>
            </w:r>
            <w:r w:rsidR="008A6129" w:rsidRPr="009819CE">
              <w:rPr>
                <w:sz w:val="20"/>
                <w:szCs w:val="20"/>
              </w:rPr>
              <w:t xml:space="preserve">Progression of </w:t>
            </w:r>
            <w:r w:rsidR="008A6129" w:rsidRPr="009819CE">
              <w:rPr>
                <w:rStyle w:val="Emphasis"/>
                <w:sz w:val="20"/>
                <w:szCs w:val="20"/>
              </w:rPr>
              <w:t>Hematodinium</w:t>
            </w:r>
            <w:r w:rsidR="008A6129" w:rsidRPr="009819CE">
              <w:rPr>
                <w:sz w:val="20"/>
                <w:szCs w:val="20"/>
              </w:rPr>
              <w:t xml:space="preserve"> sp. infection in the gills of </w:t>
            </w:r>
            <w:r w:rsidR="008A6129" w:rsidRPr="009819CE">
              <w:rPr>
                <w:rStyle w:val="Emphasis"/>
                <w:sz w:val="20"/>
                <w:szCs w:val="20"/>
              </w:rPr>
              <w:t>N</w:t>
            </w:r>
            <w:r w:rsidR="008A6129" w:rsidRPr="009819CE">
              <w:rPr>
                <w:rStyle w:val="Emphasis"/>
                <w:rFonts w:eastAsiaTheme="majorEastAsia"/>
                <w:sz w:val="20"/>
                <w:szCs w:val="20"/>
              </w:rPr>
              <w:t>.</w:t>
            </w:r>
            <w:r w:rsidR="008A6129" w:rsidRPr="009819CE">
              <w:rPr>
                <w:rStyle w:val="Emphasis"/>
                <w:rFonts w:eastAsiaTheme="majorEastAsia"/>
              </w:rPr>
              <w:t xml:space="preserve"> </w:t>
            </w:r>
            <w:r w:rsidR="008A6129" w:rsidRPr="009819CE">
              <w:rPr>
                <w:rStyle w:val="Emphasis"/>
                <w:sz w:val="20"/>
                <w:szCs w:val="20"/>
              </w:rPr>
              <w:t>norvegicus</w:t>
            </w:r>
            <w:r w:rsidR="008A6129" w:rsidRPr="009819CE">
              <w:rPr>
                <w:sz w:val="20"/>
                <w:szCs w:val="20"/>
              </w:rPr>
              <w:t>, shown across infection stages 0 to 4 (</w:t>
            </w:r>
            <w:r w:rsidR="008A6129" w:rsidRPr="009819CE">
              <w:rPr>
                <w:b/>
                <w:bCs/>
                <w:sz w:val="20"/>
                <w:szCs w:val="20"/>
              </w:rPr>
              <w:t>A</w:t>
            </w:r>
            <w:r w:rsidR="008A6129" w:rsidRPr="009819CE">
              <w:rPr>
                <w:rFonts w:hint="eastAsia"/>
                <w:b/>
                <w:bCs/>
                <w:sz w:val="20"/>
                <w:szCs w:val="20"/>
              </w:rPr>
              <w:t>–</w:t>
            </w:r>
            <w:r w:rsidR="008A6129" w:rsidRPr="009819CE">
              <w:rPr>
                <w:b/>
                <w:bCs/>
                <w:sz w:val="20"/>
                <w:szCs w:val="20"/>
              </w:rPr>
              <w:t>E</w:t>
            </w:r>
            <w:r w:rsidR="008A6129" w:rsidRPr="009819CE">
              <w:rPr>
                <w:sz w:val="20"/>
                <w:szCs w:val="20"/>
              </w:rPr>
              <w:t xml:space="preserve">), based on the pleopod method (PM). </w:t>
            </w:r>
            <w:r w:rsidR="008A6129" w:rsidRPr="009819CE">
              <w:rPr>
                <w:rStyle w:val="Strong"/>
                <w:sz w:val="20"/>
                <w:szCs w:val="20"/>
              </w:rPr>
              <w:t>F</w:t>
            </w:r>
            <w:r w:rsidR="008A6129" w:rsidRPr="009819CE">
              <w:rPr>
                <w:rStyle w:val="Strong"/>
                <w:b w:val="0"/>
                <w:bCs w:val="0"/>
                <w:sz w:val="20"/>
                <w:szCs w:val="20"/>
              </w:rPr>
              <w:t>)</w:t>
            </w:r>
            <w:r w:rsidR="008A6129" w:rsidRPr="009819CE">
              <w:rPr>
                <w:sz w:val="20"/>
                <w:szCs w:val="20"/>
              </w:rPr>
              <w:t xml:space="preserve"> High-magnification image of the gills</w:t>
            </w:r>
            <w:r w:rsidR="007900F2">
              <w:rPr>
                <w:sz w:val="20"/>
                <w:szCs w:val="20"/>
              </w:rPr>
              <w:t xml:space="preserve"> </w:t>
            </w:r>
            <w:r w:rsidR="008A6129" w:rsidRPr="009819CE">
              <w:rPr>
                <w:sz w:val="20"/>
                <w:szCs w:val="20"/>
              </w:rPr>
              <w:t xml:space="preserve">at stage 1 of infection (PM). Haemocytes (red arrows), mononucleated </w:t>
            </w:r>
            <w:r w:rsidR="008A6129" w:rsidRPr="009819CE">
              <w:rPr>
                <w:rStyle w:val="Emphasis"/>
                <w:sz w:val="20"/>
                <w:szCs w:val="20"/>
              </w:rPr>
              <w:t>Hematodinium</w:t>
            </w:r>
            <w:r w:rsidR="008A6129" w:rsidRPr="009819CE">
              <w:rPr>
                <w:sz w:val="20"/>
                <w:szCs w:val="20"/>
              </w:rPr>
              <w:t xml:space="preserve"> cells (blue arrow), and multinucleated </w:t>
            </w:r>
            <w:r w:rsidR="008A6129" w:rsidRPr="009819CE">
              <w:rPr>
                <w:rStyle w:val="Emphasis"/>
                <w:sz w:val="20"/>
                <w:szCs w:val="20"/>
              </w:rPr>
              <w:t>Hematodinium</w:t>
            </w:r>
            <w:r w:rsidR="008A6129" w:rsidRPr="009819CE">
              <w:rPr>
                <w:sz w:val="20"/>
                <w:szCs w:val="20"/>
              </w:rPr>
              <w:t xml:space="preserve"> cells (black arrow) are visible. </w:t>
            </w:r>
            <w:r w:rsidR="008A6129" w:rsidRPr="009819CE">
              <w:rPr>
                <w:rStyle w:val="Emphasis"/>
                <w:sz w:val="20"/>
                <w:szCs w:val="20"/>
              </w:rPr>
              <w:t>Note: No evidence of host cellular response or melanisation is observed</w:t>
            </w:r>
            <w:r w:rsidR="008A6129" w:rsidRPr="009819CE">
              <w:rPr>
                <w:rStyle w:val="Emphasis"/>
                <w:rFonts w:eastAsiaTheme="majorEastAsia"/>
                <w:sz w:val="20"/>
                <w:szCs w:val="20"/>
              </w:rPr>
              <w:t>.</w:t>
            </w:r>
            <w:bookmarkEnd w:id="279"/>
          </w:p>
        </w:tc>
      </w:tr>
    </w:tbl>
    <w:p w14:paraId="764CEBD8" w14:textId="77777777" w:rsidR="00312D5B" w:rsidRPr="00FA7D47" w:rsidRDefault="00312D5B">
      <w:pPr>
        <w:sectPr w:rsidR="00312D5B" w:rsidRPr="00FA7D47" w:rsidSect="00312D5B">
          <w:pgSz w:w="11906" w:h="16838" w:code="9"/>
          <w:pgMar w:top="720" w:right="720" w:bottom="720" w:left="72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55220B" w:rsidRPr="00FA7D47" w14:paraId="10658E15" w14:textId="77777777" w:rsidTr="007E6468">
        <w:tc>
          <w:tcPr>
            <w:tcW w:w="5000" w:type="pct"/>
            <w:vAlign w:val="center"/>
          </w:tcPr>
          <w:p w14:paraId="09B21894" w14:textId="6D19A325" w:rsidR="0055220B" w:rsidRPr="009819CE" w:rsidRDefault="00757E3B" w:rsidP="007268F5">
            <w:pPr>
              <w:tabs>
                <w:tab w:val="left" w:pos="1620"/>
              </w:tabs>
              <w:spacing w:before="0" w:after="0"/>
              <w:ind w:right="180"/>
              <w:jc w:val="center"/>
              <w:rPr>
                <w:rFonts w:cstheme="minorBidi"/>
                <w:color w:val="000000" w:themeColor="text1"/>
                <w:lang w:val="en-GB"/>
              </w:rPr>
            </w:pPr>
            <w:r w:rsidRPr="00FF34FE">
              <w:rPr>
                <w:noProof/>
              </w:rPr>
              <w:drawing>
                <wp:inline distT="0" distB="0" distL="0" distR="0" wp14:anchorId="727E78E3" wp14:editId="79824D83">
                  <wp:extent cx="6485207" cy="7472923"/>
                  <wp:effectExtent l="0" t="0" r="0" b="0"/>
                  <wp:docPr id="8835081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b="18503"/>
                          <a:stretch>
                            <a:fillRect/>
                          </a:stretch>
                        </pic:blipFill>
                        <pic:spPr bwMode="auto">
                          <a:xfrm>
                            <a:off x="0" y="0"/>
                            <a:ext cx="6511946" cy="75037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220B" w:rsidRPr="00FA7D47" w14:paraId="140302D9" w14:textId="77777777" w:rsidTr="005E2C45">
        <w:tc>
          <w:tcPr>
            <w:tcW w:w="5000" w:type="pct"/>
          </w:tcPr>
          <w:p w14:paraId="23086478" w14:textId="6C3A78DF" w:rsidR="0055220B" w:rsidRPr="009819CE" w:rsidRDefault="0055220B" w:rsidP="007D6607">
            <w:pPr>
              <w:pStyle w:val="Caption"/>
              <w:rPr>
                <w:rFonts w:asciiTheme="minorBidi" w:hAnsiTheme="minorBidi" w:cstheme="minorBidi"/>
                <w:lang w:val="en-GB"/>
              </w:rPr>
            </w:pPr>
            <w:bookmarkStart w:id="280" w:name="_Toc204106728"/>
            <w:r w:rsidRPr="009819CE">
              <w:rPr>
                <w:rFonts w:asciiTheme="minorBidi" w:hAnsiTheme="minorBidi" w:cstheme="minorBidi"/>
                <w:b/>
                <w:lang w:val="en-GB"/>
              </w:rPr>
              <w:t xml:space="preserve">Figure </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STYLEREF 1 \s </w:instrText>
            </w:r>
            <w:r w:rsidRPr="007268F5">
              <w:rPr>
                <w:rFonts w:asciiTheme="minorBidi" w:hAnsiTheme="minorBidi" w:cstheme="minorBidi"/>
                <w:b/>
              </w:rPr>
              <w:fldChar w:fldCharType="separate"/>
            </w:r>
            <w:r w:rsidR="008549FC">
              <w:rPr>
                <w:rFonts w:asciiTheme="minorBidi" w:hAnsiTheme="minorBidi" w:cstheme="minorBidi"/>
                <w:b/>
                <w:noProof/>
                <w:lang w:val="en-GB"/>
              </w:rPr>
              <w:t>3</w:t>
            </w:r>
            <w:r w:rsidRPr="007268F5">
              <w:rPr>
                <w:rFonts w:asciiTheme="minorBidi" w:hAnsiTheme="minorBidi" w:cstheme="minorBidi"/>
                <w:b/>
              </w:rPr>
              <w:fldChar w:fldCharType="end"/>
            </w:r>
            <w:r w:rsidRPr="009819CE">
              <w:rPr>
                <w:rFonts w:asciiTheme="minorBidi" w:hAnsiTheme="minorBidi" w:cstheme="minorBidi"/>
                <w:b/>
                <w:lang w:val="en-GB"/>
              </w:rPr>
              <w:t>.</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SEQ Figure \* ARABIC \s 1 </w:instrText>
            </w:r>
            <w:r w:rsidRPr="007268F5">
              <w:rPr>
                <w:rFonts w:asciiTheme="minorBidi" w:hAnsiTheme="minorBidi" w:cstheme="minorBidi"/>
                <w:b/>
              </w:rPr>
              <w:fldChar w:fldCharType="separate"/>
            </w:r>
            <w:r w:rsidR="008549FC">
              <w:rPr>
                <w:rFonts w:asciiTheme="minorBidi" w:hAnsiTheme="minorBidi" w:cstheme="minorBidi"/>
                <w:b/>
                <w:noProof/>
                <w:lang w:val="en-GB"/>
              </w:rPr>
              <w:t>4</w:t>
            </w:r>
            <w:r w:rsidRPr="007268F5">
              <w:rPr>
                <w:rFonts w:asciiTheme="minorBidi" w:hAnsiTheme="minorBidi" w:cstheme="minorBidi"/>
                <w:b/>
              </w:rPr>
              <w:fldChar w:fldCharType="end"/>
            </w:r>
            <w:r w:rsidRPr="009819CE">
              <w:rPr>
                <w:rFonts w:asciiTheme="minorBidi" w:hAnsiTheme="minorBidi" w:cstheme="minorBidi"/>
                <w:lang w:val="en-GB"/>
              </w:rPr>
              <w:t xml:space="preserve"> </w:t>
            </w:r>
            <w:r w:rsidR="008A6129" w:rsidRPr="009819CE">
              <w:rPr>
                <w:sz w:val="20"/>
                <w:szCs w:val="20"/>
                <w:lang w:val="en-GB"/>
              </w:rPr>
              <w:t xml:space="preserve">Progression of </w:t>
            </w:r>
            <w:r w:rsidR="008A6129" w:rsidRPr="009819CE">
              <w:rPr>
                <w:rStyle w:val="Emphasis"/>
                <w:sz w:val="20"/>
                <w:szCs w:val="20"/>
                <w:lang w:val="en-GB"/>
              </w:rPr>
              <w:t>Hematodinium</w:t>
            </w:r>
            <w:r w:rsidR="008A6129" w:rsidRPr="009819CE">
              <w:rPr>
                <w:sz w:val="20"/>
                <w:szCs w:val="20"/>
                <w:lang w:val="en-GB"/>
              </w:rPr>
              <w:t xml:space="preserve"> sp. infection in the heart of </w:t>
            </w:r>
            <w:r w:rsidR="008A6129" w:rsidRPr="009819CE">
              <w:rPr>
                <w:rStyle w:val="Emphasis"/>
                <w:sz w:val="20"/>
                <w:szCs w:val="20"/>
                <w:lang w:val="en-GB"/>
              </w:rPr>
              <w:t>N</w:t>
            </w:r>
            <w:r w:rsidR="008A6129" w:rsidRPr="009819CE">
              <w:rPr>
                <w:rStyle w:val="Emphasis"/>
                <w:rFonts w:eastAsiaTheme="majorEastAsia"/>
                <w:sz w:val="20"/>
                <w:szCs w:val="20"/>
                <w:lang w:val="en-GB"/>
              </w:rPr>
              <w:t>.</w:t>
            </w:r>
            <w:r w:rsidR="008A6129" w:rsidRPr="009819CE">
              <w:rPr>
                <w:rStyle w:val="Emphasis"/>
                <w:rFonts w:eastAsiaTheme="majorEastAsia"/>
                <w:lang w:val="en-GB"/>
              </w:rPr>
              <w:t xml:space="preserve"> </w:t>
            </w:r>
            <w:r w:rsidR="008A6129" w:rsidRPr="009819CE">
              <w:rPr>
                <w:rStyle w:val="Emphasis"/>
                <w:sz w:val="20"/>
                <w:szCs w:val="20"/>
                <w:lang w:val="en-GB"/>
              </w:rPr>
              <w:t>norvegicus</w:t>
            </w:r>
            <w:r w:rsidR="008A6129" w:rsidRPr="009819CE">
              <w:rPr>
                <w:sz w:val="20"/>
                <w:szCs w:val="20"/>
                <w:lang w:val="en-GB"/>
              </w:rPr>
              <w:t>, shown across infection stages 0 to 4 (</w:t>
            </w:r>
            <w:r w:rsidR="008A6129" w:rsidRPr="009819CE">
              <w:rPr>
                <w:b/>
                <w:bCs/>
                <w:sz w:val="20"/>
                <w:szCs w:val="20"/>
                <w:lang w:val="en-GB"/>
              </w:rPr>
              <w:t>A</w:t>
            </w:r>
            <w:r w:rsidR="008A6129" w:rsidRPr="009819CE">
              <w:rPr>
                <w:rFonts w:hint="eastAsia"/>
                <w:b/>
                <w:bCs/>
                <w:sz w:val="20"/>
                <w:szCs w:val="20"/>
                <w:lang w:val="en-GB"/>
              </w:rPr>
              <w:t>–</w:t>
            </w:r>
            <w:r w:rsidR="008A6129" w:rsidRPr="009819CE">
              <w:rPr>
                <w:b/>
                <w:bCs/>
                <w:sz w:val="20"/>
                <w:szCs w:val="20"/>
                <w:lang w:val="en-GB"/>
              </w:rPr>
              <w:t>E</w:t>
            </w:r>
            <w:r w:rsidR="008A6129" w:rsidRPr="009819CE">
              <w:rPr>
                <w:sz w:val="20"/>
                <w:szCs w:val="20"/>
                <w:lang w:val="en-GB"/>
              </w:rPr>
              <w:t xml:space="preserve">), based on the pleopod method (PM). </w:t>
            </w:r>
            <w:r w:rsidR="008A6129" w:rsidRPr="009819CE">
              <w:rPr>
                <w:rStyle w:val="Strong"/>
                <w:sz w:val="20"/>
                <w:szCs w:val="20"/>
                <w:lang w:val="en-GB"/>
              </w:rPr>
              <w:t>F</w:t>
            </w:r>
            <w:r w:rsidR="008A6129" w:rsidRPr="009819CE">
              <w:rPr>
                <w:rStyle w:val="Strong"/>
                <w:b w:val="0"/>
                <w:bCs w:val="0"/>
                <w:sz w:val="20"/>
                <w:szCs w:val="20"/>
                <w:lang w:val="en-GB"/>
              </w:rPr>
              <w:t>)</w:t>
            </w:r>
            <w:r w:rsidR="008A6129" w:rsidRPr="009819CE">
              <w:rPr>
                <w:sz w:val="20"/>
                <w:szCs w:val="20"/>
                <w:lang w:val="en-GB"/>
              </w:rPr>
              <w:t xml:space="preserve"> High-magnification image of the heart at stage 2 of infection (PM). Haemocytes (red arrows), mononucleated </w:t>
            </w:r>
            <w:r w:rsidR="008A6129" w:rsidRPr="009819CE">
              <w:rPr>
                <w:rStyle w:val="Emphasis"/>
                <w:sz w:val="20"/>
                <w:szCs w:val="20"/>
                <w:lang w:val="en-GB"/>
              </w:rPr>
              <w:t>Hematodinium</w:t>
            </w:r>
            <w:r w:rsidR="008A6129" w:rsidRPr="009819CE">
              <w:rPr>
                <w:sz w:val="20"/>
                <w:szCs w:val="20"/>
                <w:lang w:val="en-GB"/>
              </w:rPr>
              <w:t xml:space="preserve"> cells (blue arrow), and multinucleated </w:t>
            </w:r>
            <w:r w:rsidR="008A6129" w:rsidRPr="009819CE">
              <w:rPr>
                <w:rStyle w:val="Emphasis"/>
                <w:sz w:val="20"/>
                <w:szCs w:val="20"/>
                <w:lang w:val="en-GB"/>
              </w:rPr>
              <w:t>Hematodinium</w:t>
            </w:r>
            <w:r w:rsidR="008A6129" w:rsidRPr="009819CE">
              <w:rPr>
                <w:sz w:val="20"/>
                <w:szCs w:val="20"/>
                <w:lang w:val="en-GB"/>
              </w:rPr>
              <w:t xml:space="preserve"> cells (black arrow) are visible. </w:t>
            </w:r>
            <w:r w:rsidR="008A6129" w:rsidRPr="009819CE">
              <w:rPr>
                <w:rStyle w:val="Emphasis"/>
                <w:sz w:val="20"/>
                <w:szCs w:val="20"/>
                <w:lang w:val="en-GB"/>
              </w:rPr>
              <w:t>Note: No evidence of host cellular response or melanisation is observed</w:t>
            </w:r>
            <w:r w:rsidR="008A6129" w:rsidRPr="009819CE">
              <w:rPr>
                <w:rStyle w:val="Emphasis"/>
                <w:rFonts w:eastAsiaTheme="majorEastAsia"/>
                <w:sz w:val="20"/>
                <w:szCs w:val="20"/>
                <w:lang w:val="en-GB"/>
              </w:rPr>
              <w:t>.</w:t>
            </w:r>
            <w:bookmarkEnd w:id="280"/>
            <w:r w:rsidR="008A6129" w:rsidRPr="009819CE">
              <w:rPr>
                <w:rStyle w:val="Emphasis"/>
                <w:rFonts w:eastAsiaTheme="majorEastAsia"/>
                <w:szCs w:val="22"/>
              </w:rPr>
              <w:t xml:space="preserve"> </w:t>
            </w:r>
          </w:p>
        </w:tc>
      </w:tr>
    </w:tbl>
    <w:p w14:paraId="5889445F" w14:textId="77777777" w:rsidR="00D05978" w:rsidRPr="00FA7D47" w:rsidRDefault="00D05978">
      <w:pPr>
        <w:sectPr w:rsidR="00D05978" w:rsidRPr="00FA7D47" w:rsidSect="000662D6">
          <w:pgSz w:w="11906" w:h="16838" w:code="9"/>
          <w:pgMar w:top="720" w:right="720" w:bottom="720" w:left="72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0366F4" w:rsidRPr="00FA7D47" w14:paraId="14ED107D" w14:textId="77777777" w:rsidTr="007268F5">
        <w:trPr>
          <w:trHeight w:val="10804"/>
        </w:trPr>
        <w:tc>
          <w:tcPr>
            <w:tcW w:w="0" w:type="auto"/>
            <w:vAlign w:val="center"/>
          </w:tcPr>
          <w:p w14:paraId="1F110256" w14:textId="441F258F" w:rsidR="0055220B" w:rsidRPr="009819CE" w:rsidRDefault="001903D9" w:rsidP="007268F5">
            <w:pPr>
              <w:spacing w:before="0" w:after="0"/>
              <w:jc w:val="center"/>
              <w:rPr>
                <w:rFonts w:cstheme="minorBidi"/>
                <w:lang w:val="en-GB"/>
              </w:rPr>
            </w:pPr>
            <w:r w:rsidRPr="00FF34FE">
              <w:rPr>
                <w:noProof/>
              </w:rPr>
              <w:drawing>
                <wp:inline distT="0" distB="0" distL="0" distR="0" wp14:anchorId="1178E852" wp14:editId="3DBA9FDF">
                  <wp:extent cx="6154369" cy="7076049"/>
                  <wp:effectExtent l="0" t="0" r="0" b="0"/>
                  <wp:docPr id="17110206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b="18644"/>
                          <a:stretch>
                            <a:fillRect/>
                          </a:stretch>
                        </pic:blipFill>
                        <pic:spPr bwMode="auto">
                          <a:xfrm>
                            <a:off x="0" y="0"/>
                            <a:ext cx="6230847" cy="716398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220B" w:rsidRPr="00FA7D47" w14:paraId="69703BF2" w14:textId="77777777" w:rsidTr="007268F5">
        <w:tc>
          <w:tcPr>
            <w:tcW w:w="0" w:type="auto"/>
          </w:tcPr>
          <w:p w14:paraId="3463884A" w14:textId="0DBABFB9" w:rsidR="0055220B" w:rsidRPr="009819CE" w:rsidRDefault="0055220B" w:rsidP="007D6607">
            <w:pPr>
              <w:rPr>
                <w:rFonts w:cstheme="minorBidi"/>
                <w:sz w:val="22"/>
                <w:szCs w:val="18"/>
                <w:lang w:val="en-GB"/>
              </w:rPr>
            </w:pPr>
            <w:bookmarkStart w:id="281" w:name="_Toc204106729"/>
            <w:r w:rsidRPr="009819CE">
              <w:rPr>
                <w:rFonts w:cstheme="minorBidi"/>
                <w:b/>
                <w:sz w:val="22"/>
                <w:szCs w:val="18"/>
                <w:lang w:val="en-GB"/>
              </w:rPr>
              <w:t xml:space="preserve">Figure </w:t>
            </w:r>
            <w:r w:rsidRPr="007268F5">
              <w:rPr>
                <w:rFonts w:cstheme="minorBidi"/>
                <w:b/>
                <w:bCs/>
                <w:sz w:val="22"/>
                <w:szCs w:val="18"/>
              </w:rPr>
              <w:fldChar w:fldCharType="begin"/>
            </w:r>
            <w:r w:rsidRPr="009819CE">
              <w:rPr>
                <w:rFonts w:cstheme="minorBidi"/>
                <w:b/>
                <w:sz w:val="22"/>
                <w:szCs w:val="18"/>
                <w:lang w:val="en-GB"/>
              </w:rPr>
              <w:instrText xml:space="preserve"> STYLEREF 1 \s </w:instrText>
            </w:r>
            <w:r w:rsidRPr="007268F5">
              <w:rPr>
                <w:rFonts w:cstheme="minorBidi"/>
                <w:b/>
                <w:bCs/>
                <w:sz w:val="22"/>
                <w:szCs w:val="18"/>
              </w:rPr>
              <w:fldChar w:fldCharType="separate"/>
            </w:r>
            <w:r w:rsidR="008549FC">
              <w:rPr>
                <w:rFonts w:cstheme="minorBidi"/>
                <w:b/>
                <w:noProof/>
                <w:sz w:val="22"/>
                <w:szCs w:val="18"/>
                <w:lang w:val="en-GB"/>
              </w:rPr>
              <w:t>3</w:t>
            </w:r>
            <w:r w:rsidRPr="007268F5">
              <w:rPr>
                <w:rFonts w:cstheme="minorBidi"/>
                <w:b/>
                <w:bCs/>
                <w:sz w:val="22"/>
                <w:szCs w:val="18"/>
              </w:rPr>
              <w:fldChar w:fldCharType="end"/>
            </w:r>
            <w:r w:rsidRPr="009819CE">
              <w:rPr>
                <w:rFonts w:cstheme="minorBidi"/>
                <w:b/>
                <w:sz w:val="22"/>
                <w:szCs w:val="18"/>
                <w:lang w:val="en-GB"/>
              </w:rPr>
              <w:t>.</w:t>
            </w:r>
            <w:r w:rsidRPr="007268F5">
              <w:rPr>
                <w:rFonts w:cstheme="minorBidi"/>
                <w:b/>
                <w:bCs/>
                <w:sz w:val="22"/>
                <w:szCs w:val="18"/>
              </w:rPr>
              <w:fldChar w:fldCharType="begin"/>
            </w:r>
            <w:r w:rsidRPr="009819CE">
              <w:rPr>
                <w:rFonts w:cstheme="minorBidi"/>
                <w:b/>
                <w:sz w:val="22"/>
                <w:szCs w:val="18"/>
                <w:lang w:val="en-GB"/>
              </w:rPr>
              <w:instrText xml:space="preserve"> SEQ Figure \* ARABIC \s 1 </w:instrText>
            </w:r>
            <w:r w:rsidRPr="007268F5">
              <w:rPr>
                <w:rFonts w:cstheme="minorBidi"/>
                <w:b/>
                <w:bCs/>
                <w:sz w:val="22"/>
                <w:szCs w:val="18"/>
              </w:rPr>
              <w:fldChar w:fldCharType="separate"/>
            </w:r>
            <w:r w:rsidR="008549FC">
              <w:rPr>
                <w:rFonts w:cstheme="minorBidi"/>
                <w:b/>
                <w:noProof/>
                <w:sz w:val="22"/>
                <w:szCs w:val="18"/>
                <w:lang w:val="en-GB"/>
              </w:rPr>
              <w:t>5</w:t>
            </w:r>
            <w:r w:rsidRPr="007268F5">
              <w:rPr>
                <w:rFonts w:cstheme="minorBidi"/>
                <w:b/>
                <w:bCs/>
                <w:sz w:val="22"/>
                <w:szCs w:val="18"/>
              </w:rPr>
              <w:fldChar w:fldCharType="end"/>
            </w:r>
            <w:r w:rsidRPr="009819CE">
              <w:rPr>
                <w:rFonts w:cstheme="minorBidi"/>
                <w:b/>
                <w:bCs/>
                <w:sz w:val="22"/>
                <w:szCs w:val="18"/>
                <w:lang w:val="en-GB"/>
              </w:rPr>
              <w:t xml:space="preserve"> </w:t>
            </w:r>
            <w:r w:rsidR="002D1C74" w:rsidRPr="009819CE">
              <w:rPr>
                <w:sz w:val="20"/>
                <w:szCs w:val="20"/>
                <w:lang w:val="en-GB"/>
              </w:rPr>
              <w:t xml:space="preserve">Progression of </w:t>
            </w:r>
            <w:r w:rsidR="002D1C74" w:rsidRPr="009819CE">
              <w:rPr>
                <w:rStyle w:val="Emphasis"/>
                <w:rFonts w:eastAsiaTheme="majorEastAsia"/>
                <w:sz w:val="20"/>
                <w:szCs w:val="20"/>
                <w:lang w:val="en-GB"/>
              </w:rPr>
              <w:t>Hematodinium</w:t>
            </w:r>
            <w:r w:rsidR="002D1C74" w:rsidRPr="009819CE">
              <w:rPr>
                <w:sz w:val="20"/>
                <w:szCs w:val="20"/>
                <w:lang w:val="en-GB"/>
              </w:rPr>
              <w:t xml:space="preserve"> sp. infection in the </w:t>
            </w:r>
            <w:r w:rsidR="008A6129" w:rsidRPr="009819CE">
              <w:rPr>
                <w:sz w:val="20"/>
                <w:szCs w:val="20"/>
                <w:lang w:val="en-GB"/>
              </w:rPr>
              <w:t>hepatopancreas</w:t>
            </w:r>
            <w:r w:rsidR="002D1C74" w:rsidRPr="009819CE">
              <w:rPr>
                <w:sz w:val="20"/>
                <w:szCs w:val="20"/>
                <w:lang w:val="en-GB"/>
              </w:rPr>
              <w:t xml:space="preserve"> of </w:t>
            </w:r>
            <w:r w:rsidR="002D1C74" w:rsidRPr="009819CE">
              <w:rPr>
                <w:rStyle w:val="Emphasis"/>
                <w:rFonts w:eastAsiaTheme="majorEastAsia"/>
                <w:sz w:val="20"/>
                <w:szCs w:val="20"/>
                <w:lang w:val="en-GB"/>
              </w:rPr>
              <w:t>N.</w:t>
            </w:r>
            <w:r w:rsidR="002D1C74" w:rsidRPr="009819CE">
              <w:rPr>
                <w:rStyle w:val="Emphasis"/>
                <w:rFonts w:eastAsiaTheme="majorEastAsia"/>
                <w:lang w:val="en-GB"/>
              </w:rPr>
              <w:t xml:space="preserve"> </w:t>
            </w:r>
            <w:r w:rsidR="002D1C74" w:rsidRPr="009819CE">
              <w:rPr>
                <w:rStyle w:val="Emphasis"/>
                <w:rFonts w:eastAsiaTheme="majorEastAsia"/>
                <w:sz w:val="20"/>
                <w:szCs w:val="20"/>
                <w:lang w:val="en-GB"/>
              </w:rPr>
              <w:t>norvegicus</w:t>
            </w:r>
            <w:r w:rsidR="002D1C74" w:rsidRPr="009819CE">
              <w:rPr>
                <w:sz w:val="20"/>
                <w:szCs w:val="20"/>
                <w:lang w:val="en-GB"/>
              </w:rPr>
              <w:t>, shown across infection stages 0 to 4 (</w:t>
            </w:r>
            <w:r w:rsidR="002D1C74" w:rsidRPr="009819CE">
              <w:rPr>
                <w:b/>
                <w:bCs/>
                <w:sz w:val="20"/>
                <w:szCs w:val="20"/>
                <w:lang w:val="en-GB"/>
              </w:rPr>
              <w:t>A–E</w:t>
            </w:r>
            <w:r w:rsidR="002D1C74" w:rsidRPr="009819CE">
              <w:rPr>
                <w:sz w:val="20"/>
                <w:szCs w:val="20"/>
                <w:lang w:val="en-GB"/>
              </w:rPr>
              <w:t xml:space="preserve">), based on the pleopod method (PM). </w:t>
            </w:r>
            <w:r w:rsidR="002D1C74" w:rsidRPr="009819CE">
              <w:rPr>
                <w:rStyle w:val="Strong"/>
                <w:sz w:val="20"/>
                <w:szCs w:val="20"/>
                <w:lang w:val="en-GB"/>
              </w:rPr>
              <w:t>F</w:t>
            </w:r>
            <w:r w:rsidR="002D1C74" w:rsidRPr="009819CE">
              <w:rPr>
                <w:rStyle w:val="Strong"/>
                <w:b w:val="0"/>
                <w:bCs w:val="0"/>
                <w:sz w:val="20"/>
                <w:szCs w:val="20"/>
                <w:lang w:val="en-GB"/>
              </w:rPr>
              <w:t>)</w:t>
            </w:r>
            <w:r w:rsidR="002D1C74" w:rsidRPr="009819CE">
              <w:rPr>
                <w:sz w:val="20"/>
                <w:szCs w:val="20"/>
                <w:lang w:val="en-GB"/>
              </w:rPr>
              <w:t xml:space="preserve"> High-magnification image of </w:t>
            </w:r>
            <w:r w:rsidR="008A6129" w:rsidRPr="009819CE">
              <w:rPr>
                <w:sz w:val="20"/>
                <w:szCs w:val="20"/>
                <w:lang w:val="en-GB"/>
              </w:rPr>
              <w:t>the hepatopancreas</w:t>
            </w:r>
            <w:r w:rsidR="002D1C74" w:rsidRPr="009819CE">
              <w:rPr>
                <w:sz w:val="20"/>
                <w:szCs w:val="20"/>
                <w:lang w:val="en-GB"/>
              </w:rPr>
              <w:t xml:space="preserve"> at stage 1 of infection (PM). Haemocytes (</w:t>
            </w:r>
            <w:r w:rsidR="007E2DD8" w:rsidRPr="009819CE">
              <w:rPr>
                <w:sz w:val="20"/>
                <w:szCs w:val="20"/>
                <w:lang w:val="en-GB"/>
              </w:rPr>
              <w:t>red arrows</w:t>
            </w:r>
            <w:r w:rsidR="002D1C74" w:rsidRPr="009819CE">
              <w:rPr>
                <w:sz w:val="20"/>
                <w:szCs w:val="20"/>
                <w:lang w:val="en-GB"/>
              </w:rPr>
              <w:t xml:space="preserve">), mononucleated </w:t>
            </w:r>
            <w:r w:rsidR="002D1C74" w:rsidRPr="009819CE">
              <w:rPr>
                <w:rStyle w:val="Emphasis"/>
                <w:rFonts w:eastAsiaTheme="majorEastAsia"/>
                <w:sz w:val="20"/>
                <w:szCs w:val="20"/>
                <w:lang w:val="en-GB"/>
              </w:rPr>
              <w:t>Hematodinium</w:t>
            </w:r>
            <w:r w:rsidR="002D1C74" w:rsidRPr="009819CE">
              <w:rPr>
                <w:sz w:val="20"/>
                <w:szCs w:val="20"/>
                <w:lang w:val="en-GB"/>
              </w:rPr>
              <w:t xml:space="preserve"> cells (blue arrow), and multinucleated </w:t>
            </w:r>
            <w:r w:rsidR="002D1C74" w:rsidRPr="009819CE">
              <w:rPr>
                <w:rStyle w:val="Emphasis"/>
                <w:rFonts w:eastAsiaTheme="majorEastAsia"/>
                <w:sz w:val="20"/>
                <w:szCs w:val="20"/>
                <w:lang w:val="en-GB"/>
              </w:rPr>
              <w:t>Hematodinium</w:t>
            </w:r>
            <w:r w:rsidR="002D1C74" w:rsidRPr="009819CE">
              <w:rPr>
                <w:sz w:val="20"/>
                <w:szCs w:val="20"/>
                <w:lang w:val="en-GB"/>
              </w:rPr>
              <w:t xml:space="preserve"> cells (black arrow) are visible. </w:t>
            </w:r>
            <w:r w:rsidR="002D1C74" w:rsidRPr="009819CE">
              <w:rPr>
                <w:rStyle w:val="Emphasis"/>
                <w:rFonts w:eastAsiaTheme="majorEastAsia"/>
                <w:sz w:val="20"/>
                <w:szCs w:val="20"/>
                <w:lang w:val="en-GB"/>
              </w:rPr>
              <w:t>Note: No evidence of host cellular response or melanisation is observed.</w:t>
            </w:r>
            <w:bookmarkEnd w:id="281"/>
            <w:r w:rsidR="002D1C74" w:rsidRPr="009819CE">
              <w:rPr>
                <w:rStyle w:val="Emphasis"/>
                <w:rFonts w:eastAsiaTheme="majorEastAsia"/>
                <w:sz w:val="22"/>
                <w:szCs w:val="22"/>
              </w:rPr>
              <w:t xml:space="preserve"> </w:t>
            </w:r>
          </w:p>
        </w:tc>
      </w:tr>
    </w:tbl>
    <w:p w14:paraId="70F848BF" w14:textId="77777777" w:rsidR="000366F4" w:rsidRPr="00FA7D47" w:rsidRDefault="000366F4">
      <w:pPr>
        <w:sectPr w:rsidR="000366F4" w:rsidRPr="00FA7D47" w:rsidSect="00BE7115">
          <w:pgSz w:w="11906" w:h="16838" w:code="9"/>
          <w:pgMar w:top="720" w:right="720" w:bottom="720" w:left="72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55220B" w:rsidRPr="00FA7D47" w14:paraId="04B2315B" w14:textId="77777777" w:rsidTr="007E6468">
        <w:tc>
          <w:tcPr>
            <w:tcW w:w="5000" w:type="pct"/>
            <w:vAlign w:val="center"/>
          </w:tcPr>
          <w:p w14:paraId="75F2F51C" w14:textId="7B3D77E0" w:rsidR="0055220B" w:rsidRPr="009819CE" w:rsidRDefault="00525773" w:rsidP="007268F5">
            <w:pPr>
              <w:tabs>
                <w:tab w:val="left" w:pos="1620"/>
              </w:tabs>
              <w:spacing w:before="0" w:after="0"/>
              <w:ind w:right="180"/>
              <w:jc w:val="center"/>
              <w:rPr>
                <w:rFonts w:cstheme="minorBidi"/>
                <w:color w:val="000000" w:themeColor="text1"/>
                <w:lang w:val="en-GB"/>
              </w:rPr>
            </w:pPr>
            <w:r w:rsidRPr="00FF34FE">
              <w:rPr>
                <w:rFonts w:cstheme="minorBidi"/>
                <w:noProof/>
                <w:color w:val="000000" w:themeColor="text1"/>
              </w:rPr>
              <w:drawing>
                <wp:inline distT="0" distB="0" distL="0" distR="0" wp14:anchorId="002CD19A" wp14:editId="61D769EE">
                  <wp:extent cx="6320537" cy="7259541"/>
                  <wp:effectExtent l="0" t="0" r="4445" b="0"/>
                  <wp:docPr id="1369007227" name="Picture 8"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07227" name="Picture 8" descr="A collage of images of cells&#10;&#10;AI-generated content may be incorrect."/>
                          <pic:cNvPicPr/>
                        </pic:nvPicPr>
                        <pic:blipFill rotWithShape="1">
                          <a:blip r:embed="rId82" cstate="print">
                            <a:extLst>
                              <a:ext uri="{28A0092B-C50C-407E-A947-70E740481C1C}">
                                <a14:useLocalDpi xmlns:a14="http://schemas.microsoft.com/office/drawing/2010/main" val="0"/>
                              </a:ext>
                            </a:extLst>
                          </a:blip>
                          <a:srcRect b="18767"/>
                          <a:stretch>
                            <a:fillRect/>
                          </a:stretch>
                        </pic:blipFill>
                        <pic:spPr bwMode="auto">
                          <a:xfrm>
                            <a:off x="0" y="0"/>
                            <a:ext cx="6325385" cy="7265110"/>
                          </a:xfrm>
                          <a:prstGeom prst="rect">
                            <a:avLst/>
                          </a:prstGeom>
                          <a:ln>
                            <a:noFill/>
                          </a:ln>
                          <a:extLst>
                            <a:ext uri="{53640926-AAD7-44D8-BBD7-CCE9431645EC}">
                              <a14:shadowObscured xmlns:a14="http://schemas.microsoft.com/office/drawing/2010/main"/>
                            </a:ext>
                          </a:extLst>
                        </pic:spPr>
                      </pic:pic>
                    </a:graphicData>
                  </a:graphic>
                </wp:inline>
              </w:drawing>
            </w:r>
          </w:p>
        </w:tc>
      </w:tr>
      <w:tr w:rsidR="0055220B" w:rsidRPr="00FA7D47" w14:paraId="28DF9834" w14:textId="77777777" w:rsidTr="007D6607">
        <w:tc>
          <w:tcPr>
            <w:tcW w:w="5000" w:type="pct"/>
          </w:tcPr>
          <w:p w14:paraId="431C1F0A" w14:textId="44EF6C67" w:rsidR="0055220B" w:rsidRPr="009819CE" w:rsidRDefault="0055220B" w:rsidP="007D6607">
            <w:pPr>
              <w:rPr>
                <w:rFonts w:cstheme="minorBidi"/>
                <w:b/>
                <w:bCs/>
                <w:lang w:val="en-GB"/>
              </w:rPr>
            </w:pPr>
            <w:bookmarkStart w:id="282" w:name="_Toc204106730"/>
            <w:r w:rsidRPr="009819CE">
              <w:rPr>
                <w:rFonts w:cstheme="minorBidi"/>
                <w:b/>
                <w:sz w:val="22"/>
                <w:szCs w:val="18"/>
                <w:lang w:val="en-GB"/>
              </w:rPr>
              <w:t xml:space="preserve">Figure </w:t>
            </w:r>
            <w:r w:rsidRPr="007268F5">
              <w:rPr>
                <w:rFonts w:cstheme="minorBidi"/>
                <w:b/>
                <w:bCs/>
                <w:sz w:val="22"/>
                <w:szCs w:val="18"/>
              </w:rPr>
              <w:fldChar w:fldCharType="begin"/>
            </w:r>
            <w:r w:rsidRPr="009819CE">
              <w:rPr>
                <w:rFonts w:cstheme="minorBidi"/>
                <w:b/>
                <w:sz w:val="22"/>
                <w:szCs w:val="18"/>
                <w:lang w:val="en-GB"/>
              </w:rPr>
              <w:instrText xml:space="preserve"> STYLEREF 1 \s </w:instrText>
            </w:r>
            <w:r w:rsidRPr="007268F5">
              <w:rPr>
                <w:rFonts w:cstheme="minorBidi"/>
                <w:b/>
                <w:bCs/>
                <w:sz w:val="22"/>
                <w:szCs w:val="18"/>
              </w:rPr>
              <w:fldChar w:fldCharType="separate"/>
            </w:r>
            <w:r w:rsidR="008549FC">
              <w:rPr>
                <w:rFonts w:cstheme="minorBidi"/>
                <w:b/>
                <w:noProof/>
                <w:sz w:val="22"/>
                <w:szCs w:val="18"/>
                <w:lang w:val="en-GB"/>
              </w:rPr>
              <w:t>3</w:t>
            </w:r>
            <w:r w:rsidRPr="007268F5">
              <w:rPr>
                <w:rFonts w:cstheme="minorBidi"/>
                <w:b/>
                <w:bCs/>
                <w:sz w:val="22"/>
                <w:szCs w:val="18"/>
              </w:rPr>
              <w:fldChar w:fldCharType="end"/>
            </w:r>
            <w:r w:rsidRPr="009819CE">
              <w:rPr>
                <w:rFonts w:cstheme="minorBidi"/>
                <w:b/>
                <w:sz w:val="22"/>
                <w:szCs w:val="18"/>
                <w:lang w:val="en-GB"/>
              </w:rPr>
              <w:t>.</w:t>
            </w:r>
            <w:r w:rsidRPr="007268F5">
              <w:rPr>
                <w:rFonts w:cstheme="minorBidi"/>
                <w:b/>
                <w:bCs/>
                <w:sz w:val="22"/>
                <w:szCs w:val="18"/>
              </w:rPr>
              <w:fldChar w:fldCharType="begin"/>
            </w:r>
            <w:r w:rsidRPr="009819CE">
              <w:rPr>
                <w:rFonts w:cstheme="minorBidi"/>
                <w:b/>
                <w:sz w:val="22"/>
                <w:szCs w:val="18"/>
                <w:lang w:val="en-GB"/>
              </w:rPr>
              <w:instrText xml:space="preserve"> SEQ Figure \* ARABIC \s 1 </w:instrText>
            </w:r>
            <w:r w:rsidRPr="007268F5">
              <w:rPr>
                <w:rFonts w:cstheme="minorBidi"/>
                <w:b/>
                <w:bCs/>
                <w:sz w:val="22"/>
                <w:szCs w:val="18"/>
              </w:rPr>
              <w:fldChar w:fldCharType="separate"/>
            </w:r>
            <w:r w:rsidR="008549FC">
              <w:rPr>
                <w:rFonts w:cstheme="minorBidi"/>
                <w:b/>
                <w:noProof/>
                <w:sz w:val="22"/>
                <w:szCs w:val="18"/>
                <w:lang w:val="en-GB"/>
              </w:rPr>
              <w:t>6</w:t>
            </w:r>
            <w:r w:rsidRPr="007268F5">
              <w:rPr>
                <w:rFonts w:cstheme="minorBidi"/>
                <w:b/>
                <w:bCs/>
                <w:sz w:val="22"/>
                <w:szCs w:val="18"/>
              </w:rPr>
              <w:fldChar w:fldCharType="end"/>
            </w:r>
            <w:r w:rsidRPr="009819CE">
              <w:rPr>
                <w:rFonts w:cstheme="minorBidi"/>
                <w:sz w:val="22"/>
                <w:szCs w:val="18"/>
                <w:lang w:val="en-GB"/>
              </w:rPr>
              <w:t xml:space="preserve">  </w:t>
            </w:r>
            <w:r w:rsidR="00B865DE" w:rsidRPr="007268F5">
              <w:rPr>
                <w:sz w:val="20"/>
                <w:szCs w:val="20"/>
                <w:lang w:val="en-GB"/>
              </w:rPr>
              <w:t xml:space="preserve">Progression of </w:t>
            </w:r>
            <w:r w:rsidR="00B865DE" w:rsidRPr="007268F5">
              <w:rPr>
                <w:rStyle w:val="Emphasis"/>
                <w:rFonts w:eastAsiaTheme="majorEastAsia"/>
                <w:sz w:val="20"/>
                <w:szCs w:val="20"/>
              </w:rPr>
              <w:t>Hematodinium</w:t>
            </w:r>
            <w:r w:rsidR="00B865DE" w:rsidRPr="007268F5">
              <w:rPr>
                <w:sz w:val="20"/>
                <w:szCs w:val="20"/>
              </w:rPr>
              <w:t xml:space="preserve"> sp. infection in the muscle of </w:t>
            </w:r>
            <w:r w:rsidR="00B865DE" w:rsidRPr="007268F5">
              <w:rPr>
                <w:rStyle w:val="Emphasis"/>
                <w:rFonts w:eastAsiaTheme="majorEastAsia"/>
                <w:sz w:val="20"/>
                <w:szCs w:val="20"/>
              </w:rPr>
              <w:t>N</w:t>
            </w:r>
            <w:r w:rsidR="002D1C74" w:rsidRPr="009819CE">
              <w:rPr>
                <w:rStyle w:val="Emphasis"/>
                <w:rFonts w:eastAsiaTheme="majorEastAsia"/>
                <w:sz w:val="20"/>
                <w:szCs w:val="20"/>
              </w:rPr>
              <w:t>.</w:t>
            </w:r>
            <w:r w:rsidR="002D1C74" w:rsidRPr="009819CE">
              <w:rPr>
                <w:rStyle w:val="Emphasis"/>
                <w:rFonts w:eastAsiaTheme="majorEastAsia"/>
              </w:rPr>
              <w:t xml:space="preserve"> </w:t>
            </w:r>
            <w:r w:rsidR="00B865DE" w:rsidRPr="007268F5">
              <w:rPr>
                <w:rStyle w:val="Emphasis"/>
                <w:rFonts w:eastAsiaTheme="majorEastAsia"/>
                <w:sz w:val="20"/>
                <w:szCs w:val="20"/>
              </w:rPr>
              <w:t>norvegicus</w:t>
            </w:r>
            <w:r w:rsidR="00B865DE" w:rsidRPr="007268F5">
              <w:rPr>
                <w:sz w:val="20"/>
                <w:szCs w:val="20"/>
              </w:rPr>
              <w:t>, shown across infection stages 0 to 4 (</w:t>
            </w:r>
            <w:r w:rsidR="00B865DE" w:rsidRPr="007268F5">
              <w:rPr>
                <w:b/>
                <w:bCs/>
                <w:sz w:val="20"/>
                <w:szCs w:val="20"/>
              </w:rPr>
              <w:t>A–E</w:t>
            </w:r>
            <w:r w:rsidR="00B865DE" w:rsidRPr="007268F5">
              <w:rPr>
                <w:sz w:val="20"/>
                <w:szCs w:val="20"/>
              </w:rPr>
              <w:t xml:space="preserve">), based on the pleopod method (PM). </w:t>
            </w:r>
            <w:r w:rsidR="00B865DE" w:rsidRPr="007268F5">
              <w:rPr>
                <w:rStyle w:val="Strong"/>
                <w:sz w:val="20"/>
                <w:szCs w:val="20"/>
              </w:rPr>
              <w:t>F</w:t>
            </w:r>
            <w:r w:rsidR="00B865DE" w:rsidRPr="007268F5">
              <w:rPr>
                <w:rStyle w:val="Strong"/>
                <w:b w:val="0"/>
                <w:bCs w:val="0"/>
                <w:sz w:val="20"/>
                <w:szCs w:val="20"/>
              </w:rPr>
              <w:t>)</w:t>
            </w:r>
            <w:r w:rsidR="00B865DE" w:rsidRPr="007268F5">
              <w:rPr>
                <w:sz w:val="20"/>
                <w:szCs w:val="20"/>
              </w:rPr>
              <w:t xml:space="preserve"> High-magnification image of </w:t>
            </w:r>
            <w:r w:rsidR="00D05978" w:rsidRPr="009819CE">
              <w:rPr>
                <w:sz w:val="20"/>
                <w:szCs w:val="20"/>
              </w:rPr>
              <w:t xml:space="preserve">the </w:t>
            </w:r>
            <w:r w:rsidR="00B865DE" w:rsidRPr="007268F5">
              <w:rPr>
                <w:sz w:val="20"/>
                <w:szCs w:val="20"/>
              </w:rPr>
              <w:t xml:space="preserve">muscle at stage 1 of infection (PM). Haemocytes (white arrows), mononucleated </w:t>
            </w:r>
            <w:r w:rsidR="00B865DE" w:rsidRPr="007268F5">
              <w:rPr>
                <w:rStyle w:val="Emphasis"/>
                <w:rFonts w:eastAsiaTheme="majorEastAsia"/>
                <w:sz w:val="20"/>
                <w:szCs w:val="20"/>
              </w:rPr>
              <w:t>Hematodinium</w:t>
            </w:r>
            <w:r w:rsidR="00B865DE" w:rsidRPr="007268F5">
              <w:rPr>
                <w:sz w:val="20"/>
                <w:szCs w:val="20"/>
              </w:rPr>
              <w:t xml:space="preserve"> cells (blue arrow), and multinucleated </w:t>
            </w:r>
            <w:r w:rsidR="00B865DE" w:rsidRPr="007268F5">
              <w:rPr>
                <w:rStyle w:val="Emphasis"/>
                <w:rFonts w:eastAsiaTheme="majorEastAsia"/>
                <w:sz w:val="20"/>
                <w:szCs w:val="20"/>
              </w:rPr>
              <w:t>Hematodinium</w:t>
            </w:r>
            <w:r w:rsidR="00B865DE" w:rsidRPr="007268F5">
              <w:rPr>
                <w:sz w:val="20"/>
                <w:szCs w:val="20"/>
              </w:rPr>
              <w:t xml:space="preserve"> cells (black arrow) are visible. </w:t>
            </w:r>
            <w:r w:rsidR="00B865DE" w:rsidRPr="007268F5">
              <w:rPr>
                <w:rStyle w:val="Emphasis"/>
                <w:rFonts w:eastAsiaTheme="majorEastAsia"/>
                <w:sz w:val="20"/>
                <w:szCs w:val="20"/>
              </w:rPr>
              <w:t>Note: No evidence of host cellular response or melanisation is observed.</w:t>
            </w:r>
            <w:bookmarkEnd w:id="282"/>
            <w:r w:rsidR="00B865DE" w:rsidRPr="007268F5">
              <w:rPr>
                <w:rStyle w:val="Emphasis"/>
                <w:rFonts w:eastAsiaTheme="majorEastAsia"/>
                <w:sz w:val="22"/>
                <w:szCs w:val="22"/>
              </w:rPr>
              <w:t xml:space="preserve"> </w:t>
            </w:r>
          </w:p>
        </w:tc>
      </w:tr>
      <w:tr w:rsidR="0055220B" w:rsidRPr="00FA7D47" w14:paraId="3C86F668" w14:textId="77777777" w:rsidTr="007D6607">
        <w:tc>
          <w:tcPr>
            <w:tcW w:w="5000" w:type="pct"/>
          </w:tcPr>
          <w:p w14:paraId="1185291D" w14:textId="2980B854" w:rsidR="0055220B" w:rsidRPr="009819CE" w:rsidRDefault="004365E7" w:rsidP="00997484">
            <w:pPr>
              <w:tabs>
                <w:tab w:val="left" w:pos="1620"/>
              </w:tabs>
              <w:spacing w:before="0" w:after="0"/>
              <w:ind w:right="180"/>
              <w:rPr>
                <w:rFonts w:cstheme="minorBidi"/>
                <w:color w:val="000000" w:themeColor="text1"/>
                <w:lang w:val="en-GB"/>
              </w:rPr>
            </w:pPr>
            <w:r w:rsidRPr="00FF34FE">
              <w:rPr>
                <w:rFonts w:cstheme="minorBidi"/>
                <w:noProof/>
                <w:color w:val="000000" w:themeColor="text1"/>
              </w:rPr>
              <w:drawing>
                <wp:inline distT="0" distB="0" distL="0" distR="0" wp14:anchorId="4A2C3938" wp14:editId="592AD1ED">
                  <wp:extent cx="6503724" cy="7469944"/>
                  <wp:effectExtent l="0" t="0" r="0" b="0"/>
                  <wp:docPr id="191594410" name="Picture 9"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4410" name="Picture 9" descr="A collage of images of cells&#10;&#10;AI-generated content may be incorrect."/>
                          <pic:cNvPicPr/>
                        </pic:nvPicPr>
                        <pic:blipFill rotWithShape="1">
                          <a:blip r:embed="rId83" cstate="print">
                            <a:extLst>
                              <a:ext uri="{28A0092B-C50C-407E-A947-70E740481C1C}">
                                <a14:useLocalDpi xmlns:a14="http://schemas.microsoft.com/office/drawing/2010/main" val="0"/>
                              </a:ext>
                            </a:extLst>
                          </a:blip>
                          <a:srcRect b="18767"/>
                          <a:stretch>
                            <a:fillRect/>
                          </a:stretch>
                        </pic:blipFill>
                        <pic:spPr bwMode="auto">
                          <a:xfrm>
                            <a:off x="0" y="0"/>
                            <a:ext cx="6515120" cy="7483033"/>
                          </a:xfrm>
                          <a:prstGeom prst="rect">
                            <a:avLst/>
                          </a:prstGeom>
                          <a:ln>
                            <a:noFill/>
                          </a:ln>
                          <a:extLst>
                            <a:ext uri="{53640926-AAD7-44D8-BBD7-CCE9431645EC}">
                              <a14:shadowObscured xmlns:a14="http://schemas.microsoft.com/office/drawing/2010/main"/>
                            </a:ext>
                          </a:extLst>
                        </pic:spPr>
                      </pic:pic>
                    </a:graphicData>
                  </a:graphic>
                </wp:inline>
              </w:drawing>
            </w:r>
          </w:p>
        </w:tc>
      </w:tr>
      <w:tr w:rsidR="0055220B" w:rsidRPr="00FA7D47" w14:paraId="5FC1C75B" w14:textId="77777777" w:rsidTr="007D6607">
        <w:tc>
          <w:tcPr>
            <w:tcW w:w="5000" w:type="pct"/>
          </w:tcPr>
          <w:p w14:paraId="20A7C874" w14:textId="0F80F3AF" w:rsidR="0055220B" w:rsidRPr="009819CE" w:rsidRDefault="0055220B" w:rsidP="007D6607">
            <w:pPr>
              <w:pStyle w:val="Caption"/>
              <w:rPr>
                <w:rFonts w:asciiTheme="minorBidi" w:hAnsiTheme="minorBidi" w:cstheme="minorBidi"/>
                <w:lang w:val="en-GB"/>
              </w:rPr>
            </w:pPr>
            <w:bookmarkStart w:id="283" w:name="_Toc204106731"/>
            <w:r w:rsidRPr="009819CE">
              <w:rPr>
                <w:rFonts w:asciiTheme="minorBidi" w:hAnsiTheme="minorBidi" w:cstheme="minorBidi"/>
                <w:b/>
                <w:lang w:val="en-GB"/>
              </w:rPr>
              <w:t xml:space="preserve">Figure </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STYLEREF 1 \s </w:instrText>
            </w:r>
            <w:r w:rsidRPr="007268F5">
              <w:rPr>
                <w:rFonts w:asciiTheme="minorBidi" w:hAnsiTheme="minorBidi" w:cstheme="minorBidi"/>
                <w:b/>
              </w:rPr>
              <w:fldChar w:fldCharType="separate"/>
            </w:r>
            <w:r w:rsidR="008549FC">
              <w:rPr>
                <w:rFonts w:asciiTheme="minorBidi" w:hAnsiTheme="minorBidi" w:cstheme="minorBidi"/>
                <w:b/>
                <w:noProof/>
                <w:lang w:val="en-GB"/>
              </w:rPr>
              <w:t>3</w:t>
            </w:r>
            <w:r w:rsidRPr="007268F5">
              <w:rPr>
                <w:rFonts w:asciiTheme="minorBidi" w:hAnsiTheme="minorBidi" w:cstheme="minorBidi"/>
                <w:b/>
              </w:rPr>
              <w:fldChar w:fldCharType="end"/>
            </w:r>
            <w:r w:rsidRPr="009819CE">
              <w:rPr>
                <w:rFonts w:asciiTheme="minorBidi" w:hAnsiTheme="minorBidi" w:cstheme="minorBidi"/>
                <w:b/>
                <w:lang w:val="en-GB"/>
              </w:rPr>
              <w:t>.</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SEQ Figure \* ARABIC \s 1 </w:instrText>
            </w:r>
            <w:r w:rsidRPr="007268F5">
              <w:rPr>
                <w:rFonts w:asciiTheme="minorBidi" w:hAnsiTheme="minorBidi" w:cstheme="minorBidi"/>
                <w:b/>
              </w:rPr>
              <w:fldChar w:fldCharType="separate"/>
            </w:r>
            <w:r w:rsidR="008549FC">
              <w:rPr>
                <w:rFonts w:asciiTheme="minorBidi" w:hAnsiTheme="minorBidi" w:cstheme="minorBidi"/>
                <w:b/>
                <w:noProof/>
                <w:lang w:val="en-GB"/>
              </w:rPr>
              <w:t>7</w:t>
            </w:r>
            <w:r w:rsidRPr="007268F5">
              <w:rPr>
                <w:rFonts w:asciiTheme="minorBidi" w:hAnsiTheme="minorBidi" w:cstheme="minorBidi"/>
                <w:b/>
              </w:rPr>
              <w:fldChar w:fldCharType="end"/>
            </w:r>
            <w:r w:rsidRPr="009819CE">
              <w:rPr>
                <w:rFonts w:asciiTheme="minorBidi" w:hAnsiTheme="minorBidi" w:cstheme="minorBidi"/>
                <w:b/>
                <w:lang w:val="en-GB"/>
              </w:rPr>
              <w:t xml:space="preserve"> </w:t>
            </w:r>
            <w:r w:rsidR="00516E8C" w:rsidRPr="007268F5">
              <w:rPr>
                <w:sz w:val="20"/>
                <w:szCs w:val="20"/>
                <w:lang w:val="en-GB"/>
              </w:rPr>
              <w:t xml:space="preserve">Progression of </w:t>
            </w:r>
            <w:r w:rsidR="00516E8C" w:rsidRPr="007268F5">
              <w:rPr>
                <w:rStyle w:val="Emphasis"/>
                <w:sz w:val="20"/>
                <w:szCs w:val="20"/>
              </w:rPr>
              <w:t>Hematodinium</w:t>
            </w:r>
            <w:r w:rsidR="00516E8C" w:rsidRPr="007268F5">
              <w:rPr>
                <w:sz w:val="20"/>
                <w:szCs w:val="20"/>
              </w:rPr>
              <w:t xml:space="preserve"> sp. infection in the female gonad of </w:t>
            </w:r>
            <w:r w:rsidR="00516E8C" w:rsidRPr="007268F5">
              <w:rPr>
                <w:rStyle w:val="Emphasis"/>
                <w:sz w:val="20"/>
                <w:szCs w:val="20"/>
              </w:rPr>
              <w:t>N</w:t>
            </w:r>
            <w:r w:rsidR="002D1C74" w:rsidRPr="009819CE">
              <w:rPr>
                <w:rStyle w:val="Emphasis"/>
                <w:sz w:val="20"/>
                <w:szCs w:val="20"/>
              </w:rPr>
              <w:t>.</w:t>
            </w:r>
            <w:r w:rsidR="002D1C74" w:rsidRPr="009819CE">
              <w:rPr>
                <w:rStyle w:val="Emphasis"/>
              </w:rPr>
              <w:t xml:space="preserve"> </w:t>
            </w:r>
            <w:r w:rsidR="00516E8C" w:rsidRPr="007268F5">
              <w:rPr>
                <w:rStyle w:val="Emphasis"/>
                <w:sz w:val="20"/>
                <w:szCs w:val="20"/>
              </w:rPr>
              <w:t>norvegicus</w:t>
            </w:r>
            <w:r w:rsidR="00516E8C" w:rsidRPr="007268F5">
              <w:rPr>
                <w:sz w:val="20"/>
                <w:szCs w:val="20"/>
              </w:rPr>
              <w:t>, shown across infection stages 0 to 4 (</w:t>
            </w:r>
            <w:r w:rsidR="00516E8C" w:rsidRPr="007268F5">
              <w:rPr>
                <w:b/>
                <w:bCs/>
                <w:sz w:val="20"/>
                <w:szCs w:val="20"/>
              </w:rPr>
              <w:t>A</w:t>
            </w:r>
            <w:r w:rsidR="00516E8C" w:rsidRPr="007268F5">
              <w:rPr>
                <w:rFonts w:hint="eastAsia"/>
                <w:b/>
                <w:bCs/>
                <w:sz w:val="20"/>
                <w:szCs w:val="20"/>
              </w:rPr>
              <w:t>–</w:t>
            </w:r>
            <w:r w:rsidR="00516E8C" w:rsidRPr="007268F5">
              <w:rPr>
                <w:b/>
                <w:bCs/>
                <w:sz w:val="20"/>
                <w:szCs w:val="20"/>
              </w:rPr>
              <w:t>E</w:t>
            </w:r>
            <w:r w:rsidR="00516E8C" w:rsidRPr="007268F5">
              <w:rPr>
                <w:sz w:val="20"/>
                <w:szCs w:val="20"/>
              </w:rPr>
              <w:t xml:space="preserve">), based on the pleopod method. </w:t>
            </w:r>
            <w:r w:rsidR="00516E8C" w:rsidRPr="007268F5">
              <w:rPr>
                <w:rStyle w:val="Strong"/>
                <w:sz w:val="20"/>
                <w:szCs w:val="20"/>
              </w:rPr>
              <w:t>F</w:t>
            </w:r>
            <w:r w:rsidR="00516E8C" w:rsidRPr="007268F5">
              <w:rPr>
                <w:rStyle w:val="Strong"/>
                <w:b w:val="0"/>
                <w:bCs w:val="0"/>
                <w:sz w:val="20"/>
                <w:szCs w:val="20"/>
              </w:rPr>
              <w:t>)</w:t>
            </w:r>
            <w:r w:rsidR="00516E8C" w:rsidRPr="007268F5">
              <w:rPr>
                <w:sz w:val="20"/>
                <w:szCs w:val="20"/>
              </w:rPr>
              <w:t xml:space="preserve"> High-magnification image of a female gonad at stage 2 of infection</w:t>
            </w:r>
            <w:r w:rsidR="00B865DE" w:rsidRPr="007268F5">
              <w:rPr>
                <w:sz w:val="20"/>
                <w:szCs w:val="20"/>
              </w:rPr>
              <w:t xml:space="preserve"> (PM)</w:t>
            </w:r>
            <w:r w:rsidR="00516E8C" w:rsidRPr="007268F5">
              <w:rPr>
                <w:sz w:val="20"/>
                <w:szCs w:val="20"/>
              </w:rPr>
              <w:t xml:space="preserve">. Haemocytes (white arrows), mononucleated </w:t>
            </w:r>
            <w:r w:rsidR="00516E8C" w:rsidRPr="007268F5">
              <w:rPr>
                <w:rStyle w:val="Emphasis"/>
                <w:sz w:val="20"/>
                <w:szCs w:val="20"/>
              </w:rPr>
              <w:t>Hematodinium</w:t>
            </w:r>
            <w:r w:rsidR="00516E8C" w:rsidRPr="007268F5">
              <w:rPr>
                <w:sz w:val="20"/>
                <w:szCs w:val="20"/>
              </w:rPr>
              <w:t xml:space="preserve"> cells (blue arrow), and multinucleated </w:t>
            </w:r>
            <w:r w:rsidR="00516E8C" w:rsidRPr="007268F5">
              <w:rPr>
                <w:rStyle w:val="Emphasis"/>
                <w:sz w:val="20"/>
                <w:szCs w:val="20"/>
              </w:rPr>
              <w:t>Hematodinium</w:t>
            </w:r>
            <w:r w:rsidR="00516E8C" w:rsidRPr="007268F5">
              <w:rPr>
                <w:sz w:val="20"/>
                <w:szCs w:val="20"/>
              </w:rPr>
              <w:t xml:space="preserve"> cells (black arrow) are visible. </w:t>
            </w:r>
            <w:r w:rsidR="00516E8C" w:rsidRPr="007268F5">
              <w:rPr>
                <w:rStyle w:val="Emphasis"/>
                <w:sz w:val="20"/>
                <w:szCs w:val="20"/>
              </w:rPr>
              <w:t>Note: No evidence of host cellular response or melanisation is observed.</w:t>
            </w:r>
            <w:bookmarkEnd w:id="283"/>
          </w:p>
        </w:tc>
      </w:tr>
      <w:tr w:rsidR="0055220B" w:rsidRPr="00FA7D47" w14:paraId="71380CA8" w14:textId="77777777" w:rsidTr="007D6607">
        <w:tc>
          <w:tcPr>
            <w:tcW w:w="5000" w:type="pct"/>
          </w:tcPr>
          <w:p w14:paraId="6F141A0B" w14:textId="785FB119" w:rsidR="0055220B" w:rsidRPr="009819CE" w:rsidRDefault="003C5265" w:rsidP="00997484">
            <w:pPr>
              <w:tabs>
                <w:tab w:val="left" w:pos="1620"/>
              </w:tabs>
              <w:spacing w:before="0" w:after="0"/>
              <w:ind w:right="180"/>
              <w:rPr>
                <w:rFonts w:cstheme="minorBidi"/>
                <w:color w:val="000000" w:themeColor="text1"/>
                <w:lang w:val="en-GB"/>
              </w:rPr>
            </w:pPr>
            <w:r w:rsidRPr="00FF34FE">
              <w:rPr>
                <w:rFonts w:cstheme="minorBidi"/>
                <w:noProof/>
                <w:color w:val="000000" w:themeColor="text1"/>
              </w:rPr>
              <w:drawing>
                <wp:inline distT="0" distB="0" distL="0" distR="0" wp14:anchorId="0A1A143B" wp14:editId="3B1E244E">
                  <wp:extent cx="6460253" cy="7427741"/>
                  <wp:effectExtent l="0" t="0" r="0" b="1905"/>
                  <wp:docPr id="1166517624" name="Picture 10"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17624" name="Picture 10" descr="A collage of images of cells&#10;&#10;AI-generated content may be incorrect."/>
                          <pic:cNvPicPr/>
                        </pic:nvPicPr>
                        <pic:blipFill rotWithShape="1">
                          <a:blip r:embed="rId84" cstate="print">
                            <a:extLst>
                              <a:ext uri="{28A0092B-C50C-407E-A947-70E740481C1C}">
                                <a14:useLocalDpi xmlns:a14="http://schemas.microsoft.com/office/drawing/2010/main" val="0"/>
                              </a:ext>
                            </a:extLst>
                          </a:blip>
                          <a:srcRect b="18682"/>
                          <a:stretch>
                            <a:fillRect/>
                          </a:stretch>
                        </pic:blipFill>
                        <pic:spPr bwMode="auto">
                          <a:xfrm>
                            <a:off x="0" y="0"/>
                            <a:ext cx="6466573" cy="7435008"/>
                          </a:xfrm>
                          <a:prstGeom prst="rect">
                            <a:avLst/>
                          </a:prstGeom>
                          <a:ln>
                            <a:noFill/>
                          </a:ln>
                          <a:extLst>
                            <a:ext uri="{53640926-AAD7-44D8-BBD7-CCE9431645EC}">
                              <a14:shadowObscured xmlns:a14="http://schemas.microsoft.com/office/drawing/2010/main"/>
                            </a:ext>
                          </a:extLst>
                        </pic:spPr>
                      </pic:pic>
                    </a:graphicData>
                  </a:graphic>
                </wp:inline>
              </w:drawing>
            </w:r>
          </w:p>
        </w:tc>
      </w:tr>
      <w:tr w:rsidR="0055220B" w:rsidRPr="00FA7D47" w14:paraId="5B7160B3" w14:textId="77777777" w:rsidTr="007D6607">
        <w:tc>
          <w:tcPr>
            <w:tcW w:w="5000" w:type="pct"/>
          </w:tcPr>
          <w:p w14:paraId="0E4A8232" w14:textId="6D306012" w:rsidR="0055220B" w:rsidRPr="009819CE" w:rsidRDefault="0055220B" w:rsidP="007D6607">
            <w:pPr>
              <w:pStyle w:val="Caption"/>
              <w:rPr>
                <w:rFonts w:asciiTheme="minorBidi" w:hAnsiTheme="minorBidi" w:cstheme="minorBidi"/>
                <w:lang w:val="en-GB"/>
              </w:rPr>
            </w:pPr>
            <w:bookmarkStart w:id="284" w:name="_Ref142492887"/>
            <w:bookmarkStart w:id="285" w:name="_Toc204106732"/>
            <w:r w:rsidRPr="009819CE">
              <w:rPr>
                <w:rFonts w:asciiTheme="minorBidi" w:hAnsiTheme="minorBidi" w:cstheme="minorBidi"/>
                <w:b/>
                <w:lang w:val="en-GB"/>
              </w:rPr>
              <w:t xml:space="preserve">Figure </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STYLEREF 1 \s </w:instrText>
            </w:r>
            <w:r w:rsidRPr="007268F5">
              <w:rPr>
                <w:rFonts w:asciiTheme="minorBidi" w:hAnsiTheme="minorBidi" w:cstheme="minorBidi"/>
                <w:b/>
              </w:rPr>
              <w:fldChar w:fldCharType="separate"/>
            </w:r>
            <w:r w:rsidR="008549FC">
              <w:rPr>
                <w:rFonts w:asciiTheme="minorBidi" w:hAnsiTheme="minorBidi" w:cstheme="minorBidi"/>
                <w:b/>
                <w:noProof/>
                <w:lang w:val="en-GB"/>
              </w:rPr>
              <w:t>3</w:t>
            </w:r>
            <w:r w:rsidRPr="007268F5">
              <w:rPr>
                <w:rFonts w:asciiTheme="minorBidi" w:hAnsiTheme="minorBidi" w:cstheme="minorBidi"/>
                <w:b/>
              </w:rPr>
              <w:fldChar w:fldCharType="end"/>
            </w:r>
            <w:r w:rsidRPr="009819CE">
              <w:rPr>
                <w:rFonts w:asciiTheme="minorBidi" w:hAnsiTheme="minorBidi" w:cstheme="minorBidi"/>
                <w:b/>
                <w:lang w:val="en-GB"/>
              </w:rPr>
              <w:t>.</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SEQ Figure \* ARABIC \s 1 </w:instrText>
            </w:r>
            <w:r w:rsidRPr="007268F5">
              <w:rPr>
                <w:rFonts w:asciiTheme="minorBidi" w:hAnsiTheme="minorBidi" w:cstheme="minorBidi"/>
                <w:b/>
              </w:rPr>
              <w:fldChar w:fldCharType="separate"/>
            </w:r>
            <w:r w:rsidR="008549FC">
              <w:rPr>
                <w:rFonts w:asciiTheme="minorBidi" w:hAnsiTheme="minorBidi" w:cstheme="minorBidi"/>
                <w:b/>
                <w:noProof/>
                <w:lang w:val="en-GB"/>
              </w:rPr>
              <w:t>8</w:t>
            </w:r>
            <w:r w:rsidRPr="007268F5">
              <w:rPr>
                <w:rFonts w:asciiTheme="minorBidi" w:hAnsiTheme="minorBidi" w:cstheme="minorBidi"/>
                <w:b/>
              </w:rPr>
              <w:fldChar w:fldCharType="end"/>
            </w:r>
            <w:bookmarkEnd w:id="284"/>
            <w:r w:rsidRPr="009819CE">
              <w:rPr>
                <w:rFonts w:asciiTheme="minorBidi" w:hAnsiTheme="minorBidi" w:cstheme="minorBidi"/>
                <w:b/>
                <w:lang w:val="en-GB"/>
              </w:rPr>
              <w:t xml:space="preserve"> </w:t>
            </w:r>
            <w:r w:rsidR="005B3188" w:rsidRPr="009819CE">
              <w:rPr>
                <w:sz w:val="20"/>
                <w:szCs w:val="20"/>
              </w:rPr>
              <w:t xml:space="preserve">Progression of </w:t>
            </w:r>
            <w:r w:rsidR="005B3188" w:rsidRPr="009819CE">
              <w:rPr>
                <w:rStyle w:val="Emphasis"/>
                <w:sz w:val="20"/>
                <w:szCs w:val="20"/>
              </w:rPr>
              <w:t>Hematodinium</w:t>
            </w:r>
            <w:r w:rsidR="005B3188" w:rsidRPr="009819CE">
              <w:rPr>
                <w:sz w:val="20"/>
                <w:szCs w:val="20"/>
              </w:rPr>
              <w:t xml:space="preserve"> sp. infection in the male gonad of </w:t>
            </w:r>
            <w:r w:rsidR="005B3188" w:rsidRPr="009819CE">
              <w:rPr>
                <w:rStyle w:val="Emphasis"/>
                <w:sz w:val="20"/>
                <w:szCs w:val="20"/>
              </w:rPr>
              <w:t>N.</w:t>
            </w:r>
            <w:r w:rsidR="005B3188" w:rsidRPr="009819CE">
              <w:rPr>
                <w:rStyle w:val="Emphasis"/>
              </w:rPr>
              <w:t xml:space="preserve"> </w:t>
            </w:r>
            <w:r w:rsidR="005B3188" w:rsidRPr="009819CE">
              <w:rPr>
                <w:rStyle w:val="Emphasis"/>
                <w:sz w:val="20"/>
                <w:szCs w:val="20"/>
              </w:rPr>
              <w:t>norvegicus</w:t>
            </w:r>
            <w:r w:rsidR="005B3188" w:rsidRPr="009819CE">
              <w:rPr>
                <w:sz w:val="20"/>
                <w:szCs w:val="20"/>
              </w:rPr>
              <w:t>, shown across infection stages 0 to 4 (</w:t>
            </w:r>
            <w:r w:rsidR="005B3188" w:rsidRPr="009819CE">
              <w:rPr>
                <w:b/>
                <w:bCs/>
                <w:sz w:val="20"/>
                <w:szCs w:val="20"/>
              </w:rPr>
              <w:t>A</w:t>
            </w:r>
            <w:r w:rsidR="005B3188" w:rsidRPr="009819CE">
              <w:rPr>
                <w:rFonts w:hint="eastAsia"/>
                <w:b/>
                <w:bCs/>
                <w:sz w:val="20"/>
                <w:szCs w:val="20"/>
              </w:rPr>
              <w:t>–</w:t>
            </w:r>
            <w:r w:rsidR="005B3188" w:rsidRPr="009819CE">
              <w:rPr>
                <w:b/>
                <w:bCs/>
                <w:sz w:val="20"/>
                <w:szCs w:val="20"/>
              </w:rPr>
              <w:t>E</w:t>
            </w:r>
            <w:r w:rsidR="005B3188" w:rsidRPr="009819CE">
              <w:rPr>
                <w:sz w:val="20"/>
                <w:szCs w:val="20"/>
              </w:rPr>
              <w:t xml:space="preserve">), based on the pleopod method. </w:t>
            </w:r>
            <w:r w:rsidR="005B3188" w:rsidRPr="009819CE">
              <w:rPr>
                <w:rStyle w:val="Strong"/>
                <w:sz w:val="20"/>
                <w:szCs w:val="20"/>
              </w:rPr>
              <w:t>F</w:t>
            </w:r>
            <w:r w:rsidR="005B3188" w:rsidRPr="009819CE">
              <w:rPr>
                <w:rStyle w:val="Strong"/>
                <w:b w:val="0"/>
                <w:bCs w:val="0"/>
                <w:sz w:val="20"/>
                <w:szCs w:val="20"/>
              </w:rPr>
              <w:t>)</w:t>
            </w:r>
            <w:r w:rsidR="005B3188" w:rsidRPr="009819CE">
              <w:rPr>
                <w:sz w:val="20"/>
                <w:szCs w:val="20"/>
              </w:rPr>
              <w:t xml:space="preserve"> High-magnification image of a male gonad at stage 2 of infection (PM). Haemocytes (</w:t>
            </w:r>
            <w:r w:rsidR="000904E7">
              <w:rPr>
                <w:sz w:val="20"/>
                <w:szCs w:val="20"/>
              </w:rPr>
              <w:t>red</w:t>
            </w:r>
            <w:r w:rsidR="005B3188" w:rsidRPr="009819CE">
              <w:rPr>
                <w:sz w:val="20"/>
                <w:szCs w:val="20"/>
              </w:rPr>
              <w:t xml:space="preserve"> arrows), mononucleated </w:t>
            </w:r>
            <w:r w:rsidR="005B3188" w:rsidRPr="009819CE">
              <w:rPr>
                <w:rStyle w:val="Emphasis"/>
                <w:sz w:val="20"/>
                <w:szCs w:val="20"/>
              </w:rPr>
              <w:t>Hematodinium</w:t>
            </w:r>
            <w:r w:rsidR="005B3188" w:rsidRPr="009819CE">
              <w:rPr>
                <w:sz w:val="20"/>
                <w:szCs w:val="20"/>
              </w:rPr>
              <w:t xml:space="preserve"> cells (blue arrow), and multinucleated </w:t>
            </w:r>
            <w:r w:rsidR="005B3188" w:rsidRPr="009819CE">
              <w:rPr>
                <w:rStyle w:val="Emphasis"/>
                <w:sz w:val="20"/>
                <w:szCs w:val="20"/>
              </w:rPr>
              <w:t>Hematodinium</w:t>
            </w:r>
            <w:r w:rsidR="005B3188" w:rsidRPr="009819CE">
              <w:rPr>
                <w:sz w:val="20"/>
                <w:szCs w:val="20"/>
              </w:rPr>
              <w:t xml:space="preserve"> cells (black arrow) are visible. </w:t>
            </w:r>
            <w:r w:rsidR="005B3188" w:rsidRPr="009819CE">
              <w:rPr>
                <w:rStyle w:val="Emphasis"/>
                <w:sz w:val="20"/>
                <w:szCs w:val="20"/>
              </w:rPr>
              <w:t>Note: No evidence of host cellular response or melanisation is observed.</w:t>
            </w:r>
            <w:bookmarkEnd w:id="285"/>
          </w:p>
        </w:tc>
      </w:tr>
    </w:tbl>
    <w:p w14:paraId="7D8DC099" w14:textId="77777777" w:rsidR="0055220B" w:rsidRPr="009819CE" w:rsidRDefault="0055220B" w:rsidP="0055220B">
      <w:pPr>
        <w:tabs>
          <w:tab w:val="left" w:pos="1620"/>
        </w:tabs>
        <w:ind w:right="180"/>
        <w:rPr>
          <w:rFonts w:cstheme="minorBidi"/>
          <w:color w:val="000000" w:themeColor="text1"/>
        </w:rPr>
        <w:sectPr w:rsidR="0055220B" w:rsidRPr="009819CE" w:rsidSect="00BE7115">
          <w:pgSz w:w="11906" w:h="16838" w:code="9"/>
          <w:pgMar w:top="720" w:right="720" w:bottom="720" w:left="720" w:header="708" w:footer="708" w:gutter="0"/>
          <w:cols w:space="708"/>
          <w:docGrid w:linePitch="360"/>
        </w:sectPr>
      </w:pPr>
    </w:p>
    <w:p w14:paraId="4222B833" w14:textId="4CBACB7E" w:rsidR="0055220B" w:rsidRPr="009819CE" w:rsidRDefault="0055220B" w:rsidP="00FD0393">
      <w:pPr>
        <w:pStyle w:val="Heading3"/>
        <w:rPr>
          <w:rFonts w:cstheme="minorBidi"/>
        </w:rPr>
      </w:pPr>
      <w:bookmarkStart w:id="286" w:name="_Toc204106649"/>
      <w:r w:rsidRPr="009819CE">
        <w:rPr>
          <w:rFonts w:cstheme="minorBidi"/>
        </w:rPr>
        <w:t xml:space="preserve">Composition of the haemolymph and gut microbiomes in 'healthy' </w:t>
      </w:r>
      <w:r w:rsidR="00C31E47" w:rsidRPr="009819CE">
        <w:rPr>
          <w:rFonts w:cstheme="minorBidi"/>
          <w:i/>
        </w:rPr>
        <w:t>Nephrops</w:t>
      </w:r>
      <w:r w:rsidRPr="009819CE">
        <w:rPr>
          <w:rFonts w:cstheme="minorBidi"/>
        </w:rPr>
        <w:t xml:space="preserve"> (</w:t>
      </w:r>
      <w:r w:rsidR="009D03F4" w:rsidRPr="009819CE">
        <w:rPr>
          <w:rFonts w:cstheme="minorBidi"/>
          <w:i/>
          <w:iCs/>
        </w:rPr>
        <w:t>Hematodinium</w:t>
      </w:r>
      <w:r w:rsidRPr="009819CE">
        <w:rPr>
          <w:rFonts w:cstheme="minorBidi"/>
        </w:rPr>
        <w:t>-free)</w:t>
      </w:r>
      <w:bookmarkEnd w:id="286"/>
    </w:p>
    <w:p w14:paraId="490157DD" w14:textId="5D6F6E8D" w:rsidR="0055220B" w:rsidRPr="009819CE" w:rsidRDefault="0055220B" w:rsidP="0055220B">
      <w:pPr>
        <w:spacing w:after="0"/>
        <w:rPr>
          <w:rFonts w:cstheme="minorBidi"/>
          <w:color w:val="000000" w:themeColor="text1"/>
        </w:rPr>
      </w:pPr>
      <w:r w:rsidRPr="009819CE">
        <w:rPr>
          <w:rFonts w:cstheme="minorBidi"/>
          <w:color w:val="000000" w:themeColor="text1"/>
        </w:rPr>
        <w:t xml:space="preserve">The haemolymph and gut microbiomes of n=45 “healthy” </w:t>
      </w:r>
      <w:r w:rsidR="00C31E47" w:rsidRPr="009819CE">
        <w:rPr>
          <w:rFonts w:cstheme="minorBidi"/>
          <w:i/>
          <w:iCs/>
          <w:color w:val="000000" w:themeColor="text1"/>
        </w:rPr>
        <w:t>Nephrops</w:t>
      </w:r>
      <w:r w:rsidRPr="009819CE">
        <w:rPr>
          <w:rFonts w:cstheme="minorBidi"/>
          <w:i/>
          <w:iCs/>
          <w:color w:val="000000" w:themeColor="text1"/>
        </w:rPr>
        <w:t xml:space="preserve"> </w:t>
      </w:r>
      <w:r w:rsidRPr="009819CE">
        <w:rPr>
          <w:rFonts w:cstheme="minorBidi"/>
          <w:color w:val="000000" w:themeColor="text1"/>
        </w:rPr>
        <w:t>(</w:t>
      </w:r>
      <w:r w:rsidR="009D03F4" w:rsidRPr="009819CE">
        <w:rPr>
          <w:rFonts w:cstheme="minorBidi"/>
          <w:i/>
          <w:iCs/>
          <w:color w:val="000000" w:themeColor="text1"/>
        </w:rPr>
        <w:t>Hematodinium</w:t>
      </w:r>
      <w:r w:rsidRPr="009819CE">
        <w:rPr>
          <w:rFonts w:cstheme="minorBidi"/>
          <w:color w:val="000000" w:themeColor="text1"/>
        </w:rPr>
        <w:t>-free by</w:t>
      </w:r>
      <w:r w:rsidRPr="009819CE">
        <w:rPr>
          <w:rFonts w:cstheme="minorBidi"/>
        </w:rPr>
        <w:t xml:space="preserve"> </w:t>
      </w:r>
      <w:r w:rsidRPr="009819CE">
        <w:rPr>
          <w:rFonts w:cstheme="minorBidi"/>
          <w:color w:val="000000" w:themeColor="text1"/>
        </w:rPr>
        <w:t xml:space="preserve">BCM, PM, histology tissue screening and haemolymph-PCR) were examined to characterise the structure of microbial communities and identify their core microbiome. The most dominant phyla in the haemolymph samples were </w:t>
      </w:r>
      <w:r w:rsidRPr="009819CE">
        <w:rPr>
          <w:rFonts w:cstheme="minorBidi"/>
          <w:i/>
          <w:iCs/>
          <w:color w:val="000000" w:themeColor="text1"/>
        </w:rPr>
        <w:t>Proteobacteria</w:t>
      </w:r>
      <w:r w:rsidRPr="009819CE">
        <w:rPr>
          <w:rFonts w:cstheme="minorBidi"/>
          <w:color w:val="000000" w:themeColor="text1"/>
        </w:rPr>
        <w:t xml:space="preserve"> (46.</w:t>
      </w:r>
      <w:r w:rsidR="00FA44C6" w:rsidRPr="00FA7D47">
        <w:rPr>
          <w:rFonts w:cstheme="minorBidi"/>
          <w:color w:val="000000" w:themeColor="text1"/>
        </w:rPr>
        <w:t>1</w:t>
      </w:r>
      <w:r w:rsidRPr="009819CE">
        <w:rPr>
          <w:rFonts w:cstheme="minorBidi"/>
          <w:color w:val="000000" w:themeColor="text1"/>
        </w:rPr>
        <w:t>±12.</w:t>
      </w:r>
      <w:r w:rsidR="00FA44C6" w:rsidRPr="00FA7D47">
        <w:rPr>
          <w:rFonts w:cstheme="minorBidi"/>
          <w:color w:val="000000" w:themeColor="text1"/>
        </w:rPr>
        <w:t>4</w:t>
      </w:r>
      <w:r w:rsidRPr="009819CE">
        <w:rPr>
          <w:rFonts w:cstheme="minorBidi"/>
          <w:color w:val="000000" w:themeColor="text1"/>
        </w:rPr>
        <w:t xml:space="preserve">%), </w:t>
      </w:r>
      <w:r w:rsidRPr="009819CE">
        <w:rPr>
          <w:rFonts w:cstheme="minorBidi"/>
          <w:i/>
          <w:iCs/>
          <w:color w:val="000000" w:themeColor="text1"/>
        </w:rPr>
        <w:t>Firmicutes</w:t>
      </w:r>
      <w:r w:rsidRPr="009819CE">
        <w:rPr>
          <w:rFonts w:cstheme="minorBidi"/>
          <w:color w:val="000000" w:themeColor="text1"/>
        </w:rPr>
        <w:t xml:space="preserve"> (36.7±13.0%), </w:t>
      </w:r>
      <w:r w:rsidRPr="009819CE">
        <w:rPr>
          <w:rFonts w:cstheme="minorBidi"/>
          <w:i/>
          <w:iCs/>
          <w:color w:val="000000" w:themeColor="text1"/>
        </w:rPr>
        <w:t>Bacteroidota</w:t>
      </w:r>
      <w:r w:rsidRPr="009819CE">
        <w:rPr>
          <w:rFonts w:cstheme="minorBidi"/>
          <w:color w:val="000000" w:themeColor="text1"/>
        </w:rPr>
        <w:t xml:space="preserve"> (8.1±3.7%) and </w:t>
      </w:r>
      <w:r w:rsidRPr="009819CE">
        <w:rPr>
          <w:rFonts w:cstheme="minorBidi"/>
          <w:i/>
          <w:iCs/>
          <w:color w:val="000000" w:themeColor="text1"/>
        </w:rPr>
        <w:t>Actinobacteria</w:t>
      </w:r>
      <w:r w:rsidRPr="009819CE">
        <w:rPr>
          <w:rFonts w:cstheme="minorBidi"/>
          <w:color w:val="000000" w:themeColor="text1"/>
        </w:rPr>
        <w:t xml:space="preserve"> (</w:t>
      </w:r>
      <w:r w:rsidR="00FA44C6" w:rsidRPr="00FA7D47">
        <w:rPr>
          <w:rFonts w:cstheme="minorBidi"/>
          <w:color w:val="000000" w:themeColor="text1"/>
        </w:rPr>
        <w:t>3</w:t>
      </w:r>
      <w:r w:rsidRPr="009819CE">
        <w:rPr>
          <w:rFonts w:cstheme="minorBidi"/>
          <w:color w:val="000000" w:themeColor="text1"/>
        </w:rPr>
        <w:t>±1.</w:t>
      </w:r>
      <w:r w:rsidR="00FA44C6" w:rsidRPr="00FA7D47">
        <w:rPr>
          <w:rFonts w:cstheme="minorBidi"/>
          <w:color w:val="000000" w:themeColor="text1"/>
        </w:rPr>
        <w:t>2</w:t>
      </w:r>
      <w:r w:rsidRPr="009819CE">
        <w:rPr>
          <w:rFonts w:cstheme="minorBidi"/>
          <w:color w:val="000000" w:themeColor="text1"/>
        </w:rPr>
        <w:t>%) (</w:t>
      </w:r>
      <w:r w:rsidRPr="009819CE">
        <w:rPr>
          <w:rFonts w:cstheme="minorBidi"/>
          <w:b/>
          <w:bCs/>
        </w:rPr>
        <w:fldChar w:fldCharType="begin"/>
      </w:r>
      <w:r w:rsidRPr="009819CE">
        <w:rPr>
          <w:rFonts w:cstheme="minorBidi"/>
          <w:b/>
          <w:bCs/>
        </w:rPr>
        <w:instrText xml:space="preserve"> REF _Ref130200584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3.9</w:t>
      </w:r>
      <w:r w:rsidRPr="009819CE">
        <w:rPr>
          <w:rFonts w:cstheme="minorBidi"/>
          <w:b/>
          <w:bCs/>
        </w:rPr>
        <w:fldChar w:fldCharType="end"/>
      </w:r>
      <w:r w:rsidRPr="009819CE">
        <w:rPr>
          <w:rFonts w:cstheme="minorBidi"/>
        </w:rPr>
        <w:t>A</w:t>
      </w:r>
      <w:r w:rsidRPr="009819CE">
        <w:rPr>
          <w:rFonts w:cstheme="minorBidi"/>
          <w:color w:val="000000" w:themeColor="text1"/>
        </w:rPr>
        <w:t xml:space="preserve">). In the gut, the dominant phyla were </w:t>
      </w:r>
      <w:r w:rsidRPr="009819CE">
        <w:rPr>
          <w:rFonts w:cstheme="minorBidi"/>
          <w:i/>
          <w:iCs/>
          <w:color w:val="000000" w:themeColor="text1"/>
        </w:rPr>
        <w:t>Proteobacteria</w:t>
      </w:r>
      <w:r w:rsidRPr="009819CE">
        <w:rPr>
          <w:rFonts w:cstheme="minorBidi"/>
          <w:color w:val="000000" w:themeColor="text1"/>
        </w:rPr>
        <w:t xml:space="preserve"> (26.</w:t>
      </w:r>
      <w:r w:rsidR="00FA44C6" w:rsidRPr="00FA7D47">
        <w:rPr>
          <w:rFonts w:cstheme="minorBidi"/>
          <w:color w:val="000000" w:themeColor="text1"/>
        </w:rPr>
        <w:t>7</w:t>
      </w:r>
      <w:r w:rsidRPr="009819CE">
        <w:rPr>
          <w:rFonts w:cstheme="minorBidi"/>
          <w:color w:val="000000" w:themeColor="text1"/>
        </w:rPr>
        <w:t>±</w:t>
      </w:r>
      <w:r w:rsidR="00FA44C6" w:rsidRPr="00FA7D47">
        <w:rPr>
          <w:rFonts w:cstheme="minorBidi"/>
          <w:color w:val="000000" w:themeColor="text1"/>
        </w:rPr>
        <w:t>9</w:t>
      </w:r>
      <w:r w:rsidRPr="009819CE">
        <w:rPr>
          <w:rFonts w:cstheme="minorBidi"/>
          <w:color w:val="000000" w:themeColor="text1"/>
        </w:rPr>
        <w:t xml:space="preserve">%), </w:t>
      </w:r>
      <w:r w:rsidRPr="009819CE">
        <w:rPr>
          <w:rFonts w:cstheme="minorBidi"/>
          <w:i/>
          <w:iCs/>
          <w:color w:val="000000" w:themeColor="text1"/>
        </w:rPr>
        <w:t>Desulfobacterota</w:t>
      </w:r>
      <w:r w:rsidRPr="009819CE">
        <w:rPr>
          <w:rFonts w:cstheme="minorBidi"/>
          <w:color w:val="000000" w:themeColor="text1"/>
        </w:rPr>
        <w:t xml:space="preserve"> (17.</w:t>
      </w:r>
      <w:r w:rsidR="00FA44C6" w:rsidRPr="00FA7D47">
        <w:rPr>
          <w:rFonts w:cstheme="minorBidi"/>
          <w:color w:val="000000" w:themeColor="text1"/>
        </w:rPr>
        <w:t>6</w:t>
      </w:r>
      <w:r w:rsidRPr="009819CE">
        <w:rPr>
          <w:rFonts w:cstheme="minorBidi"/>
          <w:color w:val="000000" w:themeColor="text1"/>
        </w:rPr>
        <w:t xml:space="preserve">±7.1%), </w:t>
      </w:r>
      <w:r w:rsidRPr="009819CE">
        <w:rPr>
          <w:rFonts w:cstheme="minorBidi"/>
          <w:i/>
          <w:iCs/>
          <w:color w:val="000000" w:themeColor="text1"/>
        </w:rPr>
        <w:t>Bacteroidota</w:t>
      </w:r>
      <w:r w:rsidRPr="009819CE">
        <w:rPr>
          <w:rFonts w:cstheme="minorBidi"/>
          <w:color w:val="000000" w:themeColor="text1"/>
        </w:rPr>
        <w:t xml:space="preserve"> (14.</w:t>
      </w:r>
      <w:r w:rsidR="00FA44C6" w:rsidRPr="00FA7D47">
        <w:rPr>
          <w:rFonts w:cstheme="minorBidi"/>
          <w:color w:val="000000" w:themeColor="text1"/>
        </w:rPr>
        <w:t>5</w:t>
      </w:r>
      <w:r w:rsidRPr="009819CE">
        <w:rPr>
          <w:rFonts w:cstheme="minorBidi"/>
          <w:color w:val="000000" w:themeColor="text1"/>
        </w:rPr>
        <w:t xml:space="preserve">±4.1%), </w:t>
      </w:r>
      <w:r w:rsidRPr="009819CE">
        <w:rPr>
          <w:rFonts w:cstheme="minorBidi"/>
          <w:i/>
          <w:iCs/>
          <w:color w:val="000000" w:themeColor="text1"/>
        </w:rPr>
        <w:t>Fusobacteriota</w:t>
      </w:r>
      <w:r w:rsidRPr="009819CE">
        <w:rPr>
          <w:rFonts w:cstheme="minorBidi"/>
          <w:color w:val="000000" w:themeColor="text1"/>
        </w:rPr>
        <w:t xml:space="preserve"> (12.9±5.</w:t>
      </w:r>
      <w:r w:rsidR="00FA44C6" w:rsidRPr="00FA7D47">
        <w:rPr>
          <w:rFonts w:cstheme="minorBidi"/>
          <w:color w:val="000000" w:themeColor="text1"/>
        </w:rPr>
        <w:t>7</w:t>
      </w:r>
      <w:r w:rsidRPr="009819CE">
        <w:rPr>
          <w:rFonts w:cstheme="minorBidi"/>
          <w:color w:val="000000" w:themeColor="text1"/>
        </w:rPr>
        <w:t xml:space="preserve">%), </w:t>
      </w:r>
      <w:r w:rsidRPr="009819CE">
        <w:rPr>
          <w:rFonts w:cstheme="minorBidi"/>
          <w:i/>
          <w:iCs/>
          <w:color w:val="000000" w:themeColor="text1"/>
        </w:rPr>
        <w:t>Firmicutes</w:t>
      </w:r>
      <w:r w:rsidRPr="009819CE">
        <w:rPr>
          <w:rFonts w:cstheme="minorBidi"/>
          <w:color w:val="000000" w:themeColor="text1"/>
        </w:rPr>
        <w:t xml:space="preserve"> (10.0±8.</w:t>
      </w:r>
      <w:r w:rsidR="00FA44C6" w:rsidRPr="00FA7D47">
        <w:rPr>
          <w:rFonts w:cstheme="minorBidi"/>
          <w:color w:val="000000" w:themeColor="text1"/>
        </w:rPr>
        <w:t>5</w:t>
      </w:r>
      <w:r w:rsidRPr="009819CE">
        <w:rPr>
          <w:rFonts w:cstheme="minorBidi"/>
          <w:color w:val="000000" w:themeColor="text1"/>
        </w:rPr>
        <w:t xml:space="preserve">%), </w:t>
      </w:r>
      <w:r w:rsidRPr="009819CE">
        <w:rPr>
          <w:rFonts w:cstheme="minorBidi"/>
          <w:i/>
          <w:iCs/>
          <w:color w:val="000000" w:themeColor="text1"/>
        </w:rPr>
        <w:t>Verrucomicrobiota</w:t>
      </w:r>
      <w:r w:rsidRPr="009819CE">
        <w:rPr>
          <w:rFonts w:cstheme="minorBidi"/>
          <w:color w:val="000000" w:themeColor="text1"/>
        </w:rPr>
        <w:t xml:space="preserve"> (9.5±6.</w:t>
      </w:r>
      <w:r w:rsidR="00FA44C6" w:rsidRPr="00FA7D47">
        <w:rPr>
          <w:rFonts w:cstheme="minorBidi"/>
          <w:color w:val="000000" w:themeColor="text1"/>
        </w:rPr>
        <w:t>1</w:t>
      </w:r>
      <w:r w:rsidRPr="009819CE">
        <w:rPr>
          <w:rFonts w:cstheme="minorBidi"/>
          <w:color w:val="000000" w:themeColor="text1"/>
        </w:rPr>
        <w:t xml:space="preserve">%), </w:t>
      </w:r>
      <w:r w:rsidRPr="009819CE">
        <w:rPr>
          <w:rFonts w:cstheme="minorBidi"/>
          <w:i/>
          <w:iCs/>
          <w:color w:val="000000" w:themeColor="text1"/>
        </w:rPr>
        <w:t>Spirochaetota</w:t>
      </w:r>
      <w:r w:rsidRPr="009819CE">
        <w:rPr>
          <w:rFonts w:cstheme="minorBidi"/>
          <w:color w:val="000000" w:themeColor="text1"/>
        </w:rPr>
        <w:t xml:space="preserve"> (4.</w:t>
      </w:r>
      <w:r w:rsidR="00815D08" w:rsidRPr="00FA7D47">
        <w:rPr>
          <w:rFonts w:cstheme="minorBidi"/>
          <w:color w:val="000000" w:themeColor="text1"/>
        </w:rPr>
        <w:t>3</w:t>
      </w:r>
      <w:r w:rsidRPr="009819CE">
        <w:rPr>
          <w:rFonts w:cstheme="minorBidi"/>
          <w:color w:val="000000" w:themeColor="text1"/>
        </w:rPr>
        <w:t xml:space="preserve">±3.3%) and </w:t>
      </w:r>
      <w:r w:rsidR="00815D08" w:rsidRPr="00FA7D47">
        <w:rPr>
          <w:rFonts w:ascii="Arial (Body CS)" w:hAnsi="Arial (Body CS)" w:cstheme="minorBidi"/>
          <w:i/>
          <w:iCs/>
          <w:color w:val="000000" w:themeColor="text1"/>
        </w:rPr>
        <w:t>Campylobacterota</w:t>
      </w:r>
      <w:r w:rsidRPr="009819CE">
        <w:rPr>
          <w:rFonts w:cstheme="minorBidi"/>
          <w:color w:val="000000" w:themeColor="text1"/>
        </w:rPr>
        <w:t xml:space="preserve"> (2.4±1.</w:t>
      </w:r>
      <w:r w:rsidR="00FA44C6" w:rsidRPr="00FA7D47">
        <w:rPr>
          <w:rFonts w:cstheme="minorBidi"/>
          <w:color w:val="000000" w:themeColor="text1"/>
        </w:rPr>
        <w:t>6</w:t>
      </w:r>
      <w:r w:rsidRPr="009819CE">
        <w:rPr>
          <w:rFonts w:cstheme="minorBidi"/>
          <w:color w:val="000000" w:themeColor="text1"/>
        </w:rPr>
        <w:t>%) (</w:t>
      </w:r>
      <w:r w:rsidRPr="009819CE">
        <w:rPr>
          <w:rFonts w:cstheme="minorBidi"/>
          <w:b/>
          <w:bCs/>
        </w:rPr>
        <w:fldChar w:fldCharType="begin"/>
      </w:r>
      <w:r w:rsidRPr="009819CE">
        <w:rPr>
          <w:rFonts w:cstheme="minorBidi"/>
          <w:b/>
          <w:bCs/>
        </w:rPr>
        <w:instrText xml:space="preserve"> REF _Ref130200584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3.9</w:t>
      </w:r>
      <w:r w:rsidRPr="009819CE">
        <w:rPr>
          <w:rFonts w:cstheme="minorBidi"/>
          <w:b/>
          <w:bCs/>
        </w:rPr>
        <w:fldChar w:fldCharType="end"/>
      </w:r>
      <w:r w:rsidRPr="009819CE">
        <w:rPr>
          <w:rFonts w:cstheme="minorBidi"/>
        </w:rPr>
        <w:t>B</w:t>
      </w:r>
      <w:r w:rsidRPr="009819CE">
        <w:rPr>
          <w:rFonts w:cstheme="minorBidi"/>
          <w:color w:val="000000" w:themeColor="text1"/>
        </w:rPr>
        <w:t xml:space="preserve">). The family </w:t>
      </w:r>
      <w:r w:rsidRPr="009819CE">
        <w:rPr>
          <w:rFonts w:cstheme="minorBidi"/>
          <w:i/>
          <w:iCs/>
          <w:color w:val="000000" w:themeColor="text1"/>
        </w:rPr>
        <w:t>Lachnospiraceae</w:t>
      </w:r>
      <w:r w:rsidRPr="009819CE">
        <w:rPr>
          <w:rFonts w:cstheme="minorBidi"/>
          <w:color w:val="000000" w:themeColor="text1"/>
        </w:rPr>
        <w:t xml:space="preserve"> (13.7±6.6%) was most abundant in the haemolymph, while </w:t>
      </w:r>
      <w:r w:rsidR="00F40080">
        <w:rPr>
          <w:rFonts w:cstheme="minorBidi"/>
          <w:i/>
          <w:iCs/>
          <w:color w:val="000000" w:themeColor="text1"/>
        </w:rPr>
        <w:t>unclassified</w:t>
      </w:r>
      <w:r w:rsidRPr="009819CE">
        <w:rPr>
          <w:rFonts w:cstheme="minorBidi"/>
          <w:i/>
          <w:iCs/>
          <w:color w:val="000000" w:themeColor="text1"/>
        </w:rPr>
        <w:t xml:space="preserve"> Alphaproteobacteria</w:t>
      </w:r>
      <w:r w:rsidRPr="009819CE">
        <w:rPr>
          <w:rFonts w:cstheme="minorBidi"/>
          <w:color w:val="000000" w:themeColor="text1"/>
        </w:rPr>
        <w:t xml:space="preserve"> (13.3±7.</w:t>
      </w:r>
      <w:r w:rsidR="00815D08" w:rsidRPr="00FA7D47">
        <w:rPr>
          <w:rFonts w:cstheme="minorBidi"/>
          <w:color w:val="000000" w:themeColor="text1"/>
        </w:rPr>
        <w:t>2</w:t>
      </w:r>
      <w:r w:rsidRPr="009819CE">
        <w:rPr>
          <w:rFonts w:cstheme="minorBidi"/>
          <w:color w:val="000000" w:themeColor="text1"/>
        </w:rPr>
        <w:t>%) was the most abundant in the gut. The core haemolymph microbiome, representing 48.5% of total reads, consisted of 31 genera belonging to 26 families within 4 phyla (</w:t>
      </w:r>
      <w:r w:rsidRPr="009819CE">
        <w:rPr>
          <w:rFonts w:cstheme="minorBidi"/>
          <w:i/>
          <w:iCs/>
          <w:color w:val="000000" w:themeColor="text1"/>
        </w:rPr>
        <w:t>Proteobacteria</w:t>
      </w:r>
      <w:r w:rsidRPr="009819CE">
        <w:rPr>
          <w:rFonts w:cstheme="minorBidi"/>
          <w:color w:val="000000" w:themeColor="text1"/>
        </w:rPr>
        <w:t xml:space="preserve">, </w:t>
      </w:r>
      <w:r w:rsidRPr="009819CE">
        <w:rPr>
          <w:rFonts w:cstheme="minorBidi"/>
          <w:i/>
          <w:iCs/>
          <w:color w:val="000000" w:themeColor="text1"/>
        </w:rPr>
        <w:t>Firmicutes</w:t>
      </w:r>
      <w:r w:rsidRPr="009819CE">
        <w:rPr>
          <w:rFonts w:cstheme="minorBidi"/>
          <w:color w:val="000000" w:themeColor="text1"/>
        </w:rPr>
        <w:t xml:space="preserve">, </w:t>
      </w:r>
      <w:r w:rsidRPr="009819CE">
        <w:rPr>
          <w:rFonts w:cstheme="minorBidi"/>
          <w:i/>
          <w:iCs/>
          <w:color w:val="000000" w:themeColor="text1"/>
        </w:rPr>
        <w:t>Bacteroidota</w:t>
      </w:r>
      <w:r w:rsidRPr="009819CE">
        <w:rPr>
          <w:rFonts w:cstheme="minorBidi"/>
          <w:color w:val="000000" w:themeColor="text1"/>
        </w:rPr>
        <w:t xml:space="preserve"> and </w:t>
      </w:r>
      <w:r w:rsidRPr="009819CE">
        <w:rPr>
          <w:rFonts w:cstheme="minorBidi"/>
          <w:i/>
          <w:iCs/>
          <w:color w:val="000000" w:themeColor="text1"/>
        </w:rPr>
        <w:t>Actinobacteriota</w:t>
      </w:r>
      <w:r w:rsidRPr="009819CE">
        <w:rPr>
          <w:rFonts w:cstheme="minorBidi"/>
          <w:color w:val="000000" w:themeColor="text1"/>
        </w:rPr>
        <w:t>) (</w:t>
      </w:r>
      <w:r w:rsidR="008157E5" w:rsidRPr="009819CE">
        <w:rPr>
          <w:rFonts w:cstheme="minorBidi"/>
          <w:color w:val="000000" w:themeColor="text1"/>
        </w:rPr>
        <w:t>supplementary</w:t>
      </w:r>
      <w:r w:rsidR="00FB4A12" w:rsidRPr="009819CE">
        <w:rPr>
          <w:rFonts w:cstheme="minorBidi"/>
          <w:b/>
          <w:bCs/>
          <w:color w:val="000000" w:themeColor="text1"/>
        </w:rPr>
        <w:t xml:space="preserve"> </w:t>
      </w:r>
      <w:r w:rsidR="00FB4A12" w:rsidRPr="009819CE">
        <w:rPr>
          <w:rFonts w:cstheme="minorBidi"/>
          <w:b/>
          <w:bCs/>
          <w:color w:val="000000" w:themeColor="text1"/>
        </w:rPr>
        <w:fldChar w:fldCharType="begin"/>
      </w:r>
      <w:r w:rsidR="00FB4A12" w:rsidRPr="009819CE">
        <w:rPr>
          <w:rFonts w:cstheme="minorBidi"/>
          <w:b/>
          <w:bCs/>
          <w:color w:val="000000" w:themeColor="text1"/>
        </w:rPr>
        <w:instrText xml:space="preserve"> REF _Ref157965373 \h </w:instrText>
      </w:r>
      <w:r w:rsidR="00711741" w:rsidRPr="009819CE">
        <w:rPr>
          <w:rFonts w:cstheme="minorBidi"/>
          <w:b/>
          <w:bCs/>
          <w:color w:val="000000" w:themeColor="text1"/>
        </w:rPr>
        <w:instrText xml:space="preserve"> \* MERGEFORMAT </w:instrText>
      </w:r>
      <w:r w:rsidR="00FB4A12" w:rsidRPr="009819CE">
        <w:rPr>
          <w:rFonts w:cstheme="minorBidi"/>
          <w:b/>
          <w:bCs/>
          <w:color w:val="000000" w:themeColor="text1"/>
        </w:rPr>
      </w:r>
      <w:r w:rsidR="00FB4A12" w:rsidRPr="009819CE">
        <w:rPr>
          <w:rFonts w:cstheme="minorBidi"/>
          <w:b/>
          <w:bCs/>
          <w:color w:val="000000" w:themeColor="text1"/>
        </w:rPr>
        <w:fldChar w:fldCharType="separate"/>
      </w:r>
      <w:r w:rsidR="008549FC" w:rsidRPr="009819CE">
        <w:rPr>
          <w:rFonts w:cstheme="minorBidi"/>
          <w:b/>
          <w:bCs/>
        </w:rPr>
        <w:t xml:space="preserve">Table S3. </w:t>
      </w:r>
      <w:r w:rsidR="008549FC">
        <w:rPr>
          <w:rFonts w:cstheme="minorBidi"/>
          <w:b/>
          <w:bCs/>
        </w:rPr>
        <w:t>1</w:t>
      </w:r>
      <w:r w:rsidR="00FB4A12" w:rsidRPr="009819CE">
        <w:rPr>
          <w:rFonts w:cstheme="minorBidi"/>
          <w:b/>
          <w:bCs/>
          <w:color w:val="000000" w:themeColor="text1"/>
        </w:rPr>
        <w:fldChar w:fldCharType="end"/>
      </w:r>
      <w:r w:rsidRPr="009819CE">
        <w:rPr>
          <w:rFonts w:cstheme="minorBidi"/>
          <w:color w:val="000000" w:themeColor="text1"/>
        </w:rPr>
        <w:t>). On the other hand, the gut core microbiome, comprising 83.1% of the total reads, included 15 genera within 13 families spanning 8 phyla (</w:t>
      </w:r>
      <w:r w:rsidRPr="009819CE">
        <w:rPr>
          <w:rFonts w:cstheme="minorBidi"/>
          <w:i/>
          <w:iCs/>
          <w:color w:val="000000" w:themeColor="text1"/>
        </w:rPr>
        <w:t>Proteobacteriota</w:t>
      </w:r>
      <w:r w:rsidRPr="009819CE">
        <w:rPr>
          <w:rFonts w:cstheme="minorBidi"/>
          <w:color w:val="000000" w:themeColor="text1"/>
        </w:rPr>
        <w:t xml:space="preserve">, </w:t>
      </w:r>
      <w:r w:rsidRPr="009819CE">
        <w:rPr>
          <w:rFonts w:cstheme="minorBidi"/>
          <w:i/>
          <w:iCs/>
          <w:color w:val="000000" w:themeColor="text1"/>
        </w:rPr>
        <w:t>Desulfobacterota</w:t>
      </w:r>
      <w:r w:rsidRPr="009819CE">
        <w:rPr>
          <w:rFonts w:cstheme="minorBidi"/>
          <w:color w:val="000000" w:themeColor="text1"/>
        </w:rPr>
        <w:t xml:space="preserve">, </w:t>
      </w:r>
      <w:r w:rsidRPr="009819CE">
        <w:rPr>
          <w:rFonts w:cstheme="minorBidi"/>
          <w:i/>
          <w:iCs/>
          <w:color w:val="000000" w:themeColor="text1"/>
        </w:rPr>
        <w:t>Bacteroidota</w:t>
      </w:r>
      <w:r w:rsidRPr="009819CE">
        <w:rPr>
          <w:rFonts w:cstheme="minorBidi"/>
          <w:color w:val="000000" w:themeColor="text1"/>
        </w:rPr>
        <w:t xml:space="preserve">, </w:t>
      </w:r>
      <w:r w:rsidRPr="009819CE">
        <w:rPr>
          <w:rFonts w:cstheme="minorBidi"/>
          <w:i/>
          <w:iCs/>
          <w:color w:val="000000" w:themeColor="text1"/>
        </w:rPr>
        <w:t>Fusobacteriota</w:t>
      </w:r>
      <w:r w:rsidRPr="009819CE">
        <w:rPr>
          <w:rFonts w:cstheme="minorBidi"/>
          <w:color w:val="000000" w:themeColor="text1"/>
        </w:rPr>
        <w:t xml:space="preserve">, </w:t>
      </w:r>
      <w:r w:rsidRPr="009819CE">
        <w:rPr>
          <w:rFonts w:cstheme="minorBidi"/>
          <w:i/>
          <w:iCs/>
          <w:color w:val="000000" w:themeColor="text1"/>
        </w:rPr>
        <w:t>Firmicutes</w:t>
      </w:r>
      <w:r w:rsidRPr="009819CE">
        <w:rPr>
          <w:rFonts w:cstheme="minorBidi"/>
          <w:color w:val="000000" w:themeColor="text1"/>
        </w:rPr>
        <w:t xml:space="preserve">, </w:t>
      </w:r>
      <w:r w:rsidRPr="009819CE">
        <w:rPr>
          <w:rFonts w:cstheme="minorBidi"/>
          <w:i/>
          <w:iCs/>
          <w:color w:val="000000" w:themeColor="text1"/>
        </w:rPr>
        <w:t>Verrucomicrobiota</w:t>
      </w:r>
      <w:r w:rsidRPr="009819CE">
        <w:rPr>
          <w:rFonts w:cstheme="minorBidi"/>
          <w:color w:val="000000" w:themeColor="text1"/>
        </w:rPr>
        <w:t xml:space="preserve">, </w:t>
      </w:r>
      <w:r w:rsidRPr="009819CE">
        <w:rPr>
          <w:rFonts w:cstheme="minorBidi"/>
          <w:i/>
          <w:iCs/>
          <w:color w:val="000000" w:themeColor="text1"/>
        </w:rPr>
        <w:t xml:space="preserve">Spirochaetota </w:t>
      </w:r>
      <w:r w:rsidRPr="009819CE">
        <w:rPr>
          <w:rFonts w:cstheme="minorBidi"/>
          <w:color w:val="000000" w:themeColor="text1"/>
        </w:rPr>
        <w:t xml:space="preserve">and </w:t>
      </w:r>
      <w:r w:rsidR="00815D08" w:rsidRPr="00FA7D47">
        <w:rPr>
          <w:rFonts w:ascii="Arial (Body CS)" w:hAnsi="Arial (Body CS)" w:cstheme="minorBidi"/>
          <w:i/>
          <w:iCs/>
          <w:color w:val="000000" w:themeColor="text1"/>
        </w:rPr>
        <w:t>Campylobacterota</w:t>
      </w:r>
      <w:r w:rsidRPr="009819CE">
        <w:rPr>
          <w:rFonts w:cstheme="minorBidi"/>
          <w:color w:val="000000" w:themeColor="text1"/>
        </w:rPr>
        <w:t>) (</w:t>
      </w:r>
      <w:r w:rsidR="008157E5" w:rsidRPr="009819CE">
        <w:rPr>
          <w:rFonts w:cstheme="minorBidi"/>
          <w:color w:val="000000" w:themeColor="text1"/>
        </w:rPr>
        <w:t>supplementary</w:t>
      </w:r>
      <w:r w:rsidR="00FB4A12" w:rsidRPr="009819CE">
        <w:rPr>
          <w:rFonts w:cstheme="minorBidi"/>
          <w:color w:val="000000" w:themeColor="text1"/>
        </w:rPr>
        <w:t xml:space="preserve"> </w:t>
      </w:r>
      <w:r w:rsidR="00FB4A12" w:rsidRPr="009819CE">
        <w:rPr>
          <w:rFonts w:cstheme="minorBidi"/>
          <w:color w:val="000000" w:themeColor="text1"/>
        </w:rPr>
        <w:fldChar w:fldCharType="begin"/>
      </w:r>
      <w:r w:rsidR="00FB4A12" w:rsidRPr="009819CE">
        <w:rPr>
          <w:rFonts w:cstheme="minorBidi"/>
          <w:color w:val="000000" w:themeColor="text1"/>
        </w:rPr>
        <w:instrText xml:space="preserve"> REF _Ref157965386 \h </w:instrText>
      </w:r>
      <w:r w:rsidR="00711741" w:rsidRPr="009819CE">
        <w:rPr>
          <w:rFonts w:cstheme="minorBidi"/>
          <w:color w:val="000000" w:themeColor="text1"/>
        </w:rPr>
        <w:instrText xml:space="preserve"> \* MERGEFORMAT </w:instrText>
      </w:r>
      <w:r w:rsidR="00FB4A12" w:rsidRPr="009819CE">
        <w:rPr>
          <w:rFonts w:cstheme="minorBidi"/>
          <w:color w:val="000000" w:themeColor="text1"/>
        </w:rPr>
      </w:r>
      <w:r w:rsidR="00FB4A12" w:rsidRPr="009819CE">
        <w:rPr>
          <w:rFonts w:cstheme="minorBidi"/>
          <w:color w:val="000000" w:themeColor="text1"/>
        </w:rPr>
        <w:fldChar w:fldCharType="separate"/>
      </w:r>
      <w:r w:rsidR="008549FC" w:rsidRPr="009819CE">
        <w:rPr>
          <w:rFonts w:cstheme="minorBidi"/>
          <w:b/>
          <w:bCs/>
        </w:rPr>
        <w:t xml:space="preserve">Table S3. </w:t>
      </w:r>
      <w:r w:rsidR="008549FC">
        <w:rPr>
          <w:rFonts w:cstheme="minorBidi"/>
          <w:b/>
          <w:bCs/>
        </w:rPr>
        <w:t>2</w:t>
      </w:r>
      <w:r w:rsidR="00FB4A12" w:rsidRPr="009819CE">
        <w:rPr>
          <w:rFonts w:cstheme="minorBidi"/>
          <w:color w:val="000000" w:themeColor="text1"/>
        </w:rPr>
        <w:fldChar w:fldCharType="end"/>
      </w:r>
      <w:r w:rsidRPr="009819CE">
        <w:rPr>
          <w:rFonts w:cstheme="minorBidi"/>
          <w:color w:val="000000" w:themeColor="text1"/>
        </w:rPr>
        <w:t>).</w:t>
      </w:r>
    </w:p>
    <w:p w14:paraId="5394A33C" w14:textId="77777777" w:rsidR="0055220B" w:rsidRPr="009819CE" w:rsidRDefault="0055220B" w:rsidP="0055220B">
      <w:pPr>
        <w:tabs>
          <w:tab w:val="left" w:pos="1620"/>
        </w:tabs>
        <w:ind w:right="180"/>
        <w:rPr>
          <w:rFonts w:cstheme="minorBidi"/>
        </w:rPr>
        <w:sectPr w:rsidR="0055220B" w:rsidRPr="009819CE" w:rsidSect="003A7A28">
          <w:footerReference w:type="default" r:id="rId85"/>
          <w:pgSz w:w="12240" w:h="15840"/>
          <w:pgMar w:top="1440" w:right="1440" w:bottom="1440" w:left="1440" w:header="708" w:footer="708" w:gutter="0"/>
          <w:cols w:space="708"/>
          <w:docGrid w:linePitch="360"/>
        </w:sectPr>
      </w:pPr>
    </w:p>
    <w:tbl>
      <w:tblPr>
        <w:tblStyle w:val="TableGridLight"/>
        <w:tblW w:w="5000" w:type="pct"/>
        <w:tblInd w:w="0" w:type="dxa"/>
        <w:tblLook w:val="04A0" w:firstRow="1" w:lastRow="0" w:firstColumn="1" w:lastColumn="0" w:noHBand="0" w:noVBand="1"/>
      </w:tblPr>
      <w:tblGrid>
        <w:gridCol w:w="13948"/>
      </w:tblGrid>
      <w:tr w:rsidR="0055220B" w:rsidRPr="00FA7D47" w14:paraId="281D9F7E" w14:textId="77777777" w:rsidTr="007D6607">
        <w:trPr>
          <w:trHeight w:val="4351"/>
        </w:trPr>
        <w:tc>
          <w:tcPr>
            <w:tcW w:w="5000" w:type="pct"/>
          </w:tcPr>
          <w:p w14:paraId="0847087F" w14:textId="77777777" w:rsidR="0055220B" w:rsidRPr="009819CE" w:rsidRDefault="0055220B" w:rsidP="007D6607">
            <w:pPr>
              <w:tabs>
                <w:tab w:val="left" w:pos="1620"/>
              </w:tabs>
              <w:ind w:right="180"/>
              <w:jc w:val="center"/>
              <w:rPr>
                <w:rFonts w:cstheme="minorBidi"/>
                <w:szCs w:val="24"/>
                <w:lang w:val="en-GB"/>
              </w:rPr>
            </w:pPr>
            <w:r w:rsidRPr="00FF34FE">
              <w:rPr>
                <w:rFonts w:cstheme="minorBidi"/>
                <w:noProof/>
              </w:rPr>
              <w:drawing>
                <wp:inline distT="0" distB="0" distL="0" distR="0" wp14:anchorId="20EC35CE" wp14:editId="004EFE36">
                  <wp:extent cx="6934119" cy="4523874"/>
                  <wp:effectExtent l="0" t="0" r="635" b="0"/>
                  <wp:docPr id="1334476991"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76991" name="Picture 9" descr="A screenshot of a graph&#10;&#10;Description automatically generated"/>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983399" cy="4556025"/>
                          </a:xfrm>
                          <a:prstGeom prst="rect">
                            <a:avLst/>
                          </a:prstGeom>
                          <a:noFill/>
                          <a:ln>
                            <a:noFill/>
                          </a:ln>
                        </pic:spPr>
                      </pic:pic>
                    </a:graphicData>
                  </a:graphic>
                </wp:inline>
              </w:drawing>
            </w:r>
          </w:p>
        </w:tc>
      </w:tr>
      <w:tr w:rsidR="0055220B" w:rsidRPr="00FA7D47" w14:paraId="28E72C29" w14:textId="77777777" w:rsidTr="007D6607">
        <w:trPr>
          <w:trHeight w:val="440"/>
        </w:trPr>
        <w:tc>
          <w:tcPr>
            <w:tcW w:w="5000" w:type="pct"/>
          </w:tcPr>
          <w:p w14:paraId="137C76D3" w14:textId="3BD1322F" w:rsidR="0055220B" w:rsidRPr="009819CE" w:rsidRDefault="0055220B" w:rsidP="007D6607">
            <w:pPr>
              <w:pStyle w:val="Caption"/>
              <w:rPr>
                <w:rFonts w:asciiTheme="minorBidi" w:hAnsiTheme="minorBidi" w:cstheme="minorBidi"/>
                <w:lang w:val="en-GB"/>
              </w:rPr>
            </w:pPr>
            <w:bookmarkStart w:id="287" w:name="_Ref130200584"/>
            <w:bookmarkStart w:id="288" w:name="_Toc204106733"/>
            <w:r w:rsidRPr="009819CE">
              <w:rPr>
                <w:rFonts w:asciiTheme="minorBidi" w:hAnsiTheme="minorBidi" w:cstheme="minorBidi"/>
                <w:b/>
                <w:lang w:val="en-GB"/>
              </w:rPr>
              <w:t xml:space="preserve">Figure </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STYLEREF 1 \s </w:instrText>
            </w:r>
            <w:r w:rsidRPr="007268F5">
              <w:rPr>
                <w:rFonts w:asciiTheme="minorBidi" w:hAnsiTheme="minorBidi" w:cstheme="minorBidi"/>
                <w:b/>
              </w:rPr>
              <w:fldChar w:fldCharType="separate"/>
            </w:r>
            <w:r w:rsidR="008549FC">
              <w:rPr>
                <w:rFonts w:asciiTheme="minorBidi" w:hAnsiTheme="minorBidi" w:cstheme="minorBidi"/>
                <w:b/>
                <w:noProof/>
                <w:lang w:val="en-GB"/>
              </w:rPr>
              <w:t>3</w:t>
            </w:r>
            <w:r w:rsidRPr="007268F5">
              <w:rPr>
                <w:rFonts w:asciiTheme="minorBidi" w:hAnsiTheme="minorBidi" w:cstheme="minorBidi"/>
                <w:b/>
              </w:rPr>
              <w:fldChar w:fldCharType="end"/>
            </w:r>
            <w:r w:rsidRPr="009819CE">
              <w:rPr>
                <w:rFonts w:asciiTheme="minorBidi" w:hAnsiTheme="minorBidi" w:cstheme="minorBidi"/>
                <w:b/>
                <w:lang w:val="en-GB"/>
              </w:rPr>
              <w:t>.</w:t>
            </w:r>
            <w:r w:rsidRPr="007268F5">
              <w:rPr>
                <w:rFonts w:asciiTheme="minorBidi" w:hAnsiTheme="minorBidi" w:cstheme="minorBidi"/>
                <w:b/>
              </w:rPr>
              <w:fldChar w:fldCharType="begin"/>
            </w:r>
            <w:r w:rsidRPr="009819CE">
              <w:rPr>
                <w:rFonts w:asciiTheme="minorBidi" w:hAnsiTheme="minorBidi" w:cstheme="minorBidi"/>
                <w:b/>
                <w:lang w:val="en-GB"/>
              </w:rPr>
              <w:instrText xml:space="preserve"> SEQ Figure \* ARABIC \s 1 </w:instrText>
            </w:r>
            <w:r w:rsidRPr="007268F5">
              <w:rPr>
                <w:rFonts w:asciiTheme="minorBidi" w:hAnsiTheme="minorBidi" w:cstheme="minorBidi"/>
                <w:b/>
              </w:rPr>
              <w:fldChar w:fldCharType="separate"/>
            </w:r>
            <w:r w:rsidR="008549FC">
              <w:rPr>
                <w:rFonts w:asciiTheme="minorBidi" w:hAnsiTheme="minorBidi" w:cstheme="minorBidi"/>
                <w:b/>
                <w:noProof/>
                <w:lang w:val="en-GB"/>
              </w:rPr>
              <w:t>9</w:t>
            </w:r>
            <w:r w:rsidRPr="007268F5">
              <w:rPr>
                <w:rFonts w:asciiTheme="minorBidi" w:hAnsiTheme="minorBidi" w:cstheme="minorBidi"/>
                <w:b/>
              </w:rPr>
              <w:fldChar w:fldCharType="end"/>
            </w:r>
            <w:bookmarkEnd w:id="287"/>
            <w:r w:rsidRPr="009819CE">
              <w:rPr>
                <w:rFonts w:asciiTheme="minorBidi" w:hAnsiTheme="minorBidi" w:cstheme="minorBidi"/>
                <w:lang w:val="en-GB"/>
              </w:rPr>
              <w:t xml:space="preserve"> </w:t>
            </w:r>
            <w:r w:rsidR="00C608F9">
              <w:rPr>
                <w:rFonts w:asciiTheme="minorBidi" w:hAnsiTheme="minorBidi" w:cstheme="minorBidi"/>
                <w:lang w:val="en-GB"/>
              </w:rPr>
              <w:t>R</w:t>
            </w:r>
            <w:r w:rsidRPr="009819CE">
              <w:rPr>
                <w:rFonts w:asciiTheme="minorBidi" w:hAnsiTheme="minorBidi" w:cstheme="minorBidi"/>
                <w:lang w:val="en-GB"/>
              </w:rPr>
              <w:t xml:space="preserve">elative abundance (%) of the microbial composition at phylum level observed in the (A) haemolymph and (B) gut of “healthy” </w:t>
            </w:r>
            <w:r w:rsidR="00C31E47" w:rsidRPr="009819CE">
              <w:rPr>
                <w:rFonts w:asciiTheme="minorBidi" w:hAnsiTheme="minorBidi" w:cstheme="minorBidi"/>
                <w:i/>
                <w:lang w:val="en-GB"/>
              </w:rPr>
              <w:t>Nephrops</w:t>
            </w:r>
            <w:r w:rsidRPr="009819CE">
              <w:rPr>
                <w:rFonts w:asciiTheme="minorBidi" w:hAnsiTheme="minorBidi" w:cstheme="minorBidi"/>
                <w:i/>
                <w:lang w:val="en-GB"/>
              </w:rPr>
              <w:t xml:space="preserve"> norvegicus,</w:t>
            </w:r>
            <w:r w:rsidRPr="009819CE">
              <w:rPr>
                <w:rFonts w:asciiTheme="minorBidi" w:hAnsiTheme="minorBidi" w:cstheme="minorBidi"/>
                <w:lang w:val="en-GB"/>
              </w:rPr>
              <w:t xml:space="preserve"> </w:t>
            </w:r>
            <w:r w:rsidR="009D03F4" w:rsidRPr="009819CE">
              <w:rPr>
                <w:rFonts w:asciiTheme="minorBidi" w:hAnsiTheme="minorBidi" w:cstheme="minorBidi"/>
                <w:i/>
                <w:lang w:val="en-GB"/>
              </w:rPr>
              <w:t>Hematodinium</w:t>
            </w:r>
            <w:r w:rsidRPr="009819CE">
              <w:rPr>
                <w:rFonts w:asciiTheme="minorBidi" w:hAnsiTheme="minorBidi" w:cstheme="minorBidi"/>
                <w:lang w:val="en-GB"/>
              </w:rPr>
              <w:t>-negative individuals confirmed by several methods: BCM, PM, PCR and histology (n=45).</w:t>
            </w:r>
            <w:bookmarkEnd w:id="288"/>
          </w:p>
        </w:tc>
      </w:tr>
    </w:tbl>
    <w:p w14:paraId="112DE6BD" w14:textId="77777777" w:rsidR="0043221A" w:rsidRPr="009819CE" w:rsidRDefault="0043221A" w:rsidP="0055220B">
      <w:pPr>
        <w:rPr>
          <w:rFonts w:cstheme="minorBidi"/>
        </w:rPr>
        <w:sectPr w:rsidR="0043221A" w:rsidRPr="009819CE" w:rsidSect="00792E0D">
          <w:footerReference w:type="default" r:id="rId87"/>
          <w:pgSz w:w="16838" w:h="11906" w:orient="landscape" w:code="9"/>
          <w:pgMar w:top="1440" w:right="1440" w:bottom="1440" w:left="1440" w:header="567" w:footer="567" w:gutter="0"/>
          <w:cols w:space="708"/>
          <w:docGrid w:linePitch="360"/>
        </w:sectPr>
      </w:pPr>
    </w:p>
    <w:p w14:paraId="5AECC794" w14:textId="0BD91EBF" w:rsidR="0055220B" w:rsidRPr="009819CE" w:rsidRDefault="0055220B" w:rsidP="0043221A">
      <w:pPr>
        <w:pStyle w:val="Heading3"/>
      </w:pPr>
      <w:bookmarkStart w:id="289" w:name="_Toc204106650"/>
      <w:r w:rsidRPr="009819CE">
        <w:t xml:space="preserve">Pathobiome associated with advanced levels of </w:t>
      </w:r>
      <w:r w:rsidR="009D03F4" w:rsidRPr="009819CE">
        <w:rPr>
          <w:i/>
          <w:iCs/>
        </w:rPr>
        <w:t>Hematodinium</w:t>
      </w:r>
      <w:r w:rsidRPr="009819CE">
        <w:t xml:space="preserve"> sp.</w:t>
      </w:r>
      <w:r w:rsidR="007D76E9" w:rsidRPr="009819CE">
        <w:t xml:space="preserve"> </w:t>
      </w:r>
      <w:r w:rsidRPr="009819CE">
        <w:t>infection</w:t>
      </w:r>
      <w:bookmarkEnd w:id="289"/>
    </w:p>
    <w:p w14:paraId="48B1597F" w14:textId="348B2AEF" w:rsidR="0055220B" w:rsidRPr="009819CE" w:rsidRDefault="0088119C" w:rsidP="0055220B">
      <w:pPr>
        <w:rPr>
          <w:rFonts w:cstheme="minorBidi"/>
        </w:rPr>
      </w:pPr>
      <w:r w:rsidRPr="00FA7D47">
        <w:rPr>
          <w:rFonts w:cstheme="minorBidi"/>
        </w:rPr>
        <w:t>The</w:t>
      </w:r>
      <w:r w:rsidR="0055220B" w:rsidRPr="009819CE">
        <w:rPr>
          <w:rFonts w:cstheme="minorBidi"/>
        </w:rPr>
        <w:t xml:space="preserve"> initial objective was to investigate differences associated with advanced stages of </w:t>
      </w:r>
      <w:r w:rsidR="009D03F4" w:rsidRPr="009819CE">
        <w:rPr>
          <w:rFonts w:cstheme="minorBidi"/>
          <w:i/>
          <w:iCs/>
        </w:rPr>
        <w:t>Hematodinium</w:t>
      </w:r>
      <w:r w:rsidR="0055220B" w:rsidRPr="009819CE">
        <w:rPr>
          <w:rFonts w:cstheme="minorBidi"/>
        </w:rPr>
        <w:t xml:space="preserve"> sp. infection. To accomplish this, the microbiome data of '</w:t>
      </w:r>
      <w:r w:rsidR="009D03F4" w:rsidRPr="009819CE">
        <w:rPr>
          <w:rFonts w:cstheme="minorBidi"/>
          <w:i/>
        </w:rPr>
        <w:t>Hematodinium</w:t>
      </w:r>
      <w:r w:rsidR="0055220B" w:rsidRPr="009819CE">
        <w:rPr>
          <w:rFonts w:cstheme="minorBidi"/>
        </w:rPr>
        <w:t xml:space="preserve">-free' </w:t>
      </w:r>
      <w:r w:rsidR="00C31E47" w:rsidRPr="009819CE">
        <w:rPr>
          <w:rFonts w:cstheme="minorBidi"/>
          <w:i/>
        </w:rPr>
        <w:t>Nephrops</w:t>
      </w:r>
      <w:r w:rsidR="0055220B" w:rsidRPr="009819CE">
        <w:rPr>
          <w:rFonts w:cstheme="minorBidi"/>
        </w:rPr>
        <w:t xml:space="preserve"> (confirmed as negative across all methods), </w:t>
      </w:r>
      <w:r w:rsidR="007900F2">
        <w:rPr>
          <w:rFonts w:cstheme="minorBidi"/>
        </w:rPr>
        <w:t xml:space="preserve">was compared </w:t>
      </w:r>
      <w:r w:rsidR="0055220B" w:rsidRPr="009819CE">
        <w:rPr>
          <w:rFonts w:cstheme="minorBidi"/>
        </w:rPr>
        <w:t xml:space="preserve">with data from </w:t>
      </w:r>
      <w:r w:rsidR="00C31E47" w:rsidRPr="009819CE">
        <w:rPr>
          <w:rFonts w:cstheme="minorBidi"/>
          <w:i/>
        </w:rPr>
        <w:t>Nephrops</w:t>
      </w:r>
      <w:r w:rsidR="0055220B" w:rsidRPr="009819CE">
        <w:rPr>
          <w:rFonts w:cstheme="minorBidi"/>
        </w:rPr>
        <w:t xml:space="preserve"> identified as positive for BCM and PM stages 3-4, (n=22), (</w:t>
      </w:r>
      <w:r w:rsidR="00AA4C8F" w:rsidRPr="009819CE">
        <w:rPr>
          <w:rFonts w:cstheme="minorBidi"/>
        </w:rPr>
        <w:t>see</w:t>
      </w:r>
      <w:r w:rsidR="0055220B" w:rsidRPr="009819CE">
        <w:rPr>
          <w:rFonts w:cstheme="minorBidi"/>
        </w:rPr>
        <w:t xml:space="preserve"> </w:t>
      </w:r>
      <w:r w:rsidR="00AA4C8F" w:rsidRPr="009819CE">
        <w:rPr>
          <w:rFonts w:cstheme="minorBidi"/>
        </w:rPr>
        <w:t>section</w:t>
      </w:r>
      <w:r w:rsidR="0055220B" w:rsidRPr="009819CE">
        <w:rPr>
          <w:rFonts w:cstheme="minorBidi"/>
        </w:rPr>
        <w:t xml:space="preserve">s </w:t>
      </w:r>
      <w:r w:rsidR="00B65F6F" w:rsidRPr="009819CE">
        <w:rPr>
          <w:rFonts w:cstheme="minorBidi"/>
          <w:b/>
          <w:bCs/>
        </w:rPr>
        <w:fldChar w:fldCharType="begin"/>
      </w:r>
      <w:r w:rsidR="00B65F6F" w:rsidRPr="009819CE">
        <w:rPr>
          <w:rFonts w:cstheme="minorBidi"/>
          <w:b/>
          <w:bCs/>
        </w:rPr>
        <w:instrText xml:space="preserve"> REF _Ref81663099 \r \h  \* MERGEFORMAT </w:instrText>
      </w:r>
      <w:r w:rsidR="00B65F6F" w:rsidRPr="009819CE">
        <w:rPr>
          <w:rFonts w:cstheme="minorBidi"/>
          <w:b/>
          <w:bCs/>
        </w:rPr>
      </w:r>
      <w:r w:rsidR="00B65F6F" w:rsidRPr="009819CE">
        <w:rPr>
          <w:rFonts w:cstheme="minorBidi"/>
          <w:b/>
          <w:bCs/>
        </w:rPr>
        <w:fldChar w:fldCharType="separate"/>
      </w:r>
      <w:r w:rsidR="008549FC">
        <w:rPr>
          <w:rFonts w:cstheme="minorBidi"/>
          <w:b/>
          <w:bCs/>
        </w:rPr>
        <w:t>1.3.4.1</w:t>
      </w:r>
      <w:r w:rsidR="00B65F6F" w:rsidRPr="009819CE">
        <w:rPr>
          <w:rFonts w:cstheme="minorBidi"/>
          <w:b/>
          <w:bCs/>
        </w:rPr>
        <w:fldChar w:fldCharType="end"/>
      </w:r>
      <w:r w:rsidR="0055220B" w:rsidRPr="009819CE">
        <w:rPr>
          <w:rFonts w:cstheme="minorBidi"/>
          <w:b/>
          <w:bCs/>
        </w:rPr>
        <w:t xml:space="preserve"> </w:t>
      </w:r>
      <w:r w:rsidR="0055220B" w:rsidRPr="009819CE">
        <w:rPr>
          <w:rFonts w:cstheme="minorBidi"/>
        </w:rPr>
        <w:t>and</w:t>
      </w:r>
      <w:r w:rsidR="0055220B" w:rsidRPr="009819CE">
        <w:rPr>
          <w:rFonts w:cstheme="minorBidi"/>
          <w:b/>
          <w:bCs/>
        </w:rPr>
        <w:t xml:space="preserve"> </w:t>
      </w:r>
      <w:r w:rsidR="00B65F6F" w:rsidRPr="009819CE">
        <w:rPr>
          <w:rFonts w:cstheme="minorBidi"/>
          <w:b/>
          <w:bCs/>
        </w:rPr>
        <w:fldChar w:fldCharType="begin"/>
      </w:r>
      <w:r w:rsidR="00B65F6F" w:rsidRPr="009819CE">
        <w:rPr>
          <w:rFonts w:cstheme="minorBidi"/>
          <w:b/>
          <w:bCs/>
        </w:rPr>
        <w:instrText xml:space="preserve"> REF _Ref163661491 \r \h  \* MERGEFORMAT </w:instrText>
      </w:r>
      <w:r w:rsidR="00B65F6F" w:rsidRPr="009819CE">
        <w:rPr>
          <w:rFonts w:cstheme="minorBidi"/>
          <w:b/>
          <w:bCs/>
        </w:rPr>
      </w:r>
      <w:r w:rsidR="00B65F6F" w:rsidRPr="009819CE">
        <w:rPr>
          <w:rFonts w:cstheme="minorBidi"/>
          <w:b/>
          <w:bCs/>
        </w:rPr>
        <w:fldChar w:fldCharType="separate"/>
      </w:r>
      <w:r w:rsidR="008549FC">
        <w:rPr>
          <w:rFonts w:cstheme="minorBidi"/>
          <w:b/>
          <w:bCs/>
        </w:rPr>
        <w:t>1.3.4.2</w:t>
      </w:r>
      <w:r w:rsidR="00B65F6F" w:rsidRPr="009819CE">
        <w:rPr>
          <w:rFonts w:cstheme="minorBidi"/>
          <w:b/>
          <w:bCs/>
        </w:rPr>
        <w:fldChar w:fldCharType="end"/>
      </w:r>
      <w:r w:rsidR="0055220B" w:rsidRPr="009819CE">
        <w:rPr>
          <w:rFonts w:cstheme="minorBidi"/>
        </w:rPr>
        <w:t xml:space="preserve">). Alpha-diversity metrics were computed, focusing on the Chao1 index to quantify microbial richness and the Inverse Simpson index to assess microbial diversity and evenness. The examination </w:t>
      </w:r>
      <w:r w:rsidR="00F53D73" w:rsidRPr="009819CE">
        <w:rPr>
          <w:rFonts w:cstheme="minorBidi"/>
        </w:rPr>
        <w:t>showed</w:t>
      </w:r>
      <w:r w:rsidR="0055220B" w:rsidRPr="009819CE">
        <w:rPr>
          <w:rFonts w:cstheme="minorBidi"/>
        </w:rPr>
        <w:t xml:space="preserve"> a </w:t>
      </w:r>
      <w:r w:rsidR="003B039A" w:rsidRPr="009819CE">
        <w:rPr>
          <w:rFonts w:cstheme="minorBidi"/>
        </w:rPr>
        <w:t>noticeable</w:t>
      </w:r>
      <w:r w:rsidR="0055220B" w:rsidRPr="009819CE">
        <w:rPr>
          <w:rFonts w:cstheme="minorBidi"/>
        </w:rPr>
        <w:t xml:space="preserve"> decrease in bacterial community richness within the haemolymph of </w:t>
      </w:r>
      <w:r w:rsidR="00C31E47" w:rsidRPr="009819CE">
        <w:rPr>
          <w:rFonts w:cstheme="minorBidi"/>
          <w:i/>
        </w:rPr>
        <w:t>Nephrops</w:t>
      </w:r>
      <w:r w:rsidR="0055220B" w:rsidRPr="009819CE">
        <w:rPr>
          <w:rFonts w:cstheme="minorBidi"/>
        </w:rPr>
        <w:t xml:space="preserve"> during advanced infection stages, </w:t>
      </w:r>
      <w:r w:rsidR="00F53D73" w:rsidRPr="009819CE">
        <w:rPr>
          <w:rFonts w:cstheme="minorBidi"/>
        </w:rPr>
        <w:t>supported</w:t>
      </w:r>
      <w:r w:rsidR="0055220B" w:rsidRPr="009819CE">
        <w:rPr>
          <w:rFonts w:cstheme="minorBidi"/>
        </w:rPr>
        <w:t xml:space="preserve"> by a significant reduction in the Chao1 index (</w:t>
      </w:r>
      <w:r w:rsidR="00E80AF4">
        <w:rPr>
          <w:rFonts w:cstheme="minorBidi"/>
        </w:rPr>
        <w:t>t-test</w:t>
      </w:r>
      <w:r w:rsidR="0055220B" w:rsidRPr="009819CE">
        <w:rPr>
          <w:rFonts w:cstheme="minorBidi"/>
        </w:rPr>
        <w:t>, p-value&lt;0.008) (</w:t>
      </w:r>
      <w:r w:rsidR="0055220B" w:rsidRPr="009819CE">
        <w:rPr>
          <w:rFonts w:cstheme="minorBidi"/>
        </w:rPr>
        <w:fldChar w:fldCharType="begin"/>
      </w:r>
      <w:r w:rsidR="0055220B" w:rsidRPr="009819CE">
        <w:rPr>
          <w:rFonts w:cstheme="minorBidi"/>
        </w:rPr>
        <w:instrText xml:space="preserve"> REF _Ref97141193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3.10</w:t>
      </w:r>
      <w:r w:rsidR="0055220B" w:rsidRPr="009819CE">
        <w:rPr>
          <w:rFonts w:cstheme="minorBidi"/>
        </w:rPr>
        <w:fldChar w:fldCharType="end"/>
      </w:r>
      <w:r w:rsidR="0055220B" w:rsidRPr="009819CE">
        <w:rPr>
          <w:rFonts w:cstheme="minorBidi"/>
        </w:rPr>
        <w:t>A). Conversely, no significant alterations were discernible in relation to microbial diversity and evenness, as indicated by the Inverse Simpson index (Wilcoxon-test, p=0.84) (</w:t>
      </w:r>
      <w:r w:rsidR="0055220B" w:rsidRPr="009819CE">
        <w:rPr>
          <w:rFonts w:cstheme="minorBidi"/>
        </w:rPr>
        <w:fldChar w:fldCharType="begin"/>
      </w:r>
      <w:r w:rsidR="0055220B" w:rsidRPr="009819CE">
        <w:rPr>
          <w:rFonts w:cstheme="minorBidi"/>
        </w:rPr>
        <w:instrText xml:space="preserve"> REF _Ref97141193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3.10</w:t>
      </w:r>
      <w:r w:rsidR="0055220B" w:rsidRPr="009819CE">
        <w:rPr>
          <w:rFonts w:cstheme="minorBidi"/>
        </w:rPr>
        <w:fldChar w:fldCharType="end"/>
      </w:r>
      <w:r w:rsidR="0055220B" w:rsidRPr="009819CE">
        <w:rPr>
          <w:rFonts w:cstheme="minorBidi"/>
        </w:rPr>
        <w:t xml:space="preserve">B). </w:t>
      </w:r>
      <w:r w:rsidR="007900F2">
        <w:rPr>
          <w:rFonts w:cstheme="minorBidi"/>
        </w:rPr>
        <w:t>T</w:t>
      </w:r>
      <w:r w:rsidR="0055220B" w:rsidRPr="009819CE">
        <w:rPr>
          <w:rFonts w:cstheme="minorBidi"/>
        </w:rPr>
        <w:t xml:space="preserve">he Bray-Curtis dissimilarity </w:t>
      </w:r>
      <w:r w:rsidR="00D118A4" w:rsidRPr="009819CE">
        <w:rPr>
          <w:rFonts w:cstheme="minorBidi"/>
        </w:rPr>
        <w:t xml:space="preserve">index </w:t>
      </w:r>
      <w:r w:rsidR="007900F2">
        <w:rPr>
          <w:rFonts w:cstheme="minorBidi"/>
        </w:rPr>
        <w:t xml:space="preserve">was utilised </w:t>
      </w:r>
      <w:r w:rsidR="0055220B" w:rsidRPr="009819CE">
        <w:rPr>
          <w:rFonts w:cstheme="minorBidi"/>
        </w:rPr>
        <w:t xml:space="preserve">to compute beta diversity, facilitating the examination of variations in the overall composition of microbial communities. These outcomes were visually represented in the Principal Coordinate Analysis (PCoA) matrix, illustrated in </w:t>
      </w:r>
      <w:r w:rsidR="0055220B" w:rsidRPr="009819CE">
        <w:rPr>
          <w:rFonts w:cstheme="minorBidi"/>
        </w:rPr>
        <w:fldChar w:fldCharType="begin"/>
      </w:r>
      <w:r w:rsidR="0055220B" w:rsidRPr="009819CE">
        <w:rPr>
          <w:rFonts w:cstheme="minorBidi"/>
        </w:rPr>
        <w:instrText xml:space="preserve"> REF _Ref97141193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3.10</w:t>
      </w:r>
      <w:r w:rsidR="0055220B" w:rsidRPr="009819CE">
        <w:rPr>
          <w:rFonts w:cstheme="minorBidi"/>
        </w:rPr>
        <w:fldChar w:fldCharType="end"/>
      </w:r>
      <w:r w:rsidR="0055220B" w:rsidRPr="009819CE">
        <w:rPr>
          <w:rFonts w:cstheme="minorBidi"/>
        </w:rPr>
        <w:t>C. Remarkably substantial discrepancies emerged between '</w:t>
      </w:r>
      <w:r w:rsidR="009D03F4" w:rsidRPr="009819CE">
        <w:rPr>
          <w:rFonts w:cstheme="minorBidi"/>
          <w:i/>
        </w:rPr>
        <w:t>Hematodinium</w:t>
      </w:r>
      <w:r w:rsidR="0055220B" w:rsidRPr="009819CE">
        <w:rPr>
          <w:rFonts w:cstheme="minorBidi"/>
        </w:rPr>
        <w:t xml:space="preserve">-free' </w:t>
      </w:r>
      <w:r w:rsidR="00C31E47" w:rsidRPr="009819CE">
        <w:rPr>
          <w:rFonts w:cstheme="minorBidi"/>
          <w:i/>
        </w:rPr>
        <w:t>Nephrops</w:t>
      </w:r>
      <w:r w:rsidR="0055220B" w:rsidRPr="009819CE">
        <w:rPr>
          <w:rFonts w:cstheme="minorBidi"/>
        </w:rPr>
        <w:t xml:space="preserve"> and those in advanced stages of infection (PERMANOVA, p-value&lt;0.006; </w:t>
      </w:r>
      <w:r w:rsidR="0055220B" w:rsidRPr="009819CE">
        <w:rPr>
          <w:rFonts w:cstheme="minorBidi"/>
        </w:rPr>
        <w:fldChar w:fldCharType="begin"/>
      </w:r>
      <w:r w:rsidR="0055220B" w:rsidRPr="009819CE">
        <w:rPr>
          <w:rFonts w:cstheme="minorBidi"/>
        </w:rPr>
        <w:instrText xml:space="preserve"> REF _Ref97141193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3.10</w:t>
      </w:r>
      <w:r w:rsidR="0055220B" w:rsidRPr="009819CE">
        <w:rPr>
          <w:rFonts w:cstheme="minorBidi"/>
        </w:rPr>
        <w:fldChar w:fldCharType="end"/>
      </w:r>
      <w:r w:rsidR="0055220B" w:rsidRPr="009819CE">
        <w:rPr>
          <w:rFonts w:cstheme="minorBidi"/>
        </w:rPr>
        <w:t>C), leading to a more tightly cohesive clustering within the '</w:t>
      </w:r>
      <w:r w:rsidR="009D03F4" w:rsidRPr="009819CE">
        <w:rPr>
          <w:rFonts w:cstheme="minorBidi"/>
          <w:i/>
        </w:rPr>
        <w:t>Hematodinium</w:t>
      </w:r>
      <w:r w:rsidR="0055220B" w:rsidRPr="009819CE">
        <w:rPr>
          <w:rFonts w:cstheme="minorBidi"/>
        </w:rPr>
        <w:t>-free' samples.</w:t>
      </w:r>
    </w:p>
    <w:p w14:paraId="56C34A15" w14:textId="148D0E43" w:rsidR="0055220B" w:rsidRPr="009819CE" w:rsidRDefault="0055220B" w:rsidP="0055220B">
      <w:pPr>
        <w:rPr>
          <w:rFonts w:cstheme="minorBidi"/>
        </w:rPr>
      </w:pPr>
      <w:r w:rsidRPr="009819CE">
        <w:rPr>
          <w:rFonts w:cstheme="minorBidi"/>
        </w:rPr>
        <w:t>In contrast, the gut exhibited no discernible differences in microbial richness (Chao1 index) or diversity and evenness (Inverse Simpson index) between '</w:t>
      </w:r>
      <w:r w:rsidR="009D03F4" w:rsidRPr="009819CE">
        <w:rPr>
          <w:rFonts w:cstheme="minorBidi"/>
          <w:i/>
        </w:rPr>
        <w:t>Hematodinium</w:t>
      </w:r>
      <w:r w:rsidRPr="009819CE">
        <w:rPr>
          <w:rFonts w:cstheme="minorBidi"/>
        </w:rPr>
        <w:t xml:space="preserve">-free' </w:t>
      </w:r>
      <w:r w:rsidR="00C31E47" w:rsidRPr="009819CE">
        <w:rPr>
          <w:rFonts w:cstheme="minorBidi"/>
          <w:i/>
        </w:rPr>
        <w:t>Nephrops</w:t>
      </w:r>
      <w:r w:rsidRPr="009819CE">
        <w:rPr>
          <w:rFonts w:cstheme="minorBidi"/>
        </w:rPr>
        <w:t xml:space="preserve"> and those in advanced infection stages (</w:t>
      </w:r>
      <w:r w:rsidRPr="009819CE">
        <w:rPr>
          <w:rFonts w:cstheme="minorBidi"/>
        </w:rPr>
        <w:fldChar w:fldCharType="begin"/>
      </w:r>
      <w:r w:rsidRPr="009819CE">
        <w:rPr>
          <w:rFonts w:cstheme="minorBidi"/>
        </w:rPr>
        <w:instrText xml:space="preserve"> REF _Ref97141193 \h  \* MERGEFORMAT </w:instrText>
      </w:r>
      <w:r w:rsidRPr="009819CE">
        <w:rPr>
          <w:rFonts w:cstheme="minorBidi"/>
        </w:rPr>
      </w:r>
      <w:r w:rsidRPr="009819CE">
        <w:rPr>
          <w:rFonts w:cstheme="minorBidi"/>
        </w:rPr>
        <w:fldChar w:fldCharType="separate"/>
      </w:r>
      <w:r w:rsidR="008549FC" w:rsidRPr="008549FC">
        <w:rPr>
          <w:rFonts w:cstheme="minorBidi"/>
          <w:b/>
          <w:bCs/>
        </w:rPr>
        <w:t>Figure 3.10</w:t>
      </w:r>
      <w:r w:rsidRPr="009819CE">
        <w:rPr>
          <w:rFonts w:cstheme="minorBidi"/>
        </w:rPr>
        <w:fldChar w:fldCharType="end"/>
      </w:r>
      <w:r w:rsidRPr="009819CE">
        <w:rPr>
          <w:rFonts w:cstheme="minorBidi"/>
        </w:rPr>
        <w:t>D-E). However, it's worth highlighting that the '</w:t>
      </w:r>
      <w:r w:rsidR="009D03F4" w:rsidRPr="009819CE">
        <w:rPr>
          <w:rFonts w:cstheme="minorBidi"/>
          <w:i/>
        </w:rPr>
        <w:t>Hematodinium</w:t>
      </w:r>
      <w:r w:rsidRPr="009819CE">
        <w:rPr>
          <w:rFonts w:cstheme="minorBidi"/>
        </w:rPr>
        <w:t xml:space="preserve">-free' samples displayed a more tightly grouped pattern in the PCoA (axis 1), </w:t>
      </w:r>
      <w:r w:rsidR="00A57C70" w:rsidRPr="009819CE">
        <w:rPr>
          <w:rFonts w:cstheme="minorBidi"/>
        </w:rPr>
        <w:t>and</w:t>
      </w:r>
      <w:r w:rsidRPr="009819CE">
        <w:rPr>
          <w:rFonts w:cstheme="minorBidi"/>
        </w:rPr>
        <w:t xml:space="preserve"> the PERMANOVA analysis </w:t>
      </w:r>
      <w:r w:rsidR="00A57C70" w:rsidRPr="009819CE">
        <w:rPr>
          <w:rFonts w:cstheme="minorBidi"/>
        </w:rPr>
        <w:t xml:space="preserve">showed </w:t>
      </w:r>
      <w:r w:rsidRPr="009819CE">
        <w:rPr>
          <w:rFonts w:cstheme="minorBidi"/>
        </w:rPr>
        <w:t xml:space="preserve">significant </w:t>
      </w:r>
      <w:r w:rsidR="00F77A94" w:rsidRPr="009819CE">
        <w:rPr>
          <w:rFonts w:cstheme="minorBidi"/>
        </w:rPr>
        <w:t>differences</w:t>
      </w:r>
      <w:r w:rsidRPr="009819CE">
        <w:rPr>
          <w:rFonts w:cstheme="minorBidi"/>
        </w:rPr>
        <w:t xml:space="preserve"> between the two groups (PERMANOVA, p-value&lt;0.001; </w:t>
      </w:r>
      <w:r w:rsidRPr="009819CE">
        <w:rPr>
          <w:rFonts w:cstheme="minorBidi"/>
        </w:rPr>
        <w:fldChar w:fldCharType="begin"/>
      </w:r>
      <w:r w:rsidRPr="009819CE">
        <w:rPr>
          <w:rFonts w:cstheme="minorBidi"/>
        </w:rPr>
        <w:instrText xml:space="preserve"> REF _Ref97141193 \h  \* MERGEFORMAT </w:instrText>
      </w:r>
      <w:r w:rsidRPr="009819CE">
        <w:rPr>
          <w:rFonts w:cstheme="minorBidi"/>
        </w:rPr>
      </w:r>
      <w:r w:rsidRPr="009819CE">
        <w:rPr>
          <w:rFonts w:cstheme="minorBidi"/>
        </w:rPr>
        <w:fldChar w:fldCharType="separate"/>
      </w:r>
      <w:r w:rsidR="008549FC" w:rsidRPr="008549FC">
        <w:rPr>
          <w:rFonts w:cstheme="minorBidi"/>
          <w:b/>
          <w:bCs/>
        </w:rPr>
        <w:t>Figure 3.10</w:t>
      </w:r>
      <w:r w:rsidRPr="009819CE">
        <w:rPr>
          <w:rFonts w:cstheme="minorBidi"/>
        </w:rPr>
        <w:fldChar w:fldCharType="end"/>
      </w:r>
      <w:r w:rsidRPr="009819CE">
        <w:rPr>
          <w:rFonts w:cstheme="minorBidi"/>
        </w:rPr>
        <w:t>F).</w:t>
      </w:r>
    </w:p>
    <w:p w14:paraId="1CFDE584" w14:textId="64D43FEF" w:rsidR="0055220B" w:rsidRPr="009819CE" w:rsidRDefault="0055220B" w:rsidP="004F2DC6">
      <w:pPr>
        <w:rPr>
          <w:rFonts w:cstheme="minorBidi"/>
        </w:rPr>
      </w:pPr>
      <w:r w:rsidRPr="009819CE">
        <w:rPr>
          <w:rFonts w:cstheme="minorBidi"/>
        </w:rPr>
        <w:t xml:space="preserve">Furthermore,  distinct bacterial genera </w:t>
      </w:r>
      <w:r w:rsidR="00F43CD7">
        <w:rPr>
          <w:rFonts w:cstheme="minorBidi"/>
        </w:rPr>
        <w:t xml:space="preserve">were identified </w:t>
      </w:r>
      <w:r w:rsidRPr="009819CE">
        <w:rPr>
          <w:rFonts w:cstheme="minorBidi"/>
        </w:rPr>
        <w:t>with varying levels of abundance when contrasting '</w:t>
      </w:r>
      <w:r w:rsidR="009D03F4" w:rsidRPr="009819CE">
        <w:rPr>
          <w:rFonts w:cstheme="minorBidi"/>
          <w:i/>
        </w:rPr>
        <w:t>Hematodinium</w:t>
      </w:r>
      <w:r w:rsidRPr="009819CE">
        <w:rPr>
          <w:rFonts w:cstheme="minorBidi"/>
        </w:rPr>
        <w:t xml:space="preserve">-free' </w:t>
      </w:r>
      <w:r w:rsidR="00C31E47" w:rsidRPr="009819CE">
        <w:rPr>
          <w:rFonts w:cstheme="minorBidi"/>
          <w:i/>
        </w:rPr>
        <w:t>Nephrops</w:t>
      </w:r>
      <w:r w:rsidRPr="009819CE">
        <w:rPr>
          <w:rFonts w:cstheme="minorBidi"/>
        </w:rPr>
        <w:t xml:space="preserve"> with those in advanced stages of infection (</w:t>
      </w:r>
      <w:r w:rsidR="00E33D21" w:rsidRPr="009819CE">
        <w:rPr>
          <w:rFonts w:cstheme="minorBidi"/>
        </w:rPr>
        <w:fldChar w:fldCharType="begin"/>
      </w:r>
      <w:r w:rsidR="00E33D21" w:rsidRPr="009819CE">
        <w:rPr>
          <w:rFonts w:cstheme="minorBidi"/>
        </w:rPr>
        <w:instrText xml:space="preserve"> REF _Ref130209097 \h </w:instrText>
      </w:r>
      <w:r w:rsidR="00E33D21" w:rsidRPr="009819CE">
        <w:rPr>
          <w:rFonts w:cstheme="minorBidi"/>
        </w:rPr>
      </w:r>
      <w:r w:rsidR="00E33D21" w:rsidRPr="009819CE">
        <w:rPr>
          <w:rFonts w:cstheme="minorBidi"/>
        </w:rPr>
        <w:fldChar w:fldCharType="separate"/>
      </w:r>
      <w:r w:rsidR="008549FC" w:rsidRPr="009819CE">
        <w:rPr>
          <w:rFonts w:cstheme="minorBidi"/>
          <w:b/>
        </w:rPr>
        <w:t xml:space="preserve">Figure </w:t>
      </w:r>
      <w:r w:rsidR="008549FC">
        <w:rPr>
          <w:rFonts w:cstheme="minorBidi"/>
          <w:b/>
          <w:noProof/>
        </w:rPr>
        <w:t>3</w:t>
      </w:r>
      <w:r w:rsidR="008549FC" w:rsidRPr="009819CE">
        <w:rPr>
          <w:rFonts w:cstheme="minorBidi"/>
          <w:b/>
        </w:rPr>
        <w:t>.</w:t>
      </w:r>
      <w:r w:rsidR="008549FC">
        <w:rPr>
          <w:rFonts w:cstheme="minorBidi"/>
          <w:b/>
          <w:noProof/>
        </w:rPr>
        <w:t>11</w:t>
      </w:r>
      <w:r w:rsidR="00E33D21" w:rsidRPr="009819CE">
        <w:rPr>
          <w:rFonts w:cstheme="minorBidi"/>
        </w:rPr>
        <w:fldChar w:fldCharType="end"/>
      </w:r>
      <w:r w:rsidR="00DB5A02" w:rsidRPr="009819CE">
        <w:rPr>
          <w:rFonts w:cstheme="minorBidi"/>
        </w:rPr>
        <w:t xml:space="preserve"> and </w:t>
      </w:r>
      <w:r w:rsidR="00E33D21" w:rsidRPr="009819CE">
        <w:rPr>
          <w:rFonts w:cstheme="minorBidi"/>
        </w:rPr>
        <w:fldChar w:fldCharType="begin"/>
      </w:r>
      <w:r w:rsidR="00E33D21" w:rsidRPr="009819CE">
        <w:rPr>
          <w:rFonts w:cstheme="minorBidi"/>
        </w:rPr>
        <w:instrText xml:space="preserve"> REF _Ref130218012 \h </w:instrText>
      </w:r>
      <w:r w:rsidR="00E33D21" w:rsidRPr="009819CE">
        <w:rPr>
          <w:rFonts w:cstheme="minorBidi"/>
        </w:rPr>
      </w:r>
      <w:r w:rsidR="00E33D21" w:rsidRPr="009819CE">
        <w:rPr>
          <w:rFonts w:cstheme="minorBidi"/>
        </w:rPr>
        <w:fldChar w:fldCharType="separate"/>
      </w:r>
      <w:r w:rsidR="008549FC" w:rsidRPr="009819CE">
        <w:rPr>
          <w:rFonts w:cstheme="minorBidi"/>
          <w:b/>
        </w:rPr>
        <w:t xml:space="preserve">Figure </w:t>
      </w:r>
      <w:r w:rsidR="008549FC">
        <w:rPr>
          <w:rFonts w:cstheme="minorBidi"/>
          <w:b/>
          <w:noProof/>
        </w:rPr>
        <w:t>3</w:t>
      </w:r>
      <w:r w:rsidR="008549FC" w:rsidRPr="009819CE">
        <w:rPr>
          <w:rFonts w:cstheme="minorBidi"/>
          <w:b/>
        </w:rPr>
        <w:t>.</w:t>
      </w:r>
      <w:r w:rsidR="008549FC">
        <w:rPr>
          <w:rFonts w:cstheme="minorBidi"/>
          <w:b/>
          <w:noProof/>
        </w:rPr>
        <w:t>12</w:t>
      </w:r>
      <w:r w:rsidR="00E33D21" w:rsidRPr="009819CE">
        <w:rPr>
          <w:rFonts w:cstheme="minorBidi"/>
        </w:rPr>
        <w:fldChar w:fldCharType="end"/>
      </w:r>
      <w:r w:rsidRPr="009819CE">
        <w:rPr>
          <w:rFonts w:cstheme="minorBidi"/>
        </w:rPr>
        <w:t xml:space="preserve">). Notably, a total of 145 genera in the haemolymph and 88 in the gut displayed significant differences (Wilcoxon, p-value&lt; 0.05; </w:t>
      </w:r>
      <w:r w:rsidR="008157E5" w:rsidRPr="009819CE">
        <w:rPr>
          <w:rFonts w:cstheme="minorBidi"/>
        </w:rPr>
        <w:t>supplementary</w:t>
      </w:r>
      <w:r w:rsidRPr="009819CE">
        <w:rPr>
          <w:rFonts w:cstheme="minorBidi"/>
        </w:rPr>
        <w:t xml:space="preserve"> </w:t>
      </w:r>
      <w:r w:rsidR="00FB4A12" w:rsidRPr="009819CE">
        <w:rPr>
          <w:rFonts w:cstheme="minorBidi"/>
          <w:b/>
          <w:bCs/>
        </w:rPr>
        <w:fldChar w:fldCharType="begin"/>
      </w:r>
      <w:r w:rsidR="00FB4A12" w:rsidRPr="009819CE">
        <w:rPr>
          <w:rFonts w:cstheme="minorBidi"/>
          <w:b/>
          <w:bCs/>
        </w:rPr>
        <w:instrText xml:space="preserve"> REF _Ref157965415 \h </w:instrText>
      </w:r>
      <w:r w:rsidR="00711741" w:rsidRPr="009819CE">
        <w:rPr>
          <w:rFonts w:cstheme="minorBidi"/>
          <w:b/>
          <w:bCs/>
        </w:rPr>
        <w:instrText xml:space="preserve"> \* MERGEFORMAT </w:instrText>
      </w:r>
      <w:r w:rsidR="00FB4A12" w:rsidRPr="009819CE">
        <w:rPr>
          <w:rFonts w:cstheme="minorBidi"/>
          <w:b/>
          <w:bCs/>
        </w:rPr>
      </w:r>
      <w:r w:rsidR="00FB4A12" w:rsidRPr="009819CE">
        <w:rPr>
          <w:rFonts w:cstheme="minorBidi"/>
          <w:b/>
          <w:bCs/>
        </w:rPr>
        <w:fldChar w:fldCharType="separate"/>
      </w:r>
      <w:r w:rsidR="008549FC" w:rsidRPr="009819CE">
        <w:rPr>
          <w:rFonts w:cstheme="minorBidi"/>
          <w:b/>
          <w:bCs/>
        </w:rPr>
        <w:t xml:space="preserve">Table S3. </w:t>
      </w:r>
      <w:r w:rsidR="008549FC">
        <w:rPr>
          <w:rFonts w:cstheme="minorBidi"/>
          <w:b/>
          <w:bCs/>
        </w:rPr>
        <w:t>3</w:t>
      </w:r>
      <w:r w:rsidR="00FB4A12" w:rsidRPr="009819CE">
        <w:rPr>
          <w:rFonts w:cstheme="minorBidi"/>
          <w:b/>
          <w:bCs/>
        </w:rPr>
        <w:fldChar w:fldCharType="end"/>
      </w:r>
      <w:r w:rsidRPr="009819CE">
        <w:rPr>
          <w:rFonts w:cstheme="minorBidi"/>
          <w:b/>
          <w:bCs/>
        </w:rPr>
        <w:t>-</w:t>
      </w:r>
      <w:r w:rsidR="00FB4A12" w:rsidRPr="009819CE">
        <w:rPr>
          <w:rFonts w:cstheme="minorBidi"/>
          <w:b/>
          <w:bCs/>
        </w:rPr>
        <w:fldChar w:fldCharType="begin"/>
      </w:r>
      <w:r w:rsidR="00FB4A12" w:rsidRPr="009819CE">
        <w:rPr>
          <w:rFonts w:cstheme="minorBidi"/>
          <w:b/>
          <w:bCs/>
        </w:rPr>
        <w:instrText xml:space="preserve"> REF _Ref157965428 \h </w:instrText>
      </w:r>
      <w:r w:rsidR="00711741" w:rsidRPr="009819CE">
        <w:rPr>
          <w:rFonts w:cstheme="minorBidi"/>
          <w:b/>
          <w:bCs/>
        </w:rPr>
        <w:instrText xml:space="preserve"> \* MERGEFORMAT </w:instrText>
      </w:r>
      <w:r w:rsidR="00FB4A12" w:rsidRPr="009819CE">
        <w:rPr>
          <w:rFonts w:cstheme="minorBidi"/>
          <w:b/>
          <w:bCs/>
        </w:rPr>
      </w:r>
      <w:r w:rsidR="00FB4A12" w:rsidRPr="009819CE">
        <w:rPr>
          <w:rFonts w:cstheme="minorBidi"/>
          <w:b/>
          <w:bCs/>
        </w:rPr>
        <w:fldChar w:fldCharType="separate"/>
      </w:r>
      <w:r w:rsidR="008549FC" w:rsidRPr="009819CE">
        <w:rPr>
          <w:rFonts w:cstheme="minorBidi"/>
          <w:b/>
          <w:bCs/>
        </w:rPr>
        <w:t xml:space="preserve">Table S3. </w:t>
      </w:r>
      <w:r w:rsidR="008549FC">
        <w:rPr>
          <w:rFonts w:cstheme="minorBidi"/>
          <w:b/>
          <w:bCs/>
        </w:rPr>
        <w:t>4</w:t>
      </w:r>
      <w:r w:rsidR="00FB4A12" w:rsidRPr="009819CE">
        <w:rPr>
          <w:rFonts w:cstheme="minorBidi"/>
          <w:b/>
          <w:bCs/>
        </w:rPr>
        <w:fldChar w:fldCharType="end"/>
      </w:r>
      <w:r w:rsidRPr="009819CE">
        <w:rPr>
          <w:rFonts w:cstheme="minorBidi"/>
        </w:rPr>
        <w:t xml:space="preserve">). Among these, a total of 18 genera in the haemolymph and 12 in the gut exhibited significant </w:t>
      </w:r>
      <w:r w:rsidR="000C385A" w:rsidRPr="009819CE">
        <w:rPr>
          <w:rFonts w:cstheme="minorBidi"/>
        </w:rPr>
        <w:t>differences</w:t>
      </w:r>
      <w:r w:rsidRPr="009819CE">
        <w:rPr>
          <w:rFonts w:cstheme="minorBidi"/>
        </w:rPr>
        <w:t xml:space="preserve"> (Wilcoxon, p-value&lt; 0.01; </w:t>
      </w:r>
      <w:r w:rsidRPr="009819CE">
        <w:rPr>
          <w:rFonts w:cstheme="minorBidi"/>
        </w:rPr>
        <w:fldChar w:fldCharType="begin"/>
      </w:r>
      <w:r w:rsidRPr="009819CE">
        <w:rPr>
          <w:rFonts w:cstheme="minorBidi"/>
        </w:rPr>
        <w:instrText xml:space="preserve"> REF _Ref130209097 \h  \* MERGEFORMAT </w:instrText>
      </w:r>
      <w:r w:rsidRPr="009819CE">
        <w:rPr>
          <w:rFonts w:cstheme="minorBidi"/>
        </w:rPr>
      </w:r>
      <w:r w:rsidRPr="009819CE">
        <w:rPr>
          <w:rFonts w:cstheme="minorBidi"/>
        </w:rPr>
        <w:fldChar w:fldCharType="separate"/>
      </w:r>
      <w:r w:rsidR="008549FC" w:rsidRPr="008549FC">
        <w:rPr>
          <w:rFonts w:cstheme="minorBidi"/>
          <w:b/>
          <w:bCs/>
        </w:rPr>
        <w:t>Figure 3.11</w:t>
      </w:r>
      <w:r w:rsidRPr="009819CE">
        <w:rPr>
          <w:rFonts w:cstheme="minorBidi"/>
        </w:rPr>
        <w:fldChar w:fldCharType="end"/>
      </w:r>
      <w:r w:rsidRPr="009819CE">
        <w:rPr>
          <w:rFonts w:cstheme="minorBidi"/>
        </w:rPr>
        <w:t xml:space="preserve"> and </w:t>
      </w:r>
      <w:r w:rsidRPr="009819CE">
        <w:rPr>
          <w:rFonts w:cstheme="minorBidi"/>
          <w:b/>
          <w:bCs/>
        </w:rPr>
        <w:fldChar w:fldCharType="begin"/>
      </w:r>
      <w:r w:rsidRPr="009819CE">
        <w:rPr>
          <w:rFonts w:cstheme="minorBidi"/>
          <w:b/>
          <w:bCs/>
        </w:rPr>
        <w:instrText xml:space="preserve"> REF _Ref130218012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3.12</w:t>
      </w:r>
      <w:r w:rsidRPr="009819CE">
        <w:rPr>
          <w:rFonts w:cstheme="minorBidi"/>
          <w:b/>
          <w:bCs/>
        </w:rPr>
        <w:fldChar w:fldCharType="end"/>
      </w:r>
      <w:r w:rsidRPr="009819CE">
        <w:rPr>
          <w:rFonts w:cstheme="minorBidi"/>
        </w:rPr>
        <w:t xml:space="preserve">, respectively). </w:t>
      </w:r>
      <w:r w:rsidR="004F2DC6" w:rsidRPr="009819CE">
        <w:rPr>
          <w:rFonts w:cstheme="minorBidi"/>
        </w:rPr>
        <w:t xml:space="preserve">Importantly, in the haemolymph, certain genera showed a consistent decrease in abundance in </w:t>
      </w:r>
      <w:r w:rsidR="00C31E47" w:rsidRPr="009819CE">
        <w:rPr>
          <w:rFonts w:cstheme="minorBidi"/>
          <w:i/>
          <w:iCs/>
        </w:rPr>
        <w:t>Nephrops</w:t>
      </w:r>
      <w:r w:rsidR="004F2DC6" w:rsidRPr="009819CE">
        <w:rPr>
          <w:rFonts w:cstheme="minorBidi"/>
        </w:rPr>
        <w:t xml:space="preserve"> at advanced infection stages. This decrease was seen in genera like </w:t>
      </w:r>
      <w:r w:rsidR="004F2DC6" w:rsidRPr="009819CE">
        <w:rPr>
          <w:rFonts w:cstheme="minorBidi"/>
          <w:i/>
          <w:iCs/>
        </w:rPr>
        <w:t>Romboutsia</w:t>
      </w:r>
      <w:r w:rsidR="004F2DC6" w:rsidRPr="009819CE">
        <w:rPr>
          <w:rFonts w:cstheme="minorBidi"/>
        </w:rPr>
        <w:t xml:space="preserve">, </w:t>
      </w:r>
      <w:r w:rsidR="004F2DC6" w:rsidRPr="009819CE">
        <w:rPr>
          <w:rFonts w:cstheme="minorBidi"/>
          <w:i/>
          <w:iCs/>
        </w:rPr>
        <w:t>Niastella</w:t>
      </w:r>
      <w:r w:rsidR="004F2DC6" w:rsidRPr="009819CE">
        <w:rPr>
          <w:rFonts w:cstheme="minorBidi"/>
        </w:rPr>
        <w:t xml:space="preserve">, and </w:t>
      </w:r>
      <w:r w:rsidR="004F2DC6" w:rsidRPr="009819CE">
        <w:rPr>
          <w:rFonts w:cstheme="minorBidi"/>
          <w:i/>
          <w:iCs/>
        </w:rPr>
        <w:t>Amphritea</w:t>
      </w:r>
      <w:r w:rsidR="004F2DC6" w:rsidRPr="009819CE">
        <w:rPr>
          <w:rFonts w:cstheme="minorBidi"/>
        </w:rPr>
        <w:t xml:space="preserve">. </w:t>
      </w:r>
      <w:r w:rsidR="00070343" w:rsidRPr="009819CE">
        <w:rPr>
          <w:rFonts w:cstheme="minorBidi"/>
        </w:rPr>
        <w:t xml:space="preserve">On the other hand, in the gut, </w:t>
      </w:r>
      <w:r w:rsidR="007900F2">
        <w:rPr>
          <w:rFonts w:cstheme="minorBidi"/>
        </w:rPr>
        <w:t>it was</w:t>
      </w:r>
      <w:r w:rsidR="00070343" w:rsidRPr="009819CE">
        <w:rPr>
          <w:rFonts w:cstheme="minorBidi"/>
        </w:rPr>
        <w:t xml:space="preserve"> noticed </w:t>
      </w:r>
      <w:r w:rsidR="007900F2">
        <w:rPr>
          <w:rFonts w:cstheme="minorBidi"/>
        </w:rPr>
        <w:t xml:space="preserve">that there was </w:t>
      </w:r>
      <w:r w:rsidR="00070343" w:rsidRPr="009819CE">
        <w:rPr>
          <w:rFonts w:cstheme="minorBidi"/>
        </w:rPr>
        <w:t xml:space="preserve">a significant increase in particular genera, like </w:t>
      </w:r>
      <w:r w:rsidR="00070343" w:rsidRPr="009819CE">
        <w:rPr>
          <w:rFonts w:cstheme="minorBidi"/>
          <w:i/>
          <w:iCs/>
        </w:rPr>
        <w:t>Muribaculaceae</w:t>
      </w:r>
      <w:r w:rsidR="00070343" w:rsidRPr="009819CE">
        <w:rPr>
          <w:rFonts w:cstheme="minorBidi"/>
        </w:rPr>
        <w:t xml:space="preserve">, </w:t>
      </w:r>
      <w:r w:rsidR="00070343" w:rsidRPr="009819CE">
        <w:rPr>
          <w:rFonts w:cstheme="minorBidi"/>
          <w:i/>
          <w:iCs/>
        </w:rPr>
        <w:t>Fusobacterium</w:t>
      </w:r>
      <w:r w:rsidR="00070343" w:rsidRPr="009819CE">
        <w:rPr>
          <w:rFonts w:cstheme="minorBidi"/>
        </w:rPr>
        <w:t xml:space="preserve">, and </w:t>
      </w:r>
      <w:r w:rsidR="00070343" w:rsidRPr="009819CE">
        <w:rPr>
          <w:rFonts w:cstheme="minorBidi"/>
          <w:i/>
          <w:iCs/>
        </w:rPr>
        <w:t>Dubosiella</w:t>
      </w:r>
      <w:r w:rsidR="00070343" w:rsidRPr="009819CE">
        <w:rPr>
          <w:rFonts w:cstheme="minorBidi"/>
        </w:rPr>
        <w:t xml:space="preserve">, in </w:t>
      </w:r>
      <w:r w:rsidR="00C31E47" w:rsidRPr="009819CE">
        <w:rPr>
          <w:rFonts w:cstheme="minorBidi"/>
          <w:i/>
          <w:iCs/>
        </w:rPr>
        <w:t>Nephrops</w:t>
      </w:r>
      <w:r w:rsidR="00070343" w:rsidRPr="009819CE">
        <w:rPr>
          <w:rFonts w:cstheme="minorBidi"/>
        </w:rPr>
        <w:t xml:space="preserve"> at advanced infection stages.</w:t>
      </w:r>
    </w:p>
    <w:p w14:paraId="62548654" w14:textId="77777777" w:rsidR="0080456B" w:rsidRPr="009819CE" w:rsidRDefault="0080456B" w:rsidP="004F2DC6">
      <w:pPr>
        <w:rPr>
          <w:rFonts w:cstheme="minorBidi"/>
        </w:rPr>
        <w:sectPr w:rsidR="0080456B" w:rsidRPr="009819CE" w:rsidSect="003A7A28">
          <w:pgSz w:w="12240" w:h="15840"/>
          <w:pgMar w:top="1440" w:right="1440" w:bottom="1440" w:left="1440" w:header="708" w:footer="708" w:gutter="0"/>
          <w:cols w:space="708"/>
          <w:docGrid w:linePitch="360"/>
        </w:sectPr>
      </w:pPr>
    </w:p>
    <w:tbl>
      <w:tblPr>
        <w:tblStyle w:val="TableGridLight"/>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0"/>
      </w:tblGrid>
      <w:tr w:rsidR="00201E58" w:rsidRPr="00FA7D47" w14:paraId="3017B30C" w14:textId="77777777" w:rsidTr="007268F5">
        <w:tc>
          <w:tcPr>
            <w:tcW w:w="5000" w:type="pct"/>
            <w:vAlign w:val="center"/>
          </w:tcPr>
          <w:p w14:paraId="1AF47ACC" w14:textId="77777777" w:rsidR="00201E58" w:rsidRPr="009819CE" w:rsidRDefault="00201E58" w:rsidP="00C71170">
            <w:pPr>
              <w:tabs>
                <w:tab w:val="left" w:pos="1620"/>
                <w:tab w:val="left" w:pos="12223"/>
              </w:tabs>
              <w:ind w:right="180"/>
              <w:jc w:val="center"/>
              <w:rPr>
                <w:rFonts w:cstheme="minorBidi"/>
                <w:b/>
                <w:bCs/>
                <w:szCs w:val="24"/>
                <w:lang w:val="en-GB"/>
              </w:rPr>
            </w:pPr>
            <w:r w:rsidRPr="00FF34FE">
              <w:rPr>
                <w:rFonts w:cstheme="minorBidi"/>
                <w:noProof/>
              </w:rPr>
              <w:drawing>
                <wp:inline distT="0" distB="0" distL="0" distR="0" wp14:anchorId="267333D8" wp14:editId="239C8CE1">
                  <wp:extent cx="6772106" cy="3987479"/>
                  <wp:effectExtent l="0" t="0" r="0" b="0"/>
                  <wp:docPr id="1757862987" name="Picture 11" descr="A diagram of a variety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62987" name="Picture 11" descr="A diagram of a variety of graphs&#10;&#10;Description automatically generated with medium confidence"/>
                          <pic:cNvPicPr>
                            <a:picLocks noChangeAspect="1" noChangeArrowheads="1"/>
                          </pic:cNvPicPr>
                        </pic:nvPicPr>
                        <pic:blipFill rotWithShape="1">
                          <a:blip r:embed="rId88">
                            <a:extLst>
                              <a:ext uri="{28A0092B-C50C-407E-A947-70E740481C1C}">
                                <a14:useLocalDpi xmlns:a14="http://schemas.microsoft.com/office/drawing/2010/main" val="0"/>
                              </a:ext>
                            </a:extLst>
                          </a:blip>
                          <a:srcRect r="4480"/>
                          <a:stretch/>
                        </pic:blipFill>
                        <pic:spPr bwMode="auto">
                          <a:xfrm>
                            <a:off x="0" y="0"/>
                            <a:ext cx="6805208" cy="400697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01E58" w:rsidRPr="00FA7D47" w14:paraId="69FCE893" w14:textId="77777777" w:rsidTr="0095549A">
        <w:tc>
          <w:tcPr>
            <w:tcW w:w="5000" w:type="pct"/>
          </w:tcPr>
          <w:p w14:paraId="183CA7C5" w14:textId="1761CC15" w:rsidR="00201E58" w:rsidRPr="009819CE" w:rsidRDefault="00201E58" w:rsidP="0095549A">
            <w:pPr>
              <w:pStyle w:val="Caption"/>
              <w:rPr>
                <w:rFonts w:asciiTheme="minorBidi" w:hAnsiTheme="minorBidi" w:cstheme="minorBidi"/>
                <w:lang w:val="en-GB"/>
              </w:rPr>
            </w:pPr>
            <w:bookmarkStart w:id="290" w:name="_Ref97141193"/>
            <w:bookmarkStart w:id="291" w:name="_Toc204106734"/>
            <w:r w:rsidRPr="009819CE">
              <w:rPr>
                <w:rFonts w:asciiTheme="minorBidi" w:hAnsiTheme="minorBidi" w:cstheme="minorBidi"/>
                <w:b/>
                <w:lang w:val="en-GB"/>
              </w:rPr>
              <w:t xml:space="preserve">Figure </w:t>
            </w:r>
            <w:r w:rsidRPr="007268F5">
              <w:rPr>
                <w:rFonts w:asciiTheme="minorBidi" w:hAnsiTheme="minorBidi" w:cstheme="minorBidi"/>
                <w:b/>
                <w:bCs/>
              </w:rPr>
              <w:fldChar w:fldCharType="begin"/>
            </w:r>
            <w:r w:rsidRPr="009819CE">
              <w:rPr>
                <w:rFonts w:asciiTheme="minorBidi" w:hAnsiTheme="minorBidi" w:cstheme="minorBidi"/>
                <w:b/>
                <w:lang w:val="en-GB"/>
              </w:rPr>
              <w:instrText>STYLEREF 1 \s</w:instrText>
            </w:r>
            <w:r w:rsidRPr="007268F5">
              <w:rPr>
                <w:rFonts w:asciiTheme="minorBidi" w:hAnsiTheme="minorBidi" w:cstheme="minorBidi"/>
                <w:b/>
                <w:bCs/>
              </w:rPr>
              <w:fldChar w:fldCharType="separate"/>
            </w:r>
            <w:r w:rsidR="008549FC">
              <w:rPr>
                <w:rFonts w:asciiTheme="minorBidi" w:hAnsiTheme="minorBidi" w:cstheme="minorBidi"/>
                <w:b/>
                <w:noProof/>
                <w:lang w:val="en-GB"/>
              </w:rPr>
              <w:t>3</w:t>
            </w:r>
            <w:r w:rsidRPr="007268F5">
              <w:rPr>
                <w:rFonts w:asciiTheme="minorBidi" w:hAnsiTheme="minorBidi" w:cstheme="minorBidi"/>
                <w:b/>
                <w:bCs/>
              </w:rPr>
              <w:fldChar w:fldCharType="end"/>
            </w:r>
            <w:r w:rsidRPr="009819CE">
              <w:rPr>
                <w:rFonts w:asciiTheme="minorBidi" w:hAnsiTheme="minorBidi" w:cstheme="minorBidi"/>
                <w:b/>
                <w:lang w:val="en-GB"/>
              </w:rPr>
              <w:t>.</w:t>
            </w:r>
            <w:r w:rsidRPr="007268F5">
              <w:rPr>
                <w:rFonts w:asciiTheme="minorBidi" w:hAnsiTheme="minorBidi" w:cstheme="minorBidi"/>
                <w:b/>
                <w:bCs/>
              </w:rPr>
              <w:fldChar w:fldCharType="begin"/>
            </w:r>
            <w:r w:rsidRPr="009819CE">
              <w:rPr>
                <w:rFonts w:asciiTheme="minorBidi" w:hAnsiTheme="minorBidi" w:cstheme="minorBidi"/>
                <w:b/>
                <w:lang w:val="en-GB"/>
              </w:rPr>
              <w:instrText>SEQ Figure \* ARABIC \s 1</w:instrText>
            </w:r>
            <w:r w:rsidRPr="007268F5">
              <w:rPr>
                <w:rFonts w:asciiTheme="minorBidi" w:hAnsiTheme="minorBidi" w:cstheme="minorBidi"/>
                <w:b/>
                <w:bCs/>
              </w:rPr>
              <w:fldChar w:fldCharType="separate"/>
            </w:r>
            <w:r w:rsidR="008549FC">
              <w:rPr>
                <w:rFonts w:asciiTheme="minorBidi" w:hAnsiTheme="minorBidi" w:cstheme="minorBidi"/>
                <w:b/>
                <w:noProof/>
                <w:lang w:val="en-GB"/>
              </w:rPr>
              <w:t>10</w:t>
            </w:r>
            <w:r w:rsidRPr="007268F5">
              <w:rPr>
                <w:rFonts w:asciiTheme="minorBidi" w:hAnsiTheme="minorBidi" w:cstheme="minorBidi"/>
                <w:b/>
                <w:bCs/>
              </w:rPr>
              <w:fldChar w:fldCharType="end"/>
            </w:r>
            <w:bookmarkEnd w:id="290"/>
            <w:r w:rsidRPr="009819CE">
              <w:rPr>
                <w:rFonts w:asciiTheme="minorBidi" w:hAnsiTheme="minorBidi" w:cstheme="minorBidi"/>
                <w:lang w:val="en-GB"/>
              </w:rPr>
              <w:t xml:space="preserve"> Comparison of haemolymph and gut microbial communities between ‘</w:t>
            </w:r>
            <w:r w:rsidR="009D03F4" w:rsidRPr="009819CE">
              <w:rPr>
                <w:rFonts w:asciiTheme="minorBidi" w:hAnsiTheme="minorBidi" w:cstheme="minorBidi"/>
                <w:i/>
                <w:lang w:val="en-GB"/>
              </w:rPr>
              <w:t>Hematodinium</w:t>
            </w:r>
            <w:r w:rsidRPr="009819CE">
              <w:rPr>
                <w:rFonts w:asciiTheme="minorBidi" w:hAnsiTheme="minorBidi" w:cstheme="minorBidi"/>
                <w:lang w:val="en-GB"/>
              </w:rPr>
              <w:t xml:space="preserve">-free’ </w:t>
            </w:r>
            <w:r w:rsidR="00C31E47" w:rsidRPr="009819CE">
              <w:rPr>
                <w:rFonts w:asciiTheme="minorBidi" w:hAnsiTheme="minorBidi" w:cstheme="minorBidi"/>
                <w:i/>
                <w:lang w:val="en-GB"/>
              </w:rPr>
              <w:t>Nephrops</w:t>
            </w:r>
            <w:r w:rsidRPr="009819CE">
              <w:rPr>
                <w:rFonts w:asciiTheme="minorBidi" w:hAnsiTheme="minorBidi" w:cstheme="minorBidi"/>
                <w:lang w:val="en-GB"/>
              </w:rPr>
              <w:t xml:space="preserve"> (tested negative by BCM, PM, PCR, histology; n=22) and </w:t>
            </w:r>
            <w:r w:rsidR="00C31E47" w:rsidRPr="009819CE">
              <w:rPr>
                <w:rFonts w:asciiTheme="minorBidi" w:hAnsiTheme="minorBidi" w:cstheme="minorBidi"/>
                <w:i/>
                <w:lang w:val="en-GB"/>
              </w:rPr>
              <w:t>Nephrops</w:t>
            </w:r>
            <w:r w:rsidRPr="009819CE">
              <w:rPr>
                <w:rFonts w:asciiTheme="minorBidi" w:hAnsiTheme="minorBidi" w:cstheme="minorBidi"/>
                <w:lang w:val="en-GB"/>
              </w:rPr>
              <w:t xml:space="preserve"> at advanced levels of infection (confirmed positive by BCM and PM stages 3-4; n=22). Alpha-diversity metrics of the haemolymph (A-B) and gut (D-E) comparisons are shown. Each dot represents an individual sample, and **p &lt; 0.001. Principal Coordinate Analysis (PCoA) plots based on Bray-Curtis similarity matrix are depicted for the haemolymph (C) and gut (F) microbial communities. </w:t>
            </w:r>
            <w:r w:rsidR="000320AE" w:rsidRPr="009819CE">
              <w:t>The ellipses represent the distribution of samples around the group centroid and illustrate the variation within each group. Colours correspond to the respective group classification</w:t>
            </w:r>
            <w:r w:rsidR="000320AE" w:rsidRPr="00FA7D47" w:rsidDel="000320AE">
              <w:rPr>
                <w:rFonts w:asciiTheme="minorBidi" w:hAnsiTheme="minorBidi" w:cstheme="minorBidi"/>
                <w:lang w:val="en-GB"/>
              </w:rPr>
              <w:t xml:space="preserve"> </w:t>
            </w:r>
            <w:r w:rsidR="00F936D4" w:rsidRPr="00FA7D47">
              <w:rPr>
                <w:rFonts w:asciiTheme="minorBidi" w:hAnsiTheme="minorBidi" w:cstheme="minorBidi"/>
                <w:lang w:val="en-GB"/>
              </w:rPr>
              <w:t>(</w:t>
            </w:r>
            <w:r w:rsidR="00AE42C2" w:rsidRPr="00FA7D47">
              <w:rPr>
                <w:rFonts w:asciiTheme="minorBidi" w:hAnsiTheme="minorBidi" w:cstheme="minorBidi"/>
                <w:lang w:val="en-GB"/>
              </w:rPr>
              <w:t xml:space="preserve">green: negative; </w:t>
            </w:r>
            <w:r w:rsidR="00F936D4" w:rsidRPr="00FA7D47">
              <w:rPr>
                <w:rFonts w:asciiTheme="minorBidi" w:hAnsiTheme="minorBidi" w:cstheme="minorBidi"/>
                <w:lang w:val="en-GB"/>
              </w:rPr>
              <w:t>red</w:t>
            </w:r>
            <w:r w:rsidR="00AE42C2" w:rsidRPr="00FA7D47">
              <w:rPr>
                <w:rFonts w:asciiTheme="minorBidi" w:hAnsiTheme="minorBidi" w:cstheme="minorBidi"/>
                <w:lang w:val="en-GB"/>
              </w:rPr>
              <w:t>: positive)</w:t>
            </w:r>
            <w:r w:rsidRPr="009819CE">
              <w:rPr>
                <w:rFonts w:asciiTheme="minorBidi" w:hAnsiTheme="minorBidi" w:cstheme="minorBidi"/>
                <w:lang w:val="en-GB"/>
              </w:rPr>
              <w:t>.</w:t>
            </w:r>
            <w:bookmarkEnd w:id="291"/>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
        <w:gridCol w:w="12780"/>
      </w:tblGrid>
      <w:tr w:rsidR="0016268F" w:rsidRPr="00FA7D47" w14:paraId="5518AEE0" w14:textId="77777777" w:rsidTr="007268F5">
        <w:trPr>
          <w:gridBefore w:val="1"/>
          <w:wBefore w:w="180" w:type="dxa"/>
        </w:trPr>
        <w:tc>
          <w:tcPr>
            <w:tcW w:w="12780" w:type="dxa"/>
            <w:vAlign w:val="center"/>
          </w:tcPr>
          <w:p w14:paraId="1D39FFD7" w14:textId="77777777" w:rsidR="0016268F" w:rsidRPr="009819CE" w:rsidRDefault="0016268F" w:rsidP="00C71170">
            <w:pPr>
              <w:tabs>
                <w:tab w:val="left" w:pos="1620"/>
              </w:tabs>
              <w:ind w:right="180"/>
              <w:jc w:val="center"/>
              <w:rPr>
                <w:rFonts w:cstheme="minorBidi"/>
                <w:lang w:val="en-GB"/>
              </w:rPr>
            </w:pPr>
            <w:r w:rsidRPr="00FF34FE">
              <w:rPr>
                <w:rFonts w:cstheme="minorBidi"/>
                <w:noProof/>
              </w:rPr>
              <w:drawing>
                <wp:inline distT="0" distB="0" distL="0" distR="0" wp14:anchorId="6FD7FC7C" wp14:editId="57478963">
                  <wp:extent cx="7346887" cy="4897925"/>
                  <wp:effectExtent l="0" t="0" r="6985" b="0"/>
                  <wp:docPr id="2034747350" name="Picture 1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47350" name="Picture 12" descr="A screenshot of a computer screen&#10;&#10;Description automatically generate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370203" cy="4913469"/>
                          </a:xfrm>
                          <a:prstGeom prst="rect">
                            <a:avLst/>
                          </a:prstGeom>
                          <a:noFill/>
                          <a:ln>
                            <a:noFill/>
                          </a:ln>
                        </pic:spPr>
                      </pic:pic>
                    </a:graphicData>
                  </a:graphic>
                </wp:inline>
              </w:drawing>
            </w:r>
          </w:p>
        </w:tc>
      </w:tr>
      <w:tr w:rsidR="0016268F" w:rsidRPr="00FA7D47" w14:paraId="3A17C7BD" w14:textId="77777777" w:rsidTr="0095549A">
        <w:trPr>
          <w:gridBefore w:val="1"/>
          <w:wBefore w:w="180" w:type="dxa"/>
        </w:trPr>
        <w:tc>
          <w:tcPr>
            <w:tcW w:w="12780" w:type="dxa"/>
          </w:tcPr>
          <w:p w14:paraId="2EF9A410" w14:textId="02EA1BE2" w:rsidR="002E7481" w:rsidRPr="007268F5" w:rsidRDefault="0016268F" w:rsidP="00C71170">
            <w:pPr>
              <w:pStyle w:val="Caption"/>
              <w:rPr>
                <w:lang w:val="en-GB"/>
              </w:rPr>
            </w:pPr>
            <w:bookmarkStart w:id="292" w:name="_Ref130209097"/>
            <w:bookmarkStart w:id="293" w:name="_Toc204106735"/>
            <w:r w:rsidRPr="009819CE">
              <w:rPr>
                <w:rFonts w:asciiTheme="minorBidi" w:hAnsiTheme="minorBidi" w:cstheme="minorBidi"/>
                <w:b/>
                <w:lang w:val="en-GB"/>
              </w:rPr>
              <w:t xml:space="preserve">Figure </w:t>
            </w:r>
            <w:r w:rsidRPr="007268F5">
              <w:rPr>
                <w:rFonts w:asciiTheme="minorBidi" w:hAnsiTheme="minorBidi" w:cstheme="minorBidi"/>
                <w:b/>
                <w:bCs/>
              </w:rPr>
              <w:fldChar w:fldCharType="begin"/>
            </w:r>
            <w:r w:rsidRPr="009819CE">
              <w:rPr>
                <w:rFonts w:asciiTheme="minorBidi" w:hAnsiTheme="minorBidi" w:cstheme="minorBidi"/>
                <w:b/>
                <w:lang w:val="en-GB"/>
              </w:rPr>
              <w:instrText>STYLEREF 1 \s</w:instrText>
            </w:r>
            <w:r w:rsidRPr="007268F5">
              <w:rPr>
                <w:rFonts w:asciiTheme="minorBidi" w:hAnsiTheme="minorBidi" w:cstheme="minorBidi"/>
                <w:b/>
                <w:bCs/>
              </w:rPr>
              <w:fldChar w:fldCharType="separate"/>
            </w:r>
            <w:r w:rsidR="008549FC">
              <w:rPr>
                <w:rFonts w:asciiTheme="minorBidi" w:hAnsiTheme="minorBidi" w:cstheme="minorBidi"/>
                <w:b/>
                <w:noProof/>
                <w:lang w:val="en-GB"/>
              </w:rPr>
              <w:t>3</w:t>
            </w:r>
            <w:r w:rsidRPr="007268F5">
              <w:rPr>
                <w:rFonts w:asciiTheme="minorBidi" w:hAnsiTheme="minorBidi" w:cstheme="minorBidi"/>
                <w:b/>
                <w:bCs/>
              </w:rPr>
              <w:fldChar w:fldCharType="end"/>
            </w:r>
            <w:r w:rsidRPr="009819CE">
              <w:rPr>
                <w:rFonts w:asciiTheme="minorBidi" w:hAnsiTheme="minorBidi" w:cstheme="minorBidi"/>
                <w:b/>
                <w:lang w:val="en-GB"/>
              </w:rPr>
              <w:t>.</w:t>
            </w:r>
            <w:r w:rsidRPr="007268F5">
              <w:rPr>
                <w:rFonts w:asciiTheme="minorBidi" w:hAnsiTheme="minorBidi" w:cstheme="minorBidi"/>
                <w:b/>
                <w:bCs/>
              </w:rPr>
              <w:fldChar w:fldCharType="begin"/>
            </w:r>
            <w:r w:rsidRPr="009819CE">
              <w:rPr>
                <w:rFonts w:asciiTheme="minorBidi" w:hAnsiTheme="minorBidi" w:cstheme="minorBidi"/>
                <w:b/>
                <w:lang w:val="en-GB"/>
              </w:rPr>
              <w:instrText>SEQ Figure \* ARABIC \s 1</w:instrText>
            </w:r>
            <w:r w:rsidRPr="007268F5">
              <w:rPr>
                <w:rFonts w:asciiTheme="minorBidi" w:hAnsiTheme="minorBidi" w:cstheme="minorBidi"/>
                <w:b/>
                <w:bCs/>
              </w:rPr>
              <w:fldChar w:fldCharType="separate"/>
            </w:r>
            <w:r w:rsidR="008549FC">
              <w:rPr>
                <w:rFonts w:asciiTheme="minorBidi" w:hAnsiTheme="minorBidi" w:cstheme="minorBidi"/>
                <w:b/>
                <w:noProof/>
                <w:lang w:val="en-GB"/>
              </w:rPr>
              <w:t>11</w:t>
            </w:r>
            <w:r w:rsidRPr="007268F5">
              <w:rPr>
                <w:rFonts w:asciiTheme="minorBidi" w:hAnsiTheme="minorBidi" w:cstheme="minorBidi"/>
                <w:b/>
                <w:bCs/>
              </w:rPr>
              <w:fldChar w:fldCharType="end"/>
            </w:r>
            <w:bookmarkEnd w:id="292"/>
            <w:r w:rsidRPr="009819CE">
              <w:rPr>
                <w:rFonts w:asciiTheme="minorBidi" w:hAnsiTheme="minorBidi" w:cstheme="minorBidi"/>
                <w:lang w:val="en-GB"/>
              </w:rPr>
              <w:t xml:space="preserve"> A) Significant genera (p-value&lt;0.01) observed in the haemolymph microbiota between </w:t>
            </w:r>
            <w:r w:rsidRPr="009819CE">
              <w:rPr>
                <w:rFonts w:asciiTheme="minorBidi" w:hAnsiTheme="minorBidi" w:cstheme="minorBidi"/>
                <w:i/>
                <w:lang w:val="en-GB"/>
              </w:rPr>
              <w:t>‘</w:t>
            </w:r>
            <w:r w:rsidR="009D03F4" w:rsidRPr="009819CE">
              <w:rPr>
                <w:rFonts w:asciiTheme="minorBidi" w:hAnsiTheme="minorBidi" w:cstheme="minorBidi"/>
                <w:i/>
                <w:lang w:val="en-GB"/>
              </w:rPr>
              <w:t>Hematodinium</w:t>
            </w:r>
            <w:r w:rsidRPr="009819CE">
              <w:rPr>
                <w:rFonts w:asciiTheme="minorBidi" w:hAnsiTheme="minorBidi" w:cstheme="minorBidi"/>
                <w:lang w:val="en-GB"/>
              </w:rPr>
              <w:t>-free</w:t>
            </w:r>
            <w:r w:rsidRPr="009819CE">
              <w:rPr>
                <w:rFonts w:asciiTheme="minorBidi" w:hAnsiTheme="minorBidi" w:cstheme="minorBidi"/>
                <w:i/>
                <w:lang w:val="en-GB"/>
              </w:rPr>
              <w:t xml:space="preserve">’ </w:t>
            </w:r>
            <w:r w:rsidRPr="009819CE">
              <w:rPr>
                <w:rFonts w:asciiTheme="minorBidi" w:hAnsiTheme="minorBidi" w:cstheme="minorBidi"/>
                <w:lang w:val="en-GB"/>
              </w:rPr>
              <w:t>(NEG) and BCM and PM stages 3-4 positive</w:t>
            </w:r>
            <w:r w:rsidR="00815D08" w:rsidRPr="00FA7D47">
              <w:rPr>
                <w:rFonts w:asciiTheme="minorBidi" w:hAnsiTheme="minorBidi" w:cstheme="minorBidi"/>
                <w:lang w:val="en-GB"/>
              </w:rPr>
              <w:t xml:space="preserve"> (POS)</w:t>
            </w:r>
            <w:r w:rsidRPr="009819CE">
              <w:rPr>
                <w:rFonts w:asciiTheme="minorBidi" w:hAnsiTheme="minorBidi" w:cstheme="minorBidi"/>
                <w:lang w:val="en-GB"/>
              </w:rPr>
              <w:t xml:space="preserve"> </w:t>
            </w:r>
            <w:r w:rsidR="00C31E47" w:rsidRPr="009819CE">
              <w:rPr>
                <w:rFonts w:asciiTheme="minorBidi" w:hAnsiTheme="minorBidi" w:cstheme="minorBidi"/>
                <w:i/>
                <w:lang w:val="en-GB"/>
              </w:rPr>
              <w:t>Nephrops</w:t>
            </w:r>
            <w:r w:rsidRPr="009819CE">
              <w:rPr>
                <w:rFonts w:asciiTheme="minorBidi" w:hAnsiTheme="minorBidi" w:cstheme="minorBidi"/>
                <w:lang w:val="en-GB"/>
              </w:rPr>
              <w:t xml:space="preserve"> (n=22).</w:t>
            </w:r>
            <w:r w:rsidR="00815D08" w:rsidRPr="00FA7D47">
              <w:rPr>
                <w:rFonts w:asciiTheme="minorBidi" w:hAnsiTheme="minorBidi" w:cstheme="minorBidi"/>
                <w:lang w:val="en-GB"/>
              </w:rPr>
              <w:t xml:space="preserve"> </w:t>
            </w:r>
            <w:r w:rsidR="00815D08" w:rsidRPr="009819CE">
              <w:t xml:space="preserve">Unclassified or uncultured bacterial genera include </w:t>
            </w:r>
            <w:r w:rsidR="00815D08" w:rsidRPr="007268F5">
              <w:rPr>
                <w:rStyle w:val="Strong"/>
                <w:b w:val="0"/>
                <w:bCs w:val="0"/>
                <w:i/>
                <w:iCs w:val="0"/>
              </w:rPr>
              <w:t>WD260</w:t>
            </w:r>
            <w:r w:rsidR="00815D08" w:rsidRPr="009819CE">
              <w:t xml:space="preserve">, </w:t>
            </w:r>
            <w:r w:rsidR="00815D08" w:rsidRPr="007268F5">
              <w:rPr>
                <w:rStyle w:val="Strong"/>
                <w:b w:val="0"/>
                <w:bCs w:val="0"/>
                <w:i/>
                <w:iCs w:val="0"/>
              </w:rPr>
              <w:t>subgroup 5</w:t>
            </w:r>
            <w:r w:rsidR="00815D08" w:rsidRPr="007268F5">
              <w:rPr>
                <w:i/>
                <w:iCs w:val="0"/>
              </w:rPr>
              <w:t xml:space="preserve">, </w:t>
            </w:r>
            <w:r w:rsidR="00815D08" w:rsidRPr="007268F5">
              <w:rPr>
                <w:rStyle w:val="Strong"/>
                <w:b w:val="0"/>
                <w:bCs w:val="0"/>
                <w:i/>
                <w:iCs w:val="0"/>
              </w:rPr>
              <w:t>13</w:t>
            </w:r>
            <w:r w:rsidR="00815D08" w:rsidRPr="007268F5">
              <w:rPr>
                <w:i/>
                <w:iCs w:val="0"/>
              </w:rPr>
              <w:t xml:space="preserve">, </w:t>
            </w:r>
            <w:r w:rsidR="00815D08" w:rsidRPr="007268F5">
              <w:rPr>
                <w:rStyle w:val="Strong"/>
                <w:b w:val="0"/>
                <w:bCs w:val="0"/>
                <w:i/>
                <w:iCs w:val="0"/>
              </w:rPr>
              <w:t>15</w:t>
            </w:r>
            <w:r w:rsidR="00815D08" w:rsidRPr="009819CE">
              <w:t xml:space="preserve">, </w:t>
            </w:r>
            <w:r w:rsidR="00815D08" w:rsidRPr="007268F5">
              <w:rPr>
                <w:rStyle w:val="Strong"/>
                <w:b w:val="0"/>
                <w:bCs w:val="0"/>
                <w:i/>
                <w:iCs w:val="0"/>
              </w:rPr>
              <w:t>RCP2-54</w:t>
            </w:r>
            <w:r w:rsidR="00815D08" w:rsidRPr="009819CE">
              <w:t xml:space="preserve">, </w:t>
            </w:r>
            <w:r w:rsidR="00815D08" w:rsidRPr="007268F5">
              <w:rPr>
                <w:rStyle w:val="Strong"/>
                <w:b w:val="0"/>
                <w:bCs w:val="0"/>
                <w:i/>
                <w:iCs w:val="0"/>
              </w:rPr>
              <w:t>JG30-KF-AS9</w:t>
            </w:r>
            <w:r w:rsidR="00815D08" w:rsidRPr="009819CE">
              <w:t xml:space="preserve">, and </w:t>
            </w:r>
            <w:r w:rsidR="00815D08" w:rsidRPr="007268F5">
              <w:rPr>
                <w:rStyle w:val="Strong"/>
                <w:b w:val="0"/>
                <w:bCs w:val="0"/>
                <w:i/>
                <w:iCs w:val="0"/>
              </w:rPr>
              <w:t>Blrii41</w:t>
            </w:r>
            <w:r w:rsidR="00815D08" w:rsidRPr="009819CE">
              <w:t>.</w:t>
            </w:r>
            <w:bookmarkEnd w:id="293"/>
            <w:r w:rsidR="00815D08" w:rsidRPr="009819CE">
              <w:t xml:space="preserve"> </w:t>
            </w:r>
          </w:p>
        </w:tc>
      </w:tr>
      <w:tr w:rsidR="0016268F" w:rsidRPr="00FA7D47" w14:paraId="38A94161" w14:textId="77777777" w:rsidTr="007E6468">
        <w:tc>
          <w:tcPr>
            <w:tcW w:w="12960" w:type="dxa"/>
            <w:gridSpan w:val="2"/>
            <w:vAlign w:val="center"/>
          </w:tcPr>
          <w:p w14:paraId="3D5673E7" w14:textId="77777777" w:rsidR="0016268F" w:rsidRPr="009819CE" w:rsidRDefault="0016268F" w:rsidP="007268F5">
            <w:pPr>
              <w:pStyle w:val="Caption"/>
              <w:jc w:val="center"/>
              <w:rPr>
                <w:rFonts w:asciiTheme="minorBidi" w:hAnsiTheme="minorBidi" w:cstheme="minorBidi"/>
                <w:lang w:val="en-GB"/>
              </w:rPr>
            </w:pPr>
            <w:r w:rsidRPr="00FF34FE">
              <w:rPr>
                <w:rFonts w:asciiTheme="minorBidi" w:hAnsiTheme="minorBidi" w:cstheme="minorBidi"/>
                <w:noProof/>
              </w:rPr>
              <w:drawing>
                <wp:inline distT="0" distB="0" distL="0" distR="0" wp14:anchorId="6BFB8C46" wp14:editId="36543379">
                  <wp:extent cx="6817259" cy="4544839"/>
                  <wp:effectExtent l="0" t="0" r="3175" b="8255"/>
                  <wp:docPr id="751725466" name="Picture 1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25466" name="Picture 13" descr="A screenshot of a computer screen&#10;&#10;Description automatically generated"/>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862481" cy="4574987"/>
                          </a:xfrm>
                          <a:prstGeom prst="rect">
                            <a:avLst/>
                          </a:prstGeom>
                          <a:noFill/>
                          <a:ln>
                            <a:noFill/>
                          </a:ln>
                        </pic:spPr>
                      </pic:pic>
                    </a:graphicData>
                  </a:graphic>
                </wp:inline>
              </w:drawing>
            </w:r>
          </w:p>
        </w:tc>
      </w:tr>
      <w:tr w:rsidR="0016268F" w:rsidRPr="00FA7D47" w14:paraId="766A875D" w14:textId="77777777" w:rsidTr="0095549A">
        <w:tc>
          <w:tcPr>
            <w:tcW w:w="12960" w:type="dxa"/>
            <w:gridSpan w:val="2"/>
          </w:tcPr>
          <w:p w14:paraId="503E059F" w14:textId="18567544" w:rsidR="0016268F" w:rsidRPr="009819CE" w:rsidRDefault="0016268F" w:rsidP="0095549A">
            <w:pPr>
              <w:pStyle w:val="Caption"/>
              <w:rPr>
                <w:rFonts w:asciiTheme="minorBidi" w:hAnsiTheme="minorBidi" w:cstheme="minorBidi"/>
                <w:lang w:val="en-GB"/>
              </w:rPr>
            </w:pPr>
            <w:bookmarkStart w:id="294" w:name="_Ref130218012"/>
            <w:bookmarkStart w:id="295" w:name="_Toc204106736"/>
            <w:r w:rsidRPr="009819CE">
              <w:rPr>
                <w:rFonts w:asciiTheme="minorBidi" w:hAnsiTheme="minorBidi" w:cstheme="minorBidi"/>
                <w:b/>
                <w:lang w:val="en-GB"/>
              </w:rPr>
              <w:t xml:space="preserve">Figure </w:t>
            </w:r>
            <w:r w:rsidRPr="007268F5">
              <w:rPr>
                <w:rFonts w:asciiTheme="minorBidi" w:hAnsiTheme="minorBidi" w:cstheme="minorBidi"/>
                <w:b/>
                <w:bCs/>
              </w:rPr>
              <w:fldChar w:fldCharType="begin"/>
            </w:r>
            <w:r w:rsidRPr="009819CE">
              <w:rPr>
                <w:rFonts w:asciiTheme="minorBidi" w:hAnsiTheme="minorBidi" w:cstheme="minorBidi"/>
                <w:b/>
                <w:lang w:val="en-GB"/>
              </w:rPr>
              <w:instrText>STYLEREF 1 \s</w:instrText>
            </w:r>
            <w:r w:rsidRPr="007268F5">
              <w:rPr>
                <w:rFonts w:asciiTheme="minorBidi" w:hAnsiTheme="minorBidi" w:cstheme="minorBidi"/>
                <w:b/>
                <w:bCs/>
              </w:rPr>
              <w:fldChar w:fldCharType="separate"/>
            </w:r>
            <w:r w:rsidR="008549FC">
              <w:rPr>
                <w:rFonts w:asciiTheme="minorBidi" w:hAnsiTheme="minorBidi" w:cstheme="minorBidi"/>
                <w:b/>
                <w:noProof/>
                <w:lang w:val="en-GB"/>
              </w:rPr>
              <w:t>3</w:t>
            </w:r>
            <w:r w:rsidRPr="007268F5">
              <w:rPr>
                <w:rFonts w:asciiTheme="minorBidi" w:hAnsiTheme="minorBidi" w:cstheme="minorBidi"/>
                <w:b/>
                <w:bCs/>
              </w:rPr>
              <w:fldChar w:fldCharType="end"/>
            </w:r>
            <w:r w:rsidRPr="009819CE">
              <w:rPr>
                <w:rFonts w:asciiTheme="minorBidi" w:hAnsiTheme="minorBidi" w:cstheme="minorBidi"/>
                <w:b/>
                <w:lang w:val="en-GB"/>
              </w:rPr>
              <w:t>.</w:t>
            </w:r>
            <w:r w:rsidRPr="007268F5">
              <w:rPr>
                <w:rFonts w:asciiTheme="minorBidi" w:hAnsiTheme="minorBidi" w:cstheme="minorBidi"/>
                <w:b/>
                <w:bCs/>
              </w:rPr>
              <w:fldChar w:fldCharType="begin"/>
            </w:r>
            <w:r w:rsidRPr="009819CE">
              <w:rPr>
                <w:rFonts w:asciiTheme="minorBidi" w:hAnsiTheme="minorBidi" w:cstheme="minorBidi"/>
                <w:b/>
                <w:lang w:val="en-GB"/>
              </w:rPr>
              <w:instrText>SEQ Figure \* ARABIC \s 1</w:instrText>
            </w:r>
            <w:r w:rsidRPr="007268F5">
              <w:rPr>
                <w:rFonts w:asciiTheme="minorBidi" w:hAnsiTheme="minorBidi" w:cstheme="minorBidi"/>
                <w:b/>
                <w:bCs/>
              </w:rPr>
              <w:fldChar w:fldCharType="separate"/>
            </w:r>
            <w:r w:rsidR="008549FC">
              <w:rPr>
                <w:rFonts w:asciiTheme="minorBidi" w:hAnsiTheme="minorBidi" w:cstheme="minorBidi"/>
                <w:b/>
                <w:noProof/>
                <w:lang w:val="en-GB"/>
              </w:rPr>
              <w:t>12</w:t>
            </w:r>
            <w:r w:rsidRPr="007268F5">
              <w:rPr>
                <w:rFonts w:asciiTheme="minorBidi" w:hAnsiTheme="minorBidi" w:cstheme="minorBidi"/>
                <w:b/>
                <w:bCs/>
              </w:rPr>
              <w:fldChar w:fldCharType="end"/>
            </w:r>
            <w:bookmarkEnd w:id="294"/>
            <w:r w:rsidRPr="009819CE">
              <w:rPr>
                <w:rFonts w:asciiTheme="minorBidi" w:hAnsiTheme="minorBidi" w:cstheme="minorBidi"/>
                <w:lang w:val="en-GB"/>
              </w:rPr>
              <w:t xml:space="preserve"> Significant genera (p-value&lt;0.01) observed in the gut microbiota between </w:t>
            </w:r>
            <w:r w:rsidRPr="009819CE">
              <w:rPr>
                <w:rFonts w:asciiTheme="minorBidi" w:hAnsiTheme="minorBidi" w:cstheme="minorBidi"/>
                <w:i/>
                <w:lang w:val="en-GB"/>
              </w:rPr>
              <w:t>‘</w:t>
            </w:r>
            <w:r w:rsidR="009D03F4" w:rsidRPr="009819CE">
              <w:rPr>
                <w:rFonts w:asciiTheme="minorBidi" w:hAnsiTheme="minorBidi" w:cstheme="minorBidi"/>
                <w:i/>
                <w:lang w:val="en-GB"/>
              </w:rPr>
              <w:t>Hematodinium</w:t>
            </w:r>
            <w:r w:rsidRPr="009819CE">
              <w:rPr>
                <w:rFonts w:asciiTheme="minorBidi" w:hAnsiTheme="minorBidi" w:cstheme="minorBidi"/>
                <w:lang w:val="en-GB"/>
              </w:rPr>
              <w:t>-free</w:t>
            </w:r>
            <w:r w:rsidRPr="009819CE">
              <w:rPr>
                <w:rFonts w:asciiTheme="minorBidi" w:hAnsiTheme="minorBidi" w:cstheme="minorBidi"/>
                <w:i/>
                <w:lang w:val="en-GB"/>
              </w:rPr>
              <w:t xml:space="preserve">’ </w:t>
            </w:r>
            <w:r w:rsidRPr="009819CE">
              <w:rPr>
                <w:rFonts w:asciiTheme="minorBidi" w:hAnsiTheme="minorBidi" w:cstheme="minorBidi"/>
                <w:lang w:val="en-GB"/>
              </w:rPr>
              <w:t xml:space="preserve">(NEG) and </w:t>
            </w:r>
            <w:r w:rsidRPr="009819CE">
              <w:rPr>
                <w:rFonts w:asciiTheme="minorBidi" w:hAnsiTheme="minorBidi" w:cstheme="minorBidi"/>
                <w:szCs w:val="22"/>
                <w:lang w:val="en-GB"/>
              </w:rPr>
              <w:t>BCM and PM stages 3-4 positive</w:t>
            </w:r>
            <w:r w:rsidR="00DE1520" w:rsidRPr="00FA7D47">
              <w:rPr>
                <w:rFonts w:asciiTheme="minorBidi" w:hAnsiTheme="minorBidi" w:cstheme="minorBidi"/>
                <w:szCs w:val="22"/>
                <w:lang w:val="en-GB"/>
              </w:rPr>
              <w:t xml:space="preserve"> (POS)</w:t>
            </w:r>
            <w:r w:rsidRPr="009819CE">
              <w:rPr>
                <w:rFonts w:asciiTheme="minorBidi" w:hAnsiTheme="minorBidi" w:cstheme="minorBidi"/>
                <w:szCs w:val="22"/>
                <w:lang w:val="en-GB"/>
              </w:rPr>
              <w:t xml:space="preserve"> </w:t>
            </w:r>
            <w:r w:rsidR="00C31E47" w:rsidRPr="009819CE">
              <w:rPr>
                <w:rFonts w:asciiTheme="minorBidi" w:hAnsiTheme="minorBidi" w:cstheme="minorBidi"/>
                <w:i/>
                <w:szCs w:val="22"/>
                <w:lang w:val="en-GB"/>
              </w:rPr>
              <w:t>Nephrops</w:t>
            </w:r>
            <w:r w:rsidRPr="009819CE">
              <w:rPr>
                <w:rFonts w:asciiTheme="minorBidi" w:hAnsiTheme="minorBidi" w:cstheme="minorBidi"/>
                <w:szCs w:val="22"/>
                <w:lang w:val="en-GB"/>
              </w:rPr>
              <w:t xml:space="preserve"> (n=22).</w:t>
            </w:r>
            <w:r w:rsidR="00DE1520" w:rsidRPr="00FA7D47">
              <w:rPr>
                <w:rFonts w:asciiTheme="minorBidi" w:hAnsiTheme="minorBidi" w:cstheme="minorBidi"/>
                <w:szCs w:val="22"/>
                <w:lang w:val="en-GB"/>
              </w:rPr>
              <w:t xml:space="preserve"> </w:t>
            </w:r>
            <w:r w:rsidR="00DE1520" w:rsidRPr="009819CE">
              <w:t xml:space="preserve">Unclassified or uncultured bacterial genera include </w:t>
            </w:r>
            <w:r w:rsidR="00DE1520" w:rsidRPr="007268F5">
              <w:rPr>
                <w:i/>
              </w:rPr>
              <w:t>Clostridia UCG-014</w:t>
            </w:r>
            <w:r w:rsidR="00DE1520" w:rsidRPr="009819CE">
              <w:rPr>
                <w:i/>
                <w:iCs w:val="0"/>
              </w:rPr>
              <w:t xml:space="preserve"> and </w:t>
            </w:r>
            <w:r w:rsidR="00DE1520" w:rsidRPr="009819CE">
              <w:rPr>
                <w:i/>
              </w:rPr>
              <w:t xml:space="preserve"> NK4A214.</w:t>
            </w:r>
            <w:bookmarkEnd w:id="295"/>
          </w:p>
        </w:tc>
      </w:tr>
    </w:tbl>
    <w:p w14:paraId="635AFE9E" w14:textId="77777777" w:rsidR="0080456B" w:rsidRPr="009819CE" w:rsidRDefault="0080456B" w:rsidP="004F2DC6">
      <w:pPr>
        <w:rPr>
          <w:rFonts w:cstheme="minorBidi"/>
        </w:rPr>
        <w:sectPr w:rsidR="0080456B" w:rsidRPr="009819CE" w:rsidSect="001E58EC">
          <w:headerReference w:type="default" r:id="rId91"/>
          <w:pgSz w:w="15840" w:h="12240" w:orient="landscape"/>
          <w:pgMar w:top="720" w:right="720" w:bottom="720" w:left="720" w:header="567" w:footer="567" w:gutter="0"/>
          <w:cols w:space="708"/>
          <w:docGrid w:linePitch="360"/>
        </w:sectPr>
      </w:pPr>
    </w:p>
    <w:p w14:paraId="535AC348" w14:textId="5FC7B1D9" w:rsidR="0055220B" w:rsidRPr="009819CE" w:rsidRDefault="0055220B" w:rsidP="00FD0393">
      <w:pPr>
        <w:pStyle w:val="Heading3"/>
        <w:rPr>
          <w:rFonts w:cstheme="minorBidi"/>
        </w:rPr>
      </w:pPr>
      <w:bookmarkStart w:id="296" w:name="_Toc204106651"/>
      <w:r w:rsidRPr="009819CE">
        <w:rPr>
          <w:rFonts w:cstheme="minorBidi"/>
        </w:rPr>
        <w:t xml:space="preserve">Pathobiome associated with </w:t>
      </w:r>
      <w:r w:rsidR="009D03F4" w:rsidRPr="009819CE">
        <w:rPr>
          <w:rFonts w:cstheme="minorBidi"/>
          <w:i/>
        </w:rPr>
        <w:t>Hematodinium</w:t>
      </w:r>
      <w:r w:rsidRPr="009819CE">
        <w:rPr>
          <w:rFonts w:cstheme="minorBidi"/>
        </w:rPr>
        <w:t xml:space="preserve"> sp. disease progression according to the PM</w:t>
      </w:r>
      <w:bookmarkEnd w:id="296"/>
      <w:r w:rsidRPr="009819CE">
        <w:rPr>
          <w:rFonts w:cstheme="minorBidi"/>
        </w:rPr>
        <w:t xml:space="preserve"> </w:t>
      </w:r>
    </w:p>
    <w:p w14:paraId="5C028230" w14:textId="25C66137" w:rsidR="0055220B" w:rsidRPr="009819CE" w:rsidRDefault="00BF37F1" w:rsidP="0055220B">
      <w:pPr>
        <w:rPr>
          <w:rFonts w:cstheme="minorBidi"/>
        </w:rPr>
      </w:pPr>
      <w:r w:rsidRPr="009819CE">
        <w:rPr>
          <w:rFonts w:cstheme="minorBidi"/>
        </w:rPr>
        <w:t xml:space="preserve">To understand how the microbiome interacts with the progression of </w:t>
      </w:r>
      <w:r w:rsidR="009D03F4" w:rsidRPr="009819CE">
        <w:rPr>
          <w:rFonts w:cstheme="minorBidi"/>
          <w:i/>
          <w:iCs/>
        </w:rPr>
        <w:t>Hematodinium</w:t>
      </w:r>
      <w:r w:rsidRPr="009819CE">
        <w:rPr>
          <w:rFonts w:cstheme="minorBidi"/>
        </w:rPr>
        <w:t xml:space="preserve"> sp. infection, a </w:t>
      </w:r>
      <w:r w:rsidR="009A658E" w:rsidRPr="009819CE">
        <w:rPr>
          <w:rFonts w:cstheme="minorBidi"/>
        </w:rPr>
        <w:t>full</w:t>
      </w:r>
      <w:r w:rsidRPr="009819CE">
        <w:rPr>
          <w:rFonts w:cstheme="minorBidi"/>
        </w:rPr>
        <w:t xml:space="preserve"> comparative analysis using samples collected at different infection stages</w:t>
      </w:r>
      <w:r w:rsidR="005156AD">
        <w:rPr>
          <w:rFonts w:cstheme="minorBidi"/>
        </w:rPr>
        <w:t xml:space="preserve"> was conducted</w:t>
      </w:r>
      <w:r w:rsidRPr="009819CE">
        <w:rPr>
          <w:rFonts w:cstheme="minorBidi"/>
        </w:rPr>
        <w:t>, categorized by the pleopod method (PM)</w:t>
      </w:r>
      <w:r w:rsidR="00C24E5A" w:rsidRPr="009819CE">
        <w:rPr>
          <w:rFonts w:cstheme="minorBidi"/>
        </w:rPr>
        <w:t xml:space="preserve"> </w:t>
      </w:r>
      <w:r w:rsidR="0055220B" w:rsidRPr="009819CE">
        <w:rPr>
          <w:rFonts w:cstheme="minorBidi"/>
        </w:rPr>
        <w:t>(</w:t>
      </w:r>
      <w:r w:rsidR="00AA4C8F" w:rsidRPr="009819CE">
        <w:rPr>
          <w:rFonts w:cstheme="minorBidi"/>
        </w:rPr>
        <w:t>see</w:t>
      </w:r>
      <w:r w:rsidR="0055220B" w:rsidRPr="009819CE">
        <w:rPr>
          <w:rFonts w:cstheme="minorBidi"/>
        </w:rPr>
        <w:t xml:space="preserve"> section </w:t>
      </w:r>
      <w:r w:rsidR="00037653" w:rsidRPr="009819CE">
        <w:rPr>
          <w:rFonts w:cstheme="minorBidi"/>
          <w:b/>
          <w:bCs/>
        </w:rPr>
        <w:fldChar w:fldCharType="begin"/>
      </w:r>
      <w:r w:rsidR="00037653" w:rsidRPr="009819CE">
        <w:rPr>
          <w:rFonts w:cstheme="minorBidi"/>
          <w:b/>
          <w:bCs/>
        </w:rPr>
        <w:instrText xml:space="preserve"> REF _Ref157965743 \r \h  \* MERGEFORMAT </w:instrText>
      </w:r>
      <w:r w:rsidR="00037653" w:rsidRPr="009819CE">
        <w:rPr>
          <w:rFonts w:cstheme="minorBidi"/>
          <w:b/>
          <w:bCs/>
        </w:rPr>
      </w:r>
      <w:r w:rsidR="00037653" w:rsidRPr="009819CE">
        <w:rPr>
          <w:rFonts w:cstheme="minorBidi"/>
          <w:b/>
          <w:bCs/>
        </w:rPr>
        <w:fldChar w:fldCharType="separate"/>
      </w:r>
      <w:r w:rsidR="008549FC">
        <w:rPr>
          <w:rFonts w:cstheme="minorBidi"/>
          <w:b/>
          <w:bCs/>
        </w:rPr>
        <w:t>2.3.4</w:t>
      </w:r>
      <w:r w:rsidR="00037653" w:rsidRPr="009819CE">
        <w:rPr>
          <w:rFonts w:cstheme="minorBidi"/>
          <w:b/>
          <w:bCs/>
        </w:rPr>
        <w:fldChar w:fldCharType="end"/>
      </w:r>
      <w:r w:rsidR="0055220B" w:rsidRPr="009819CE">
        <w:rPr>
          <w:rFonts w:cstheme="minorBidi"/>
        </w:rPr>
        <w:t xml:space="preserve">). As illustrated in </w:t>
      </w:r>
      <w:r w:rsidR="0055220B" w:rsidRPr="009819CE">
        <w:rPr>
          <w:rFonts w:cstheme="minorBidi"/>
        </w:rPr>
        <w:fldChar w:fldCharType="begin"/>
      </w:r>
      <w:r w:rsidR="0055220B" w:rsidRPr="009819CE">
        <w:rPr>
          <w:rFonts w:cstheme="minorBidi"/>
        </w:rPr>
        <w:instrText xml:space="preserve"> REF _Ref130218293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3.13</w:t>
      </w:r>
      <w:r w:rsidR="0055220B" w:rsidRPr="009819CE">
        <w:rPr>
          <w:rFonts w:cstheme="minorBidi"/>
        </w:rPr>
        <w:fldChar w:fldCharType="end"/>
      </w:r>
      <w:r w:rsidR="0055220B" w:rsidRPr="009819CE">
        <w:rPr>
          <w:rFonts w:cstheme="minorBidi"/>
        </w:rPr>
        <w:t>, no statistically significant differences were discernible concerning bacterial community richness, diversity, or evenness throughout the progression of disease stages (S1-S4), both within the haemolymph and the gut. Furthermore, the application of Principal Coordinate Analysis (PCoA) utilizing the Bray-Curtis dissimilarity matrix did not reveal any prominent clustering patterns (</w:t>
      </w:r>
      <w:r w:rsidR="0055220B" w:rsidRPr="009819CE">
        <w:rPr>
          <w:rFonts w:cstheme="minorBidi"/>
        </w:rPr>
        <w:fldChar w:fldCharType="begin"/>
      </w:r>
      <w:r w:rsidR="0055220B" w:rsidRPr="009819CE">
        <w:rPr>
          <w:rFonts w:cstheme="minorBidi"/>
        </w:rPr>
        <w:instrText xml:space="preserve"> REF _Ref130218293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3.13</w:t>
      </w:r>
      <w:r w:rsidR="0055220B" w:rsidRPr="009819CE">
        <w:rPr>
          <w:rFonts w:cstheme="minorBidi"/>
        </w:rPr>
        <w:fldChar w:fldCharType="end"/>
      </w:r>
      <w:r w:rsidR="0055220B" w:rsidRPr="009819CE">
        <w:rPr>
          <w:rFonts w:cstheme="minorBidi"/>
        </w:rPr>
        <w:t xml:space="preserve">C). </w:t>
      </w:r>
      <w:r w:rsidR="00072BC9" w:rsidRPr="009819CE">
        <w:rPr>
          <w:rFonts w:cstheme="minorBidi"/>
        </w:rPr>
        <w:t xml:space="preserve">However, the gut microbiome data showed a significant difference, indicating considerable variation as per the PERMANOVA analysis </w:t>
      </w:r>
      <w:r w:rsidR="0055220B" w:rsidRPr="009819CE">
        <w:rPr>
          <w:rFonts w:cstheme="minorBidi"/>
        </w:rPr>
        <w:t xml:space="preserve">(PERMANOVA, p-value&lt;0.047; </w:t>
      </w:r>
      <w:r w:rsidR="0055220B" w:rsidRPr="009819CE">
        <w:rPr>
          <w:rFonts w:cstheme="minorBidi"/>
        </w:rPr>
        <w:fldChar w:fldCharType="begin"/>
      </w:r>
      <w:r w:rsidR="0055220B" w:rsidRPr="009819CE">
        <w:rPr>
          <w:rFonts w:cstheme="minorBidi"/>
        </w:rPr>
        <w:instrText xml:space="preserve"> REF _Ref130218293 \h  \* MERGEFORMAT </w:instrText>
      </w:r>
      <w:r w:rsidR="0055220B" w:rsidRPr="009819CE">
        <w:rPr>
          <w:rFonts w:cstheme="minorBidi"/>
        </w:rPr>
      </w:r>
      <w:r w:rsidR="0055220B" w:rsidRPr="009819CE">
        <w:rPr>
          <w:rFonts w:cstheme="minorBidi"/>
        </w:rPr>
        <w:fldChar w:fldCharType="separate"/>
      </w:r>
      <w:r w:rsidR="008549FC" w:rsidRPr="008549FC">
        <w:rPr>
          <w:rFonts w:cstheme="minorBidi"/>
          <w:b/>
          <w:bCs/>
        </w:rPr>
        <w:t>Figure 3.13</w:t>
      </w:r>
      <w:r w:rsidR="0055220B" w:rsidRPr="009819CE">
        <w:rPr>
          <w:rFonts w:cstheme="minorBidi"/>
        </w:rPr>
        <w:fldChar w:fldCharType="end"/>
      </w:r>
      <w:r w:rsidR="0055220B" w:rsidRPr="009819CE">
        <w:rPr>
          <w:rFonts w:cstheme="minorBidi"/>
        </w:rPr>
        <w:t>F).</w:t>
      </w:r>
    </w:p>
    <w:p w14:paraId="4BFA2463" w14:textId="77777777" w:rsidR="001E58EC" w:rsidRPr="009819CE" w:rsidRDefault="001E58EC" w:rsidP="0055220B">
      <w:pPr>
        <w:rPr>
          <w:rFonts w:cstheme="minorBidi"/>
        </w:rPr>
        <w:sectPr w:rsidR="001E58EC" w:rsidRPr="009819CE" w:rsidSect="003A7A28">
          <w:pgSz w:w="12240" w:h="15840"/>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0"/>
      </w:tblGrid>
      <w:tr w:rsidR="001E58EC" w:rsidRPr="00FA7D47" w14:paraId="17EB7147" w14:textId="77777777" w:rsidTr="0095549A">
        <w:tc>
          <w:tcPr>
            <w:tcW w:w="5000" w:type="pct"/>
          </w:tcPr>
          <w:p w14:paraId="6EDC63BE" w14:textId="77777777" w:rsidR="001E58EC" w:rsidRPr="009819CE" w:rsidRDefault="001E58EC" w:rsidP="0095549A">
            <w:pPr>
              <w:tabs>
                <w:tab w:val="left" w:pos="1620"/>
              </w:tabs>
              <w:ind w:right="180"/>
              <w:jc w:val="center"/>
              <w:rPr>
                <w:rFonts w:cstheme="minorBidi"/>
                <w:lang w:val="en-GB"/>
              </w:rPr>
            </w:pPr>
            <w:r w:rsidRPr="00FF34FE">
              <w:rPr>
                <w:rFonts w:cstheme="minorBidi"/>
                <w:noProof/>
              </w:rPr>
              <w:drawing>
                <wp:inline distT="0" distB="0" distL="0" distR="0" wp14:anchorId="11B48977" wp14:editId="29EC1C86">
                  <wp:extent cx="7661973" cy="4771176"/>
                  <wp:effectExtent l="0" t="0" r="0" b="0"/>
                  <wp:docPr id="1531331235" name="Picture 15" descr="A group of graphs with circle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31235" name="Picture 15" descr="A group of graphs with circles and lines&#10;&#10;Description automatically generated"/>
                          <pic:cNvPicPr>
                            <a:picLocks noChangeAspect="1" noChangeArrowheads="1"/>
                          </pic:cNvPicPr>
                        </pic:nvPicPr>
                        <pic:blipFill rotWithShape="1">
                          <a:blip r:embed="rId92">
                            <a:extLst>
                              <a:ext uri="{28A0092B-C50C-407E-A947-70E740481C1C}">
                                <a14:useLocalDpi xmlns:a14="http://schemas.microsoft.com/office/drawing/2010/main" val="0"/>
                              </a:ext>
                            </a:extLst>
                          </a:blip>
                          <a:srcRect r="9680"/>
                          <a:stretch/>
                        </pic:blipFill>
                        <pic:spPr bwMode="auto">
                          <a:xfrm>
                            <a:off x="0" y="0"/>
                            <a:ext cx="7692354" cy="4790095"/>
                          </a:xfrm>
                          <a:prstGeom prst="rect">
                            <a:avLst/>
                          </a:prstGeom>
                          <a:noFill/>
                          <a:ln>
                            <a:noFill/>
                          </a:ln>
                          <a:extLst>
                            <a:ext uri="{53640926-AAD7-44D8-BBD7-CCE9431645EC}">
                              <a14:shadowObscured xmlns:a14="http://schemas.microsoft.com/office/drawing/2010/main"/>
                            </a:ext>
                          </a:extLst>
                        </pic:spPr>
                      </pic:pic>
                    </a:graphicData>
                  </a:graphic>
                </wp:inline>
              </w:drawing>
            </w:r>
            <w:r w:rsidRPr="009819CE">
              <w:rPr>
                <w:rFonts w:cstheme="minorBidi"/>
                <w:lang w:val="en-GB"/>
              </w:rPr>
              <w:t xml:space="preserve"> </w:t>
            </w:r>
          </w:p>
        </w:tc>
      </w:tr>
      <w:tr w:rsidR="001E58EC" w:rsidRPr="00FA7D47" w14:paraId="54AD26C0" w14:textId="77777777" w:rsidTr="0095549A">
        <w:tc>
          <w:tcPr>
            <w:tcW w:w="5000" w:type="pct"/>
          </w:tcPr>
          <w:p w14:paraId="3E657102" w14:textId="5870DD0C" w:rsidR="001E58EC" w:rsidRPr="009819CE" w:rsidRDefault="001E58EC" w:rsidP="0095549A">
            <w:pPr>
              <w:tabs>
                <w:tab w:val="left" w:pos="1620"/>
              </w:tabs>
              <w:spacing w:line="240" w:lineRule="auto"/>
              <w:ind w:right="180"/>
              <w:rPr>
                <w:rFonts w:cstheme="minorBidi"/>
                <w:lang w:val="en-GB"/>
              </w:rPr>
            </w:pPr>
            <w:bookmarkStart w:id="297" w:name="_Ref130218293"/>
            <w:bookmarkStart w:id="298" w:name="_Toc204106737"/>
            <w:r w:rsidRPr="009819CE">
              <w:rPr>
                <w:rFonts w:cstheme="minorBidi"/>
                <w:b/>
                <w:bCs/>
                <w:sz w:val="22"/>
                <w:szCs w:val="22"/>
                <w:lang w:val="en-GB"/>
              </w:rPr>
              <w:t xml:space="preserve">Figure </w:t>
            </w:r>
            <w:r w:rsidRPr="007268F5">
              <w:rPr>
                <w:rFonts w:cstheme="minorBidi"/>
                <w:b/>
                <w:bCs/>
                <w:sz w:val="22"/>
              </w:rPr>
              <w:fldChar w:fldCharType="begin"/>
            </w:r>
            <w:r w:rsidRPr="009819CE">
              <w:rPr>
                <w:rFonts w:cstheme="minorBidi"/>
                <w:b/>
                <w:bCs/>
                <w:sz w:val="22"/>
                <w:szCs w:val="22"/>
                <w:lang w:val="en-GB"/>
              </w:rPr>
              <w:instrText xml:space="preserve"> STYLEREF 1 \s </w:instrText>
            </w:r>
            <w:r w:rsidRPr="007268F5">
              <w:rPr>
                <w:rFonts w:cstheme="minorBidi"/>
                <w:b/>
                <w:bCs/>
                <w:sz w:val="22"/>
              </w:rPr>
              <w:fldChar w:fldCharType="separate"/>
            </w:r>
            <w:r w:rsidR="008549FC">
              <w:rPr>
                <w:rFonts w:cstheme="minorBidi"/>
                <w:b/>
                <w:bCs/>
                <w:noProof/>
                <w:sz w:val="22"/>
                <w:szCs w:val="22"/>
                <w:lang w:val="en-GB"/>
              </w:rPr>
              <w:t>3</w:t>
            </w:r>
            <w:r w:rsidRPr="007268F5">
              <w:rPr>
                <w:rFonts w:cstheme="minorBidi"/>
                <w:b/>
                <w:bCs/>
                <w:sz w:val="22"/>
              </w:rPr>
              <w:fldChar w:fldCharType="end"/>
            </w:r>
            <w:r w:rsidRPr="009819CE">
              <w:rPr>
                <w:rFonts w:cstheme="minorBidi"/>
                <w:b/>
                <w:bCs/>
                <w:sz w:val="22"/>
                <w:szCs w:val="22"/>
                <w:lang w:val="en-GB"/>
              </w:rPr>
              <w:t>.</w:t>
            </w:r>
            <w:r w:rsidRPr="007268F5">
              <w:rPr>
                <w:rFonts w:cstheme="minorBidi"/>
                <w:b/>
                <w:bCs/>
                <w:sz w:val="22"/>
              </w:rPr>
              <w:fldChar w:fldCharType="begin"/>
            </w:r>
            <w:r w:rsidRPr="009819CE">
              <w:rPr>
                <w:rFonts w:cstheme="minorBidi"/>
                <w:b/>
                <w:bCs/>
                <w:sz w:val="22"/>
                <w:szCs w:val="22"/>
                <w:lang w:val="en-GB"/>
              </w:rPr>
              <w:instrText xml:space="preserve"> SEQ Figure \* ARABIC \s 1 </w:instrText>
            </w:r>
            <w:r w:rsidRPr="007268F5">
              <w:rPr>
                <w:rFonts w:cstheme="minorBidi"/>
                <w:b/>
                <w:bCs/>
                <w:sz w:val="22"/>
              </w:rPr>
              <w:fldChar w:fldCharType="separate"/>
            </w:r>
            <w:r w:rsidR="008549FC">
              <w:rPr>
                <w:rFonts w:cstheme="minorBidi"/>
                <w:b/>
                <w:bCs/>
                <w:noProof/>
                <w:sz w:val="22"/>
                <w:szCs w:val="22"/>
                <w:lang w:val="en-GB"/>
              </w:rPr>
              <w:t>13</w:t>
            </w:r>
            <w:r w:rsidRPr="007268F5">
              <w:rPr>
                <w:rFonts w:cstheme="minorBidi"/>
                <w:b/>
                <w:bCs/>
                <w:sz w:val="22"/>
              </w:rPr>
              <w:fldChar w:fldCharType="end"/>
            </w:r>
            <w:bookmarkEnd w:id="297"/>
            <w:r w:rsidRPr="009819CE">
              <w:rPr>
                <w:rFonts w:cstheme="minorBidi"/>
                <w:sz w:val="22"/>
                <w:szCs w:val="22"/>
                <w:lang w:val="en-GB"/>
              </w:rPr>
              <w:t xml:space="preserve"> Comparison of haemolymph and gut microbial communities of </w:t>
            </w:r>
            <w:r w:rsidR="00C31E47" w:rsidRPr="009819CE">
              <w:rPr>
                <w:rFonts w:cstheme="minorBidi"/>
                <w:i/>
                <w:sz w:val="22"/>
                <w:szCs w:val="22"/>
                <w:lang w:val="en-GB"/>
              </w:rPr>
              <w:t>Nephrops</w:t>
            </w:r>
            <w:r w:rsidRPr="009819CE">
              <w:rPr>
                <w:rFonts w:cstheme="minorBidi"/>
                <w:sz w:val="22"/>
                <w:szCs w:val="22"/>
                <w:lang w:val="en-GB"/>
              </w:rPr>
              <w:t xml:space="preserve"> norvegicus through the progression of </w:t>
            </w:r>
            <w:r w:rsidR="009D03F4" w:rsidRPr="009819CE">
              <w:rPr>
                <w:rFonts w:cstheme="minorBidi"/>
                <w:i/>
                <w:sz w:val="22"/>
                <w:szCs w:val="22"/>
                <w:lang w:val="en-GB"/>
              </w:rPr>
              <w:t>Hematodinium</w:t>
            </w:r>
            <w:r w:rsidRPr="009819CE">
              <w:rPr>
                <w:rFonts w:cstheme="minorBidi"/>
                <w:sz w:val="22"/>
                <w:szCs w:val="22"/>
                <w:lang w:val="en-GB"/>
              </w:rPr>
              <w:t xml:space="preserve"> sp. infection, based on the pleopod method scoring system (stages 1-4; n=10). Alpha-diversity metrics for the haemolymph (A-B) and gut (D-E) comparisons are depicted. Principal Coordinate Analysis (PCoA) plots based on Bray-Curtis similarity matrix are shown for the haemolymph (C) and gut (F) microbial communities. </w:t>
            </w:r>
            <w:r w:rsidR="009E3D43" w:rsidRPr="007E6468">
              <w:rPr>
                <w:sz w:val="22"/>
                <w:szCs w:val="22"/>
              </w:rPr>
              <w:t>The ellipses represent the spread of samples around the centroid of each infection stage group and are coloured to indicate the corresponding infection stage.</w:t>
            </w:r>
            <w:bookmarkEnd w:id="298"/>
          </w:p>
        </w:tc>
      </w:tr>
    </w:tbl>
    <w:p w14:paraId="544F99D4" w14:textId="77777777" w:rsidR="001E58EC" w:rsidRPr="009819CE" w:rsidRDefault="001E58EC" w:rsidP="0055220B">
      <w:pPr>
        <w:rPr>
          <w:rFonts w:cstheme="minorBidi"/>
        </w:rPr>
        <w:sectPr w:rsidR="001E58EC" w:rsidRPr="009819CE" w:rsidSect="00192A56">
          <w:headerReference w:type="default" r:id="rId93"/>
          <w:pgSz w:w="15840" w:h="12240" w:orient="landscape"/>
          <w:pgMar w:top="720" w:right="720" w:bottom="720" w:left="720" w:header="567" w:footer="567" w:gutter="0"/>
          <w:cols w:space="708"/>
          <w:docGrid w:linePitch="360"/>
        </w:sectPr>
      </w:pPr>
    </w:p>
    <w:p w14:paraId="67494DE4" w14:textId="68170A81" w:rsidR="0055220B" w:rsidRPr="009819CE" w:rsidRDefault="0055220B" w:rsidP="00FD0393">
      <w:pPr>
        <w:pStyle w:val="Heading3"/>
        <w:rPr>
          <w:rFonts w:cstheme="minorBidi"/>
        </w:rPr>
      </w:pPr>
      <w:bookmarkStart w:id="299" w:name="_Toc204106652"/>
      <w:r w:rsidRPr="009819CE">
        <w:rPr>
          <w:rFonts w:cstheme="minorBidi"/>
        </w:rPr>
        <w:t xml:space="preserve">Pathobiome associated with subpatent levels of </w:t>
      </w:r>
      <w:r w:rsidR="009D03F4" w:rsidRPr="009819CE">
        <w:rPr>
          <w:rFonts w:cstheme="minorBidi"/>
          <w:i/>
        </w:rPr>
        <w:t>Hematodinium</w:t>
      </w:r>
      <w:r w:rsidRPr="009819CE">
        <w:rPr>
          <w:rFonts w:cstheme="minorBidi"/>
        </w:rPr>
        <w:t xml:space="preserve"> sp</w:t>
      </w:r>
      <w:bookmarkEnd w:id="299"/>
    </w:p>
    <w:p w14:paraId="74DED33A" w14:textId="3A5557EE" w:rsidR="0005108A" w:rsidRPr="009819CE" w:rsidRDefault="0055220B" w:rsidP="005A0E09">
      <w:pPr>
        <w:tabs>
          <w:tab w:val="left" w:pos="1620"/>
        </w:tabs>
        <w:ind w:right="180"/>
        <w:rPr>
          <w:rFonts w:cstheme="minorBidi"/>
        </w:rPr>
        <w:sectPr w:rsidR="0005108A" w:rsidRPr="009819CE" w:rsidSect="003A7A28">
          <w:pgSz w:w="12240" w:h="15840"/>
          <w:pgMar w:top="1440" w:right="1440" w:bottom="1440" w:left="1440" w:header="708" w:footer="708" w:gutter="0"/>
          <w:cols w:space="708"/>
          <w:docGrid w:linePitch="360"/>
        </w:sectPr>
      </w:pPr>
      <w:r w:rsidRPr="009819CE">
        <w:rPr>
          <w:rFonts w:cstheme="minorBidi"/>
        </w:rPr>
        <w:t xml:space="preserve">In </w:t>
      </w:r>
      <w:r w:rsidR="00146158" w:rsidRPr="00FA7D47">
        <w:rPr>
          <w:rFonts w:cstheme="minorBidi"/>
        </w:rPr>
        <w:t>the</w:t>
      </w:r>
      <w:r w:rsidRPr="009819CE">
        <w:rPr>
          <w:rFonts w:cstheme="minorBidi"/>
        </w:rPr>
        <w:t xml:space="preserve"> final analysis, '</w:t>
      </w:r>
      <w:r w:rsidR="009D03F4" w:rsidRPr="009819CE">
        <w:rPr>
          <w:rFonts w:cstheme="minorBidi"/>
          <w:i/>
        </w:rPr>
        <w:t>Hematodinium</w:t>
      </w:r>
      <w:r w:rsidRPr="009819CE">
        <w:rPr>
          <w:rFonts w:cstheme="minorBidi"/>
        </w:rPr>
        <w:t xml:space="preserve">-free' samples </w:t>
      </w:r>
      <w:r w:rsidR="005156AD">
        <w:rPr>
          <w:rFonts w:cstheme="minorBidi"/>
        </w:rPr>
        <w:t xml:space="preserve">were compared </w:t>
      </w:r>
      <w:r w:rsidRPr="009819CE">
        <w:rPr>
          <w:rFonts w:cstheme="minorBidi"/>
        </w:rPr>
        <w:t xml:space="preserve">with those that tested positive solely through PCR and histology but were classified as negative according to the PM. In this particular </w:t>
      </w:r>
      <w:r w:rsidR="001E7B12" w:rsidRPr="009819CE">
        <w:rPr>
          <w:rFonts w:cstheme="minorBidi"/>
        </w:rPr>
        <w:t>analysis</w:t>
      </w:r>
      <w:r w:rsidRPr="009819CE">
        <w:rPr>
          <w:rFonts w:cstheme="minorBidi"/>
        </w:rPr>
        <w:t xml:space="preserve">, the haemolymph of subpatent-positive individuals exhibited a </w:t>
      </w:r>
      <w:r w:rsidR="001D75AD" w:rsidRPr="009819CE">
        <w:rPr>
          <w:rFonts w:cstheme="minorBidi"/>
        </w:rPr>
        <w:t>significant</w:t>
      </w:r>
      <w:r w:rsidRPr="009819CE">
        <w:rPr>
          <w:rFonts w:cstheme="minorBidi"/>
        </w:rPr>
        <w:t xml:space="preserve"> reduction in bacterial species richness (Chao1, </w:t>
      </w:r>
      <w:r w:rsidR="00E80AF4">
        <w:rPr>
          <w:rFonts w:cstheme="minorBidi"/>
        </w:rPr>
        <w:t>t-test</w:t>
      </w:r>
      <w:r w:rsidRPr="009819CE">
        <w:rPr>
          <w:rFonts w:cstheme="minorBidi"/>
        </w:rPr>
        <w:t xml:space="preserve">, p-value 0.0027; </w:t>
      </w:r>
      <w:r w:rsidRPr="009819CE">
        <w:rPr>
          <w:rFonts w:cstheme="minorBidi"/>
        </w:rPr>
        <w:fldChar w:fldCharType="begin"/>
      </w:r>
      <w:r w:rsidRPr="009819CE">
        <w:rPr>
          <w:rFonts w:cstheme="minorBidi"/>
        </w:rPr>
        <w:instrText xml:space="preserve"> REF _Ref97903974 \h  \* MERGEFORMAT </w:instrText>
      </w:r>
      <w:r w:rsidRPr="009819CE">
        <w:rPr>
          <w:rFonts w:cstheme="minorBidi"/>
        </w:rPr>
      </w:r>
      <w:r w:rsidRPr="009819CE">
        <w:rPr>
          <w:rFonts w:cstheme="minorBidi"/>
        </w:rPr>
        <w:fldChar w:fldCharType="separate"/>
      </w:r>
      <w:r w:rsidR="008549FC" w:rsidRPr="008549FC">
        <w:rPr>
          <w:rFonts w:cstheme="minorBidi"/>
          <w:b/>
          <w:bCs/>
        </w:rPr>
        <w:t>Figure 3.14</w:t>
      </w:r>
      <w:r w:rsidRPr="009819CE">
        <w:rPr>
          <w:rFonts w:cstheme="minorBidi"/>
        </w:rPr>
        <w:fldChar w:fldCharType="end"/>
      </w:r>
      <w:r w:rsidRPr="009819CE">
        <w:rPr>
          <w:rFonts w:cstheme="minorBidi"/>
        </w:rPr>
        <w:t xml:space="preserve">A), while no significant differences were </w:t>
      </w:r>
      <w:r w:rsidR="001D75AD" w:rsidRPr="009819CE">
        <w:rPr>
          <w:rFonts w:cstheme="minorBidi"/>
        </w:rPr>
        <w:t>observed</w:t>
      </w:r>
      <w:r w:rsidRPr="009819CE">
        <w:rPr>
          <w:rFonts w:cstheme="minorBidi"/>
        </w:rPr>
        <w:t xml:space="preserve"> in terms of diversity or evenness (</w:t>
      </w:r>
      <w:r w:rsidRPr="009819CE">
        <w:rPr>
          <w:rFonts w:cstheme="minorBidi"/>
        </w:rPr>
        <w:fldChar w:fldCharType="begin"/>
      </w:r>
      <w:r w:rsidRPr="009819CE">
        <w:rPr>
          <w:rFonts w:cstheme="minorBidi"/>
        </w:rPr>
        <w:instrText xml:space="preserve"> REF _Ref97903974 \h  \* MERGEFORMAT </w:instrText>
      </w:r>
      <w:r w:rsidRPr="009819CE">
        <w:rPr>
          <w:rFonts w:cstheme="minorBidi"/>
        </w:rPr>
      </w:r>
      <w:r w:rsidRPr="009819CE">
        <w:rPr>
          <w:rFonts w:cstheme="minorBidi"/>
        </w:rPr>
        <w:fldChar w:fldCharType="separate"/>
      </w:r>
      <w:r w:rsidR="008549FC" w:rsidRPr="008549FC">
        <w:rPr>
          <w:rFonts w:cstheme="minorBidi"/>
          <w:b/>
          <w:bCs/>
        </w:rPr>
        <w:t>Figure 3.14</w:t>
      </w:r>
      <w:r w:rsidRPr="009819CE">
        <w:rPr>
          <w:rFonts w:cstheme="minorBidi"/>
        </w:rPr>
        <w:fldChar w:fldCharType="end"/>
      </w:r>
      <w:r w:rsidRPr="009819CE">
        <w:rPr>
          <w:rFonts w:cstheme="minorBidi"/>
        </w:rPr>
        <w:t>B). Conversely, no variations in gut bacterial richness, diversity, or evenness were evident (</w:t>
      </w:r>
      <w:r w:rsidRPr="009819CE">
        <w:rPr>
          <w:rFonts w:cstheme="minorBidi"/>
        </w:rPr>
        <w:fldChar w:fldCharType="begin"/>
      </w:r>
      <w:r w:rsidRPr="009819CE">
        <w:rPr>
          <w:rFonts w:cstheme="minorBidi"/>
        </w:rPr>
        <w:instrText xml:space="preserve"> REF _Ref97903974 \h  \* MERGEFORMAT </w:instrText>
      </w:r>
      <w:r w:rsidRPr="009819CE">
        <w:rPr>
          <w:rFonts w:cstheme="minorBidi"/>
        </w:rPr>
      </w:r>
      <w:r w:rsidRPr="009819CE">
        <w:rPr>
          <w:rFonts w:cstheme="minorBidi"/>
        </w:rPr>
        <w:fldChar w:fldCharType="separate"/>
      </w:r>
      <w:r w:rsidR="008549FC" w:rsidRPr="008549FC">
        <w:rPr>
          <w:rFonts w:cstheme="minorBidi"/>
          <w:b/>
          <w:bCs/>
        </w:rPr>
        <w:t>Figure 3.14</w:t>
      </w:r>
      <w:r w:rsidRPr="009819CE">
        <w:rPr>
          <w:rFonts w:cstheme="minorBidi"/>
        </w:rPr>
        <w:fldChar w:fldCharType="end"/>
      </w:r>
      <w:r w:rsidRPr="009819CE">
        <w:rPr>
          <w:rFonts w:cstheme="minorBidi"/>
        </w:rPr>
        <w:t xml:space="preserve">D-E). </w:t>
      </w:r>
      <w:r w:rsidR="00162BF0" w:rsidRPr="009819CE">
        <w:rPr>
          <w:rFonts w:cstheme="minorBidi"/>
        </w:rPr>
        <w:t xml:space="preserve">However, as shown in </w:t>
      </w:r>
      <w:r w:rsidR="00162BF0" w:rsidRPr="009819CE">
        <w:rPr>
          <w:rFonts w:cstheme="minorBidi"/>
        </w:rPr>
        <w:fldChar w:fldCharType="begin"/>
      </w:r>
      <w:r w:rsidR="00162BF0" w:rsidRPr="009819CE">
        <w:rPr>
          <w:rFonts w:cstheme="minorBidi"/>
        </w:rPr>
        <w:instrText xml:space="preserve"> REF _Ref97903974 \h  \* MERGEFORMAT </w:instrText>
      </w:r>
      <w:r w:rsidR="00162BF0" w:rsidRPr="009819CE">
        <w:rPr>
          <w:rFonts w:cstheme="minorBidi"/>
        </w:rPr>
      </w:r>
      <w:r w:rsidR="00162BF0" w:rsidRPr="009819CE">
        <w:rPr>
          <w:rFonts w:cstheme="minorBidi"/>
        </w:rPr>
        <w:fldChar w:fldCharType="separate"/>
      </w:r>
      <w:r w:rsidR="008549FC" w:rsidRPr="008549FC">
        <w:rPr>
          <w:rFonts w:cstheme="minorBidi"/>
          <w:b/>
          <w:bCs/>
        </w:rPr>
        <w:t>Figure 3.14</w:t>
      </w:r>
      <w:r w:rsidR="00162BF0" w:rsidRPr="009819CE">
        <w:rPr>
          <w:rFonts w:cstheme="minorBidi"/>
        </w:rPr>
        <w:fldChar w:fldCharType="end"/>
      </w:r>
      <w:r w:rsidR="00162BF0" w:rsidRPr="009819CE">
        <w:rPr>
          <w:rFonts w:cstheme="minorBidi"/>
        </w:rPr>
        <w:t>F</w:t>
      </w:r>
      <w:r w:rsidR="005A0E09" w:rsidRPr="009819CE">
        <w:rPr>
          <w:rFonts w:cstheme="minorBidi"/>
        </w:rPr>
        <w:t>, the clustering</w:t>
      </w:r>
      <w:r w:rsidR="00162BF0" w:rsidRPr="009819CE">
        <w:rPr>
          <w:rFonts w:cstheme="minorBidi"/>
        </w:rPr>
        <w:t xml:space="preserve"> of </w:t>
      </w:r>
      <w:r w:rsidR="00162BF0" w:rsidRPr="009819CE">
        <w:rPr>
          <w:rFonts w:cstheme="minorBidi"/>
          <w:i/>
          <w:iCs/>
        </w:rPr>
        <w:t>'</w:t>
      </w:r>
      <w:r w:rsidR="009D03F4" w:rsidRPr="009819CE">
        <w:rPr>
          <w:rFonts w:cstheme="minorBidi"/>
          <w:i/>
          <w:iCs/>
        </w:rPr>
        <w:t>Hematodinium</w:t>
      </w:r>
      <w:r w:rsidR="00162BF0" w:rsidRPr="009819CE">
        <w:rPr>
          <w:rFonts w:cstheme="minorBidi"/>
        </w:rPr>
        <w:t>-free' gut samples became more distinct, with the PERMANOVA analysis revealing a significant difference</w:t>
      </w:r>
      <w:r w:rsidR="005A0E09" w:rsidRPr="009819CE">
        <w:rPr>
          <w:rFonts w:cstheme="minorBidi"/>
        </w:rPr>
        <w:t xml:space="preserve"> (PERMANOVA, p-value&lt;0.0018)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0"/>
      </w:tblGrid>
      <w:tr w:rsidR="0055220B" w:rsidRPr="00FA7D47" w14:paraId="7015332B" w14:textId="77777777" w:rsidTr="007D6607">
        <w:tc>
          <w:tcPr>
            <w:tcW w:w="5000" w:type="pct"/>
          </w:tcPr>
          <w:p w14:paraId="5A5AFFD3" w14:textId="77777777" w:rsidR="0055220B" w:rsidRPr="009819CE" w:rsidRDefault="0055220B" w:rsidP="007D6607">
            <w:pPr>
              <w:tabs>
                <w:tab w:val="left" w:pos="1620"/>
              </w:tabs>
              <w:ind w:left="180" w:right="180"/>
              <w:jc w:val="center"/>
              <w:rPr>
                <w:rFonts w:cstheme="minorBidi"/>
                <w:lang w:val="en-GB"/>
              </w:rPr>
            </w:pPr>
            <w:r w:rsidRPr="00FF34FE">
              <w:rPr>
                <w:rFonts w:cstheme="minorBidi"/>
                <w:noProof/>
              </w:rPr>
              <w:drawing>
                <wp:inline distT="0" distB="0" distL="0" distR="0" wp14:anchorId="54B6353E" wp14:editId="4000F02E">
                  <wp:extent cx="8345347" cy="4693677"/>
                  <wp:effectExtent l="0" t="0" r="0" b="0"/>
                  <wp:docPr id="1140329521" name="Picture 1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29521" name="Picture 18" descr="A screenshot of a graph&#10;&#10;Description automatically generated"/>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364460" cy="4704427"/>
                          </a:xfrm>
                          <a:prstGeom prst="rect">
                            <a:avLst/>
                          </a:prstGeom>
                          <a:noFill/>
                          <a:ln>
                            <a:noFill/>
                          </a:ln>
                        </pic:spPr>
                      </pic:pic>
                    </a:graphicData>
                  </a:graphic>
                </wp:inline>
              </w:drawing>
            </w:r>
          </w:p>
        </w:tc>
      </w:tr>
      <w:tr w:rsidR="0055220B" w:rsidRPr="00FA7D47" w14:paraId="039FDE68" w14:textId="77777777" w:rsidTr="007D6607">
        <w:tc>
          <w:tcPr>
            <w:tcW w:w="5000" w:type="pct"/>
          </w:tcPr>
          <w:p w14:paraId="7858D993" w14:textId="69894AC2" w:rsidR="0055220B" w:rsidRPr="009819CE" w:rsidRDefault="0055220B" w:rsidP="007D6607">
            <w:pPr>
              <w:spacing w:line="240" w:lineRule="auto"/>
              <w:rPr>
                <w:rFonts w:cstheme="minorBidi"/>
                <w:color w:val="000000" w:themeColor="text1"/>
                <w:sz w:val="22"/>
                <w:szCs w:val="18"/>
                <w:lang w:val="en-GB"/>
              </w:rPr>
            </w:pPr>
            <w:bookmarkStart w:id="300" w:name="_Ref97903974"/>
            <w:bookmarkStart w:id="301" w:name="_Toc204106738"/>
            <w:r w:rsidRPr="009819CE">
              <w:rPr>
                <w:rFonts w:cstheme="minorBidi"/>
                <w:b/>
                <w:bCs/>
                <w:sz w:val="22"/>
                <w:szCs w:val="22"/>
                <w:lang w:val="en-GB"/>
              </w:rPr>
              <w:t xml:space="preserve">Figure </w:t>
            </w:r>
            <w:r w:rsidRPr="007268F5">
              <w:rPr>
                <w:rFonts w:cstheme="minorBidi"/>
                <w:b/>
                <w:bCs/>
                <w:sz w:val="22"/>
              </w:rPr>
              <w:fldChar w:fldCharType="begin"/>
            </w:r>
            <w:r w:rsidRPr="009819CE">
              <w:rPr>
                <w:rFonts w:cstheme="minorBidi"/>
                <w:b/>
                <w:bCs/>
                <w:sz w:val="22"/>
                <w:szCs w:val="22"/>
                <w:lang w:val="en-GB"/>
              </w:rPr>
              <w:instrText xml:space="preserve"> STYLEREF 1 \s </w:instrText>
            </w:r>
            <w:r w:rsidRPr="007268F5">
              <w:rPr>
                <w:rFonts w:cstheme="minorBidi"/>
                <w:b/>
                <w:bCs/>
                <w:sz w:val="22"/>
              </w:rPr>
              <w:fldChar w:fldCharType="separate"/>
            </w:r>
            <w:r w:rsidR="008549FC">
              <w:rPr>
                <w:rFonts w:cstheme="minorBidi"/>
                <w:b/>
                <w:bCs/>
                <w:noProof/>
                <w:sz w:val="22"/>
                <w:szCs w:val="22"/>
                <w:lang w:val="en-GB"/>
              </w:rPr>
              <w:t>3</w:t>
            </w:r>
            <w:r w:rsidRPr="007268F5">
              <w:rPr>
                <w:rFonts w:cstheme="minorBidi"/>
                <w:b/>
                <w:bCs/>
                <w:sz w:val="22"/>
              </w:rPr>
              <w:fldChar w:fldCharType="end"/>
            </w:r>
            <w:r w:rsidRPr="009819CE">
              <w:rPr>
                <w:rFonts w:cstheme="minorBidi"/>
                <w:b/>
                <w:bCs/>
                <w:sz w:val="22"/>
                <w:szCs w:val="22"/>
                <w:lang w:val="en-GB"/>
              </w:rPr>
              <w:t>.</w:t>
            </w:r>
            <w:r w:rsidRPr="007268F5">
              <w:rPr>
                <w:rFonts w:cstheme="minorBidi"/>
                <w:b/>
                <w:bCs/>
                <w:sz w:val="22"/>
              </w:rPr>
              <w:fldChar w:fldCharType="begin"/>
            </w:r>
            <w:r w:rsidRPr="009819CE">
              <w:rPr>
                <w:rFonts w:cstheme="minorBidi"/>
                <w:b/>
                <w:bCs/>
                <w:sz w:val="22"/>
                <w:szCs w:val="22"/>
                <w:lang w:val="en-GB"/>
              </w:rPr>
              <w:instrText xml:space="preserve"> SEQ Figure \* ARABIC \s 1 </w:instrText>
            </w:r>
            <w:r w:rsidRPr="007268F5">
              <w:rPr>
                <w:rFonts w:cstheme="minorBidi"/>
                <w:b/>
                <w:bCs/>
                <w:sz w:val="22"/>
              </w:rPr>
              <w:fldChar w:fldCharType="separate"/>
            </w:r>
            <w:r w:rsidR="008549FC">
              <w:rPr>
                <w:rFonts w:cstheme="minorBidi"/>
                <w:b/>
                <w:bCs/>
                <w:noProof/>
                <w:sz w:val="22"/>
                <w:szCs w:val="22"/>
                <w:lang w:val="en-GB"/>
              </w:rPr>
              <w:t>14</w:t>
            </w:r>
            <w:r w:rsidRPr="007268F5">
              <w:rPr>
                <w:rFonts w:cstheme="minorBidi"/>
                <w:b/>
                <w:bCs/>
                <w:sz w:val="22"/>
              </w:rPr>
              <w:fldChar w:fldCharType="end"/>
            </w:r>
            <w:bookmarkEnd w:id="300"/>
            <w:r w:rsidRPr="009819CE">
              <w:rPr>
                <w:rFonts w:cstheme="minorBidi"/>
                <w:sz w:val="22"/>
                <w:szCs w:val="22"/>
                <w:lang w:val="en-GB"/>
              </w:rPr>
              <w:t xml:space="preserve"> </w:t>
            </w:r>
            <w:r w:rsidRPr="009819CE">
              <w:rPr>
                <w:rFonts w:cstheme="minorBidi"/>
                <w:color w:val="000000" w:themeColor="text1"/>
                <w:sz w:val="22"/>
                <w:szCs w:val="18"/>
                <w:lang w:val="en-GB"/>
              </w:rPr>
              <w:t>Comparison of</w:t>
            </w:r>
            <w:r w:rsidRPr="009819CE">
              <w:rPr>
                <w:rFonts w:cstheme="minorBidi"/>
                <w:i/>
                <w:iCs/>
                <w:color w:val="000000" w:themeColor="text1"/>
                <w:sz w:val="22"/>
                <w:szCs w:val="18"/>
                <w:lang w:val="en-GB"/>
              </w:rPr>
              <w:t xml:space="preserve"> </w:t>
            </w:r>
            <w:r w:rsidRPr="009819CE">
              <w:rPr>
                <w:rFonts w:cstheme="minorBidi"/>
                <w:color w:val="000000" w:themeColor="text1"/>
                <w:sz w:val="22"/>
                <w:szCs w:val="18"/>
                <w:lang w:val="en-GB"/>
              </w:rPr>
              <w:t xml:space="preserve">haemolymph and gut microbial communities of </w:t>
            </w:r>
            <w:r w:rsidR="009D03F4" w:rsidRPr="009819CE">
              <w:rPr>
                <w:rFonts w:cstheme="minorBidi"/>
                <w:i/>
                <w:iCs/>
                <w:color w:val="000000" w:themeColor="text1"/>
                <w:sz w:val="22"/>
                <w:szCs w:val="18"/>
                <w:lang w:val="en-GB"/>
              </w:rPr>
              <w:t>Hematodinium</w:t>
            </w:r>
            <w:r w:rsidRPr="009819CE">
              <w:rPr>
                <w:rFonts w:cstheme="minorBidi"/>
                <w:i/>
                <w:iCs/>
                <w:color w:val="000000" w:themeColor="text1"/>
                <w:sz w:val="22"/>
                <w:szCs w:val="18"/>
                <w:lang w:val="en-GB"/>
              </w:rPr>
              <w:t>-</w:t>
            </w:r>
            <w:r w:rsidRPr="009819CE">
              <w:rPr>
                <w:rFonts w:cstheme="minorBidi"/>
                <w:color w:val="000000" w:themeColor="text1"/>
                <w:sz w:val="22"/>
                <w:szCs w:val="18"/>
                <w:lang w:val="en-GB"/>
              </w:rPr>
              <w:t xml:space="preserve">free </w:t>
            </w:r>
            <w:r w:rsidR="00C31E47" w:rsidRPr="009819CE">
              <w:rPr>
                <w:rFonts w:cstheme="minorBidi"/>
                <w:i/>
                <w:iCs/>
                <w:color w:val="000000" w:themeColor="text1"/>
                <w:sz w:val="22"/>
                <w:szCs w:val="18"/>
                <w:lang w:val="en-GB"/>
              </w:rPr>
              <w:t>Nephrops</w:t>
            </w:r>
            <w:r w:rsidRPr="009819CE">
              <w:rPr>
                <w:rFonts w:cstheme="minorBidi"/>
                <w:i/>
                <w:iCs/>
                <w:color w:val="000000" w:themeColor="text1"/>
                <w:sz w:val="22"/>
                <w:szCs w:val="18"/>
                <w:lang w:val="en-GB"/>
              </w:rPr>
              <w:t xml:space="preserve"> norvegicus</w:t>
            </w:r>
            <w:r w:rsidRPr="009819CE">
              <w:rPr>
                <w:rFonts w:cstheme="minorBidi"/>
                <w:color w:val="000000" w:themeColor="text1"/>
                <w:sz w:val="22"/>
                <w:szCs w:val="18"/>
                <w:lang w:val="en-GB"/>
              </w:rPr>
              <w:t xml:space="preserve"> (confirmed negative by BCM, PM, PCR, histology; n=18) and subpatent-infected </w:t>
            </w:r>
            <w:r w:rsidR="00C31E47" w:rsidRPr="009819CE">
              <w:rPr>
                <w:rFonts w:cstheme="minorBidi"/>
                <w:i/>
                <w:iCs/>
                <w:color w:val="000000" w:themeColor="text1"/>
                <w:sz w:val="22"/>
                <w:szCs w:val="18"/>
                <w:lang w:val="en-GB"/>
              </w:rPr>
              <w:t>Nephrops</w:t>
            </w:r>
            <w:r w:rsidRPr="009819CE">
              <w:rPr>
                <w:rFonts w:cstheme="minorBidi"/>
                <w:color w:val="000000" w:themeColor="text1"/>
                <w:sz w:val="22"/>
                <w:szCs w:val="18"/>
                <w:lang w:val="en-GB"/>
              </w:rPr>
              <w:t xml:space="preserve"> (confirmed positive by PCR and histology but negative according to BCM and PM;  n=18). Alpha-diversity metrics for the haemolymph (A-B) and gut (D-E) comparisons are depicted. Principal Coordinate Analysis (PCoA) plots based on Bray-Curtis similarity matrix are shown for the haemolymph (C) and gut (F) microbial communities. </w:t>
            </w:r>
            <w:r w:rsidR="00B220F0" w:rsidRPr="007E6468">
              <w:rPr>
                <w:sz w:val="22"/>
                <w:szCs w:val="22"/>
              </w:rPr>
              <w:t>The ellipses represent the distribution of samples around the group centroid and illustrate the variation within each group. Colours correspond to the respective group classification</w:t>
            </w:r>
            <w:r w:rsidR="00B220F0" w:rsidRPr="007E6468" w:rsidDel="000320AE">
              <w:rPr>
                <w:rFonts w:cstheme="minorBidi"/>
                <w:sz w:val="22"/>
                <w:szCs w:val="22"/>
              </w:rPr>
              <w:t xml:space="preserve"> </w:t>
            </w:r>
            <w:r w:rsidR="00B220F0" w:rsidRPr="007E6468">
              <w:rPr>
                <w:rFonts w:cstheme="minorBidi"/>
                <w:sz w:val="22"/>
                <w:szCs w:val="22"/>
              </w:rPr>
              <w:t>(green: negative; red: positive).</w:t>
            </w:r>
            <w:bookmarkEnd w:id="301"/>
          </w:p>
        </w:tc>
      </w:tr>
    </w:tbl>
    <w:p w14:paraId="2723F4F4" w14:textId="77777777" w:rsidR="0055220B" w:rsidRPr="009819CE" w:rsidRDefault="0055220B" w:rsidP="0055220B">
      <w:pPr>
        <w:pStyle w:val="Caption"/>
        <w:rPr>
          <w:rFonts w:asciiTheme="minorBidi" w:hAnsiTheme="minorBidi" w:cstheme="minorBidi"/>
        </w:rPr>
        <w:sectPr w:rsidR="0055220B" w:rsidRPr="009819CE" w:rsidSect="0089253E">
          <w:headerReference w:type="default" r:id="rId95"/>
          <w:type w:val="continuous"/>
          <w:pgSz w:w="15840" w:h="12240" w:orient="landscape"/>
          <w:pgMar w:top="720" w:right="720" w:bottom="720" w:left="720" w:header="397" w:footer="397" w:gutter="0"/>
          <w:lnNumType w:countBy="1" w:restart="continuous"/>
          <w:cols w:space="708"/>
          <w:docGrid w:linePitch="360"/>
        </w:sectPr>
      </w:pPr>
    </w:p>
    <w:p w14:paraId="2978FED2" w14:textId="77777777" w:rsidR="0055220B" w:rsidRPr="009819CE" w:rsidRDefault="0055220B" w:rsidP="0055220B">
      <w:pPr>
        <w:pStyle w:val="Heading2"/>
        <w:rPr>
          <w:rFonts w:cstheme="minorBidi"/>
        </w:rPr>
      </w:pPr>
      <w:bookmarkStart w:id="302" w:name="_Toc204106653"/>
      <w:r w:rsidRPr="009819CE">
        <w:rPr>
          <w:rFonts w:cstheme="minorBidi"/>
        </w:rPr>
        <w:t>Discussion</w:t>
      </w:r>
      <w:bookmarkEnd w:id="302"/>
    </w:p>
    <w:p w14:paraId="21D49163" w14:textId="77777777" w:rsidR="0055220B" w:rsidRPr="009819CE" w:rsidRDefault="0055220B" w:rsidP="00FD0393">
      <w:pPr>
        <w:pStyle w:val="Heading3"/>
        <w:rPr>
          <w:rFonts w:cstheme="minorBidi"/>
        </w:rPr>
      </w:pPr>
      <w:bookmarkStart w:id="303" w:name="_Toc204106654"/>
      <w:r w:rsidRPr="009819CE">
        <w:rPr>
          <w:rFonts w:cstheme="minorBidi"/>
        </w:rPr>
        <w:t xml:space="preserve">Haemolymph and gut microbiomes of </w:t>
      </w:r>
      <w:r w:rsidRPr="009819CE">
        <w:rPr>
          <w:rFonts w:cstheme="minorBidi"/>
          <w:i/>
          <w:iCs/>
        </w:rPr>
        <w:t>N. norvegicus</w:t>
      </w:r>
      <w:bookmarkEnd w:id="303"/>
    </w:p>
    <w:p w14:paraId="72DA474C" w14:textId="1C04F94F" w:rsidR="0055220B" w:rsidRPr="009819CE" w:rsidRDefault="0055220B" w:rsidP="0055220B">
      <w:pPr>
        <w:rPr>
          <w:rFonts w:cstheme="minorBidi"/>
        </w:rPr>
      </w:pPr>
      <w:r w:rsidRPr="009819CE">
        <w:rPr>
          <w:rFonts w:cstheme="minorBidi"/>
        </w:rPr>
        <w:t xml:space="preserve">This study represents a </w:t>
      </w:r>
      <w:r w:rsidR="00FE6AC6" w:rsidRPr="009819CE">
        <w:rPr>
          <w:rFonts w:cstheme="minorBidi"/>
        </w:rPr>
        <w:t>novel</w:t>
      </w:r>
      <w:r w:rsidRPr="009819CE">
        <w:rPr>
          <w:rFonts w:cstheme="minorBidi"/>
        </w:rPr>
        <w:t xml:space="preserve"> effort aimed at a comprehensive characterization of both the haemolymph and gut microbiomes in </w:t>
      </w:r>
      <w:r w:rsidR="00C31E47" w:rsidRPr="009819CE">
        <w:rPr>
          <w:rFonts w:cstheme="minorBidi"/>
          <w:i/>
          <w:iCs/>
        </w:rPr>
        <w:t>Nephrops</w:t>
      </w:r>
      <w:r w:rsidRPr="009819CE">
        <w:rPr>
          <w:rFonts w:cstheme="minorBidi"/>
        </w:rPr>
        <w:t xml:space="preserve">. Through the utilization of high-throughput 16S rRNA gene amplicon sequencing, </w:t>
      </w:r>
      <w:r w:rsidR="00146158" w:rsidRPr="00FA7D47">
        <w:rPr>
          <w:rFonts w:cstheme="minorBidi"/>
        </w:rPr>
        <w:t>the</w:t>
      </w:r>
      <w:r w:rsidRPr="009819CE">
        <w:rPr>
          <w:rFonts w:cstheme="minorBidi"/>
        </w:rPr>
        <w:t xml:space="preserve"> research aim</w:t>
      </w:r>
      <w:r w:rsidR="005813D3" w:rsidRPr="009819CE">
        <w:rPr>
          <w:rFonts w:cstheme="minorBidi"/>
        </w:rPr>
        <w:t>ed</w:t>
      </w:r>
      <w:r w:rsidRPr="009819CE">
        <w:rPr>
          <w:rFonts w:cstheme="minorBidi"/>
        </w:rPr>
        <w:t xml:space="preserve"> to </w:t>
      </w:r>
      <w:r w:rsidR="009B268F" w:rsidRPr="009819CE">
        <w:rPr>
          <w:rFonts w:cstheme="minorBidi"/>
        </w:rPr>
        <w:t>describe</w:t>
      </w:r>
      <w:r w:rsidRPr="009819CE">
        <w:rPr>
          <w:rFonts w:cstheme="minorBidi"/>
        </w:rPr>
        <w:t xml:space="preserve"> the taxonomic composition and core microbial communities that inhabit the haemolymph and gut of visibly </w:t>
      </w:r>
      <w:r w:rsidR="00D94DC1" w:rsidRPr="00FA7D47">
        <w:rPr>
          <w:rFonts w:cstheme="minorBidi"/>
        </w:rPr>
        <w:t>“healthy”</w:t>
      </w:r>
      <w:r w:rsidRPr="009819CE">
        <w:rPr>
          <w:rFonts w:cstheme="minorBidi"/>
        </w:rPr>
        <w:t xml:space="preserve"> </w:t>
      </w:r>
      <w:r w:rsidR="00C31E47" w:rsidRPr="009819CE">
        <w:rPr>
          <w:rFonts w:cstheme="minorBidi"/>
          <w:i/>
          <w:iCs/>
        </w:rPr>
        <w:t>Nephrops</w:t>
      </w:r>
      <w:r w:rsidRPr="009819CE">
        <w:rPr>
          <w:rFonts w:cstheme="minorBidi"/>
        </w:rPr>
        <w:t xml:space="preserve"> individuals </w:t>
      </w:r>
      <w:r w:rsidR="00895530" w:rsidRPr="00FA7D47">
        <w:rPr>
          <w:rFonts w:cstheme="minorBidi"/>
        </w:rPr>
        <w:t>not detected as being infected by Hematodinium sp. using the methods employed.</w:t>
      </w:r>
      <w:r w:rsidRPr="009819CE">
        <w:rPr>
          <w:rFonts w:cstheme="minorBidi"/>
        </w:rPr>
        <w:t xml:space="preserve"> The establishment of a baseline </w:t>
      </w:r>
      <w:r w:rsidR="00D94DC1" w:rsidRPr="00FA7D47">
        <w:rPr>
          <w:rFonts w:cstheme="minorBidi"/>
        </w:rPr>
        <w:t>“healthy”</w:t>
      </w:r>
      <w:r w:rsidRPr="009819CE">
        <w:rPr>
          <w:rFonts w:cstheme="minorBidi"/>
        </w:rPr>
        <w:t xml:space="preserve"> bacterial microbiome within the host serves as a reference for identifying changes in the microbiome composition caused by </w:t>
      </w:r>
      <w:r w:rsidR="009D03F4" w:rsidRPr="009819CE">
        <w:rPr>
          <w:rFonts w:cstheme="minorBidi"/>
          <w:i/>
        </w:rPr>
        <w:t>Hematodinium</w:t>
      </w:r>
      <w:r w:rsidRPr="009819CE">
        <w:rPr>
          <w:rFonts w:cstheme="minorBidi"/>
        </w:rPr>
        <w:t xml:space="preserve"> sp. infection and its potential implications for host health.</w:t>
      </w:r>
    </w:p>
    <w:p w14:paraId="3AEE21A0" w14:textId="091FA96C" w:rsidR="0055220B" w:rsidRPr="009819CE" w:rsidRDefault="0055220B" w:rsidP="0055220B">
      <w:pPr>
        <w:rPr>
          <w:rFonts w:cstheme="minorBidi"/>
        </w:rPr>
      </w:pPr>
      <w:r w:rsidRPr="009819CE">
        <w:rPr>
          <w:rFonts w:cstheme="minorBidi"/>
        </w:rPr>
        <w:t xml:space="preserve">Proteobacteria </w:t>
      </w:r>
      <w:r w:rsidR="00AB752A" w:rsidRPr="00FA7D47">
        <w:rPr>
          <w:rFonts w:cstheme="minorBidi"/>
        </w:rPr>
        <w:t>were</w:t>
      </w:r>
      <w:r w:rsidRPr="009819CE">
        <w:rPr>
          <w:rFonts w:cstheme="minorBidi"/>
        </w:rPr>
        <w:t xml:space="preserve"> the dominant phylum in both the haemolymph and gut, comprising approximately 46.1% in the haemolymph and 26.7% in the gut. These findings are consistent with previous investigations conducted on a range of crustaceans and aquatic invertebrates </w:t>
      </w:r>
      <w:r w:rsidRPr="009819CE">
        <w:rPr>
          <w:rFonts w:cstheme="minorBidi"/>
          <w:color w:val="000000" w:themeColor="text1"/>
        </w:rPr>
        <w:fldChar w:fldCharType="begin">
          <w:fldData xml:space="preserve">PEVuZE5vdGU+PENpdGU+PEF1dGhvcj5Hb256w6FsZXo8L0F1dGhvcj48WWVhcj4yMDIwPC9ZZWFy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</w:fldData>
        </w:fldChar>
      </w:r>
      <w:r w:rsidR="00ED1A9E" w:rsidRPr="009819CE">
        <w:rPr>
          <w:rFonts w:cstheme="minorBidi"/>
          <w:color w:val="000000" w:themeColor="text1"/>
        </w:rPr>
        <w:instrText xml:space="preserve"> ADDIN EN.CITE </w:instrText>
      </w:r>
      <w:r w:rsidR="00ED1A9E" w:rsidRPr="009819CE">
        <w:rPr>
          <w:rFonts w:cstheme="minorBidi"/>
          <w:color w:val="000000" w:themeColor="text1"/>
        </w:rPr>
        <w:fldChar w:fldCharType="begin">
          <w:fldData xml:space="preserve">PEVuZE5vdGU+PENpdGU+PEF1dGhvcj5Hb256w6FsZXo8L0F1dGhvcj48WWVhcj4yMDIwPC9ZZWFy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</w:fldData>
        </w:fldChar>
      </w:r>
      <w:r w:rsidR="00ED1A9E" w:rsidRPr="009819CE">
        <w:rPr>
          <w:rFonts w:cstheme="minorBidi"/>
          <w:color w:val="000000" w:themeColor="text1"/>
        </w:rPr>
        <w:instrText xml:space="preserve"> ADDIN EN.CITE.DATA </w:instrText>
      </w:r>
      <w:r w:rsidR="00ED1A9E" w:rsidRPr="009819CE">
        <w:rPr>
          <w:rFonts w:cstheme="minorBidi"/>
          <w:color w:val="000000" w:themeColor="text1"/>
        </w:rPr>
      </w:r>
      <w:r w:rsidR="00ED1A9E" w:rsidRPr="009819CE">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8013F0" w:rsidRPr="007268F5">
        <w:rPr>
          <w:rFonts w:cstheme="minorBidi"/>
          <w:color w:val="000000" w:themeColor="text1"/>
        </w:rPr>
        <w:t>(</w:t>
      </w:r>
      <w:hyperlink w:anchor="_ENREF_109" w:tooltip="Givens, 2013 #636" w:history="1">
        <w:r w:rsidR="00950097" w:rsidRPr="007268F5">
          <w:rPr>
            <w:rFonts w:cstheme="minorBidi"/>
            <w:color w:val="000000" w:themeColor="text1"/>
          </w:rPr>
          <w:t>Givens et al., 2013</w:t>
        </w:r>
      </w:hyperlink>
      <w:r w:rsidR="008013F0" w:rsidRPr="007268F5">
        <w:rPr>
          <w:rFonts w:cstheme="minorBidi"/>
          <w:color w:val="000000" w:themeColor="text1"/>
        </w:rPr>
        <w:t xml:space="preserve">; </w:t>
      </w:r>
      <w:hyperlink w:anchor="_ENREF_110" w:tooltip="González, 2020 #765" w:history="1">
        <w:r w:rsidR="00950097" w:rsidRPr="007268F5">
          <w:rPr>
            <w:rFonts w:cstheme="minorBidi"/>
            <w:color w:val="000000" w:themeColor="text1"/>
          </w:rPr>
          <w:t>González et al., 2020</w:t>
        </w:r>
      </w:hyperlink>
      <w:r w:rsidR="008013F0" w:rsidRPr="007268F5">
        <w:rPr>
          <w:rFonts w:cstheme="minorBidi"/>
          <w:color w:val="000000" w:themeColor="text1"/>
        </w:rPr>
        <w:t xml:space="preserve">; </w:t>
      </w:r>
      <w:hyperlink w:anchor="_ENREF_166" w:tooltip="Kong, 2023 #1934" w:history="1">
        <w:r w:rsidR="00950097" w:rsidRPr="007268F5">
          <w:rPr>
            <w:rFonts w:cstheme="minorBidi"/>
            <w:color w:val="000000" w:themeColor="text1"/>
          </w:rPr>
          <w:t>Kong et al., 2023</w:t>
        </w:r>
      </w:hyperlink>
      <w:r w:rsidR="008013F0" w:rsidRPr="007268F5">
        <w:rPr>
          <w:rFonts w:cstheme="minorBidi"/>
          <w:color w:val="000000" w:themeColor="text1"/>
        </w:rPr>
        <w:t xml:space="preserve">; </w:t>
      </w:r>
      <w:hyperlink w:anchor="_ENREF_185" w:tooltip="Li, 2019 #766" w:history="1">
        <w:r w:rsidR="00950097" w:rsidRPr="007268F5">
          <w:rPr>
            <w:rFonts w:cstheme="minorBidi"/>
            <w:color w:val="000000" w:themeColor="text1"/>
          </w:rPr>
          <w:t>Li et al., 2019b</w:t>
        </w:r>
      </w:hyperlink>
      <w:r w:rsidR="008013F0" w:rsidRPr="007268F5">
        <w:rPr>
          <w:rFonts w:cstheme="minorBidi"/>
          <w:color w:val="000000" w:themeColor="text1"/>
        </w:rPr>
        <w:t xml:space="preserve">; </w:t>
      </w:r>
      <w:hyperlink w:anchor="_ENREF_197" w:tooltip="Lokmer, 2016 #638" w:history="1">
        <w:r w:rsidR="00950097" w:rsidRPr="007268F5">
          <w:rPr>
            <w:rFonts w:cstheme="minorBidi"/>
            <w:color w:val="000000" w:themeColor="text1"/>
          </w:rPr>
          <w:t>Lokmer et al., 2016</w:t>
        </w:r>
      </w:hyperlink>
      <w:r w:rsidR="008013F0" w:rsidRPr="007268F5">
        <w:rPr>
          <w:rFonts w:cstheme="minorBidi"/>
          <w:color w:val="000000" w:themeColor="text1"/>
        </w:rPr>
        <w:t xml:space="preserve">; </w:t>
      </w:r>
      <w:hyperlink w:anchor="_ENREF_271" w:tooltip="Scanes, 2021 #480" w:history="1">
        <w:r w:rsidR="00950097" w:rsidRPr="007268F5">
          <w:rPr>
            <w:rFonts w:cstheme="minorBidi"/>
            <w:color w:val="000000" w:themeColor="text1"/>
          </w:rPr>
          <w:t>Scanes et al., 2021</w:t>
        </w:r>
      </w:hyperlink>
      <w:r w:rsidR="008013F0"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In addition, the phyla </w:t>
      </w:r>
      <w:r w:rsidRPr="009819CE">
        <w:rPr>
          <w:rFonts w:cstheme="minorBidi"/>
          <w:i/>
          <w:iCs/>
          <w:color w:val="000000" w:themeColor="text1"/>
        </w:rPr>
        <w:t>Actinobacteriota, Bacteroidota, Desulfobacterota, Firmicutes, Fusobacteria</w:t>
      </w:r>
      <w:r w:rsidRPr="009819CE">
        <w:rPr>
          <w:rFonts w:cstheme="minorBidi"/>
          <w:color w:val="000000" w:themeColor="text1"/>
        </w:rPr>
        <w:t xml:space="preserve">, and </w:t>
      </w:r>
      <w:r w:rsidRPr="009819CE">
        <w:rPr>
          <w:rFonts w:cstheme="minorBidi"/>
          <w:i/>
          <w:iCs/>
          <w:color w:val="000000" w:themeColor="text1"/>
        </w:rPr>
        <w:t>Verrucomicrobiota</w:t>
      </w:r>
      <w:r w:rsidRPr="009819CE">
        <w:rPr>
          <w:rFonts w:cstheme="minorBidi"/>
          <w:color w:val="000000" w:themeColor="text1"/>
        </w:rPr>
        <w:t xml:space="preserve"> were present in both the haemolymph and the gut. These phyla are also typically reported among other crustacean microbiomes </w:t>
      </w:r>
      <w:r w:rsidRPr="009819CE">
        <w:rPr>
          <w:rFonts w:cstheme="minorBidi"/>
          <w:color w:val="000000" w:themeColor="text1"/>
        </w:rPr>
        <w:fldChar w:fldCharType="begin">
          <w:fldData xml:space="preserve">PEVuZE5vdGU+PENpdGU+PEF1dGhvcj5EaW5nPC9BdXRob3I+PFllYXI+MjAxNzwvWWVhcj48UmVj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</w:fldData>
        </w:fldChar>
      </w:r>
      <w:r w:rsidR="00EE7FB9">
        <w:rPr>
          <w:rFonts w:cstheme="minorBidi"/>
          <w:color w:val="000000" w:themeColor="text1"/>
        </w:rPr>
        <w:instrText xml:space="preserve"> ADDIN EN.CITE </w:instrText>
      </w:r>
      <w:r w:rsidR="00EE7FB9">
        <w:rPr>
          <w:rFonts w:cstheme="minorBidi"/>
          <w:color w:val="000000" w:themeColor="text1"/>
        </w:rPr>
        <w:fldChar w:fldCharType="begin">
          <w:fldData xml:space="preserve">PEVuZE5vdGU+PENpdGU+PEF1dGhvcj5EaW5nPC9BdXRob3I+PFllYXI+MjAxNzwvWWVhcj48UmVj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</w:fldData>
        </w:fldChar>
      </w:r>
      <w:r w:rsidR="00EE7FB9">
        <w:rPr>
          <w:rFonts w:cstheme="minorBidi"/>
          <w:color w:val="000000" w:themeColor="text1"/>
        </w:rPr>
        <w:instrText xml:space="preserve"> ADDIN EN.CITE.DATA </w:instrText>
      </w:r>
      <w:r w:rsidR="00EE7FB9">
        <w:rPr>
          <w:rFonts w:cstheme="minorBidi"/>
          <w:color w:val="000000" w:themeColor="text1"/>
        </w:rPr>
      </w:r>
      <w:r w:rsidR="00EE7FB9">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EE7FB9">
        <w:rPr>
          <w:rFonts w:cstheme="minorBidi"/>
          <w:noProof/>
          <w:color w:val="000000" w:themeColor="text1"/>
        </w:rPr>
        <w:t>(</w:t>
      </w:r>
      <w:hyperlink w:anchor="_ENREF_71" w:tooltip="Ding, 2017 #206" w:history="1">
        <w:r w:rsidR="00950097" w:rsidRPr="00EE7FB9">
          <w:rPr>
            <w:rFonts w:cstheme="minorBidi"/>
            <w:noProof/>
            <w:color w:val="000000" w:themeColor="text1"/>
          </w:rPr>
          <w:t>Ding et al., 2017</w:t>
        </w:r>
      </w:hyperlink>
      <w:r w:rsidR="00D50EFF" w:rsidRPr="00EE7FB9">
        <w:rPr>
          <w:rFonts w:cstheme="minorBidi"/>
          <w:noProof/>
          <w:color w:val="000000" w:themeColor="text1"/>
        </w:rPr>
        <w:t xml:space="preserve">; </w:t>
      </w:r>
      <w:hyperlink w:anchor="_ENREF_239" w:tooltip="Ooi, 2017 #202" w:history="1">
        <w:r w:rsidR="00950097" w:rsidRPr="00EE7FB9">
          <w:rPr>
            <w:rFonts w:cstheme="minorBidi"/>
            <w:noProof/>
            <w:color w:val="000000" w:themeColor="text1"/>
          </w:rPr>
          <w:t>Ooi et al., 2017</w:t>
        </w:r>
      </w:hyperlink>
      <w:r w:rsidR="00D50EFF" w:rsidRPr="00EE7FB9">
        <w:rPr>
          <w:rFonts w:cstheme="minorBidi"/>
          <w:noProof/>
          <w:color w:val="000000" w:themeColor="text1"/>
        </w:rPr>
        <w:t xml:space="preserve">; </w:t>
      </w:r>
      <w:hyperlink w:anchor="_ENREF_263" w:tooltip="Rungrassamee, 2014 #644" w:history="1">
        <w:r w:rsidR="00950097" w:rsidRPr="00EE7FB9">
          <w:rPr>
            <w:rFonts w:cstheme="minorBidi"/>
            <w:noProof/>
            <w:color w:val="000000" w:themeColor="text1"/>
          </w:rPr>
          <w:t>Rungrassamee et al., 2014</w:t>
        </w:r>
      </w:hyperlink>
      <w:r w:rsidR="00D50EFF" w:rsidRPr="00EE7FB9">
        <w:rPr>
          <w:rFonts w:cstheme="minorBidi"/>
          <w:noProof/>
          <w:color w:val="000000" w:themeColor="text1"/>
        </w:rPr>
        <w:t xml:space="preserve">; </w:t>
      </w:r>
      <w:hyperlink w:anchor="_ENREF_344" w:tooltip="Wang, 2019 #506" w:history="1">
        <w:r w:rsidR="00950097" w:rsidRPr="00EE7FB9">
          <w:rPr>
            <w:rFonts w:cstheme="minorBidi"/>
            <w:noProof/>
            <w:color w:val="000000" w:themeColor="text1"/>
          </w:rPr>
          <w:t>Wang et al., 2019</w:t>
        </w:r>
      </w:hyperlink>
      <w:r w:rsidR="00D50EFF" w:rsidRPr="00EE7FB9">
        <w:rPr>
          <w:rFonts w:cstheme="minorBidi"/>
          <w:noProof/>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rPr>
        <w:t xml:space="preserve">Proteobacteria are well-known for their ability to form symbiotic relationships, especially with marine organisms. In the case of </w:t>
      </w:r>
      <w:r w:rsidR="00C31E47" w:rsidRPr="009819CE">
        <w:rPr>
          <w:rFonts w:cstheme="minorBidi"/>
          <w:i/>
          <w:iCs/>
        </w:rPr>
        <w:t>Nephrops</w:t>
      </w:r>
      <w:r w:rsidRPr="009819CE">
        <w:rPr>
          <w:rFonts w:cstheme="minorBidi"/>
        </w:rPr>
        <w:t xml:space="preserve">, both the haemolymph and gut provide favourable environments for </w:t>
      </w:r>
      <w:r w:rsidRPr="009819CE">
        <w:rPr>
          <w:rFonts w:cstheme="minorBidi"/>
          <w:i/>
          <w:iCs/>
        </w:rPr>
        <w:t>Proteobacteria</w:t>
      </w:r>
      <w:r w:rsidRPr="009819CE">
        <w:rPr>
          <w:rFonts w:cstheme="minorBidi"/>
        </w:rPr>
        <w:t xml:space="preserve"> to thrive. </w:t>
      </w:r>
      <w:r w:rsidR="00D0382F" w:rsidRPr="00D0382F">
        <w:rPr>
          <w:rFonts w:cstheme="minorBidi"/>
          <w:i/>
        </w:rPr>
        <w:t>Nephrops</w:t>
      </w:r>
      <w:r w:rsidRPr="009819CE">
        <w:rPr>
          <w:rFonts w:cstheme="minorBidi"/>
        </w:rPr>
        <w:t xml:space="preserve"> feeding behaviours and frequent interactions with the marine environment are likely responsible for introducing a wide range of microorganisms, including </w:t>
      </w:r>
      <w:r w:rsidRPr="009819CE">
        <w:rPr>
          <w:rFonts w:cstheme="minorBidi"/>
          <w:i/>
          <w:iCs/>
        </w:rPr>
        <w:t>Proteobacteria</w:t>
      </w:r>
      <w:r w:rsidRPr="009819CE">
        <w:rPr>
          <w:rFonts w:cstheme="minorBidi"/>
        </w:rPr>
        <w:t xml:space="preserve">, into their haemolymph and gut. </w:t>
      </w:r>
      <w:r w:rsidR="00031453" w:rsidRPr="00FA7D47">
        <w:rPr>
          <w:rFonts w:cstheme="minorBidi"/>
        </w:rPr>
        <w:t xml:space="preserve">The presence of </w:t>
      </w:r>
      <w:r w:rsidR="00031453" w:rsidRPr="007268F5">
        <w:rPr>
          <w:rFonts w:cstheme="minorBidi"/>
          <w:i/>
          <w:iCs/>
        </w:rPr>
        <w:t>Proteobacteria</w:t>
      </w:r>
      <w:r w:rsidR="00031453" w:rsidRPr="00FA7D47">
        <w:rPr>
          <w:rFonts w:cstheme="minorBidi"/>
        </w:rPr>
        <w:t xml:space="preserve"> in both gut and haemolymph suggests niche adaptability; while some may be commensal or mutualistic, others could be opportunistic or pathogenic. </w:t>
      </w:r>
      <w:r w:rsidRPr="009819CE">
        <w:rPr>
          <w:rFonts w:cstheme="minorBidi"/>
        </w:rPr>
        <w:t xml:space="preserve">Moreover, considering </w:t>
      </w:r>
      <w:r w:rsidR="00C31E47" w:rsidRPr="009819CE">
        <w:rPr>
          <w:rFonts w:cstheme="minorBidi"/>
          <w:i/>
        </w:rPr>
        <w:t>Nephrops</w:t>
      </w:r>
      <w:r w:rsidRPr="009819CE">
        <w:rPr>
          <w:rFonts w:cstheme="minorBidi"/>
        </w:rPr>
        <w:t xml:space="preserve"> is a burrowing decapod crustacean inhabiting benthic environments, predominantly muddy substrates, the prevalence of phyla commonly observed in sediment samples, including </w:t>
      </w:r>
      <w:r w:rsidRPr="009819CE">
        <w:rPr>
          <w:rFonts w:cstheme="minorBidi"/>
          <w:i/>
          <w:iCs/>
        </w:rPr>
        <w:t>Actinobacteria</w:t>
      </w:r>
      <w:r w:rsidRPr="009819CE">
        <w:rPr>
          <w:rFonts w:cstheme="minorBidi"/>
        </w:rPr>
        <w:t xml:space="preserve">, </w:t>
      </w:r>
      <w:r w:rsidRPr="009819CE">
        <w:rPr>
          <w:rFonts w:cstheme="minorBidi"/>
          <w:i/>
          <w:iCs/>
        </w:rPr>
        <w:t>Acidobacteria</w:t>
      </w:r>
      <w:r w:rsidRPr="009819CE">
        <w:rPr>
          <w:rFonts w:cstheme="minorBidi"/>
        </w:rPr>
        <w:t xml:space="preserve">, </w:t>
      </w:r>
      <w:r w:rsidRPr="009819CE">
        <w:rPr>
          <w:rFonts w:cstheme="minorBidi"/>
          <w:i/>
          <w:iCs/>
        </w:rPr>
        <w:t>Chloroflexi</w:t>
      </w:r>
      <w:r w:rsidRPr="009819CE">
        <w:rPr>
          <w:rFonts w:cstheme="minorBidi"/>
        </w:rPr>
        <w:t xml:space="preserve">, and </w:t>
      </w:r>
      <w:r w:rsidRPr="009819CE">
        <w:rPr>
          <w:rFonts w:cstheme="minorBidi"/>
          <w:i/>
          <w:iCs/>
        </w:rPr>
        <w:t>Firmicutes</w:t>
      </w:r>
      <w:r w:rsidRPr="009819CE">
        <w:rPr>
          <w:rFonts w:cstheme="minorBidi"/>
        </w:rPr>
        <w:t xml:space="preserve">, is </w:t>
      </w:r>
      <w:r w:rsidR="007A1392" w:rsidRPr="00FA7D47">
        <w:rPr>
          <w:rFonts w:cstheme="minorBidi"/>
        </w:rPr>
        <w:t>not unexpected</w:t>
      </w:r>
      <w:r w:rsidRPr="009819CE">
        <w:rPr>
          <w:rFonts w:cstheme="minorBidi"/>
        </w:rPr>
        <w:t xml:space="preserve"> </w:t>
      </w:r>
      <w:r w:rsidRPr="009819CE">
        <w:rPr>
          <w:rFonts w:cstheme="minorBidi"/>
        </w:rPr>
        <w:fldChar w:fldCharType="begin">
          <w:fldData xml:space="preserve">PEVuZE5vdGU+PENpdGU+PEF1dGhvcj5IdWFuZzwvQXV0aG9yPjxZZWFyPjIwMjA8L1llYXI+PFJl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PEVuZE5vdGU+PENpdGU+PEF1dGhvcj5IdWFuZzwvQXV0aG9yPjxZZWFyPjIwMjA8L1llYXI+PFJl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145" w:tooltip="Huang, 2020 #796" w:history="1">
        <w:r w:rsidR="00950097" w:rsidRPr="009819CE">
          <w:rPr>
            <w:rFonts w:cstheme="minorBidi"/>
          </w:rPr>
          <w:t>Huang et al., 2020a</w:t>
        </w:r>
      </w:hyperlink>
      <w:r w:rsidR="00D50EFF" w:rsidRPr="009819CE">
        <w:rPr>
          <w:rFonts w:cstheme="minorBidi"/>
        </w:rPr>
        <w:t xml:space="preserve">; </w:t>
      </w:r>
      <w:hyperlink w:anchor="_ENREF_220" w:tooltip="Meziti, 2010 #13" w:history="1">
        <w:r w:rsidR="00950097" w:rsidRPr="009819CE">
          <w:rPr>
            <w:rFonts w:cstheme="minorBidi"/>
          </w:rPr>
          <w:t>Meziti et al., 2010</w:t>
        </w:r>
      </w:hyperlink>
      <w:r w:rsidR="00D50EFF" w:rsidRPr="009819CE">
        <w:rPr>
          <w:rFonts w:cstheme="minorBidi"/>
        </w:rPr>
        <w:t>)</w:t>
      </w:r>
      <w:r w:rsidRPr="009819CE">
        <w:rPr>
          <w:rFonts w:cstheme="minorBidi"/>
        </w:rPr>
        <w:fldChar w:fldCharType="end"/>
      </w:r>
      <w:r w:rsidRPr="009819CE">
        <w:rPr>
          <w:rFonts w:cstheme="minorBidi"/>
        </w:rPr>
        <w:t>.</w:t>
      </w:r>
    </w:p>
    <w:p w14:paraId="5C8CCA12" w14:textId="09BCABEE" w:rsidR="0055220B" w:rsidRPr="009819CE" w:rsidRDefault="0055220B" w:rsidP="0055220B">
      <w:pPr>
        <w:rPr>
          <w:rFonts w:cstheme="minorBidi"/>
          <w:color w:val="000000" w:themeColor="text1"/>
        </w:rPr>
      </w:pPr>
      <w:r w:rsidRPr="009819CE">
        <w:rPr>
          <w:rFonts w:cstheme="minorBidi"/>
        </w:rPr>
        <w:t xml:space="preserve">The investigation into the core microbiome of the haemolymph revealed the existence of potentially advantageous genera, including </w:t>
      </w:r>
      <w:r w:rsidRPr="009819CE">
        <w:rPr>
          <w:rFonts w:cstheme="minorBidi"/>
          <w:i/>
          <w:iCs/>
        </w:rPr>
        <w:t>Bifidobacterium</w:t>
      </w:r>
      <w:r w:rsidRPr="009819CE">
        <w:rPr>
          <w:rFonts w:cstheme="minorBidi"/>
        </w:rPr>
        <w:t xml:space="preserve">, </w:t>
      </w:r>
      <w:r w:rsidRPr="009819CE">
        <w:rPr>
          <w:rFonts w:cstheme="minorBidi"/>
          <w:i/>
          <w:iCs/>
        </w:rPr>
        <w:t>Lactobacillus</w:t>
      </w:r>
      <w:r w:rsidRPr="009819CE">
        <w:rPr>
          <w:rFonts w:cstheme="minorBidi"/>
        </w:rPr>
        <w:t xml:space="preserve">, </w:t>
      </w:r>
      <w:r w:rsidRPr="009819CE">
        <w:rPr>
          <w:rFonts w:cstheme="minorBidi"/>
          <w:i/>
          <w:iCs/>
        </w:rPr>
        <w:t>Faecalibacterium</w:t>
      </w:r>
      <w:r w:rsidRPr="009819CE">
        <w:rPr>
          <w:rFonts w:cstheme="minorBidi"/>
        </w:rPr>
        <w:t xml:space="preserve">, and </w:t>
      </w:r>
      <w:r w:rsidRPr="009819CE">
        <w:rPr>
          <w:rFonts w:cstheme="minorBidi"/>
          <w:i/>
          <w:iCs/>
        </w:rPr>
        <w:t>Subdoligranulum</w:t>
      </w:r>
      <w:r w:rsidRPr="009819CE">
        <w:rPr>
          <w:rFonts w:cstheme="minorBidi"/>
        </w:rPr>
        <w:t>.</w:t>
      </w:r>
      <w:r w:rsidRPr="009819CE">
        <w:rPr>
          <w:rFonts w:cstheme="minorBidi"/>
          <w:i/>
          <w:iCs/>
          <w:color w:val="000000" w:themeColor="text1"/>
        </w:rPr>
        <w:t xml:space="preserve"> </w:t>
      </w:r>
      <w:r w:rsidRPr="009819CE">
        <w:rPr>
          <w:rFonts w:cstheme="minorBidi"/>
          <w:color w:val="000000" w:themeColor="text1"/>
        </w:rPr>
        <w:t xml:space="preserve">These genera have been observed in the </w:t>
      </w:r>
      <w:r w:rsidR="00D94DC1" w:rsidRPr="00FA7D47">
        <w:rPr>
          <w:rFonts w:cstheme="minorBidi"/>
          <w:color w:val="000000" w:themeColor="text1"/>
        </w:rPr>
        <w:t>“healthy”</w:t>
      </w:r>
      <w:r w:rsidRPr="009819CE">
        <w:rPr>
          <w:rFonts w:cstheme="minorBidi"/>
          <w:color w:val="000000" w:themeColor="text1"/>
        </w:rPr>
        <w:t xml:space="preserve"> gut microbiomes of crustaceans and have been associated with the well-being of cultured shrimp </w:t>
      </w:r>
      <w:r w:rsidRPr="009819CE">
        <w:rPr>
          <w:rFonts w:cstheme="minorBidi"/>
          <w:color w:val="000000"/>
        </w:rPr>
        <w:fldChar w:fldCharType="begin">
          <w:fldData xml:space="preserve">PEVuZE5vdGU+PENpdGU+PEF1dGhvcj5Db3JuZWpvLUdyYW5hZG9zPC9BdXRob3I+PFllYXI+MjAx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</w:fldData>
        </w:fldChar>
      </w:r>
      <w:r w:rsidR="00ED1A9E" w:rsidRPr="009819CE">
        <w:rPr>
          <w:rFonts w:cstheme="minorBidi"/>
          <w:color w:val="000000"/>
        </w:rPr>
        <w:instrText xml:space="preserve"> ADDIN EN.CITE </w:instrText>
      </w:r>
      <w:r w:rsidR="00ED1A9E" w:rsidRPr="009819CE">
        <w:rPr>
          <w:rFonts w:cstheme="minorBidi"/>
          <w:color w:val="000000"/>
        </w:rPr>
        <w:fldChar w:fldCharType="begin">
          <w:fldData xml:space="preserve">PEVuZE5vdGU+PENpdGU+PEF1dGhvcj5Db3JuZWpvLUdyYW5hZG9zPC9BdXRob3I+PFllYXI+MjAx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</w:fldData>
        </w:fldChar>
      </w:r>
      <w:r w:rsidR="00ED1A9E" w:rsidRPr="009819CE">
        <w:rPr>
          <w:rFonts w:cstheme="minorBidi"/>
          <w:color w:val="000000"/>
        </w:rPr>
        <w:instrText xml:space="preserve"> ADDIN EN.CITE.DATA </w:instrText>
      </w:r>
      <w:r w:rsidR="00ED1A9E" w:rsidRPr="009819CE">
        <w:rPr>
          <w:rFonts w:cstheme="minorBidi"/>
          <w:color w:val="000000"/>
        </w:rPr>
      </w:r>
      <w:r w:rsidR="00ED1A9E" w:rsidRPr="009819CE">
        <w:rPr>
          <w:rFonts w:cstheme="minorBidi"/>
          <w:color w:val="000000"/>
        </w:rPr>
        <w:fldChar w:fldCharType="end"/>
      </w:r>
      <w:r w:rsidRPr="009819CE">
        <w:rPr>
          <w:rFonts w:cstheme="minorBidi"/>
          <w:color w:val="000000"/>
        </w:rPr>
      </w:r>
      <w:r w:rsidRPr="009819CE">
        <w:rPr>
          <w:rFonts w:cstheme="minorBidi"/>
          <w:color w:val="000000"/>
        </w:rPr>
        <w:fldChar w:fldCharType="separate"/>
      </w:r>
      <w:r w:rsidR="00D50EFF" w:rsidRPr="007268F5">
        <w:rPr>
          <w:rFonts w:cstheme="minorBidi"/>
          <w:color w:val="000000"/>
        </w:rPr>
        <w:t>(</w:t>
      </w:r>
      <w:hyperlink w:anchor="_ENREF_59" w:tooltip="Cornejo-Granados, 2017 #708" w:history="1">
        <w:r w:rsidR="00950097" w:rsidRPr="007268F5">
          <w:rPr>
            <w:rFonts w:cstheme="minorBidi"/>
            <w:color w:val="000000"/>
          </w:rPr>
          <w:t>Cornejo-Granados et al., 2017</w:t>
        </w:r>
      </w:hyperlink>
      <w:r w:rsidR="00D50EFF" w:rsidRPr="007268F5">
        <w:rPr>
          <w:rFonts w:cstheme="minorBidi"/>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color w:val="000000" w:themeColor="text1"/>
        </w:rPr>
        <w:t xml:space="preserve">They also possess the ability to generate enzymes that facilitate the fermentation of indigestible carbohydrates into short-chain fatty acids (SCFAs) </w:t>
      </w:r>
      <w:r w:rsidRPr="009819CE">
        <w:rPr>
          <w:rFonts w:cstheme="minorBidi"/>
          <w:color w:val="000000"/>
        </w:rPr>
        <w:fldChar w:fldCharType="begin"/>
      </w:r>
      <w:r w:rsidR="00D50EFF" w:rsidRPr="009819CE">
        <w:rPr>
          <w:rFonts w:cstheme="minorBidi"/>
          <w:color w:val="000000"/>
        </w:rPr>
        <w:instrText xml:space="preserve"> ADDIN EN.CITE &lt;EndNote&gt;&lt;Cite&gt;&lt;Author&gt;Flint&lt;/Author&gt;&lt;Year&gt;2012&lt;/Year&gt;&lt;RecNum&gt;1752&lt;/RecNum&gt;&lt;DisplayText&gt;(Flint et al., 2012)&lt;/DisplayText&gt;&lt;record&gt;&lt;rec-number&gt;1752&lt;/rec-number&gt;&lt;foreign-keys&gt;&lt;key app="EN" db-id="sd9wrx9fj09rx3erprsx999o0r5aprvp2zse" timestamp="1688467562" guid="fcaf4e22-10a2-41a7-9a63-9291ad66b3e3"&gt;1752&lt;/key&gt;&lt;/foreign-keys&gt;&lt;ref-type name="Journal Article"&gt;17&lt;/ref-type&gt;&lt;contributors&gt;&lt;authors&gt;&lt;author&gt;Flint, Harry J.&lt;/author&gt;&lt;author&gt;Scott, Karen P.&lt;/author&gt;&lt;author&gt;Duncan, Sylvia H.&lt;/author&gt;&lt;author&gt;Louis, Petra&lt;/author&gt;&lt;author&gt;Forano, Evelyne&lt;/author&gt;&lt;/authors&gt;&lt;/contributors&gt;&lt;titles&gt;&lt;title&gt;Microbial degradation of complex carbohydrates in the gut&lt;/title&gt;&lt;secondary-title&gt;Gut Microbes&lt;/secondary-title&gt;&lt;/titles&gt;&lt;periodical&gt;&lt;full-title&gt;Gut Microbes&lt;/full-title&gt;&lt;/periodical&gt;&lt;pages&gt;289-306&lt;/pages&gt;&lt;volume&gt;3&lt;/volume&gt;&lt;number&gt;4&lt;/number&gt;&lt;dates&gt;&lt;year&gt;2012&lt;/year&gt;&lt;/dates&gt;&lt;publisher&gt;Informa UK Limited&lt;/publisher&gt;&lt;isbn&gt;1949-0976&lt;/isbn&gt;&lt;urls&gt;&lt;related-urls&gt;&lt;url&gt;https://dx.doi.org/10.4161/gmic.19897&lt;/url&gt;&lt;/related-urls&gt;&lt;/urls&gt;&lt;electronic-resource-num&gt;10.4161/gmic.19897&lt;/electronic-resource-num&gt;&lt;/record&gt;&lt;/Cite&gt;&lt;/EndNote&gt;</w:instrText>
      </w:r>
      <w:r w:rsidRPr="009819CE">
        <w:rPr>
          <w:rFonts w:cstheme="minorBidi"/>
          <w:color w:val="000000"/>
        </w:rPr>
        <w:fldChar w:fldCharType="separate"/>
      </w:r>
      <w:r w:rsidR="00D50EFF" w:rsidRPr="009819CE">
        <w:rPr>
          <w:rFonts w:cstheme="minorBidi"/>
          <w:color w:val="000000"/>
        </w:rPr>
        <w:t>(</w:t>
      </w:r>
      <w:hyperlink w:anchor="_ENREF_97" w:tooltip="Flint, 2012 #1752" w:history="1">
        <w:r w:rsidR="00950097" w:rsidRPr="009819CE">
          <w:rPr>
            <w:rFonts w:cstheme="minorBidi"/>
            <w:color w:val="000000"/>
          </w:rPr>
          <w:t>Flint et al., 2012</w:t>
        </w:r>
      </w:hyperlink>
      <w:r w:rsidR="00D50EFF" w:rsidRPr="009819CE">
        <w:rPr>
          <w:rFonts w:cstheme="minorBidi"/>
          <w:color w:val="000000"/>
        </w:rPr>
        <w:t>)</w:t>
      </w:r>
      <w:r w:rsidRPr="009819CE">
        <w:rPr>
          <w:rFonts w:cstheme="minorBidi"/>
          <w:color w:val="000000"/>
        </w:rPr>
        <w:fldChar w:fldCharType="end"/>
      </w:r>
      <w:r w:rsidRPr="009819CE">
        <w:rPr>
          <w:rFonts w:cstheme="minorBidi"/>
          <w:color w:val="000000"/>
        </w:rPr>
        <w:t xml:space="preserve">, essential for maintaining gut health </w:t>
      </w:r>
      <w:r w:rsidRPr="009819CE">
        <w:rPr>
          <w:rFonts w:cstheme="minorBidi"/>
          <w:color w:val="000000"/>
        </w:rPr>
        <w:fldChar w:fldCharType="begin">
          <w:fldData xml:space="preserve">PEVuZE5vdGU+PENpdGU+PEF1dGhvcj5MaW48L0F1dGhvcj48WWVhcj4yMDIxPC9ZZWFyPjxSZWNO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</w:fldData>
        </w:fldChar>
      </w:r>
      <w:r w:rsidR="00ED1A9E" w:rsidRPr="009819CE">
        <w:rPr>
          <w:rFonts w:cstheme="minorBidi"/>
          <w:color w:val="000000"/>
        </w:rPr>
        <w:instrText xml:space="preserve"> ADDIN EN.CITE </w:instrText>
      </w:r>
      <w:r w:rsidR="00ED1A9E" w:rsidRPr="009819CE">
        <w:rPr>
          <w:rFonts w:cstheme="minorBidi"/>
          <w:color w:val="000000"/>
        </w:rPr>
        <w:fldChar w:fldCharType="begin">
          <w:fldData xml:space="preserve">PEVuZE5vdGU+PENpdGU+PEF1dGhvcj5MaW48L0F1dGhvcj48WWVhcj4yMDIxPC9ZZWFyPjxSZWNO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</w:fldData>
        </w:fldChar>
      </w:r>
      <w:r w:rsidR="00ED1A9E" w:rsidRPr="009819CE">
        <w:rPr>
          <w:rFonts w:cstheme="minorBidi"/>
          <w:color w:val="000000"/>
        </w:rPr>
        <w:instrText xml:space="preserve"> ADDIN EN.CITE.DATA </w:instrText>
      </w:r>
      <w:r w:rsidR="00ED1A9E" w:rsidRPr="009819CE">
        <w:rPr>
          <w:rFonts w:cstheme="minorBidi"/>
          <w:color w:val="000000"/>
        </w:rPr>
      </w:r>
      <w:r w:rsidR="00ED1A9E" w:rsidRPr="009819CE">
        <w:rPr>
          <w:rFonts w:cstheme="minorBidi"/>
          <w:color w:val="000000"/>
        </w:rPr>
        <w:fldChar w:fldCharType="end"/>
      </w:r>
      <w:r w:rsidRPr="009819CE">
        <w:rPr>
          <w:rFonts w:cstheme="minorBidi"/>
          <w:color w:val="000000"/>
        </w:rPr>
      </w:r>
      <w:r w:rsidRPr="009819CE">
        <w:rPr>
          <w:rFonts w:cstheme="minorBidi"/>
          <w:color w:val="000000"/>
        </w:rPr>
        <w:fldChar w:fldCharType="separate"/>
      </w:r>
      <w:r w:rsidR="00D50EFF" w:rsidRPr="007268F5">
        <w:rPr>
          <w:rFonts w:cstheme="minorBidi"/>
          <w:color w:val="000000"/>
        </w:rPr>
        <w:t>(</w:t>
      </w:r>
      <w:hyperlink w:anchor="_ENREF_9" w:tooltip="Al Bander, 2020 #1751" w:history="1">
        <w:r w:rsidR="00950097" w:rsidRPr="007268F5">
          <w:rPr>
            <w:rFonts w:cstheme="minorBidi"/>
            <w:color w:val="000000"/>
          </w:rPr>
          <w:t>Al Bander et al., 2020</w:t>
        </w:r>
      </w:hyperlink>
      <w:r w:rsidR="00D50EFF" w:rsidRPr="007268F5">
        <w:rPr>
          <w:rFonts w:cstheme="minorBidi"/>
          <w:color w:val="000000"/>
        </w:rPr>
        <w:t xml:space="preserve">; </w:t>
      </w:r>
      <w:hyperlink w:anchor="_ENREF_188" w:tooltip="Lin, 2021 #816" w:history="1">
        <w:r w:rsidR="00950097" w:rsidRPr="007268F5">
          <w:rPr>
            <w:rFonts w:cstheme="minorBidi"/>
            <w:color w:val="000000"/>
          </w:rPr>
          <w:t>Lin et al., 2021</w:t>
        </w:r>
      </w:hyperlink>
      <w:r w:rsidR="00D50EFF" w:rsidRPr="007268F5">
        <w:rPr>
          <w:rFonts w:cstheme="minorBidi"/>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color w:val="000000" w:themeColor="text1"/>
        </w:rPr>
        <w:t xml:space="preserve">SCFAs have been recognised for their anti-inflammatory and immunomodulatory properties </w:t>
      </w:r>
      <w:r w:rsidRPr="009819CE">
        <w:rPr>
          <w:rFonts w:cstheme="minorBidi"/>
          <w:color w:val="000000"/>
        </w:rPr>
        <w:fldChar w:fldCharType="begin"/>
      </w:r>
      <w:r w:rsidR="00EE7FB9">
        <w:rPr>
          <w:rFonts w:cstheme="minorBidi"/>
          <w:color w:val="000000"/>
        </w:rPr>
        <w:instrText xml:space="preserve"> ADDIN EN.CITE &lt;EndNote&gt;&lt;Cite&gt;&lt;Author&gt;Tan&lt;/Author&gt;&lt;Year&gt;2014&lt;/Year&gt;&lt;RecNum&gt;1750&lt;/RecNum&gt;&lt;DisplayText&gt;(Tan et al., 2014)&lt;/DisplayText&gt;&lt;record&gt;&lt;rec-number&gt;1750&lt;/rec-number&gt;&lt;foreign-keys&gt;&lt;key app="EN" db-id="sd9wrx9fj09rx3erprsx999o0r5aprvp2zse" timestamp="1688466590" guid="c74cc007-18bf-41dc-b967-a2d97fd230a0"&gt;1750&lt;/key&gt;&lt;/foreign-keys&gt;&lt;ref-type name="Book Section"&gt;5&lt;/ref-type&gt;&lt;contributors&gt;&lt;authors&gt;&lt;author&gt;Tan, Jian&lt;/author&gt;&lt;author&gt;McKenzie, Craig&lt;/author&gt;&lt;author&gt;Potamitis, Maria&lt;/author&gt;&lt;author&gt;Thorburn, Alison N.&lt;/author&gt;&lt;author&gt;Mackay, Charles R.&lt;/author&gt;&lt;author&gt;Macia, Laurence&lt;/author&gt;&lt;/authors&gt;&lt;secondary-authors&gt;&lt;author&gt;Alt, Frederick W.&lt;/author&gt;&lt;/secondary-authors&gt;&lt;/contributors&gt;&lt;titles&gt;&lt;title&gt;Chapter three - the role of short-chain fatty acids in health and disease&lt;/title&gt;&lt;secondary-title&gt;Advances in Immunology&lt;/secondary-title&gt;&lt;/titles&gt;&lt;pages&gt;91-119&lt;/pages&gt;&lt;volume&gt;121&lt;/volume&gt;&lt;keywords&gt;&lt;keyword&gt;Short-chain fatty acids&lt;/keyword&gt;&lt;keyword&gt;Fiber&lt;/keyword&gt;&lt;keyword&gt;Microbiota&lt;/keyword&gt;&lt;keyword&gt;G-protein-coupled receptor&lt;/keyword&gt;&lt;keyword&gt;Histone deacetylases&lt;/keyword&gt;&lt;/keywords&gt;&lt;dates&gt;&lt;year&gt;2014&lt;/year&gt;&lt;pub-dates&gt;&lt;date&gt;2014/01/01/&lt;/date&gt;&lt;/pub-dates&gt;&lt;/dates&gt;&lt;publisher&gt;Academic Press&lt;/publisher&gt;&lt;isbn&gt;0065-2776&lt;/isbn&gt;&lt;urls&gt;&lt;related-urls&gt;&lt;url&gt;https://www.sciencedirect.com/science/article/pii/B9780128001004000039&lt;/url&gt;&lt;/related-urls&gt;&lt;/urls&gt;&lt;electronic-resource-num&gt;https://doi.org/10.1016/B978-0-12-800100-4.00003-9&lt;/electronic-resource-num&gt;&lt;/record&gt;&lt;/Cite&gt;&lt;/EndNote&gt;</w:instrText>
      </w:r>
      <w:r w:rsidRPr="009819CE">
        <w:rPr>
          <w:rFonts w:cstheme="minorBidi"/>
          <w:color w:val="000000"/>
        </w:rPr>
        <w:fldChar w:fldCharType="separate"/>
      </w:r>
      <w:r w:rsidR="00D50EFF" w:rsidRPr="009819CE">
        <w:rPr>
          <w:rFonts w:cstheme="minorBidi"/>
          <w:noProof/>
          <w:color w:val="000000"/>
        </w:rPr>
        <w:t>(</w:t>
      </w:r>
      <w:hyperlink w:anchor="_ENREF_318" w:tooltip="Tan, 2014 #1750" w:history="1">
        <w:r w:rsidR="00950097" w:rsidRPr="009819CE">
          <w:rPr>
            <w:rFonts w:cstheme="minorBidi"/>
            <w:noProof/>
            <w:color w:val="000000"/>
          </w:rPr>
          <w:t>Tan et al., 2014</w:t>
        </w:r>
      </w:hyperlink>
      <w:r w:rsidR="00D50EFF" w:rsidRPr="009819CE">
        <w:rPr>
          <w:rFonts w:cstheme="minorBidi"/>
          <w:noProof/>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color w:val="000000" w:themeColor="text1"/>
        </w:rPr>
        <w:t xml:space="preserve">It is </w:t>
      </w:r>
      <w:r w:rsidR="005A69D7" w:rsidRPr="009819CE">
        <w:rPr>
          <w:rFonts w:cstheme="minorBidi"/>
          <w:color w:val="000000" w:themeColor="text1"/>
        </w:rPr>
        <w:t>possible</w:t>
      </w:r>
      <w:r w:rsidRPr="009819CE">
        <w:rPr>
          <w:rFonts w:cstheme="minorBidi"/>
          <w:color w:val="000000" w:themeColor="text1"/>
        </w:rPr>
        <w:t xml:space="preserve"> that these bacterial genera serve a similar function in the haemolymph, with their presence indicating the potential for taxa translocation between the gut and haemolymph  </w:t>
      </w:r>
      <w:r w:rsidR="005E44AB" w:rsidRPr="009819CE">
        <w:rPr>
          <w:rFonts w:cstheme="minorBidi"/>
          <w:color w:val="000000" w:themeColor="text1"/>
        </w:rPr>
        <w:fldChar w:fldCharType="begin">
          <w:fldData xml:space="preserve">PEVuZE5vdGU+PENpdGU+PEF1dGhvcj5aaGFuZzwvQXV0aG9yPjxZZWFyPjIwMjA8L1llYXI+PFJl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</w:fldData>
        </w:fldChar>
      </w:r>
      <w:r w:rsidR="00ED1A9E" w:rsidRPr="009819CE">
        <w:rPr>
          <w:rFonts w:cstheme="minorBidi"/>
          <w:color w:val="000000" w:themeColor="text1"/>
        </w:rPr>
        <w:instrText xml:space="preserve"> ADDIN EN.CITE </w:instrText>
      </w:r>
      <w:r w:rsidR="00ED1A9E" w:rsidRPr="009819CE">
        <w:rPr>
          <w:rFonts w:cstheme="minorBidi"/>
          <w:color w:val="000000" w:themeColor="text1"/>
        </w:rPr>
        <w:fldChar w:fldCharType="begin">
          <w:fldData xml:space="preserve">PEVuZE5vdGU+PENpdGU+PEF1dGhvcj5aaGFuZzwvQXV0aG9yPjxZZWFyPjIwMjA8L1llYXI+PFJl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</w:fldData>
        </w:fldChar>
      </w:r>
      <w:r w:rsidR="00ED1A9E" w:rsidRPr="009819CE">
        <w:rPr>
          <w:rFonts w:cstheme="minorBidi"/>
          <w:color w:val="000000" w:themeColor="text1"/>
        </w:rPr>
        <w:instrText xml:space="preserve"> ADDIN EN.CITE.DATA </w:instrText>
      </w:r>
      <w:r w:rsidR="00ED1A9E" w:rsidRPr="009819CE">
        <w:rPr>
          <w:rFonts w:cstheme="minorBidi"/>
          <w:color w:val="000000" w:themeColor="text1"/>
        </w:rPr>
      </w:r>
      <w:r w:rsidR="00ED1A9E" w:rsidRPr="009819CE">
        <w:rPr>
          <w:rFonts w:cstheme="minorBidi"/>
          <w:color w:val="000000" w:themeColor="text1"/>
        </w:rPr>
        <w:fldChar w:fldCharType="end"/>
      </w:r>
      <w:r w:rsidR="005E44AB" w:rsidRPr="009819CE">
        <w:rPr>
          <w:rFonts w:cstheme="minorBidi"/>
          <w:color w:val="000000" w:themeColor="text1"/>
        </w:rPr>
      </w:r>
      <w:r w:rsidR="005E44AB" w:rsidRPr="009819CE">
        <w:rPr>
          <w:rFonts w:cstheme="minorBidi"/>
          <w:color w:val="000000" w:themeColor="text1"/>
        </w:rPr>
        <w:fldChar w:fldCharType="separate"/>
      </w:r>
      <w:r w:rsidR="005E44AB" w:rsidRPr="007268F5">
        <w:rPr>
          <w:rFonts w:cstheme="minorBidi"/>
          <w:color w:val="000000" w:themeColor="text1"/>
        </w:rPr>
        <w:t>(</w:t>
      </w:r>
      <w:hyperlink w:anchor="_ENREF_375" w:tooltip="Zhang, 2020 #471" w:history="1">
        <w:r w:rsidR="00950097" w:rsidRPr="007268F5">
          <w:rPr>
            <w:rFonts w:cstheme="minorBidi"/>
            <w:color w:val="000000" w:themeColor="text1"/>
          </w:rPr>
          <w:t>Zhang et al., 2020a</w:t>
        </w:r>
      </w:hyperlink>
      <w:r w:rsidR="005E44AB" w:rsidRPr="007268F5">
        <w:rPr>
          <w:rFonts w:cstheme="minorBidi"/>
          <w:color w:val="000000" w:themeColor="text1"/>
        </w:rPr>
        <w:t>)</w:t>
      </w:r>
      <w:r w:rsidR="005E44AB" w:rsidRPr="009819CE">
        <w:rPr>
          <w:rFonts w:cstheme="minorBidi"/>
          <w:color w:val="000000" w:themeColor="text1"/>
        </w:rPr>
        <w:fldChar w:fldCharType="end"/>
      </w:r>
      <w:r w:rsidRPr="009819CE">
        <w:rPr>
          <w:rFonts w:cstheme="minorBidi"/>
          <w:color w:val="000000" w:themeColor="text1"/>
        </w:rPr>
        <w:t xml:space="preserve">. Among the core haemolymph genera, the presence of opportunistic aquatic pathogens, including the </w:t>
      </w:r>
      <w:r w:rsidRPr="009819CE">
        <w:rPr>
          <w:rFonts w:cstheme="minorBidi"/>
          <w:i/>
          <w:iCs/>
          <w:color w:val="000000" w:themeColor="text1"/>
        </w:rPr>
        <w:t>Pseudomonas</w:t>
      </w:r>
      <w:r w:rsidRPr="009819CE">
        <w:rPr>
          <w:rFonts w:cstheme="minorBidi"/>
          <w:color w:val="000000" w:themeColor="text1"/>
        </w:rPr>
        <w:t xml:space="preserve">, </w:t>
      </w:r>
      <w:r w:rsidRPr="009819CE">
        <w:rPr>
          <w:rFonts w:cstheme="minorBidi"/>
          <w:i/>
          <w:iCs/>
          <w:color w:val="000000" w:themeColor="text1"/>
        </w:rPr>
        <w:t>Enterobacter</w:t>
      </w:r>
      <w:r w:rsidRPr="009819CE">
        <w:rPr>
          <w:rFonts w:cstheme="minorBidi"/>
          <w:color w:val="000000" w:themeColor="text1"/>
        </w:rPr>
        <w:t xml:space="preserve">, and </w:t>
      </w:r>
      <w:r w:rsidRPr="009819CE">
        <w:rPr>
          <w:rFonts w:cstheme="minorBidi"/>
          <w:i/>
          <w:iCs/>
          <w:color w:val="000000" w:themeColor="text1"/>
        </w:rPr>
        <w:t>Acinetobacter</w:t>
      </w:r>
      <w:r w:rsidRPr="009819CE">
        <w:rPr>
          <w:rFonts w:cstheme="minorBidi"/>
          <w:color w:val="000000" w:themeColor="text1"/>
        </w:rPr>
        <w:t xml:space="preserve"> genera</w:t>
      </w:r>
      <w:r w:rsidR="005156AD">
        <w:rPr>
          <w:rFonts w:cstheme="minorBidi"/>
          <w:color w:val="000000" w:themeColor="text1"/>
        </w:rPr>
        <w:t xml:space="preserve"> was also detected</w:t>
      </w:r>
      <w:r w:rsidRPr="009819CE">
        <w:rPr>
          <w:rFonts w:cstheme="minorBidi"/>
          <w:color w:val="000000" w:themeColor="text1"/>
        </w:rPr>
        <w:t>.</w:t>
      </w:r>
    </w:p>
    <w:p w14:paraId="2030F14D" w14:textId="66D862C8" w:rsidR="0055220B" w:rsidRPr="009819CE" w:rsidRDefault="0055220B" w:rsidP="0055220B">
      <w:pPr>
        <w:rPr>
          <w:rFonts w:cstheme="minorBidi"/>
          <w:color w:val="000000" w:themeColor="text1"/>
        </w:rPr>
      </w:pPr>
      <w:r w:rsidRPr="009819CE">
        <w:rPr>
          <w:rFonts w:cstheme="minorBidi"/>
        </w:rPr>
        <w:t xml:space="preserve">In contrast, the core gut microbiome comprises a diverse range of genera, including those associated with anoxic marine environments, as well as potential pathogens. Notably, among these are sulfate-reducing bacteria (SRB), represented by genera such as </w:t>
      </w:r>
      <w:r w:rsidRPr="009819CE">
        <w:rPr>
          <w:rFonts w:cstheme="minorBidi"/>
          <w:i/>
          <w:iCs/>
        </w:rPr>
        <w:t>Desulfocapsa</w:t>
      </w:r>
      <w:r w:rsidRPr="009819CE">
        <w:rPr>
          <w:rFonts w:cstheme="minorBidi"/>
        </w:rPr>
        <w:t xml:space="preserve">, </w:t>
      </w:r>
      <w:r w:rsidRPr="009819CE">
        <w:rPr>
          <w:rFonts w:cstheme="minorBidi"/>
          <w:i/>
          <w:iCs/>
        </w:rPr>
        <w:t>Desulfovibrio</w:t>
      </w:r>
      <w:r w:rsidRPr="009819CE">
        <w:rPr>
          <w:rFonts w:cstheme="minorBidi"/>
        </w:rPr>
        <w:t xml:space="preserve">, and </w:t>
      </w:r>
      <w:r w:rsidRPr="009819CE">
        <w:rPr>
          <w:rFonts w:cstheme="minorBidi"/>
          <w:i/>
          <w:iCs/>
        </w:rPr>
        <w:t>Desulfotalea</w:t>
      </w:r>
      <w:r w:rsidRPr="009819CE">
        <w:rPr>
          <w:rFonts w:cstheme="minorBidi"/>
        </w:rPr>
        <w:t xml:space="preserve">, which </w:t>
      </w:r>
      <w:r w:rsidR="006D5584" w:rsidRPr="009819CE">
        <w:rPr>
          <w:rFonts w:cstheme="minorBidi"/>
        </w:rPr>
        <w:t>may</w:t>
      </w:r>
      <w:r w:rsidR="00675CA3" w:rsidRPr="009819CE">
        <w:rPr>
          <w:rFonts w:cstheme="minorBidi"/>
        </w:rPr>
        <w:t xml:space="preserve"> also</w:t>
      </w:r>
      <w:r w:rsidRPr="009819CE">
        <w:rPr>
          <w:rFonts w:cstheme="minorBidi"/>
        </w:rPr>
        <w:t xml:space="preserve"> contribute to digestion  organic matter (OM) </w:t>
      </w:r>
      <w:r w:rsidRPr="009819CE">
        <w:rPr>
          <w:rFonts w:cstheme="minorBidi"/>
        </w:rPr>
        <w:fldChar w:fldCharType="begin"/>
      </w:r>
      <w:r w:rsidR="00E348BC" w:rsidRPr="009819CE">
        <w:rPr>
          <w:rFonts w:cstheme="minorBidi"/>
        </w:rPr>
        <w:instrText xml:space="preserve"> ADDIN EN.CITE &lt;EndNote&gt;&lt;Cite&gt;&lt;Author&gt;Liang&lt;/Author&gt;&lt;Year&gt;2023&lt;/Year&gt;&lt;RecNum&gt;1858&lt;/RecNum&gt;&lt;DisplayText&gt;(Liang et al., 2023)&lt;/DisplayText&gt;&lt;record&gt;&lt;rec-number&gt;1858&lt;/rec-number&gt;&lt;foreign-keys&gt;&lt;key app="EN" db-id="sd9wrx9fj09rx3erprsx999o0r5aprvp2zse" timestamp="1691653978" guid="9dd5c05a-f0a0-4d69-978e-2b8c3cc1b9f0"&gt;1858&lt;/key&gt;&lt;/foreign-keys&gt;&lt;ref-type name="Journal Article"&gt;17&lt;/ref-type&gt;&lt;contributors&gt;&lt;authors&gt;&lt;author&gt;Qi-Yun Liang&lt;/author&gt;&lt;author&gt;Jin-Yu Zhang&lt;/author&gt;&lt;author&gt;Daliang Ning&lt;/author&gt;&lt;author&gt;Wen-Xing Yu&lt;/author&gt;&lt;author&gt;Guan-Jun Chen&lt;/author&gt;&lt;author&gt;Xuanyu Tao&lt;/author&gt;&lt;author&gt;Jizhong Zhou&lt;/author&gt;&lt;author&gt;Zong-Jun Du&lt;/author&gt;&lt;author&gt;Da-Shuai Mu&lt;/author&gt;&lt;/authors&gt;&lt;/contributors&gt;&lt;titles&gt;&lt;title&gt;Niche modification by sulfate-reducing bacteria drives microbial community assembly in anoxic marine sediments&lt;/title&gt;&lt;secondary-title&gt;mBio&lt;/secondary-title&gt;&lt;/titles&gt;&lt;periodical&gt;&lt;full-title&gt;mBio&lt;/full-title&gt;&lt;/periodical&gt;&lt;pages&gt;e03535-22&lt;/pages&gt;&lt;volume&gt;14&lt;/volume&gt;&lt;number&gt;2&lt;/number&gt;&lt;dates&gt;&lt;year&gt;2023&lt;/year&gt;&lt;/dates&gt;&lt;urls&gt;&lt;related-urls&gt;&lt;url&gt;https://journals.asm.org/doi/abs/10.1128/mbio.03535-22&lt;/url&gt;&lt;url&gt;https://www.ncbi.nlm.nih.gov/pmc/articles/PMC10128000/pdf/mbio.03535-22.pdf&lt;/url&gt;&lt;/related-urls&gt;&lt;/urls&gt;&lt;electronic-resource-num&gt;doi:10.1128/mbio.03535-22&lt;/electronic-resource-num&gt;&lt;/record&gt;&lt;/Cite&gt;&lt;/EndNote&gt;</w:instrText>
      </w:r>
      <w:r w:rsidRPr="009819CE">
        <w:rPr>
          <w:rFonts w:cstheme="minorBidi"/>
        </w:rPr>
        <w:fldChar w:fldCharType="separate"/>
      </w:r>
      <w:r w:rsidR="00D50EFF" w:rsidRPr="007268F5">
        <w:rPr>
          <w:rFonts w:cstheme="minorBidi"/>
        </w:rPr>
        <w:t>(</w:t>
      </w:r>
      <w:hyperlink w:anchor="_ENREF_186" w:tooltip="Liang, 2023 #1858" w:history="1">
        <w:r w:rsidR="00950097" w:rsidRPr="007268F5">
          <w:rPr>
            <w:rFonts w:cstheme="minorBidi"/>
          </w:rPr>
          <w:t>Liang et al., 2023</w:t>
        </w:r>
      </w:hyperlink>
      <w:r w:rsidR="00D50EFF" w:rsidRPr="007268F5">
        <w:rPr>
          <w:rFonts w:cstheme="minorBidi"/>
        </w:rPr>
        <w:t>)</w:t>
      </w:r>
      <w:r w:rsidRPr="009819CE">
        <w:rPr>
          <w:rFonts w:cstheme="minorBidi"/>
        </w:rPr>
        <w:fldChar w:fldCharType="end"/>
      </w:r>
      <w:r w:rsidRPr="009819CE">
        <w:rPr>
          <w:rFonts w:cstheme="minorBidi"/>
        </w:rPr>
        <w:t xml:space="preserve">. Another significant finding was the presence of the </w:t>
      </w:r>
      <w:r w:rsidRPr="009819CE">
        <w:rPr>
          <w:rFonts w:cstheme="minorBidi"/>
          <w:i/>
          <w:iCs/>
        </w:rPr>
        <w:t>Carboxylicivirga</w:t>
      </w:r>
      <w:r w:rsidRPr="009819CE">
        <w:rPr>
          <w:rFonts w:cstheme="minorBidi"/>
        </w:rPr>
        <w:t xml:space="preserve"> genus within the core gut community. This newly recognised genus, typically found in marine sediment</w:t>
      </w:r>
      <w:r w:rsidR="00D6453C" w:rsidRPr="009819CE">
        <w:rPr>
          <w:rFonts w:cstheme="minorBidi"/>
        </w:rPr>
        <w:t xml:space="preserve"> </w:t>
      </w:r>
      <w:r w:rsidR="00D6453C" w:rsidRPr="009819CE">
        <w:rPr>
          <w:rFonts w:cstheme="minorBidi"/>
        </w:rPr>
        <w:fldChar w:fldCharType="begin"/>
      </w:r>
      <w:r w:rsidR="00D6453C" w:rsidRPr="009819CE">
        <w:rPr>
          <w:rFonts w:cstheme="minorBidi"/>
        </w:rPr>
        <w:instrText xml:space="preserve"> ADDIN EN.CITE &lt;EndNote&gt;&lt;Cite&gt;&lt;Author&gt;Zhang&lt;/Author&gt;&lt;Year&gt;2021&lt;/Year&gt;&lt;RecNum&gt;1938&lt;/RecNum&gt;&lt;DisplayText&gt;(Zhang et al., 2021)&lt;/DisplayText&gt;&lt;record&gt;&lt;rec-number&gt;1938&lt;/rec-number&gt;&lt;foreign-keys&gt;&lt;key app="EN" db-id="sd9wrx9fj09rx3erprsx999o0r5aprvp2zse" timestamp="1720612916" guid="d343f53c-69c9-46e6-ae3f-650e9aa1ae86"&gt;1938&lt;/key&gt;&lt;/foreign-keys&gt;&lt;ref-type name="Journal Article"&gt;17&lt;/ref-type&gt;&lt;contributors&gt;&lt;authors&gt;&lt;author&gt;Zhang, Tian-Shu&lt;/author&gt;&lt;author&gt;Zhang, Ya-Ning&lt;/author&gt;&lt;author&gt;Lu, De-Chen&lt;/author&gt;&lt;author&gt;Gong, Ya&lt;/author&gt;&lt;author&gt;Du, Zong-Jun&lt;/author&gt;&lt;/authors&gt;&lt;/contributors&gt;&lt;titles&gt;&lt;title&gt;&lt;style face="italic" font="default" size="100%"&gt;Carboxylicivirga marinus &lt;/style&gt;&lt;style face="normal" font="default" size="100%"&gt;sp. nov., isolated from marine sediment, and genome insight of the genus &lt;/style&gt;&lt;style face="italic" font="default" size="100%"&gt;Carboxylicivirga&lt;/style&gt;&lt;/title&gt;&lt;secondary-title&gt;Frontiers in Marine Science&lt;/secondary-title&gt;&lt;/titles&gt;&lt;periodical&gt;&lt;full-title&gt;Frontiers in Marine Science&lt;/full-title&gt;&lt;/periodical&gt;&lt;pages&gt;731212&lt;/pages&gt;&lt;volume&gt;8&lt;/volume&gt;&lt;dates&gt;&lt;year&gt;2021&lt;/year&gt;&lt;/dates&gt;&lt;isbn&gt;2296-7745&lt;/isbn&gt;&lt;urls&gt;&lt;related-urls&gt;&lt;url&gt;https://doi.org/10.3389/fmars.2021.731212&lt;/url&gt;&lt;/related-urls&gt;&lt;/urls&gt;&lt;/record&gt;&lt;/Cite&gt;&lt;/EndNote&gt;</w:instrText>
      </w:r>
      <w:r w:rsidR="00D6453C" w:rsidRPr="009819CE">
        <w:rPr>
          <w:rFonts w:cstheme="minorBidi"/>
        </w:rPr>
        <w:fldChar w:fldCharType="separate"/>
      </w:r>
      <w:r w:rsidR="00D6453C" w:rsidRPr="007268F5">
        <w:rPr>
          <w:rFonts w:cstheme="minorBidi"/>
        </w:rPr>
        <w:t>(</w:t>
      </w:r>
      <w:hyperlink w:anchor="_ENREF_372" w:tooltip="Zhang, 2021 #1938" w:history="1">
        <w:r w:rsidR="00950097" w:rsidRPr="007268F5">
          <w:rPr>
            <w:rFonts w:cstheme="minorBidi"/>
          </w:rPr>
          <w:t>Zhang et al., 2021</w:t>
        </w:r>
      </w:hyperlink>
      <w:r w:rsidR="00D6453C" w:rsidRPr="007268F5">
        <w:rPr>
          <w:rFonts w:cstheme="minorBidi"/>
        </w:rPr>
        <w:t>)</w:t>
      </w:r>
      <w:r w:rsidR="00D6453C" w:rsidRPr="009819CE">
        <w:rPr>
          <w:rFonts w:cstheme="minorBidi"/>
        </w:rPr>
        <w:fldChar w:fldCharType="end"/>
      </w:r>
      <w:r w:rsidRPr="009819CE">
        <w:rPr>
          <w:rFonts w:cstheme="minorBidi"/>
          <w:color w:val="000000" w:themeColor="text1"/>
        </w:rPr>
        <w:t xml:space="preserve">, </w:t>
      </w:r>
      <w:r w:rsidRPr="009819CE">
        <w:rPr>
          <w:rFonts w:cstheme="minorBidi"/>
        </w:rPr>
        <w:t xml:space="preserve">was also identified in the core gut microbiomes of other species, including the mud crab </w:t>
      </w:r>
      <w:r w:rsidR="002D28A9" w:rsidRPr="009819CE">
        <w:rPr>
          <w:rFonts w:cstheme="minorBidi"/>
        </w:rPr>
        <w:t>(</w:t>
      </w:r>
      <w:r w:rsidRPr="009819CE">
        <w:rPr>
          <w:rFonts w:cstheme="minorBidi"/>
          <w:i/>
          <w:iCs/>
        </w:rPr>
        <w:t>Scylla paramamosain</w:t>
      </w:r>
      <w:r w:rsidR="002D28A9" w:rsidRPr="009819CE">
        <w:rPr>
          <w:rFonts w:cstheme="minorBidi"/>
        </w:rPr>
        <w:t>)</w:t>
      </w:r>
      <w:r w:rsidRPr="009819CE">
        <w:rPr>
          <w:rFonts w:cstheme="minorBidi"/>
        </w:rPr>
        <w:t xml:space="preserve"> </w:t>
      </w:r>
      <w:r w:rsidRPr="009819CE">
        <w:rPr>
          <w:rFonts w:cstheme="minorBidi"/>
          <w:color w:val="000000" w:themeColor="text1"/>
        </w:rPr>
        <w:fldChar w:fldCharType="begin">
          <w:fldData xml:space="preserve">PEVuZE5vdGU+PENpdGU+PEF1dGhvcj5MaTwvQXV0aG9yPjxZZWFyPjIwMTI8L1llYXI+PFJlY051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==
</w:fldData>
        </w:fldChar>
      </w:r>
      <w:r w:rsidR="00B303F5" w:rsidRPr="009819CE">
        <w:rPr>
          <w:rFonts w:cstheme="minorBidi"/>
          <w:color w:val="000000" w:themeColor="text1"/>
        </w:rPr>
        <w:instrText xml:space="preserve"> ADDIN EN.CITE </w:instrText>
      </w:r>
      <w:r w:rsidR="00B303F5" w:rsidRPr="009819CE">
        <w:rPr>
          <w:rFonts w:cstheme="minorBidi"/>
          <w:color w:val="000000" w:themeColor="text1"/>
        </w:rPr>
        <w:fldChar w:fldCharType="begin">
          <w:fldData xml:space="preserve">PEVuZE5vdGU+PENpdGU+PEF1dGhvcj5MaTwvQXV0aG9yPjxZZWFyPjIwMTI8L1llYXI+PFJlY051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==
</w:fldData>
        </w:fldChar>
      </w:r>
      <w:r w:rsidR="00B303F5" w:rsidRPr="009819CE">
        <w:rPr>
          <w:rFonts w:cstheme="minorBidi"/>
          <w:color w:val="000000" w:themeColor="text1"/>
        </w:rPr>
        <w:instrText xml:space="preserve"> ADDIN EN.CITE.DATA </w:instrText>
      </w:r>
      <w:r w:rsidR="00B303F5" w:rsidRPr="009819CE">
        <w:rPr>
          <w:rFonts w:cstheme="minorBidi"/>
          <w:color w:val="000000" w:themeColor="text1"/>
        </w:rPr>
      </w:r>
      <w:r w:rsidR="00B303F5" w:rsidRPr="009819CE">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B303F5" w:rsidRPr="007268F5">
        <w:rPr>
          <w:rFonts w:cstheme="minorBidi"/>
          <w:color w:val="000000" w:themeColor="text1"/>
        </w:rPr>
        <w:t>(</w:t>
      </w:r>
      <w:hyperlink w:anchor="_ENREF_184" w:tooltip="Li, 2012 #40" w:history="1">
        <w:r w:rsidR="00950097" w:rsidRPr="007268F5">
          <w:rPr>
            <w:rFonts w:cstheme="minorBidi"/>
            <w:color w:val="000000" w:themeColor="text1"/>
          </w:rPr>
          <w:t>Li et al., 2012</w:t>
        </w:r>
      </w:hyperlink>
      <w:r w:rsidR="00B303F5" w:rsidRPr="007268F5">
        <w:rPr>
          <w:rFonts w:cstheme="minorBidi"/>
          <w:color w:val="000000" w:themeColor="text1"/>
        </w:rPr>
        <w:t xml:space="preserve">; </w:t>
      </w:r>
      <w:hyperlink w:anchor="_ENREF_353" w:tooltip="Wei, 2019 #815" w:history="1">
        <w:r w:rsidR="00950097" w:rsidRPr="007268F5">
          <w:rPr>
            <w:rFonts w:cstheme="minorBidi"/>
            <w:color w:val="000000" w:themeColor="text1"/>
          </w:rPr>
          <w:t>Wei et al., 2019</w:t>
        </w:r>
      </w:hyperlink>
      <w:r w:rsidR="00B303F5"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rPr>
        <w:t xml:space="preserve">and the European lobster </w:t>
      </w:r>
      <w:r w:rsidRPr="009819CE">
        <w:rPr>
          <w:rFonts w:cstheme="minorBidi"/>
          <w:i/>
          <w:iCs/>
        </w:rPr>
        <w:t>Homarus gammarus</w:t>
      </w:r>
      <w:r w:rsidR="007563B4" w:rsidRPr="009819CE">
        <w:rPr>
          <w:rFonts w:cstheme="minorBidi"/>
          <w:i/>
          <w:iCs/>
        </w:rPr>
        <w:t xml:space="preserve"> </w:t>
      </w:r>
      <w:r w:rsidR="007563B4" w:rsidRPr="009819CE">
        <w:rPr>
          <w:rFonts w:cstheme="minorBidi"/>
        </w:rPr>
        <w:fldChar w:fldCharType="begin"/>
      </w:r>
      <w:r w:rsidR="00871B4F">
        <w:rPr>
          <w:rFonts w:cstheme="minorBidi"/>
        </w:rPr>
        <w:instrText xml:space="preserve"> ADDIN EN.CITE &lt;EndNote&gt;&lt;Cite&gt;&lt;Author&gt;Holt&lt;/Author&gt;&lt;Year&gt;2020&lt;/Year&gt;&lt;RecNum&gt;214&lt;/RecNum&gt;&lt;DisplayText&gt;(Holt et al., 2020)&lt;/DisplayText&gt;&lt;record&gt;&lt;rec-number&gt;214&lt;/rec-number&gt;&lt;foreign-keys&gt;&lt;key app="EN" db-id="sd9wrx9fj09rx3erprsx999o0r5aprvp2zse" timestamp="1687855901" guid="cc184777-353f-4ebf-8789-1d9f1885c895"&gt;214&lt;/key&gt;&lt;/foreign-keys&gt;&lt;ref-type name="Journal Article"&gt;17&lt;/ref-type&gt;&lt;contributors&gt;&lt;authors&gt;&lt;author&gt;Holt, Corey C.&lt;/author&gt;&lt;author&gt;van der Giezen, Mark&lt;/author&gt;&lt;author&gt;Daniels, Carly L.&lt;/author&gt;&lt;author&gt;Stentiford, Grant D.&lt;/author&gt;&lt;author&gt;Bass, David&lt;/author&gt;&lt;/authors&gt;&lt;/contributors&gt;&lt;titles&gt;&lt;title&gt;&lt;style face="normal" font="default" size="100%"&gt;Spatial and temporal axes impact ecology of the gut microbiome in juvenile European lobster (&lt;/style&gt;&lt;style face="italic" font="default" size="100%"&gt;Homarus gammarus&lt;/style&gt;&lt;style face="normal" font="default" size="100%"&gt;)&lt;/style&gt;&lt;/title&gt;&lt;secondary-title&gt;Multidisciplinary Journal of Microbial Ecology&lt;/secondary-title&gt;&lt;/titles&gt;&lt;periodical&gt;&lt;full-title&gt;Multidisciplinary Journal of Microbial Ecology&lt;/full-title&gt;&lt;/periodical&gt;&lt;pages&gt;531-543&lt;/pages&gt;&lt;volume&gt;14&lt;/volume&gt;&lt;number&gt;2&lt;/number&gt;&lt;dates&gt;&lt;year&gt;2020&lt;/year&gt;&lt;/dates&gt;&lt;publisher&gt;Springer US&lt;/publisher&gt;&lt;urls&gt;&lt;related-urls&gt;&lt;url&gt;http://dx.doi.org/10.1038/s41396-019-0546-1&lt;/url&gt;&lt;/related-urls&gt;&lt;/urls&gt;&lt;electronic-resource-num&gt;10.1038/s41396-019-0546-1&lt;/electronic-resource-num&gt;&lt;/record&gt;&lt;/Cite&gt;&lt;/EndNote&gt;</w:instrText>
      </w:r>
      <w:r w:rsidR="007563B4" w:rsidRPr="009819CE">
        <w:rPr>
          <w:rFonts w:cstheme="minorBidi"/>
        </w:rPr>
        <w:fldChar w:fldCharType="separate"/>
      </w:r>
      <w:r w:rsidR="007563B4" w:rsidRPr="00871B4F">
        <w:rPr>
          <w:rFonts w:cstheme="minorBidi"/>
          <w:noProof/>
        </w:rPr>
        <w:t>(</w:t>
      </w:r>
      <w:hyperlink w:anchor="_ENREF_136" w:tooltip="Holt, 2020 #214" w:history="1">
        <w:r w:rsidR="00950097" w:rsidRPr="00871B4F">
          <w:rPr>
            <w:rFonts w:cstheme="minorBidi"/>
            <w:noProof/>
          </w:rPr>
          <w:t>Holt et al., 2020</w:t>
        </w:r>
      </w:hyperlink>
      <w:r w:rsidR="007563B4" w:rsidRPr="00871B4F">
        <w:rPr>
          <w:rFonts w:cstheme="minorBidi"/>
          <w:noProof/>
        </w:rPr>
        <w:t>)</w:t>
      </w:r>
      <w:r w:rsidR="007563B4" w:rsidRPr="009819CE">
        <w:rPr>
          <w:rFonts w:cstheme="minorBidi"/>
        </w:rPr>
        <w:fldChar w:fldCharType="end"/>
      </w:r>
      <w:r w:rsidRPr="009819CE">
        <w:rPr>
          <w:rFonts w:cstheme="minorBidi"/>
          <w:color w:val="000000" w:themeColor="text1"/>
        </w:rPr>
        <w:t xml:space="preserve">, however, its role in both the environment and its host remains relatively unexplored </w:t>
      </w:r>
      <w:r w:rsidRPr="009819CE">
        <w:rPr>
          <w:rFonts w:cstheme="minorBidi"/>
          <w:color w:val="000000" w:themeColor="text1"/>
        </w:rPr>
        <w:fldChar w:fldCharType="begin">
          <w:fldData xml:space="preserve">PEVuZE5vdGU+PENpdGU+PEF1dGhvcj5ZYW5nPC9BdXRob3I+PFllYXI+MjAxNDwvWWVhcj48UmVj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</w:fldData>
        </w:fldChar>
      </w:r>
      <w:r w:rsidR="001B2F10" w:rsidRPr="009819CE">
        <w:rPr>
          <w:rFonts w:cstheme="minorBidi"/>
          <w:color w:val="000000" w:themeColor="text1"/>
        </w:rPr>
        <w:instrText xml:space="preserve"> ADDIN EN.CITE </w:instrText>
      </w:r>
      <w:r w:rsidR="001B2F10" w:rsidRPr="009819CE">
        <w:rPr>
          <w:rFonts w:cstheme="minorBidi"/>
          <w:color w:val="000000" w:themeColor="text1"/>
        </w:rPr>
        <w:fldChar w:fldCharType="begin">
          <w:fldData xml:space="preserve">PEVuZE5vdGU+PENpdGU+PEF1dGhvcj5ZYW5nPC9BdXRob3I+PFllYXI+MjAxNDwvWWVhcj48UmVj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</w:fldData>
        </w:fldChar>
      </w:r>
      <w:r w:rsidR="001B2F10" w:rsidRPr="009819CE">
        <w:rPr>
          <w:rFonts w:cstheme="minorBidi"/>
          <w:color w:val="000000" w:themeColor="text1"/>
        </w:rPr>
        <w:instrText xml:space="preserve"> ADDIN EN.CITE.DATA </w:instrText>
      </w:r>
      <w:r w:rsidR="001B2F10" w:rsidRPr="009819CE">
        <w:rPr>
          <w:rFonts w:cstheme="minorBidi"/>
          <w:color w:val="000000" w:themeColor="text1"/>
        </w:rPr>
      </w:r>
      <w:r w:rsidR="001B2F10" w:rsidRPr="009819CE">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7268F5">
        <w:rPr>
          <w:rFonts w:cstheme="minorBidi"/>
          <w:color w:val="000000" w:themeColor="text1"/>
        </w:rPr>
        <w:t>(</w:t>
      </w:r>
      <w:hyperlink w:anchor="_ENREF_366" w:tooltip="Yang, 2014 #1860" w:history="1">
        <w:r w:rsidR="00950097" w:rsidRPr="007268F5">
          <w:rPr>
            <w:rFonts w:cstheme="minorBidi"/>
            <w:color w:val="000000" w:themeColor="text1"/>
          </w:rPr>
          <w:t>Yang et al., 2014</w:t>
        </w:r>
      </w:hyperlink>
      <w:r w:rsidR="00D50EFF"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p>
    <w:p w14:paraId="10A5EBDF" w14:textId="205627AF" w:rsidR="0055220B" w:rsidRPr="009819CE" w:rsidRDefault="0055220B" w:rsidP="0055220B">
      <w:pPr>
        <w:rPr>
          <w:rFonts w:cstheme="minorBidi"/>
          <w:color w:val="000000" w:themeColor="text1"/>
        </w:rPr>
      </w:pPr>
      <w:r w:rsidRPr="009819CE">
        <w:rPr>
          <w:rFonts w:cstheme="minorBidi"/>
          <w:color w:val="000000" w:themeColor="text1"/>
        </w:rPr>
        <w:t xml:space="preserve">Consistent with </w:t>
      </w:r>
      <w:hyperlink w:anchor="_ENREF_100" w:tooltip="Foysal, 2023 #1811" w:history="1">
        <w:r w:rsidR="00950097" w:rsidRPr="009819CE">
          <w:rPr>
            <w:rFonts w:cstheme="minorBidi"/>
            <w:color w:val="000000" w:themeColor="text1"/>
          </w:rPr>
          <w:fldChar w:fldCharType="begin"/>
        </w:r>
        <w:r w:rsidR="00950097" w:rsidRPr="009819CE">
          <w:rPr>
            <w:rFonts w:cstheme="minorBidi"/>
            <w:color w:val="000000" w:themeColor="text1"/>
          </w:rPr>
          <w:instrText xml:space="preserve"> ADDIN EN.CITE &lt;EndNote&gt;&lt;Cite AuthorYear="1"&gt;&lt;Author&gt;Foysal&lt;/Author&gt;&lt;Year&gt;2023&lt;/Year&gt;&lt;RecNum&gt;1811&lt;/RecNum&gt;&lt;DisplayText&gt;Foysal (2023)&lt;/DisplayText&gt;&lt;record&gt;&lt;rec-number&gt;1811&lt;/rec-number&gt;&lt;foreign-keys&gt;&lt;key app="EN" db-id="sd9wrx9fj09rx3erprsx999o0r5aprvp2zse" timestamp="1690914887" guid="a5c37c97-efc9-45f5-b64c-ea6b1a613684"&gt;1811&lt;/key&gt;&lt;/foreign-keys&gt;&lt;ref-type name="Journal Article"&gt;17&lt;/ref-type&gt;&lt;contributors&gt;&lt;authors&gt;&lt;author&gt;Foysal, Md Javed&lt;/author&gt;&lt;/authors&gt;&lt;/contributors&gt;&lt;titles&gt;&lt;title&gt;Host habitat shapes the core gut bacteria of decapod crustaceans: A meta-analysis&lt;/title&gt;&lt;secondary-title&gt;Heliyon&lt;/secondary-title&gt;&lt;/titles&gt;&lt;periodical&gt;&lt;full-title&gt;Heliyon&lt;/full-title&gt;&lt;/periodical&gt;&lt;pages&gt;e16511&lt;/pages&gt;&lt;volume&gt;9&lt;/volume&gt;&lt;number&gt;6&lt;/number&gt;&lt;dates&gt;&lt;year&gt;2023&lt;/year&gt;&lt;/dates&gt;&lt;publisher&gt;Elsevier BV&lt;/publisher&gt;&lt;isbn&gt;2405-8440&lt;/isbn&gt;&lt;urls&gt;&lt;related-urls&gt;&lt;url&gt;https://dx.doi.org/10.1016/j.heliyon.2023.e16511&lt;/url&gt;&lt;/related-urls&gt;&lt;/urls&gt;&lt;electronic-resource-num&gt;10.1016/j.heliyon.2023.e16511&lt;/electronic-resource-num&gt;&lt;/record&gt;&lt;/Cite&gt;&lt;/EndNote&gt;</w:instrText>
        </w:r>
        <w:r w:rsidR="00950097" w:rsidRPr="009819CE">
          <w:rPr>
            <w:rFonts w:cstheme="minorBidi"/>
            <w:color w:val="000000" w:themeColor="text1"/>
          </w:rPr>
          <w:fldChar w:fldCharType="separate"/>
        </w:r>
        <w:r w:rsidR="00950097" w:rsidRPr="007268F5">
          <w:rPr>
            <w:rFonts w:cstheme="minorBidi"/>
            <w:color w:val="000000" w:themeColor="text1"/>
          </w:rPr>
          <w:t>Foysal (2023)</w:t>
        </w:r>
        <w:r w:rsidR="00950097" w:rsidRPr="009819CE">
          <w:rPr>
            <w:rFonts w:cstheme="minorBidi"/>
            <w:color w:val="000000" w:themeColor="text1"/>
          </w:rPr>
          <w:fldChar w:fldCharType="end"/>
        </w:r>
      </w:hyperlink>
      <w:r w:rsidR="00E21EB7" w:rsidRPr="00FA7D47">
        <w:rPr>
          <w:rFonts w:cstheme="minorBidi"/>
          <w:color w:val="000000" w:themeColor="text1"/>
        </w:rPr>
        <w:t>’s</w:t>
      </w:r>
      <w:r w:rsidRPr="009819CE">
        <w:rPr>
          <w:rFonts w:cstheme="minorBidi"/>
          <w:color w:val="000000" w:themeColor="text1"/>
        </w:rPr>
        <w:t xml:space="preserve"> meta-analysis of essential gut bacteria in decapod crustaceans, </w:t>
      </w:r>
      <w:r w:rsidRPr="009819CE">
        <w:rPr>
          <w:rFonts w:cstheme="minorBidi"/>
          <w:i/>
          <w:iCs/>
          <w:color w:val="000000" w:themeColor="text1"/>
        </w:rPr>
        <w:t>Candidatus Bacilloplasma</w:t>
      </w:r>
      <w:r w:rsidRPr="009819CE">
        <w:rPr>
          <w:rFonts w:cstheme="minorBidi"/>
          <w:color w:val="000000" w:themeColor="text1"/>
        </w:rPr>
        <w:t xml:space="preserve"> was identified as one of the key members of the core gut community. </w:t>
      </w:r>
      <w:hyperlink w:anchor="_ENREF_76" w:tooltip="Duan, 2021 #1936" w:history="1">
        <w:r w:rsidR="00950097" w:rsidRPr="009819CE">
          <w:rPr>
            <w:rFonts w:cstheme="minorBidi"/>
            <w:color w:val="000000" w:themeColor="text1"/>
          </w:rPr>
          <w:fldChar w:fldCharType="begin"/>
        </w:r>
        <w:r w:rsidR="00950097" w:rsidRPr="009819CE">
          <w:rPr>
            <w:rFonts w:cstheme="minorBidi"/>
            <w:color w:val="000000" w:themeColor="text1"/>
          </w:rPr>
          <w:instrText xml:space="preserve"> ADDIN EN.CITE &lt;EndNote&gt;&lt;Cite AuthorYear="1"&gt;&lt;Author&gt;Duan&lt;/Author&gt;&lt;Year&gt;2021&lt;/Year&gt;&lt;RecNum&gt;1936&lt;/RecNum&gt;&lt;DisplayText&gt;Duan et al. (2021)&lt;/DisplayText&gt;&lt;record&gt;&lt;rec-number&gt;1936&lt;/rec-number&gt;&lt;foreign-keys&gt;&lt;key app="EN" db-id="sd9wrx9fj09rx3erprsx999o0r5aprvp2zse" timestamp="1720606564" guid="52a134b6-0d05-4990-8bbc-2d37c75b3fe3"&gt;1936&lt;/key&gt;&lt;/foreign-keys&gt;&lt;ref-type name="Journal Article"&gt;17&lt;/ref-type&gt;&lt;contributors&gt;&lt;authors&gt;&lt;author&gt;Duan, Yafei&lt;/author&gt;&lt;author&gt;Lu, Zijun&lt;/author&gt;&lt;author&gt;Zeng, Shimin&lt;/author&gt;&lt;author&gt;Dan, Xueming&lt;/author&gt;&lt;author&gt;Mo, Zequan&lt;/author&gt;&lt;author&gt;Zhang, Jiasong&lt;/author&gt;&lt;author&gt;Li, Yanwei&lt;/author&gt;&lt;/authors&gt;&lt;/contributors&gt;&lt;titles&gt;&lt;title&gt;&lt;style face="normal" font="default" size="100%"&gt;Integration of intestinal microbiota and transcriptomic and metabolomic responses reveals the toxic responses of &lt;/style&gt;&lt;style face="italic" font="default" size="100%"&gt;Litopenaeus vannamei&lt;/style&gt;&lt;style face="normal" font="default" size="100%"&gt; to microcystin-LR&lt;/style&gt;&lt;/title&gt;&lt;secondary-title&gt;Ecotoxicology and Environmental Safety&lt;/secondary-title&gt;&lt;/titles&gt;&lt;periodical&gt;&lt;full-title&gt;Ecotoxicology and Environmental Safety&lt;/full-title&gt;&lt;/periodical&gt;&lt;pages&gt;113030&lt;/pages&gt;&lt;volume&gt;228&lt;/volume&gt;&lt;keywords&gt;&lt;keyword&gt;Shrimp&lt;/keyword&gt;&lt;keyword&gt;Microcystin-LR&lt;/keyword&gt;&lt;keyword&gt;Intestinal microbial&lt;/keyword&gt;&lt;keyword&gt;Transcriptome&lt;/keyword&gt;&lt;keyword&gt;Metabolome&lt;/keyword&gt;&lt;/keywords&gt;&lt;dates&gt;&lt;year&gt;2021&lt;/year&gt;&lt;pub-dates&gt;&lt;date&gt;2021/12/25/&lt;/date&gt;&lt;/pub-dates&gt;&lt;/dates&gt;&lt;isbn&gt;0147-6513&lt;/isbn&gt;&lt;urls&gt;&lt;related-urls&gt;&lt;url&gt;https://www.sciencedirect.com/science/article/pii/S0147651321011428&lt;/url&gt;&lt;url&gt;https://www.sciencedirect.com/science/article/pii/S0147651321011428?via%3Dihub&lt;/url&gt;&lt;/related-urls&gt;&lt;/urls&gt;&lt;electronic-resource-num&gt;https://doi.org/10.1016/j.ecoenv.2021.113030&lt;/electronic-resource-num&gt;&lt;/record&gt;&lt;/Cite&gt;&lt;/EndNote&gt;</w:instrText>
        </w:r>
        <w:r w:rsidR="00950097" w:rsidRPr="009819CE">
          <w:rPr>
            <w:rFonts w:cstheme="minorBidi"/>
            <w:color w:val="000000" w:themeColor="text1"/>
          </w:rPr>
          <w:fldChar w:fldCharType="separate"/>
        </w:r>
        <w:r w:rsidR="00950097" w:rsidRPr="007268F5">
          <w:rPr>
            <w:rFonts w:cstheme="minorBidi"/>
            <w:color w:val="000000" w:themeColor="text1"/>
          </w:rPr>
          <w:t>Duan et al. (2021)</w:t>
        </w:r>
        <w:r w:rsidR="00950097" w:rsidRPr="009819CE">
          <w:rPr>
            <w:rFonts w:cstheme="minorBidi"/>
            <w:color w:val="000000" w:themeColor="text1"/>
          </w:rPr>
          <w:fldChar w:fldCharType="end"/>
        </w:r>
      </w:hyperlink>
      <w:r w:rsidRPr="009819CE">
        <w:rPr>
          <w:rFonts w:cstheme="minorBidi"/>
          <w:color w:val="000000" w:themeColor="text1"/>
        </w:rPr>
        <w:t xml:space="preserve"> </w:t>
      </w:r>
      <w:r w:rsidRPr="009819CE">
        <w:rPr>
          <w:rFonts w:eastAsia="Calibri" w:cstheme="minorBidi"/>
        </w:rPr>
        <w:t xml:space="preserve">documented the prevalence of </w:t>
      </w:r>
      <w:r w:rsidRPr="009819CE">
        <w:rPr>
          <w:rFonts w:eastAsia="Calibri" w:cstheme="minorBidi"/>
          <w:i/>
          <w:iCs/>
        </w:rPr>
        <w:t>Candidatus Bacilloplasma</w:t>
      </w:r>
      <w:r w:rsidRPr="009819CE">
        <w:rPr>
          <w:rFonts w:eastAsia="Calibri" w:cstheme="minorBidi"/>
        </w:rPr>
        <w:t xml:space="preserve"> in the </w:t>
      </w:r>
      <w:r w:rsidR="00D94DC1" w:rsidRPr="00FA7D47">
        <w:rPr>
          <w:rFonts w:eastAsia="Calibri" w:cstheme="minorBidi"/>
        </w:rPr>
        <w:t>“healthy”</w:t>
      </w:r>
      <w:r w:rsidRPr="009819CE">
        <w:rPr>
          <w:rFonts w:eastAsia="Calibri" w:cstheme="minorBidi"/>
        </w:rPr>
        <w:t xml:space="preserve"> intestine of </w:t>
      </w:r>
      <w:r w:rsidR="00C33436" w:rsidRPr="009819CE">
        <w:rPr>
          <w:rFonts w:cstheme="minorBidi"/>
        </w:rPr>
        <w:t>whiteleg</w:t>
      </w:r>
      <w:r w:rsidR="009C01B9" w:rsidRPr="009819CE">
        <w:rPr>
          <w:rFonts w:cstheme="minorBidi"/>
        </w:rPr>
        <w:t xml:space="preserve"> shrimp</w:t>
      </w:r>
      <w:r w:rsidR="009C01B9" w:rsidRPr="009819CE">
        <w:rPr>
          <w:rFonts w:cstheme="minorBidi"/>
          <w:i/>
          <w:iCs/>
        </w:rPr>
        <w:t xml:space="preserve"> </w:t>
      </w:r>
      <w:r w:rsidR="009C01B9" w:rsidRPr="009819CE">
        <w:rPr>
          <w:rFonts w:cstheme="minorBidi"/>
        </w:rPr>
        <w:t>(</w:t>
      </w:r>
      <w:r w:rsidR="009C01B9" w:rsidRPr="009819CE">
        <w:rPr>
          <w:rFonts w:cstheme="minorBidi"/>
          <w:i/>
          <w:iCs/>
        </w:rPr>
        <w:t>Litopenaeus vannamei</w:t>
      </w:r>
      <w:r w:rsidR="009C01B9" w:rsidRPr="009819CE">
        <w:rPr>
          <w:rFonts w:cstheme="minorBidi"/>
        </w:rPr>
        <w:t>)</w:t>
      </w:r>
      <w:r w:rsidRPr="009819CE">
        <w:rPr>
          <w:rFonts w:eastAsia="Calibri" w:cstheme="minorBidi"/>
        </w:rPr>
        <w:t xml:space="preserve">, highlighting its positive correlation with various pattern recognition receptors and thus emphasizing its potential influence on host immune responses. In contrast, an increased presence of </w:t>
      </w:r>
      <w:r w:rsidRPr="009819CE">
        <w:rPr>
          <w:rFonts w:eastAsia="Calibri" w:cstheme="minorBidi"/>
          <w:i/>
          <w:iCs/>
        </w:rPr>
        <w:t>Candidatus Bacilloplasma</w:t>
      </w:r>
      <w:r w:rsidRPr="009819CE">
        <w:rPr>
          <w:rFonts w:eastAsia="Calibri" w:cstheme="minorBidi"/>
        </w:rPr>
        <w:t xml:space="preserve"> has been observed in infected individuals with White Faeces Syndrome (WFS), which has been associated with a reduced richness/diversity </w:t>
      </w:r>
      <w:r w:rsidRPr="009819CE">
        <w:rPr>
          <w:rFonts w:eastAsia="Calibri" w:cstheme="minorBidi"/>
        </w:rPr>
        <w:fldChar w:fldCharType="begin">
          <w:fldData xml:space="preserve">PEVuZE5vdGU+PENpdGU+PEF1dGhvcj5IdWFuZzwvQXV0aG9yPjxZZWFyPjIwMjA8L1llYXI+PFJl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</w:fldData>
        </w:fldChar>
      </w:r>
      <w:r w:rsidR="00ED1A9E" w:rsidRPr="009819CE">
        <w:rPr>
          <w:rFonts w:eastAsia="Calibri" w:cstheme="minorBidi"/>
        </w:rPr>
        <w:instrText xml:space="preserve"> ADDIN EN.CITE </w:instrText>
      </w:r>
      <w:r w:rsidR="00ED1A9E" w:rsidRPr="009819CE">
        <w:rPr>
          <w:rFonts w:eastAsia="Calibri" w:cstheme="minorBidi"/>
        </w:rPr>
        <w:fldChar w:fldCharType="begin">
          <w:fldData xml:space="preserve">PEVuZE5vdGU+PENpdGU+PEF1dGhvcj5IdWFuZzwvQXV0aG9yPjxZZWFyPjIwMjA8L1llYXI+PFJl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</w:fldData>
        </w:fldChar>
      </w:r>
      <w:r w:rsidR="00ED1A9E" w:rsidRPr="009819CE">
        <w:rPr>
          <w:rFonts w:eastAsia="Calibri" w:cstheme="minorBidi"/>
        </w:rPr>
        <w:instrText xml:space="preserve"> ADDIN EN.CITE.DATA </w:instrText>
      </w:r>
      <w:r w:rsidR="00ED1A9E" w:rsidRPr="009819CE">
        <w:rPr>
          <w:rFonts w:eastAsia="Calibri" w:cstheme="minorBidi"/>
        </w:rPr>
      </w:r>
      <w:r w:rsidR="00ED1A9E" w:rsidRPr="009819CE">
        <w:rPr>
          <w:rFonts w:eastAsia="Calibri" w:cstheme="minorBidi"/>
        </w:rPr>
        <w:fldChar w:fldCharType="end"/>
      </w:r>
      <w:r w:rsidRPr="009819CE">
        <w:rPr>
          <w:rFonts w:eastAsia="Calibri" w:cstheme="minorBidi"/>
        </w:rPr>
      </w:r>
      <w:r w:rsidRPr="009819CE">
        <w:rPr>
          <w:rFonts w:eastAsia="Calibri" w:cstheme="minorBidi"/>
        </w:rPr>
        <w:fldChar w:fldCharType="separate"/>
      </w:r>
      <w:r w:rsidR="00D50EFF" w:rsidRPr="007268F5">
        <w:rPr>
          <w:rFonts w:eastAsia="Calibri" w:cstheme="minorBidi"/>
        </w:rPr>
        <w:t>(</w:t>
      </w:r>
      <w:hyperlink w:anchor="_ENREF_139" w:tooltip="Hou, 2018 #608" w:history="1">
        <w:r w:rsidR="00950097" w:rsidRPr="007268F5">
          <w:rPr>
            <w:rFonts w:eastAsia="Calibri" w:cstheme="minorBidi"/>
          </w:rPr>
          <w:t>Hou et al., 2018</w:t>
        </w:r>
      </w:hyperlink>
      <w:r w:rsidR="00D50EFF" w:rsidRPr="007268F5">
        <w:rPr>
          <w:rFonts w:eastAsia="Calibri" w:cstheme="minorBidi"/>
        </w:rPr>
        <w:t xml:space="preserve">; </w:t>
      </w:r>
      <w:hyperlink w:anchor="_ENREF_148" w:tooltip="Huang, 2020 #812" w:history="1">
        <w:r w:rsidR="00950097" w:rsidRPr="007268F5">
          <w:rPr>
            <w:rFonts w:eastAsia="Calibri" w:cstheme="minorBidi"/>
          </w:rPr>
          <w:t>Huang et al., 2020c</w:t>
        </w:r>
      </w:hyperlink>
      <w:r w:rsidR="00D50EFF" w:rsidRPr="007268F5">
        <w:rPr>
          <w:rFonts w:eastAsia="Calibri" w:cstheme="minorBidi"/>
        </w:rPr>
        <w:t>)</w:t>
      </w:r>
      <w:r w:rsidRPr="009819CE">
        <w:rPr>
          <w:rFonts w:eastAsia="Calibri" w:cstheme="minorBidi"/>
        </w:rPr>
        <w:fldChar w:fldCharType="end"/>
      </w:r>
      <w:r w:rsidRPr="009819CE">
        <w:rPr>
          <w:rFonts w:eastAsia="Calibri" w:cstheme="minorBidi"/>
        </w:rPr>
        <w:t xml:space="preserve">. Moreover, </w:t>
      </w:r>
      <w:r w:rsidRPr="009819CE">
        <w:rPr>
          <w:rFonts w:eastAsia="Calibri" w:cstheme="minorBidi"/>
          <w:i/>
          <w:iCs/>
        </w:rPr>
        <w:t>Candidatus Bacilloplasma</w:t>
      </w:r>
      <w:r w:rsidRPr="009819CE">
        <w:rPr>
          <w:rFonts w:eastAsia="Calibri" w:cstheme="minorBidi"/>
        </w:rPr>
        <w:t xml:space="preserve"> has the ability to interact with pathogenic </w:t>
      </w:r>
      <w:r w:rsidRPr="009819CE">
        <w:rPr>
          <w:rFonts w:eastAsia="Calibri" w:cstheme="minorBidi"/>
          <w:i/>
          <w:iCs/>
        </w:rPr>
        <w:t>Vibrio</w:t>
      </w:r>
      <w:r w:rsidRPr="009819CE">
        <w:rPr>
          <w:rFonts w:eastAsia="Calibri" w:cstheme="minorBidi"/>
        </w:rPr>
        <w:t xml:space="preserve"> strains, potentially leading to either an enhancing or inhibitory effect on the dynamics of infection </w:t>
      </w:r>
      <w:r w:rsidRPr="009819CE">
        <w:rPr>
          <w:rFonts w:eastAsia="Calibri" w:cstheme="minorBidi"/>
        </w:rPr>
        <w:fldChar w:fldCharType="begin"/>
      </w:r>
      <w:r w:rsidR="00A8698B" w:rsidRPr="009819CE">
        <w:rPr>
          <w:rFonts w:eastAsia="Calibri" w:cstheme="minorBidi"/>
        </w:rPr>
        <w:instrText xml:space="preserve"> ADDIN EN.CITE &lt;EndNote&gt;&lt;Cite&gt;&lt;Author&gt;Chen&lt;/Author&gt;&lt;Year&gt;2017&lt;/Year&gt;&lt;RecNum&gt;190&lt;/RecNum&gt;&lt;DisplayText&gt;(Chen et al., 2017b)&lt;/DisplayText&gt;&lt;record&gt;&lt;rec-number&gt;190&lt;/rec-number&gt;&lt;foreign-keys&gt;&lt;key app="EN" db-id="sd9wrx9fj09rx3erprsx999o0r5aprvp2zse" timestamp="1687855901" guid="cf5ea843-0a2b-4986-b826-e699a0e16c0a"&gt;190&lt;/key&gt;&lt;/foreign-keys&gt;&lt;ref-type name="Journal Article"&gt;17&lt;/ref-type&gt;&lt;contributors&gt;&lt;authors&gt;&lt;author&gt;Chen, Wei-Yu&lt;/author&gt;&lt;author&gt;Ng, Tze Hann&lt;/author&gt;&lt;author&gt;Wu, Jer-Horng&lt;/author&gt;&lt;author&gt;Chen, Jiung-Wen&lt;/author&gt;&lt;author&gt;Wang, Han-Ching&lt;/author&gt;&lt;/authors&gt;&lt;/contributors&gt;&lt;titles&gt;&lt;title&gt;Microbiome dynamics in a shrimp grow-out pond with possible outbreak of Acute Hepatopancreatic Necrosis Disease&lt;/title&gt;&lt;secondary-title&gt;Scientific Reports&lt;/secondary-title&gt;&lt;/titles&gt;&lt;periodical&gt;&lt;full-title&gt;Scientific Reports&lt;/full-title&gt;&lt;/periodical&gt;&lt;pages&gt;9395-9395&lt;/pages&gt;&lt;volume&gt;7&lt;/volume&gt;&lt;number&gt;1&lt;/number&gt;&lt;dates&gt;&lt;year&gt;2017&lt;/year&gt;&lt;pub-dates&gt;&lt;date&gt;2017/12//&lt;/date&gt;&lt;/pub-dates&gt;&lt;/dates&gt;&lt;publisher&gt;Springer US&lt;/publisher&gt;&lt;urls&gt;&lt;related-urls&gt;&lt;url&gt;http://dx.doi.org/10.1038/s41598-017-09923-6&lt;/url&gt;&lt;url&gt;http://www.nature.com/articles/s41598-017-09923-6&lt;/url&gt;&lt;/related-urls&gt;&lt;/urls&gt;&lt;electronic-resource-num&gt;10.1038/s41598-017-09923-6&lt;/electronic-resource-num&gt;&lt;/record&gt;&lt;/Cite&gt;&lt;/EndNote&gt;</w:instrText>
      </w:r>
      <w:r w:rsidRPr="009819CE">
        <w:rPr>
          <w:rFonts w:eastAsia="Calibri" w:cstheme="minorBidi"/>
        </w:rPr>
        <w:fldChar w:fldCharType="separate"/>
      </w:r>
      <w:r w:rsidR="00A8698B" w:rsidRPr="009819CE">
        <w:rPr>
          <w:rFonts w:eastAsia="Calibri" w:cstheme="minorBidi"/>
        </w:rPr>
        <w:t>(</w:t>
      </w:r>
      <w:hyperlink w:anchor="_ENREF_49" w:tooltip="Chen, 2017 #190" w:history="1">
        <w:r w:rsidR="00950097" w:rsidRPr="009819CE">
          <w:rPr>
            <w:rFonts w:eastAsia="Calibri" w:cstheme="minorBidi"/>
          </w:rPr>
          <w:t>Chen et al., 2017b</w:t>
        </w:r>
      </w:hyperlink>
      <w:r w:rsidR="00A8698B" w:rsidRPr="009819CE">
        <w:rPr>
          <w:rFonts w:eastAsia="Calibri" w:cstheme="minorBidi"/>
        </w:rPr>
        <w:t>)</w:t>
      </w:r>
      <w:r w:rsidRPr="009819CE">
        <w:rPr>
          <w:rFonts w:eastAsia="Calibri" w:cstheme="minorBidi"/>
        </w:rPr>
        <w:fldChar w:fldCharType="end"/>
      </w:r>
      <w:r w:rsidRPr="009819CE">
        <w:rPr>
          <w:rFonts w:eastAsia="Calibri" w:cstheme="minorBidi"/>
        </w:rPr>
        <w:t xml:space="preserve">. </w:t>
      </w:r>
    </w:p>
    <w:p w14:paraId="1DAD0AF6" w14:textId="2298636C" w:rsidR="0005108A" w:rsidRPr="009819CE" w:rsidRDefault="0055220B" w:rsidP="0055220B">
      <w:pPr>
        <w:rPr>
          <w:rFonts w:cstheme="minorBidi"/>
          <w:color w:val="000000" w:themeColor="text1"/>
        </w:rPr>
      </w:pPr>
      <w:r w:rsidRPr="009819CE">
        <w:rPr>
          <w:rFonts w:cstheme="minorBidi"/>
          <w:i/>
          <w:iCs/>
          <w:color w:val="000000" w:themeColor="text1"/>
        </w:rPr>
        <w:t>Vibrio</w:t>
      </w:r>
      <w:r w:rsidRPr="009819CE">
        <w:rPr>
          <w:rFonts w:cstheme="minorBidi"/>
          <w:color w:val="000000" w:themeColor="text1"/>
        </w:rPr>
        <w:t xml:space="preserve"> and </w:t>
      </w:r>
      <w:r w:rsidRPr="009819CE">
        <w:rPr>
          <w:rFonts w:cstheme="minorBidi"/>
          <w:i/>
          <w:iCs/>
          <w:color w:val="000000" w:themeColor="text1"/>
        </w:rPr>
        <w:t>Photobacterium</w:t>
      </w:r>
      <w:r w:rsidRPr="009819CE">
        <w:rPr>
          <w:rFonts w:cstheme="minorBidi"/>
          <w:color w:val="000000" w:themeColor="text1"/>
        </w:rPr>
        <w:t xml:space="preserve">, both belonging to the </w:t>
      </w:r>
      <w:r w:rsidRPr="009819CE">
        <w:rPr>
          <w:rFonts w:cstheme="minorBidi"/>
          <w:i/>
          <w:iCs/>
          <w:color w:val="000000" w:themeColor="text1"/>
        </w:rPr>
        <w:t>Proteobacteria</w:t>
      </w:r>
      <w:r w:rsidRPr="009819CE">
        <w:rPr>
          <w:rFonts w:cstheme="minorBidi"/>
          <w:color w:val="000000" w:themeColor="text1"/>
        </w:rPr>
        <w:t xml:space="preserve"> phylum, are frequently encountered within the core gut community of aquatic invertebrates, whether </w:t>
      </w:r>
      <w:r w:rsidR="00D94DC1" w:rsidRPr="00FA7D47">
        <w:rPr>
          <w:rFonts w:cstheme="minorBidi"/>
          <w:color w:val="000000" w:themeColor="text1"/>
        </w:rPr>
        <w:t>“healthy”</w:t>
      </w:r>
      <w:r w:rsidRPr="009819CE">
        <w:rPr>
          <w:rFonts w:cstheme="minorBidi"/>
          <w:color w:val="000000" w:themeColor="text1"/>
        </w:rPr>
        <w:t xml:space="preserve"> or </w:t>
      </w:r>
      <w:r w:rsidR="00A61E0F" w:rsidRPr="009819CE">
        <w:rPr>
          <w:rFonts w:cstheme="minorBidi"/>
          <w:color w:val="000000" w:themeColor="text1"/>
        </w:rPr>
        <w:t>infected</w:t>
      </w:r>
      <w:r w:rsidRPr="009819CE">
        <w:rPr>
          <w:rFonts w:cstheme="minorBidi"/>
          <w:color w:val="000000" w:themeColor="text1"/>
        </w:rPr>
        <w:t xml:space="preserve"> with disease. </w:t>
      </w:r>
      <w:r w:rsidR="005865C9" w:rsidRPr="009819CE">
        <w:rPr>
          <w:rFonts w:cstheme="minorBidi"/>
          <w:color w:val="000000" w:themeColor="text1"/>
        </w:rPr>
        <w:t xml:space="preserve">Some species within these genera are known as opportunistic pathogens, making them significant threats in aquaculture </w:t>
      </w:r>
      <w:r w:rsidRPr="009819CE">
        <w:rPr>
          <w:rFonts w:cstheme="minorBidi"/>
          <w:color w:val="000000"/>
        </w:rPr>
        <w:fldChar w:fldCharType="begin">
          <w:fldData xml:space="preserve">PEVuZE5vdGU+PENpdGU+PEF1dGhvcj5SdW5ncmFzc2FtZWU8L0F1dGhvcj48WWVhcj4yMDE0PC9Z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</w:fldData>
        </w:fldChar>
      </w:r>
      <w:r w:rsidR="00EE7FB9">
        <w:rPr>
          <w:rFonts w:cstheme="minorBidi"/>
          <w:color w:val="000000"/>
        </w:rPr>
        <w:instrText xml:space="preserve"> ADDIN EN.CITE </w:instrText>
      </w:r>
      <w:r w:rsidR="00EE7FB9">
        <w:rPr>
          <w:rFonts w:cstheme="minorBidi"/>
          <w:color w:val="000000"/>
        </w:rPr>
        <w:fldChar w:fldCharType="begin">
          <w:fldData xml:space="preserve">PEVuZE5vdGU+PENpdGU+PEF1dGhvcj5SdW5ncmFzc2FtZWU8L0F1dGhvcj48WWVhcj4yMDE0PC9Z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</w:fldData>
        </w:fldChar>
      </w:r>
      <w:r w:rsidR="00EE7FB9">
        <w:rPr>
          <w:rFonts w:cstheme="minorBidi"/>
          <w:color w:val="000000"/>
        </w:rPr>
        <w:instrText xml:space="preserve"> ADDIN EN.CITE.DATA </w:instrText>
      </w:r>
      <w:r w:rsidR="00EE7FB9">
        <w:rPr>
          <w:rFonts w:cstheme="minorBidi"/>
          <w:color w:val="000000"/>
        </w:rPr>
      </w:r>
      <w:r w:rsidR="00EE7FB9">
        <w:rPr>
          <w:rFonts w:cstheme="minorBidi"/>
          <w:color w:val="000000"/>
        </w:rPr>
        <w:fldChar w:fldCharType="end"/>
      </w:r>
      <w:r w:rsidRPr="009819CE">
        <w:rPr>
          <w:rFonts w:cstheme="minorBidi"/>
          <w:color w:val="000000"/>
        </w:rPr>
      </w:r>
      <w:r w:rsidRPr="009819CE">
        <w:rPr>
          <w:rFonts w:cstheme="minorBidi"/>
          <w:color w:val="000000"/>
        </w:rPr>
        <w:fldChar w:fldCharType="separate"/>
      </w:r>
      <w:r w:rsidR="00A81087" w:rsidRPr="00EE7FB9">
        <w:rPr>
          <w:rFonts w:cstheme="minorBidi"/>
          <w:noProof/>
          <w:color w:val="000000"/>
        </w:rPr>
        <w:t>(</w:t>
      </w:r>
      <w:hyperlink w:anchor="_ENREF_66" w:tooltip="de Souza Valente, 2021 #1933" w:history="1">
        <w:r w:rsidR="00950097" w:rsidRPr="00EE7FB9">
          <w:rPr>
            <w:rFonts w:cstheme="minorBidi"/>
            <w:noProof/>
            <w:color w:val="000000"/>
          </w:rPr>
          <w:t>de Souza Valente and Wan, 2021</w:t>
        </w:r>
      </w:hyperlink>
      <w:r w:rsidR="00A81087" w:rsidRPr="00EE7FB9">
        <w:rPr>
          <w:rFonts w:cstheme="minorBidi"/>
          <w:noProof/>
          <w:color w:val="000000"/>
        </w:rPr>
        <w:t xml:space="preserve">; </w:t>
      </w:r>
      <w:hyperlink w:anchor="_ENREF_263" w:tooltip="Rungrassamee, 2014 #644" w:history="1">
        <w:r w:rsidR="00950097" w:rsidRPr="00EE7FB9">
          <w:rPr>
            <w:rFonts w:cstheme="minorBidi"/>
            <w:noProof/>
            <w:color w:val="000000"/>
          </w:rPr>
          <w:t>Rungrassamee et al., 2014</w:t>
        </w:r>
      </w:hyperlink>
      <w:r w:rsidR="00A81087" w:rsidRPr="00EE7FB9">
        <w:rPr>
          <w:rFonts w:cstheme="minorBidi"/>
          <w:noProof/>
          <w:color w:val="000000"/>
        </w:rPr>
        <w:t xml:space="preserve">; </w:t>
      </w:r>
      <w:hyperlink w:anchor="_ENREF_340" w:tooltip="Vaseeharan, 2007 #1826" w:history="1">
        <w:r w:rsidR="00950097" w:rsidRPr="00EE7FB9">
          <w:rPr>
            <w:rFonts w:cstheme="minorBidi"/>
            <w:noProof/>
            <w:color w:val="000000"/>
          </w:rPr>
          <w:t>Vaseeharan et al., 2007</w:t>
        </w:r>
      </w:hyperlink>
      <w:r w:rsidR="00A81087" w:rsidRPr="00EE7FB9">
        <w:rPr>
          <w:rFonts w:cstheme="minorBidi"/>
          <w:noProof/>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i/>
          <w:iCs/>
          <w:color w:val="000000" w:themeColor="text1"/>
        </w:rPr>
        <w:t>Vibrio</w:t>
      </w:r>
      <w:r w:rsidRPr="009819CE">
        <w:rPr>
          <w:rFonts w:cstheme="minorBidi"/>
          <w:color w:val="000000" w:themeColor="text1"/>
        </w:rPr>
        <w:t xml:space="preserve">, known for causing </w:t>
      </w:r>
      <w:r w:rsidRPr="007268F5">
        <w:rPr>
          <w:rFonts w:cstheme="minorBidi"/>
          <w:color w:val="000000" w:themeColor="text1"/>
        </w:rPr>
        <w:t>Vibriosis</w:t>
      </w:r>
      <w:r w:rsidRPr="009819CE">
        <w:rPr>
          <w:rFonts w:cstheme="minorBidi"/>
          <w:color w:val="000000" w:themeColor="text1"/>
        </w:rPr>
        <w:t xml:space="preserve">, often produce chitinolytic enzymes </w:t>
      </w:r>
      <w:r w:rsidRPr="009819CE">
        <w:rPr>
          <w:rFonts w:cstheme="minorBidi"/>
          <w:color w:val="000000"/>
        </w:rPr>
        <w:fldChar w:fldCharType="begin"/>
      </w:r>
      <w:r w:rsidR="00D50EFF" w:rsidRPr="009819CE">
        <w:rPr>
          <w:rFonts w:cstheme="minorBidi"/>
          <w:color w:val="000000"/>
        </w:rPr>
        <w:instrText xml:space="preserve"> ADDIN EN.CITE &lt;EndNote&gt;&lt;Cite&gt;&lt;Author&gt;Sugita&lt;/Author&gt;&lt;Year&gt;2006&lt;/Year&gt;&lt;RecNum&gt;1859&lt;/RecNum&gt;&lt;DisplayText&gt;(Sugita and Ito, 2006)&lt;/DisplayText&gt;&lt;record&gt;&lt;rec-number&gt;1859&lt;/rec-number&gt;&lt;foreign-keys&gt;&lt;key app="EN" db-id="sd9wrx9fj09rx3erprsx999o0r5aprvp2zse" timestamp="1691656398" guid="c4e78681-7145-4709-b558-25a9e54eed9d"&gt;1859&lt;/key&gt;&lt;/foreign-keys&gt;&lt;ref-type name="Journal Article"&gt;17&lt;/ref-type&gt;&lt;contributors&gt;&lt;authors&gt;&lt;author&gt;Sugita, H.&lt;/author&gt;&lt;author&gt;Ito, Y.&lt;/author&gt;&lt;/authors&gt;&lt;/contributors&gt;&lt;titles&gt;&lt;title&gt;&lt;style face="normal" font="default" size="100%"&gt;Identification of intestinal bacteria from Japanese flounder (&lt;/style&gt;&lt;style face="italic" font="default" size="100%"&gt;Paralichthys olivaceus&lt;/style&gt;&lt;style face="normal" font="default" size="100%"&gt;) and their ability to digest chitin&lt;/style&gt;&lt;/title&gt;&lt;secondary-title&gt;Letters in Applied Microbiology&lt;/secondary-title&gt;&lt;/titles&gt;&lt;periodical&gt;&lt;full-title&gt;Letters in Applied Microbiology&lt;/full-title&gt;&lt;/periodical&gt;&lt;pages&gt;336-342&lt;/pages&gt;&lt;volume&gt;43&lt;/volume&gt;&lt;number&gt;3&lt;/number&gt;&lt;dates&gt;&lt;year&gt;2006&lt;/year&gt;&lt;/dates&gt;&lt;isbn&gt;0266-8254&lt;/isbn&gt;&lt;urls&gt;&lt;related-urls&gt;&lt;url&gt;https://doi.org/10.1111/j.1472-765X.2006.01943.x&lt;/url&gt;&lt;/related-urls&gt;&lt;/urls&gt;&lt;electronic-resource-num&gt;10.1111/j.1472-765X.2006.01943.x&lt;/electronic-resource-num&gt;&lt;access-date&gt;8/10/2023&lt;/access-date&gt;&lt;/record&gt;&lt;/Cite&gt;&lt;/EndNote&gt;</w:instrText>
      </w:r>
      <w:r w:rsidRPr="009819CE">
        <w:rPr>
          <w:rFonts w:cstheme="minorBidi"/>
          <w:color w:val="000000"/>
        </w:rPr>
        <w:fldChar w:fldCharType="separate"/>
      </w:r>
      <w:r w:rsidR="00D50EFF" w:rsidRPr="009819CE">
        <w:rPr>
          <w:rFonts w:cstheme="minorBidi"/>
          <w:color w:val="000000"/>
        </w:rPr>
        <w:t>(</w:t>
      </w:r>
      <w:hyperlink w:anchor="_ENREF_314" w:tooltip="Sugita, 2006 #1859" w:history="1">
        <w:r w:rsidR="00950097" w:rsidRPr="009819CE">
          <w:rPr>
            <w:rFonts w:cstheme="minorBidi"/>
            <w:color w:val="000000"/>
          </w:rPr>
          <w:t>Sugita and Ito, 2006</w:t>
        </w:r>
      </w:hyperlink>
      <w:r w:rsidR="00D50EFF" w:rsidRPr="009819CE">
        <w:rPr>
          <w:rFonts w:cstheme="minorBidi"/>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color w:val="000000" w:themeColor="text1"/>
        </w:rPr>
        <w:t xml:space="preserve">which could account for their prevalence in chitin-rich environments such as the gut of crustaceans, where they find a suitable source of nourishment </w:t>
      </w:r>
      <w:r w:rsidRPr="009819CE">
        <w:rPr>
          <w:rFonts w:cstheme="minorBidi"/>
          <w:color w:val="000000"/>
        </w:rPr>
        <w:fldChar w:fldCharType="begin"/>
      </w:r>
      <w:r w:rsidR="00D50EFF" w:rsidRPr="009819CE">
        <w:rPr>
          <w:rFonts w:cstheme="minorBidi"/>
          <w:color w:val="000000"/>
        </w:rPr>
        <w:instrText xml:space="preserve"> ADDIN EN.CITE &lt;EndNote&gt;&lt;Cite&gt;&lt;Author&gt;Sugita&lt;/Author&gt;&lt;Year&gt;2006&lt;/Year&gt;&lt;RecNum&gt;1859&lt;/RecNum&gt;&lt;DisplayText&gt;(Sugita and Ito, 2006)&lt;/DisplayText&gt;&lt;record&gt;&lt;rec-number&gt;1859&lt;/rec-number&gt;&lt;foreign-keys&gt;&lt;key app="EN" db-id="sd9wrx9fj09rx3erprsx999o0r5aprvp2zse" timestamp="1691656398" guid="c4e78681-7145-4709-b558-25a9e54eed9d"&gt;1859&lt;/key&gt;&lt;/foreign-keys&gt;&lt;ref-type name="Journal Article"&gt;17&lt;/ref-type&gt;&lt;contributors&gt;&lt;authors&gt;&lt;author&gt;Sugita, H.&lt;/author&gt;&lt;author&gt;Ito, Y.&lt;/author&gt;&lt;/authors&gt;&lt;/contributors&gt;&lt;titles&gt;&lt;title&gt;&lt;style face="normal" font="default" size="100%"&gt;Identification of intestinal bacteria from Japanese flounder (&lt;/style&gt;&lt;style face="italic" font="default" size="100%"&gt;Paralichthys olivaceus&lt;/style&gt;&lt;style face="normal" font="default" size="100%"&gt;) and their ability to digest chitin&lt;/style&gt;&lt;/title&gt;&lt;secondary-title&gt;Letters in Applied Microbiology&lt;/secondary-title&gt;&lt;/titles&gt;&lt;periodical&gt;&lt;full-title&gt;Letters in Applied Microbiology&lt;/full-title&gt;&lt;/periodical&gt;&lt;pages&gt;336-342&lt;/pages&gt;&lt;volume&gt;43&lt;/volume&gt;&lt;number&gt;3&lt;/number&gt;&lt;dates&gt;&lt;year&gt;2006&lt;/year&gt;&lt;/dates&gt;&lt;isbn&gt;0266-8254&lt;/isbn&gt;&lt;urls&gt;&lt;related-urls&gt;&lt;url&gt;https://doi.org/10.1111/j.1472-765X.2006.01943.x&lt;/url&gt;&lt;/related-urls&gt;&lt;/urls&gt;&lt;electronic-resource-num&gt;10.1111/j.1472-765X.2006.01943.x&lt;/electronic-resource-num&gt;&lt;access-date&gt;8/10/2023&lt;/access-date&gt;&lt;/record&gt;&lt;/Cite&gt;&lt;/EndNote&gt;</w:instrText>
      </w:r>
      <w:r w:rsidRPr="009819CE">
        <w:rPr>
          <w:rFonts w:cstheme="minorBidi"/>
          <w:color w:val="000000"/>
        </w:rPr>
        <w:fldChar w:fldCharType="separate"/>
      </w:r>
      <w:r w:rsidR="00D50EFF" w:rsidRPr="009819CE">
        <w:rPr>
          <w:rFonts w:cstheme="minorBidi"/>
          <w:color w:val="000000"/>
        </w:rPr>
        <w:t>(</w:t>
      </w:r>
      <w:hyperlink w:anchor="_ENREF_314" w:tooltip="Sugita, 2006 #1859" w:history="1">
        <w:r w:rsidR="00950097" w:rsidRPr="009819CE">
          <w:rPr>
            <w:rFonts w:cstheme="minorBidi"/>
            <w:color w:val="000000"/>
          </w:rPr>
          <w:t>Sugita and Ito, 2006</w:t>
        </w:r>
      </w:hyperlink>
      <w:r w:rsidR="00D50EFF" w:rsidRPr="009819CE">
        <w:rPr>
          <w:rFonts w:cstheme="minorBidi"/>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color w:val="000000" w:themeColor="text1"/>
        </w:rPr>
        <w:t xml:space="preserve">However, even seemingly harmless </w:t>
      </w:r>
      <w:r w:rsidRPr="007268F5">
        <w:rPr>
          <w:rFonts w:cstheme="minorBidi"/>
          <w:color w:val="000000" w:themeColor="text1"/>
        </w:rPr>
        <w:t>Vibrio</w:t>
      </w:r>
      <w:r w:rsidRPr="009819CE">
        <w:rPr>
          <w:rFonts w:cstheme="minorBidi"/>
          <w:color w:val="000000" w:themeColor="text1"/>
        </w:rPr>
        <w:t xml:space="preserve"> strains have demonstrated virulent behaviour in immunocompromised</w:t>
      </w:r>
      <w:r w:rsidR="00F54456" w:rsidRPr="00FA7D47">
        <w:rPr>
          <w:rFonts w:cstheme="minorBidi"/>
          <w:color w:val="000000" w:themeColor="text1"/>
        </w:rPr>
        <w:t xml:space="preserve"> shrimp</w:t>
      </w:r>
      <w:r w:rsidR="00D56735" w:rsidRPr="00FA7D47">
        <w:rPr>
          <w:rFonts w:cstheme="minorBidi"/>
          <w:color w:val="000000" w:themeColor="text1"/>
        </w:rPr>
        <w:t xml:space="preserve"> such as</w:t>
      </w:r>
      <w:r w:rsidRPr="009819CE">
        <w:rPr>
          <w:rFonts w:cstheme="minorBidi"/>
          <w:color w:val="000000" w:themeColor="text1"/>
        </w:rPr>
        <w:t xml:space="preserve"> </w:t>
      </w:r>
      <w:r w:rsidR="00D56735" w:rsidRPr="00FA7D47">
        <w:rPr>
          <w:rFonts w:cstheme="minorBidi"/>
          <w:color w:val="000000" w:themeColor="text1"/>
        </w:rPr>
        <w:t>b</w:t>
      </w:r>
      <w:r w:rsidR="00F54456" w:rsidRPr="007268F5">
        <w:rPr>
          <w:rFonts w:cstheme="minorBidi"/>
          <w:color w:val="000000" w:themeColor="text1"/>
        </w:rPr>
        <w:t xml:space="preserve">lack </w:t>
      </w:r>
      <w:r w:rsidR="00F54456" w:rsidRPr="00FA7D47">
        <w:rPr>
          <w:rFonts w:cstheme="minorBidi"/>
          <w:color w:val="000000" w:themeColor="text1"/>
        </w:rPr>
        <w:t>t</w:t>
      </w:r>
      <w:r w:rsidR="00F54456" w:rsidRPr="007268F5">
        <w:rPr>
          <w:rFonts w:cstheme="minorBidi"/>
          <w:color w:val="000000" w:themeColor="text1"/>
        </w:rPr>
        <w:t xml:space="preserve">iger </w:t>
      </w:r>
      <w:r w:rsidR="00F54456" w:rsidRPr="00FA7D47">
        <w:rPr>
          <w:rFonts w:cstheme="minorBidi"/>
          <w:color w:val="000000" w:themeColor="text1"/>
        </w:rPr>
        <w:t>s</w:t>
      </w:r>
      <w:r w:rsidR="00F54456" w:rsidRPr="007268F5">
        <w:rPr>
          <w:rFonts w:cstheme="minorBidi"/>
          <w:color w:val="000000" w:themeColor="text1"/>
        </w:rPr>
        <w:t xml:space="preserve">hrimp, </w:t>
      </w:r>
      <w:r w:rsidR="00F54456" w:rsidRPr="00FA7D47">
        <w:rPr>
          <w:rFonts w:cstheme="minorBidi"/>
          <w:color w:val="000000" w:themeColor="text1"/>
        </w:rPr>
        <w:t>(</w:t>
      </w:r>
      <w:r w:rsidR="00F54456" w:rsidRPr="007268F5">
        <w:rPr>
          <w:rFonts w:cstheme="minorBidi"/>
          <w:i/>
          <w:iCs/>
          <w:color w:val="000000" w:themeColor="text1"/>
        </w:rPr>
        <w:t>Penaeus monodon</w:t>
      </w:r>
      <w:r w:rsidR="00F54456" w:rsidRPr="00FA7D47">
        <w:rPr>
          <w:rFonts w:cstheme="minorBidi"/>
          <w:color w:val="000000" w:themeColor="text1"/>
        </w:rPr>
        <w:t>)</w:t>
      </w:r>
      <w:r w:rsidRPr="009819CE">
        <w:rPr>
          <w:rFonts w:cstheme="minorBidi"/>
          <w:color w:val="000000" w:themeColor="text1"/>
        </w:rPr>
        <w:t xml:space="preserve"> </w:t>
      </w:r>
      <w:r w:rsidRPr="009819CE">
        <w:rPr>
          <w:rFonts w:cstheme="minorBidi"/>
          <w:color w:val="000000" w:themeColor="text1"/>
        </w:rPr>
        <w:fldChar w:fldCharType="begin"/>
      </w:r>
      <w:r w:rsidR="00ED1A9E" w:rsidRPr="009819CE">
        <w:rPr>
          <w:rFonts w:cstheme="minorBidi"/>
          <w:color w:val="000000" w:themeColor="text1"/>
        </w:rPr>
        <w:instrText xml:space="preserve"> ADDIN EN.CITE &lt;EndNote&gt;&lt;Cite&gt;&lt;Author&gt;Manilal&lt;/Author&gt;&lt;Year&gt;2010&lt;/Year&gt;&lt;RecNum&gt;1842&lt;/RecNum&gt;&lt;DisplayText&gt;(Manilal et al., 2010)&lt;/DisplayText&gt;&lt;record&gt;&lt;rec-number&gt;1842&lt;/rec-number&gt;&lt;foreign-keys&gt;&lt;key app="EN" db-id="sd9wrx9fj09rx3erprsx999o0r5aprvp2zse" timestamp="1691071927" guid="f4c1bfdd-d7e0-42e7-b496-a90d51ac8aa8"&gt;1842&lt;/key&gt;&lt;/foreign-keys&gt;&lt;ref-type name="Journal Article"&gt;17&lt;/ref-type&gt;&lt;contributors&gt;&lt;authors&gt;&lt;author&gt;Manilal, Aseer&lt;/author&gt;&lt;author&gt;Sujith, S.&lt;/author&gt;&lt;author&gt;Selvin, Joseph&lt;/author&gt;&lt;author&gt;Shakir, Chippu&lt;/author&gt;&lt;author&gt;Gandhimathi, R.&lt;/author&gt;&lt;author&gt;Kiran, G. Seghal&lt;/author&gt;&lt;/authors&gt;&lt;/contributors&gt;&lt;titles&gt;&lt;title&gt;&lt;style face="normal" font="default" size="100%"&gt;Virulence of &lt;/style&gt;&lt;style face="italic" font="default" size="100%"&gt;Vibrios&lt;/style&gt;&lt;style face="normal" font="default" size="100%"&gt; isolated from diseased black tiger shrimp, &lt;/style&gt;&lt;style face="italic" font="default" size="100%"&gt;Penaeus monodon&lt;/style&gt;&lt;style face="normal" font="default" size="100%"&gt;, Fabricius&lt;/style&gt;&lt;/title&gt;&lt;secondary-title&gt;Journal of the World Aquaculture Society&lt;/secondary-title&gt;&lt;/titles&gt;&lt;periodical&gt;&lt;full-title&gt;Journal of the World Aquaculture Society&lt;/full-title&gt;&lt;/periodical&gt;&lt;pages&gt;332-343&lt;/pages&gt;&lt;volume&gt;41&lt;/volume&gt;&lt;number&gt;3&lt;/number&gt;&lt;section&gt;332&lt;/section&gt;&lt;dates&gt;&lt;year&gt;2010&lt;/year&gt;&lt;/dates&gt;&lt;isbn&gt;08938849&amp;#xD;17497345&lt;/isbn&gt;&lt;urls&gt;&lt;/urls&gt;&lt;electronic-resource-num&gt;10.1111/j.1749-7345.2010.00375.x&lt;/electronic-resource-num&gt;&lt;/record&gt;&lt;/Cite&gt;&lt;/EndNote&gt;</w:instrText>
      </w:r>
      <w:r w:rsidRPr="009819CE">
        <w:rPr>
          <w:rFonts w:cstheme="minorBidi"/>
          <w:color w:val="000000" w:themeColor="text1"/>
        </w:rPr>
        <w:fldChar w:fldCharType="separate"/>
      </w:r>
      <w:r w:rsidR="00D50EFF" w:rsidRPr="007268F5">
        <w:rPr>
          <w:rFonts w:cstheme="minorBidi"/>
          <w:color w:val="000000" w:themeColor="text1"/>
        </w:rPr>
        <w:t>(</w:t>
      </w:r>
      <w:hyperlink w:anchor="_ENREF_202" w:tooltip="Manilal, 2010 #1842" w:history="1">
        <w:r w:rsidR="00950097" w:rsidRPr="007268F5">
          <w:rPr>
            <w:rFonts w:cstheme="minorBidi"/>
            <w:color w:val="000000" w:themeColor="text1"/>
          </w:rPr>
          <w:t>Manilal et al., 2010</w:t>
        </w:r>
      </w:hyperlink>
      <w:r w:rsidR="00D50EFF" w:rsidRPr="007268F5">
        <w:rPr>
          <w:rFonts w:cstheme="minorBidi"/>
          <w:color w:val="000000" w:themeColor="text1"/>
        </w:rPr>
        <w:t>)</w:t>
      </w:r>
      <w:r w:rsidRPr="009819CE">
        <w:rPr>
          <w:rFonts w:cstheme="minorBidi"/>
          <w:color w:val="000000" w:themeColor="text1"/>
        </w:rPr>
        <w:fldChar w:fldCharType="end"/>
      </w:r>
      <w:r w:rsidR="00D56735" w:rsidRPr="00FA7D47">
        <w:rPr>
          <w:rFonts w:cstheme="minorBidi"/>
          <w:color w:val="000000" w:themeColor="text1"/>
        </w:rPr>
        <w:t xml:space="preserve"> and </w:t>
      </w:r>
      <w:r w:rsidR="00D56735" w:rsidRPr="00FA7D47">
        <w:rPr>
          <w:rFonts w:cstheme="minorBidi"/>
        </w:rPr>
        <w:t>whiteleg shrimp</w:t>
      </w:r>
      <w:r w:rsidR="00D56735" w:rsidRPr="00FA7D47">
        <w:rPr>
          <w:rFonts w:cstheme="minorBidi"/>
          <w:i/>
          <w:iCs/>
        </w:rPr>
        <w:t xml:space="preserve"> </w:t>
      </w:r>
      <w:r w:rsidR="00D56735" w:rsidRPr="00FA7D47">
        <w:rPr>
          <w:rFonts w:cstheme="minorBidi"/>
        </w:rPr>
        <w:t>(</w:t>
      </w:r>
      <w:r w:rsidR="00D56735" w:rsidRPr="00FA7D47">
        <w:rPr>
          <w:rFonts w:cstheme="minorBidi"/>
          <w:i/>
          <w:iCs/>
        </w:rPr>
        <w:t>Litopenaeus vannamei</w:t>
      </w:r>
      <w:r w:rsidR="00D56735" w:rsidRPr="00FA7D47">
        <w:rPr>
          <w:rFonts w:cstheme="minorBidi"/>
        </w:rPr>
        <w:t>)</w:t>
      </w:r>
      <w:r w:rsidRPr="009819CE">
        <w:rPr>
          <w:rFonts w:cstheme="minorBidi"/>
          <w:color w:val="000000" w:themeColor="text1"/>
        </w:rPr>
        <w:t xml:space="preserve">, as evidenced by their increased presence in diseased animals compared to their </w:t>
      </w:r>
      <w:r w:rsidR="00D94DC1" w:rsidRPr="00FA7D47">
        <w:rPr>
          <w:rFonts w:cstheme="minorBidi"/>
          <w:color w:val="000000" w:themeColor="text1"/>
        </w:rPr>
        <w:t>“healthy”</w:t>
      </w:r>
      <w:r w:rsidRPr="009819CE">
        <w:rPr>
          <w:rFonts w:cstheme="minorBidi"/>
          <w:color w:val="000000" w:themeColor="text1"/>
        </w:rPr>
        <w:t xml:space="preserve"> counterparts </w:t>
      </w:r>
      <w:r w:rsidRPr="009819CE">
        <w:rPr>
          <w:rFonts w:cstheme="minorBidi"/>
        </w:rPr>
        <w:fldChar w:fldCharType="begin">
          <w:fldData xml:space="preserve">PEVuZE5vdGU+PENpdGU+PEF1dGhvcj5Hb3BhbDwvQXV0aG9yPjxZZWFyPjIwMDU8L1llYXI+PFJl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</w:fldData>
        </w:fldChar>
      </w:r>
      <w:r w:rsidR="00297D66" w:rsidRPr="009819CE">
        <w:rPr>
          <w:rFonts w:cstheme="minorBidi"/>
        </w:rPr>
        <w:instrText xml:space="preserve"> ADDIN EN.CITE </w:instrText>
      </w:r>
      <w:r w:rsidR="00297D66" w:rsidRPr="009819CE">
        <w:rPr>
          <w:rFonts w:cstheme="minorBidi"/>
        </w:rPr>
        <w:fldChar w:fldCharType="begin">
          <w:fldData xml:space="preserve">PEVuZE5vdGU+PENpdGU+PEF1dGhvcj5Hb3BhbDwvQXV0aG9yPjxZZWFyPjIwMDU8L1llYXI+PFJl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</w:fldData>
        </w:fldChar>
      </w:r>
      <w:r w:rsidR="00297D66" w:rsidRPr="009819CE">
        <w:rPr>
          <w:rFonts w:cstheme="minorBidi"/>
        </w:rPr>
        <w:instrText xml:space="preserve"> ADDIN EN.CITE.DATA </w:instrText>
      </w:r>
      <w:r w:rsidR="00297D66" w:rsidRPr="009819CE">
        <w:rPr>
          <w:rFonts w:cstheme="minorBidi"/>
        </w:rPr>
      </w:r>
      <w:r w:rsidR="00297D66"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74" w:tooltip="Dong, 2021 #1837" w:history="1">
        <w:r w:rsidR="00950097" w:rsidRPr="007268F5">
          <w:rPr>
            <w:rFonts w:cstheme="minorBidi"/>
          </w:rPr>
          <w:t>Dong et al., 2021</w:t>
        </w:r>
      </w:hyperlink>
      <w:r w:rsidR="00D50EFF" w:rsidRPr="007268F5">
        <w:rPr>
          <w:rFonts w:cstheme="minorBidi"/>
        </w:rPr>
        <w:t xml:space="preserve">; </w:t>
      </w:r>
      <w:hyperlink w:anchor="_ENREF_111" w:tooltip="Gopal, 2005 #478" w:history="1">
        <w:r w:rsidR="00950097" w:rsidRPr="007268F5">
          <w:rPr>
            <w:rFonts w:cstheme="minorBidi"/>
          </w:rPr>
          <w:t>Gopal et al., 2005</w:t>
        </w:r>
      </w:hyperlink>
      <w:r w:rsidR="00D50EFF" w:rsidRPr="007268F5">
        <w:rPr>
          <w:rFonts w:cstheme="minorBidi"/>
        </w:rPr>
        <w:t>)</w:t>
      </w:r>
      <w:r w:rsidRPr="009819CE">
        <w:rPr>
          <w:rFonts w:cstheme="minorBidi"/>
        </w:rPr>
        <w:fldChar w:fldCharType="end"/>
      </w:r>
      <w:r w:rsidRPr="009819CE">
        <w:rPr>
          <w:rFonts w:eastAsia="Calibri" w:cstheme="minorBidi"/>
        </w:rPr>
        <w:t xml:space="preserve">. No significant variations in </w:t>
      </w:r>
      <w:r w:rsidRPr="009819CE">
        <w:rPr>
          <w:rFonts w:eastAsia="Calibri" w:cstheme="minorBidi"/>
          <w:i/>
          <w:iCs/>
        </w:rPr>
        <w:t>Vibrio</w:t>
      </w:r>
      <w:r w:rsidRPr="009819CE">
        <w:rPr>
          <w:rFonts w:eastAsia="Calibri" w:cstheme="minorBidi"/>
        </w:rPr>
        <w:t xml:space="preserve"> levels were detected in relation to </w:t>
      </w:r>
      <w:r w:rsidR="009D03F4" w:rsidRPr="009819CE">
        <w:rPr>
          <w:rFonts w:eastAsia="Calibri" w:cstheme="minorBidi"/>
          <w:i/>
          <w:iCs/>
        </w:rPr>
        <w:t>Hematodinium</w:t>
      </w:r>
      <w:r w:rsidRPr="009819CE">
        <w:rPr>
          <w:rFonts w:eastAsia="Calibri" w:cstheme="minorBidi"/>
        </w:rPr>
        <w:t xml:space="preserve"> </w:t>
      </w:r>
      <w:r w:rsidR="00310E4C" w:rsidRPr="009819CE">
        <w:rPr>
          <w:rFonts w:eastAsia="Calibri" w:cstheme="minorBidi"/>
        </w:rPr>
        <w:t xml:space="preserve">sp. </w:t>
      </w:r>
      <w:r w:rsidRPr="009819CE">
        <w:rPr>
          <w:rFonts w:eastAsia="Calibri" w:cstheme="minorBidi"/>
        </w:rPr>
        <w:t xml:space="preserve">infection in either the gut or the haemolymph of </w:t>
      </w:r>
      <w:r w:rsidR="00C31E47" w:rsidRPr="009819CE">
        <w:rPr>
          <w:rFonts w:eastAsia="Calibri" w:cstheme="minorBidi"/>
          <w:i/>
          <w:iCs/>
        </w:rPr>
        <w:t>Nephrops</w:t>
      </w:r>
      <w:r w:rsidRPr="009819CE">
        <w:rPr>
          <w:rFonts w:eastAsia="Calibri" w:cstheme="minorBidi"/>
        </w:rPr>
        <w:t xml:space="preserve">. </w:t>
      </w:r>
      <w:r w:rsidRPr="009819CE">
        <w:rPr>
          <w:rFonts w:cstheme="minorBidi"/>
          <w:color w:val="000000" w:themeColor="text1"/>
        </w:rPr>
        <w:t xml:space="preserve">Additionally, </w:t>
      </w:r>
      <w:r w:rsidRPr="009819CE">
        <w:rPr>
          <w:rFonts w:cstheme="minorBidi"/>
          <w:i/>
          <w:iCs/>
          <w:color w:val="000000" w:themeColor="text1"/>
        </w:rPr>
        <w:t>Psychrilyobacter</w:t>
      </w:r>
      <w:r w:rsidRPr="009819CE">
        <w:rPr>
          <w:rFonts w:cstheme="minorBidi"/>
          <w:color w:val="000000" w:themeColor="text1"/>
        </w:rPr>
        <w:t xml:space="preserve">, a bacterial genus utilizing sugars, amino acids, and peptone as carbon sources, was identified within the core gut microbiome. It has also been prominently observed in the gut microbiomes of the deep-sea hydrothermal vent crab </w:t>
      </w:r>
      <w:r w:rsidR="0044288A" w:rsidRPr="009819CE">
        <w:rPr>
          <w:rFonts w:cstheme="minorBidi"/>
          <w:color w:val="000000" w:themeColor="text1"/>
        </w:rPr>
        <w:t>(</w:t>
      </w:r>
      <w:r w:rsidRPr="009819CE">
        <w:rPr>
          <w:rFonts w:cstheme="minorBidi"/>
          <w:i/>
          <w:iCs/>
          <w:color w:val="000000" w:themeColor="text1"/>
        </w:rPr>
        <w:t>Austinograe</w:t>
      </w:r>
      <w:r w:rsidRPr="009819CE">
        <w:rPr>
          <w:rFonts w:cstheme="minorBidi"/>
          <w:color w:val="000000" w:themeColor="text1"/>
        </w:rPr>
        <w:t xml:space="preserve"> sp.</w:t>
      </w:r>
      <w:r w:rsidR="0044288A" w:rsidRPr="009819CE">
        <w:rPr>
          <w:rFonts w:cstheme="minorBidi"/>
          <w:color w:val="000000" w:themeColor="text1"/>
        </w:rPr>
        <w:t>)</w:t>
      </w:r>
      <w:r w:rsidRPr="009819CE">
        <w:rPr>
          <w:rFonts w:cstheme="minorBidi"/>
          <w:color w:val="000000" w:themeColor="text1"/>
        </w:rPr>
        <w:t xml:space="preserve"> </w:t>
      </w:r>
      <w:r w:rsidRPr="009819CE">
        <w:rPr>
          <w:rFonts w:cstheme="minorBidi"/>
          <w:color w:val="000000" w:themeColor="text1"/>
        </w:rPr>
        <w:fldChar w:fldCharType="begin"/>
      </w:r>
      <w:r w:rsidR="00871B4F">
        <w:rPr>
          <w:rFonts w:cstheme="minorBidi"/>
          <w:color w:val="000000" w:themeColor="text1"/>
        </w:rPr>
        <w:instrText xml:space="preserve"> ADDIN EN.CITE &lt;EndNote&gt;&lt;Cite&gt;&lt;Author&gt;Zhang&lt;/Author&gt;&lt;Year&gt;2017&lt;/Year&gt;&lt;RecNum&gt;813&lt;/RecNum&gt;&lt;DisplayText&gt;(Zhang et al., 2017)&lt;/DisplayText&gt;&lt;record&gt;&lt;rec-number&gt;813&lt;/rec-number&gt;&lt;foreign-keys&gt;&lt;key app="EN" db-id="sd9wrx9fj09rx3erprsx999o0r5aprvp2zse" timestamp="1687855901" guid="b40b77e6-f027-47d7-9e82-8a3a2f87def9"&gt;813&lt;/key&gt;&lt;/foreign-keys&gt;&lt;ref-type name="Journal Article"&gt;17&lt;/ref-type&gt;&lt;contributors&gt;&lt;authors&gt;&lt;author&gt;Zhang, Na&lt;/author&gt;&lt;author&gt;Song, Chengwen&lt;/author&gt;&lt;author&gt;Wang, Minxiao&lt;/author&gt;&lt;author&gt;Liu, Yuan&lt;/author&gt;&lt;author&gt;Hui, Min&lt;/author&gt;&lt;author&gt;Cui, Zhaoxia&lt;/author&gt;&lt;/authors&gt;&lt;/contributors&gt;&lt;titles&gt;&lt;title&gt;&lt;style face="normal" font="default" size="100%"&gt;Diversity and characterization of bacteria associated with the deep-sea hydrothermal vent crab &lt;/style&gt;&lt;style face="italic" font="default" size="100%"&gt;Austinograea &lt;/style&gt;&lt;style face="normal" font="default" size="100%"&gt;sp. comparing with those of two shallow-water crabs by 16S ribosomal DNA analysis&lt;/style&gt;&lt;/title&gt;&lt;secondary-title&gt;PLOS ONE&lt;/secondary-title&gt;&lt;/titles&gt;&lt;periodical&gt;&lt;full-title&gt;PLOS ONE&lt;/full-title&gt;&lt;/periodical&gt;&lt;volume&gt;12&lt;/volume&gt;&lt;number&gt;11&lt;/number&gt;&lt;dates&gt;&lt;year&gt;2017&lt;/year&gt;&lt;pub-dates&gt;&lt;date&gt;2017/11//&lt;/date&gt;&lt;/pub-dates&gt;&lt;/dates&gt;&lt;publisher&gt;Public Library of Science&lt;/publisher&gt;&lt;urls&gt;&lt;related-urls&gt;&lt;url&gt;/pmc/articles/PMC5679544/&lt;/url&gt;&lt;url&gt;/pmc/articles/PMC5679544/?report=abstract&lt;/url&gt;&lt;url&gt;https://www.ncbi.nlm.nih.gov/pmc/articles/PMC5679544/&lt;/url&gt;&lt;/related-urls&gt;&lt;/urls&gt;&lt;electronic-resource-num&gt;10.1371/JOURNAL.PONE.0187842&lt;/electronic-resource-num&gt;&lt;/record&gt;&lt;/Cite&gt;&lt;/EndNote&gt;</w:instrText>
      </w:r>
      <w:r w:rsidRPr="009819CE">
        <w:rPr>
          <w:rFonts w:cstheme="minorBidi"/>
          <w:color w:val="000000" w:themeColor="text1"/>
        </w:rPr>
        <w:fldChar w:fldCharType="separate"/>
      </w:r>
      <w:r w:rsidR="00D50EFF" w:rsidRPr="00871B4F">
        <w:rPr>
          <w:rFonts w:cstheme="minorBidi"/>
          <w:noProof/>
          <w:color w:val="000000" w:themeColor="text1"/>
        </w:rPr>
        <w:t>(</w:t>
      </w:r>
      <w:hyperlink w:anchor="_ENREF_371" w:tooltip="Zhang, 2017 #813" w:history="1">
        <w:r w:rsidR="00950097" w:rsidRPr="00871B4F">
          <w:rPr>
            <w:rFonts w:cstheme="minorBidi"/>
            <w:noProof/>
            <w:color w:val="000000" w:themeColor="text1"/>
          </w:rPr>
          <w:t>Zhang et al., 2017</w:t>
        </w:r>
      </w:hyperlink>
      <w:r w:rsidR="00D50EFF" w:rsidRPr="00871B4F">
        <w:rPr>
          <w:rFonts w:cstheme="minorBidi"/>
          <w:noProof/>
          <w:color w:val="000000" w:themeColor="text1"/>
        </w:rPr>
        <w:t>)</w:t>
      </w:r>
      <w:r w:rsidRPr="009819CE">
        <w:rPr>
          <w:rFonts w:cstheme="minorBidi"/>
          <w:color w:val="000000" w:themeColor="text1"/>
        </w:rPr>
        <w:fldChar w:fldCharType="end"/>
      </w:r>
      <w:r w:rsidRPr="009819CE">
        <w:rPr>
          <w:rFonts w:cstheme="minorBidi"/>
          <w:color w:val="000000" w:themeColor="text1"/>
        </w:rPr>
        <w:t xml:space="preserve"> and</w:t>
      </w:r>
      <w:r w:rsidR="00E85810" w:rsidRPr="009819CE">
        <w:rPr>
          <w:rFonts w:cstheme="minorBidi"/>
          <w:color w:val="000000" w:themeColor="text1"/>
        </w:rPr>
        <w:t xml:space="preserve"> </w:t>
      </w:r>
      <w:r w:rsidR="00E86051" w:rsidRPr="009819CE">
        <w:rPr>
          <w:rFonts w:cstheme="minorBidi"/>
          <w:color w:val="000000" w:themeColor="text1"/>
        </w:rPr>
        <w:t>g</w:t>
      </w:r>
      <w:r w:rsidR="00E85810" w:rsidRPr="009819CE">
        <w:rPr>
          <w:rFonts w:cstheme="minorBidi"/>
          <w:color w:val="000000" w:themeColor="text1"/>
        </w:rPr>
        <w:t>reen mud crab</w:t>
      </w:r>
      <w:r w:rsidRPr="009819CE">
        <w:rPr>
          <w:rFonts w:cstheme="minorBidi"/>
          <w:color w:val="000000" w:themeColor="text1"/>
        </w:rPr>
        <w:t xml:space="preserve"> </w:t>
      </w:r>
      <w:r w:rsidR="00E85810" w:rsidRPr="009819CE">
        <w:rPr>
          <w:rFonts w:cstheme="minorBidi"/>
          <w:color w:val="000000" w:themeColor="text1"/>
        </w:rPr>
        <w:t>(</w:t>
      </w:r>
      <w:r w:rsidR="00D56735" w:rsidRPr="00FA7D47">
        <w:rPr>
          <w:rFonts w:cstheme="minorBidi"/>
          <w:i/>
          <w:iCs/>
          <w:color w:val="000000" w:themeColor="text1"/>
        </w:rPr>
        <w:t>Scylla</w:t>
      </w:r>
      <w:r w:rsidRPr="009819CE">
        <w:rPr>
          <w:rFonts w:cstheme="minorBidi"/>
          <w:i/>
          <w:iCs/>
          <w:color w:val="000000" w:themeColor="text1"/>
        </w:rPr>
        <w:t xml:space="preserve"> paramamosain</w:t>
      </w:r>
      <w:r w:rsidR="00E85810" w:rsidRPr="009819CE">
        <w:rPr>
          <w:rFonts w:cstheme="minorBidi"/>
          <w:color w:val="000000" w:themeColor="text1"/>
        </w:rPr>
        <w:t>)</w:t>
      </w:r>
      <w:r w:rsidR="00B303F5" w:rsidRPr="009819CE">
        <w:rPr>
          <w:rFonts w:cstheme="minorBidi"/>
          <w:color w:val="000000" w:themeColor="text1"/>
        </w:rPr>
        <w:t xml:space="preserve"> </w:t>
      </w:r>
      <w:r w:rsidR="00B303F5" w:rsidRPr="009819CE">
        <w:rPr>
          <w:rFonts w:cstheme="minorBidi"/>
          <w:color w:val="000000" w:themeColor="text1"/>
        </w:rPr>
        <w:fldChar w:fldCharType="begin"/>
      </w:r>
      <w:r w:rsidR="00B303F5" w:rsidRPr="009819CE">
        <w:rPr>
          <w:rFonts w:cstheme="minorBidi"/>
          <w:color w:val="000000" w:themeColor="text1"/>
        </w:rPr>
        <w:instrText xml:space="preserve"> ADDIN EN.CITE &lt;EndNote&gt;&lt;Cite&gt;&lt;Author&gt;Wei&lt;/Author&gt;&lt;Year&gt;2019&lt;/Year&gt;&lt;RecNum&gt;815&lt;/RecNum&gt;&lt;DisplayText&gt;(Wei et al., 2019)&lt;/DisplayText&gt;&lt;record&gt;&lt;rec-number&gt;815&lt;/rec-number&gt;&lt;foreign-keys&gt;&lt;key app="EN" db-id="sd9wrx9fj09rx3erprsx999o0r5aprvp2zse" timestamp="1687855901" guid="8b191fa3-6964-4cb9-a3ab-7a57cd782b74"&gt;815&lt;/key&gt;&lt;/foreign-keys&gt;&lt;ref-type name="Journal Article"&gt;17&lt;/ref-type&gt;&lt;contributors&gt;&lt;authors&gt;&lt;author&gt;Wei, Hongling&lt;/author&gt;&lt;author&gt;Wang, Huan&lt;/author&gt;&lt;author&gt;Tang, Lei&lt;/author&gt;&lt;author&gt;Mu, Changkao&lt;/author&gt;&lt;author&gt;Ye, Chunyu&lt;/author&gt;&lt;author&gt;Chen, Lizhi&lt;/author&gt;&lt;author&gt;Wang, Chunlin&lt;/author&gt;&lt;/authors&gt;&lt;/contributors&gt;&lt;titles&gt;&lt;title&gt;&lt;style face="normal" font="default" size="100%"&gt;High-throughput sequencing reveals the core gut microbiota of the mud crab (&lt;/style&gt;&lt;style face="italic" font="default" size="100%"&gt;Scylla paramamosain&lt;/style&gt;&lt;style face="normal" font="default" size="100%"&gt;) in different coastal regions of southern China&lt;/style&gt;&lt;/title&gt;&lt;secondary-title&gt;BMC Genomics&lt;/secondary-title&gt;&lt;/titles&gt;&lt;periodical&gt;&lt;full-title&gt;BMC Genomics&lt;/full-title&gt;&lt;/periodical&gt;&lt;pages&gt;1-12&lt;/pages&gt;&lt;volume&gt;20&lt;/volume&gt;&lt;number&gt;1&lt;/number&gt;&lt;keywords&gt;&lt;keyword&gt;16S rRNA&lt;/keyword&gt;&lt;keyword&gt;Core gut microbiota&lt;/keyword&gt;&lt;keyword&gt;Illumina MiSeq sequencing&lt;/keyword&gt;&lt;keyword&gt;Scylla paramamosain&lt;/keyword&gt;&lt;/keywords&gt;&lt;dates&gt;&lt;year&gt;2019&lt;/year&gt;&lt;pub-dates&gt;&lt;date&gt;2019/11//&lt;/date&gt;&lt;/pub-dates&gt;&lt;/dates&gt;&lt;publisher&gt;BioMed Central Ltd.&lt;/publisher&gt;&lt;urls&gt;&lt;related-urls&gt;&lt;url&gt;https://bmcgenomics.biomedcentral.com/articles/10.1186/s12864-019-6219-7&lt;/url&gt;&lt;/related-urls&gt;&lt;/urls&gt;&lt;electronic-resource-num&gt;10.1186/S12864-019-6219-7/FIGURES/5&lt;/electronic-resource-num&gt;&lt;/record&gt;&lt;/Cite&gt;&lt;/EndNote&gt;</w:instrText>
      </w:r>
      <w:r w:rsidR="00B303F5" w:rsidRPr="009819CE">
        <w:rPr>
          <w:rFonts w:cstheme="minorBidi"/>
          <w:color w:val="000000" w:themeColor="text1"/>
        </w:rPr>
        <w:fldChar w:fldCharType="separate"/>
      </w:r>
      <w:r w:rsidR="00B303F5" w:rsidRPr="007268F5">
        <w:rPr>
          <w:rFonts w:cstheme="minorBidi"/>
          <w:color w:val="000000" w:themeColor="text1"/>
        </w:rPr>
        <w:t>(</w:t>
      </w:r>
      <w:hyperlink w:anchor="_ENREF_353" w:tooltip="Wei, 2019 #815" w:history="1">
        <w:r w:rsidR="00950097" w:rsidRPr="007268F5">
          <w:rPr>
            <w:rFonts w:cstheme="minorBidi"/>
            <w:color w:val="000000" w:themeColor="text1"/>
          </w:rPr>
          <w:t>Wei et al., 2019</w:t>
        </w:r>
      </w:hyperlink>
      <w:r w:rsidR="00B303F5" w:rsidRPr="007268F5">
        <w:rPr>
          <w:rFonts w:cstheme="minorBidi"/>
          <w:color w:val="000000" w:themeColor="text1"/>
        </w:rPr>
        <w:t>)</w:t>
      </w:r>
      <w:r w:rsidR="00B303F5"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i/>
          <w:iCs/>
          <w:color w:val="000000" w:themeColor="text1"/>
        </w:rPr>
        <w:t>Psychrilyobacter</w:t>
      </w:r>
      <w:r w:rsidRPr="009819CE">
        <w:rPr>
          <w:rFonts w:cstheme="minorBidi"/>
          <w:color w:val="000000" w:themeColor="text1"/>
        </w:rPr>
        <w:t xml:space="preserve"> production of</w:t>
      </w:r>
      <w:r w:rsidR="00D56735" w:rsidRPr="00FA7D47">
        <w:rPr>
          <w:rFonts w:cstheme="minorBidi"/>
          <w:color w:val="000000" w:themeColor="text1"/>
        </w:rPr>
        <w:t xml:space="preserve"> </w:t>
      </w:r>
      <w:r w:rsidRPr="009819CE">
        <w:rPr>
          <w:rFonts w:cstheme="minorBidi"/>
          <w:color w:val="000000" w:themeColor="text1"/>
        </w:rPr>
        <w:t>H</w:t>
      </w:r>
      <w:r w:rsidRPr="007268F5">
        <w:rPr>
          <w:rFonts w:cstheme="minorBidi"/>
          <w:color w:val="000000" w:themeColor="text1"/>
          <w:vertAlign w:val="subscript"/>
        </w:rPr>
        <w:t>2</w:t>
      </w:r>
      <w:r w:rsidRPr="009819CE">
        <w:rPr>
          <w:rFonts w:cstheme="minorBidi"/>
          <w:color w:val="000000" w:themeColor="text1"/>
        </w:rPr>
        <w:t xml:space="preserve"> and acetate as primary fermentation byproducts suggests a potential role in facilitating adaptation to hypoxic conditions </w:t>
      </w:r>
      <w:r w:rsidRPr="009819CE">
        <w:rPr>
          <w:rFonts w:cstheme="minorBidi"/>
          <w:color w:val="000000" w:themeColor="text1"/>
        </w:rPr>
        <w:fldChar w:fldCharType="begin"/>
      </w:r>
      <w:r w:rsidR="00871B4F">
        <w:rPr>
          <w:rFonts w:cstheme="minorBidi"/>
          <w:color w:val="000000" w:themeColor="text1"/>
        </w:rPr>
        <w:instrText xml:space="preserve"> ADDIN EN.CITE &lt;EndNote&gt;&lt;Cite&gt;&lt;Author&gt;Zhang&lt;/Author&gt;&lt;Year&gt;2017&lt;/Year&gt;&lt;RecNum&gt;813&lt;/RecNum&gt;&lt;DisplayText&gt;(Zhang et al., 2017)&lt;/DisplayText&gt;&lt;record&gt;&lt;rec-number&gt;813&lt;/rec-number&gt;&lt;foreign-keys&gt;&lt;key app="EN" db-id="sd9wrx9fj09rx3erprsx999o0r5aprvp2zse" timestamp="1687855901" guid="b40b77e6-f027-47d7-9e82-8a3a2f87def9"&gt;813&lt;/key&gt;&lt;/foreign-keys&gt;&lt;ref-type name="Journal Article"&gt;17&lt;/ref-type&gt;&lt;contributors&gt;&lt;authors&gt;&lt;author&gt;Zhang, Na&lt;/author&gt;&lt;author&gt;Song, Chengwen&lt;/author&gt;&lt;author&gt;Wang, Minxiao&lt;/author&gt;&lt;author&gt;Liu, Yuan&lt;/author&gt;&lt;author&gt;Hui, Min&lt;/author&gt;&lt;author&gt;Cui, Zhaoxia&lt;/author&gt;&lt;/authors&gt;&lt;/contributors&gt;&lt;titles&gt;&lt;title&gt;&lt;style face="normal" font="default" size="100%"&gt;Diversity and characterization of bacteria associated with the deep-sea hydrothermal vent crab &lt;/style&gt;&lt;style face="italic" font="default" size="100%"&gt;Austinograea &lt;/style&gt;&lt;style face="normal" font="default" size="100%"&gt;sp. comparing with those of two shallow-water crabs by 16S ribosomal DNA analysis&lt;/style&gt;&lt;/title&gt;&lt;secondary-title&gt;PLOS ONE&lt;/secondary-title&gt;&lt;/titles&gt;&lt;periodical&gt;&lt;full-title&gt;PLOS ONE&lt;/full-title&gt;&lt;/periodical&gt;&lt;volume&gt;12&lt;/volume&gt;&lt;number&gt;11&lt;/number&gt;&lt;dates&gt;&lt;year&gt;2017&lt;/year&gt;&lt;pub-dates&gt;&lt;date&gt;2017/11//&lt;/date&gt;&lt;/pub-dates&gt;&lt;/dates&gt;&lt;publisher&gt;Public Library of Science&lt;/publisher&gt;&lt;urls&gt;&lt;related-urls&gt;&lt;url&gt;/pmc/articles/PMC5679544/&lt;/url&gt;&lt;url&gt;/pmc/articles/PMC5679544/?report=abstract&lt;/url&gt;&lt;url&gt;https://www.ncbi.nlm.nih.gov/pmc/articles/PMC5679544/&lt;/url&gt;&lt;/related-urls&gt;&lt;/urls&gt;&lt;electronic-resource-num&gt;10.1371/JOURNAL.PONE.0187842&lt;/electronic-resource-num&gt;&lt;/record&gt;&lt;/Cite&gt;&lt;/EndNote&gt;</w:instrText>
      </w:r>
      <w:r w:rsidRPr="009819CE">
        <w:rPr>
          <w:rFonts w:cstheme="minorBidi"/>
          <w:color w:val="000000" w:themeColor="text1"/>
        </w:rPr>
        <w:fldChar w:fldCharType="separate"/>
      </w:r>
      <w:r w:rsidR="00D50EFF" w:rsidRPr="00871B4F">
        <w:rPr>
          <w:rFonts w:cstheme="minorBidi"/>
          <w:noProof/>
          <w:color w:val="000000" w:themeColor="text1"/>
        </w:rPr>
        <w:t>(</w:t>
      </w:r>
      <w:hyperlink w:anchor="_ENREF_371" w:tooltip="Zhang, 2017 #813" w:history="1">
        <w:r w:rsidR="00950097" w:rsidRPr="00871B4F">
          <w:rPr>
            <w:rFonts w:cstheme="minorBidi"/>
            <w:noProof/>
            <w:color w:val="000000" w:themeColor="text1"/>
          </w:rPr>
          <w:t>Zhang et al., 2017</w:t>
        </w:r>
      </w:hyperlink>
      <w:r w:rsidR="00D50EFF" w:rsidRPr="00871B4F">
        <w:rPr>
          <w:rFonts w:cstheme="minorBidi"/>
          <w:noProof/>
          <w:color w:val="000000" w:themeColor="text1"/>
        </w:rPr>
        <w:t>)</w:t>
      </w:r>
      <w:r w:rsidRPr="009819CE">
        <w:rPr>
          <w:rFonts w:cstheme="minorBidi"/>
          <w:color w:val="000000" w:themeColor="text1"/>
        </w:rPr>
        <w:fldChar w:fldCharType="end"/>
      </w:r>
      <w:r w:rsidR="00830C1A" w:rsidRPr="009819CE">
        <w:rPr>
          <w:rFonts w:cstheme="minorBidi"/>
          <w:color w:val="000000" w:themeColor="text1"/>
        </w:rPr>
        <w:t>.</w:t>
      </w:r>
      <w:r w:rsidRPr="009819CE">
        <w:rPr>
          <w:rFonts w:cstheme="minorBidi"/>
          <w:color w:val="000000" w:themeColor="text1"/>
        </w:rPr>
        <w:t xml:space="preserve"> </w:t>
      </w:r>
    </w:p>
    <w:p w14:paraId="2F50C248" w14:textId="5E04FC52" w:rsidR="0055220B" w:rsidRPr="009819CE" w:rsidRDefault="0055220B" w:rsidP="00FD0393">
      <w:pPr>
        <w:pStyle w:val="Heading3"/>
        <w:rPr>
          <w:rFonts w:cstheme="minorBidi"/>
        </w:rPr>
      </w:pPr>
      <w:bookmarkStart w:id="304" w:name="_Toc204106655"/>
      <w:r w:rsidRPr="009819CE">
        <w:rPr>
          <w:rFonts w:cstheme="minorBidi"/>
        </w:rPr>
        <w:t xml:space="preserve">Changes in the microbiome linked to </w:t>
      </w:r>
      <w:r w:rsidR="009D03F4" w:rsidRPr="009819CE">
        <w:rPr>
          <w:rFonts w:cstheme="minorBidi"/>
          <w:i/>
          <w:iCs/>
        </w:rPr>
        <w:t>Hematodinium</w:t>
      </w:r>
      <w:r w:rsidRPr="009819CE">
        <w:rPr>
          <w:rFonts w:cstheme="minorBidi"/>
        </w:rPr>
        <w:t xml:space="preserve"> sp. infection</w:t>
      </w:r>
      <w:bookmarkEnd w:id="304"/>
    </w:p>
    <w:p w14:paraId="483A1228" w14:textId="467046F8" w:rsidR="0055220B" w:rsidRPr="009819CE" w:rsidRDefault="0055220B" w:rsidP="0055220B">
      <w:pPr>
        <w:rPr>
          <w:rFonts w:cstheme="minorBidi"/>
          <w:color w:val="000000" w:themeColor="text1"/>
        </w:rPr>
      </w:pPr>
      <w:r w:rsidRPr="009819CE">
        <w:rPr>
          <w:rFonts w:cstheme="minorBidi"/>
        </w:rPr>
        <w:t xml:space="preserve">Outbreaks of </w:t>
      </w:r>
      <w:r w:rsidR="009D03F4" w:rsidRPr="009819CE">
        <w:rPr>
          <w:rFonts w:cstheme="minorBidi"/>
          <w:i/>
          <w:iCs/>
        </w:rPr>
        <w:t>Hematodinium</w:t>
      </w:r>
      <w:r w:rsidRPr="009819CE">
        <w:rPr>
          <w:rFonts w:cstheme="minorBidi"/>
        </w:rPr>
        <w:t xml:space="preserve"> infections have been reported in both wild and farmed crab populations</w:t>
      </w:r>
      <w:r w:rsidRPr="009819CE">
        <w:rPr>
          <w:rFonts w:cstheme="minorBidi"/>
          <w:color w:val="000000" w:themeColor="text1"/>
        </w:rPr>
        <w:t xml:space="preserve"> </w:t>
      </w:r>
      <w:r w:rsidRPr="009819CE">
        <w:rPr>
          <w:rFonts w:cstheme="minorBidi"/>
          <w:color w:val="000000" w:themeColor="text1"/>
        </w:rPr>
        <w:fldChar w:fldCharType="begin">
          <w:fldData xml:space="preserve">PEVuZE5vdGU+PENpdGU+PEF1dGhvcj5XYW5nPC9BdXRob3I+PFllYXI+MjAxNzwvWWVhcj48UmVj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</w:fldData>
        </w:fldChar>
      </w:r>
      <w:r w:rsidR="00ED1A9E" w:rsidRPr="009819CE">
        <w:rPr>
          <w:rFonts w:cstheme="minorBidi"/>
          <w:color w:val="000000" w:themeColor="text1"/>
        </w:rPr>
        <w:instrText xml:space="preserve"> ADDIN EN.CITE </w:instrText>
      </w:r>
      <w:r w:rsidR="00ED1A9E" w:rsidRPr="009819CE">
        <w:rPr>
          <w:rFonts w:cstheme="minorBidi"/>
          <w:color w:val="000000" w:themeColor="text1"/>
        </w:rPr>
        <w:fldChar w:fldCharType="begin">
          <w:fldData xml:space="preserve">PEVuZE5vdGU+PENpdGU+PEF1dGhvcj5XYW5nPC9BdXRob3I+PFllYXI+MjAxNzwvWWVhcj48UmVj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</w:fldData>
        </w:fldChar>
      </w:r>
      <w:r w:rsidR="00ED1A9E" w:rsidRPr="009819CE">
        <w:rPr>
          <w:rFonts w:cstheme="minorBidi"/>
          <w:color w:val="000000" w:themeColor="text1"/>
        </w:rPr>
        <w:instrText xml:space="preserve"> ADDIN EN.CITE.DATA </w:instrText>
      </w:r>
      <w:r w:rsidR="00ED1A9E" w:rsidRPr="009819CE">
        <w:rPr>
          <w:rFonts w:cstheme="minorBidi"/>
          <w:color w:val="000000" w:themeColor="text1"/>
        </w:rPr>
      </w:r>
      <w:r w:rsidR="00ED1A9E" w:rsidRPr="009819CE">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7268F5">
        <w:rPr>
          <w:rFonts w:cstheme="minorBidi"/>
          <w:color w:val="000000" w:themeColor="text1"/>
        </w:rPr>
        <w:t>(</w:t>
      </w:r>
      <w:hyperlink w:anchor="_ENREF_345" w:tooltip="Wang, 2017 #1069" w:history="1">
        <w:r w:rsidR="00950097" w:rsidRPr="007268F5">
          <w:rPr>
            <w:rFonts w:cstheme="minorBidi"/>
            <w:color w:val="000000" w:themeColor="text1"/>
          </w:rPr>
          <w:t>Wang et al., 2017</w:t>
        </w:r>
      </w:hyperlink>
      <w:r w:rsidR="00D50EFF"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Within the Clyde Sea Area, the prevalence of </w:t>
      </w:r>
      <w:r w:rsidR="009D03F4" w:rsidRPr="009819CE">
        <w:rPr>
          <w:rFonts w:cstheme="minorBidi"/>
          <w:i/>
          <w:color w:val="000000" w:themeColor="text1"/>
        </w:rPr>
        <w:t>Hematodinium</w:t>
      </w:r>
      <w:r w:rsidRPr="009819CE">
        <w:rPr>
          <w:rFonts w:cstheme="minorBidi"/>
          <w:color w:val="000000" w:themeColor="text1"/>
        </w:rPr>
        <w:t xml:space="preserve"> sp. infections in </w:t>
      </w:r>
      <w:r w:rsidR="00C31E47" w:rsidRPr="009819CE">
        <w:rPr>
          <w:rFonts w:cstheme="minorBidi"/>
          <w:i/>
          <w:color w:val="000000" w:themeColor="text1"/>
        </w:rPr>
        <w:t>Nephrops</w:t>
      </w:r>
      <w:r w:rsidRPr="009819CE">
        <w:rPr>
          <w:rFonts w:cstheme="minorBidi"/>
          <w:color w:val="000000" w:themeColor="text1"/>
        </w:rPr>
        <w:t xml:space="preserve"> has been monitored since the late 1980s. In this region, the prevalence of </w:t>
      </w:r>
      <w:r w:rsidR="009D03F4" w:rsidRPr="009819CE">
        <w:rPr>
          <w:rFonts w:cstheme="minorBidi"/>
          <w:i/>
          <w:color w:val="000000" w:themeColor="text1"/>
        </w:rPr>
        <w:t>Hematodinium</w:t>
      </w:r>
      <w:r w:rsidRPr="009819CE">
        <w:rPr>
          <w:rFonts w:cstheme="minorBidi"/>
          <w:color w:val="000000" w:themeColor="text1"/>
        </w:rPr>
        <w:t xml:space="preserve"> sp. infections exhibits a distinct seasonal peak during the spring season, while the application of more sensitive diagnostic methods has shown the continuous presence of subpatent infection levels throughout the entire year (Beevers et al., 2012). Consistent with prior research and data from the previous year, </w:t>
      </w:r>
      <w:r w:rsidR="00146158" w:rsidRPr="00FA7D47">
        <w:rPr>
          <w:rFonts w:cstheme="minorBidi"/>
          <w:color w:val="000000" w:themeColor="text1"/>
        </w:rPr>
        <w:t>th</w:t>
      </w:r>
      <w:r w:rsidR="001D5029" w:rsidRPr="00FA7D47">
        <w:rPr>
          <w:rFonts w:cstheme="minorBidi"/>
          <w:color w:val="000000" w:themeColor="text1"/>
        </w:rPr>
        <w:t>is</w:t>
      </w:r>
      <w:r w:rsidRPr="009819CE">
        <w:rPr>
          <w:rFonts w:cstheme="minorBidi"/>
          <w:color w:val="000000" w:themeColor="text1"/>
        </w:rPr>
        <w:t xml:space="preserve"> study results further emphasize an increased infection peak during this specific period (March</w:t>
      </w:r>
      <w:r w:rsidRPr="009819CE">
        <w:rPr>
          <w:rStyle w:val="Emphasis"/>
          <w:rFonts w:cstheme="minorBidi"/>
          <w:color w:val="0E101A"/>
        </w:rPr>
        <w:t>; 17% BCM;</w:t>
      </w:r>
      <w:r w:rsidRPr="009819CE">
        <w:rPr>
          <w:rFonts w:cstheme="minorBidi"/>
          <w:i/>
          <w:iCs/>
          <w:color w:val="0E101A"/>
        </w:rPr>
        <w:t xml:space="preserve"> </w:t>
      </w:r>
      <w:r w:rsidRPr="009819CE">
        <w:rPr>
          <w:rStyle w:val="Emphasis"/>
          <w:rFonts w:cstheme="minorBidi"/>
          <w:color w:val="0E101A"/>
        </w:rPr>
        <w:t>26% PM; high prevalence, high severity)</w:t>
      </w:r>
      <w:r w:rsidRPr="009819CE">
        <w:rPr>
          <w:rFonts w:cstheme="minorBidi"/>
          <w:color w:val="000000" w:themeColor="text1"/>
        </w:rPr>
        <w:t xml:space="preserve">. From a pathological perspective, the initial stages of infection manifest with minimal changes in haemocyte counts and a moderate presence of the parasite within tissues. However, as the infection progresses into advanced stages, there is a notable proliferation of the parasite across diverse tissue types, </w:t>
      </w:r>
      <w:r w:rsidRPr="009819CE">
        <w:rPr>
          <w:rFonts w:cstheme="minorBidi"/>
        </w:rPr>
        <w:t>leading to a state of metabolic exhaustion and muscle necrosis</w:t>
      </w:r>
      <w:r w:rsidRPr="009819CE">
        <w:rPr>
          <w:rFonts w:cstheme="minorBidi"/>
          <w:color w:val="000000" w:themeColor="text1"/>
        </w:rPr>
        <w:t xml:space="preserve"> (Stentiford et al., 2001b; Stentiford et al., 2000). </w:t>
      </w:r>
    </w:p>
    <w:p w14:paraId="76D765BD" w14:textId="3579821D" w:rsidR="0055220B" w:rsidRPr="009819CE" w:rsidRDefault="0088119C" w:rsidP="0055220B">
      <w:pPr>
        <w:rPr>
          <w:rFonts w:cstheme="minorBidi"/>
          <w:color w:val="000000" w:themeColor="text1"/>
        </w:rPr>
      </w:pPr>
      <w:r w:rsidRPr="00FA7D47">
        <w:rPr>
          <w:rFonts w:cstheme="minorBidi"/>
          <w:color w:val="000000" w:themeColor="text1"/>
        </w:rPr>
        <w:t>Th</w:t>
      </w:r>
      <w:r w:rsidR="001D5029" w:rsidRPr="00FA7D47">
        <w:rPr>
          <w:rFonts w:cstheme="minorBidi"/>
          <w:color w:val="000000" w:themeColor="text1"/>
        </w:rPr>
        <w:t>ese</w:t>
      </w:r>
      <w:r w:rsidR="0055220B" w:rsidRPr="009819CE">
        <w:rPr>
          <w:rFonts w:cstheme="minorBidi"/>
          <w:color w:val="000000" w:themeColor="text1"/>
        </w:rPr>
        <w:t xml:space="preserve"> findings indicate that </w:t>
      </w:r>
      <w:r w:rsidR="009D03F4" w:rsidRPr="009819CE">
        <w:rPr>
          <w:rFonts w:cstheme="minorBidi"/>
          <w:i/>
          <w:iCs/>
          <w:color w:val="000000" w:themeColor="text1"/>
        </w:rPr>
        <w:t>Hematodinium</w:t>
      </w:r>
      <w:r w:rsidR="0055220B" w:rsidRPr="009819CE">
        <w:rPr>
          <w:rFonts w:cstheme="minorBidi"/>
          <w:i/>
          <w:iCs/>
          <w:color w:val="000000" w:themeColor="text1"/>
        </w:rPr>
        <w:t xml:space="preserve"> </w:t>
      </w:r>
      <w:r w:rsidR="0055220B" w:rsidRPr="009819CE">
        <w:rPr>
          <w:rFonts w:cstheme="minorBidi"/>
          <w:color w:val="000000" w:themeColor="text1"/>
        </w:rPr>
        <w:t>sp. infection does not seem to influence bacterial diversity and evenness in either the gut or the haemolymph. However, a significant decrease in bacterial community richness was observed in the haemolymph. While overall diversity was preserved, a noticeable change in the overall bacterial community structure was observed in both the gut and haemolymph of heavily infected individuals.</w:t>
      </w:r>
      <w:r w:rsidR="0055220B" w:rsidRPr="009819CE">
        <w:rPr>
          <w:rFonts w:cstheme="minorBidi"/>
        </w:rPr>
        <w:t xml:space="preserve"> </w:t>
      </w:r>
      <w:r w:rsidR="0055220B" w:rsidRPr="009819CE">
        <w:rPr>
          <w:rFonts w:cstheme="minorBidi"/>
          <w:color w:val="000000" w:themeColor="text1"/>
        </w:rPr>
        <w:t>Interestingly, this shift was identified even in the early stages of subpatent infection, where animals tested positive only by PCR.</w:t>
      </w:r>
      <w:r w:rsidR="0055220B" w:rsidRPr="009819CE">
        <w:rPr>
          <w:rFonts w:cstheme="minorBidi"/>
        </w:rPr>
        <w:t xml:space="preserve"> </w:t>
      </w:r>
      <w:r w:rsidR="0055220B" w:rsidRPr="009819CE">
        <w:rPr>
          <w:rFonts w:cstheme="minorBidi"/>
          <w:color w:val="000000" w:themeColor="text1"/>
        </w:rPr>
        <w:t xml:space="preserve">The fact that these changes occur at such an early stage and persist as the disease progresses indicates that the microbiome reacts swiftly to </w:t>
      </w:r>
      <w:r w:rsidR="009D03F4" w:rsidRPr="009819CE">
        <w:rPr>
          <w:rFonts w:cstheme="minorBidi"/>
          <w:i/>
          <w:iCs/>
          <w:color w:val="000000" w:themeColor="text1"/>
        </w:rPr>
        <w:t>Hematodinium</w:t>
      </w:r>
      <w:r w:rsidR="0055220B" w:rsidRPr="009819CE">
        <w:rPr>
          <w:rFonts w:cstheme="minorBidi"/>
          <w:color w:val="000000" w:themeColor="text1"/>
        </w:rPr>
        <w:t xml:space="preserve"> sp. infection, and </w:t>
      </w:r>
      <w:r w:rsidR="005734D2" w:rsidRPr="00FA7D47">
        <w:rPr>
          <w:rFonts w:cstheme="minorBidi"/>
          <w:color w:val="000000" w:themeColor="text1"/>
        </w:rPr>
        <w:t xml:space="preserve">that </w:t>
      </w:r>
      <w:r w:rsidR="0055220B" w:rsidRPr="009819CE">
        <w:rPr>
          <w:rFonts w:cstheme="minorBidi"/>
          <w:color w:val="000000" w:themeColor="text1"/>
        </w:rPr>
        <w:t xml:space="preserve">these disruptions endure as the disease advances. </w:t>
      </w:r>
    </w:p>
    <w:p w14:paraId="4067025D" w14:textId="4A43A3F0" w:rsidR="0055220B" w:rsidRPr="009819CE" w:rsidRDefault="0055220B" w:rsidP="0055220B">
      <w:pPr>
        <w:rPr>
          <w:rFonts w:cstheme="minorBidi"/>
          <w:color w:val="000000" w:themeColor="text1"/>
        </w:rPr>
      </w:pPr>
      <w:r w:rsidRPr="009819CE">
        <w:rPr>
          <w:rFonts w:cstheme="minorBidi"/>
          <w:color w:val="000000" w:themeColor="text1"/>
        </w:rPr>
        <w:t xml:space="preserve">Since </w:t>
      </w:r>
      <w:r w:rsidR="009D03F4" w:rsidRPr="009819CE">
        <w:rPr>
          <w:rFonts w:cstheme="minorBidi"/>
          <w:i/>
          <w:color w:val="000000" w:themeColor="text1"/>
        </w:rPr>
        <w:t>Hematodinium</w:t>
      </w:r>
      <w:r w:rsidRPr="009819CE">
        <w:rPr>
          <w:rFonts w:cstheme="minorBidi"/>
          <w:color w:val="000000" w:themeColor="text1"/>
        </w:rPr>
        <w:t xml:space="preserve"> primarily inhabits and proliferates within the haemolymph, causing a decline in haemocyte counts and transforming the haemolymph into a white milky fluid, noticeable alterations in the richness of the microbial community within the haemolymph were evident from the early phases and advanced phases of infection. A similar trend of reduced richness has previously been reported in cases of shrimp affected by white faeces syndrome (WFS) </w:t>
      </w:r>
      <w:r w:rsidRPr="009819CE">
        <w:rPr>
          <w:rFonts w:cstheme="minorBidi"/>
          <w:color w:val="000000" w:themeColor="text1"/>
        </w:rPr>
        <w:fldChar w:fldCharType="begin">
          <w:fldData xml:space="preserve">PEVuZE5vdGU+PENpdGU+PEF1dGhvcj5IdWFuZzwvQXV0aG9yPjxZZWFyPjIwMjA8L1llYXI+PFJl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=
</w:fldData>
        </w:fldChar>
      </w:r>
      <w:r w:rsidR="00D50EFF" w:rsidRPr="009819CE">
        <w:rPr>
          <w:rFonts w:cstheme="minorBidi"/>
          <w:color w:val="000000" w:themeColor="text1"/>
        </w:rPr>
        <w:instrText xml:space="preserve"> ADDIN EN.CITE </w:instrText>
      </w:r>
      <w:r w:rsidR="00D50EFF" w:rsidRPr="009819CE">
        <w:rPr>
          <w:rFonts w:cstheme="minorBidi"/>
          <w:color w:val="000000" w:themeColor="text1"/>
        </w:rPr>
        <w:fldChar w:fldCharType="begin">
          <w:fldData xml:space="preserve">PEVuZE5vdGU+PENpdGU+PEF1dGhvcj5IdWFuZzwvQXV0aG9yPjxZZWFyPjIwMjA8L1llYXI+PFJl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=
</w:fldData>
        </w:fldChar>
      </w:r>
      <w:r w:rsidR="00D50EFF" w:rsidRPr="009819CE">
        <w:rPr>
          <w:rFonts w:cstheme="minorBidi"/>
          <w:color w:val="000000" w:themeColor="text1"/>
        </w:rPr>
        <w:instrText xml:space="preserve"> ADDIN EN.CITE.DATA </w:instrText>
      </w:r>
      <w:r w:rsidR="00D50EFF" w:rsidRPr="009819CE">
        <w:rPr>
          <w:rFonts w:cstheme="minorBidi"/>
          <w:color w:val="000000" w:themeColor="text1"/>
        </w:rPr>
      </w:r>
      <w:r w:rsidR="00D50EFF" w:rsidRPr="009819CE">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9819CE">
        <w:rPr>
          <w:rFonts w:cstheme="minorBidi"/>
          <w:color w:val="000000" w:themeColor="text1"/>
        </w:rPr>
        <w:t>(</w:t>
      </w:r>
      <w:hyperlink w:anchor="_ENREF_148" w:tooltip="Huang, 2020 #812" w:history="1">
        <w:r w:rsidR="00950097" w:rsidRPr="009819CE">
          <w:rPr>
            <w:rFonts w:cstheme="minorBidi"/>
            <w:color w:val="000000" w:themeColor="text1"/>
          </w:rPr>
          <w:t>Huang et al., 2020c</w:t>
        </w:r>
      </w:hyperlink>
      <w:r w:rsidR="00D50EFF" w:rsidRPr="009819CE">
        <w:rPr>
          <w:rFonts w:cstheme="minorBidi"/>
          <w:color w:val="000000" w:themeColor="text1"/>
        </w:rPr>
        <w:t xml:space="preserve">; </w:t>
      </w:r>
      <w:hyperlink w:anchor="_ENREF_228" w:tooltip="Munkongwongsiri, 2022 #1861" w:history="1">
        <w:r w:rsidR="00950097" w:rsidRPr="009819CE">
          <w:rPr>
            <w:rFonts w:cstheme="minorBidi"/>
            <w:color w:val="000000" w:themeColor="text1"/>
          </w:rPr>
          <w:t>Munkongwongsiri et al., 2022</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w:t>
      </w:r>
      <w:r w:rsidR="00481826" w:rsidRPr="009819CE">
        <w:rPr>
          <w:rFonts w:cstheme="minorBidi"/>
          <w:color w:val="000000" w:themeColor="text1"/>
        </w:rPr>
        <w:t xml:space="preserve"> </w:t>
      </w:r>
      <w:r w:rsidRPr="009819CE">
        <w:rPr>
          <w:rFonts w:cstheme="minorBidi"/>
          <w:color w:val="000000" w:themeColor="text1"/>
        </w:rPr>
        <w:t xml:space="preserve">Additionally, a significant dysbiosis in the overall bacterial community composition of the haemolymph was apparent, with the analysis of different genera highlighting a notable reduction in the abundance of over 100 genera in the infected group. Notably, within this group, genera like </w:t>
      </w:r>
      <w:r w:rsidRPr="009819CE">
        <w:rPr>
          <w:rFonts w:cstheme="minorBidi"/>
          <w:i/>
          <w:iCs/>
          <w:color w:val="000000" w:themeColor="text1"/>
        </w:rPr>
        <w:t>Blautia</w:t>
      </w:r>
      <w:r w:rsidRPr="009819CE">
        <w:rPr>
          <w:rFonts w:cstheme="minorBidi"/>
          <w:color w:val="000000" w:themeColor="text1"/>
        </w:rPr>
        <w:t xml:space="preserve">, </w:t>
      </w:r>
      <w:r w:rsidRPr="009819CE">
        <w:rPr>
          <w:rFonts w:cstheme="minorBidi"/>
          <w:i/>
          <w:iCs/>
        </w:rPr>
        <w:t>Lachnospiraceae</w:t>
      </w:r>
      <w:r w:rsidRPr="009819CE">
        <w:rPr>
          <w:rFonts w:cstheme="minorBidi"/>
          <w:color w:val="000000" w:themeColor="text1"/>
        </w:rPr>
        <w:t xml:space="preserve"> unclassified, and </w:t>
      </w:r>
      <w:r w:rsidRPr="009819CE">
        <w:rPr>
          <w:rFonts w:cstheme="minorBidi"/>
          <w:i/>
          <w:iCs/>
          <w:color w:val="000000" w:themeColor="text1"/>
        </w:rPr>
        <w:t>Cellulosilyticum</w:t>
      </w:r>
      <w:r w:rsidRPr="009819CE">
        <w:rPr>
          <w:rFonts w:cstheme="minorBidi"/>
          <w:color w:val="000000" w:themeColor="text1"/>
        </w:rPr>
        <w:t xml:space="preserve">, all belonging to the </w:t>
      </w:r>
      <w:r w:rsidRPr="009819CE">
        <w:rPr>
          <w:rFonts w:cstheme="minorBidi"/>
          <w:i/>
          <w:iCs/>
          <w:color w:val="000000" w:themeColor="text1"/>
        </w:rPr>
        <w:t>Lachnospiraceae</w:t>
      </w:r>
      <w:r w:rsidRPr="009819CE">
        <w:rPr>
          <w:rFonts w:cstheme="minorBidi"/>
          <w:color w:val="000000" w:themeColor="text1"/>
        </w:rPr>
        <w:t xml:space="preserve"> family, displayed decreased presence. </w:t>
      </w:r>
      <w:r w:rsidRPr="009819CE">
        <w:rPr>
          <w:rFonts w:cstheme="minorBidi"/>
          <w:i/>
          <w:iCs/>
          <w:color w:val="000000" w:themeColor="text1"/>
        </w:rPr>
        <w:t>Lachnospiraceae</w:t>
      </w:r>
      <w:r w:rsidRPr="009819CE">
        <w:rPr>
          <w:rFonts w:cstheme="minorBidi"/>
          <w:color w:val="000000" w:themeColor="text1"/>
        </w:rPr>
        <w:t xml:space="preserve"> are </w:t>
      </w:r>
      <w:r w:rsidRPr="009819CE">
        <w:rPr>
          <w:rFonts w:cstheme="minorBidi"/>
          <w:color w:val="000000"/>
        </w:rPr>
        <w:t>cellulose-degrading bacteria</w:t>
      </w:r>
      <w:r w:rsidRPr="009819CE">
        <w:rPr>
          <w:rFonts w:cstheme="minorBidi"/>
          <w:color w:val="000000" w:themeColor="text1"/>
        </w:rPr>
        <w:t xml:space="preserve"> capable of fermenting </w:t>
      </w:r>
      <w:r w:rsidRPr="009819CE">
        <w:rPr>
          <w:rFonts w:cstheme="minorBidi"/>
          <w:color w:val="000000"/>
        </w:rPr>
        <w:t xml:space="preserve">polysaccharides to short-chain fatty acids </w:t>
      </w:r>
      <w:r w:rsidRPr="009819CE">
        <w:rPr>
          <w:rFonts w:cstheme="minorBidi"/>
          <w:color w:val="000000" w:themeColor="text1"/>
        </w:rPr>
        <w:t xml:space="preserve">and have been identified in the </w:t>
      </w:r>
      <w:r w:rsidR="00D94DC1" w:rsidRPr="00FA7D47">
        <w:rPr>
          <w:rFonts w:cstheme="minorBidi"/>
          <w:color w:val="000000" w:themeColor="text1"/>
        </w:rPr>
        <w:t>“healthy”</w:t>
      </w:r>
      <w:r w:rsidRPr="009819CE">
        <w:rPr>
          <w:rFonts w:cstheme="minorBidi"/>
          <w:color w:val="000000" w:themeColor="text1"/>
        </w:rPr>
        <w:t xml:space="preserve"> microbiomes of various species, including</w:t>
      </w:r>
      <w:r w:rsidR="003B3AA9" w:rsidRPr="009819CE">
        <w:rPr>
          <w:rFonts w:cstheme="minorBidi"/>
          <w:color w:val="000000" w:themeColor="text1"/>
        </w:rPr>
        <w:t xml:space="preserve"> the Chinese mitten crab</w:t>
      </w:r>
      <w:r w:rsidRPr="009819CE">
        <w:rPr>
          <w:rFonts w:cstheme="minorBidi"/>
          <w:color w:val="000000" w:themeColor="text1"/>
        </w:rPr>
        <w:t xml:space="preserve"> (</w:t>
      </w:r>
      <w:r w:rsidR="003B3AA9" w:rsidRPr="009819CE">
        <w:rPr>
          <w:rFonts w:cstheme="minorBidi"/>
          <w:i/>
          <w:iCs/>
          <w:color w:val="000000" w:themeColor="text1"/>
        </w:rPr>
        <w:t>Eriocheir sinensis</w:t>
      </w:r>
      <w:r w:rsidRPr="009819CE">
        <w:rPr>
          <w:rFonts w:cstheme="minorBidi"/>
          <w:color w:val="000000" w:themeColor="text1"/>
        </w:rPr>
        <w:t xml:space="preserve">) </w:t>
      </w:r>
      <w:r w:rsidRPr="009819CE">
        <w:rPr>
          <w:rFonts w:cstheme="minorBidi"/>
          <w:color w:val="000000" w:themeColor="text1"/>
        </w:rPr>
        <w:fldChar w:fldCharType="begin">
          <w:fldData xml:space="preserve">PEVuZE5vdGU+PENpdGU+PEF1dGhvcj5WYWNjYTwvQXV0aG9yPjxZZWFyPjIwMjA8L1llYXI+PFJl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</w:fldData>
        </w:fldChar>
      </w:r>
      <w:r w:rsidR="00ED1A9E" w:rsidRPr="009819CE">
        <w:rPr>
          <w:rFonts w:cstheme="minorBidi"/>
          <w:color w:val="000000" w:themeColor="text1"/>
        </w:rPr>
        <w:instrText xml:space="preserve"> ADDIN EN.CITE </w:instrText>
      </w:r>
      <w:r w:rsidR="00ED1A9E" w:rsidRPr="009819CE">
        <w:rPr>
          <w:rFonts w:cstheme="minorBidi"/>
          <w:color w:val="000000" w:themeColor="text1"/>
        </w:rPr>
        <w:fldChar w:fldCharType="begin">
          <w:fldData xml:space="preserve">PEVuZE5vdGU+PENpdGU+PEF1dGhvcj5WYWNjYTwvQXV0aG9yPjxZZWFyPjIwMjA8L1llYXI+PFJl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</w:fldData>
        </w:fldChar>
      </w:r>
      <w:r w:rsidR="00ED1A9E" w:rsidRPr="009819CE">
        <w:rPr>
          <w:rFonts w:cstheme="minorBidi"/>
          <w:color w:val="000000" w:themeColor="text1"/>
        </w:rPr>
        <w:instrText xml:space="preserve"> ADDIN EN.CITE.DATA </w:instrText>
      </w:r>
      <w:r w:rsidR="00ED1A9E" w:rsidRPr="009819CE">
        <w:rPr>
          <w:rFonts w:cstheme="minorBidi"/>
          <w:color w:val="000000" w:themeColor="text1"/>
        </w:rPr>
      </w:r>
      <w:r w:rsidR="00ED1A9E" w:rsidRPr="009819CE">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7268F5">
        <w:rPr>
          <w:rFonts w:cstheme="minorBidi"/>
          <w:color w:val="000000" w:themeColor="text1"/>
        </w:rPr>
        <w:t>(</w:t>
      </w:r>
      <w:hyperlink w:anchor="_ENREF_313" w:tooltip="Su, 2020 #715" w:history="1">
        <w:r w:rsidR="00950097" w:rsidRPr="007268F5">
          <w:rPr>
            <w:rFonts w:cstheme="minorBidi"/>
            <w:color w:val="000000" w:themeColor="text1"/>
          </w:rPr>
          <w:t>Su et al., 2020</w:t>
        </w:r>
      </w:hyperlink>
      <w:r w:rsidR="00D50EFF" w:rsidRPr="007268F5">
        <w:rPr>
          <w:rFonts w:cstheme="minorBidi"/>
          <w:color w:val="000000" w:themeColor="text1"/>
        </w:rPr>
        <w:t xml:space="preserve">; </w:t>
      </w:r>
      <w:hyperlink w:anchor="_ENREF_335" w:tooltip="Vacca, 2020 #1765" w:history="1">
        <w:r w:rsidR="00950097" w:rsidRPr="007268F5">
          <w:rPr>
            <w:rFonts w:cstheme="minorBidi"/>
            <w:color w:val="000000" w:themeColor="text1"/>
          </w:rPr>
          <w:t>Vacca et al., 2020</w:t>
        </w:r>
      </w:hyperlink>
      <w:r w:rsidR="00D50EFF"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Similarly, </w:t>
      </w:r>
      <w:r w:rsidRPr="009819CE">
        <w:rPr>
          <w:rFonts w:cstheme="minorBidi"/>
          <w:i/>
          <w:iCs/>
          <w:color w:val="000000" w:themeColor="text1"/>
        </w:rPr>
        <w:t>Peptostreptococcaceae</w:t>
      </w:r>
      <w:r w:rsidRPr="009819CE">
        <w:rPr>
          <w:rFonts w:cstheme="minorBidi"/>
          <w:color w:val="000000" w:themeColor="text1"/>
        </w:rPr>
        <w:t xml:space="preserve"> (</w:t>
      </w:r>
      <w:r w:rsidRPr="009819CE">
        <w:rPr>
          <w:rFonts w:cstheme="minorBidi"/>
          <w:i/>
          <w:iCs/>
          <w:color w:val="000000" w:themeColor="text1"/>
        </w:rPr>
        <w:t>Acetoanaerobium</w:t>
      </w:r>
      <w:r w:rsidRPr="009819CE">
        <w:rPr>
          <w:rFonts w:cstheme="minorBidi"/>
          <w:color w:val="000000" w:themeColor="text1"/>
        </w:rPr>
        <w:t xml:space="preserve">, </w:t>
      </w:r>
      <w:r w:rsidRPr="009819CE">
        <w:rPr>
          <w:rFonts w:cstheme="minorBidi"/>
          <w:i/>
          <w:iCs/>
          <w:color w:val="000000" w:themeColor="text1"/>
        </w:rPr>
        <w:t>Intestinibacter</w:t>
      </w:r>
      <w:r w:rsidRPr="009819CE">
        <w:rPr>
          <w:rFonts w:cstheme="minorBidi"/>
          <w:color w:val="000000" w:themeColor="text1"/>
        </w:rPr>
        <w:t xml:space="preserve">, </w:t>
      </w:r>
      <w:r w:rsidRPr="009819CE">
        <w:rPr>
          <w:rFonts w:cstheme="minorBidi"/>
          <w:i/>
          <w:iCs/>
          <w:color w:val="000000" w:themeColor="text1"/>
        </w:rPr>
        <w:t>Paeniclostridium</w:t>
      </w:r>
      <w:r w:rsidRPr="009819CE">
        <w:rPr>
          <w:rFonts w:cstheme="minorBidi"/>
          <w:color w:val="000000" w:themeColor="text1"/>
        </w:rPr>
        <w:t xml:space="preserve">, </w:t>
      </w:r>
      <w:r w:rsidRPr="009819CE">
        <w:rPr>
          <w:rFonts w:cstheme="minorBidi"/>
          <w:i/>
          <w:iCs/>
          <w:color w:val="000000" w:themeColor="text1"/>
        </w:rPr>
        <w:t>Peptostreptococcaceae</w:t>
      </w:r>
      <w:r w:rsidRPr="009819CE">
        <w:rPr>
          <w:rFonts w:cstheme="minorBidi"/>
          <w:color w:val="000000" w:themeColor="text1"/>
        </w:rPr>
        <w:t xml:space="preserve"> </w:t>
      </w:r>
      <w:r w:rsidR="00F40080">
        <w:rPr>
          <w:rFonts w:cstheme="minorBidi"/>
          <w:color w:val="000000" w:themeColor="text1"/>
        </w:rPr>
        <w:t>unclassified</w:t>
      </w:r>
      <w:r w:rsidRPr="009819CE">
        <w:rPr>
          <w:rFonts w:cstheme="minorBidi"/>
          <w:color w:val="000000" w:themeColor="text1"/>
        </w:rPr>
        <w:t xml:space="preserve">, </w:t>
      </w:r>
      <w:r w:rsidRPr="009819CE">
        <w:rPr>
          <w:rFonts w:cstheme="minorBidi"/>
          <w:i/>
          <w:iCs/>
          <w:color w:val="000000" w:themeColor="text1"/>
        </w:rPr>
        <w:t>Romboutsia</w:t>
      </w:r>
      <w:r w:rsidRPr="009819CE">
        <w:rPr>
          <w:rFonts w:cstheme="minorBidi"/>
          <w:color w:val="000000" w:themeColor="text1"/>
        </w:rPr>
        <w:t xml:space="preserve">), known for their significant fermentative metabolic capabilities, exhibited noticeable reduction. </w:t>
      </w:r>
      <w:r w:rsidRPr="009819CE">
        <w:rPr>
          <w:rFonts w:cstheme="minorBidi"/>
          <w:color w:val="000000"/>
        </w:rPr>
        <w:t xml:space="preserve">This family was also described in </w:t>
      </w:r>
      <w:r w:rsidR="00E15105" w:rsidRPr="009819CE">
        <w:rPr>
          <w:rFonts w:cstheme="minorBidi"/>
          <w:color w:val="000000"/>
        </w:rPr>
        <w:t xml:space="preserve">green </w:t>
      </w:r>
      <w:r w:rsidRPr="009819CE">
        <w:rPr>
          <w:rFonts w:cstheme="minorBidi"/>
          <w:color w:val="000000"/>
        </w:rPr>
        <w:t xml:space="preserve">mud crab </w:t>
      </w:r>
      <w:r w:rsidR="00E220E1" w:rsidRPr="009819CE">
        <w:rPr>
          <w:rFonts w:cstheme="minorBidi"/>
          <w:color w:val="000000"/>
        </w:rPr>
        <w:t>(</w:t>
      </w:r>
      <w:r w:rsidRPr="009819CE">
        <w:rPr>
          <w:rFonts w:cstheme="minorBidi"/>
          <w:i/>
          <w:iCs/>
          <w:color w:val="000000"/>
        </w:rPr>
        <w:t>Scylla paramamosain</w:t>
      </w:r>
      <w:r w:rsidR="00E220E1" w:rsidRPr="009819CE">
        <w:rPr>
          <w:rFonts w:cstheme="minorBidi"/>
          <w:color w:val="000000"/>
        </w:rPr>
        <w:t>)</w:t>
      </w:r>
      <w:r w:rsidRPr="009819CE">
        <w:rPr>
          <w:rFonts w:cstheme="minorBidi"/>
          <w:i/>
          <w:iCs/>
          <w:color w:val="000000"/>
        </w:rPr>
        <w:t xml:space="preserve"> </w:t>
      </w:r>
      <w:sdt>
        <w:sdtPr>
          <w:rPr>
            <w:rFonts w:cstheme="minorBidi"/>
            <w:color w:val="000000"/>
          </w:rPr>
          <w:tag w:val="MENDELEY_CITATION_v3_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"/>
          <w:id w:val="1614858518"/>
          <w:placeholder>
            <w:docPart w:val="234277BCA82143F6A54350D898B26394"/>
          </w:placeholder>
        </w:sdtPr>
        <w:sdtEndPr/>
        <w:sdtContent>
          <w:r w:rsidRPr="009819CE">
            <w:rPr>
              <w:rFonts w:cstheme="minorBidi"/>
              <w:color w:val="000000"/>
            </w:rPr>
            <w:t>(Lin et al., 2022)</w:t>
          </w:r>
        </w:sdtContent>
      </w:sdt>
      <w:r w:rsidRPr="009819CE">
        <w:rPr>
          <w:rFonts w:cstheme="minorBidi"/>
          <w:color w:val="000000"/>
        </w:rPr>
        <w:t xml:space="preserve">. </w:t>
      </w:r>
      <w:r w:rsidRPr="009819CE">
        <w:rPr>
          <w:rFonts w:cstheme="minorBidi"/>
          <w:color w:val="000000" w:themeColor="text1"/>
        </w:rPr>
        <w:t xml:space="preserve">In contrast, the haemolymph of </w:t>
      </w:r>
      <w:r w:rsidR="009D03F4" w:rsidRPr="009819CE">
        <w:rPr>
          <w:rFonts w:cstheme="minorBidi"/>
          <w:i/>
          <w:color w:val="000000" w:themeColor="text1"/>
        </w:rPr>
        <w:t>Hematodinium</w:t>
      </w:r>
      <w:r w:rsidRPr="009819CE">
        <w:rPr>
          <w:rFonts w:cstheme="minorBidi"/>
          <w:color w:val="000000" w:themeColor="text1"/>
        </w:rPr>
        <w:t xml:space="preserve">-positive individuals displayed an increased abundance of genera such as </w:t>
      </w:r>
      <w:r w:rsidRPr="009819CE">
        <w:rPr>
          <w:rFonts w:cstheme="minorBidi"/>
          <w:i/>
          <w:iCs/>
          <w:color w:val="000000" w:themeColor="text1"/>
        </w:rPr>
        <w:t>Rhodovulum</w:t>
      </w:r>
      <w:r w:rsidRPr="009819CE">
        <w:rPr>
          <w:rFonts w:cstheme="minorBidi"/>
          <w:color w:val="000000" w:themeColor="text1"/>
        </w:rPr>
        <w:t xml:space="preserve">, </w:t>
      </w:r>
      <w:r w:rsidRPr="009819CE">
        <w:rPr>
          <w:rFonts w:cstheme="minorBidi"/>
          <w:i/>
          <w:iCs/>
          <w:color w:val="000000" w:themeColor="text1"/>
        </w:rPr>
        <w:t>Tessaracoccus</w:t>
      </w:r>
      <w:r w:rsidRPr="009819CE">
        <w:rPr>
          <w:rFonts w:cstheme="minorBidi"/>
          <w:color w:val="000000" w:themeColor="text1"/>
        </w:rPr>
        <w:t xml:space="preserve">, </w:t>
      </w:r>
      <w:r w:rsidRPr="009819CE">
        <w:rPr>
          <w:rFonts w:cstheme="minorBidi"/>
          <w:i/>
          <w:iCs/>
          <w:color w:val="000000" w:themeColor="text1"/>
        </w:rPr>
        <w:t>Chryseobacterium</w:t>
      </w:r>
      <w:r w:rsidRPr="009819CE">
        <w:rPr>
          <w:rFonts w:cstheme="minorBidi"/>
          <w:color w:val="000000" w:themeColor="text1"/>
        </w:rPr>
        <w:t xml:space="preserve">, </w:t>
      </w:r>
      <w:r w:rsidRPr="009819CE">
        <w:rPr>
          <w:rFonts w:cstheme="minorBidi"/>
          <w:i/>
          <w:iCs/>
          <w:color w:val="000000" w:themeColor="text1"/>
        </w:rPr>
        <w:t>Sphingobacterium</w:t>
      </w:r>
      <w:r w:rsidRPr="009819CE">
        <w:rPr>
          <w:rFonts w:cstheme="minorBidi"/>
          <w:color w:val="000000" w:themeColor="text1"/>
        </w:rPr>
        <w:t xml:space="preserve">, </w:t>
      </w:r>
      <w:r w:rsidRPr="009819CE">
        <w:rPr>
          <w:rFonts w:cstheme="minorBidi"/>
          <w:i/>
          <w:iCs/>
          <w:color w:val="000000" w:themeColor="text1"/>
        </w:rPr>
        <w:t>Wolinella</w:t>
      </w:r>
      <w:r w:rsidRPr="009819CE">
        <w:rPr>
          <w:rFonts w:cstheme="minorBidi"/>
          <w:color w:val="000000" w:themeColor="text1"/>
        </w:rPr>
        <w:t xml:space="preserve">, </w:t>
      </w:r>
      <w:r w:rsidRPr="009819CE">
        <w:rPr>
          <w:rFonts w:cstheme="minorBidi"/>
          <w:i/>
          <w:iCs/>
          <w:color w:val="000000" w:themeColor="text1"/>
        </w:rPr>
        <w:t>Rurimicrobium</w:t>
      </w:r>
      <w:r w:rsidRPr="009819CE">
        <w:rPr>
          <w:rFonts w:cstheme="minorBidi"/>
          <w:color w:val="000000" w:themeColor="text1"/>
        </w:rPr>
        <w:t xml:space="preserve">, </w:t>
      </w:r>
      <w:r w:rsidRPr="009819CE">
        <w:rPr>
          <w:rFonts w:cstheme="minorBidi"/>
          <w:i/>
          <w:iCs/>
          <w:color w:val="000000" w:themeColor="text1"/>
        </w:rPr>
        <w:t>Calditerrivibrio</w:t>
      </w:r>
      <w:r w:rsidRPr="009819CE">
        <w:rPr>
          <w:rFonts w:cstheme="minorBidi"/>
          <w:color w:val="000000" w:themeColor="text1"/>
        </w:rPr>
        <w:t xml:space="preserve">, </w:t>
      </w:r>
      <w:r w:rsidRPr="009819CE">
        <w:rPr>
          <w:rFonts w:cstheme="minorBidi"/>
          <w:i/>
          <w:iCs/>
          <w:color w:val="000000" w:themeColor="text1"/>
        </w:rPr>
        <w:t>Butyrivibrio</w:t>
      </w:r>
      <w:r w:rsidRPr="009819CE">
        <w:rPr>
          <w:rFonts w:cstheme="minorBidi"/>
          <w:color w:val="000000" w:themeColor="text1"/>
        </w:rPr>
        <w:t xml:space="preserve">, </w:t>
      </w:r>
      <w:r w:rsidRPr="009819CE">
        <w:rPr>
          <w:rFonts w:cstheme="minorBidi"/>
          <w:i/>
          <w:iCs/>
          <w:color w:val="000000" w:themeColor="text1"/>
        </w:rPr>
        <w:t>Crenothrix</w:t>
      </w:r>
      <w:r w:rsidRPr="009819CE">
        <w:rPr>
          <w:rFonts w:cstheme="minorBidi"/>
          <w:color w:val="000000" w:themeColor="text1"/>
        </w:rPr>
        <w:t xml:space="preserve">, </w:t>
      </w:r>
      <w:r w:rsidRPr="009819CE">
        <w:rPr>
          <w:rFonts w:cstheme="minorBidi"/>
          <w:i/>
          <w:iCs/>
          <w:color w:val="000000" w:themeColor="text1"/>
        </w:rPr>
        <w:t>Hydrogenophilus</w:t>
      </w:r>
      <w:r w:rsidRPr="009819CE">
        <w:rPr>
          <w:rFonts w:cstheme="minorBidi"/>
          <w:color w:val="000000" w:themeColor="text1"/>
        </w:rPr>
        <w:t xml:space="preserve">, and </w:t>
      </w:r>
      <w:r w:rsidRPr="009819CE">
        <w:rPr>
          <w:rFonts w:cstheme="minorBidi"/>
          <w:i/>
          <w:iCs/>
          <w:color w:val="000000" w:themeColor="text1"/>
        </w:rPr>
        <w:t>Xanthomonas</w:t>
      </w:r>
      <w:r w:rsidRPr="009819CE">
        <w:rPr>
          <w:rFonts w:cstheme="minorBidi"/>
          <w:color w:val="000000" w:themeColor="text1"/>
        </w:rPr>
        <w:t xml:space="preserve">. </w:t>
      </w:r>
      <w:r w:rsidRPr="007268F5">
        <w:rPr>
          <w:rFonts w:cstheme="minorBidi"/>
          <w:i/>
          <w:iCs/>
          <w:color w:val="000000" w:themeColor="text1"/>
        </w:rPr>
        <w:t>Rhodovulum</w:t>
      </w:r>
      <w:r w:rsidRPr="009819CE">
        <w:rPr>
          <w:rFonts w:cstheme="minorBidi"/>
          <w:color w:val="000000" w:themeColor="text1"/>
        </w:rPr>
        <w:t xml:space="preserve"> has been linked with responses to thermal stress (Pootakham et al., 2019), whereas</w:t>
      </w:r>
      <w:r w:rsidR="009D6BC2" w:rsidRPr="00FA7D47">
        <w:rPr>
          <w:rFonts w:cstheme="minorBidi"/>
          <w:color w:val="000000" w:themeColor="text1"/>
        </w:rPr>
        <w:t xml:space="preserve"> some</w:t>
      </w:r>
      <w:r w:rsidRPr="009819CE">
        <w:rPr>
          <w:rFonts w:cstheme="minorBidi"/>
          <w:color w:val="000000" w:themeColor="text1"/>
        </w:rPr>
        <w:t xml:space="preserve"> </w:t>
      </w:r>
      <w:r w:rsidRPr="009819CE">
        <w:rPr>
          <w:rFonts w:cstheme="minorBidi"/>
          <w:i/>
          <w:iCs/>
          <w:color w:val="000000" w:themeColor="text1"/>
        </w:rPr>
        <w:t>Tessaracoccus</w:t>
      </w:r>
      <w:r w:rsidRPr="009819CE">
        <w:rPr>
          <w:rFonts w:cstheme="minorBidi"/>
          <w:color w:val="000000" w:themeColor="text1"/>
        </w:rPr>
        <w:t xml:space="preserve"> </w:t>
      </w:r>
      <w:r w:rsidR="009D6BC2" w:rsidRPr="00FA7D47">
        <w:rPr>
          <w:rFonts w:cstheme="minorBidi"/>
          <w:color w:val="000000" w:themeColor="text1"/>
        </w:rPr>
        <w:t xml:space="preserve">spp. </w:t>
      </w:r>
      <w:r w:rsidRPr="009819CE">
        <w:rPr>
          <w:rFonts w:cstheme="minorBidi"/>
          <w:color w:val="000000" w:themeColor="text1"/>
        </w:rPr>
        <w:t>ha</w:t>
      </w:r>
      <w:r w:rsidR="009D6BC2" w:rsidRPr="00FA7D47">
        <w:rPr>
          <w:rFonts w:cstheme="minorBidi"/>
          <w:color w:val="000000" w:themeColor="text1"/>
        </w:rPr>
        <w:t>ve</w:t>
      </w:r>
      <w:r w:rsidRPr="009819CE">
        <w:rPr>
          <w:rFonts w:cstheme="minorBidi"/>
          <w:color w:val="000000" w:themeColor="text1"/>
        </w:rPr>
        <w:t xml:space="preserve"> more recently gained recognition as likely human pathogen</w:t>
      </w:r>
      <w:r w:rsidR="00287851">
        <w:rPr>
          <w:rFonts w:cstheme="minorBidi"/>
          <w:color w:val="000000" w:themeColor="text1"/>
        </w:rPr>
        <w:t>s</w:t>
      </w:r>
      <w:r w:rsidRPr="009819CE">
        <w:rPr>
          <w:rFonts w:cstheme="minorBidi"/>
          <w:color w:val="000000" w:themeColor="text1"/>
        </w:rPr>
        <w:t xml:space="preserve"> (Seck et al., 2016).</w:t>
      </w:r>
    </w:p>
    <w:p w14:paraId="4AD2899E" w14:textId="3683F256" w:rsidR="0055220B" w:rsidRPr="009819CE" w:rsidRDefault="0055220B" w:rsidP="0055220B">
      <w:pPr>
        <w:rPr>
          <w:rFonts w:cstheme="minorBidi"/>
          <w:color w:val="000000" w:themeColor="text1"/>
        </w:rPr>
      </w:pPr>
      <w:r w:rsidRPr="009819CE">
        <w:rPr>
          <w:rFonts w:cstheme="minorBidi"/>
          <w:color w:val="000000" w:themeColor="text1"/>
        </w:rPr>
        <w:t>While the alpha diversity indices of the gut microbiome showed no significant changes,  a remarkable shift in the overall composition of the gut community</w:t>
      </w:r>
      <w:r w:rsidR="00843647">
        <w:rPr>
          <w:rFonts w:cstheme="minorBidi"/>
          <w:color w:val="000000" w:themeColor="text1"/>
        </w:rPr>
        <w:t xml:space="preserve"> was observed</w:t>
      </w:r>
      <w:r w:rsidRPr="009819CE">
        <w:rPr>
          <w:rFonts w:cstheme="minorBidi"/>
          <w:color w:val="000000" w:themeColor="text1"/>
        </w:rPr>
        <w:t xml:space="preserve">. This finding </w:t>
      </w:r>
      <w:r w:rsidR="005734D2" w:rsidRPr="00FA7D47">
        <w:rPr>
          <w:rFonts w:cstheme="minorBidi"/>
          <w:color w:val="000000" w:themeColor="text1"/>
        </w:rPr>
        <w:t xml:space="preserve">is </w:t>
      </w:r>
      <w:r w:rsidRPr="009819CE">
        <w:rPr>
          <w:rFonts w:cstheme="minorBidi"/>
          <w:color w:val="000000" w:themeColor="text1"/>
        </w:rPr>
        <w:t xml:space="preserve">in line with </w:t>
      </w:r>
      <w:hyperlink w:anchor="_ENREF_344" w:tooltip="Wang, 2019 #506" w:history="1">
        <w:r w:rsidR="00950097" w:rsidRPr="009819CE">
          <w:rPr>
            <w:rFonts w:cstheme="minorBidi"/>
            <w:color w:val="000000" w:themeColor="text1"/>
          </w:rPr>
          <w:fldChar w:fldCharType="begin"/>
        </w:r>
        <w:r w:rsidR="00950097" w:rsidRPr="009819CE">
          <w:rPr>
            <w:rFonts w:cstheme="minorBidi"/>
            <w:color w:val="000000" w:themeColor="text1"/>
          </w:rPr>
          <w:instrText xml:space="preserve"> ADDIN EN.CITE &lt;EndNote&gt;&lt;Cite AuthorYear="1"&gt;&lt;Author&gt;Wang&lt;/Author&gt;&lt;Year&gt;2019&lt;/Year&gt;&lt;RecNum&gt;506&lt;/RecNum&gt;&lt;DisplayText&gt;Wang et al. (2019)&lt;/DisplayText&gt;&lt;record&gt;&lt;rec-number&gt;506&lt;/rec-number&gt;&lt;foreign-keys&gt;&lt;key app="EN" db-id="sd9wrx9fj09rx3erprsx999o0r5aprvp2zse" timestamp="1687855901" guid="57228eac-687c-442e-aeb1-84bb20c10c42"&gt;506&lt;/key&gt;&lt;/foreign-keys&gt;&lt;ref-type name="Journal Article"&gt;17&lt;/ref-type&gt;&lt;contributors&gt;&lt;authors&gt;&lt;author&gt;Wang, Jun&lt;/author&gt;&lt;author&gt;Huang, Youjia&lt;/author&gt;&lt;author&gt;Xu, Kaihang&lt;/author&gt;&lt;author&gt;Zhang, Xiaoyong&lt;/author&gt;&lt;author&gt;Sun, Hongyan&lt;/author&gt;&lt;author&gt;Fan, Lanfen&lt;/author&gt;&lt;author&gt;Yan, Muting&lt;/author&gt;&lt;/authors&gt;&lt;/contributors&gt;&lt;titles&gt;&lt;title&gt;&lt;style face="normal" font="default" size="100%"&gt;White spot syndrome virus (WSSV) infection impacts intestinal microbiota composition and function in &lt;/style&gt;&lt;style face="italic" font="default" size="100%"&gt;Litopenaeus vannamei&lt;/style&gt;&lt;/title&gt;&lt;secondary-title&gt;Fish and Shellfish Immunology&lt;/secondary-title&gt;&lt;/titles&gt;&lt;periodical&gt;&lt;full-title&gt;Fish and Shellfish Immunology&lt;/full-title&gt;&lt;/periodical&gt;&lt;pages&gt;130-137&lt;/pages&gt;&lt;volume&gt;84&lt;/volume&gt;&lt;number&gt;July 2018&lt;/number&gt;&lt;keywords&gt;&lt;keyword&gt;Intestinal microbiota&lt;/keyword&gt;&lt;keyword&gt;Litopenaeus vannamei&lt;/keyword&gt;&lt;keyword&gt;WSSV&lt;/keyword&gt;&lt;/keywords&gt;&lt;dates&gt;&lt;year&gt;2019&lt;/year&gt;&lt;pub-dates&gt;&lt;date&gt;2019/1//&lt;/date&gt;&lt;/pub-dates&gt;&lt;/dates&gt;&lt;publisher&gt;Elsevier&lt;/publisher&gt;&lt;urls&gt;&lt;related-urls&gt;&lt;url&gt;https://doi.org/10.1016/j.fsi.2018.09.076&lt;/url&gt;&lt;url&gt;https://linkinghub.elsevier.com/retrieve/pii/S105046481830620X&lt;/url&gt;&lt;/related-urls&gt;&lt;/urls&gt;&lt;electronic-resource-num&gt;10.1016/j.fsi.2018.09.076&lt;/electronic-resource-num&gt;&lt;/record&gt;&lt;/Cite&gt;&lt;/EndNote&gt;</w:instrText>
        </w:r>
        <w:r w:rsidR="00950097" w:rsidRPr="009819CE">
          <w:rPr>
            <w:rFonts w:cstheme="minorBidi"/>
            <w:color w:val="000000" w:themeColor="text1"/>
          </w:rPr>
          <w:fldChar w:fldCharType="separate"/>
        </w:r>
        <w:r w:rsidR="00950097" w:rsidRPr="007268F5">
          <w:rPr>
            <w:rFonts w:cstheme="minorBidi"/>
            <w:color w:val="000000" w:themeColor="text1"/>
          </w:rPr>
          <w:t>Wang et al. (2019)</w:t>
        </w:r>
        <w:r w:rsidR="00950097" w:rsidRPr="009819CE">
          <w:rPr>
            <w:rFonts w:cstheme="minorBidi"/>
            <w:color w:val="000000" w:themeColor="text1"/>
          </w:rPr>
          <w:fldChar w:fldCharType="end"/>
        </w:r>
      </w:hyperlink>
      <w:r w:rsidRPr="009819CE">
        <w:rPr>
          <w:rFonts w:cstheme="minorBidi"/>
          <w:color w:val="000000" w:themeColor="text1"/>
        </w:rPr>
        <w:t xml:space="preserve"> study, which reported no substantial alterations in gut microbial richness and diversity during white spot syndrome virus (WSSV) infection in </w:t>
      </w:r>
      <w:r w:rsidR="00C33436" w:rsidRPr="009819CE">
        <w:rPr>
          <w:rFonts w:cstheme="minorBidi"/>
        </w:rPr>
        <w:t>whiteleg</w:t>
      </w:r>
      <w:r w:rsidR="00BD28CC" w:rsidRPr="009819CE">
        <w:rPr>
          <w:rFonts w:cstheme="minorBidi"/>
        </w:rPr>
        <w:t xml:space="preserve"> shrimp</w:t>
      </w:r>
      <w:r w:rsidR="00BD28CC" w:rsidRPr="009819CE">
        <w:rPr>
          <w:rFonts w:cstheme="minorBidi"/>
          <w:i/>
          <w:iCs/>
        </w:rPr>
        <w:t xml:space="preserve"> </w:t>
      </w:r>
      <w:r w:rsidR="00BD28CC" w:rsidRPr="009819CE">
        <w:rPr>
          <w:rFonts w:cstheme="minorBidi"/>
        </w:rPr>
        <w:t>(</w:t>
      </w:r>
      <w:r w:rsidR="00BD28CC" w:rsidRPr="009819CE">
        <w:rPr>
          <w:rFonts w:cstheme="minorBidi"/>
          <w:i/>
          <w:iCs/>
        </w:rPr>
        <w:t>Litopenaeus vannamei</w:t>
      </w:r>
      <w:r w:rsidR="00BD28CC" w:rsidRPr="009819CE">
        <w:rPr>
          <w:rFonts w:cstheme="minorBidi"/>
        </w:rPr>
        <w:t>)</w:t>
      </w:r>
      <w:r w:rsidRPr="009819CE">
        <w:rPr>
          <w:rFonts w:cstheme="minorBidi"/>
          <w:color w:val="000000" w:themeColor="text1"/>
        </w:rPr>
        <w:t>. However, they did detect a significant variation in beta diversity, indicating a notable change in community composition. Similarly, no substantial variations in gut community composition or alpha diversity w</w:t>
      </w:r>
      <w:r w:rsidR="00092542" w:rsidRPr="009819CE">
        <w:rPr>
          <w:rFonts w:cstheme="minorBidi"/>
          <w:color w:val="000000" w:themeColor="text1"/>
        </w:rPr>
        <w:t>ere</w:t>
      </w:r>
      <w:r w:rsidRPr="009819CE">
        <w:rPr>
          <w:rFonts w:cstheme="minorBidi"/>
          <w:color w:val="000000" w:themeColor="text1"/>
        </w:rPr>
        <w:t xml:space="preserve"> observed between 'blue body syndrome' (BBS)-infected and </w:t>
      </w:r>
      <w:r w:rsidR="00D94DC1" w:rsidRPr="00FA7D47">
        <w:rPr>
          <w:rFonts w:cstheme="minorBidi"/>
          <w:color w:val="000000" w:themeColor="text1"/>
        </w:rPr>
        <w:t>“healthy”</w:t>
      </w:r>
      <w:r w:rsidR="002045D3" w:rsidRPr="009819CE">
        <w:rPr>
          <w:rFonts w:cstheme="minorBidi"/>
        </w:rPr>
        <w:t xml:space="preserve"> </w:t>
      </w:r>
      <w:r w:rsidR="00C33436" w:rsidRPr="009819CE">
        <w:rPr>
          <w:rFonts w:cstheme="minorBidi"/>
        </w:rPr>
        <w:t>whiteleg</w:t>
      </w:r>
      <w:r w:rsidR="002045D3" w:rsidRPr="009819CE">
        <w:rPr>
          <w:rFonts w:cstheme="minorBidi"/>
        </w:rPr>
        <w:t xml:space="preserve"> shrimp</w:t>
      </w:r>
      <w:r w:rsidR="002045D3" w:rsidRPr="009819CE">
        <w:rPr>
          <w:rFonts w:cstheme="minorBidi"/>
          <w:i/>
          <w:iCs/>
        </w:rPr>
        <w:t xml:space="preserve"> </w:t>
      </w:r>
      <w:r w:rsidR="002045D3" w:rsidRPr="009819CE">
        <w:rPr>
          <w:rFonts w:cstheme="minorBidi"/>
        </w:rPr>
        <w:t>(</w:t>
      </w:r>
      <w:r w:rsidR="002045D3" w:rsidRPr="009819CE">
        <w:rPr>
          <w:rFonts w:cstheme="minorBidi"/>
          <w:i/>
          <w:iCs/>
        </w:rPr>
        <w:t>Litopenaeus vannamei</w:t>
      </w:r>
      <w:r w:rsidR="002045D3" w:rsidRPr="009819CE">
        <w:rPr>
          <w:rFonts w:cstheme="minorBidi"/>
        </w:rPr>
        <w:t>)</w:t>
      </w:r>
      <w:r w:rsidR="00B4264D" w:rsidRPr="009819CE">
        <w:rPr>
          <w:rFonts w:cstheme="minorBidi"/>
        </w:rPr>
        <w:t xml:space="preserve"> </w:t>
      </w:r>
      <w:r w:rsidRPr="009819CE">
        <w:rPr>
          <w:rFonts w:cstheme="minorBidi"/>
          <w:color w:val="000000" w:themeColor="text1"/>
        </w:rPr>
        <w:t>individuals. Nevertheless, the NMDS analysis did reveal a distinct pattern distinguishing infected individuals from their non-infected counterparts within the gut microbiota (Liang et al., 2020).</w:t>
      </w:r>
      <w:r w:rsidR="00B4264D" w:rsidRPr="009819CE">
        <w:rPr>
          <w:rFonts w:cstheme="minorBidi"/>
          <w:color w:val="000000" w:themeColor="text1"/>
        </w:rPr>
        <w:t xml:space="preserve"> </w:t>
      </w:r>
      <w:r w:rsidRPr="009819CE">
        <w:rPr>
          <w:rFonts w:cstheme="minorBidi"/>
          <w:color w:val="000000" w:themeColor="text1"/>
        </w:rPr>
        <w:t xml:space="preserve">The gut of infected </w:t>
      </w:r>
      <w:r w:rsidR="00C31E47" w:rsidRPr="009819CE">
        <w:rPr>
          <w:rFonts w:cstheme="minorBidi"/>
          <w:i/>
          <w:color w:val="000000" w:themeColor="text1"/>
        </w:rPr>
        <w:t>Nephrops</w:t>
      </w:r>
      <w:r w:rsidRPr="009819CE">
        <w:rPr>
          <w:rFonts w:cstheme="minorBidi"/>
          <w:color w:val="000000" w:themeColor="text1"/>
        </w:rPr>
        <w:t xml:space="preserve"> exhibited a substantial increase in the abundance of more than 80 genera. Notably, during advanced </w:t>
      </w:r>
      <w:r w:rsidR="009D03F4" w:rsidRPr="009819CE">
        <w:rPr>
          <w:rFonts w:cstheme="minorBidi"/>
          <w:i/>
          <w:color w:val="000000" w:themeColor="text1"/>
        </w:rPr>
        <w:t>Hematodinium</w:t>
      </w:r>
      <w:r w:rsidRPr="009819CE">
        <w:rPr>
          <w:rFonts w:cstheme="minorBidi"/>
          <w:color w:val="000000" w:themeColor="text1"/>
        </w:rPr>
        <w:t xml:space="preserve"> sp. infections, animals display lethargy and a state of deterioration attributed to parasite-induced metabolic exhaustion and nutrient depletion (Rowley et al., 2015). Despite their weakened condition, heavily infected animals continue to ingest food, as observed from </w:t>
      </w:r>
      <w:r w:rsidR="00146158" w:rsidRPr="00FA7D47">
        <w:rPr>
          <w:rFonts w:cstheme="minorBidi"/>
          <w:color w:val="000000" w:themeColor="text1"/>
        </w:rPr>
        <w:t>the</w:t>
      </w:r>
      <w:r w:rsidRPr="009819CE">
        <w:rPr>
          <w:rFonts w:cstheme="minorBidi"/>
          <w:color w:val="000000" w:themeColor="text1"/>
        </w:rPr>
        <w:t xml:space="preserve"> findings of stomach contents being either full or partially f</w:t>
      </w:r>
      <w:r w:rsidR="00616739" w:rsidRPr="009819CE">
        <w:rPr>
          <w:rFonts w:cstheme="minorBidi"/>
          <w:color w:val="000000" w:themeColor="text1"/>
        </w:rPr>
        <w:t>ull</w:t>
      </w:r>
      <w:r w:rsidRPr="009819CE">
        <w:rPr>
          <w:rFonts w:cstheme="minorBidi"/>
          <w:color w:val="000000" w:themeColor="text1"/>
        </w:rPr>
        <w:t xml:space="preserve">. However, their dietary choices might be more constrained, resulting in a reduced inclination to act as predators and an increased reliance on plant-based and suspension feeding, potentially influenced by seasonal patterns and food availability. This shift in feeding behaviour could potentially account for the elevated relative abundance of bacterial families capable of degrading complex polysaccharides (such as </w:t>
      </w:r>
      <w:r w:rsidRPr="009819CE">
        <w:rPr>
          <w:rFonts w:cstheme="minorBidi"/>
          <w:i/>
          <w:iCs/>
          <w:color w:val="000000" w:themeColor="text1"/>
        </w:rPr>
        <w:t>Prevotellaceae</w:t>
      </w:r>
      <w:r w:rsidRPr="009819CE">
        <w:rPr>
          <w:rFonts w:cstheme="minorBidi"/>
          <w:color w:val="000000" w:themeColor="text1"/>
        </w:rPr>
        <w:t xml:space="preserve">, </w:t>
      </w:r>
      <w:r w:rsidRPr="009819CE">
        <w:rPr>
          <w:rFonts w:cstheme="minorBidi"/>
          <w:i/>
          <w:iCs/>
          <w:color w:val="000000" w:themeColor="text1"/>
        </w:rPr>
        <w:t>Bacteroidaceae</w:t>
      </w:r>
      <w:r w:rsidRPr="009819CE">
        <w:rPr>
          <w:rFonts w:cstheme="minorBidi"/>
          <w:color w:val="000000" w:themeColor="text1"/>
        </w:rPr>
        <w:t xml:space="preserve">, </w:t>
      </w:r>
      <w:r w:rsidRPr="009819CE">
        <w:rPr>
          <w:rFonts w:cstheme="minorBidi"/>
          <w:i/>
          <w:iCs/>
          <w:color w:val="000000" w:themeColor="text1"/>
        </w:rPr>
        <w:t>Muribaculaceae</w:t>
      </w:r>
      <w:r w:rsidRPr="009819CE">
        <w:rPr>
          <w:rFonts w:cstheme="minorBidi"/>
          <w:color w:val="000000" w:themeColor="text1"/>
        </w:rPr>
        <w:t xml:space="preserve">, </w:t>
      </w:r>
      <w:r w:rsidRPr="009819CE">
        <w:rPr>
          <w:rFonts w:cstheme="minorBidi"/>
          <w:i/>
          <w:iCs/>
          <w:color w:val="000000" w:themeColor="text1"/>
        </w:rPr>
        <w:t>Lachnospiraceae</w:t>
      </w:r>
      <w:r w:rsidRPr="009819CE">
        <w:rPr>
          <w:rFonts w:cstheme="minorBidi"/>
          <w:color w:val="000000" w:themeColor="text1"/>
        </w:rPr>
        <w:t xml:space="preserve">, </w:t>
      </w:r>
      <w:r w:rsidRPr="009819CE">
        <w:rPr>
          <w:rFonts w:cstheme="minorBidi"/>
          <w:i/>
          <w:iCs/>
          <w:color w:val="000000" w:themeColor="text1"/>
        </w:rPr>
        <w:t>Akkermansiaceae</w:t>
      </w:r>
      <w:r w:rsidRPr="009819CE">
        <w:rPr>
          <w:rFonts w:cstheme="minorBidi"/>
          <w:color w:val="000000" w:themeColor="text1"/>
        </w:rPr>
        <w:t xml:space="preserve">) in infected individuals compared to their non-infected counterparts. </w:t>
      </w:r>
      <w:r w:rsidRPr="009819CE">
        <w:rPr>
          <w:rFonts w:cstheme="minorBidi"/>
          <w:color w:val="000000"/>
        </w:rPr>
        <w:t xml:space="preserve">Interestingly, the sustained feeding behaviour exhibited by infected animals could potentially contribute to the lack of shifts in microbial richness as the infection progresses. </w:t>
      </w:r>
      <w:r w:rsidR="003236E7" w:rsidRPr="009819CE">
        <w:rPr>
          <w:rFonts w:cstheme="minorBidi"/>
          <w:color w:val="000000"/>
        </w:rPr>
        <w:t>Additionally, significant increases in the abundance of</w:t>
      </w:r>
      <w:r w:rsidR="00AF7618" w:rsidRPr="009819CE">
        <w:rPr>
          <w:rFonts w:cstheme="minorBidi"/>
          <w:color w:val="000000"/>
        </w:rPr>
        <w:t xml:space="preserve"> </w:t>
      </w:r>
      <w:r w:rsidRPr="009819CE">
        <w:rPr>
          <w:rFonts w:cstheme="minorBidi"/>
          <w:i/>
          <w:iCs/>
          <w:color w:val="000000"/>
        </w:rPr>
        <w:t>Erysipelotrichaceae</w:t>
      </w:r>
      <w:r w:rsidRPr="009819CE">
        <w:rPr>
          <w:rFonts w:cstheme="minorBidi"/>
          <w:color w:val="000000"/>
        </w:rPr>
        <w:t xml:space="preserve"> and </w:t>
      </w:r>
      <w:r w:rsidRPr="009819CE">
        <w:rPr>
          <w:rFonts w:cstheme="minorBidi"/>
          <w:i/>
          <w:iCs/>
          <w:color w:val="000000"/>
        </w:rPr>
        <w:t>Hydrogenophilaceae</w:t>
      </w:r>
      <w:r w:rsidRPr="009819CE">
        <w:rPr>
          <w:rFonts w:cstheme="minorBidi"/>
          <w:color w:val="000000"/>
        </w:rPr>
        <w:t xml:space="preserve"> </w:t>
      </w:r>
      <w:r w:rsidR="00843647">
        <w:rPr>
          <w:rFonts w:cstheme="minorBidi"/>
          <w:color w:val="000000"/>
        </w:rPr>
        <w:t xml:space="preserve">were noticed </w:t>
      </w:r>
      <w:r w:rsidRPr="009819CE">
        <w:rPr>
          <w:rFonts w:cstheme="minorBidi"/>
          <w:color w:val="000000"/>
        </w:rPr>
        <w:t xml:space="preserve">within the gut of </w:t>
      </w:r>
      <w:r w:rsidR="009D03F4" w:rsidRPr="009819CE">
        <w:rPr>
          <w:rFonts w:cstheme="minorBidi"/>
          <w:i/>
          <w:color w:val="000000"/>
        </w:rPr>
        <w:t>Hematodinium</w:t>
      </w:r>
      <w:r w:rsidRPr="009819CE">
        <w:rPr>
          <w:rFonts w:cstheme="minorBidi"/>
          <w:color w:val="000000"/>
        </w:rPr>
        <w:t xml:space="preserve">-infected </w:t>
      </w:r>
      <w:r w:rsidR="00C31E47" w:rsidRPr="009819CE">
        <w:rPr>
          <w:rFonts w:cstheme="minorBidi"/>
          <w:i/>
          <w:iCs/>
          <w:color w:val="000000"/>
        </w:rPr>
        <w:t>Nephrops</w:t>
      </w:r>
      <w:r w:rsidRPr="009819CE">
        <w:rPr>
          <w:rFonts w:cstheme="minorBidi"/>
          <w:color w:val="000000"/>
        </w:rPr>
        <w:t>.</w:t>
      </w:r>
      <w:r w:rsidR="007B10AC" w:rsidRPr="007B10AC">
        <w:t xml:space="preserve"> </w:t>
      </w:r>
      <w:r w:rsidR="007B10AC">
        <w:t xml:space="preserve">Among these, members of the family </w:t>
      </w:r>
      <w:r w:rsidR="007B10AC">
        <w:rPr>
          <w:rStyle w:val="Emphasis"/>
          <w:rFonts w:eastAsiaTheme="majorEastAsia"/>
        </w:rPr>
        <w:t>Erysipelotrichaceae</w:t>
      </w:r>
      <w:r w:rsidR="007B10AC">
        <w:t xml:space="preserve">—including </w:t>
      </w:r>
      <w:r w:rsidR="007B10AC">
        <w:rPr>
          <w:rStyle w:val="Emphasis"/>
          <w:rFonts w:eastAsiaTheme="majorEastAsia"/>
        </w:rPr>
        <w:t>Dubosiella</w:t>
      </w:r>
      <w:r w:rsidR="007B10AC">
        <w:t xml:space="preserve">, </w:t>
      </w:r>
      <w:r w:rsidR="007B10AC">
        <w:rPr>
          <w:rStyle w:val="Emphasis"/>
          <w:rFonts w:eastAsiaTheme="majorEastAsia"/>
        </w:rPr>
        <w:t>Faecalibaculum</w:t>
      </w:r>
      <w:r w:rsidR="007B10AC">
        <w:t xml:space="preserve">, </w:t>
      </w:r>
      <w:r w:rsidR="007B10AC">
        <w:rPr>
          <w:rStyle w:val="Emphasis"/>
          <w:rFonts w:eastAsiaTheme="majorEastAsia"/>
        </w:rPr>
        <w:t>Ileibacterium</w:t>
      </w:r>
      <w:r w:rsidR="007B10AC">
        <w:t xml:space="preserve">, and </w:t>
      </w:r>
      <w:r w:rsidR="007B10AC">
        <w:rPr>
          <w:rStyle w:val="Emphasis"/>
          <w:rFonts w:eastAsiaTheme="majorEastAsia"/>
        </w:rPr>
        <w:t>Turicibacter</w:t>
      </w:r>
      <w:r w:rsidR="007B10AC">
        <w:t>—have gained recognition for their strong immunogenicity and their positive association with host inflammation in humans and cattle</w:t>
      </w:r>
      <w:r w:rsidR="007B10AC" w:rsidRPr="009819CE" w:rsidDel="007B10AC">
        <w:rPr>
          <w:rFonts w:cstheme="minorBidi"/>
          <w:color w:val="000000"/>
        </w:rPr>
        <w:t xml:space="preserve"> </w:t>
      </w:r>
      <w:r w:rsidRPr="009819CE">
        <w:rPr>
          <w:rFonts w:cstheme="minorBidi"/>
          <w:color w:val="000000" w:themeColor="text1"/>
        </w:rPr>
        <w:fldChar w:fldCharType="begin">
          <w:fldData xml:space="preserve">PEVuZE5vdGU+PENpdGU+PEF1dGhvcj5aaG9uZzwvQXV0aG9yPjxZZWFyPjIwMjA8L1llYXI+PFJl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</w:fldData>
        </w:fldChar>
      </w:r>
      <w:r w:rsidR="00EE7FB9">
        <w:rPr>
          <w:rFonts w:cstheme="minorBidi"/>
          <w:color w:val="000000" w:themeColor="text1"/>
        </w:rPr>
        <w:instrText xml:space="preserve"> ADDIN EN.CITE </w:instrText>
      </w:r>
      <w:r w:rsidR="00EE7FB9">
        <w:rPr>
          <w:rFonts w:cstheme="minorBidi"/>
          <w:color w:val="000000" w:themeColor="text1"/>
        </w:rPr>
        <w:fldChar w:fldCharType="begin">
          <w:fldData xml:space="preserve">PEVuZE5vdGU+PENpdGU+PEF1dGhvcj5aaG9uZzwvQXV0aG9yPjxZZWFyPjIwMjA8L1llYXI+PFJl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</w:fldData>
        </w:fldChar>
      </w:r>
      <w:r w:rsidR="00EE7FB9">
        <w:rPr>
          <w:rFonts w:cstheme="minorBidi"/>
          <w:color w:val="000000" w:themeColor="text1"/>
        </w:rPr>
        <w:instrText xml:space="preserve"> ADDIN EN.CITE.DATA </w:instrText>
      </w:r>
      <w:r w:rsidR="00EE7FB9">
        <w:rPr>
          <w:rFonts w:cstheme="minorBidi"/>
          <w:color w:val="000000" w:themeColor="text1"/>
        </w:rPr>
      </w:r>
      <w:r w:rsidR="00EE7FB9">
        <w:rPr>
          <w:rFonts w:cstheme="minorBidi"/>
          <w:color w:val="000000" w:themeColor="text1"/>
        </w:rPr>
        <w:fldChar w:fldCharType="end"/>
      </w:r>
      <w:r w:rsidRPr="009819CE">
        <w:rPr>
          <w:rFonts w:cstheme="minorBidi"/>
          <w:color w:val="000000" w:themeColor="text1"/>
        </w:rPr>
      </w:r>
      <w:r w:rsidRPr="009819CE">
        <w:rPr>
          <w:rFonts w:cstheme="minorBidi"/>
          <w:color w:val="000000" w:themeColor="text1"/>
        </w:rPr>
        <w:fldChar w:fldCharType="separate"/>
      </w:r>
      <w:r w:rsidR="00D50EFF" w:rsidRPr="00EE7FB9">
        <w:rPr>
          <w:rFonts w:cstheme="minorBidi"/>
          <w:noProof/>
          <w:color w:val="000000" w:themeColor="text1"/>
        </w:rPr>
        <w:t>(</w:t>
      </w:r>
      <w:hyperlink w:anchor="_ENREF_83" w:tooltip="Ellerbroek, 2018 #804" w:history="1">
        <w:r w:rsidR="00950097" w:rsidRPr="00EE7FB9">
          <w:rPr>
            <w:rFonts w:cstheme="minorBidi"/>
            <w:noProof/>
            <w:color w:val="000000" w:themeColor="text1"/>
          </w:rPr>
          <w:t>Ellerbroek, 2018</w:t>
        </w:r>
      </w:hyperlink>
      <w:r w:rsidR="00D50EFF" w:rsidRPr="00EE7FB9">
        <w:rPr>
          <w:rFonts w:cstheme="minorBidi"/>
          <w:noProof/>
          <w:color w:val="000000" w:themeColor="text1"/>
        </w:rPr>
        <w:t xml:space="preserve">; </w:t>
      </w:r>
      <w:hyperlink w:anchor="_ENREF_379" w:tooltip="Zhong, 2020 #772" w:history="1">
        <w:r w:rsidR="00950097" w:rsidRPr="00EE7FB9">
          <w:rPr>
            <w:rFonts w:cstheme="minorBidi"/>
            <w:noProof/>
            <w:color w:val="000000" w:themeColor="text1"/>
          </w:rPr>
          <w:t>Zhong et al., 2020</w:t>
        </w:r>
      </w:hyperlink>
      <w:r w:rsidR="00D50EFF" w:rsidRPr="00EE7FB9">
        <w:rPr>
          <w:rFonts w:cstheme="minorBidi"/>
          <w:noProof/>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color w:val="000000"/>
        </w:rPr>
        <w:t>These taxa are prominently enriched in herbivore/omnivore species.</w:t>
      </w:r>
      <w:r w:rsidRPr="009819CE">
        <w:rPr>
          <w:rFonts w:cstheme="minorBidi"/>
          <w:i/>
          <w:iCs/>
          <w:color w:val="000000"/>
        </w:rPr>
        <w:t xml:space="preserve"> Turicibacter</w:t>
      </w:r>
      <w:r w:rsidRPr="009819CE">
        <w:rPr>
          <w:rFonts w:cstheme="minorBidi"/>
          <w:color w:val="000000"/>
        </w:rPr>
        <w:t xml:space="preserve"> has been described previously in</w:t>
      </w:r>
      <w:r w:rsidR="00226517" w:rsidRPr="00FA7D47">
        <w:rPr>
          <w:rFonts w:cstheme="minorBidi"/>
          <w:color w:val="000000"/>
        </w:rPr>
        <w:t xml:space="preserve"> American</w:t>
      </w:r>
      <w:r w:rsidR="00CC3909" w:rsidRPr="009819CE">
        <w:rPr>
          <w:rFonts w:cstheme="minorBidi"/>
          <w:color w:val="000000"/>
        </w:rPr>
        <w:t xml:space="preserve"> lobster</w:t>
      </w:r>
      <w:r w:rsidRPr="009819CE">
        <w:rPr>
          <w:rFonts w:cstheme="minorBidi"/>
          <w:color w:val="000000"/>
        </w:rPr>
        <w:t xml:space="preserve"> </w:t>
      </w:r>
      <w:r w:rsidR="00CC3909" w:rsidRPr="009819CE">
        <w:rPr>
          <w:rFonts w:cstheme="minorBidi"/>
          <w:color w:val="000000"/>
        </w:rPr>
        <w:t>(</w:t>
      </w:r>
      <w:r w:rsidRPr="009819CE">
        <w:rPr>
          <w:rFonts w:cstheme="minorBidi"/>
          <w:i/>
          <w:iCs/>
          <w:color w:val="000000"/>
        </w:rPr>
        <w:t xml:space="preserve">Homarus </w:t>
      </w:r>
      <w:r w:rsidR="00226517" w:rsidRPr="00FA7D47">
        <w:rPr>
          <w:rFonts w:cstheme="minorBidi"/>
          <w:i/>
          <w:iCs/>
          <w:color w:val="000000"/>
        </w:rPr>
        <w:t>americanus</w:t>
      </w:r>
      <w:r w:rsidR="00CC3909" w:rsidRPr="009819CE">
        <w:rPr>
          <w:rFonts w:cstheme="minorBidi"/>
          <w:color w:val="000000"/>
        </w:rPr>
        <w:t>)</w:t>
      </w:r>
      <w:r w:rsidRPr="009819CE">
        <w:rPr>
          <w:rFonts w:cstheme="minorBidi"/>
          <w:color w:val="000000"/>
        </w:rPr>
        <w:t xml:space="preserve"> infected with Epizootic shell disease (ESD) </w:t>
      </w:r>
      <w:r w:rsidRPr="009819CE">
        <w:rPr>
          <w:rFonts w:cstheme="minorBidi"/>
          <w:color w:val="000000"/>
        </w:rPr>
        <w:fldChar w:fldCharType="begin"/>
      </w:r>
      <w:r w:rsidR="00EE7FB9">
        <w:rPr>
          <w:rFonts w:cstheme="minorBidi"/>
          <w:color w:val="000000"/>
        </w:rPr>
        <w:instrText xml:space="preserve"> ADDIN EN.CITE &lt;EndNote&gt;&lt;Cite&gt;&lt;Author&gt;Meres&lt;/Author&gt;&lt;Year&gt;2016&lt;/Year&gt;&lt;RecNum&gt;802&lt;/RecNum&gt;&lt;DisplayText&gt;(Meres, 2016)&lt;/DisplayText&gt;&lt;record&gt;&lt;rec-number&gt;802&lt;/rec-number&gt;&lt;foreign-keys&gt;&lt;key app="EN" db-id="sd9wrx9fj09rx3erprsx999o0r5aprvp2zse" timestamp="1687855901" guid="64dd70da-3cf1-443f-941e-df5d4f47e296"&gt;802&lt;/key&gt;&lt;/foreign-keys&gt;&lt;ref-type name="Journal Article"&gt;17&lt;/ref-type&gt;&lt;contributors&gt;&lt;authors&gt;&lt;author&gt;Meres, Norman J.&lt;/author&gt;&lt;/authors&gt;&lt;/contributors&gt;&lt;titles&gt;&lt;title&gt;&lt;style face="normal" font="default" size="100%"&gt;Surface biofilm interactions in epizootic shell disease of the American lobster (&lt;/style&gt;&lt;style face="italic" font="default" size="100%"&gt;Homarus americanus&lt;/style&gt;&lt;style face="normal" font="default" size="100%"&gt;)&lt;/style&gt;&lt;/title&gt;&lt;secondary-title&gt;Microbial Biofilms - Importance and Applications&lt;/secondary-title&gt;&lt;/titles&gt;&lt;periodical&gt;&lt;full-title&gt;Microbial Biofilms - Importance and Applications&lt;/full-title&gt;&lt;/periodical&gt;&lt;keywords&gt;&lt;keyword&gt;amplicon length heterogeneity&lt;/keyword&gt;&lt;keyword&gt;epizootic shell disease&lt;/keyword&gt;&lt;keyword&gt;lobster microbiome&lt;/keyword&gt;&lt;keyword&gt;multitag pyrosequencing&lt;/keyword&gt;&lt;keyword&gt;next-generation sequencing&lt;/keyword&gt;&lt;/keywords&gt;&lt;dates&gt;&lt;year&gt;2016&lt;/year&gt;&lt;pub-dates&gt;&lt;date&gt;2016/7//&lt;/date&gt;&lt;/pub-dates&gt;&lt;/dates&gt;&lt;publisher&gt;IntechOpen&lt;/publisher&gt;&lt;isbn&gt;978-953-51-2436-8&lt;/isbn&gt;&lt;urls&gt;&lt;related-urls&gt;&lt;url&gt;https://www.intechopen.com/chapters/51167&lt;/url&gt;&lt;/related-urls&gt;&lt;/urls&gt;&lt;electronic-resource-num&gt;10.5772/63498&lt;/electronic-resource-num&gt;&lt;/record&gt;&lt;/Cite&gt;&lt;/EndNote&gt;</w:instrText>
      </w:r>
      <w:r w:rsidRPr="009819CE">
        <w:rPr>
          <w:rFonts w:cstheme="minorBidi"/>
          <w:color w:val="000000"/>
        </w:rPr>
        <w:fldChar w:fldCharType="separate"/>
      </w:r>
      <w:r w:rsidR="00D50EFF" w:rsidRPr="00EE7FB9">
        <w:rPr>
          <w:rFonts w:cstheme="minorBidi"/>
          <w:noProof/>
          <w:color w:val="000000"/>
        </w:rPr>
        <w:t>(</w:t>
      </w:r>
      <w:hyperlink w:anchor="_ENREF_215" w:tooltip="Meres, 2016 #802" w:history="1">
        <w:r w:rsidR="00950097" w:rsidRPr="00EE7FB9">
          <w:rPr>
            <w:rFonts w:cstheme="minorBidi"/>
            <w:noProof/>
            <w:color w:val="000000"/>
          </w:rPr>
          <w:t>Meres, 2016</w:t>
        </w:r>
      </w:hyperlink>
      <w:r w:rsidR="00D50EFF" w:rsidRPr="00EE7FB9">
        <w:rPr>
          <w:rFonts w:cstheme="minorBidi"/>
          <w:noProof/>
          <w:color w:val="000000"/>
        </w:rPr>
        <w:t>)</w:t>
      </w:r>
      <w:r w:rsidRPr="009819CE">
        <w:rPr>
          <w:rFonts w:cstheme="minorBidi"/>
          <w:color w:val="000000"/>
        </w:rPr>
        <w:fldChar w:fldCharType="end"/>
      </w:r>
      <w:r w:rsidRPr="009819CE">
        <w:rPr>
          <w:rFonts w:cstheme="minorBidi"/>
          <w:color w:val="000000"/>
        </w:rPr>
        <w:t>.</w:t>
      </w:r>
      <w:r w:rsidR="006831BA" w:rsidRPr="00FA7D47">
        <w:rPr>
          <w:rFonts w:cstheme="minorBidi"/>
          <w:color w:val="000000"/>
        </w:rPr>
        <w:t xml:space="preserve"> </w:t>
      </w:r>
      <w:r w:rsidRPr="009819CE">
        <w:rPr>
          <w:rFonts w:cstheme="minorBidi"/>
          <w:color w:val="000000" w:themeColor="text1"/>
        </w:rPr>
        <w:t xml:space="preserve">The increased presence of </w:t>
      </w:r>
      <w:r w:rsidRPr="009819CE">
        <w:rPr>
          <w:rFonts w:cstheme="minorBidi"/>
          <w:i/>
          <w:iCs/>
          <w:color w:val="000000" w:themeColor="text1"/>
        </w:rPr>
        <w:t>Hydrogenophilus</w:t>
      </w:r>
      <w:r w:rsidRPr="009819CE">
        <w:rPr>
          <w:rFonts w:cstheme="minorBidi"/>
          <w:color w:val="000000" w:themeColor="text1"/>
        </w:rPr>
        <w:t xml:space="preserve"> could be attributed to its ability to thrive under environmental stress and nutrient scarcity </w:t>
      </w:r>
      <w:r w:rsidRPr="009819CE">
        <w:rPr>
          <w:rFonts w:cstheme="minorBidi"/>
          <w:color w:val="000000" w:themeColor="text1"/>
        </w:rPr>
        <w:fldChar w:fldCharType="begin"/>
      </w:r>
      <w:r w:rsidR="00A90411" w:rsidRPr="009819CE">
        <w:rPr>
          <w:rFonts w:cstheme="minorBidi"/>
          <w:color w:val="000000" w:themeColor="text1"/>
        </w:rPr>
        <w:instrText xml:space="preserve"> ADDIN EN.CITE &lt;EndNote&gt;&lt;Cite&gt;&lt;Author&gt;Arai&lt;/Author&gt;&lt;Year&gt;2018&lt;/Year&gt;&lt;RecNum&gt;700&lt;/RecNum&gt;&lt;DisplayText&gt;(Arai et al., 2018)&lt;/DisplayText&gt;&lt;record&gt;&lt;rec-number&gt;700&lt;/rec-number&gt;&lt;foreign-keys&gt;&lt;key app="EN" db-id="sd9wrx9fj09rx3erprsx999o0r5aprvp2zse" timestamp="1687855901" guid="4f63eca9-b976-4dd4-8174-b2f06e7cda89"&gt;700&lt;/key&gt;&lt;/foreign-keys&gt;&lt;ref-type name="Journal Article"&gt;17&lt;/ref-type&gt;&lt;contributors&gt;&lt;authors&gt;&lt;author&gt;Arai, Hiroyuki&lt;/author&gt;&lt;author&gt;Shomura, Yasuhito&lt;/author&gt;&lt;author&gt;Higuchi, Yoshiki&lt;/author&gt;&lt;author&gt;Ishii, Masaharu&lt;/author&gt;&lt;/authors&gt;&lt;/contributors&gt;&lt;titles&gt;&lt;title&gt;&lt;style face="normal" font="default" size="100%"&gt;Complete genome sequence of a moderately thermophilic facultative chemolithoautotrophic hydrogen-oxidizing bacterium, &lt;/style&gt;&lt;style face="italic" font="default" size="100%"&gt;Hydrogenophilus thermoluteolus&lt;/style&gt;&lt;style face="normal" font="default" size="100%"&gt; TH-1&lt;/style&gt;&lt;/title&gt;&lt;secondary-title&gt;Microbiology Resource Announcements&lt;/secondary-title&gt;&lt;/titles&gt;&lt;periodical&gt;&lt;full-title&gt;Microbiology Resource Announcements&lt;/full-title&gt;&lt;/periodical&gt;&lt;volume&gt;7&lt;/volume&gt;&lt;number&gt;6&lt;/number&gt;&lt;dates&gt;&lt;year&gt;2018&lt;/year&gt;&lt;pub-dates&gt;&lt;date&gt;2018/8//&lt;/date&gt;&lt;/pub-dates&gt;&lt;/dates&gt;&lt;publisher&gt;American Society for Microbiology 1752 N St., N.W., Washington, DC&lt;/publisher&gt;&lt;urls&gt;&lt;related-urls&gt;&lt;url&gt;https://journals.asm.org/doi/full/10.1128/MRA.00857-18&lt;/url&gt;&lt;/related-urls&gt;&lt;/urls&gt;&lt;electronic-resource-num&gt;10.1128/MRA.00857-18&lt;/electronic-resource-num&gt;&lt;/record&gt;&lt;/Cite&gt;&lt;/EndNote&gt;</w:instrText>
      </w:r>
      <w:r w:rsidRPr="009819CE">
        <w:rPr>
          <w:rFonts w:cstheme="minorBidi"/>
          <w:color w:val="000000" w:themeColor="text1"/>
        </w:rPr>
        <w:fldChar w:fldCharType="separate"/>
      </w:r>
      <w:r w:rsidR="00A8698B" w:rsidRPr="007268F5">
        <w:rPr>
          <w:rFonts w:cstheme="minorBidi"/>
          <w:color w:val="000000" w:themeColor="text1"/>
        </w:rPr>
        <w:t>(</w:t>
      </w:r>
      <w:hyperlink w:anchor="_ENREF_19" w:tooltip="Arai, 2018 #700" w:history="1">
        <w:r w:rsidR="00950097" w:rsidRPr="007268F5">
          <w:rPr>
            <w:rFonts w:cstheme="minorBidi"/>
            <w:color w:val="000000" w:themeColor="text1"/>
          </w:rPr>
          <w:t>Arai et al., 2018</w:t>
        </w:r>
      </w:hyperlink>
      <w:r w:rsidR="00A8698B" w:rsidRPr="007268F5">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xml:space="preserve">. </w:t>
      </w:r>
      <w:r w:rsidRPr="009819CE">
        <w:rPr>
          <w:rFonts w:cstheme="minorBidi"/>
          <w:i/>
          <w:iCs/>
          <w:color w:val="000000"/>
        </w:rPr>
        <w:t>Dubosella</w:t>
      </w:r>
      <w:r w:rsidRPr="009819CE">
        <w:rPr>
          <w:rFonts w:cstheme="minorBidi"/>
          <w:color w:val="000000"/>
        </w:rPr>
        <w:t xml:space="preserve"> is involved in reducing oxidative stress, improving vascular endothelial function, and redistributing gut microbiota  </w:t>
      </w:r>
      <w:r w:rsidRPr="009819CE">
        <w:rPr>
          <w:rFonts w:cstheme="minorBidi"/>
          <w:color w:val="000000"/>
        </w:rPr>
        <w:fldChar w:fldCharType="begin"/>
      </w:r>
      <w:r w:rsidR="00BB0CAE">
        <w:rPr>
          <w:rFonts w:cstheme="minorBidi"/>
          <w:color w:val="000000"/>
        </w:rPr>
        <w:instrText xml:space="preserve"> ADDIN EN.CITE &lt;EndNote&gt;&lt;Cite&gt;&lt;Author&gt;Liu&lt;/Author&gt;&lt;Year&gt;2023&lt;/Year&gt;&lt;RecNum&gt;1075&lt;/RecNum&gt;&lt;DisplayText&gt;(Liu et al., 2023)&lt;/DisplayText&gt;&lt;record&gt;&lt;rec-number&gt;1075&lt;/rec-number&gt;&lt;foreign-keys&gt;&lt;key app="EN" db-id="sd9wrx9fj09rx3erprsx999o0r5aprvp2zse" timestamp="1687855902" guid="ab1fe8f4-deff-4b8d-9e0e-9a87d7eecc65"&gt;1075&lt;/key&gt;&lt;/foreign-keys&gt;&lt;ref-type name="Journal Article"&gt;17&lt;/ref-type&gt;&lt;contributors&gt;&lt;authors&gt;&lt;author&gt;Liu, Tian Hao&lt;/author&gt;&lt;author&gt;Wang, Juan&lt;/author&gt;&lt;author&gt;Zhang, Chen Yang&lt;/author&gt;&lt;author&gt;Zhao, Lin&lt;/author&gt;&lt;author&gt;Sheng, Ying Yue&lt;/author&gt;&lt;author&gt;Tao, Guo Shui&lt;/author&gt;&lt;author&gt;Xue, Yu Zheng&lt;/author&gt;&lt;/authors&gt;&lt;/contributors&gt;&lt;titles&gt;&lt;title&gt;&lt;style face="normal" font="default" size="100%"&gt;Gut microbial characteristical comparison reveals potential anti-aging function of &lt;/style&gt;&lt;style face="italic" font="default" size="100%"&gt;Dubosiella newyorkensis&lt;/style&gt;&lt;style face="normal" font="default" size="100%"&gt; in mice&lt;/style&gt;&lt;/title&gt;&lt;secondary-title&gt;Frontiers in Endocrinology&lt;/secondary-title&gt;&lt;/titles&gt;&lt;periodical&gt;&lt;full-title&gt;Frontiers in Endocrinology&lt;/full-title&gt;&lt;/periodical&gt;&lt;pages&gt;94-94&lt;/pages&gt;&lt;volume&gt;14&lt;/volume&gt;&lt;keywords&gt;&lt;keyword&gt;Dubosiella newyorkensis&lt;/keyword&gt;&lt;keyword&gt;aging&lt;/keyword&gt;&lt;keyword&gt;gut microbiota&lt;/keyword&gt;&lt;keyword&gt;resveratrol&lt;/keyword&gt;&lt;keyword&gt;signal transduction&lt;/keyword&gt;&lt;/keywords&gt;&lt;dates&gt;&lt;year&gt;2023&lt;/year&gt;&lt;pub-dates&gt;&lt;date&gt;2023/1//&lt;/date&gt;&lt;/pub-dates&gt;&lt;/dates&gt;&lt;publisher&gt;Frontiers Media S.A.&lt;/publisher&gt;&lt;urls&gt;&lt;/urls&gt;&lt;electronic-resource-num&gt;10.3389/FENDO.2023.1133167/BIBTEX&lt;/electronic-resource-num&gt;&lt;/record&gt;&lt;/Cite&gt;&lt;/EndNote&gt;</w:instrText>
      </w:r>
      <w:r w:rsidRPr="009819CE">
        <w:rPr>
          <w:rFonts w:cstheme="minorBidi"/>
          <w:color w:val="000000"/>
        </w:rPr>
        <w:fldChar w:fldCharType="separate"/>
      </w:r>
      <w:r w:rsidR="00BB0CAE">
        <w:rPr>
          <w:rFonts w:cstheme="minorBidi"/>
          <w:noProof/>
          <w:color w:val="000000"/>
        </w:rPr>
        <w:t>(</w:t>
      </w:r>
      <w:hyperlink w:anchor="_ENREF_196" w:tooltip="Liu, 2023 #1075" w:history="1">
        <w:r w:rsidR="00950097">
          <w:rPr>
            <w:rFonts w:cstheme="minorBidi"/>
            <w:noProof/>
            <w:color w:val="000000"/>
          </w:rPr>
          <w:t>Liu et al., 2023</w:t>
        </w:r>
      </w:hyperlink>
      <w:r w:rsidR="00BB0CAE">
        <w:rPr>
          <w:rFonts w:cstheme="minorBidi"/>
          <w:noProof/>
          <w:color w:val="000000"/>
        </w:rPr>
        <w:t>)</w:t>
      </w:r>
      <w:r w:rsidRPr="009819CE">
        <w:rPr>
          <w:rFonts w:cstheme="minorBidi"/>
          <w:color w:val="000000"/>
        </w:rPr>
        <w:fldChar w:fldCharType="end"/>
      </w:r>
      <w:r w:rsidRPr="009819CE">
        <w:rPr>
          <w:rFonts w:cstheme="minorBidi"/>
          <w:color w:val="000000"/>
        </w:rPr>
        <w:t xml:space="preserve">. </w:t>
      </w:r>
      <w:r w:rsidRPr="009819CE">
        <w:rPr>
          <w:rFonts w:cstheme="minorBidi"/>
          <w:color w:val="000000" w:themeColor="text1"/>
        </w:rPr>
        <w:t xml:space="preserve">Conversely, the abundance of genera such as </w:t>
      </w:r>
      <w:r w:rsidRPr="009819CE">
        <w:rPr>
          <w:rFonts w:cstheme="minorBidi"/>
          <w:i/>
          <w:iCs/>
          <w:color w:val="000000" w:themeColor="text1"/>
        </w:rPr>
        <w:t>Desulforhopalus</w:t>
      </w:r>
      <w:r w:rsidRPr="009819CE">
        <w:rPr>
          <w:rFonts w:cstheme="minorBidi"/>
          <w:color w:val="000000" w:themeColor="text1"/>
        </w:rPr>
        <w:t xml:space="preserve">, </w:t>
      </w:r>
      <w:r w:rsidRPr="009819CE">
        <w:rPr>
          <w:rFonts w:cstheme="minorBidi"/>
          <w:i/>
          <w:iCs/>
          <w:color w:val="000000" w:themeColor="text1"/>
        </w:rPr>
        <w:t>Lentisphaeria</w:t>
      </w:r>
      <w:r w:rsidRPr="009819CE">
        <w:rPr>
          <w:rFonts w:cstheme="minorBidi"/>
          <w:color w:val="000000" w:themeColor="text1"/>
        </w:rPr>
        <w:t xml:space="preserve"> unclassified, </w:t>
      </w:r>
      <w:r w:rsidRPr="009819CE">
        <w:rPr>
          <w:rFonts w:cstheme="minorBidi"/>
          <w:i/>
          <w:iCs/>
          <w:color w:val="000000" w:themeColor="text1"/>
        </w:rPr>
        <w:t>Desulfovibrionaceae</w:t>
      </w:r>
      <w:r w:rsidRPr="009819CE">
        <w:rPr>
          <w:rFonts w:cstheme="minorBidi"/>
          <w:color w:val="000000" w:themeColor="text1"/>
        </w:rPr>
        <w:t xml:space="preserve"> unclassified, </w:t>
      </w:r>
      <w:r w:rsidRPr="009819CE">
        <w:rPr>
          <w:rFonts w:cstheme="minorBidi"/>
          <w:i/>
          <w:iCs/>
          <w:color w:val="000000" w:themeColor="text1"/>
        </w:rPr>
        <w:t>Peptoclostridium</w:t>
      </w:r>
      <w:r w:rsidRPr="009819CE">
        <w:rPr>
          <w:rFonts w:cstheme="minorBidi"/>
          <w:color w:val="000000" w:themeColor="text1"/>
        </w:rPr>
        <w:t>, and</w:t>
      </w:r>
      <w:r w:rsidR="00226517" w:rsidRPr="00FA7D47">
        <w:rPr>
          <w:rFonts w:cstheme="minorBidi"/>
          <w:color w:val="000000" w:themeColor="text1"/>
        </w:rPr>
        <w:t xml:space="preserve"> unclassified </w:t>
      </w:r>
      <w:r w:rsidR="00226517" w:rsidRPr="007268F5">
        <w:rPr>
          <w:rFonts w:cstheme="minorBidi"/>
          <w:i/>
          <w:iCs/>
          <w:color w:val="000000" w:themeColor="text1"/>
        </w:rPr>
        <w:t>Verrucomicrobiota</w:t>
      </w:r>
      <w:r w:rsidR="00226517" w:rsidRPr="00FA7D47">
        <w:rPr>
          <w:rFonts w:cstheme="minorBidi"/>
          <w:color w:val="000000" w:themeColor="text1"/>
        </w:rPr>
        <w:t xml:space="preserve"> genera</w:t>
      </w:r>
      <w:r w:rsidRPr="009819CE">
        <w:rPr>
          <w:rFonts w:cstheme="minorBidi"/>
          <w:i/>
          <w:iCs/>
          <w:color w:val="000000" w:themeColor="text1"/>
        </w:rPr>
        <w:t>P.palmC41</w:t>
      </w:r>
      <w:r w:rsidRPr="009819CE">
        <w:rPr>
          <w:rFonts w:cstheme="minorBidi"/>
          <w:color w:val="000000" w:themeColor="text1"/>
        </w:rPr>
        <w:t xml:space="preserve">  demonstrated a marked decrease in </w:t>
      </w:r>
      <w:r w:rsidR="009D03F4" w:rsidRPr="009819CE">
        <w:rPr>
          <w:rFonts w:cstheme="minorBidi"/>
          <w:i/>
          <w:color w:val="000000" w:themeColor="text1"/>
        </w:rPr>
        <w:t>Hematodinium</w:t>
      </w:r>
      <w:r w:rsidRPr="009819CE">
        <w:rPr>
          <w:rFonts w:cstheme="minorBidi"/>
          <w:color w:val="000000" w:themeColor="text1"/>
        </w:rPr>
        <w:t xml:space="preserve">-infected </w:t>
      </w:r>
      <w:r w:rsidR="00C31E47" w:rsidRPr="009819CE">
        <w:rPr>
          <w:rFonts w:cstheme="minorBidi"/>
          <w:i/>
          <w:color w:val="000000" w:themeColor="text1"/>
        </w:rPr>
        <w:t>Nephrops</w:t>
      </w:r>
      <w:r w:rsidRPr="009819CE">
        <w:rPr>
          <w:rFonts w:cstheme="minorBidi"/>
          <w:color w:val="000000" w:themeColor="text1"/>
        </w:rPr>
        <w:t xml:space="preserve">. </w:t>
      </w:r>
      <w:r w:rsidRPr="009819CE">
        <w:rPr>
          <w:rFonts w:cstheme="minorBidi"/>
          <w:i/>
          <w:iCs/>
          <w:color w:val="000000" w:themeColor="text1"/>
        </w:rPr>
        <w:t>Peptoclostridium</w:t>
      </w:r>
      <w:r w:rsidRPr="009819CE">
        <w:rPr>
          <w:rFonts w:cstheme="minorBidi"/>
          <w:color w:val="000000" w:themeColor="text1"/>
        </w:rPr>
        <w:t xml:space="preserve"> is involved in carbohydrate fermentation, whereas </w:t>
      </w:r>
      <w:r w:rsidRPr="009819CE">
        <w:rPr>
          <w:rFonts w:cstheme="minorBidi"/>
          <w:i/>
          <w:iCs/>
          <w:color w:val="000000" w:themeColor="text1"/>
        </w:rPr>
        <w:t>Desulforhopalus</w:t>
      </w:r>
      <w:r w:rsidRPr="009819CE">
        <w:rPr>
          <w:rFonts w:cstheme="minorBidi"/>
          <w:color w:val="000000" w:themeColor="text1"/>
        </w:rPr>
        <w:t xml:space="preserve"> and </w:t>
      </w:r>
      <w:r w:rsidRPr="009819CE">
        <w:rPr>
          <w:rFonts w:cstheme="minorBidi"/>
          <w:i/>
          <w:iCs/>
          <w:color w:val="000000" w:themeColor="text1"/>
        </w:rPr>
        <w:t>Desulfovibrionaceae</w:t>
      </w:r>
      <w:r w:rsidRPr="009819CE">
        <w:rPr>
          <w:rFonts w:cstheme="minorBidi"/>
          <w:color w:val="000000" w:themeColor="text1"/>
        </w:rPr>
        <w:t xml:space="preserve"> are associated with </w:t>
      </w:r>
      <w:r w:rsidR="00DD5A00" w:rsidRPr="00FA7D47">
        <w:rPr>
          <w:rFonts w:cstheme="minorBidi"/>
          <w:color w:val="000000" w:themeColor="text1"/>
        </w:rPr>
        <w:t>sulphur</w:t>
      </w:r>
      <w:r w:rsidRPr="009819CE">
        <w:rPr>
          <w:rFonts w:cstheme="minorBidi"/>
          <w:color w:val="000000" w:themeColor="text1"/>
        </w:rPr>
        <w:t xml:space="preserve"> metabolism </w:t>
      </w:r>
      <w:r w:rsidRPr="009819CE">
        <w:rPr>
          <w:rFonts w:cstheme="minorBidi"/>
          <w:color w:val="000000" w:themeColor="text1"/>
        </w:rPr>
        <w:fldChar w:fldCharType="begin"/>
      </w:r>
      <w:r w:rsidR="00D50EFF" w:rsidRPr="009819CE">
        <w:rPr>
          <w:rFonts w:cstheme="minorBidi"/>
          <w:color w:val="000000" w:themeColor="text1"/>
        </w:rPr>
        <w:instrText xml:space="preserve"> ADDIN EN.CITE &lt;EndNote&gt;&lt;Cite&gt;&lt;Author&gt;Ward&lt;/Author&gt;&lt;Year&gt;2021&lt;/Year&gt;&lt;RecNum&gt;1769&lt;/RecNum&gt;&lt;DisplayText&gt;(Ward et al., 2021)&lt;/DisplayText&gt;&lt;record&gt;&lt;rec-number&gt;1769&lt;/rec-number&gt;&lt;foreign-keys&gt;&lt;key app="EN" db-id="fpvrzzzp52f0fjeezvk55zaktfzt29de0t05" timestamp="1690991692"&gt;1769&lt;/key&gt;&lt;/foreign-keys&gt;&lt;ref-type name="Journal Article"&gt;17&lt;/ref-type&gt;&lt;contributors&gt;&lt;authors&gt;&lt;author&gt;Ward,Lewis M.&lt;/author&gt;&lt;author&gt;Bertran,Emma&lt;/author&gt;&lt;author&gt;Johnston,David T.&lt;/author&gt;&lt;/authors&gt;&lt;/contributors&gt;&lt;titles&gt;&lt;title&gt;Expanded Genomic Sampling Refines Current Understanding of the Distribution and Evolution of Sulfur Metabolisms in the Desulfobulbales&lt;/title&gt;&lt;secondary-title&gt;Frontiers in Microbiology&lt;/secondary-title&gt;&lt;short-title&gt;Diversity and Evolution of Desulfobulbales&lt;/short-title&gt;&lt;/titles&gt;&lt;periodical&gt;&lt;full-title&gt;Frontiers in Microbiology&lt;/full-title&gt;&lt;/periodical&gt;&lt;volume&gt;12&lt;/volume&gt;&lt;keywords&gt;&lt;keyword&gt;Comparative genomics,sulphur,convergent evolution,Dissimilatory sulfur metabolism,Desulfobulbaceae&lt;/keyword&gt;&lt;/keywords&gt;&lt;dates&gt;&lt;year&gt;2021&lt;/year&gt;&lt;pub-dates&gt;&lt;date&gt;2021-May-19&lt;/date&gt;&lt;/pub-dates&gt;&lt;/dates&gt;&lt;isbn&gt;1664-302X&lt;/isbn&gt;&lt;work-type&gt;Original Research&lt;/work-type&gt;&lt;urls&gt;&lt;related-urls&gt;&lt;url&gt;https://www.frontiersin.org/articles/10.3389/fmicb.2021.666052&lt;/url&gt;&lt;/related-urls&gt;&lt;/urls&gt;&lt;electronic-resource-num&gt;10.3389/fmicb.2021.666052&lt;/electronic-resource-num&gt;&lt;language&gt;English&lt;/language&gt;&lt;/record&gt;&lt;/Cite&gt;&lt;/EndNote&gt;</w:instrText>
      </w:r>
      <w:r w:rsidRPr="009819CE">
        <w:rPr>
          <w:rFonts w:cstheme="minorBidi"/>
          <w:color w:val="000000" w:themeColor="text1"/>
        </w:rPr>
        <w:fldChar w:fldCharType="separate"/>
      </w:r>
      <w:r w:rsidR="00D50EFF" w:rsidRPr="009819CE">
        <w:rPr>
          <w:rFonts w:cstheme="minorBidi"/>
          <w:color w:val="000000" w:themeColor="text1"/>
        </w:rPr>
        <w:t>(</w:t>
      </w:r>
      <w:hyperlink w:anchor="_ENREF_349" w:tooltip="Ward, 2021 #1769" w:history="1">
        <w:r w:rsidR="00950097" w:rsidRPr="009819CE">
          <w:rPr>
            <w:rFonts w:cstheme="minorBidi"/>
            <w:color w:val="000000" w:themeColor="text1"/>
          </w:rPr>
          <w:t>Ward et al., 2021</w:t>
        </w:r>
      </w:hyperlink>
      <w:r w:rsidR="00D50EFF" w:rsidRPr="009819CE">
        <w:rPr>
          <w:rFonts w:cstheme="minorBidi"/>
          <w:color w:val="000000" w:themeColor="text1"/>
        </w:rPr>
        <w:t>)</w:t>
      </w:r>
      <w:r w:rsidRPr="009819CE">
        <w:rPr>
          <w:rFonts w:cstheme="minorBidi"/>
          <w:color w:val="000000" w:themeColor="text1"/>
        </w:rPr>
        <w:fldChar w:fldCharType="end"/>
      </w:r>
      <w:r w:rsidRPr="009819CE">
        <w:rPr>
          <w:rFonts w:cstheme="minorBidi"/>
          <w:color w:val="000000" w:themeColor="text1"/>
        </w:rPr>
        <w:t>. Changes in the abundance of these genera provide further support for the hypothesis that infected animals tend to rely more on a diet of detritivores and suspensivores.</w:t>
      </w:r>
      <w:r w:rsidRPr="009819CE">
        <w:rPr>
          <w:rFonts w:cstheme="minorBidi"/>
          <w:i/>
          <w:iCs/>
          <w:color w:val="000000"/>
        </w:rPr>
        <w:t xml:space="preserve"> </w:t>
      </w:r>
    </w:p>
    <w:p w14:paraId="77DDCD34" w14:textId="34F44F47" w:rsidR="0098000C" w:rsidRPr="009819CE" w:rsidRDefault="0055220B" w:rsidP="0098000C">
      <w:pPr>
        <w:rPr>
          <w:rFonts w:cstheme="minorBidi"/>
          <w:color w:val="000000" w:themeColor="text1"/>
        </w:rPr>
      </w:pPr>
      <w:r w:rsidRPr="009819CE">
        <w:rPr>
          <w:rFonts w:eastAsia="Calibri" w:cstheme="minorBidi"/>
        </w:rPr>
        <w:t xml:space="preserve">The microbiome holds significant importance in crustacean species, exerting influence over the host immune system and facilitating interactions that can trigger defensive responses against a range of pathogens </w:t>
      </w:r>
      <w:r w:rsidRPr="009819CE">
        <w:rPr>
          <w:rFonts w:eastAsia="Calibri" w:cstheme="minorBidi"/>
        </w:rPr>
        <w:fldChar w:fldCharType="begin"/>
      </w:r>
      <w:r w:rsidR="00D50EFF" w:rsidRPr="009819CE">
        <w:rPr>
          <w:rFonts w:eastAsia="Calibri" w:cstheme="minorBidi"/>
        </w:rPr>
        <w:instrText xml:space="preserve"> ADDIN EN.CITE &lt;EndNote&gt;&lt;Cite&gt;&lt;Author&gt;Diwan&lt;/Author&gt;&lt;Year&gt;2022&lt;/Year&gt;&lt;RecNum&gt;1753&lt;/RecNum&gt;&lt;DisplayText&gt;(Diwan et al., 2022)&lt;/DisplayText&gt;&lt;record&gt;&lt;rec-number&gt;1753&lt;/rec-number&gt;&lt;foreign-keys&gt;&lt;key app="EN" db-id="sd9wrx9fj09rx3erprsx999o0r5aprvp2zse" timestamp="1688468513" guid="25760a7d-b304-4f7d-b75e-fdc6e08edd91"&gt;1753&lt;/key&gt;&lt;/foreign-keys&gt;&lt;ref-type name="Journal Article"&gt;17&lt;/ref-type&gt;&lt;contributors&gt;&lt;authors&gt;&lt;author&gt;Diwan, Arvind D.&lt;/author&gt;&lt;author&gt;Harke, Sanjay N.&lt;/author&gt;&lt;author&gt;Gopalkrishna,&lt;/author&gt;&lt;author&gt;Panche, Archana N.&lt;/author&gt;&lt;/authors&gt;&lt;/contributors&gt;&lt;titles&gt;&lt;title&gt;Aquaculture industry prospective from gut microbiome of fish and shellfish: An overview&lt;/title&gt;&lt;secondary-title&gt;Journal of Animal Physiology and Animal Nutrition&lt;/secondary-title&gt;&lt;/titles&gt;&lt;periodical&gt;&lt;full-title&gt;Journal of Animal Physiology and Animal Nutrition&lt;/full-title&gt;&lt;/periodical&gt;&lt;pages&gt;441-469&lt;/pages&gt;&lt;volume&gt;106&lt;/volume&gt;&lt;number&gt;2&lt;/number&gt;&lt;dates&gt;&lt;year&gt;2022&lt;/year&gt;&lt;/dates&gt;&lt;publisher&gt;Wiley&lt;/publisher&gt;&lt;isbn&gt;0931-2439&lt;/isbn&gt;&lt;urls&gt;&lt;related-urls&gt;&lt;url&gt;https://dx.doi.org/10.1111/jpn.13619&lt;/url&gt;&lt;/related-urls&gt;&lt;/urls&gt;&lt;electronic-resource-num&gt;10.1111/jpn.13619&lt;/electronic-resource-num&gt;&lt;/record&gt;&lt;/Cite&gt;&lt;/EndNote&gt;</w:instrText>
      </w:r>
      <w:r w:rsidRPr="009819CE">
        <w:rPr>
          <w:rFonts w:eastAsia="Calibri" w:cstheme="minorBidi"/>
        </w:rPr>
        <w:fldChar w:fldCharType="separate"/>
      </w:r>
      <w:r w:rsidR="00D50EFF" w:rsidRPr="009819CE">
        <w:rPr>
          <w:rFonts w:eastAsia="Calibri" w:cstheme="minorBidi"/>
        </w:rPr>
        <w:t>(</w:t>
      </w:r>
      <w:hyperlink w:anchor="_ENREF_73" w:tooltip="Diwan, 2022 #1753" w:history="1">
        <w:r w:rsidR="00950097" w:rsidRPr="009819CE">
          <w:rPr>
            <w:rFonts w:eastAsia="Calibri" w:cstheme="minorBidi"/>
          </w:rPr>
          <w:t>Diwan et al., 2022</w:t>
        </w:r>
      </w:hyperlink>
      <w:r w:rsidR="00D50EFF" w:rsidRPr="009819CE">
        <w:rPr>
          <w:rFonts w:eastAsia="Calibri" w:cstheme="minorBidi"/>
        </w:rPr>
        <w:t>)</w:t>
      </w:r>
      <w:r w:rsidRPr="009819CE">
        <w:rPr>
          <w:rFonts w:eastAsia="Calibri" w:cstheme="minorBidi"/>
        </w:rPr>
        <w:fldChar w:fldCharType="end"/>
      </w:r>
      <w:r w:rsidRPr="009819CE">
        <w:rPr>
          <w:rFonts w:eastAsia="Calibri" w:cstheme="minorBidi"/>
        </w:rPr>
        <w:t xml:space="preserve">. </w:t>
      </w:r>
      <w:r w:rsidRPr="009819CE">
        <w:rPr>
          <w:rFonts w:cstheme="minorBidi"/>
        </w:rPr>
        <w:t xml:space="preserve">The host's immune response to </w:t>
      </w:r>
      <w:r w:rsidR="009D03F4" w:rsidRPr="009819CE">
        <w:rPr>
          <w:rFonts w:cstheme="minorBidi"/>
          <w:i/>
        </w:rPr>
        <w:t>Hematodinium</w:t>
      </w:r>
      <w:r w:rsidRPr="009819CE">
        <w:rPr>
          <w:rFonts w:cstheme="minorBidi"/>
        </w:rPr>
        <w:t xml:space="preserve"> sp. infection remains a subject of continuing debate. Immunomodulatory effects have been identified at both post-transcriptional and translational levels of haemocytes upon exposure of the</w:t>
      </w:r>
      <w:r w:rsidR="00834278" w:rsidRPr="009819CE">
        <w:rPr>
          <w:rFonts w:cstheme="minorBidi"/>
        </w:rPr>
        <w:t xml:space="preserve"> Chinese swimming crab</w:t>
      </w:r>
      <w:r w:rsidRPr="009819CE">
        <w:rPr>
          <w:rFonts w:cstheme="minorBidi"/>
        </w:rPr>
        <w:t xml:space="preserve"> (</w:t>
      </w:r>
      <w:r w:rsidR="00834278" w:rsidRPr="009819CE">
        <w:rPr>
          <w:rFonts w:cstheme="minorBidi"/>
          <w:i/>
          <w:iCs/>
        </w:rPr>
        <w:t>Portunus trituberculatus</w:t>
      </w:r>
      <w:r w:rsidRPr="009819CE">
        <w:rPr>
          <w:rFonts w:cstheme="minorBidi"/>
        </w:rPr>
        <w:t xml:space="preserve">) to </w:t>
      </w:r>
      <w:r w:rsidR="009D03F4" w:rsidRPr="009819CE">
        <w:rPr>
          <w:rFonts w:cstheme="minorBidi"/>
          <w:i/>
          <w:iCs/>
        </w:rPr>
        <w:t>Hematodinium</w:t>
      </w:r>
      <w:r w:rsidRPr="009819CE">
        <w:rPr>
          <w:rFonts w:cstheme="minorBidi"/>
          <w:i/>
          <w:iCs/>
        </w:rPr>
        <w:t xml:space="preserve"> perezi</w:t>
      </w:r>
      <w:r w:rsidRPr="009819CE">
        <w:rPr>
          <w:rFonts w:cstheme="minorBidi"/>
        </w:rPr>
        <w:t xml:space="preserve"> challenge </w:t>
      </w:r>
      <w:r w:rsidRPr="009819CE">
        <w:rPr>
          <w:rFonts w:cstheme="minorBidi"/>
        </w:rPr>
        <w:fldChar w:fldCharType="begin"/>
      </w:r>
      <w:r w:rsidR="00ED1A9E" w:rsidRPr="009819CE">
        <w:rPr>
          <w:rFonts w:cstheme="minorBidi"/>
        </w:rPr>
        <w:instrText xml:space="preserve"> ADDIN EN.CITE &lt;EndNote&gt;&lt;Cite&gt;&lt;Author&gt;Li&lt;/Author&gt;&lt;Year&gt;2022&lt;/Year&gt;&lt;RecNum&gt;1854&lt;/RecNum&gt;&lt;DisplayText&gt;(Li et al., 2022)&lt;/DisplayText&gt;&lt;record&gt;&lt;rec-number&gt;1854&lt;/rec-number&gt;&lt;foreign-keys&gt;&lt;key app="EN" db-id="sd9wrx9fj09rx3erprsx999o0r5aprvp2zse" timestamp="1691257260" guid="606b26ad-f06c-45c7-8b13-7030f779c8bd"&gt;1854&lt;/key&gt;&lt;/foreign-keys&gt;&lt;ref-type name="Journal Article"&gt;17&lt;/ref-type&gt;&lt;contributors&gt;&lt;authors&gt;&lt;author&gt;Li, Meng&lt;/author&gt;&lt;author&gt;Huang, Qian&lt;/author&gt;&lt;author&gt;Lv, Xiaoyang&lt;/author&gt;&lt;author&gt;Small, Hamish J.&lt;/author&gt;&lt;author&gt;Li, Caiwen&lt;/author&gt;&lt;/authors&gt;&lt;/contributors&gt;&lt;titles&gt;&lt;title&gt;&lt;style face="normal" font="default" size="100%"&gt;Integrative omics analysis highlights the immunomodulatory effects of the parasitic dinoflagellate &lt;/style&gt;&lt;style face="italic" font="default" size="100%"&gt;Hematodinium&lt;/style&gt;&lt;style face="normal" font="default" size="100%"&gt; on crustacean hemocytes&lt;/style&gt;&lt;/title&gt;&lt;secondary-title&gt;Fish and Shellfish Immunology&lt;/secondary-title&gt;&lt;/titles&gt;&lt;periodical&gt;&lt;full-title&gt;Fish and Shellfish Immunology&lt;/full-title&gt;&lt;/periodical&gt;&lt;pages&gt;35-47&lt;/pages&gt;&lt;volume&gt;125&lt;/volume&gt;&lt;keywords&gt;&lt;keyword&gt;Parasitic dinoflagellates&lt;/keyword&gt;&lt;keyword&gt;Crustacean&lt;/keyword&gt;&lt;keyword&gt;Innate immunity&lt;/keyword&gt;&lt;keyword&gt;Host-parasite interaction&lt;/keyword&gt;&lt;keyword&gt;Omics study&lt;/keyword&gt;&lt;/keywords&gt;&lt;dates&gt;&lt;year&gt;2022&lt;/year&gt;&lt;pub-dates&gt;&lt;date&gt;2022/06/01/&lt;/date&gt;&lt;/pub-dates&gt;&lt;/dates&gt;&lt;isbn&gt;1050-4648&lt;/isbn&gt;&lt;urls&gt;&lt;related-urls&gt;&lt;url&gt;https://www.sciencedirect.com/science/article/pii/S1050464822002339&lt;/url&gt;&lt;/related-urls&gt;&lt;/urls&gt;&lt;electronic-resource-num&gt;https://doi.org/10.1016/j.fsi.2022.04.050&lt;/electronic-resource-num&gt;&lt;/record&gt;&lt;/Cite&gt;&lt;/EndNote&gt;</w:instrText>
      </w:r>
      <w:r w:rsidRPr="009819CE">
        <w:rPr>
          <w:rFonts w:cstheme="minorBidi"/>
        </w:rPr>
        <w:fldChar w:fldCharType="separate"/>
      </w:r>
      <w:r w:rsidR="00D50EFF" w:rsidRPr="007268F5">
        <w:rPr>
          <w:rFonts w:cstheme="minorBidi"/>
        </w:rPr>
        <w:t>(</w:t>
      </w:r>
      <w:hyperlink w:anchor="_ENREF_179" w:tooltip="Li, 2022 #1854" w:history="1">
        <w:r w:rsidR="00950097" w:rsidRPr="007268F5">
          <w:rPr>
            <w:rFonts w:cstheme="minorBidi"/>
          </w:rPr>
          <w:t>Li et al., 2022</w:t>
        </w:r>
      </w:hyperlink>
      <w:r w:rsidR="00D50EFF" w:rsidRPr="007268F5">
        <w:rPr>
          <w:rFonts w:cstheme="minorBidi"/>
        </w:rPr>
        <w:t>)</w:t>
      </w:r>
      <w:r w:rsidRPr="009819CE">
        <w:rPr>
          <w:rFonts w:cstheme="minorBidi"/>
        </w:rPr>
        <w:fldChar w:fldCharType="end"/>
      </w:r>
      <w:r w:rsidRPr="009819CE">
        <w:rPr>
          <w:rFonts w:cstheme="minorBidi"/>
        </w:rPr>
        <w:t xml:space="preserve">. In contrast, observations on </w:t>
      </w:r>
      <w:r w:rsidR="009D03F4" w:rsidRPr="009819CE">
        <w:rPr>
          <w:rFonts w:cstheme="minorBidi"/>
          <w:i/>
          <w:iCs/>
        </w:rPr>
        <w:t>Hematodinium</w:t>
      </w:r>
      <w:r w:rsidRPr="009819CE">
        <w:rPr>
          <w:rFonts w:cstheme="minorBidi"/>
        </w:rPr>
        <w:t>-infected</w:t>
      </w:r>
      <w:r w:rsidR="00834278" w:rsidRPr="009819CE">
        <w:rPr>
          <w:rFonts w:cstheme="minorBidi"/>
        </w:rPr>
        <w:t xml:space="preserve"> </w:t>
      </w:r>
      <w:r w:rsidR="00277244" w:rsidRPr="009819CE">
        <w:rPr>
          <w:rFonts w:cstheme="minorBidi"/>
        </w:rPr>
        <w:t xml:space="preserve">green </w:t>
      </w:r>
      <w:r w:rsidR="00834278" w:rsidRPr="009819CE">
        <w:rPr>
          <w:rFonts w:cstheme="minorBidi"/>
        </w:rPr>
        <w:t xml:space="preserve">shore crabs </w:t>
      </w:r>
      <w:r w:rsidRPr="009819CE">
        <w:rPr>
          <w:rFonts w:cstheme="minorBidi"/>
        </w:rPr>
        <w:t>(</w:t>
      </w:r>
      <w:r w:rsidR="00834278" w:rsidRPr="009819CE">
        <w:rPr>
          <w:rFonts w:cstheme="minorBidi"/>
          <w:i/>
          <w:iCs/>
        </w:rPr>
        <w:t>Carcinus maenas</w:t>
      </w:r>
      <w:r w:rsidRPr="009819CE">
        <w:rPr>
          <w:rFonts w:cstheme="minorBidi"/>
        </w:rPr>
        <w:t xml:space="preserve">) present a different perspective. In these crabs, disease progression did not correlate with an increase in secondary infections, and no signs of haemocyte reactivity towards the infection were detected. This implies the absence of a cell-driven immune response at both early and advanced infection stages </w:t>
      </w:r>
      <w:r w:rsidRPr="009819CE">
        <w:rPr>
          <w:rFonts w:cstheme="minorBidi"/>
        </w:rPr>
        <w:fldChar w:fldCharType="begin"/>
      </w:r>
      <w:r w:rsidR="00D50EFF" w:rsidRPr="009819CE">
        <w:rPr>
          <w:rFonts w:cstheme="minorBidi"/>
        </w:rPr>
        <w:instrText xml:space="preserve"> ADDIN EN.CITE &lt;EndNote&gt;&lt;Cite&gt;&lt;Author&gt;Davies&lt;/Author&gt;&lt;Year&gt;2022&lt;/Year&gt;&lt;RecNum&gt;569&lt;/RecNum&gt;&lt;DisplayText&gt;(Davies et al., 2022)&lt;/DisplayText&gt;&lt;record&gt;&lt;rec-number&gt;569&lt;/rec-number&gt;&lt;foreign-keys&gt;&lt;key app="EN" db-id="sd9wrx9fj09rx3erprsx999o0r5aprvp2zse" timestamp="1687855901" guid="0ce1cc65-331e-411e-928f-b260b3cc0eb0"&gt;569&lt;/key&gt;&lt;/foreign-keys&gt;&lt;ref-type name="Journal Article"&gt;17&lt;/ref-type&gt;&lt;contributors&gt;&lt;authors&gt;&lt;author&gt;Davies, Charlotte E.&lt;/author&gt;&lt;author&gt;Thomas, Jessica E.&lt;/author&gt;&lt;author&gt;Malkin, Sophie H.&lt;/author&gt;&lt;author&gt;Batista, Frederico M.&lt;/author&gt;&lt;author&gt;Rowley, Andrew F.&lt;/author&gt;&lt;author&gt;Coates, Christopher J.&lt;/author&gt;&lt;/authors&gt;&lt;/contributors&gt;&lt;titles&gt;&lt;title&gt;&lt;style face="italic" font="default" size="100%"&gt;Hematodinium &lt;/style&gt;&lt;style face="normal" font="default" size="100%"&gt;sp. infection does not drive collateral disease contraction in a crustacean host&lt;/style&gt;&lt;/title&gt;&lt;secondary-title&gt;eLife&lt;/secondary-title&gt;&lt;/titles&gt;&lt;periodical&gt;&lt;full-title&gt;eLife&lt;/full-title&gt;&lt;/periodical&gt;&lt;volume&gt;11&lt;/volume&gt;&lt;keywords&gt;&lt;keyword&gt;Charlotte E Davies&lt;/keyword&gt;&lt;keyword&gt;Christopher J Coates&lt;/keyword&gt;&lt;keyword&gt;Jessica E Thomas&lt;/keyword&gt;&lt;keyword&gt;MEDLINE&lt;/keyword&gt;&lt;keyword&gt;NCBI&lt;/keyword&gt;&lt;keyword&gt;NIH&lt;/keyword&gt;&lt;keyword&gt;NLM&lt;/keyword&gt;&lt;keyword&gt;National Center for Biotechnology Information&lt;/keyword&gt;&lt;keyword&gt;National Institutes of Health&lt;/keyword&gt;&lt;keyword&gt;National Library of Medicine&lt;/keyword&gt;&lt;keyword&gt;PubMed Abstract&lt;/keyword&gt;&lt;keyword&gt;doi:10.7554/eLife.70356&lt;/keyword&gt;&lt;keyword&gt;pmid:35179494&lt;/keyword&gt;&lt;/keywords&gt;&lt;dates&gt;&lt;year&gt;2022&lt;/year&gt;&lt;pub-dates&gt;&lt;date&gt;2022/2//&lt;/date&gt;&lt;/pub-dates&gt;&lt;/dates&gt;&lt;publisher&gt;Elife&lt;/publisher&gt;&lt;urls&gt;&lt;related-urls&gt;&lt;url&gt;https://pubmed.ncbi.nlm.nih.gov/35179494/&lt;/url&gt;&lt;/related-urls&gt;&lt;/urls&gt;&lt;electronic-resource-num&gt;10.7554/ELIFE.70356&lt;/electronic-resource-num&gt;&lt;/record&gt;&lt;/Cite&gt;&lt;/EndNote&gt;</w:instrText>
      </w:r>
      <w:r w:rsidRPr="009819CE">
        <w:rPr>
          <w:rFonts w:cstheme="minorBidi"/>
        </w:rPr>
        <w:fldChar w:fldCharType="separate"/>
      </w:r>
      <w:r w:rsidR="00D50EFF" w:rsidRPr="009819CE">
        <w:rPr>
          <w:rFonts w:cstheme="minorBidi"/>
        </w:rPr>
        <w:t>(</w:t>
      </w:r>
      <w:hyperlink w:anchor="_ENREF_63" w:tooltip="Davies, 2022 #569" w:history="1">
        <w:r w:rsidR="00950097" w:rsidRPr="009819CE">
          <w:rPr>
            <w:rFonts w:cstheme="minorBidi"/>
          </w:rPr>
          <w:t>Davies et al., 2022</w:t>
        </w:r>
      </w:hyperlink>
      <w:r w:rsidR="00D50EFF" w:rsidRPr="009819CE">
        <w:rPr>
          <w:rFonts w:cstheme="minorBidi"/>
        </w:rPr>
        <w:t>)</w:t>
      </w:r>
      <w:r w:rsidRPr="009819CE">
        <w:rPr>
          <w:rFonts w:cstheme="minorBidi"/>
        </w:rPr>
        <w:fldChar w:fldCharType="end"/>
      </w:r>
      <w:r w:rsidRPr="009819CE">
        <w:rPr>
          <w:rFonts w:cstheme="minorBidi"/>
        </w:rPr>
        <w:t xml:space="preserve">. Research conducted by </w:t>
      </w:r>
      <w:hyperlink w:anchor="_ENREF_260" w:tooltip="Rowley, 2015 #78" w:history="1">
        <w:r w:rsidR="00950097" w:rsidRPr="009819CE">
          <w:rPr>
            <w:rFonts w:cstheme="minorBidi"/>
          </w:rPr>
          <w:fldChar w:fldCharType="begin"/>
        </w:r>
        <w:r w:rsidR="00950097">
          <w:rPr>
            <w:rFonts w:cstheme="minorBidi"/>
          </w:rPr>
          <w:instrText xml:space="preserve"> ADDIN EN.CITE &lt;EndNote&gt;&lt;Cite AuthorYear="1"&gt;&lt;Author&gt;Rowley&lt;/Author&gt;&lt;Year&gt;2015&lt;/Year&gt;&lt;RecNum&gt;78&lt;/RecNum&gt;&lt;DisplayText&gt;Rowley et al. (2015)&lt;/DisplayText&gt;&lt;record&gt;&lt;rec-number&gt;78&lt;/rec-number&gt;&lt;foreign-keys&gt;&lt;key app="EN" db-id="sd9wrx9fj09rx3erprsx999o0r5aprvp2zse" timestamp="1687855901" guid="22f8c08e-30c6-4ac4-b93b-3ae98640279e"&gt;78&lt;/key&gt;&lt;/foreign-keys&gt;&lt;ref-type name="Journal Article"&gt;17&lt;/ref-type&gt;&lt;contributors&gt;&lt;authors&gt;&lt;author&gt;Rowley, Andrew F.&lt;/author&gt;&lt;author&gt;Smith, Amanda L.&lt;/author&gt;&lt;author&gt;Davies, Charlotte E.&lt;/author&gt;&lt;/authors&gt;&lt;/contributors&gt;&lt;titles&gt;&lt;title&gt;&lt;style face="normal" font="default" size="100%"&gt;How does the dinoflagellate parasite &lt;/style&gt;&lt;style face="italic" font="default" size="100%"&gt;Hematodinium&lt;/style&gt;&lt;style face="normal" font="default" size="100%"&gt; outsmart the immune system of its crustacean hosts?&lt;/style&gt;&lt;/title&gt;&lt;secondary-title&gt;PLOS Pathogens&lt;/secondary-title&gt;&lt;/titles&gt;&lt;periodical&gt;&lt;full-title&gt;PLOS Pathogens&lt;/full-title&gt;&lt;/periodical&gt;&lt;pages&gt;1-9&lt;/pages&gt;&lt;volume&gt;11&lt;/volume&gt;&lt;number&gt;5&lt;/number&gt;&lt;dates&gt;&lt;year&gt;2015&lt;/year&gt;&lt;/dates&gt;&lt;urls&gt;&lt;related-urls&gt;&lt;url&gt;https://doi.org/10.1371/journal.ppat.1004724&lt;/url&gt;&lt;/related-urls&gt;&lt;/urls&gt;&lt;electronic-resource-num&gt;10.1371/journal.ppat.1004724&lt;/electronic-resource-num&gt;&lt;/record&gt;&lt;/Cite&gt;&lt;/EndNote&gt;</w:instrText>
        </w:r>
        <w:r w:rsidR="00950097" w:rsidRPr="009819CE">
          <w:rPr>
            <w:rFonts w:cstheme="minorBidi"/>
          </w:rPr>
          <w:fldChar w:fldCharType="separate"/>
        </w:r>
        <w:r w:rsidR="00950097" w:rsidRPr="009819CE">
          <w:rPr>
            <w:rFonts w:cstheme="minorBidi"/>
            <w:noProof/>
          </w:rPr>
          <w:t>Rowley et al. (2015)</w:t>
        </w:r>
        <w:r w:rsidR="00950097" w:rsidRPr="009819CE">
          <w:rPr>
            <w:rFonts w:cstheme="minorBidi"/>
          </w:rPr>
          <w:fldChar w:fldCharType="end"/>
        </w:r>
      </w:hyperlink>
      <w:r w:rsidRPr="009819CE">
        <w:rPr>
          <w:rFonts w:cstheme="minorBidi"/>
        </w:rPr>
        <w:t xml:space="preserve"> suggests that </w:t>
      </w:r>
      <w:r w:rsidR="009D03F4" w:rsidRPr="009819CE">
        <w:rPr>
          <w:rFonts w:cstheme="minorBidi"/>
          <w:i/>
        </w:rPr>
        <w:t>Hematodinium</w:t>
      </w:r>
      <w:r w:rsidRPr="009819CE">
        <w:rPr>
          <w:rFonts w:cstheme="minorBidi"/>
        </w:rPr>
        <w:t xml:space="preserve"> may have the capacity to elude the immune defences of the host</w:t>
      </w:r>
      <w:r w:rsidR="00AC5CAC">
        <w:rPr>
          <w:rFonts w:cstheme="minorBidi"/>
        </w:rPr>
        <w:t xml:space="preserve">, at least in </w:t>
      </w:r>
      <w:r w:rsidR="00AC5CAC">
        <w:t>edible crab (</w:t>
      </w:r>
      <w:r w:rsidR="00AC5CAC">
        <w:rPr>
          <w:rStyle w:val="Emphasis"/>
          <w:rFonts w:eastAsiaTheme="majorEastAsia"/>
        </w:rPr>
        <w:t>Cancer pagurus</w:t>
      </w:r>
      <w:r w:rsidR="00AC5CAC">
        <w:t>)</w:t>
      </w:r>
      <w:r w:rsidRPr="009819CE">
        <w:rPr>
          <w:rFonts w:cstheme="minorBidi"/>
        </w:rPr>
        <w:t xml:space="preserve">. Likewise, </w:t>
      </w:r>
      <w:r w:rsidR="00146158" w:rsidRPr="00FA7D47">
        <w:rPr>
          <w:rFonts w:cstheme="minorBidi"/>
        </w:rPr>
        <w:t>the</w:t>
      </w:r>
      <w:r w:rsidRPr="009819CE">
        <w:rPr>
          <w:rFonts w:cstheme="minorBidi"/>
        </w:rPr>
        <w:t xml:space="preserve"> histological</w:t>
      </w:r>
      <w:r w:rsidR="00B22D7D">
        <w:rPr>
          <w:rFonts w:cstheme="minorBidi"/>
        </w:rPr>
        <w:t xml:space="preserve"> results from this study</w:t>
      </w:r>
      <w:r w:rsidRPr="009819CE">
        <w:rPr>
          <w:rFonts w:cstheme="minorBidi"/>
        </w:rPr>
        <w:t xml:space="preserve"> indicate an absence of host reaction to </w:t>
      </w:r>
      <w:r w:rsidR="009D03F4" w:rsidRPr="009819CE">
        <w:rPr>
          <w:rFonts w:cstheme="minorBidi"/>
          <w:i/>
        </w:rPr>
        <w:t>Hematodinium</w:t>
      </w:r>
      <w:r w:rsidRPr="009819CE">
        <w:rPr>
          <w:rFonts w:cstheme="minorBidi"/>
          <w:i/>
        </w:rPr>
        <w:t xml:space="preserve"> </w:t>
      </w:r>
      <w:r w:rsidRPr="009819CE">
        <w:rPr>
          <w:rFonts w:cstheme="minorBidi"/>
          <w:iCs/>
        </w:rPr>
        <w:t>sp.</w:t>
      </w:r>
      <w:r w:rsidRPr="009819CE">
        <w:rPr>
          <w:rFonts w:cstheme="minorBidi"/>
          <w:i/>
        </w:rPr>
        <w:t>.</w:t>
      </w:r>
      <w:r w:rsidRPr="009819CE">
        <w:rPr>
          <w:rFonts w:cstheme="minorBidi"/>
        </w:rPr>
        <w:t xml:space="preserve"> </w:t>
      </w:r>
      <w:r w:rsidR="00BD4CE8">
        <w:t xml:space="preserve">The onset and progression of infections caused by protozoan parasites such as </w:t>
      </w:r>
      <w:r w:rsidR="00BD4CE8">
        <w:rPr>
          <w:rStyle w:val="Emphasis"/>
          <w:rFonts w:eastAsiaTheme="majorEastAsia"/>
        </w:rPr>
        <w:t>Giardia</w:t>
      </w:r>
      <w:r w:rsidR="00BD4CE8">
        <w:t xml:space="preserve">, </w:t>
      </w:r>
      <w:r w:rsidR="00BD4CE8">
        <w:rPr>
          <w:rStyle w:val="Emphasis"/>
          <w:rFonts w:eastAsiaTheme="majorEastAsia"/>
        </w:rPr>
        <w:t>Entamoeba</w:t>
      </w:r>
      <w:r w:rsidR="00BD4CE8">
        <w:t xml:space="preserve">, and </w:t>
      </w:r>
      <w:r w:rsidR="00BD4CE8">
        <w:rPr>
          <w:rStyle w:val="Emphasis"/>
          <w:rFonts w:eastAsiaTheme="majorEastAsia"/>
        </w:rPr>
        <w:t>Cryptosporidium</w:t>
      </w:r>
      <w:r w:rsidR="00BD4CE8">
        <w:t xml:space="preserve"> are influenced by complex interactions between the microbiota, the parasites themselves, and the host immune system.</w:t>
      </w:r>
      <w:r w:rsidR="00BD4CE8" w:rsidRPr="009819CE" w:rsidDel="00BD4CE8">
        <w:rPr>
          <w:rFonts w:cstheme="minorBidi"/>
        </w:rPr>
        <w:t xml:space="preserve"> </w:t>
      </w:r>
      <w:r w:rsidR="00AC5CAC">
        <w:rPr>
          <w:rFonts w:cstheme="minorBidi"/>
        </w:rPr>
        <w:fldChar w:fldCharType="begin"/>
      </w:r>
      <w:r w:rsidR="00BC058D">
        <w:rPr>
          <w:rFonts w:cstheme="minorBidi"/>
        </w:rPr>
        <w:instrText xml:space="preserve"> ADDIN EN.CITE &lt;EndNote&gt;&lt;Cite&gt;&lt;Author&gt;Ulusan Bagci&lt;/Author&gt;&lt;Year&gt;2022&lt;/Year&gt;&lt;RecNum&gt;1967&lt;/RecNum&gt;&lt;DisplayText&gt;(Ulusan Bagci and Caner, 2022)&lt;/DisplayText&gt;&lt;record&gt;&lt;rec-number&gt;1967&lt;/rec-number&gt;&lt;foreign-keys&gt;&lt;key app="EN" db-id="sd9wrx9fj09rx3erprsx999o0r5aprvp2zse" timestamp="1751212780" guid="59e31a3b-345b-4ece-96ec-d234560580f0"&gt;1967&lt;/key&gt;&lt;/foreign-keys&gt;&lt;ref-type name="Journal Article"&gt;17&lt;/ref-type&gt;&lt;contributors&gt;&lt;authors&gt;&lt;author&gt;Ulusan Bagci, Ozlem&lt;/author&gt;&lt;author&gt;Caner, Ayse&lt;/author&gt;&lt;/authors&gt;&lt;/contributors&gt;&lt;titles&gt;&lt;title&gt;The interaction of gut microbiota with parasitic protozoa&lt;/title&gt;&lt;secondary-title&gt;Journal of Parasitic Diseases&lt;/secondary-title&gt;&lt;/titles&gt;&lt;periodical&gt;&lt;full-title&gt;Journal of Parasitic Diseases&lt;/full-title&gt;&lt;/periodical&gt;&lt;pages&gt;8-11&lt;/pages&gt;&lt;volume&gt;46&lt;/volume&gt;&lt;number&gt;1&lt;/number&gt;&lt;dates&gt;&lt;year&gt;2022&lt;/year&gt;&lt;pub-dates&gt;&lt;date&gt;2022/03/01&lt;/date&gt;&lt;/pub-dates&gt;&lt;/dates&gt;&lt;isbn&gt;0975-0703&lt;/isbn&gt;&lt;urls&gt;&lt;related-urls&gt;&lt;url&gt;https://doi.org/10.1007/s12639-021-01443-5&lt;/url&gt;&lt;/related-urls&gt;&lt;/urls&gt;&lt;electronic-resource-num&gt;10.1007/s12639-021-01443-5&lt;/electronic-resource-num&gt;&lt;/record&gt;&lt;/Cite&gt;&lt;/EndNote&gt;</w:instrText>
      </w:r>
      <w:r w:rsidR="00AC5CAC">
        <w:rPr>
          <w:rFonts w:cstheme="minorBidi"/>
        </w:rPr>
        <w:fldChar w:fldCharType="separate"/>
      </w:r>
      <w:r w:rsidR="00AC5CAC">
        <w:rPr>
          <w:rFonts w:cstheme="minorBidi"/>
          <w:noProof/>
        </w:rPr>
        <w:t>(</w:t>
      </w:r>
      <w:hyperlink w:anchor="_ENREF_333" w:tooltip="Ulusan Bagci, 2022 #1967" w:history="1">
        <w:r w:rsidR="00950097">
          <w:rPr>
            <w:rFonts w:cstheme="minorBidi"/>
            <w:noProof/>
          </w:rPr>
          <w:t>Ulusan Bagci and Caner, 2022</w:t>
        </w:r>
      </w:hyperlink>
      <w:r w:rsidR="00AC5CAC">
        <w:rPr>
          <w:rFonts w:cstheme="minorBidi"/>
          <w:noProof/>
        </w:rPr>
        <w:t>)</w:t>
      </w:r>
      <w:r w:rsidR="00AC5CAC">
        <w:rPr>
          <w:rFonts w:cstheme="minorBidi"/>
        </w:rPr>
        <w:fldChar w:fldCharType="end"/>
      </w:r>
      <w:r w:rsidRPr="009819CE">
        <w:rPr>
          <w:rFonts w:cstheme="minorBidi"/>
          <w:color w:val="000000" w:themeColor="text1"/>
        </w:rPr>
        <w:t>.</w:t>
      </w:r>
      <w:r w:rsidRPr="009819CE">
        <w:rPr>
          <w:rFonts w:cstheme="minorBidi"/>
        </w:rPr>
        <w:t xml:space="preserve"> </w:t>
      </w:r>
      <w:r w:rsidR="00222F6A" w:rsidRPr="009819CE">
        <w:rPr>
          <w:rFonts w:cstheme="minorBidi"/>
        </w:rPr>
        <w:t xml:space="preserve">Although the underlying mechanisms are complex, they present an intriguing area for exploration, suggesting a possible interaction between microbial changes and immune responses. </w:t>
      </w:r>
      <w:r w:rsidR="00C044C8" w:rsidRPr="009819CE">
        <w:rPr>
          <w:rFonts w:cstheme="minorBidi"/>
        </w:rPr>
        <w:t>This interaction, along with the microbiome's potential impact on parasite virulence</w:t>
      </w:r>
      <w:r w:rsidR="00E8259B" w:rsidRPr="009819CE">
        <w:rPr>
          <w:rFonts w:cstheme="minorBidi"/>
        </w:rPr>
        <w:t xml:space="preserve"> </w:t>
      </w:r>
      <w:r w:rsidR="00E8259B" w:rsidRPr="009819CE">
        <w:rPr>
          <w:rFonts w:cstheme="minorBidi"/>
        </w:rPr>
        <w:fldChar w:fldCharType="begin">
          <w:fldData xml:space="preserve">PEVuZE5vdGU+PENpdGU+PEF1dGhvcj5Cw6RyPC9BdXRob3I+PFllYXI+MjAxNTwvWWVhcj48UmVj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PEVuZE5vdGU+PENpdGU+PEF1dGhvcj5Cw6RyPC9BdXRob3I+PFllYXI+MjAxNTwvWWVhcj48UmVj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E8259B" w:rsidRPr="009819CE">
        <w:rPr>
          <w:rFonts w:cstheme="minorBidi"/>
        </w:rPr>
      </w:r>
      <w:r w:rsidR="00E8259B" w:rsidRPr="009819CE">
        <w:rPr>
          <w:rFonts w:cstheme="minorBidi"/>
        </w:rPr>
        <w:fldChar w:fldCharType="separate"/>
      </w:r>
      <w:r w:rsidR="00B674D5" w:rsidRPr="007268F5">
        <w:rPr>
          <w:rFonts w:cstheme="minorBidi"/>
        </w:rPr>
        <w:t>(</w:t>
      </w:r>
      <w:hyperlink w:anchor="_ENREF_23" w:tooltip="Bär, 2015 #1960" w:history="1">
        <w:r w:rsidR="00950097" w:rsidRPr="007268F5">
          <w:rPr>
            <w:rFonts w:cstheme="minorBidi"/>
          </w:rPr>
          <w:t>Bär et al., 2015</w:t>
        </w:r>
      </w:hyperlink>
      <w:r w:rsidR="00B674D5" w:rsidRPr="007268F5">
        <w:rPr>
          <w:rFonts w:cstheme="minorBidi"/>
        </w:rPr>
        <w:t>)</w:t>
      </w:r>
      <w:r w:rsidR="00E8259B" w:rsidRPr="009819CE">
        <w:rPr>
          <w:rFonts w:cstheme="minorBidi"/>
        </w:rPr>
        <w:fldChar w:fldCharType="end"/>
      </w:r>
      <w:r w:rsidR="00C044C8" w:rsidRPr="009819CE">
        <w:rPr>
          <w:rFonts w:cstheme="minorBidi"/>
        </w:rPr>
        <w:t>, warrants further investigation in future studies.</w:t>
      </w:r>
      <w:r w:rsidRPr="009819CE">
        <w:rPr>
          <w:rFonts w:cstheme="minorBidi"/>
        </w:rPr>
        <w:t xml:space="preserve"> </w:t>
      </w:r>
      <w:r w:rsidRPr="009819CE">
        <w:rPr>
          <w:rFonts w:cstheme="minorBidi"/>
          <w:color w:val="000000" w:themeColor="text1"/>
        </w:rPr>
        <w:t xml:space="preserve">Hence, an imbalance in the microbial community (dysbiosis) might potentially contribute to infection or act as a predisposing factor </w:t>
      </w:r>
      <w:r w:rsidRPr="009819CE">
        <w:rPr>
          <w:rFonts w:cstheme="minorBidi"/>
        </w:rPr>
        <w:fldChar w:fldCharType="begin"/>
      </w:r>
      <w:r w:rsidR="00D50EFF" w:rsidRPr="009819CE">
        <w:rPr>
          <w:rFonts w:cstheme="minorBidi"/>
        </w:rPr>
        <w:instrText xml:space="preserve"> ADDIN EN.CITE &lt;EndNote&gt;&lt;Cite&gt;&lt;Author&gt;Xiong&lt;/Author&gt;&lt;Year&gt;2015&lt;/Year&gt;&lt;RecNum&gt;486&lt;/RecNum&gt;&lt;DisplayText&gt;(Xiong et al., 2015)&lt;/DisplayText&gt;&lt;record&gt;&lt;rec-number&gt;486&lt;/rec-number&gt;&lt;foreign-keys&gt;&lt;key app="EN" db-id="sd9wrx9fj09rx3erprsx999o0r5aprvp2zse" timestamp="1687855901" guid="f3518bc2-b038-4043-a602-ee60b7a76fdd"&gt;486&lt;/key&gt;&lt;/foreign-keys&gt;&lt;ref-type name="Journal Article"&gt;17&lt;/ref-type&gt;&lt;contributors&gt;&lt;authors&gt;&lt;author&gt;Xiong, Jinbo&lt;/author&gt;&lt;author&gt;Wang, Kai&lt;/author&gt;&lt;author&gt;Wu, Jinfeng&lt;/author&gt;&lt;author&gt;Qiuqian, Linglin&lt;/author&gt;&lt;author&gt;Yang, Kunjie&lt;/author&gt;&lt;author&gt;Qian, Yunxia&lt;/author&gt;&lt;author&gt;Zhang, Demin&lt;/author&gt;&lt;/authors&gt;&lt;/contributors&gt;&lt;titles&gt;&lt;title&gt;Changes in intestinal bacterial communities are closely associated with shrimp disease severity&lt;/title&gt;&lt;secondary-title&gt;Applied Microbiology and Biotechnology&lt;/secondary-title&gt;&lt;/titles&gt;&lt;periodical&gt;&lt;full-title&gt;Applied Microbiology and Biotechnology&lt;/full-title&gt;&lt;/periodical&gt;&lt;pages&gt;6911-6919&lt;/pages&gt;&lt;volume&gt;99&lt;/volume&gt;&lt;number&gt;16&lt;/number&gt;&lt;keywords&gt;&lt;keyword&gt;Discriminative pattern&lt;/keyword&gt;&lt;keyword&gt;Disease severity&lt;/keyword&gt;&lt;keyword&gt;Indicator taxa&lt;/keyword&gt;&lt;keyword&gt;Shrimp intestinal bacterial community&lt;/keyword&gt;&lt;/keywords&gt;&lt;dates&gt;&lt;year&gt;2015&lt;/year&gt;&lt;pub-dates&gt;&lt;date&gt;2015/8//&lt;/date&gt;&lt;/pub-dates&gt;&lt;/dates&gt;&lt;urls&gt;&lt;related-urls&gt;&lt;url&gt;http://link.springer.com/10.1007/s00253-015-6632-z&lt;/url&gt;&lt;/related-urls&gt;&lt;/urls&gt;&lt;electronic-resource-num&gt;10.1007/s00253-015-6632-z&lt;/electronic-resource-num&gt;&lt;/record&gt;&lt;/Cite&gt;&lt;/EndNote&gt;</w:instrText>
      </w:r>
      <w:r w:rsidRPr="009819CE">
        <w:rPr>
          <w:rFonts w:cstheme="minorBidi"/>
        </w:rPr>
        <w:fldChar w:fldCharType="separate"/>
      </w:r>
      <w:r w:rsidR="00D50EFF" w:rsidRPr="009819CE">
        <w:rPr>
          <w:rFonts w:cstheme="minorBidi"/>
        </w:rPr>
        <w:t>(</w:t>
      </w:r>
      <w:hyperlink w:anchor="_ENREF_363" w:tooltip="Xiong, 2015 #486" w:history="1">
        <w:r w:rsidR="00950097" w:rsidRPr="009819CE">
          <w:rPr>
            <w:rFonts w:cstheme="minorBidi"/>
          </w:rPr>
          <w:t>Xiong et al., 2015</w:t>
        </w:r>
      </w:hyperlink>
      <w:r w:rsidR="00D50EFF" w:rsidRPr="009819CE">
        <w:rPr>
          <w:rFonts w:cstheme="minorBidi"/>
        </w:rPr>
        <w:t>)</w:t>
      </w:r>
      <w:r w:rsidRPr="009819CE">
        <w:rPr>
          <w:rFonts w:cstheme="minorBidi"/>
        </w:rPr>
        <w:fldChar w:fldCharType="end"/>
      </w:r>
      <w:r w:rsidRPr="009819CE">
        <w:rPr>
          <w:rFonts w:cstheme="minorBidi"/>
        </w:rPr>
        <w:t>.</w:t>
      </w:r>
      <w:r w:rsidRPr="009819CE">
        <w:rPr>
          <w:rFonts w:cstheme="minorBidi"/>
          <w:color w:val="000000" w:themeColor="text1"/>
        </w:rPr>
        <w:t xml:space="preserve"> Future research should prioritize elucidating the fundamental mechanisms that govern the interaction between the host, its microbiome, and the parasite.</w:t>
      </w:r>
    </w:p>
    <w:p w14:paraId="4AAC1CC0" w14:textId="7552784B" w:rsidR="0055220B" w:rsidRPr="009819CE" w:rsidRDefault="0055220B" w:rsidP="00DA764F">
      <w:pPr>
        <w:pStyle w:val="Heading2"/>
        <w:rPr>
          <w:rFonts w:cstheme="minorBidi"/>
        </w:rPr>
      </w:pPr>
      <w:bookmarkStart w:id="305" w:name="_Toc204106656"/>
      <w:r w:rsidRPr="009819CE">
        <w:rPr>
          <w:rFonts w:cstheme="minorBidi"/>
        </w:rPr>
        <w:t>Conclusions</w:t>
      </w:r>
      <w:bookmarkEnd w:id="305"/>
    </w:p>
    <w:p w14:paraId="47D7DDF2" w14:textId="6C0A70A6" w:rsidR="0055220B" w:rsidRPr="009819CE" w:rsidRDefault="0055220B" w:rsidP="0055220B">
      <w:pPr>
        <w:spacing w:after="0"/>
        <w:ind w:firstLine="720"/>
        <w:rPr>
          <w:rFonts w:cstheme="minorBidi"/>
          <w:color w:val="000000" w:themeColor="text1"/>
        </w:rPr>
      </w:pPr>
      <w:r w:rsidRPr="009819CE">
        <w:rPr>
          <w:rFonts w:cstheme="minorBidi"/>
          <w:color w:val="000000" w:themeColor="text1"/>
        </w:rPr>
        <w:t xml:space="preserve">In conclusion, this study offers a comprehensive and advanced characterization of the haemolymph and gut microbiomes of 'healthy' </w:t>
      </w:r>
      <w:r w:rsidR="00C31E47" w:rsidRPr="009819CE">
        <w:rPr>
          <w:rFonts w:cstheme="minorBidi"/>
          <w:i/>
          <w:color w:val="000000" w:themeColor="text1"/>
        </w:rPr>
        <w:t>Nephrops</w:t>
      </w:r>
      <w:r w:rsidRPr="009819CE">
        <w:rPr>
          <w:rFonts w:cstheme="minorBidi"/>
          <w:color w:val="000000" w:themeColor="text1"/>
        </w:rPr>
        <w:t xml:space="preserve"> in the Clyde Sea Area, Scotland. It sheds light on the taxonomic composition and core communities of these two tissues. Furthermore, it </w:t>
      </w:r>
      <w:r w:rsidR="00184609" w:rsidRPr="009819CE">
        <w:rPr>
          <w:rFonts w:cstheme="minorBidi"/>
          <w:color w:val="000000" w:themeColor="text1"/>
        </w:rPr>
        <w:t>examines</w:t>
      </w:r>
      <w:r w:rsidRPr="009819CE">
        <w:rPr>
          <w:rFonts w:cstheme="minorBidi"/>
          <w:color w:val="000000" w:themeColor="text1"/>
        </w:rPr>
        <w:t xml:space="preserve"> the fluctuations of haemolymph and gut microbiomes during the peak of </w:t>
      </w:r>
      <w:r w:rsidR="009D03F4" w:rsidRPr="009819CE">
        <w:rPr>
          <w:rFonts w:cstheme="minorBidi"/>
          <w:i/>
          <w:color w:val="000000" w:themeColor="text1"/>
        </w:rPr>
        <w:t>Hematodinium</w:t>
      </w:r>
      <w:r w:rsidRPr="009819CE">
        <w:rPr>
          <w:rFonts w:cstheme="minorBidi"/>
          <w:color w:val="000000" w:themeColor="text1"/>
        </w:rPr>
        <w:t xml:space="preserve"> infection. The findings </w:t>
      </w:r>
      <w:r w:rsidR="00267236" w:rsidRPr="009819CE">
        <w:rPr>
          <w:rFonts w:cstheme="minorBidi"/>
          <w:color w:val="000000" w:themeColor="text1"/>
        </w:rPr>
        <w:t xml:space="preserve">highlight </w:t>
      </w:r>
      <w:r w:rsidRPr="009819CE">
        <w:rPr>
          <w:rFonts w:cstheme="minorBidi"/>
          <w:color w:val="000000" w:themeColor="text1"/>
        </w:rPr>
        <w:t>the</w:t>
      </w:r>
      <w:r w:rsidR="00DD5A00" w:rsidRPr="00FA7D47">
        <w:rPr>
          <w:rFonts w:cstheme="minorBidi"/>
          <w:color w:val="000000" w:themeColor="text1"/>
        </w:rPr>
        <w:t xml:space="preserve"> potential</w:t>
      </w:r>
      <w:r w:rsidRPr="009819CE">
        <w:rPr>
          <w:rFonts w:cstheme="minorBidi"/>
          <w:color w:val="000000" w:themeColor="text1"/>
        </w:rPr>
        <w:t xml:space="preserve"> impact of infection on microbiomes, evident through changes in haemolymph bacterial richness and a notable shift in the relative abundance of specific genera in both tissues, suggesting potential dysbiosis. These alterations, observed even at the initial infection stages, indicate a swift and persistent microbiome response to the parasitic infection. The modifications in microbial community composition that correspond to the infected condition also offer intriguing prospects </w:t>
      </w:r>
      <w:r w:rsidR="00E866D9" w:rsidRPr="00FA7D47">
        <w:rPr>
          <w:rFonts w:cstheme="minorBidi"/>
          <w:color w:val="000000" w:themeColor="text1"/>
        </w:rPr>
        <w:t>for exploration of</w:t>
      </w:r>
      <w:r w:rsidRPr="009819CE">
        <w:rPr>
          <w:rFonts w:cstheme="minorBidi"/>
          <w:color w:val="000000" w:themeColor="text1"/>
        </w:rPr>
        <w:t xml:space="preserve"> the potential role of the microbiome in host-parasite interactions. However, the mechanisms behind these observed changes require further investigation. This calls for a more comprehensive exploration of the functional roles and interactions of the identified microbiota, along with an exploration of the host's immune response, to gain a complete understanding of the </w:t>
      </w:r>
      <w:r w:rsidR="00E7224B" w:rsidRPr="009819CE">
        <w:rPr>
          <w:rFonts w:cstheme="minorBidi"/>
          <w:color w:val="000000" w:themeColor="text1"/>
        </w:rPr>
        <w:t>complex</w:t>
      </w:r>
      <w:r w:rsidRPr="009819CE">
        <w:rPr>
          <w:rFonts w:cstheme="minorBidi"/>
          <w:color w:val="000000" w:themeColor="text1"/>
        </w:rPr>
        <w:t xml:space="preserve"> dynamics characterizing the interplay among host, microbiome, and parasite in </w:t>
      </w:r>
      <w:r w:rsidR="00C31E47" w:rsidRPr="009819CE">
        <w:rPr>
          <w:rFonts w:cstheme="minorBidi"/>
          <w:i/>
          <w:color w:val="000000" w:themeColor="text1"/>
        </w:rPr>
        <w:t>Nephrops</w:t>
      </w:r>
      <w:r w:rsidRPr="009819CE">
        <w:rPr>
          <w:rFonts w:cstheme="minorBidi"/>
          <w:color w:val="000000" w:themeColor="text1"/>
        </w:rPr>
        <w:t>.</w:t>
      </w:r>
    </w:p>
    <w:p w14:paraId="4E457981" w14:textId="77777777" w:rsidR="00ED3D3B" w:rsidRPr="009819CE" w:rsidRDefault="00ED3D3B" w:rsidP="0055220B">
      <w:pPr>
        <w:rPr>
          <w:rFonts w:cstheme="minorBidi"/>
          <w:color w:val="000000" w:themeColor="text1"/>
        </w:rPr>
        <w:sectPr w:rsidR="00ED3D3B" w:rsidRPr="009819CE" w:rsidSect="003A7A28">
          <w:footerReference w:type="default" r:id="rId96"/>
          <w:pgSz w:w="11906" w:h="16838" w:code="9"/>
          <w:pgMar w:top="1440" w:right="1440" w:bottom="1440" w:left="1440" w:header="708" w:footer="708" w:gutter="0"/>
          <w:cols w:space="708"/>
          <w:docGrid w:linePitch="360"/>
        </w:sectPr>
      </w:pPr>
    </w:p>
    <w:p w14:paraId="2505A102" w14:textId="35E7CC1D" w:rsidR="006A0363" w:rsidRPr="009819CE" w:rsidRDefault="006A0363" w:rsidP="00E22ACF">
      <w:pPr>
        <w:pStyle w:val="Heading1"/>
      </w:pPr>
      <w:bookmarkStart w:id="306" w:name="_Toc204106657"/>
      <w:r w:rsidRPr="009819CE">
        <w:t xml:space="preserve">Sporulation dynamics and </w:t>
      </w:r>
      <w:r w:rsidR="00864508" w:rsidRPr="00FA7D47">
        <w:t xml:space="preserve">host </w:t>
      </w:r>
      <w:r w:rsidRPr="009819CE">
        <w:t xml:space="preserve">lipid dependency of </w:t>
      </w:r>
      <w:r w:rsidR="009D03F4" w:rsidRPr="009819CE">
        <w:rPr>
          <w:i/>
        </w:rPr>
        <w:t>Hematodinium</w:t>
      </w:r>
      <w:r w:rsidRPr="009819CE">
        <w:t xml:space="preserve"> sp. </w:t>
      </w:r>
      <w:r w:rsidR="00B14007" w:rsidRPr="00FA7D47">
        <w:t>infecting</w:t>
      </w:r>
      <w:r w:rsidRPr="009819CE">
        <w:t xml:space="preserve"> </w:t>
      </w:r>
      <w:r w:rsidR="00C31E47" w:rsidRPr="009819CE">
        <w:rPr>
          <w:i/>
        </w:rPr>
        <w:t>Nephrops</w:t>
      </w:r>
      <w:r w:rsidRPr="009819CE">
        <w:rPr>
          <w:i/>
        </w:rPr>
        <w:t xml:space="preserve"> norvegicus</w:t>
      </w:r>
      <w:bookmarkEnd w:id="306"/>
    </w:p>
    <w:p w14:paraId="46C8B0E0" w14:textId="0D380011" w:rsidR="00356AF2" w:rsidRPr="00FA7D47" w:rsidRDefault="00356AF2" w:rsidP="00B3468E">
      <w:pPr>
        <w:pStyle w:val="Heading2"/>
        <w:rPr>
          <w:rFonts w:cstheme="minorBidi"/>
        </w:rPr>
      </w:pPr>
      <w:bookmarkStart w:id="307" w:name="_Toc204106658"/>
      <w:r w:rsidRPr="00FA7D47">
        <w:rPr>
          <w:rFonts w:cstheme="minorBidi"/>
        </w:rPr>
        <w:t>Abstract</w:t>
      </w:r>
      <w:bookmarkEnd w:id="307"/>
    </w:p>
    <w:p w14:paraId="489AA854" w14:textId="0D038DB3" w:rsidR="00356AF2" w:rsidRPr="007268F5" w:rsidRDefault="00356AF2" w:rsidP="007268F5">
      <w:pPr>
        <w:spacing w:before="100" w:beforeAutospacing="1" w:after="100" w:afterAutospacing="1"/>
        <w:rPr>
          <w:rFonts w:cstheme="minorBidi"/>
        </w:rPr>
      </w:pPr>
      <w:r w:rsidRPr="007268F5">
        <w:rPr>
          <w:rFonts w:cstheme="minorBidi"/>
        </w:rPr>
        <w:t xml:space="preserve">The parasitic dinoflagellate </w:t>
      </w:r>
      <w:r w:rsidRPr="007268F5">
        <w:rPr>
          <w:rFonts w:cstheme="minorBidi"/>
          <w:i/>
          <w:iCs/>
        </w:rPr>
        <w:t>Hematodinium</w:t>
      </w:r>
      <w:r w:rsidRPr="007268F5">
        <w:rPr>
          <w:rFonts w:cstheme="minorBidi"/>
        </w:rPr>
        <w:t xml:space="preserve"> sp. infects a wide range of decapod crustaceans, including the Norway lobster (</w:t>
      </w:r>
      <w:r w:rsidRPr="007268F5">
        <w:rPr>
          <w:rFonts w:cstheme="minorBidi"/>
          <w:i/>
          <w:iCs/>
        </w:rPr>
        <w:t>Nephrops norvegicus</w:t>
      </w:r>
      <w:r w:rsidRPr="007268F5">
        <w:rPr>
          <w:rFonts w:cstheme="minorBidi"/>
        </w:rPr>
        <w:t xml:space="preserve">), which supports one of the most valuable shellfish fisheries in Europe. Two morphologically distinct spore types—macrospores and microspores—are believed to be the primary infectious </w:t>
      </w:r>
      <w:r w:rsidR="007D720D" w:rsidRPr="00FA7D47">
        <w:rPr>
          <w:rFonts w:cstheme="minorBidi"/>
        </w:rPr>
        <w:t>stages</w:t>
      </w:r>
      <w:r w:rsidRPr="007268F5">
        <w:rPr>
          <w:rFonts w:cstheme="minorBidi"/>
        </w:rPr>
        <w:t xml:space="preserve"> driving </w:t>
      </w:r>
      <w:r w:rsidRPr="007268F5">
        <w:rPr>
          <w:rFonts w:cstheme="minorBidi"/>
          <w:i/>
          <w:iCs/>
        </w:rPr>
        <w:t>Hematodinium</w:t>
      </w:r>
      <w:r w:rsidRPr="007268F5">
        <w:rPr>
          <w:rFonts w:cstheme="minorBidi"/>
        </w:rPr>
        <w:t xml:space="preserve"> transmission. However, the biological processes underpinning sporulation in natural hosts and the parasite’s reliance on host-derived resources remain poorly understood.</w:t>
      </w:r>
      <w:r w:rsidRPr="00FA7D47">
        <w:rPr>
          <w:rFonts w:cstheme="minorBidi"/>
        </w:rPr>
        <w:t xml:space="preserve"> </w:t>
      </w:r>
      <w:r w:rsidRPr="007268F5">
        <w:rPr>
          <w:rFonts w:cstheme="minorBidi"/>
        </w:rPr>
        <w:t xml:space="preserve">This study investigated the </w:t>
      </w:r>
      <w:r w:rsidRPr="007268F5">
        <w:rPr>
          <w:rFonts w:cstheme="minorBidi"/>
          <w:i/>
          <w:iCs/>
        </w:rPr>
        <w:t xml:space="preserve">in vivo </w:t>
      </w:r>
      <w:r w:rsidRPr="007268F5">
        <w:rPr>
          <w:rFonts w:cstheme="minorBidi"/>
        </w:rPr>
        <w:t xml:space="preserve">sporulation dynamics of </w:t>
      </w:r>
      <w:r w:rsidRPr="007268F5">
        <w:rPr>
          <w:rFonts w:cstheme="minorBidi"/>
          <w:i/>
          <w:iCs/>
        </w:rPr>
        <w:t>Hematodinium</w:t>
      </w:r>
      <w:r w:rsidRPr="007268F5">
        <w:rPr>
          <w:rFonts w:cstheme="minorBidi"/>
        </w:rPr>
        <w:t xml:space="preserve"> sp. in </w:t>
      </w:r>
      <w:r w:rsidRPr="007268F5">
        <w:rPr>
          <w:rFonts w:cstheme="minorBidi"/>
          <w:i/>
          <w:iCs/>
        </w:rPr>
        <w:t>Nephrops norvegicus</w:t>
      </w:r>
      <w:r w:rsidRPr="007268F5">
        <w:rPr>
          <w:rFonts w:cstheme="minorBidi"/>
        </w:rPr>
        <w:t xml:space="preserve"> from the Clyde Sea Area (CSA), focusing on the morphological characterisation of spores and the host–parasite lipid interactions. Sporulation events were observed under controlled laboratory conditions in individuals with advanced infections, and ultrastructural analyses confirmed the presence of mature macrospores. </w:t>
      </w:r>
      <w:r w:rsidR="00A07219" w:rsidRPr="00FA7D47">
        <w:t xml:space="preserve">Lipid profiling revealed a strong compositional overlap between macrospores and the host hepatopancreas, with macrospores exhibiting enrichment in energy-dense lipids such as triacylglycerols and polyunsaturated fatty acids (DHA and EPA). </w:t>
      </w:r>
      <w:r w:rsidRPr="007268F5">
        <w:rPr>
          <w:rFonts w:cstheme="minorBidi"/>
        </w:rPr>
        <w:t xml:space="preserve">These findings suggest that </w:t>
      </w:r>
      <w:r w:rsidRPr="007268F5">
        <w:rPr>
          <w:rFonts w:cstheme="minorBidi"/>
          <w:i/>
          <w:iCs/>
        </w:rPr>
        <w:t>Hematodinium</w:t>
      </w:r>
      <w:r w:rsidRPr="007268F5">
        <w:rPr>
          <w:rFonts w:cstheme="minorBidi"/>
        </w:rPr>
        <w:t xml:space="preserve"> sp. actively exploits host lipid reserves to support sporogenesis, enhancing spore </w:t>
      </w:r>
      <w:r w:rsidRPr="00FA7D47">
        <w:rPr>
          <w:rFonts w:cstheme="minorBidi"/>
        </w:rPr>
        <w:t xml:space="preserve">survival. </w:t>
      </w:r>
      <w:r w:rsidRPr="007268F5">
        <w:rPr>
          <w:rFonts w:cstheme="minorBidi"/>
        </w:rPr>
        <w:t xml:space="preserve">This study provides novel insights into the reproductive biology of </w:t>
      </w:r>
      <w:r w:rsidRPr="007268F5">
        <w:rPr>
          <w:rFonts w:cstheme="minorBidi"/>
          <w:i/>
          <w:iCs/>
        </w:rPr>
        <w:t>Hematodinium</w:t>
      </w:r>
      <w:r w:rsidRPr="007268F5">
        <w:rPr>
          <w:rFonts w:cstheme="minorBidi"/>
        </w:rPr>
        <w:t xml:space="preserve"> sp. and highlights lipid scavenging as a potential mechanism of host exploitation. Future research should aim to identify the environmental and physiological cues that initiate sporulation and to clarify the respective roles of macrospores and microspores in the parasite’s transmission cycle.</w:t>
      </w:r>
    </w:p>
    <w:p w14:paraId="0ABC466E" w14:textId="77777777" w:rsidR="00356AF2" w:rsidRPr="00FA7D47" w:rsidRDefault="00356AF2" w:rsidP="007268F5"/>
    <w:p w14:paraId="1C135DF6" w14:textId="5DDB729C" w:rsidR="006A0363" w:rsidRPr="009819CE" w:rsidRDefault="006A0363" w:rsidP="00B3468E">
      <w:pPr>
        <w:pStyle w:val="Heading2"/>
        <w:rPr>
          <w:rFonts w:cstheme="minorBidi"/>
        </w:rPr>
      </w:pPr>
      <w:bookmarkStart w:id="308" w:name="_Toc204106659"/>
      <w:r w:rsidRPr="009819CE">
        <w:rPr>
          <w:rFonts w:cstheme="minorBidi"/>
        </w:rPr>
        <w:t>Introduction</w:t>
      </w:r>
      <w:bookmarkEnd w:id="308"/>
    </w:p>
    <w:p w14:paraId="2E086B27" w14:textId="02E5CC07" w:rsidR="006A0363" w:rsidRPr="009819CE" w:rsidRDefault="006A0363" w:rsidP="006A0363">
      <w:pPr>
        <w:rPr>
          <w:rFonts w:cstheme="minorBidi"/>
        </w:rPr>
      </w:pPr>
      <w:r w:rsidRPr="009819CE">
        <w:rPr>
          <w:rFonts w:cstheme="minorBidi"/>
        </w:rPr>
        <w:t xml:space="preserve">Parasitic dinoflagellates, particularly the genus </w:t>
      </w:r>
      <w:r w:rsidR="009D03F4" w:rsidRPr="009819CE">
        <w:rPr>
          <w:rFonts w:cstheme="minorBidi"/>
          <w:i/>
          <w:iCs/>
        </w:rPr>
        <w:t>Hematodinium</w:t>
      </w:r>
      <w:r w:rsidRPr="009819CE">
        <w:rPr>
          <w:rFonts w:cstheme="minorBidi"/>
        </w:rPr>
        <w:t xml:space="preserve">, possess the ability to produce and release motile bi-flagellated spores </w:t>
      </w:r>
      <w:r w:rsidRPr="009819CE">
        <w:rPr>
          <w:rFonts w:cstheme="minorBidi"/>
        </w:rPr>
        <w:fldChar w:fldCharType="begin">
          <w:fldData xml:space="preserve">PEVuZE5vdGU+PENpdGU+PEF1dGhvcj5DYWNob248L0F1dGhvcj48WWVhcj4xOTg3PC9ZZWFyPjxS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PEVuZE5vdGU+PENpdGU+PEF1dGhvcj5DYWNob248L0F1dGhvcj48WWVhcj4xOTg3PC9ZZWFyPjxS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38" w:tooltip="Cachon, 1987 #1137" w:history="1">
        <w:r w:rsidR="00950097" w:rsidRPr="009819CE">
          <w:rPr>
            <w:rFonts w:cstheme="minorBidi"/>
          </w:rPr>
          <w:t>Cachon and Cachon, 1987</w:t>
        </w:r>
      </w:hyperlink>
      <w:r w:rsidR="00D50EFF" w:rsidRPr="009819CE">
        <w:rPr>
          <w:rFonts w:cstheme="minorBidi"/>
        </w:rPr>
        <w:t xml:space="preserve">; </w:t>
      </w:r>
      <w:hyperlink w:anchor="_ENREF_278" w:tooltip="Shields, 1994 #100" w:history="1">
        <w:r w:rsidR="00950097" w:rsidRPr="009819CE">
          <w:rPr>
            <w:rFonts w:cstheme="minorBidi"/>
          </w:rPr>
          <w:t>Shields, 1994</w:t>
        </w:r>
      </w:hyperlink>
      <w:r w:rsidR="00D50EFF" w:rsidRPr="009819CE">
        <w:rPr>
          <w:rFonts w:cstheme="minorBidi"/>
        </w:rPr>
        <w:t>)</w:t>
      </w:r>
      <w:r w:rsidRPr="009819CE">
        <w:rPr>
          <w:rFonts w:cstheme="minorBidi"/>
        </w:rPr>
        <w:fldChar w:fldCharType="end"/>
      </w:r>
      <w:r w:rsidRPr="009819CE">
        <w:rPr>
          <w:rFonts w:cstheme="minorBidi"/>
          <w:color w:val="000000"/>
          <w:shd w:val="clear" w:color="auto" w:fill="FFFFFF"/>
        </w:rPr>
        <w:t>.</w:t>
      </w:r>
      <w:r w:rsidRPr="009819CE">
        <w:rPr>
          <w:rFonts w:cstheme="minorBidi"/>
          <w:shd w:val="clear" w:color="auto" w:fill="FFFFFF"/>
        </w:rPr>
        <w:t xml:space="preserve"> </w:t>
      </w:r>
      <w:r w:rsidRPr="009819CE">
        <w:rPr>
          <w:rFonts w:cstheme="minorBidi"/>
        </w:rPr>
        <w:t xml:space="preserve">These spores, referred to as "swarmers," are believed to act as independent </w:t>
      </w:r>
      <w:r w:rsidR="00B14007" w:rsidRPr="00FA7D47">
        <w:rPr>
          <w:rFonts w:cstheme="minorBidi"/>
        </w:rPr>
        <w:t>infective stages</w:t>
      </w:r>
      <w:r w:rsidRPr="009819CE">
        <w:rPr>
          <w:rFonts w:cstheme="minorBidi"/>
        </w:rPr>
        <w:t xml:space="preserve">, allowing them to spread and infect new hosts </w:t>
      </w:r>
      <w:r w:rsidRPr="009819CE">
        <w:rPr>
          <w:rFonts w:cstheme="minorBidi"/>
        </w:rPr>
        <w:fldChar w:fldCharType="begin">
          <w:fldData xml:space="preserve">PEVuZE5vdGU+PENpdGU+PEF1dGhvcj5MaTwvQXV0aG9yPjxZZWFyPjIwMjE8L1llYXI+PFJlY051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PEVuZE5vdGU+PENpdGU+PEF1dGhvcj5MaTwvQXV0aG9yPjxZZWFyPjIwMjE8L1llYXI+PFJlY051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04" w:tooltip="Frischer, 2006 #382" w:history="1">
        <w:r w:rsidR="00950097" w:rsidRPr="007268F5">
          <w:rPr>
            <w:rFonts w:cstheme="minorBidi"/>
          </w:rPr>
          <w:t>Frischer et al., 2006</w:t>
        </w:r>
      </w:hyperlink>
      <w:r w:rsidR="00D50EFF" w:rsidRPr="007268F5">
        <w:rPr>
          <w:rFonts w:cstheme="minorBidi"/>
        </w:rPr>
        <w:t xml:space="preserve">; </w:t>
      </w:r>
      <w:hyperlink w:anchor="_ENREF_175" w:tooltip="Li, 2021 #453" w:history="1">
        <w:r w:rsidR="00950097" w:rsidRPr="007268F5">
          <w:rPr>
            <w:rFonts w:cstheme="minorBidi"/>
          </w:rPr>
          <w:t>Li et al., 2021a</w:t>
        </w:r>
      </w:hyperlink>
      <w:r w:rsidR="00D50EFF" w:rsidRPr="007268F5">
        <w:rPr>
          <w:rFonts w:cstheme="minorBidi"/>
        </w:rPr>
        <w:t xml:space="preserve">; </w:t>
      </w:r>
      <w:hyperlink w:anchor="_ENREF_310" w:tooltip="Stentiford, 2005 #156" w:history="1">
        <w:r w:rsidR="00950097" w:rsidRPr="007268F5">
          <w:rPr>
            <w:rFonts w:cstheme="minorBidi"/>
          </w:rPr>
          <w:t>Stentiford and Shields, 2005</w:t>
        </w:r>
      </w:hyperlink>
      <w:r w:rsidR="00D50EFF" w:rsidRPr="007268F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w:t>
      </w:r>
    </w:p>
    <w:p w14:paraId="14038745" w14:textId="65EBA5E3" w:rsidR="006A0363" w:rsidRPr="009819CE" w:rsidRDefault="009D03F4" w:rsidP="006A0363">
      <w:pPr>
        <w:rPr>
          <w:rFonts w:cstheme="minorBidi"/>
        </w:rPr>
      </w:pPr>
      <w:r w:rsidRPr="009819CE">
        <w:rPr>
          <w:rFonts w:cstheme="minorBidi"/>
          <w:i/>
          <w:iCs/>
        </w:rPr>
        <w:t>Hematodinium</w:t>
      </w:r>
      <w:r w:rsidR="006A0363" w:rsidRPr="009819CE">
        <w:rPr>
          <w:rFonts w:cstheme="minorBidi"/>
        </w:rPr>
        <w:t xml:space="preserve"> sp. enters the underlying tissues, including the haemocoel, and multiplies within various tissues and organ systems, such as the heart, hepatopancreas, connective tissue, and haemolymph </w:t>
      </w:r>
      <w:r w:rsidR="006A0363" w:rsidRPr="009819CE">
        <w:rPr>
          <w:rFonts w:cstheme="minorBidi"/>
        </w:rPr>
        <w:fldChar w:fldCharType="begin">
          <w:fldData xml:space="preserve">PEVuZE5vdGU+PENpdGU+PEF1dGhvcj5Sb3dsZXk8L0F1dGhvcj48WWVhcj4yMDE1PC9ZZWFyPjxS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==
</w:fldData>
        </w:fldChar>
      </w:r>
      <w:r w:rsidR="00871B4F">
        <w:rPr>
          <w:rFonts w:cstheme="minorBidi"/>
        </w:rPr>
        <w:instrText xml:space="preserve"> ADDIN EN.CITE </w:instrText>
      </w:r>
      <w:r w:rsidR="00871B4F">
        <w:rPr>
          <w:rFonts w:cstheme="minorBidi"/>
        </w:rPr>
        <w:fldChar w:fldCharType="begin">
          <w:fldData xml:space="preserve">PEVuZE5vdGU+PENpdGU+PEF1dGhvcj5Sb3dsZXk8L0F1dGhvcj48WWVhcj4yMDE1PC9ZZWFyPjxS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==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006A0363" w:rsidRPr="009819CE">
        <w:rPr>
          <w:rFonts w:cstheme="minorBidi"/>
        </w:rPr>
      </w:r>
      <w:r w:rsidR="006A0363" w:rsidRPr="009819CE">
        <w:rPr>
          <w:rFonts w:cstheme="minorBidi"/>
        </w:rPr>
        <w:fldChar w:fldCharType="separate"/>
      </w:r>
      <w:r w:rsidR="00D50EFF" w:rsidRPr="009819CE">
        <w:rPr>
          <w:rFonts w:cstheme="minorBidi"/>
          <w:noProof/>
        </w:rPr>
        <w:t>(</w:t>
      </w:r>
      <w:hyperlink w:anchor="_ENREF_260" w:tooltip="Rowley, 2015 #78" w:history="1">
        <w:r w:rsidR="00950097" w:rsidRPr="009819CE">
          <w:rPr>
            <w:rFonts w:cstheme="minorBidi"/>
            <w:noProof/>
          </w:rPr>
          <w:t>Rowley et al., 2015</w:t>
        </w:r>
      </w:hyperlink>
      <w:r w:rsidR="00D50EFF" w:rsidRPr="009819CE">
        <w:rPr>
          <w:rFonts w:cstheme="minorBidi"/>
          <w:noProof/>
        </w:rPr>
        <w:t xml:space="preserve">; </w:t>
      </w:r>
      <w:hyperlink w:anchor="_ENREF_310" w:tooltip="Stentiford, 2005 #156" w:history="1">
        <w:r w:rsidR="00950097" w:rsidRPr="009819CE">
          <w:rPr>
            <w:rFonts w:cstheme="minorBidi"/>
            <w:noProof/>
          </w:rPr>
          <w:t>Stentiford and Shields, 2005</w:t>
        </w:r>
      </w:hyperlink>
      <w:r w:rsidR="00D50EFF" w:rsidRPr="009819CE">
        <w:rPr>
          <w:rFonts w:cstheme="minorBidi"/>
          <w:noProof/>
        </w:rPr>
        <w:t>)</w:t>
      </w:r>
      <w:r w:rsidR="006A0363" w:rsidRPr="009819CE">
        <w:rPr>
          <w:rFonts w:cstheme="minorBidi"/>
        </w:rPr>
        <w:fldChar w:fldCharType="end"/>
      </w:r>
      <w:r w:rsidR="006A0363" w:rsidRPr="009819CE">
        <w:rPr>
          <w:rFonts w:cstheme="minorBidi"/>
        </w:rPr>
        <w:t>.</w:t>
      </w:r>
      <w:r w:rsidR="006A0363" w:rsidRPr="009819CE">
        <w:rPr>
          <w:rFonts w:cstheme="minorBidi"/>
          <w:i/>
          <w:iCs/>
        </w:rPr>
        <w:t xml:space="preserve"> </w:t>
      </w:r>
      <w:r w:rsidR="006A0363" w:rsidRPr="009819CE">
        <w:rPr>
          <w:rFonts w:cstheme="minorBidi"/>
        </w:rPr>
        <w:t xml:space="preserve">The parasite continues to multiply in the haemolymph and tissues, leading to a high cell density, which serves as a trigger for spore generation </w:t>
      </w:r>
      <w:r w:rsidR="006A0363" w:rsidRPr="009819CE">
        <w:rPr>
          <w:rFonts w:cstheme="minorBidi"/>
        </w:rPr>
        <w:fldChar w:fldCharType="begin">
          <w:fldData xml:space="preserve">PEVuZE5vdGU+PENpdGU+PEF1dGhvcj5BcHBsZXRvbjwvQXV0aG9yPjxZZWFyPjE5OTg8L1llYXI+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</w:fldData>
        </w:fldChar>
      </w:r>
      <w:r w:rsidR="00CE4372" w:rsidRPr="009819CE">
        <w:rPr>
          <w:rFonts w:cstheme="minorBidi"/>
        </w:rPr>
        <w:instrText xml:space="preserve"> ADDIN EN.CITE </w:instrText>
      </w:r>
      <w:r w:rsidR="00CE4372" w:rsidRPr="009819CE">
        <w:rPr>
          <w:rFonts w:cstheme="minorBidi"/>
        </w:rPr>
        <w:fldChar w:fldCharType="begin">
          <w:fldData xml:space="preserve">PEVuZE5vdGU+PENpdGU+PEF1dGhvcj5BcHBsZXRvbjwvQXV0aG9yPjxZZWFyPjE5OTg8L1llYXI+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</w:fldData>
        </w:fldChar>
      </w:r>
      <w:r w:rsidR="00CE4372" w:rsidRPr="009819CE">
        <w:rPr>
          <w:rFonts w:cstheme="minorBidi"/>
        </w:rPr>
        <w:instrText xml:space="preserve"> ADDIN EN.CITE.DATA </w:instrText>
      </w:r>
      <w:r w:rsidR="00CE4372" w:rsidRPr="009819CE">
        <w:rPr>
          <w:rFonts w:cstheme="minorBidi"/>
        </w:rPr>
      </w:r>
      <w:r w:rsidR="00CE4372" w:rsidRPr="009819CE">
        <w:rPr>
          <w:rFonts w:cstheme="minorBidi"/>
        </w:rPr>
        <w:fldChar w:fldCharType="end"/>
      </w:r>
      <w:r w:rsidR="006A0363" w:rsidRPr="009819CE">
        <w:rPr>
          <w:rFonts w:cstheme="minorBidi"/>
        </w:rPr>
      </w:r>
      <w:r w:rsidR="006A0363" w:rsidRPr="009819CE">
        <w:rPr>
          <w:rFonts w:cstheme="minorBidi"/>
        </w:rPr>
        <w:fldChar w:fldCharType="separate"/>
      </w:r>
      <w:r w:rsidR="00A8698B" w:rsidRPr="007268F5">
        <w:rPr>
          <w:rFonts w:cstheme="minorBidi"/>
        </w:rPr>
        <w:t>(</w:t>
      </w:r>
      <w:hyperlink w:anchor="_ENREF_18" w:tooltip="Appleton, 1998 #373" w:history="1">
        <w:r w:rsidR="00950097" w:rsidRPr="007268F5">
          <w:rPr>
            <w:rFonts w:cstheme="minorBidi"/>
          </w:rPr>
          <w:t>Appleton and Vickerman, 1998</w:t>
        </w:r>
      </w:hyperlink>
      <w:r w:rsidR="00A8698B" w:rsidRPr="007268F5">
        <w:rPr>
          <w:rFonts w:cstheme="minorBidi"/>
        </w:rPr>
        <w:t xml:space="preserve">; </w:t>
      </w:r>
      <w:hyperlink w:anchor="_ENREF_28" w:tooltip="Beevers, 2010 #247" w:history="1">
        <w:r w:rsidR="00950097" w:rsidRPr="007268F5">
          <w:rPr>
            <w:rFonts w:cstheme="minorBidi"/>
          </w:rPr>
          <w:t>Beevers, 2010</w:t>
        </w:r>
      </w:hyperlink>
      <w:r w:rsidR="00A8698B" w:rsidRPr="007268F5">
        <w:rPr>
          <w:rFonts w:cstheme="minorBidi"/>
        </w:rPr>
        <w:t>)</w:t>
      </w:r>
      <w:r w:rsidR="006A0363" w:rsidRPr="009819CE">
        <w:rPr>
          <w:rFonts w:cstheme="minorBidi"/>
        </w:rPr>
        <w:fldChar w:fldCharType="end"/>
      </w:r>
      <w:r w:rsidR="006A0363" w:rsidRPr="009819CE">
        <w:rPr>
          <w:rFonts w:cstheme="minorBidi"/>
        </w:rPr>
        <w:t xml:space="preserve">. While not fully proven, molecular evidence suggests that methyl farnesoate, a hormone involved in the moulting process, may be necessary for the parasite's multiplication </w:t>
      </w:r>
      <w:r w:rsidR="006A0363" w:rsidRPr="009819CE">
        <w:rPr>
          <w:rFonts w:cstheme="minorBidi"/>
        </w:rPr>
        <w:fldChar w:fldCharType="begin">
          <w:fldData xml:space="preserve">PEVuZE5vdGU+PENpdGU+PEF1dGhvcj5Hb3JuaWs8L0F1dGhvcj48WWVhcj4yMDE1PC9ZZWFyPjxS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PEVuZE5vdGU+PENpdGU+PEF1dGhvcj5Hb3JuaWs8L0F1dGhvcj48WWVhcj4yMDE1PC9ZZWFyPjxS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6A0363" w:rsidRPr="009819CE">
        <w:rPr>
          <w:rFonts w:cstheme="minorBidi"/>
        </w:rPr>
      </w:r>
      <w:r w:rsidR="006A0363" w:rsidRPr="009819CE">
        <w:rPr>
          <w:rFonts w:cstheme="minorBidi"/>
        </w:rPr>
        <w:fldChar w:fldCharType="separate"/>
      </w:r>
      <w:r w:rsidR="00D50EFF" w:rsidRPr="007268F5">
        <w:rPr>
          <w:rFonts w:cstheme="minorBidi"/>
        </w:rPr>
        <w:t>(</w:t>
      </w:r>
      <w:hyperlink w:anchor="_ENREF_114" w:tooltip="Gornik, 2015 #71" w:history="1">
        <w:r w:rsidR="00950097" w:rsidRPr="007268F5">
          <w:rPr>
            <w:rFonts w:cstheme="minorBidi"/>
          </w:rPr>
          <w:t>Gornik et al., 2015</w:t>
        </w:r>
      </w:hyperlink>
      <w:r w:rsidR="00D50EFF" w:rsidRPr="007268F5">
        <w:rPr>
          <w:rFonts w:cstheme="minorBidi"/>
        </w:rPr>
        <w:t>)</w:t>
      </w:r>
      <w:r w:rsidR="006A0363" w:rsidRPr="009819CE">
        <w:rPr>
          <w:rFonts w:cstheme="minorBidi"/>
        </w:rPr>
        <w:fldChar w:fldCharType="end"/>
      </w:r>
      <w:r w:rsidR="006A0363" w:rsidRPr="009819CE">
        <w:rPr>
          <w:rFonts w:cstheme="minorBidi"/>
        </w:rPr>
        <w:t xml:space="preserve"> (see </w:t>
      </w:r>
      <w:r w:rsidR="00AA4C8F" w:rsidRPr="009819CE">
        <w:rPr>
          <w:rFonts w:cstheme="minorBidi"/>
        </w:rPr>
        <w:t>section</w:t>
      </w:r>
      <w:r w:rsidR="007F0601" w:rsidRPr="00FA7D47">
        <w:rPr>
          <w:rFonts w:cstheme="minorBidi"/>
        </w:rPr>
        <w:t xml:space="preserve"> </w:t>
      </w:r>
      <w:r w:rsidR="00674DE3" w:rsidRPr="007268F5">
        <w:rPr>
          <w:rFonts w:cstheme="minorBidi"/>
          <w:b/>
          <w:bCs/>
        </w:rPr>
        <w:fldChar w:fldCharType="begin"/>
      </w:r>
      <w:r w:rsidR="00674DE3" w:rsidRPr="007268F5">
        <w:rPr>
          <w:rFonts w:cstheme="minorBidi"/>
          <w:b/>
          <w:bCs/>
        </w:rPr>
        <w:instrText xml:space="preserve"> REF _Ref163469606 \r \h </w:instrText>
      </w:r>
      <w:r w:rsidR="009C0BE9" w:rsidRPr="009819CE">
        <w:rPr>
          <w:rFonts w:cstheme="minorBidi"/>
          <w:b/>
          <w:bCs/>
        </w:rPr>
        <w:instrText xml:space="preserve"> \* MERGEFORMAT </w:instrText>
      </w:r>
      <w:r w:rsidR="00674DE3" w:rsidRPr="007268F5">
        <w:rPr>
          <w:rFonts w:cstheme="minorBidi"/>
          <w:b/>
          <w:bCs/>
        </w:rPr>
      </w:r>
      <w:r w:rsidR="00674DE3" w:rsidRPr="007268F5">
        <w:rPr>
          <w:rFonts w:cstheme="minorBidi"/>
          <w:b/>
          <w:bCs/>
        </w:rPr>
        <w:fldChar w:fldCharType="separate"/>
      </w:r>
      <w:r w:rsidR="008549FC">
        <w:rPr>
          <w:rFonts w:cstheme="minorBidi"/>
          <w:b/>
          <w:bCs/>
        </w:rPr>
        <w:t>1.3.3</w:t>
      </w:r>
      <w:r w:rsidR="00674DE3" w:rsidRPr="007268F5">
        <w:rPr>
          <w:rFonts w:cstheme="minorBidi"/>
          <w:b/>
          <w:bCs/>
        </w:rPr>
        <w:fldChar w:fldCharType="end"/>
      </w:r>
      <w:r w:rsidR="006A0363" w:rsidRPr="009819CE">
        <w:rPr>
          <w:rFonts w:cstheme="minorBidi"/>
        </w:rPr>
        <w:t xml:space="preserve">).This proliferation of parasitic cells gives the haemolymph a milky-white appearance. Eventually, parasite multiplication leads to sporulation event(s). The trigger for the parasite to exit its host via spore release is not known, although two plausible explanations include the accumulation of toxic metabolites in the host's </w:t>
      </w:r>
      <w:r w:rsidR="00DD5A00" w:rsidRPr="00FA7D47">
        <w:rPr>
          <w:rFonts w:cstheme="minorBidi"/>
        </w:rPr>
        <w:t>haemocoel</w:t>
      </w:r>
      <w:r w:rsidR="006A0363" w:rsidRPr="009819CE">
        <w:rPr>
          <w:rFonts w:cstheme="minorBidi"/>
        </w:rPr>
        <w:t xml:space="preserve"> or a depletion of the host's reserves </w:t>
      </w:r>
      <w:r w:rsidR="006A0363" w:rsidRPr="009819CE">
        <w:rPr>
          <w:rFonts w:cstheme="minorBidi"/>
        </w:rPr>
        <w:fldChar w:fldCharType="begin">
          <w:fldData xml:space="preserve">PEVuZE5vdGU+PENpdGU+PEF1dGhvcj5CZWV2ZXJzPC9BdXRob3I+PFllYXI+MjAxMDwvWWVhcj48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</w:fldData>
        </w:fldChar>
      </w:r>
      <w:r w:rsidR="00CE4372" w:rsidRPr="009819CE">
        <w:rPr>
          <w:rFonts w:cstheme="minorBidi"/>
        </w:rPr>
        <w:instrText xml:space="preserve"> ADDIN EN.CITE </w:instrText>
      </w:r>
      <w:r w:rsidR="00CE4372" w:rsidRPr="009819CE">
        <w:rPr>
          <w:rFonts w:cstheme="minorBidi"/>
        </w:rPr>
        <w:fldChar w:fldCharType="begin">
          <w:fldData xml:space="preserve">PEVuZE5vdGU+PENpdGU+PEF1dGhvcj5CZWV2ZXJzPC9BdXRob3I+PFllYXI+MjAxMDwvWWVhcj48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</w:fldData>
        </w:fldChar>
      </w:r>
      <w:r w:rsidR="00CE4372" w:rsidRPr="009819CE">
        <w:rPr>
          <w:rFonts w:cstheme="minorBidi"/>
        </w:rPr>
        <w:instrText xml:space="preserve"> ADDIN EN.CITE.DATA </w:instrText>
      </w:r>
      <w:r w:rsidR="00CE4372" w:rsidRPr="009819CE">
        <w:rPr>
          <w:rFonts w:cstheme="minorBidi"/>
        </w:rPr>
      </w:r>
      <w:r w:rsidR="00CE4372" w:rsidRPr="009819CE">
        <w:rPr>
          <w:rFonts w:cstheme="minorBidi"/>
        </w:rPr>
        <w:fldChar w:fldCharType="end"/>
      </w:r>
      <w:r w:rsidR="006A0363" w:rsidRPr="009819CE">
        <w:rPr>
          <w:rFonts w:cstheme="minorBidi"/>
        </w:rPr>
      </w:r>
      <w:r w:rsidR="006A0363" w:rsidRPr="009819CE">
        <w:rPr>
          <w:rFonts w:cstheme="minorBidi"/>
        </w:rPr>
        <w:fldChar w:fldCharType="separate"/>
      </w:r>
      <w:r w:rsidR="00D50EFF" w:rsidRPr="007268F5">
        <w:rPr>
          <w:rFonts w:cstheme="minorBidi"/>
        </w:rPr>
        <w:t>(</w:t>
      </w:r>
      <w:hyperlink w:anchor="_ENREF_28" w:tooltip="Beevers, 2010 #247" w:history="1">
        <w:r w:rsidR="00950097" w:rsidRPr="007268F5">
          <w:rPr>
            <w:rFonts w:cstheme="minorBidi"/>
          </w:rPr>
          <w:t>Beevers, 2010</w:t>
        </w:r>
      </w:hyperlink>
      <w:r w:rsidR="00D50EFF" w:rsidRPr="007268F5">
        <w:rPr>
          <w:rFonts w:cstheme="minorBidi"/>
        </w:rPr>
        <w:t xml:space="preserve">; </w:t>
      </w:r>
      <w:hyperlink w:anchor="_ENREF_281" w:tooltip="Shields, 2003 #142" w:history="1">
        <w:r w:rsidR="00950097" w:rsidRPr="007268F5">
          <w:rPr>
            <w:rFonts w:cstheme="minorBidi"/>
          </w:rPr>
          <w:t>Shields et al., 2003</w:t>
        </w:r>
      </w:hyperlink>
      <w:r w:rsidR="00D50EFF" w:rsidRPr="007268F5">
        <w:rPr>
          <w:rFonts w:cstheme="minorBidi"/>
        </w:rPr>
        <w:t xml:space="preserve">; </w:t>
      </w:r>
      <w:hyperlink w:anchor="_ENREF_321" w:tooltip="Taylor, 1996 #353" w:history="1">
        <w:r w:rsidR="00950097" w:rsidRPr="007268F5">
          <w:rPr>
            <w:rFonts w:cstheme="minorBidi"/>
          </w:rPr>
          <w:t>Taylor et al., 1996</w:t>
        </w:r>
      </w:hyperlink>
      <w:r w:rsidR="00D50EFF" w:rsidRPr="007268F5">
        <w:rPr>
          <w:rFonts w:cstheme="minorBidi"/>
        </w:rPr>
        <w:t>)</w:t>
      </w:r>
      <w:r w:rsidR="006A0363" w:rsidRPr="009819CE">
        <w:rPr>
          <w:rFonts w:cstheme="minorBidi"/>
        </w:rPr>
        <w:fldChar w:fldCharType="end"/>
      </w:r>
      <w:r w:rsidR="006A0363" w:rsidRPr="009819CE">
        <w:rPr>
          <w:rFonts w:cstheme="minorBidi"/>
          <w:color w:val="000000"/>
        </w:rPr>
        <w:t>.</w:t>
      </w:r>
      <w:r w:rsidR="006A0363" w:rsidRPr="009819CE">
        <w:rPr>
          <w:rFonts w:cstheme="minorBidi"/>
        </w:rPr>
        <w:t xml:space="preserve"> </w:t>
      </w:r>
    </w:p>
    <w:p w14:paraId="66691C35" w14:textId="0C4984EE" w:rsidR="006A0363" w:rsidRPr="009819CE" w:rsidRDefault="006A0363" w:rsidP="006A0363">
      <w:pPr>
        <w:rPr>
          <w:rFonts w:cstheme="minorBidi"/>
        </w:rPr>
      </w:pPr>
      <w:r w:rsidRPr="009819CE">
        <w:rPr>
          <w:rFonts w:cstheme="minorBidi"/>
        </w:rPr>
        <w:t xml:space="preserve">During the sporulation process, spores are released from the host as a visible cloud, a phenomenon reported in various species, including </w:t>
      </w:r>
      <w:r w:rsidR="00C31E47" w:rsidRPr="009819CE">
        <w:rPr>
          <w:rFonts w:cstheme="minorBidi"/>
          <w:i/>
        </w:rPr>
        <w:t>Nephrops</w:t>
      </w:r>
      <w:r w:rsidRPr="009819CE">
        <w:rPr>
          <w:rFonts w:cstheme="minorBidi"/>
          <w:i/>
        </w:rPr>
        <w:t xml:space="preserve"> </w:t>
      </w:r>
      <w:r w:rsidRPr="009819CE">
        <w:rPr>
          <w:rFonts w:cstheme="minorBidi"/>
          <w:iCs/>
        </w:rPr>
        <w:fldChar w:fldCharType="begin"/>
      </w:r>
      <w:r w:rsidR="005F31D5">
        <w:rPr>
          <w:rFonts w:cstheme="minorBidi"/>
          <w:iCs/>
        </w:rPr>
        <w:instrText xml:space="preserve"> ADDIN EN.CITE &lt;EndNote&gt;&lt;Cite&gt;&lt;Author&gt;Appleton&lt;/Author&gt;&lt;Year&gt;1996&lt;/Year&gt;&lt;RecNum&gt;108&lt;/RecNum&gt;&lt;DisplayText&gt;(Appleton,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Pr="009819CE">
        <w:rPr>
          <w:rFonts w:cstheme="minorBidi"/>
          <w:iCs/>
        </w:rPr>
        <w:fldChar w:fldCharType="separate"/>
      </w:r>
      <w:r w:rsidR="00A8698B" w:rsidRPr="005F31D5">
        <w:rPr>
          <w:rFonts w:cstheme="minorBidi"/>
          <w:iCs/>
          <w:noProof/>
        </w:rPr>
        <w:t>(</w:t>
      </w:r>
      <w:hyperlink w:anchor="_ENREF_16" w:tooltip="Appleton, 1996 #108" w:history="1">
        <w:r w:rsidR="00950097" w:rsidRPr="005F31D5">
          <w:rPr>
            <w:rFonts w:cstheme="minorBidi"/>
            <w:iCs/>
            <w:noProof/>
          </w:rPr>
          <w:t>Appleton, 1996</w:t>
        </w:r>
      </w:hyperlink>
      <w:r w:rsidR="00A8698B" w:rsidRPr="005F31D5">
        <w:rPr>
          <w:rFonts w:cstheme="minorBidi"/>
          <w:iCs/>
          <w:noProof/>
        </w:rPr>
        <w:t>)</w:t>
      </w:r>
      <w:r w:rsidRPr="009819CE">
        <w:rPr>
          <w:rFonts w:cstheme="minorBidi"/>
          <w:iCs/>
        </w:rPr>
        <w:fldChar w:fldCharType="end"/>
      </w:r>
      <w:r w:rsidRPr="009819CE">
        <w:rPr>
          <w:rFonts w:cstheme="minorBidi"/>
        </w:rPr>
        <w:t xml:space="preserve">, </w:t>
      </w:r>
      <w:r w:rsidR="00A11F70" w:rsidRPr="009819CE">
        <w:rPr>
          <w:rFonts w:cstheme="minorBidi"/>
        </w:rPr>
        <w:t>e</w:t>
      </w:r>
      <w:r w:rsidR="00DF4E3F" w:rsidRPr="009819CE">
        <w:rPr>
          <w:rFonts w:cstheme="minorBidi"/>
        </w:rPr>
        <w:t xml:space="preserve">dible crab </w:t>
      </w:r>
      <w:r w:rsidR="00DF4E3F" w:rsidRPr="007268F5">
        <w:rPr>
          <w:rFonts w:cstheme="minorBidi"/>
        </w:rPr>
        <w:t>(</w:t>
      </w:r>
      <w:r w:rsidRPr="009819CE">
        <w:rPr>
          <w:rFonts w:cstheme="minorBidi"/>
          <w:i/>
          <w:iCs/>
        </w:rPr>
        <w:t>Cancer pagurus</w:t>
      </w:r>
      <w:r w:rsidR="00DF4E3F" w:rsidRPr="009819CE">
        <w:rPr>
          <w:rFonts w:cstheme="minorBidi"/>
        </w:rPr>
        <w:t>)</w:t>
      </w:r>
      <w:r w:rsidRPr="009819CE">
        <w:rPr>
          <w:rFonts w:cstheme="minorBidi"/>
          <w:i/>
          <w:iCs/>
        </w:rPr>
        <w:t xml:space="preserve"> </w:t>
      </w:r>
      <w:r w:rsidRPr="009819CE">
        <w:rPr>
          <w:rFonts w:cstheme="minorBidi"/>
        </w:rPr>
        <w:t xml:space="preserve"> </w:t>
      </w:r>
      <w:r w:rsidRPr="009819CE">
        <w:rPr>
          <w:rFonts w:cstheme="minorBidi"/>
        </w:rPr>
        <w:fldChar w:fldCharType="begin"/>
      </w:r>
      <w:r w:rsidR="00EE7FB9">
        <w:rPr>
          <w:rFonts w:cstheme="minorBidi"/>
        </w:rPr>
        <w:instrText xml:space="preserve"> ADDIN EN.CITE &lt;EndNote&gt;&lt;Cite&gt;&lt;Author&gt;Stentiford&lt;/Author&gt;&lt;Year&gt;2002&lt;/Year&gt;&lt;RecNum&gt;372&lt;/RecNum&gt;&lt;DisplayText&gt;(Stentiford et al., 2002)&lt;/DisplayText&gt;&lt;record&gt;&lt;rec-number&gt;372&lt;/rec-number&gt;&lt;foreign-keys&gt;&lt;key app="EN" db-id="sd9wrx9fj09rx3erprsx999o0r5aprvp2zse" timestamp="1687855901" guid="5223b04b-28a9-481a-baa0-93cf742d7c2e"&gt;372&lt;/key&gt;&lt;/foreign-keys&gt;&lt;ref-type name="Journal Article"&gt;17&lt;/ref-type&gt;&lt;contributors&gt;&lt;authors&gt;&lt;author&gt;Stentiford, Grant D.&lt;/author&gt;&lt;author&gt;Green, M.&lt;/author&gt;&lt;author&gt;Bateman, Kelly S.&lt;/author&gt;&lt;author&gt;Small, Hamish J.&lt;/author&gt;&lt;author&gt;Neil, Douglas M.&lt;/author&gt;&lt;author&gt;Feist, Stephen W.&lt;/author&gt;&lt;/authors&gt;&lt;/contributors&gt;&lt;titles&gt;&lt;title&gt;&lt;style face="normal" font="default" size="100%"&gt;Infection by a &lt;/style&gt;&lt;style face="italic" font="default" size="100%"&gt;Hematodinium&lt;/style&gt;&lt;style face="normal" font="default" size="100%"&gt;-like parasitic dinoflagellate causes pink crab disease (PCD) in the edible crab &lt;/style&gt;&lt;style face="italic" font="default" size="100%"&gt;Cancer pagurus&lt;/style&gt;&lt;/title&gt;&lt;secondary-title&gt;Journal of Invertebrate Pathology&lt;/secondary-title&gt;&lt;/titles&gt;&lt;periodical&gt;&lt;full-title&gt;Journal of Invertebrate Pathology&lt;/full-title&gt;&lt;/periodical&gt;&lt;pages&gt;179-191&lt;/pages&gt;&lt;volume&gt;79&lt;/volume&gt;&lt;number&gt;3&lt;/number&gt;&lt;keywords&gt;&lt;keyword&gt;Cancer pagurus&lt;/keyword&gt;&lt;keyword&gt;Crab fishery&lt;/keyword&gt;&lt;keyword&gt;Dinoflagellate&lt;/keyword&gt;&lt;keyword&gt;Hematodinium&lt;/keyword&gt;&lt;keyword&gt;Histopathology&lt;/keyword&gt;&lt;keyword&gt;Mortality&lt;/keyword&gt;&lt;keyword&gt;Nephrops norvegicus&lt;/keyword&gt;&lt;keyword&gt;PCD&lt;/keyword&gt;&lt;keyword&gt;Parasite&lt;/keyword&gt;&lt;keyword&gt;Pink Crab Disease&lt;/keyword&gt;&lt;/keywords&gt;&lt;dates&gt;&lt;year&gt;2002&lt;/year&gt;&lt;pub-dates&gt;&lt;date&gt;2002/3//&lt;/date&gt;&lt;/pub-dates&gt;&lt;/dates&gt;&lt;urls&gt;&lt;related-urls&gt;&lt;url&gt;https://linkinghub.elsevier.com/retrieve/pii/S0022201102000289&lt;/url&gt;&lt;/related-urls&gt;&lt;/urls&gt;&lt;electronic-resource-num&gt;10.1016/S0022-2011(02)00028-9&lt;/electronic-resource-num&gt;&lt;/record&gt;&lt;/Cite&gt;&lt;/EndNote&gt;</w:instrText>
      </w:r>
      <w:r w:rsidRPr="009819CE">
        <w:rPr>
          <w:rFonts w:cstheme="minorBidi"/>
        </w:rPr>
        <w:fldChar w:fldCharType="separate"/>
      </w:r>
      <w:r w:rsidR="00D50EFF" w:rsidRPr="009819CE">
        <w:rPr>
          <w:rFonts w:cstheme="minorBidi"/>
          <w:noProof/>
        </w:rPr>
        <w:t>(</w:t>
      </w:r>
      <w:hyperlink w:anchor="_ENREF_302" w:tooltip="Stentiford, 2002 #372" w:history="1">
        <w:r w:rsidR="00950097" w:rsidRPr="009819CE">
          <w:rPr>
            <w:rFonts w:cstheme="minorBidi"/>
            <w:noProof/>
          </w:rPr>
          <w:t>Stentiford et al., 2002</w:t>
        </w:r>
      </w:hyperlink>
      <w:r w:rsidR="00D50EFF" w:rsidRPr="009819CE">
        <w:rPr>
          <w:rFonts w:cstheme="minorBidi"/>
          <w:noProof/>
        </w:rPr>
        <w:t>)</w:t>
      </w:r>
      <w:r w:rsidRPr="009819CE">
        <w:rPr>
          <w:rFonts w:cstheme="minorBidi"/>
        </w:rPr>
        <w:fldChar w:fldCharType="end"/>
      </w:r>
      <w:r w:rsidRPr="009819CE">
        <w:rPr>
          <w:rFonts w:cstheme="minorBidi"/>
        </w:rPr>
        <w:t xml:space="preserve">, </w:t>
      </w:r>
      <w:r w:rsidR="00A11F70" w:rsidRPr="009819CE">
        <w:rPr>
          <w:rFonts w:cstheme="minorBidi"/>
        </w:rPr>
        <w:t>s</w:t>
      </w:r>
      <w:r w:rsidR="00DF4E3F" w:rsidRPr="009819CE">
        <w:rPr>
          <w:rFonts w:cstheme="minorBidi"/>
        </w:rPr>
        <w:t>now crab (</w:t>
      </w:r>
      <w:r w:rsidRPr="009819CE">
        <w:rPr>
          <w:rFonts w:cstheme="minorBidi"/>
          <w:i/>
          <w:iCs/>
        </w:rPr>
        <w:t>Chionoecetes opilio</w:t>
      </w:r>
      <w:r w:rsidR="00DF4E3F" w:rsidRPr="009819CE">
        <w:rPr>
          <w:rFonts w:cstheme="minorBidi"/>
        </w:rPr>
        <w:t xml:space="preserve">) </w:t>
      </w:r>
      <w:r w:rsidRPr="009819CE">
        <w:rPr>
          <w:rFonts w:cstheme="minorBidi"/>
        </w:rPr>
        <w:t>(Meyers et al., 1987), and</w:t>
      </w:r>
      <w:r w:rsidR="000609F8" w:rsidRPr="009819CE">
        <w:rPr>
          <w:rFonts w:cstheme="minorBidi"/>
        </w:rPr>
        <w:t xml:space="preserve"> </w:t>
      </w:r>
      <w:r w:rsidR="00A11F70" w:rsidRPr="009819CE">
        <w:rPr>
          <w:rFonts w:cstheme="minorBidi"/>
        </w:rPr>
        <w:t>t</w:t>
      </w:r>
      <w:r w:rsidR="000609F8" w:rsidRPr="009819CE">
        <w:rPr>
          <w:rFonts w:cstheme="minorBidi"/>
        </w:rPr>
        <w:t>anner</w:t>
      </w:r>
      <w:r w:rsidR="00E16FC4" w:rsidRPr="009819CE">
        <w:rPr>
          <w:rFonts w:cstheme="minorBidi"/>
        </w:rPr>
        <w:t xml:space="preserve"> crab (</w:t>
      </w:r>
      <w:r w:rsidRPr="009819CE">
        <w:rPr>
          <w:rFonts w:cstheme="minorBidi"/>
          <w:i/>
          <w:iCs/>
        </w:rPr>
        <w:t>Chionoecetes bairdi</w:t>
      </w:r>
      <w:r w:rsidR="00E16FC4" w:rsidRPr="009819CE">
        <w:rPr>
          <w:rFonts w:cstheme="minorBidi"/>
        </w:rPr>
        <w:t>)</w:t>
      </w:r>
      <w:r w:rsidRPr="009819CE">
        <w:rPr>
          <w:rFonts w:cstheme="minorBidi"/>
        </w:rPr>
        <w:t xml:space="preserve"> </w:t>
      </w:r>
      <w:r w:rsidRPr="009819CE">
        <w:rPr>
          <w:rFonts w:cstheme="minorBidi"/>
        </w:rPr>
        <w:fldChar w:fldCharType="begin"/>
      </w:r>
      <w:r w:rsidR="00EE7FB9">
        <w:rPr>
          <w:rFonts w:cstheme="minorBidi"/>
        </w:rPr>
        <w:instrText xml:space="preserve"> ADDIN EN.CITE &lt;EndNote&gt;&lt;Cite&gt;&lt;Author&gt;Love&lt;/Author&gt;&lt;Year&gt;1993&lt;/Year&gt;&lt;RecNum&gt;356&lt;/RecNum&gt;&lt;DisplayText&gt;(Love et al., 1993)&lt;/DisplayText&gt;&lt;record&gt;&lt;rec-number&gt;356&lt;/rec-number&gt;&lt;foreign-keys&gt;&lt;key app="EN" db-id="sd9wrx9fj09rx3erprsx999o0r5aprvp2zse" timestamp="1687855901" guid="b69a862a-935e-40aa-860f-2dd966db52b8"&gt;356&lt;/key&gt;&lt;/foreign-keys&gt;&lt;ref-type name="Journal Article"&gt;17&lt;/ref-type&gt;&lt;contributors&gt;&lt;authors&gt;&lt;author&gt;Love, D. C.&lt;/author&gt;&lt;author&gt;Rice, S. D.&lt;/author&gt;&lt;author&gt;Moles, D. A.&lt;/author&gt;&lt;author&gt;Eaton, W. D.&lt;/author&gt;&lt;/authors&gt;&lt;/contributors&gt;&lt;titles&gt;&lt;title&gt;&lt;style face="normal" font="default" size="100%"&gt;Seasonal prevalence and intensity of bitter crab dinoflagellate infection and host mortality in Alaskan tanner crabs&lt;/style&gt;&lt;style face="italic" font="default" size="100%"&gt; Chionoeceles bairdi &lt;/style&gt;&lt;style face="normal" font="default" size="100%"&gt;from Auke bay, Alaska, USA&lt;/style&gt;&lt;/title&gt;&lt;secondary-title&gt;Diseases of Aquatic Organisms&lt;/secondary-title&gt;&lt;/titles&gt;&lt;periodical&gt;&lt;full-title&gt;Diseases of Aquatic Organisms&lt;/full-title&gt;&lt;/periodical&gt;&lt;pages&gt;1-7&lt;/pages&gt;&lt;volume&gt;15&lt;/volume&gt;&lt;dates&gt;&lt;year&gt;1993&lt;/year&gt;&lt;/dates&gt;&lt;urls&gt;&lt;related-urls&gt;&lt;url&gt;http://www.int-res.com/articles/dao/15/d015p001.pdf&lt;/url&gt;&lt;/related-urls&gt;&lt;/urls&gt;&lt;electronic-resource-num&gt;10.3354/dao015001&lt;/electronic-resource-num&gt;&lt;/record&gt;&lt;/Cite&gt;&lt;/EndNote&gt;</w:instrText>
      </w:r>
      <w:r w:rsidRPr="009819CE">
        <w:rPr>
          <w:rFonts w:cstheme="minorBidi"/>
        </w:rPr>
        <w:fldChar w:fldCharType="separate"/>
      </w:r>
      <w:r w:rsidR="00D50EFF" w:rsidRPr="00EE7FB9">
        <w:rPr>
          <w:rFonts w:cstheme="minorBidi"/>
          <w:noProof/>
        </w:rPr>
        <w:t>(</w:t>
      </w:r>
      <w:hyperlink w:anchor="_ENREF_200" w:tooltip="Love, 1993 #356" w:history="1">
        <w:r w:rsidR="00950097" w:rsidRPr="00EE7FB9">
          <w:rPr>
            <w:rFonts w:cstheme="minorBidi"/>
            <w:noProof/>
          </w:rPr>
          <w:t>Love et al., 1993</w:t>
        </w:r>
      </w:hyperlink>
      <w:r w:rsidR="00D50EFF" w:rsidRPr="00EE7FB9">
        <w:rPr>
          <w:rFonts w:cstheme="minorBidi"/>
          <w:noProof/>
        </w:rPr>
        <w:t>)</w:t>
      </w:r>
      <w:r w:rsidRPr="009819CE">
        <w:rPr>
          <w:rFonts w:cstheme="minorBidi"/>
        </w:rPr>
        <w:fldChar w:fldCharType="end"/>
      </w:r>
      <w:r w:rsidRPr="009819CE">
        <w:rPr>
          <w:rFonts w:cstheme="minorBidi"/>
        </w:rPr>
        <w:t xml:space="preserve">, among others. As a result of sporulation events, the number of parasite cells remaining within the host significantly decreases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 xml:space="preserve">. </w:t>
      </w:r>
    </w:p>
    <w:p w14:paraId="696C1BA8" w14:textId="23E8E09A" w:rsidR="006A0363" w:rsidRPr="009819CE" w:rsidRDefault="006A0363" w:rsidP="006A0363">
      <w:pPr>
        <w:rPr>
          <w:rFonts w:cstheme="minorBidi"/>
        </w:rPr>
      </w:pPr>
      <w:r w:rsidRPr="009819CE">
        <w:rPr>
          <w:rFonts w:cstheme="minorBidi"/>
        </w:rPr>
        <w:t xml:space="preserve">The exact transmission mechanism of </w:t>
      </w:r>
      <w:r w:rsidR="009D03F4" w:rsidRPr="009819CE">
        <w:rPr>
          <w:rFonts w:cstheme="minorBidi"/>
          <w:i/>
        </w:rPr>
        <w:t>Hematodinium</w:t>
      </w:r>
      <w:r w:rsidRPr="009819CE">
        <w:rPr>
          <w:rFonts w:cstheme="minorBidi"/>
        </w:rPr>
        <w:t xml:space="preserve"> sp. remains unknown, although waterborne transmission is considered a likely pathway </w:t>
      </w:r>
      <w:r w:rsidRPr="009819CE">
        <w:rPr>
          <w:rFonts w:cstheme="minorBidi"/>
        </w:rPr>
        <w:fldChar w:fldCharType="begin">
          <w:fldData xml:space="preserve">PEVuZE5vdGU+PENpdGU+PEF1dGhvcj5IdWFuZzwvQXV0aG9yPjxZZWFyPjIwMjE8L1llYXI+PFJl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PEVuZE5vdGU+PENpdGU+PEF1dGhvcj5IdWFuZzwvQXV0aG9yPjxZZWFyPjIwMjE8L1llYXI+PFJl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44" w:tooltip="Huang, 2021 #472" w:history="1">
        <w:r w:rsidR="00950097" w:rsidRPr="007268F5">
          <w:rPr>
            <w:rFonts w:cstheme="minorBidi"/>
          </w:rPr>
          <w:t>Huang et al., 2021</w:t>
        </w:r>
      </w:hyperlink>
      <w:r w:rsidR="00D50EFF" w:rsidRPr="007268F5">
        <w:rPr>
          <w:rFonts w:cstheme="minorBidi"/>
        </w:rPr>
        <w:t xml:space="preserve">; </w:t>
      </w:r>
      <w:hyperlink w:anchor="_ENREF_175" w:tooltip="Li, 2021 #453" w:history="1">
        <w:r w:rsidR="00950097" w:rsidRPr="007268F5">
          <w:rPr>
            <w:rFonts w:cstheme="minorBidi"/>
          </w:rPr>
          <w:t>Li et al., 2021a</w:t>
        </w:r>
      </w:hyperlink>
      <w:r w:rsidR="00D50EFF" w:rsidRPr="007268F5">
        <w:rPr>
          <w:rFonts w:cstheme="minorBidi"/>
        </w:rPr>
        <w:t xml:space="preserve">; </w:t>
      </w:r>
      <w:hyperlink w:anchor="_ENREF_178" w:tooltip="Li, 2011 #19" w:history="1">
        <w:r w:rsidR="00950097" w:rsidRPr="007268F5">
          <w:rPr>
            <w:rFonts w:cstheme="minorBidi"/>
          </w:rPr>
          <w:t>Li et al., 2011</w:t>
        </w:r>
      </w:hyperlink>
      <w:r w:rsidR="00D50EFF" w:rsidRPr="007268F5">
        <w:rPr>
          <w:rFonts w:cstheme="minorBidi"/>
        </w:rPr>
        <w:t xml:space="preserve">; </w:t>
      </w:r>
      <w:hyperlink w:anchor="_ENREF_310" w:tooltip="Stentiford, 2005 #156" w:history="1">
        <w:r w:rsidR="00950097" w:rsidRPr="007268F5">
          <w:rPr>
            <w:rFonts w:cstheme="minorBidi"/>
          </w:rPr>
          <w:t>Stentiford and Shields, 2005</w:t>
        </w:r>
      </w:hyperlink>
      <w:r w:rsidR="00D50EFF" w:rsidRPr="007268F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Dinospores can enter </w:t>
      </w:r>
      <w:r w:rsidR="00C31E47" w:rsidRPr="009819CE">
        <w:rPr>
          <w:rFonts w:cstheme="minorBidi"/>
          <w:i/>
        </w:rPr>
        <w:t>Nephrops</w:t>
      </w:r>
      <w:r w:rsidRPr="009819CE">
        <w:rPr>
          <w:rFonts w:cstheme="minorBidi"/>
          <w:i/>
        </w:rPr>
        <w:t xml:space="preserve"> </w:t>
      </w:r>
      <w:r w:rsidRPr="009819CE">
        <w:rPr>
          <w:rFonts w:cstheme="minorBidi"/>
        </w:rPr>
        <w:t xml:space="preserve"> through various routes, including the gills, breaks in the integument </w:t>
      </w:r>
      <w:r w:rsidRPr="009819CE">
        <w:rPr>
          <w:rFonts w:cstheme="minorBidi"/>
        </w:rPr>
        <w:fldChar w:fldCharType="begin"/>
      </w:r>
      <w:r w:rsidR="00D50EFF" w:rsidRPr="009819CE">
        <w:rPr>
          <w:rFonts w:cstheme="minorBidi"/>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Pr="009819CE">
        <w:rPr>
          <w:rFonts w:cstheme="minorBidi"/>
        </w:rPr>
        <w:fldChar w:fldCharType="separate"/>
      </w:r>
      <w:r w:rsidR="00D50EFF" w:rsidRPr="009819CE">
        <w:rPr>
          <w:rFonts w:cstheme="minorBidi"/>
        </w:rPr>
        <w:t>(</w:t>
      </w:r>
      <w:hyperlink w:anchor="_ENREF_125" w:tooltip="Hanif, 2013 #351" w:history="1">
        <w:r w:rsidR="00950097" w:rsidRPr="009819CE">
          <w:rPr>
            <w:rFonts w:cstheme="minorBidi"/>
          </w:rPr>
          <w:t>Hanif et al., 2013</w:t>
        </w:r>
      </w:hyperlink>
      <w:r w:rsidR="00D50EFF" w:rsidRPr="009819CE">
        <w:rPr>
          <w:rFonts w:cstheme="minorBidi"/>
        </w:rPr>
        <w:t>)</w:t>
      </w:r>
      <w:r w:rsidRPr="009819CE">
        <w:rPr>
          <w:rFonts w:cstheme="minorBidi"/>
        </w:rPr>
        <w:fldChar w:fldCharType="end"/>
      </w:r>
      <w:r w:rsidRPr="009819CE">
        <w:rPr>
          <w:rFonts w:cstheme="minorBidi"/>
        </w:rPr>
        <w:t xml:space="preserve">, suspension-feeding </w:t>
      </w:r>
      <w:r w:rsidRPr="009819CE">
        <w:rPr>
          <w:rFonts w:cstheme="minorBidi"/>
        </w:rPr>
        <w:fldChar w:fldCharType="begin"/>
      </w:r>
      <w:r w:rsidR="00A8698B" w:rsidRPr="009819CE">
        <w:rPr>
          <w:rFonts w:cstheme="minorBidi"/>
        </w:rPr>
        <w:instrText xml:space="preserve"> ADDIN EN.CITE &lt;EndNote&gt;&lt;Cite&gt;&lt;Author&gt;Briggs&lt;/Author&gt;&lt;Year&gt;2002&lt;/Year&gt;&lt;RecNum&gt;374&lt;/RecNum&gt;&lt;DisplayText&gt;(Briggs and McAliskey, 2002)&lt;/DisplayText&gt;&lt;record&gt;&lt;rec-number&gt;374&lt;/rec-number&gt;&lt;foreign-keys&gt;&lt;key app="EN" db-id="sd9wrx9fj09rx3erprsx999o0r5aprvp2zse" timestamp="1687855901" guid="fffb00b5-cdee-4035-9ba9-fbd2e8e33433"&gt;374&lt;/key&gt;&lt;/foreign-keys&gt;&lt;ref-type name="Journal Article"&gt;17&lt;/ref-type&gt;&lt;contributors&gt;&lt;authors&gt;&lt;author&gt;Briggs, R. P.&lt;/author&gt;&lt;author&gt;McAliskey, M.&lt;/author&gt;&lt;/authors&gt;&lt;/contributors&gt;&lt;titles&gt;&lt;title&gt;&lt;style face="normal" font="default" size="100%"&gt;The prevalence of &lt;/style&gt;&lt;style face="italic" font="default" size="100%"&gt;Hematodinium&lt;/style&gt;&lt;style face="normal" font="default" size="100%"&gt; in &lt;/style&gt;&lt;style face="italic" font="default" size="100%"&gt;Nephrops norvegicus &lt;/style&gt;&lt;style face="normal" font="default" size="100%"&gt;from the western Irish Sea&lt;/style&gt;&lt;/title&gt;&lt;secondary-title&gt;Journal of the Marine Biological Association of the United Kingdom&lt;/secondary-title&gt;&lt;/titles&gt;&lt;periodical&gt;&lt;full-title&gt;Journal of the Marine Biological Association of the United Kingdom&lt;/full-title&gt;&lt;/periodical&gt;&lt;pages&gt;427-433&lt;/pages&gt;&lt;volume&gt;82&lt;/volume&gt;&lt;number&gt;3&lt;/number&gt;&lt;dates&gt;&lt;year&gt;2002&lt;/year&gt;&lt;pub-dates&gt;&lt;date&gt;2002/6//&lt;/date&gt;&lt;/pub-dates&gt;&lt;/dates&gt;&lt;urls&gt;&lt;related-urls&gt;&lt;url&gt;https://www.cambridge.org/core/product/identifier/S0025315402005684/type/journal_article&lt;/url&gt;&lt;url&gt;https://www.cambridge.org/core/journals/journal-of-the-marine-biological-association-of-the-united-kingdom/article/abs/prevalence-of-hematodinium-in-nephrops-norvegicus-from-the-western-irish-sea/F62274CA5D9F0DADB8129BB1E188BBD5&lt;/url&gt;&lt;/related-urls&gt;&lt;/urls&gt;&lt;electronic-resource-num&gt;10.1017/S0025315402005684&lt;/electronic-resource-num&gt;&lt;/record&gt;&lt;/Cite&gt;&lt;/EndNote&gt;</w:instrText>
      </w:r>
      <w:r w:rsidRPr="009819CE">
        <w:rPr>
          <w:rFonts w:cstheme="minorBidi"/>
        </w:rPr>
        <w:fldChar w:fldCharType="separate"/>
      </w:r>
      <w:r w:rsidR="00A8698B" w:rsidRPr="009819CE">
        <w:rPr>
          <w:rFonts w:cstheme="minorBidi"/>
        </w:rPr>
        <w:t>(</w:t>
      </w:r>
      <w:hyperlink w:anchor="_ENREF_34" w:tooltip="Briggs, 2002 #374" w:history="1">
        <w:r w:rsidR="00950097" w:rsidRPr="009819CE">
          <w:rPr>
            <w:rFonts w:cstheme="minorBidi"/>
          </w:rPr>
          <w:t>Briggs and McAliskey, 2002</w:t>
        </w:r>
      </w:hyperlink>
      <w:r w:rsidR="00A8698B" w:rsidRPr="009819CE">
        <w:rPr>
          <w:rFonts w:cstheme="minorBidi"/>
        </w:rPr>
        <w:t>)</w:t>
      </w:r>
      <w:r w:rsidRPr="009819CE">
        <w:rPr>
          <w:rFonts w:cstheme="minorBidi"/>
        </w:rPr>
        <w:fldChar w:fldCharType="end"/>
      </w:r>
      <w:r w:rsidRPr="009819CE">
        <w:rPr>
          <w:rFonts w:cstheme="minorBidi"/>
        </w:rPr>
        <w:t xml:space="preserve"> or ingestion of infected individuals </w:t>
      </w:r>
      <w:r w:rsidRPr="009819CE">
        <w:rPr>
          <w:rFonts w:cstheme="minorBidi"/>
        </w:rPr>
        <w:fldChar w:fldCharType="begin"/>
      </w:r>
      <w:r w:rsidR="00D50EFF" w:rsidRPr="009819CE">
        <w:rPr>
          <w:rFonts w:cstheme="minorBidi"/>
        </w:rPr>
        <w:instrText xml:space="preserve"> ADDIN EN.CITE &lt;EndNote&gt;&lt;Cite&gt;&lt;Author&gt;Shields&lt;/Author&gt;&lt;Year&gt;1994&lt;/Year&gt;&lt;RecNum&gt;100&lt;/RecNum&gt;&lt;DisplayText&gt;(Shields, 1994)&lt;/DisplayText&gt;&lt;record&gt;&lt;rec-number&gt;100&lt;/rec-number&gt;&lt;foreign-keys&gt;&lt;key app="EN" db-id="sd9wrx9fj09rx3erprsx999o0r5aprvp2zse" timestamp="1687855901" guid="e7949e2d-78a2-4920-aa7e-b3655adbb6b5"&gt;100&lt;/key&gt;&lt;/foreign-keys&gt;&lt;ref-type name="Journal Article"&gt;17&lt;/ref-type&gt;&lt;contributors&gt;&lt;authors&gt;&lt;author&gt;Shields, Jeffrey D.&lt;/author&gt;&lt;/authors&gt;&lt;/contributors&gt;&lt;titles&gt;&lt;title&gt;The parasitic dinoflagellates of marine crustaceans&lt;/title&gt;&lt;secondary-title&gt;Annual Review of Fish Diseases&lt;/secondary-title&gt;&lt;/titles&gt;&lt;periodical&gt;&lt;full-title&gt;Annual Review of Fish Diseases&lt;/full-title&gt;&lt;/periodical&gt;&lt;pages&gt;241-271&lt;/pages&gt;&lt;volume&gt;4&lt;/volume&gt;&lt;keywords&gt;&lt;keyword&gt;Actinodinium&lt;/keyword&gt;&lt;keyword&gt;Atelodinium&lt;/keyword&gt;&lt;keyword&gt;Blastodinium&lt;/keyword&gt;&lt;keyword&gt;Chytriodinium&lt;/keyword&gt;&lt;keyword&gt;Dissodinium&lt;/keyword&gt;&lt;keyword&gt;Ellobiocystis&lt;/keyword&gt;&lt;keyword&gt;Ellobiopsis&lt;/keyword&gt;&lt;keyword&gt;Epizootiology&lt;/keyword&gt;&lt;keyword&gt;Hematodinium&lt;/keyword&gt;&lt;keyword&gt;Life cycle&lt;/keyword&gt;&lt;keyword&gt;Paradinium&lt;/keyword&gt;&lt;keyword&gt;Parallobiopsis&lt;/keyword&gt;&lt;keyword&gt;Pathology&lt;/keyword&gt;&lt;keyword&gt;Rhizellobiopsis&lt;/keyword&gt;&lt;keyword&gt;Schizochytriodinium&lt;/keyword&gt;&lt;keyword&gt;Syltodinium&lt;/keyword&gt;&lt;keyword&gt;Syndinium&lt;/keyword&gt;&lt;keyword&gt;Taxonomy&lt;/keyword&gt;&lt;keyword&gt;Thalassomyces&lt;/keyword&gt;&lt;keyword&gt;Trypanodinium&lt;/keyword&gt;&lt;/keywords&gt;&lt;dates&gt;&lt;year&gt;1994&lt;/year&gt;&lt;pub-dates&gt;&lt;date&gt;1994/1//&lt;/date&gt;&lt;/pub-dates&gt;&lt;/dates&gt;&lt;urls&gt;&lt;related-urls&gt;&lt;url&gt;https://linkinghub.elsevier.com/retrieve/pii/0959803094900310&lt;/url&gt;&lt;url&gt;https://www.sciencedirect.com/science/article/abs/pii/0959803094900310?via%3Dihub&lt;/url&gt;&lt;/related-urls&gt;&lt;/urls&gt;&lt;electronic-resource-num&gt;10.1016/0959-8030(94)90031-0&lt;/electronic-resource-num&gt;&lt;/record&gt;&lt;/Cite&gt;&lt;/EndNote&gt;</w:instrText>
      </w:r>
      <w:r w:rsidRPr="009819CE">
        <w:rPr>
          <w:rFonts w:cstheme="minorBidi"/>
        </w:rPr>
        <w:fldChar w:fldCharType="separate"/>
      </w:r>
      <w:r w:rsidR="00D50EFF" w:rsidRPr="009819CE">
        <w:rPr>
          <w:rFonts w:cstheme="minorBidi"/>
        </w:rPr>
        <w:t>(</w:t>
      </w:r>
      <w:hyperlink w:anchor="_ENREF_278" w:tooltip="Shields, 1994 #100" w:history="1">
        <w:r w:rsidR="00950097" w:rsidRPr="009819CE">
          <w:rPr>
            <w:rFonts w:cstheme="minorBidi"/>
          </w:rPr>
          <w:t>Shields, 1994</w:t>
        </w:r>
      </w:hyperlink>
      <w:r w:rsidR="00D50EFF" w:rsidRPr="009819CE">
        <w:rPr>
          <w:rFonts w:cstheme="minorBidi"/>
        </w:rPr>
        <w:t>)</w:t>
      </w:r>
      <w:r w:rsidRPr="009819CE">
        <w:rPr>
          <w:rFonts w:cstheme="minorBidi"/>
        </w:rPr>
        <w:fldChar w:fldCharType="end"/>
      </w:r>
      <w:r w:rsidRPr="009819CE">
        <w:rPr>
          <w:rFonts w:cstheme="minorBidi"/>
        </w:rPr>
        <w:t xml:space="preserve">. Additionally, alternate hosts may serve as reservoirs and contribute to the parasite's transmission </w:t>
      </w:r>
      <w:r w:rsidRPr="009819CE">
        <w:rPr>
          <w:rFonts w:cstheme="minorBidi"/>
        </w:rPr>
        <w:fldChar w:fldCharType="begin"/>
      </w:r>
      <w:r w:rsidR="00ED1A9E" w:rsidRPr="009819CE">
        <w:rPr>
          <w:rFonts w:cstheme="minorBidi"/>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rPr>
        <w:fldChar w:fldCharType="separate"/>
      </w:r>
      <w:r w:rsidR="00D50EFF" w:rsidRPr="007268F5">
        <w:rPr>
          <w:rFonts w:cstheme="minorBidi"/>
        </w:rPr>
        <w:t>(</w:t>
      </w:r>
      <w:hyperlink w:anchor="_ENREF_241" w:tooltip="Pagenkopp Lohan, 2012 #25" w:history="1">
        <w:r w:rsidR="00950097" w:rsidRPr="007268F5">
          <w:rPr>
            <w:rFonts w:cstheme="minorBidi"/>
          </w:rPr>
          <w:t>Pagenkopp Lohan et al., 2012</w:t>
        </w:r>
      </w:hyperlink>
      <w:r w:rsidR="00D50EFF" w:rsidRPr="007268F5">
        <w:rPr>
          <w:rFonts w:cstheme="minorBidi"/>
        </w:rPr>
        <w:t>)</w:t>
      </w:r>
      <w:r w:rsidRPr="009819CE">
        <w:rPr>
          <w:rFonts w:cstheme="minorBidi"/>
        </w:rPr>
        <w:fldChar w:fldCharType="end"/>
      </w:r>
      <w:r w:rsidRPr="009819CE">
        <w:rPr>
          <w:rFonts w:cstheme="minorBidi"/>
        </w:rPr>
        <w:t xml:space="preserve">. In the Clyde Sea Area (CSA), </w:t>
      </w:r>
      <w:r w:rsidR="009D03F4" w:rsidRPr="009819CE">
        <w:rPr>
          <w:rFonts w:cstheme="minorBidi"/>
          <w:i/>
        </w:rPr>
        <w:t>Hematodinium</w:t>
      </w:r>
      <w:r w:rsidRPr="009819CE">
        <w:rPr>
          <w:rFonts w:cstheme="minorBidi"/>
        </w:rPr>
        <w:t xml:space="preserve"> sp. sporulation peaks in late spring (March), ahead of </w:t>
      </w:r>
      <w:r w:rsidR="00C31E47" w:rsidRPr="009819CE">
        <w:rPr>
          <w:rFonts w:cstheme="minorBidi"/>
          <w:i/>
        </w:rPr>
        <w:t>Nephrops</w:t>
      </w:r>
      <w:r w:rsidRPr="009819CE">
        <w:rPr>
          <w:rFonts w:cstheme="minorBidi"/>
        </w:rPr>
        <w:t xml:space="preserve"> female’s primary moulting season (May-June). This temporal correlation suggests that recently-moulted individuals, with softened exoskeletons, may be more susceptible to </w:t>
      </w:r>
      <w:r w:rsidR="0046158A" w:rsidRPr="00FA7D47">
        <w:rPr>
          <w:rFonts w:cstheme="minorBidi"/>
        </w:rPr>
        <w:t xml:space="preserve">penetration by </w:t>
      </w:r>
      <w:r w:rsidR="009D03F4" w:rsidRPr="009819CE">
        <w:rPr>
          <w:rFonts w:cstheme="minorBidi"/>
          <w:i/>
        </w:rPr>
        <w:t>Hematodinium</w:t>
      </w:r>
      <w:r w:rsidRPr="009819CE">
        <w:rPr>
          <w:rFonts w:cstheme="minorBidi"/>
        </w:rPr>
        <w:t xml:space="preserve"> sp. spores </w:t>
      </w:r>
      <w:r w:rsidRPr="009819CE">
        <w:rPr>
          <w:rFonts w:cstheme="minorBidi"/>
        </w:rPr>
        <w:fldChar w:fldCharType="begin"/>
      </w:r>
      <w:r w:rsidR="00ED1A9E" w:rsidRPr="009819CE">
        <w:rPr>
          <w:rFonts w:cstheme="minorBidi"/>
        </w:rPr>
        <w:instrText xml:space="preserve"> ADDIN EN.CITE &lt;EndNote&gt;&lt;Cite&gt;&lt;Author&gt;Pagenkopp Lohan&lt;/Author&gt;&lt;Year&gt;2012&lt;/Year&gt;&lt;RecNum&gt;25&lt;/RecNum&gt;&lt;DisplayText&gt;(Pagenkopp Lohan et al., 2012)&lt;/DisplayText&gt;&lt;record&gt;&lt;rec-number&gt;25&lt;/rec-number&gt;&lt;foreign-keys&gt;&lt;key app="EN" db-id="sd9wrx9fj09rx3erprsx999o0r5aprvp2zse" timestamp="1687855901" guid="fd0bfc1a-5ea2-4665-8601-98daaf9193ab"&gt;25&lt;/key&gt;&lt;/foreign-keys&gt;&lt;ref-type name="Journal Article"&gt;17&lt;/ref-type&gt;&lt;contributors&gt;&lt;authors&gt;&lt;author&gt;Pagenkopp Lohan, Katrina M.&lt;/author&gt;&lt;author&gt;Reece, Kimberly S.&lt;/author&gt;&lt;author&gt;Miller, Terrence L.&lt;/author&gt;&lt;author&gt;Wheeler, Kersten N.&lt;/author&gt;&lt;author&gt;Small, Hamish J.&lt;/author&gt;&lt;author&gt;Shields, Jeffrey D.&lt;/author&gt;&lt;/authors&gt;&lt;/contributors&gt;&lt;titles&gt;&lt;title&gt;&lt;style face="normal" font="default" size="100%"&gt;The role of alternate hosts in the ecology and life history of &lt;/style&gt;&lt;style face="italic" font="default" size="100%"&gt;Hematodinium&lt;/style&gt;&lt;style face="normal" font="default" size="100%"&gt; sp., a parasitic dinoflagellate of the blue crab (&lt;/style&gt;&lt;style face="italic" font="default" size="100%"&gt;Callinectes sapidus&lt;/style&gt;&lt;style face="normal" font="default" size="100%"&gt;)&lt;/style&gt;&lt;/title&gt;&lt;secondary-title&gt;Journal of Parasitology&lt;/secondary-title&gt;&lt;/titles&gt;&lt;periodical&gt;&lt;full-title&gt;Journal of Parasitology&lt;/full-title&gt;&lt;/periodical&gt;&lt;pages&gt;73-84&lt;/pages&gt;&lt;volume&gt;98&lt;/volume&gt;&lt;number&gt;1&lt;/number&gt;&lt;dates&gt;&lt;year&gt;2012&lt;/year&gt;&lt;pub-dates&gt;&lt;date&gt;2012/2//&lt;/date&gt;&lt;/pub-dates&gt;&lt;/dates&gt;&lt;urls&gt;&lt;related-urls&gt;&lt;url&gt;http://www.bioone.org/doi/abs/10.1645/GE-2854.1&lt;/url&gt;&lt;/related-urls&gt;&lt;/urls&gt;&lt;electronic-resource-num&gt;10.1645/GE-2854.1&lt;/electronic-resource-num&gt;&lt;/record&gt;&lt;/Cite&gt;&lt;/EndNote&gt;</w:instrText>
      </w:r>
      <w:r w:rsidRPr="009819CE">
        <w:rPr>
          <w:rFonts w:cstheme="minorBidi"/>
        </w:rPr>
        <w:fldChar w:fldCharType="separate"/>
      </w:r>
      <w:r w:rsidR="00D50EFF" w:rsidRPr="007268F5">
        <w:rPr>
          <w:rFonts w:cstheme="minorBidi"/>
        </w:rPr>
        <w:t>(</w:t>
      </w:r>
      <w:hyperlink w:anchor="_ENREF_241" w:tooltip="Pagenkopp Lohan, 2012 #25" w:history="1">
        <w:r w:rsidR="00950097" w:rsidRPr="007268F5">
          <w:rPr>
            <w:rFonts w:cstheme="minorBidi"/>
          </w:rPr>
          <w:t>Pagenkopp Lohan et al., 2012</w:t>
        </w:r>
      </w:hyperlink>
      <w:r w:rsidR="00D50EFF" w:rsidRPr="007268F5">
        <w:rPr>
          <w:rFonts w:cstheme="minorBidi"/>
        </w:rPr>
        <w:t>)</w:t>
      </w:r>
      <w:r w:rsidRPr="009819CE">
        <w:rPr>
          <w:rFonts w:cstheme="minorBidi"/>
        </w:rPr>
        <w:fldChar w:fldCharType="end"/>
      </w:r>
      <w:r w:rsidRPr="009819CE">
        <w:rPr>
          <w:rFonts w:cstheme="minorBidi"/>
          <w:i/>
        </w:rPr>
        <w:t xml:space="preserve">. </w:t>
      </w:r>
      <w:r w:rsidRPr="009819CE">
        <w:rPr>
          <w:rFonts w:cstheme="minorBidi"/>
        </w:rPr>
        <w:t xml:space="preserve"> </w:t>
      </w:r>
    </w:p>
    <w:p w14:paraId="736DE647" w14:textId="0825B1A8" w:rsidR="006A0363" w:rsidRPr="009819CE" w:rsidRDefault="006A0363" w:rsidP="006A0363">
      <w:pPr>
        <w:rPr>
          <w:rFonts w:cstheme="minorBidi"/>
        </w:rPr>
      </w:pPr>
      <w:r w:rsidRPr="009819CE">
        <w:rPr>
          <w:rFonts w:cstheme="minorBidi"/>
        </w:rPr>
        <w:t>Dinospores</w:t>
      </w:r>
      <w:r w:rsidR="00DD5A00" w:rsidRPr="00FA7D47">
        <w:rPr>
          <w:rFonts w:cstheme="minorBidi"/>
        </w:rPr>
        <w:t xml:space="preserve"> in </w:t>
      </w:r>
      <w:r w:rsidR="00DD5A00" w:rsidRPr="007268F5">
        <w:rPr>
          <w:rFonts w:cstheme="minorBidi"/>
          <w:i/>
          <w:iCs/>
        </w:rPr>
        <w:t>Nephrops</w:t>
      </w:r>
      <w:r w:rsidRPr="009819CE">
        <w:rPr>
          <w:rFonts w:cstheme="minorBidi"/>
        </w:rPr>
        <w:t xml:space="preserve"> can be categorized into two types: macrospores (16–20 μm in length) and microspores (11–14 μm in length), with microspores exhibiting faster swimming speeds compared to macrospores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Both types of spores are equipped with two flagella, one longitudinal and one transverse, and they swim in a characteristic corkscrew pattern.</w:t>
      </w:r>
    </w:p>
    <w:p w14:paraId="5A28215C" w14:textId="0DBF8102" w:rsidR="006A0363" w:rsidRPr="009819CE" w:rsidRDefault="006A0363" w:rsidP="006A0363">
      <w:pPr>
        <w:rPr>
          <w:rFonts w:cstheme="minorBidi"/>
        </w:rPr>
      </w:pPr>
      <w:r w:rsidRPr="009819CE">
        <w:rPr>
          <w:rFonts w:cstheme="minorBidi"/>
        </w:rPr>
        <w:t xml:space="preserve">Prolonged </w:t>
      </w:r>
      <w:r w:rsidR="009D03F4" w:rsidRPr="009819CE">
        <w:rPr>
          <w:rFonts w:cstheme="minorBidi"/>
          <w:i/>
        </w:rPr>
        <w:t>Hematodinium</w:t>
      </w:r>
      <w:r w:rsidRPr="009819CE">
        <w:rPr>
          <w:rFonts w:cstheme="minorBidi"/>
        </w:rPr>
        <w:t xml:space="preserve"> sp. parasitism severely compromises the host, ultimately leading to its death following sporulation </w:t>
      </w:r>
      <w:sdt>
        <w:sdtPr>
          <w:rPr>
            <w:rFonts w:cstheme="minorBidi"/>
            <w:color w:val="000000"/>
          </w:rPr>
          <w:tag w:val="MENDELEY_CITATION_v3_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"/>
          <w:id w:val="-67047055"/>
          <w:placeholder>
            <w:docPart w:val="E34C5539251B4D63B9DD133A67B3A2D2"/>
          </w:placeholder>
        </w:sdtPr>
        <w:sdtEndPr/>
        <w:sdtContent>
          <w:r w:rsidRPr="009819CE">
            <w:rPr>
              <w:rFonts w:cstheme="minorBidi"/>
              <w:color w:val="000000"/>
            </w:rPr>
            <w:t>(Appleton, 1996)</w:t>
          </w:r>
        </w:sdtContent>
      </w:sdt>
      <w:r w:rsidRPr="009819CE">
        <w:rPr>
          <w:rFonts w:cstheme="minorBidi"/>
        </w:rPr>
        <w:t>. The presence of a high parasite burden in</w:t>
      </w:r>
      <w:r w:rsidR="00762ADE" w:rsidRPr="00FA7D47">
        <w:rPr>
          <w:rFonts w:cstheme="minorBidi"/>
        </w:rPr>
        <w:t xml:space="preserve"> host</w:t>
      </w:r>
      <w:r w:rsidR="00E259AE">
        <w:rPr>
          <w:rFonts w:cstheme="minorBidi"/>
        </w:rPr>
        <w:t>s</w:t>
      </w:r>
      <w:r w:rsidR="00762ADE" w:rsidRPr="00FA7D47">
        <w:rPr>
          <w:rFonts w:cstheme="minorBidi"/>
        </w:rPr>
        <w:t xml:space="preserve"> like </w:t>
      </w:r>
      <w:r w:rsidR="00762ADE" w:rsidRPr="00FA7D47">
        <w:rPr>
          <w:rFonts w:cstheme="minorBidi"/>
          <w:shd w:val="clear" w:color="auto" w:fill="FFFFFF"/>
        </w:rPr>
        <w:t>edible crabs (</w:t>
      </w:r>
      <w:r w:rsidR="00762ADE" w:rsidRPr="00FA7D47">
        <w:rPr>
          <w:rFonts w:cstheme="minorBidi"/>
          <w:i/>
          <w:iCs/>
          <w:shd w:val="clear" w:color="auto" w:fill="FFFFFF"/>
        </w:rPr>
        <w:t>Cancer pagurus</w:t>
      </w:r>
      <w:r w:rsidR="00762ADE" w:rsidRPr="00FA7D47">
        <w:rPr>
          <w:rFonts w:cstheme="minorBidi"/>
          <w:shd w:val="clear" w:color="auto" w:fill="FFFFFF"/>
        </w:rPr>
        <w:t xml:space="preserve">) </w:t>
      </w:r>
      <w:r w:rsidRPr="009819CE">
        <w:rPr>
          <w:rFonts w:cstheme="minorBidi"/>
        </w:rPr>
        <w:t xml:space="preserve">results in their exhibiting signs of lethargy and near-death condition </w:t>
      </w:r>
      <w:r w:rsidRPr="009819CE">
        <w:rPr>
          <w:rFonts w:cstheme="minorBidi"/>
        </w:rPr>
        <w:fldChar w:fldCharType="begin"/>
      </w:r>
      <w:r w:rsidR="00871B4F">
        <w:rPr>
          <w:rFonts w:cstheme="minorBidi"/>
        </w:rPr>
        <w:instrText xml:space="preserve"> ADDIN EN.CITE &lt;EndNote&gt;&lt;Cite&gt;&lt;Author&gt;Rowley&lt;/Author&gt;&lt;Year&gt;2015&lt;/Year&gt;&lt;RecNum&gt;78&lt;/RecNum&gt;&lt;DisplayText&gt;(Rowley et al., 2015)&lt;/DisplayText&gt;&lt;record&gt;&lt;rec-number&gt;78&lt;/rec-number&gt;&lt;foreign-keys&gt;&lt;key app="EN" db-id="sd9wrx9fj09rx3erprsx999o0r5aprvp2zse" timestamp="1687855901" guid="22f8c08e-30c6-4ac4-b93b-3ae98640279e"&gt;78&lt;/key&gt;&lt;/foreign-keys&gt;&lt;ref-type name="Journal Article"&gt;17&lt;/ref-type&gt;&lt;contributors&gt;&lt;authors&gt;&lt;author&gt;Rowley, Andrew F.&lt;/author&gt;&lt;author&gt;Smith, Amanda L.&lt;/author&gt;&lt;author&gt;Davies, Charlotte E.&lt;/author&gt;&lt;/authors&gt;&lt;/contributors&gt;&lt;titles&gt;&lt;title&gt;&lt;style face="normal" font="default" size="100%"&gt;How does the dinoflagellate parasite &lt;/style&gt;&lt;style face="italic" font="default" size="100%"&gt;Hematodinium&lt;/style&gt;&lt;style face="normal" font="default" size="100%"&gt; outsmart the immune system of its crustacean hosts?&lt;/style&gt;&lt;/title&gt;&lt;secondary-title&gt;PLOS Pathogens&lt;/secondary-title&gt;&lt;/titles&gt;&lt;periodical&gt;&lt;full-title&gt;PLOS Pathogens&lt;/full-title&gt;&lt;/periodical&gt;&lt;pages&gt;1-9&lt;/pages&gt;&lt;volume&gt;11&lt;/volume&gt;&lt;number&gt;5&lt;/number&gt;&lt;dates&gt;&lt;year&gt;2015&lt;/year&gt;&lt;/dates&gt;&lt;urls&gt;&lt;related-urls&gt;&lt;url&gt;https://doi.org/10.1371/journal.ppat.1004724&lt;/url&gt;&lt;/related-urls&gt;&lt;/urls&gt;&lt;electronic-resource-num&gt;10.1371/journal.ppat.1004724&lt;/electronic-resource-num&gt;&lt;/record&gt;&lt;/Cite&gt;&lt;/EndNote&gt;</w:instrText>
      </w:r>
      <w:r w:rsidRPr="009819CE">
        <w:rPr>
          <w:rFonts w:cstheme="minorBidi"/>
        </w:rPr>
        <w:fldChar w:fldCharType="separate"/>
      </w:r>
      <w:r w:rsidR="00D50EFF" w:rsidRPr="009819CE">
        <w:rPr>
          <w:rFonts w:cstheme="minorBidi"/>
          <w:noProof/>
        </w:rPr>
        <w:t>(</w:t>
      </w:r>
      <w:hyperlink w:anchor="_ENREF_260" w:tooltip="Rowley, 2015 #78" w:history="1">
        <w:r w:rsidR="00950097" w:rsidRPr="009819CE">
          <w:rPr>
            <w:rFonts w:cstheme="minorBidi"/>
            <w:noProof/>
          </w:rPr>
          <w:t>Rowley et al., 2015</w:t>
        </w:r>
      </w:hyperlink>
      <w:r w:rsidR="00D50EFF" w:rsidRPr="009819CE">
        <w:rPr>
          <w:rFonts w:cstheme="minorBidi"/>
          <w:noProof/>
        </w:rPr>
        <w:t>)</w:t>
      </w:r>
      <w:r w:rsidRPr="009819CE">
        <w:rPr>
          <w:rFonts w:cstheme="minorBidi"/>
        </w:rPr>
        <w:fldChar w:fldCharType="end"/>
      </w:r>
      <w:r w:rsidRPr="009819CE">
        <w:rPr>
          <w:rFonts w:cstheme="minorBidi"/>
        </w:rPr>
        <w:t>. This phenomenon arises from the parasites' rapid proliferation, which depletes the host's resources</w:t>
      </w:r>
      <w:r w:rsidR="00505AB5" w:rsidRPr="00FA7D47">
        <w:rPr>
          <w:rFonts w:cstheme="minorBidi"/>
        </w:rPr>
        <w:t xml:space="preserve"> in both edible crabs </w:t>
      </w:r>
      <w:r w:rsidR="00505AB5" w:rsidRPr="00FA7D47">
        <w:rPr>
          <w:rFonts w:cstheme="minorBidi"/>
          <w:shd w:val="clear" w:color="auto" w:fill="FFFFFF"/>
        </w:rPr>
        <w:t>(</w:t>
      </w:r>
      <w:r w:rsidR="00505AB5" w:rsidRPr="00FA7D47">
        <w:rPr>
          <w:rFonts w:cstheme="minorBidi"/>
          <w:i/>
          <w:iCs/>
          <w:shd w:val="clear" w:color="auto" w:fill="FFFFFF"/>
        </w:rPr>
        <w:t>Cancer pagurus</w:t>
      </w:r>
      <w:r w:rsidR="00505AB5" w:rsidRPr="00FA7D47">
        <w:rPr>
          <w:rFonts w:cstheme="minorBidi"/>
          <w:shd w:val="clear" w:color="auto" w:fill="FFFFFF"/>
        </w:rPr>
        <w:t xml:space="preserve">) </w:t>
      </w:r>
      <w:r w:rsidR="00505AB5" w:rsidRPr="00FA7D47">
        <w:rPr>
          <w:rFonts w:cstheme="minorBidi"/>
        </w:rPr>
        <w:t>and</w:t>
      </w:r>
      <w:r w:rsidR="00505AB5" w:rsidRPr="00FA7D47">
        <w:rPr>
          <w:rFonts w:cstheme="minorBidi"/>
          <w:shd w:val="clear" w:color="auto" w:fill="FFFFFF"/>
        </w:rPr>
        <w:t xml:space="preserve"> blue crabs (</w:t>
      </w:r>
      <w:r w:rsidR="00505AB5" w:rsidRPr="00FA7D47">
        <w:rPr>
          <w:rFonts w:cstheme="minorBidi"/>
          <w:i/>
          <w:iCs/>
          <w:shd w:val="clear" w:color="auto" w:fill="FFFFFF"/>
        </w:rPr>
        <w:t>Callinectes sapidus</w:t>
      </w:r>
      <w:r w:rsidR="00505AB5" w:rsidRPr="00FA7D47">
        <w:rPr>
          <w:rFonts w:cstheme="minorBidi"/>
          <w:shd w:val="clear" w:color="auto" w:fill="FFFFFF"/>
        </w:rPr>
        <w:t>)</w:t>
      </w:r>
      <w:r w:rsidRPr="009819CE">
        <w:rPr>
          <w:rFonts w:cstheme="minorBidi"/>
        </w:rPr>
        <w:t xml:space="preserve"> </w:t>
      </w:r>
      <w:r w:rsidRPr="009819CE">
        <w:rPr>
          <w:rFonts w:cstheme="minorBidi"/>
        </w:rPr>
        <w:fldChar w:fldCharType="begin">
          <w:fldData xml:space="preserve">PEVuZE5vdGU+PENpdGU+PEF1dGhvcj5Sb3dsZXk8L0F1dGhvcj48WWVhcj4yMDE1PC9ZZWFyPjxS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</w:fldData>
        </w:fldChar>
      </w:r>
      <w:r w:rsidR="00871B4F">
        <w:rPr>
          <w:rFonts w:cstheme="minorBidi"/>
        </w:rPr>
        <w:instrText xml:space="preserve"> ADDIN EN.CITE </w:instrText>
      </w:r>
      <w:r w:rsidR="00871B4F">
        <w:rPr>
          <w:rFonts w:cstheme="minorBidi"/>
        </w:rPr>
        <w:fldChar w:fldCharType="begin">
          <w:fldData xml:space="preserve">PEVuZE5vdGU+PENpdGU+PEF1dGhvcj5Sb3dsZXk8L0F1dGhvcj48WWVhcj4yMDE1PC9ZZWFyPjxS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871B4F">
        <w:rPr>
          <w:rFonts w:cstheme="minorBidi"/>
          <w:noProof/>
        </w:rPr>
        <w:t>(</w:t>
      </w:r>
      <w:hyperlink w:anchor="_ENREF_260" w:tooltip="Rowley, 2015 #78" w:history="1">
        <w:r w:rsidR="00950097" w:rsidRPr="00871B4F">
          <w:rPr>
            <w:rFonts w:cstheme="minorBidi"/>
            <w:noProof/>
          </w:rPr>
          <w:t>Rowley et al., 2015</w:t>
        </w:r>
      </w:hyperlink>
      <w:r w:rsidR="00D50EFF" w:rsidRPr="00871B4F">
        <w:rPr>
          <w:rFonts w:cstheme="minorBidi"/>
          <w:noProof/>
        </w:rPr>
        <w:t xml:space="preserve">; </w:t>
      </w:r>
      <w:hyperlink w:anchor="_ENREF_281" w:tooltip="Shields, 2003 #142" w:history="1">
        <w:r w:rsidR="00950097" w:rsidRPr="00871B4F">
          <w:rPr>
            <w:rFonts w:cstheme="minorBidi"/>
            <w:noProof/>
          </w:rPr>
          <w:t>Shields et al., 2003</w:t>
        </w:r>
      </w:hyperlink>
      <w:r w:rsidR="00D50EFF" w:rsidRPr="00871B4F">
        <w:rPr>
          <w:rFonts w:cstheme="minorBidi"/>
          <w:noProof/>
        </w:rPr>
        <w:t xml:space="preserve">; </w:t>
      </w:r>
      <w:hyperlink w:anchor="_ENREF_282" w:tooltip="Shields, 2000 #390" w:history="1">
        <w:r w:rsidR="00950097" w:rsidRPr="00871B4F">
          <w:rPr>
            <w:rFonts w:cstheme="minorBidi"/>
            <w:noProof/>
          </w:rPr>
          <w:t>Shields and Squyars, 2000</w:t>
        </w:r>
      </w:hyperlink>
      <w:r w:rsidR="00D50EFF" w:rsidRPr="00871B4F">
        <w:rPr>
          <w:rFonts w:cstheme="minorBidi"/>
          <w:noProof/>
        </w:rPr>
        <w:t>)</w:t>
      </w:r>
      <w:r w:rsidRPr="009819CE">
        <w:rPr>
          <w:rFonts w:cstheme="minorBidi"/>
        </w:rPr>
        <w:fldChar w:fldCharType="end"/>
      </w:r>
      <w:r w:rsidRPr="009819CE">
        <w:rPr>
          <w:rFonts w:cstheme="minorBidi"/>
        </w:rPr>
        <w:t xml:space="preserve">. As the parasite load intensifies in advanced infections, it leads to muscle necrosis </w:t>
      </w:r>
      <w:r w:rsidRPr="009819CE">
        <w:rPr>
          <w:rFonts w:cstheme="minorBidi"/>
        </w:rPr>
        <w:fldChar w:fldCharType="begin"/>
      </w:r>
      <w:r w:rsidR="00E348BC" w:rsidRPr="009819CE">
        <w:rPr>
          <w:rFonts w:cstheme="minorBidi"/>
        </w:rPr>
        <w:instrText xml:space="preserve"> ADDIN EN.CITE &lt;EndNote&gt;&lt;Cite&gt;&lt;Author&gt;Stentiford&lt;/Author&gt;&lt;Year&gt;2000&lt;/Year&gt;&lt;RecNum&gt;1264&lt;/RecNum&gt;&lt;DisplayText&gt;(Stentiford and Neil, 2000)&lt;/DisplayText&gt;&lt;record&gt;&lt;rec-number&gt;1264&lt;/rec-number&gt;&lt;foreign-keys&gt;&lt;key app="EN" db-id="sd9wrx9fj09rx3erprsx999o0r5aprvp2zse" timestamp="1687855902" guid="5f204e7a-abee-4d3e-8084-703661d6c39f"&gt;1264&lt;/key&gt;&lt;/foreign-keys&gt;&lt;ref-type name="Journal Article"&gt;17&lt;/ref-type&gt;&lt;contributors&gt;&lt;authors&gt;&lt;author&gt;Stentiford, Grant D.&lt;/author&gt;&lt;author&gt;Neil, Douglas M.&lt;/author&gt;&lt;/authors&gt;&lt;/contributors&gt;&lt;titles&gt;&lt;title&gt;&lt;style face="normal" font="default" size="100%"&gt;A rapid onset, post-capture muscle necrosis in the Norway lobster, &lt;/style&gt;&lt;style face="italic" font="default" size="100%"&gt;Nephrops norvegicus&lt;/style&gt;&lt;style face="normal" font="default" size="100%"&gt; (L.) from the West coast of Scotland&lt;/style&gt;&lt;/title&gt;&lt;secondary-title&gt;Journal of Fish Diseases&lt;/secondary-title&gt;&lt;/titles&gt;&lt;periodical&gt;&lt;full-title&gt;Journal of Fish Diseases&lt;/full-title&gt;&lt;/periodical&gt;&lt;pages&gt;251-263&lt;/pages&gt;&lt;volume&gt;23&lt;/volume&gt;&lt;number&gt;4&lt;/number&gt;&lt;dates&gt;&lt;year&gt;2000&lt;/year&gt;&lt;pub-dates&gt;&lt;date&gt;2000/7//&lt;/date&gt;&lt;/pub-dates&gt;&lt;/dates&gt;&lt;publisher&gt;John Wiley &amp;amp; Sons, Ltd&lt;/publisher&gt;&lt;urls&gt;&lt;related-urls&gt;&lt;url&gt;https://onlinelibrary.wiley.com/doi/full/10.1046/j.1365-2761.2000.00241.x&lt;/url&gt;&lt;url&gt;https://onlinelibrary.wiley.com/doi/abs/10.1046/j.1365-2761.2000.00241.x&lt;/url&gt;&lt;url&gt;https://onlinelibrary.wiley.com/doi/10.1046/j.1365-2761.2000.00241.x&lt;/url&gt;&lt;/related-urls&gt;&lt;/urls&gt;&lt;electronic-resource-num&gt;10.1046/J.1365-2761.2000.00241.X&lt;/electronic-resource-num&gt;&lt;/record&gt;&lt;/Cite&gt;&lt;/EndNote&gt;</w:instrText>
      </w:r>
      <w:r w:rsidRPr="009819CE">
        <w:rPr>
          <w:rFonts w:cstheme="minorBidi"/>
        </w:rPr>
        <w:fldChar w:fldCharType="separate"/>
      </w:r>
      <w:r w:rsidR="00D50EFF" w:rsidRPr="007268F5">
        <w:rPr>
          <w:rFonts w:cstheme="minorBidi"/>
        </w:rPr>
        <w:t>(</w:t>
      </w:r>
      <w:hyperlink w:anchor="_ENREF_303" w:tooltip="Stentiford, 2000 #1264" w:history="1">
        <w:r w:rsidR="00950097" w:rsidRPr="007268F5">
          <w:rPr>
            <w:rFonts w:cstheme="minorBidi"/>
          </w:rPr>
          <w:t>Stentiford and Neil, 2000</w:t>
        </w:r>
      </w:hyperlink>
      <w:r w:rsidR="00D50EFF" w:rsidRPr="007268F5">
        <w:rPr>
          <w:rFonts w:cstheme="minorBidi"/>
        </w:rPr>
        <w:t>)</w:t>
      </w:r>
      <w:r w:rsidRPr="009819CE">
        <w:rPr>
          <w:rFonts w:cstheme="minorBidi"/>
        </w:rPr>
        <w:fldChar w:fldCharType="end"/>
      </w:r>
      <w:r w:rsidRPr="009819CE">
        <w:rPr>
          <w:rFonts w:cstheme="minorBidi"/>
        </w:rPr>
        <w:t xml:space="preserve"> and a state of "metabolic exhaustion" and a systemic organ failure </w:t>
      </w:r>
      <w:r w:rsidRPr="009819CE">
        <w:rPr>
          <w:rFonts w:cstheme="minorBidi"/>
        </w:rPr>
        <w:fldChar w:fldCharType="begin">
          <w:fldData xml:space="preserve">PEVuZE5vdGU+PENpdGU+PEF1dGhvcj5TaGllbGRzPC9BdXRob3I+PFllYXI+MjAwMzwvWWVhcj48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</w:fldData>
        </w:fldChar>
      </w:r>
      <w:r w:rsidR="001E2A24" w:rsidRPr="009819CE">
        <w:rPr>
          <w:rFonts w:cstheme="minorBidi"/>
        </w:rPr>
        <w:instrText xml:space="preserve"> ADDIN EN.CITE </w:instrText>
      </w:r>
      <w:r w:rsidR="001E2A24" w:rsidRPr="009819CE">
        <w:rPr>
          <w:rFonts w:cstheme="minorBidi"/>
        </w:rPr>
        <w:fldChar w:fldCharType="begin">
          <w:fldData xml:space="preserve">PEVuZE5vdGU+PENpdGU+PEF1dGhvcj5TaGllbGRzPC9BdXRob3I+PFllYXI+MjAwMzwvWWVhcj48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</w:fldData>
        </w:fldChar>
      </w:r>
      <w:r w:rsidR="001E2A24" w:rsidRPr="009819CE">
        <w:rPr>
          <w:rFonts w:cstheme="minorBidi"/>
        </w:rPr>
        <w:instrText xml:space="preserve"> ADDIN EN.CITE.DATA </w:instrText>
      </w:r>
      <w:r w:rsidR="001E2A24" w:rsidRPr="009819CE">
        <w:rPr>
          <w:rFonts w:cstheme="minorBidi"/>
        </w:rPr>
      </w:r>
      <w:r w:rsidR="001E2A24"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281" w:tooltip="Shields, 2003 #142" w:history="1">
        <w:r w:rsidR="00950097" w:rsidRPr="007268F5">
          <w:rPr>
            <w:rFonts w:cstheme="minorBidi"/>
          </w:rPr>
          <w:t>Shields et al., 2003</w:t>
        </w:r>
      </w:hyperlink>
      <w:r w:rsidR="00D50EFF" w:rsidRPr="007268F5">
        <w:rPr>
          <w:rFonts w:cstheme="minorBidi"/>
        </w:rPr>
        <w:t xml:space="preserve">; </w:t>
      </w:r>
      <w:hyperlink w:anchor="_ENREF_321" w:tooltip="Taylor, 1996 #353" w:history="1">
        <w:r w:rsidR="00950097" w:rsidRPr="007268F5">
          <w:rPr>
            <w:rFonts w:cstheme="minorBidi"/>
          </w:rPr>
          <w:t>Taylor et al., 1996</w:t>
        </w:r>
      </w:hyperlink>
      <w:r w:rsidR="00D50EFF" w:rsidRPr="007268F5">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This state is marked by a substantial decrease in plasma proteins, including haemocyanin, which serves dual roles as a respiratory pigment and an immunologically active molecule </w:t>
      </w:r>
      <w:r w:rsidRPr="009819CE">
        <w:rPr>
          <w:rFonts w:cstheme="minorBidi"/>
        </w:rPr>
        <w:fldChar w:fldCharType="begin"/>
      </w:r>
      <w:r w:rsidR="00ED1A9E" w:rsidRPr="009819CE">
        <w:rPr>
          <w:rFonts w:cstheme="minorBidi"/>
        </w:rPr>
        <w:instrText xml:space="preserve"> ADDIN EN.CITE &lt;EndNote&gt;&lt;Cite&gt;&lt;Author&gt;Coates&lt;/Author&gt;&lt;Year&gt;2014&lt;/Year&gt;&lt;RecNum&gt;58&lt;/RecNum&gt;&lt;DisplayText&gt;(Coates and Nairn, 2014)&lt;/DisplayText&gt;&lt;record&gt;&lt;rec-number&gt;58&lt;/rec-number&gt;&lt;foreign-keys&gt;&lt;key app="EN" db-id="sd9wrx9fj09rx3erprsx999o0r5aprvp2zse" timestamp="1687855901" guid="c6d12dfa-e7e7-4c3a-a3e4-92e602b039ee"&gt;58&lt;/key&gt;&lt;/foreign-keys&gt;&lt;ref-type name="Journal Article"&gt;17&lt;/ref-type&gt;&lt;contributors&gt;&lt;authors&gt;&lt;author&gt;Coates, Christopher J.&lt;/author&gt;&lt;author&gt;Nairn, Jacqueline&lt;/author&gt;&lt;/authors&gt;&lt;/contributors&gt;&lt;titles&gt;&lt;title&gt;Diverse immune functions of hemocyanins&lt;/title&gt;&lt;secondary-title&gt;Developmental and Comparative Immunology&lt;/secondary-title&gt;&lt;/titles&gt;&lt;periodical&gt;&lt;full-title&gt;Developmental and comparative immunology&lt;/full-title&gt;&lt;/periodical&gt;&lt;pages&gt;43-55&lt;/pages&gt;&lt;volume&gt;45&lt;/volume&gt;&lt;number&gt;1&lt;/number&gt;&lt;keywords&gt;&lt;keyword&gt;Hemocyanin&lt;/keyword&gt;&lt;keyword&gt;Hemoglobin&lt;/keyword&gt;&lt;keyword&gt;Innate immunity&lt;/keyword&gt;&lt;keyword&gt;Microbicidal&lt;/keyword&gt;&lt;keyword&gt;Multifunctional&lt;/keyword&gt;&lt;keyword&gt;Phenoloxidase&lt;/keyword&gt;&lt;/keywords&gt;&lt;dates&gt;&lt;year&gt;2014&lt;/year&gt;&lt;pub-dates&gt;&lt;date&gt;2014/7//&lt;/date&gt;&lt;/pub-dates&gt;&lt;/dates&gt;&lt;publisher&gt;Elsevier Ltd&lt;/publisher&gt;&lt;urls&gt;&lt;related-urls&gt;&lt;url&gt;http://dx.doi.org/10.1016/j.dci.2014.01.021&lt;/url&gt;&lt;url&gt;https://linkinghub.elsevier.com/retrieve/pii/S0145305X14000226&lt;/url&gt;&lt;/related-urls&gt;&lt;/urls&gt;&lt;electronic-resource-num&gt;10.1016/j.dci.2014.01.021&lt;/electronic-resource-num&gt;&lt;/record&gt;&lt;/Cite&gt;&lt;/EndNote&gt;</w:instrText>
      </w:r>
      <w:r w:rsidRPr="009819CE">
        <w:rPr>
          <w:rFonts w:cstheme="minorBidi"/>
        </w:rPr>
        <w:fldChar w:fldCharType="separate"/>
      </w:r>
      <w:r w:rsidR="00D50EFF" w:rsidRPr="007268F5">
        <w:rPr>
          <w:rFonts w:cstheme="minorBidi"/>
        </w:rPr>
        <w:t>(</w:t>
      </w:r>
      <w:hyperlink w:anchor="_ENREF_56" w:tooltip="Coates, 2014 #58" w:history="1">
        <w:r w:rsidR="00950097" w:rsidRPr="007268F5">
          <w:rPr>
            <w:rFonts w:cstheme="minorBidi"/>
          </w:rPr>
          <w:t>Coates and Nairn, 2014</w:t>
        </w:r>
      </w:hyperlink>
      <w:r w:rsidR="00D50EFF" w:rsidRPr="007268F5">
        <w:rPr>
          <w:rFonts w:cstheme="minorBidi"/>
        </w:rPr>
        <w:t>)</w:t>
      </w:r>
      <w:r w:rsidRPr="009819CE">
        <w:rPr>
          <w:rFonts w:cstheme="minorBidi"/>
        </w:rPr>
        <w:fldChar w:fldCharType="end"/>
      </w:r>
      <w:r w:rsidRPr="009819CE">
        <w:rPr>
          <w:rFonts w:cstheme="minorBidi"/>
        </w:rPr>
        <w:t>.</w:t>
      </w:r>
    </w:p>
    <w:p w14:paraId="5094B218" w14:textId="2D522230" w:rsidR="006A0363" w:rsidRPr="009819CE" w:rsidRDefault="006A0363" w:rsidP="006A0363">
      <w:pPr>
        <w:rPr>
          <w:rFonts w:cstheme="minorBidi"/>
        </w:rPr>
      </w:pPr>
      <w:r w:rsidRPr="009819CE">
        <w:rPr>
          <w:rFonts w:cstheme="minorBidi"/>
        </w:rPr>
        <w:t xml:space="preserve">Sporulation represents a significant investment of resources for the parasite as it involves complete evacuation of the </w:t>
      </w:r>
      <w:r w:rsidR="009D03F4" w:rsidRPr="009819CE">
        <w:rPr>
          <w:rFonts w:cstheme="minorBidi"/>
          <w:i/>
        </w:rPr>
        <w:t>Hematodinium</w:t>
      </w:r>
      <w:r w:rsidRPr="009819CE">
        <w:rPr>
          <w:rFonts w:cstheme="minorBidi"/>
        </w:rPr>
        <w:t xml:space="preserve"> sp. parasite in the form of spores from the host </w:t>
      </w:r>
      <w:r w:rsidRPr="009819CE">
        <w:rPr>
          <w:rFonts w:cstheme="minorBidi"/>
        </w:rPr>
        <w:fldChar w:fldCharType="begin"/>
      </w:r>
      <w:r w:rsidR="00CE4372" w:rsidRPr="009819CE">
        <w:rPr>
          <w:rFonts w:cstheme="minorBidi"/>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Pr="009819CE">
        <w:rPr>
          <w:rFonts w:cstheme="minorBidi"/>
        </w:rPr>
        <w:fldChar w:fldCharType="separate"/>
      </w:r>
      <w:r w:rsidR="00A8698B" w:rsidRPr="007268F5">
        <w:rPr>
          <w:rFonts w:cstheme="minorBidi"/>
        </w:rPr>
        <w:t>(</w:t>
      </w:r>
      <w:hyperlink w:anchor="_ENREF_28" w:tooltip="Beevers, 2010 #247" w:history="1">
        <w:r w:rsidR="00950097" w:rsidRPr="007268F5">
          <w:rPr>
            <w:rFonts w:cstheme="minorBidi"/>
          </w:rPr>
          <w:t>Beevers, 2010</w:t>
        </w:r>
      </w:hyperlink>
      <w:r w:rsidR="00A8698B" w:rsidRPr="007268F5">
        <w:rPr>
          <w:rFonts w:cstheme="minorBidi"/>
        </w:rPr>
        <w:t>)</w:t>
      </w:r>
      <w:r w:rsidRPr="009819CE">
        <w:rPr>
          <w:rFonts w:cstheme="minorBidi"/>
        </w:rPr>
        <w:fldChar w:fldCharType="end"/>
      </w:r>
      <w:r w:rsidRPr="009819CE">
        <w:rPr>
          <w:rFonts w:cstheme="minorBidi"/>
        </w:rPr>
        <w:t xml:space="preserve">. Understanding the survival of spores in the sea and their ability to locate new hosts is crucial. Survival experiments have been conducted </w:t>
      </w:r>
      <w:r w:rsidRPr="009819CE">
        <w:rPr>
          <w:rFonts w:cstheme="minorBidi"/>
          <w:i/>
          <w:iCs/>
        </w:rPr>
        <w:t>in vitro</w:t>
      </w:r>
      <w:r w:rsidRPr="009819CE">
        <w:rPr>
          <w:rFonts w:cstheme="minorBidi"/>
        </w:rPr>
        <w:t xml:space="preserve">, demonstrating that </w:t>
      </w:r>
      <w:r w:rsidR="009D03F4" w:rsidRPr="009819CE">
        <w:rPr>
          <w:rFonts w:cstheme="minorBidi"/>
          <w:i/>
        </w:rPr>
        <w:t>Hematodinium</w:t>
      </w:r>
      <w:r w:rsidRPr="009819CE">
        <w:rPr>
          <w:rFonts w:cstheme="minorBidi"/>
        </w:rPr>
        <w:t xml:space="preserve"> sp. spores can survive for an average of 58 days for microspores and 90 days for macrospores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color w:val="000000"/>
        </w:rPr>
        <w:t>.</w:t>
      </w:r>
      <w:r w:rsidRPr="009819CE">
        <w:rPr>
          <w:rFonts w:cstheme="minorBidi"/>
        </w:rPr>
        <w:t xml:space="preserve"> Similar results were reported by </w:t>
      </w:r>
      <w:hyperlink w:anchor="_ENREF_217" w:tooltip="Meyers, 1987 #428" w:history="1">
        <w:r w:rsidR="00950097" w:rsidRPr="009819CE">
          <w:rPr>
            <w:rFonts w:cstheme="minorBidi"/>
          </w:rPr>
          <w:fldChar w:fldCharType="begin"/>
        </w:r>
        <w:r w:rsidR="00950097" w:rsidRPr="009819CE">
          <w:rPr>
            <w:rFonts w:cstheme="minorBidi"/>
          </w:rPr>
          <w:instrText xml:space="preserve"> ADDIN EN.CITE &lt;EndNote&gt;&lt;Cite AuthorYear="1"&gt;&lt;Author&gt;Meyers&lt;/Author&gt;&lt;Year&gt;1987&lt;/Year&gt;&lt;RecNum&gt;428&lt;/RecNum&gt;&lt;DisplayText&gt;Meyers et al. (1987)&lt;/DisplayText&gt;&lt;record&gt;&lt;rec-number&gt;428&lt;/rec-number&gt;&lt;foreign-keys&gt;&lt;key app="EN" db-id="sd9wrx9fj09rx3erprsx999o0r5aprvp2zse" timestamp="1687855901" guid="07b7bca2-a40c-4357-8d84-ee552c362691"&gt;428&lt;/key&gt;&lt;/foreign-keys&gt;&lt;ref-type name="Journal Article"&gt;17&lt;/ref-type&gt;&lt;contributors&gt;&lt;authors&gt;&lt;author&gt;Meyers, T. R.&lt;/author&gt;&lt;author&gt;Koeneman, T. M.&lt;/author&gt;&lt;author&gt;Botelho, Catherine&lt;/author&gt;&lt;author&gt;Short, Sally&lt;/author&gt;&lt;/authors&gt;&lt;/contributors&gt;&lt;titles&gt;&lt;title&gt;&lt;style face="normal" font="default" size="100%"&gt;Bitter crab disease: a fatal dinoflagellate infection and marketing problem for Alaskan Tanner crabs &lt;/style&gt;&lt;style face="italic" font="default" size="100%"&gt;Chionoecetes bairdi&lt;/style&gt;&lt;/title&gt;&lt;secondary-title&gt;Diseases of Aquatic Organisms&lt;/secondary-title&gt;&lt;/titles&gt;&lt;periodical&gt;&lt;full-title&gt;Diseases of Aquatic Organisms&lt;/full-title&gt;&lt;/periodical&gt;&lt;pages&gt;195-216&lt;/pages&gt;&lt;volume&gt;3&lt;/volume&gt;&lt;number&gt;November&lt;/number&gt;&lt;dates&gt;&lt;year&gt;1987&lt;/year&gt;&lt;/dates&gt;&lt;urls&gt;&lt;related-urls&gt;&lt;url&gt;http://www.int-res.com/articles/dao/3/d003p195.pdf&lt;/url&gt;&lt;/related-urls&gt;&lt;/urls&gt;&lt;electronic-resource-num&gt;10.3354/dao003195&lt;/electronic-resource-num&gt;&lt;/record&gt;&lt;/Cite&gt;&lt;/EndNote&gt;</w:instrText>
        </w:r>
        <w:r w:rsidR="00950097" w:rsidRPr="009819CE">
          <w:rPr>
            <w:rFonts w:cstheme="minorBidi"/>
          </w:rPr>
          <w:fldChar w:fldCharType="separate"/>
        </w:r>
        <w:r w:rsidR="00950097" w:rsidRPr="007268F5">
          <w:rPr>
            <w:rFonts w:cstheme="minorBidi"/>
          </w:rPr>
          <w:t>Meyers et al. (1987)</w:t>
        </w:r>
        <w:r w:rsidR="00950097" w:rsidRPr="009819CE">
          <w:rPr>
            <w:rFonts w:cstheme="minorBidi"/>
          </w:rPr>
          <w:fldChar w:fldCharType="end"/>
        </w:r>
      </w:hyperlink>
      <w:r w:rsidRPr="009819CE">
        <w:rPr>
          <w:rFonts w:cstheme="minorBidi"/>
        </w:rPr>
        <w:t xml:space="preserve">. </w:t>
      </w:r>
    </w:p>
    <w:p w14:paraId="73811D3B" w14:textId="69F3A815" w:rsidR="006A0363" w:rsidRPr="009819CE" w:rsidRDefault="006A0363" w:rsidP="006A0363">
      <w:pPr>
        <w:rPr>
          <w:rFonts w:cstheme="minorBidi"/>
        </w:rPr>
      </w:pPr>
      <w:r w:rsidRPr="009819CE">
        <w:rPr>
          <w:rFonts w:cstheme="minorBidi"/>
        </w:rPr>
        <w:t xml:space="preserve">Lipids play diverse and vital roles in cell and organism biology, serving as the main structural components of biomembranes, anchoring proteins and glycoconjugates, acting as signalling molecules, and contributing to energy storage through cellular lipid droplets and plasma lipoproteins </w:t>
      </w:r>
      <w:r w:rsidRPr="009819CE">
        <w:rPr>
          <w:rFonts w:cstheme="minorBidi"/>
        </w:rPr>
        <w:fldChar w:fldCharType="begin">
          <w:fldData xml:space="preserve">PEVuZE5vdGU+PENpdGU+PEF1dGhvcj5SYW1ha3Jpc2huYW48L0F1dGhvcj48WWVhcj4yMDEzPC9Z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</w:fldData>
        </w:fldChar>
      </w:r>
      <w:r w:rsidR="00871B4F">
        <w:rPr>
          <w:rFonts w:cstheme="minorBidi"/>
        </w:rPr>
        <w:instrText xml:space="preserve"> ADDIN EN.CITE </w:instrText>
      </w:r>
      <w:r w:rsidR="00871B4F">
        <w:rPr>
          <w:rFonts w:cstheme="minorBidi"/>
        </w:rPr>
        <w:fldChar w:fldCharType="begin">
          <w:fldData xml:space="preserve">PEVuZE5vdGU+PENpdGU+PEF1dGhvcj5SYW1ha3Jpc2huYW48L0F1dGhvcj48WWVhcj4yMDEzPC9Z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noProof/>
        </w:rPr>
        <w:t>(</w:t>
      </w:r>
      <w:hyperlink w:anchor="_ENREF_252" w:tooltip="Ramakrishnan, 2013 #1283" w:history="1">
        <w:r w:rsidR="00950097" w:rsidRPr="009819CE">
          <w:rPr>
            <w:rFonts w:cstheme="minorBidi"/>
            <w:noProof/>
          </w:rPr>
          <w:t>Ramakrishnan et al., 2013</w:t>
        </w:r>
      </w:hyperlink>
      <w:r w:rsidR="00D50EFF" w:rsidRPr="009819CE">
        <w:rPr>
          <w:rFonts w:cstheme="minorBidi"/>
          <w:noProof/>
        </w:rPr>
        <w:t xml:space="preserve">; </w:t>
      </w:r>
      <w:hyperlink w:anchor="_ENREF_338" w:tooltip="van der Meer-Janssen, 2010 #1778" w:history="1">
        <w:r w:rsidR="00950097" w:rsidRPr="009819CE">
          <w:rPr>
            <w:rFonts w:cstheme="minorBidi"/>
            <w:noProof/>
          </w:rPr>
          <w:t>van der Meer-Janssen et al., 2010</w:t>
        </w:r>
      </w:hyperlink>
      <w:r w:rsidR="00D50EFF" w:rsidRPr="009819CE">
        <w:rPr>
          <w:rFonts w:cstheme="minorBidi"/>
          <w:noProof/>
        </w:rPr>
        <w:t>)</w:t>
      </w:r>
      <w:r w:rsidRPr="009819CE">
        <w:rPr>
          <w:rFonts w:cstheme="minorBidi"/>
        </w:rPr>
        <w:fldChar w:fldCharType="end"/>
      </w:r>
      <w:r w:rsidRPr="009819CE">
        <w:rPr>
          <w:rFonts w:cstheme="minorBidi"/>
        </w:rPr>
        <w:t xml:space="preserve">. Typically, pathogens actively target lipid-rich host environments </w:t>
      </w:r>
      <w:r w:rsidRPr="009819CE">
        <w:rPr>
          <w:rFonts w:cstheme="minorBidi"/>
        </w:rPr>
        <w:fldChar w:fldCharType="begin">
          <w:fldData xml:space="preserve">PEVuZE5vdGU+PENpdGU+PEF1dGhvcj5UYW5vd2l0ejwvQXV0aG9yPjxZZWFyPjIwMTE8L1llYXI+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</w:fldData>
        </w:fldChar>
      </w:r>
      <w:r w:rsidR="00871B4F">
        <w:rPr>
          <w:rFonts w:cstheme="minorBidi"/>
        </w:rPr>
        <w:instrText xml:space="preserve"> ADDIN EN.CITE </w:instrText>
      </w:r>
      <w:r w:rsidR="00871B4F">
        <w:rPr>
          <w:rFonts w:cstheme="minorBidi"/>
        </w:rPr>
        <w:fldChar w:fldCharType="begin">
          <w:fldData xml:space="preserve">PEVuZE5vdGU+PENpdGU+PEF1dGhvcj5UYW5vd2l0ejwvQXV0aG9yPjxZZWFyPjIwMTE8L1llYXI+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319" w:tooltip="Tanowitz, 2011 #1284" w:history="1">
        <w:r w:rsidR="00950097" w:rsidRPr="00EE7FB9">
          <w:rPr>
            <w:rFonts w:cstheme="minorBidi"/>
            <w:noProof/>
          </w:rPr>
          <w:t>Tanowitz et al., 2011</w:t>
        </w:r>
      </w:hyperlink>
      <w:r w:rsidR="00D50EFF" w:rsidRPr="00EE7FB9">
        <w:rPr>
          <w:rFonts w:cstheme="minorBidi"/>
          <w:noProof/>
        </w:rPr>
        <w:t xml:space="preserve">; </w:t>
      </w:r>
      <w:hyperlink w:anchor="_ENREF_338" w:tooltip="van der Meer-Janssen, 2010 #1778" w:history="1">
        <w:r w:rsidR="00950097" w:rsidRPr="00EE7FB9">
          <w:rPr>
            <w:rFonts w:cstheme="minorBidi"/>
            <w:noProof/>
          </w:rPr>
          <w:t>van der Meer-Janssen et al., 2010</w:t>
        </w:r>
      </w:hyperlink>
      <w:r w:rsidR="00D50EFF" w:rsidRPr="00EE7FB9">
        <w:rPr>
          <w:rFonts w:cstheme="minorBidi"/>
          <w:noProof/>
        </w:rPr>
        <w:t>)</w:t>
      </w:r>
      <w:r w:rsidRPr="009819CE">
        <w:rPr>
          <w:rFonts w:cstheme="minorBidi"/>
        </w:rPr>
        <w:fldChar w:fldCharType="end"/>
      </w:r>
      <w:r w:rsidRPr="009819CE">
        <w:rPr>
          <w:rFonts w:cstheme="minorBidi"/>
        </w:rPr>
        <w:t xml:space="preserve"> or manipulate the host to increase lipid availability </w:t>
      </w:r>
      <w:r w:rsidRPr="009819CE">
        <w:rPr>
          <w:rFonts w:cstheme="minorBidi"/>
        </w:rPr>
        <w:fldChar w:fldCharType="begin">
          <w:fldData xml:space="preserve">PEVuZE5vdGU+PENpdGU+PEF1dGhvcj5HaWxrPC9BdXRob3I+PFllYXI+MjAxMjwvWWVhcj48UmVj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PEVuZE5vdGU+PENpdGU+PEF1dGhvcj5HaWxrPC9BdXRob3I+PFllYXI+MjAxMjwvWWVhcj48UmVj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7268F5">
        <w:rPr>
          <w:rFonts w:cstheme="minorBidi"/>
        </w:rPr>
        <w:t>(</w:t>
      </w:r>
      <w:hyperlink w:anchor="_ENREF_107" w:tooltip="Gilk, 2012 #1290" w:history="1">
        <w:r w:rsidR="00950097" w:rsidRPr="007268F5">
          <w:rPr>
            <w:rFonts w:cstheme="minorBidi"/>
          </w:rPr>
          <w:t>Gilk, 2012</w:t>
        </w:r>
      </w:hyperlink>
      <w:r w:rsidR="00D50EFF" w:rsidRPr="007268F5">
        <w:rPr>
          <w:rFonts w:cstheme="minorBidi"/>
        </w:rPr>
        <w:t xml:space="preserve">; </w:t>
      </w:r>
      <w:hyperlink w:anchor="_ENREF_191" w:tooltip="Lingelbach, 1998 #1291" w:history="1">
        <w:r w:rsidR="00950097" w:rsidRPr="007268F5">
          <w:rPr>
            <w:rFonts w:cstheme="minorBidi"/>
          </w:rPr>
          <w:t>Lingelbach and Joiner, 1998</w:t>
        </w:r>
      </w:hyperlink>
      <w:r w:rsidR="00D50EFF" w:rsidRPr="007268F5">
        <w:rPr>
          <w:rFonts w:cstheme="minorBidi"/>
        </w:rPr>
        <w:t xml:space="preserve">; </w:t>
      </w:r>
      <w:hyperlink w:anchor="_ENREF_212" w:tooltip="Meester, 2011 #1285" w:history="1">
        <w:r w:rsidR="00950097" w:rsidRPr="007268F5">
          <w:rPr>
            <w:rFonts w:cstheme="minorBidi"/>
          </w:rPr>
          <w:t>Meester et al., 2011</w:t>
        </w:r>
      </w:hyperlink>
      <w:r w:rsidR="00D50EFF" w:rsidRPr="007268F5">
        <w:rPr>
          <w:rFonts w:cstheme="minorBidi"/>
        </w:rPr>
        <w:t xml:space="preserve">; </w:t>
      </w:r>
      <w:hyperlink w:anchor="_ENREF_229" w:tooltip="Naderer, 2011 #1289" w:history="1">
        <w:r w:rsidR="00950097" w:rsidRPr="007268F5">
          <w:rPr>
            <w:rFonts w:cstheme="minorBidi"/>
          </w:rPr>
          <w:t>Naderer and McConville, 2011</w:t>
        </w:r>
      </w:hyperlink>
      <w:r w:rsidR="00D50EFF" w:rsidRPr="007268F5">
        <w:rPr>
          <w:rFonts w:cstheme="minorBidi"/>
        </w:rPr>
        <w:t xml:space="preserve">; </w:t>
      </w:r>
      <w:hyperlink w:anchor="_ENREF_287" w:tooltip="Singh, 2012 #1292" w:history="1">
        <w:r w:rsidR="00950097" w:rsidRPr="007268F5">
          <w:rPr>
            <w:rFonts w:cstheme="minorBidi"/>
          </w:rPr>
          <w:t>Singh et al., 2012</w:t>
        </w:r>
      </w:hyperlink>
      <w:r w:rsidR="00D50EFF" w:rsidRPr="007268F5">
        <w:rPr>
          <w:rFonts w:cstheme="minorBidi"/>
        </w:rPr>
        <w:t>)</w:t>
      </w:r>
      <w:r w:rsidRPr="009819CE">
        <w:rPr>
          <w:rFonts w:cstheme="minorBidi"/>
        </w:rPr>
        <w:fldChar w:fldCharType="end"/>
      </w:r>
      <w:r w:rsidRPr="009819CE">
        <w:rPr>
          <w:rFonts w:cstheme="minorBidi"/>
        </w:rPr>
        <w:t xml:space="preserve">, enabling them to interfere with host cell processes, facilitating their survival and replication, and contributing to their pathogenesis </w:t>
      </w:r>
      <w:r w:rsidRPr="009819CE">
        <w:rPr>
          <w:rFonts w:cstheme="minorBidi"/>
        </w:rPr>
        <w:fldChar w:fldCharType="begin">
          <w:fldData xml:space="preserve">PEVuZE5vdGU+PENpdGU+PEF1dGhvcj5SYW1ha3Jpc2huYW48L0F1dGhvcj48WWVhcj4yMDEzPC9Z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</w:fldData>
        </w:fldChar>
      </w:r>
      <w:r w:rsidR="00871B4F">
        <w:rPr>
          <w:rFonts w:cstheme="minorBidi"/>
        </w:rPr>
        <w:instrText xml:space="preserve"> ADDIN EN.CITE </w:instrText>
      </w:r>
      <w:r w:rsidR="00871B4F">
        <w:rPr>
          <w:rFonts w:cstheme="minorBidi"/>
        </w:rPr>
        <w:fldChar w:fldCharType="begin">
          <w:fldData xml:space="preserve">PEVuZE5vdGU+PENpdGU+PEF1dGhvcj5SYW1ha3Jpc2huYW48L0F1dGhvcj48WWVhcj4yMDEzPC9Z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225" w:tooltip="Mondal, 2009 #1783" w:history="1">
        <w:r w:rsidR="00950097" w:rsidRPr="00EE7FB9">
          <w:rPr>
            <w:rFonts w:cstheme="minorBidi"/>
            <w:noProof/>
          </w:rPr>
          <w:t>Mondal et al., 2009</w:t>
        </w:r>
      </w:hyperlink>
      <w:r w:rsidR="00D50EFF" w:rsidRPr="00EE7FB9">
        <w:rPr>
          <w:rFonts w:cstheme="minorBidi"/>
          <w:noProof/>
        </w:rPr>
        <w:t xml:space="preserve">; </w:t>
      </w:r>
      <w:hyperlink w:anchor="_ENREF_252" w:tooltip="Ramakrishnan, 2013 #1283" w:history="1">
        <w:r w:rsidR="00950097" w:rsidRPr="00EE7FB9">
          <w:rPr>
            <w:rFonts w:cstheme="minorBidi"/>
            <w:noProof/>
          </w:rPr>
          <w:t>Ramakrishnan et al., 2013</w:t>
        </w:r>
      </w:hyperlink>
      <w:r w:rsidR="00D50EFF" w:rsidRPr="00EE7FB9">
        <w:rPr>
          <w:rFonts w:cstheme="minorBidi"/>
          <w:noProof/>
        </w:rPr>
        <w:t xml:space="preserve">; </w:t>
      </w:r>
      <w:hyperlink w:anchor="_ENREF_338" w:tooltip="van der Meer-Janssen, 2010 #1778" w:history="1">
        <w:r w:rsidR="00950097" w:rsidRPr="00EE7FB9">
          <w:rPr>
            <w:rFonts w:cstheme="minorBidi"/>
            <w:noProof/>
          </w:rPr>
          <w:t>van der Meer-Janssen et al., 2010</w:t>
        </w:r>
      </w:hyperlink>
      <w:r w:rsidR="00D50EFF" w:rsidRPr="00EE7FB9">
        <w:rPr>
          <w:rFonts w:cstheme="minorBidi"/>
          <w:noProof/>
        </w:rPr>
        <w:t>)</w:t>
      </w:r>
      <w:r w:rsidRPr="009819CE">
        <w:rPr>
          <w:rFonts w:cstheme="minorBidi"/>
        </w:rPr>
        <w:fldChar w:fldCharType="end"/>
      </w:r>
      <w:r w:rsidRPr="009819CE">
        <w:rPr>
          <w:rFonts w:cstheme="minorBidi"/>
        </w:rPr>
        <w:t>.</w:t>
      </w:r>
    </w:p>
    <w:p w14:paraId="3B4B4A75" w14:textId="0C8FC078" w:rsidR="006A0363" w:rsidRPr="009819CE" w:rsidRDefault="006A0363" w:rsidP="006A0363">
      <w:pPr>
        <w:rPr>
          <w:rFonts w:cstheme="minorBidi"/>
          <w:color w:val="000000"/>
          <w:shd w:val="clear" w:color="auto" w:fill="FFFFFF"/>
        </w:rPr>
      </w:pPr>
      <w:r w:rsidRPr="009819CE">
        <w:rPr>
          <w:rFonts w:cstheme="minorBidi"/>
          <w:shd w:val="clear" w:color="auto" w:fill="FFFFFF"/>
        </w:rPr>
        <w:t xml:space="preserve">Earlier investigations have reported the presence of noticeable lipid-like droplets within the cytoplasm of </w:t>
      </w:r>
      <w:r w:rsidR="009D03F4" w:rsidRPr="009819CE">
        <w:rPr>
          <w:rFonts w:cstheme="minorBidi"/>
          <w:i/>
          <w:shd w:val="clear" w:color="auto" w:fill="FFFFFF"/>
        </w:rPr>
        <w:t>Hematodinium</w:t>
      </w:r>
      <w:r w:rsidRPr="009819CE">
        <w:rPr>
          <w:rFonts w:cstheme="minorBidi"/>
          <w:shd w:val="clear" w:color="auto" w:fill="FFFFFF"/>
        </w:rPr>
        <w:t xml:space="preserve"> sp. trophonts and spores, indicating their potential function as energy reserves during the spores' shift to seawater </w:t>
      </w:r>
      <w:r w:rsidRPr="009819CE">
        <w:rPr>
          <w:rFonts w:cstheme="minorBidi"/>
          <w:shd w:val="clear" w:color="auto" w:fill="FFFFFF"/>
        </w:rPr>
        <w:fldChar w:fldCharType="begin">
          <w:fldData xml:space="preserve">PEVuZE5vdGU+PENpdGU+PEF1dGhvcj5BcHBsZXRvbjwvQXV0aG9yPjxZZWFyPjE5OTY8L1llYXI+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</w:fldData>
        </w:fldChar>
      </w:r>
      <w:r w:rsidR="005F31D5">
        <w:rPr>
          <w:rFonts w:cstheme="minorBidi"/>
          <w:shd w:val="clear" w:color="auto" w:fill="FFFFFF"/>
        </w:rPr>
        <w:instrText xml:space="preserve"> ADDIN EN.CITE </w:instrText>
      </w:r>
      <w:r w:rsidR="005F31D5">
        <w:rPr>
          <w:rFonts w:cstheme="minorBidi"/>
          <w:shd w:val="clear" w:color="auto" w:fill="FFFFFF"/>
        </w:rPr>
        <w:fldChar w:fldCharType="begin">
          <w:fldData xml:space="preserve">PEVuZE5vdGU+PENpdGU+PEF1dGhvcj5BcHBsZXRvbjwvQXV0aG9yPjxZZWFyPjE5OTY8L1llYXI+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</w:fldData>
        </w:fldChar>
      </w:r>
      <w:r w:rsidR="005F31D5">
        <w:rPr>
          <w:rFonts w:cstheme="minorBidi"/>
          <w:shd w:val="clear" w:color="auto" w:fill="FFFFFF"/>
        </w:rPr>
        <w:instrText xml:space="preserve"> ADDIN EN.CITE.DATA </w:instrText>
      </w:r>
      <w:r w:rsidR="005F31D5">
        <w:rPr>
          <w:rFonts w:cstheme="minorBidi"/>
          <w:shd w:val="clear" w:color="auto" w:fill="FFFFFF"/>
        </w:rPr>
      </w:r>
      <w:r w:rsidR="005F31D5">
        <w:rPr>
          <w:rFonts w:cstheme="minorBidi"/>
          <w:shd w:val="clear" w:color="auto" w:fill="FFFFFF"/>
        </w:rPr>
        <w:fldChar w:fldCharType="end"/>
      </w:r>
      <w:r w:rsidRPr="009819CE">
        <w:rPr>
          <w:rFonts w:cstheme="minorBidi"/>
          <w:shd w:val="clear" w:color="auto" w:fill="FFFFFF"/>
        </w:rPr>
      </w:r>
      <w:r w:rsidRPr="009819CE">
        <w:rPr>
          <w:rFonts w:cstheme="minorBidi"/>
          <w:shd w:val="clear" w:color="auto" w:fill="FFFFFF"/>
        </w:rPr>
        <w:fldChar w:fldCharType="separate"/>
      </w:r>
      <w:r w:rsidR="00D50EFF" w:rsidRPr="005F31D5">
        <w:rPr>
          <w:rFonts w:cstheme="minorBidi"/>
          <w:noProof/>
          <w:shd w:val="clear" w:color="auto" w:fill="FFFFFF"/>
        </w:rPr>
        <w:t>(</w:t>
      </w:r>
      <w:hyperlink w:anchor="_ENREF_16" w:tooltip="Appleton, 1996 #108" w:history="1">
        <w:r w:rsidR="00950097" w:rsidRPr="005F31D5">
          <w:rPr>
            <w:rFonts w:cstheme="minorBidi"/>
            <w:noProof/>
            <w:shd w:val="clear" w:color="auto" w:fill="FFFFFF"/>
          </w:rPr>
          <w:t>Appleton, 1996</w:t>
        </w:r>
      </w:hyperlink>
      <w:r w:rsidR="00D50EFF" w:rsidRPr="005F31D5">
        <w:rPr>
          <w:rFonts w:cstheme="minorBidi"/>
          <w:noProof/>
          <w:shd w:val="clear" w:color="auto" w:fill="FFFFFF"/>
        </w:rPr>
        <w:t xml:space="preserve">; </w:t>
      </w:r>
      <w:hyperlink w:anchor="_ENREF_217" w:tooltip="Meyers, 1987 #428" w:history="1">
        <w:r w:rsidR="00950097" w:rsidRPr="005F31D5">
          <w:rPr>
            <w:rFonts w:cstheme="minorBidi"/>
            <w:noProof/>
            <w:shd w:val="clear" w:color="auto" w:fill="FFFFFF"/>
          </w:rPr>
          <w:t>Meyers et al., 1987</w:t>
        </w:r>
      </w:hyperlink>
      <w:r w:rsidR="00D50EFF" w:rsidRPr="005F31D5">
        <w:rPr>
          <w:rFonts w:cstheme="minorBidi"/>
          <w:noProof/>
          <w:shd w:val="clear" w:color="auto" w:fill="FFFFFF"/>
        </w:rPr>
        <w:t>)</w:t>
      </w:r>
      <w:r w:rsidRPr="009819CE">
        <w:rPr>
          <w:rFonts w:cstheme="minorBidi"/>
          <w:shd w:val="clear" w:color="auto" w:fill="FFFFFF"/>
        </w:rPr>
        <w:fldChar w:fldCharType="end"/>
      </w:r>
      <w:r w:rsidRPr="009819CE">
        <w:rPr>
          <w:rFonts w:cstheme="minorBidi"/>
          <w:color w:val="000000"/>
          <w:shd w:val="clear" w:color="auto" w:fill="FFFFFF"/>
        </w:rPr>
        <w:t xml:space="preserve">. Lipid droplets are vital for maintaining lipid and energy balance in cells </w:t>
      </w:r>
      <w:r w:rsidRPr="009819CE">
        <w:rPr>
          <w:rFonts w:cstheme="minorBidi"/>
          <w:color w:val="222222"/>
          <w:shd w:val="clear" w:color="auto" w:fill="FFFFFF"/>
        </w:rPr>
        <w:fldChar w:fldCharType="begin">
          <w:fldData xml:space="preserve">PEVuZE5vdGU+PENpdGU+PEF1dGhvcj5KYXJjPC9BdXRob3I+PFllYXI+MjAxOTwvWWVhcj48UmVj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</w:fldData>
        </w:fldChar>
      </w:r>
      <w:r w:rsidR="00ED1A9E" w:rsidRPr="009819CE">
        <w:rPr>
          <w:rFonts w:cstheme="minorBidi"/>
          <w:color w:val="222222"/>
          <w:shd w:val="clear" w:color="auto" w:fill="FFFFFF"/>
        </w:rPr>
        <w:instrText xml:space="preserve"> ADDIN EN.CITE </w:instrText>
      </w:r>
      <w:r w:rsidR="00ED1A9E" w:rsidRPr="009819CE">
        <w:rPr>
          <w:rFonts w:cstheme="minorBidi"/>
          <w:color w:val="222222"/>
          <w:shd w:val="clear" w:color="auto" w:fill="FFFFFF"/>
        </w:rPr>
        <w:fldChar w:fldCharType="begin">
          <w:fldData xml:space="preserve">PEVuZE5vdGU+PENpdGU+PEF1dGhvcj5KYXJjPC9BdXRob3I+PFllYXI+MjAxOTwvWWVhcj48UmVj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</w:fldData>
        </w:fldChar>
      </w:r>
      <w:r w:rsidR="00ED1A9E" w:rsidRPr="009819CE">
        <w:rPr>
          <w:rFonts w:cstheme="minorBidi"/>
          <w:color w:val="222222"/>
          <w:shd w:val="clear" w:color="auto" w:fill="FFFFFF"/>
        </w:rPr>
        <w:instrText xml:space="preserve"> ADDIN EN.CITE.DATA </w:instrText>
      </w:r>
      <w:r w:rsidR="00ED1A9E" w:rsidRPr="009819CE">
        <w:rPr>
          <w:rFonts w:cstheme="minorBidi"/>
          <w:color w:val="222222"/>
          <w:shd w:val="clear" w:color="auto" w:fill="FFFFFF"/>
        </w:rPr>
      </w:r>
      <w:r w:rsidR="00ED1A9E" w:rsidRPr="009819CE">
        <w:rPr>
          <w:rFonts w:cstheme="minorBidi"/>
          <w:color w:val="222222"/>
          <w:shd w:val="clear" w:color="auto" w:fill="FFFFFF"/>
        </w:rPr>
        <w:fldChar w:fldCharType="end"/>
      </w:r>
      <w:r w:rsidRPr="009819CE">
        <w:rPr>
          <w:rFonts w:cstheme="minorBidi"/>
          <w:color w:val="222222"/>
          <w:shd w:val="clear" w:color="auto" w:fill="FFFFFF"/>
        </w:rPr>
      </w:r>
      <w:r w:rsidRPr="009819CE">
        <w:rPr>
          <w:rFonts w:cstheme="minorBidi"/>
          <w:color w:val="222222"/>
          <w:shd w:val="clear" w:color="auto" w:fill="FFFFFF"/>
        </w:rPr>
        <w:fldChar w:fldCharType="separate"/>
      </w:r>
      <w:r w:rsidR="00D50EFF" w:rsidRPr="007268F5">
        <w:rPr>
          <w:rFonts w:cstheme="minorBidi"/>
          <w:color w:val="222222"/>
          <w:shd w:val="clear" w:color="auto" w:fill="FFFFFF"/>
        </w:rPr>
        <w:t>(</w:t>
      </w:r>
      <w:hyperlink w:anchor="_ENREF_155" w:tooltip="Jarc, 2019 #1140" w:history="1">
        <w:r w:rsidR="00950097" w:rsidRPr="007268F5">
          <w:rPr>
            <w:rFonts w:cstheme="minorBidi"/>
            <w:color w:val="222222"/>
            <w:shd w:val="clear" w:color="auto" w:fill="FFFFFF"/>
          </w:rPr>
          <w:t>Jarc and Petan, 2019</w:t>
        </w:r>
      </w:hyperlink>
      <w:r w:rsidR="00D50EFF" w:rsidRPr="007268F5">
        <w:rPr>
          <w:rFonts w:cstheme="minorBidi"/>
          <w:color w:val="222222"/>
          <w:shd w:val="clear" w:color="auto" w:fill="FFFFFF"/>
        </w:rPr>
        <w:t xml:space="preserve">; </w:t>
      </w:r>
      <w:hyperlink w:anchor="_ENREF_236" w:tooltip="Olzmann, 2019 #1141" w:history="1">
        <w:r w:rsidR="00950097" w:rsidRPr="007268F5">
          <w:rPr>
            <w:rFonts w:cstheme="minorBidi"/>
            <w:color w:val="222222"/>
            <w:shd w:val="clear" w:color="auto" w:fill="FFFFFF"/>
          </w:rPr>
          <w:t>Olzmann and Carvalho, 2019</w:t>
        </w:r>
      </w:hyperlink>
      <w:r w:rsidR="00D50EFF" w:rsidRPr="007268F5">
        <w:rPr>
          <w:rFonts w:cstheme="minorBidi"/>
          <w:color w:val="222222"/>
          <w:shd w:val="clear" w:color="auto" w:fill="FFFFFF"/>
        </w:rPr>
        <w:t>)</w:t>
      </w:r>
      <w:r w:rsidRPr="009819CE">
        <w:rPr>
          <w:rFonts w:cstheme="minorBidi"/>
          <w:color w:val="222222"/>
          <w:shd w:val="clear" w:color="auto" w:fill="FFFFFF"/>
        </w:rPr>
        <w:fldChar w:fldCharType="end"/>
      </w:r>
      <w:r w:rsidRPr="009819CE">
        <w:rPr>
          <w:rFonts w:cstheme="minorBidi"/>
          <w:color w:val="222222"/>
          <w:shd w:val="clear" w:color="auto" w:fill="FFFFFF"/>
        </w:rPr>
        <w:t>.</w:t>
      </w:r>
      <w:r w:rsidRPr="009819CE">
        <w:rPr>
          <w:rFonts w:cstheme="minorBidi"/>
          <w:color w:val="000000"/>
          <w:shd w:val="clear" w:color="auto" w:fill="FFFFFF"/>
        </w:rPr>
        <w:t xml:space="preserve"> Research indicates that various pathogens have interactions with lipid droplets </w:t>
      </w:r>
      <w:r w:rsidRPr="009819CE">
        <w:rPr>
          <w:rFonts w:cstheme="minorBidi"/>
          <w:color w:val="000000"/>
          <w:shd w:val="clear" w:color="auto" w:fill="FFFFFF"/>
        </w:rPr>
        <w:fldChar w:fldCharType="begin">
          <w:fldData xml:space="preserve">PEVuZE5vdGU+PENpdGU+PEF1dGhvcj5LdW1hcjwvQXV0aG9yPjxZZWFyPjIwMDY8L1llYXI+PFJl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</w:fldData>
        </w:fldChar>
      </w:r>
      <w:r w:rsidR="00EE7FB9">
        <w:rPr>
          <w:rFonts w:cstheme="minorBidi"/>
          <w:color w:val="000000"/>
          <w:shd w:val="clear" w:color="auto" w:fill="FFFFFF"/>
        </w:rPr>
        <w:instrText xml:space="preserve"> ADDIN EN.CITE </w:instrText>
      </w:r>
      <w:r w:rsidR="00EE7FB9">
        <w:rPr>
          <w:rFonts w:cstheme="minorBidi"/>
          <w:color w:val="000000"/>
          <w:shd w:val="clear" w:color="auto" w:fill="FFFFFF"/>
        </w:rPr>
        <w:fldChar w:fldCharType="begin">
          <w:fldData xml:space="preserve">PEVuZE5vdGU+PENpdGU+PEF1dGhvcj5LdW1hcjwvQXV0aG9yPjxZZWFyPjIwMDY8L1llYXI+PFJl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</w:fldData>
        </w:fldChar>
      </w:r>
      <w:r w:rsidR="00EE7FB9">
        <w:rPr>
          <w:rFonts w:cstheme="minorBidi"/>
          <w:color w:val="000000"/>
          <w:shd w:val="clear" w:color="auto" w:fill="FFFFFF"/>
        </w:rPr>
        <w:instrText xml:space="preserve"> ADDIN EN.CITE.DATA </w:instrText>
      </w:r>
      <w:r w:rsidR="00EE7FB9">
        <w:rPr>
          <w:rFonts w:cstheme="minorBidi"/>
          <w:color w:val="000000"/>
          <w:shd w:val="clear" w:color="auto" w:fill="FFFFFF"/>
        </w:rPr>
      </w:r>
      <w:r w:rsidR="00EE7FB9">
        <w:rPr>
          <w:rFonts w:cstheme="minorBidi"/>
          <w:color w:val="000000"/>
          <w:shd w:val="clear" w:color="auto" w:fill="FFFFFF"/>
        </w:rPr>
        <w:fldChar w:fldCharType="end"/>
      </w:r>
      <w:r w:rsidRPr="009819CE">
        <w:rPr>
          <w:rFonts w:cstheme="minorBidi"/>
          <w:color w:val="000000"/>
          <w:shd w:val="clear" w:color="auto" w:fill="FFFFFF"/>
        </w:rPr>
      </w:r>
      <w:r w:rsidRPr="009819CE">
        <w:rPr>
          <w:rFonts w:cstheme="minorBidi"/>
          <w:color w:val="000000"/>
          <w:shd w:val="clear" w:color="auto" w:fill="FFFFFF"/>
        </w:rPr>
        <w:fldChar w:fldCharType="separate"/>
      </w:r>
      <w:r w:rsidR="00D50EFF" w:rsidRPr="00EE7FB9">
        <w:rPr>
          <w:rFonts w:cstheme="minorBidi"/>
          <w:noProof/>
          <w:color w:val="000000"/>
          <w:shd w:val="clear" w:color="auto" w:fill="FFFFFF"/>
        </w:rPr>
        <w:t>(</w:t>
      </w:r>
      <w:hyperlink w:anchor="_ENREF_169" w:tooltip="Kumar, 2006 #1780" w:history="1">
        <w:r w:rsidR="00950097" w:rsidRPr="00EE7FB9">
          <w:rPr>
            <w:rFonts w:cstheme="minorBidi"/>
            <w:noProof/>
            <w:color w:val="000000"/>
            <w:shd w:val="clear" w:color="auto" w:fill="FFFFFF"/>
          </w:rPr>
          <w:t>Kumar et al., 2006</w:t>
        </w:r>
      </w:hyperlink>
      <w:r w:rsidR="00D50EFF" w:rsidRPr="00EE7FB9">
        <w:rPr>
          <w:rFonts w:cstheme="minorBidi"/>
          <w:noProof/>
          <w:color w:val="000000"/>
          <w:shd w:val="clear" w:color="auto" w:fill="FFFFFF"/>
        </w:rPr>
        <w:t xml:space="preserve">; </w:t>
      </w:r>
      <w:hyperlink w:anchor="_ENREF_214" w:tooltip="Melo, 2003 #1781" w:history="1">
        <w:r w:rsidR="00950097" w:rsidRPr="00EE7FB9">
          <w:rPr>
            <w:rFonts w:cstheme="minorBidi"/>
            <w:noProof/>
            <w:color w:val="000000"/>
            <w:shd w:val="clear" w:color="auto" w:fill="FFFFFF"/>
          </w:rPr>
          <w:t>Melo et al., 2003</w:t>
        </w:r>
      </w:hyperlink>
      <w:r w:rsidR="00D50EFF" w:rsidRPr="00EE7FB9">
        <w:rPr>
          <w:rFonts w:cstheme="minorBidi"/>
          <w:noProof/>
          <w:color w:val="000000"/>
          <w:shd w:val="clear" w:color="auto" w:fill="FFFFFF"/>
        </w:rPr>
        <w:t>)</w:t>
      </w:r>
      <w:r w:rsidRPr="009819CE">
        <w:rPr>
          <w:rFonts w:cstheme="minorBidi"/>
          <w:color w:val="000000"/>
          <w:shd w:val="clear" w:color="auto" w:fill="FFFFFF"/>
        </w:rPr>
        <w:fldChar w:fldCharType="end"/>
      </w:r>
      <w:r w:rsidRPr="009819CE">
        <w:rPr>
          <w:rFonts w:cstheme="minorBidi"/>
          <w:color w:val="000000"/>
          <w:shd w:val="clear" w:color="auto" w:fill="FFFFFF"/>
        </w:rPr>
        <w:t xml:space="preserve">. </w:t>
      </w:r>
    </w:p>
    <w:p w14:paraId="5274453E" w14:textId="09F4347E" w:rsidR="006A0363" w:rsidRPr="009819CE" w:rsidRDefault="006A0363" w:rsidP="006A0363">
      <w:pPr>
        <w:rPr>
          <w:rFonts w:cstheme="minorBidi"/>
          <w:color w:val="222222"/>
          <w:shd w:val="clear" w:color="auto" w:fill="FFFFFF"/>
        </w:rPr>
      </w:pPr>
      <w:r w:rsidRPr="009819CE">
        <w:rPr>
          <w:rFonts w:cstheme="minorBidi"/>
          <w:color w:val="222222"/>
          <w:shd w:val="clear" w:color="auto" w:fill="FFFFFF"/>
        </w:rPr>
        <w:t xml:space="preserve">The hepatopancreas is a </w:t>
      </w:r>
      <w:r w:rsidR="00DA1368" w:rsidRPr="009819CE">
        <w:rPr>
          <w:rFonts w:cstheme="minorBidi"/>
          <w:color w:val="222222"/>
          <w:shd w:val="clear" w:color="auto" w:fill="FFFFFF"/>
        </w:rPr>
        <w:t>key</w:t>
      </w:r>
      <w:r w:rsidRPr="009819CE">
        <w:rPr>
          <w:rFonts w:cstheme="minorBidi"/>
          <w:color w:val="222222"/>
          <w:shd w:val="clear" w:color="auto" w:fill="FFFFFF"/>
        </w:rPr>
        <w:t xml:space="preserve"> organ for lipid storage in decapods and holds a crucial function in lipid metabolism </w:t>
      </w:r>
      <w:r w:rsidRPr="009819CE">
        <w:rPr>
          <w:rFonts w:cstheme="minorBidi"/>
          <w:color w:val="222222"/>
          <w:shd w:val="clear" w:color="auto" w:fill="FFFFFF"/>
        </w:rPr>
        <w:fldChar w:fldCharType="begin">
          <w:fldData xml:space="preserve">PEVuZE5vdGU+PENpdGU+PEF1dGhvcj5XYW5nPC9BdXRob3I+PFllYXI+MjAxNDwvWWVhcj48UmVj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</w:fldData>
        </w:fldChar>
      </w:r>
      <w:r w:rsidR="00871B4F">
        <w:rPr>
          <w:rFonts w:cstheme="minorBidi"/>
          <w:color w:val="222222"/>
          <w:shd w:val="clear" w:color="auto" w:fill="FFFFFF"/>
        </w:rPr>
        <w:instrText xml:space="preserve"> ADDIN EN.CITE </w:instrText>
      </w:r>
      <w:r w:rsidR="00871B4F">
        <w:rPr>
          <w:rFonts w:cstheme="minorBidi"/>
          <w:color w:val="222222"/>
          <w:shd w:val="clear" w:color="auto" w:fill="FFFFFF"/>
        </w:rPr>
        <w:fldChar w:fldCharType="begin">
          <w:fldData xml:space="preserve">PEVuZE5vdGU+PENpdGU+PEF1dGhvcj5XYW5nPC9BdXRob3I+PFllYXI+MjAxNDwvWWVhcj48UmVj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</w:fldData>
        </w:fldChar>
      </w:r>
      <w:r w:rsidR="00871B4F">
        <w:rPr>
          <w:rFonts w:cstheme="minorBidi"/>
          <w:color w:val="222222"/>
          <w:shd w:val="clear" w:color="auto" w:fill="FFFFFF"/>
        </w:rPr>
        <w:instrText xml:space="preserve"> ADDIN EN.CITE.DATA </w:instrText>
      </w:r>
      <w:r w:rsidR="00871B4F">
        <w:rPr>
          <w:rFonts w:cstheme="minorBidi"/>
          <w:color w:val="222222"/>
          <w:shd w:val="clear" w:color="auto" w:fill="FFFFFF"/>
        </w:rPr>
      </w:r>
      <w:r w:rsidR="00871B4F">
        <w:rPr>
          <w:rFonts w:cstheme="minorBidi"/>
          <w:color w:val="222222"/>
          <w:shd w:val="clear" w:color="auto" w:fill="FFFFFF"/>
        </w:rPr>
        <w:fldChar w:fldCharType="end"/>
      </w:r>
      <w:r w:rsidRPr="009819CE">
        <w:rPr>
          <w:rFonts w:cstheme="minorBidi"/>
          <w:color w:val="222222"/>
          <w:shd w:val="clear" w:color="auto" w:fill="FFFFFF"/>
        </w:rPr>
      </w:r>
      <w:r w:rsidRPr="009819CE">
        <w:rPr>
          <w:rFonts w:cstheme="minorBidi"/>
          <w:color w:val="222222"/>
          <w:shd w:val="clear" w:color="auto" w:fill="FFFFFF"/>
        </w:rPr>
        <w:fldChar w:fldCharType="separate"/>
      </w:r>
      <w:r w:rsidR="00D50EFF" w:rsidRPr="00871B4F">
        <w:rPr>
          <w:rFonts w:cstheme="minorBidi"/>
          <w:noProof/>
          <w:color w:val="222222"/>
          <w:shd w:val="clear" w:color="auto" w:fill="FFFFFF"/>
        </w:rPr>
        <w:t>(</w:t>
      </w:r>
      <w:hyperlink w:anchor="_ENREF_42" w:tooltip="Cavalli, 2000 #1800" w:history="1">
        <w:r w:rsidR="00950097" w:rsidRPr="00871B4F">
          <w:rPr>
            <w:rFonts w:cstheme="minorBidi"/>
            <w:noProof/>
            <w:color w:val="222222"/>
            <w:shd w:val="clear" w:color="auto" w:fill="FFFFFF"/>
          </w:rPr>
          <w:t>Cavalli et al., 2000</w:t>
        </w:r>
      </w:hyperlink>
      <w:r w:rsidR="00D50EFF" w:rsidRPr="00871B4F">
        <w:rPr>
          <w:rFonts w:cstheme="minorBidi"/>
          <w:noProof/>
          <w:color w:val="222222"/>
          <w:shd w:val="clear" w:color="auto" w:fill="FFFFFF"/>
        </w:rPr>
        <w:t xml:space="preserve">; </w:t>
      </w:r>
      <w:hyperlink w:anchor="_ENREF_159" w:tooltip="Johnston, 2003 #1801" w:history="1">
        <w:r w:rsidR="00950097" w:rsidRPr="00871B4F">
          <w:rPr>
            <w:rFonts w:cstheme="minorBidi"/>
            <w:noProof/>
            <w:color w:val="222222"/>
            <w:shd w:val="clear" w:color="auto" w:fill="FFFFFF"/>
          </w:rPr>
          <w:t>Johnston et al., 2003</w:t>
        </w:r>
      </w:hyperlink>
      <w:r w:rsidR="00D50EFF" w:rsidRPr="00871B4F">
        <w:rPr>
          <w:rFonts w:cstheme="minorBidi"/>
          <w:noProof/>
          <w:color w:val="222222"/>
          <w:shd w:val="clear" w:color="auto" w:fill="FFFFFF"/>
        </w:rPr>
        <w:t xml:space="preserve">; </w:t>
      </w:r>
      <w:hyperlink w:anchor="_ENREF_346" w:tooltip="Wang, 2014 #1265" w:history="1">
        <w:r w:rsidR="00950097" w:rsidRPr="00871B4F">
          <w:rPr>
            <w:rFonts w:cstheme="minorBidi"/>
            <w:noProof/>
            <w:color w:val="222222"/>
            <w:shd w:val="clear" w:color="auto" w:fill="FFFFFF"/>
          </w:rPr>
          <w:t>Wang et al., 2014</w:t>
        </w:r>
      </w:hyperlink>
      <w:r w:rsidR="00D50EFF" w:rsidRPr="00871B4F">
        <w:rPr>
          <w:rFonts w:cstheme="minorBidi"/>
          <w:noProof/>
          <w:color w:val="222222"/>
          <w:shd w:val="clear" w:color="auto" w:fill="FFFFFF"/>
        </w:rPr>
        <w:t>)</w:t>
      </w:r>
      <w:r w:rsidRPr="009819CE">
        <w:rPr>
          <w:rFonts w:cstheme="minorBidi"/>
          <w:color w:val="222222"/>
          <w:shd w:val="clear" w:color="auto" w:fill="FFFFFF"/>
        </w:rPr>
        <w:fldChar w:fldCharType="end"/>
      </w:r>
      <w:r w:rsidRPr="009819CE">
        <w:rPr>
          <w:rFonts w:cstheme="minorBidi"/>
          <w:color w:val="222222"/>
          <w:shd w:val="clear" w:color="auto" w:fill="FFFFFF"/>
        </w:rPr>
        <w:t xml:space="preserve"> (see section</w:t>
      </w:r>
      <w:r w:rsidR="007462F8" w:rsidRPr="009819CE">
        <w:rPr>
          <w:rFonts w:cstheme="minorBidi"/>
          <w:color w:val="222222"/>
          <w:shd w:val="clear" w:color="auto" w:fill="FFFFFF"/>
        </w:rPr>
        <w:t xml:space="preserve"> </w:t>
      </w:r>
      <w:r w:rsidR="004B0FB3" w:rsidRPr="009819CE">
        <w:rPr>
          <w:rFonts w:cstheme="minorBidi"/>
          <w:b/>
          <w:bCs/>
          <w:color w:val="222222"/>
          <w:shd w:val="clear" w:color="auto" w:fill="FFFFFF"/>
        </w:rPr>
        <w:fldChar w:fldCharType="begin"/>
      </w:r>
      <w:r w:rsidR="004B0FB3" w:rsidRPr="009819CE">
        <w:rPr>
          <w:rFonts w:cstheme="minorBidi"/>
          <w:b/>
          <w:bCs/>
          <w:color w:val="222222"/>
          <w:shd w:val="clear" w:color="auto" w:fill="FFFFFF"/>
        </w:rPr>
        <w:instrText xml:space="preserve"> REF _Ref170111324 \r \h  \* MERGEFORMAT </w:instrText>
      </w:r>
      <w:r w:rsidR="004B0FB3" w:rsidRPr="009819CE">
        <w:rPr>
          <w:rFonts w:cstheme="minorBidi"/>
          <w:b/>
          <w:bCs/>
          <w:color w:val="222222"/>
          <w:shd w:val="clear" w:color="auto" w:fill="FFFFFF"/>
        </w:rPr>
      </w:r>
      <w:r w:rsidR="004B0FB3" w:rsidRPr="009819CE">
        <w:rPr>
          <w:rFonts w:cstheme="minorBidi"/>
          <w:b/>
          <w:bCs/>
          <w:color w:val="222222"/>
          <w:shd w:val="clear" w:color="auto" w:fill="FFFFFF"/>
        </w:rPr>
        <w:fldChar w:fldCharType="separate"/>
      </w:r>
      <w:r w:rsidR="008549FC">
        <w:rPr>
          <w:rFonts w:cstheme="minorBidi"/>
          <w:b/>
          <w:bCs/>
          <w:color w:val="222222"/>
          <w:shd w:val="clear" w:color="auto" w:fill="FFFFFF"/>
        </w:rPr>
        <w:t>1.1.1</w:t>
      </w:r>
      <w:r w:rsidR="004B0FB3" w:rsidRPr="009819CE">
        <w:rPr>
          <w:rFonts w:cstheme="minorBidi"/>
          <w:b/>
          <w:bCs/>
          <w:color w:val="222222"/>
          <w:shd w:val="clear" w:color="auto" w:fill="FFFFFF"/>
        </w:rPr>
        <w:fldChar w:fldCharType="end"/>
      </w:r>
      <w:r w:rsidRPr="009819CE">
        <w:rPr>
          <w:rFonts w:cstheme="minorBidi"/>
          <w:color w:val="222222"/>
          <w:shd w:val="clear" w:color="auto" w:fill="FFFFFF"/>
        </w:rPr>
        <w:t xml:space="preserve">). Additionally, observations </w:t>
      </w:r>
      <w:r w:rsidR="00E259AE">
        <w:rPr>
          <w:rFonts w:cstheme="minorBidi"/>
          <w:color w:val="222222"/>
          <w:shd w:val="clear" w:color="auto" w:fill="FFFFFF"/>
        </w:rPr>
        <w:t xml:space="preserve">made during this study </w:t>
      </w:r>
      <w:r w:rsidRPr="009819CE">
        <w:rPr>
          <w:rFonts w:cstheme="minorBidi"/>
          <w:color w:val="222222"/>
          <w:shd w:val="clear" w:color="auto" w:fill="FFFFFF"/>
        </w:rPr>
        <w:t xml:space="preserve">agree with reports by other authors indicating that </w:t>
      </w:r>
      <w:r w:rsidR="009D03F4" w:rsidRPr="009819CE">
        <w:rPr>
          <w:rFonts w:cstheme="minorBidi"/>
          <w:i/>
          <w:iCs/>
          <w:color w:val="222222"/>
          <w:shd w:val="clear" w:color="auto" w:fill="FFFFFF"/>
        </w:rPr>
        <w:t>Hematodinium</w:t>
      </w:r>
      <w:r w:rsidRPr="009819CE">
        <w:rPr>
          <w:rFonts w:cstheme="minorBidi"/>
          <w:color w:val="222222"/>
          <w:shd w:val="clear" w:color="auto" w:fill="FFFFFF"/>
        </w:rPr>
        <w:t xml:space="preserve"> sp. parasites preferentially target the heart, gonads and hepatopancreas, which are lipid-rich tissues </w:t>
      </w:r>
      <w:r w:rsidRPr="009819CE">
        <w:rPr>
          <w:rFonts w:cstheme="minorBidi"/>
          <w:color w:val="222222"/>
          <w:shd w:val="clear" w:color="auto" w:fill="FFFFFF"/>
        </w:rPr>
        <w:fldChar w:fldCharType="begin"/>
      </w:r>
      <w:r w:rsidR="00ED1A9E" w:rsidRPr="009819CE">
        <w:rPr>
          <w:rFonts w:cstheme="minorBidi"/>
          <w:color w:val="222222"/>
          <w:shd w:val="clear" w:color="auto" w:fill="FFFFFF"/>
        </w:rPr>
        <w:instrText xml:space="preserve"> ADDIN EN.CITE &lt;EndNote&gt;&lt;Cite&gt;&lt;Author&gt;Stentiford&lt;/Author&gt;&lt;Year&gt;2011&lt;/Year&gt;&lt;RecNum&gt;364&lt;/RecNum&gt;&lt;DisplayText&gt;(Stentiford and Neil, 2011)&lt;/DisplayText&gt;&lt;record&gt;&lt;rec-number&gt;364&lt;/rec-number&gt;&lt;foreign-keys&gt;&lt;key app="EN" db-id="sd9wrx9fj09rx3erprsx999o0r5aprvp2zse" timestamp="1687855901" guid="9d806717-c1cc-42fa-87eb-9816eec1d9d7"&gt;364&lt;/key&gt;&lt;/foreign-keys&gt;&lt;ref-type name="Journal Article"&gt;17&lt;/ref-type&gt;&lt;contributors&gt;&lt;authors&gt;&lt;author&gt;Stentiford, Grant D.&lt;/author&gt;&lt;author&gt;Neil, Douglas M.&lt;/author&gt;&lt;/authors&gt;&lt;/contributors&gt;&lt;titles&gt;&lt;title&gt;&lt;style face="normal" font="default" size="100%"&gt;Diseases of &lt;/style&gt;&lt;style face="italic" font="default" size="100%"&gt;Nephrops&lt;/style&gt;&lt;style face="normal" font="default" size="100%"&gt; and &lt;/style&gt;&lt;style face="italic" font="default" size="100%"&gt;Metanephrops&lt;/style&gt;&lt;style face="normal" font="default" size="100%"&gt;: a review&lt;/style&gt;&lt;/title&gt;&lt;secondary-title&gt;Journal of Invertebrate Pathology&lt;/secondary-title&gt;&lt;/titles&gt;&lt;periodical&gt;&lt;full-title&gt;Journal of Invertebrate Pathology&lt;/full-title&gt;&lt;/periodical&gt;&lt;pages&gt;92-109&lt;/pages&gt;&lt;volume&gt;106&lt;/volume&gt;&lt;number&gt;1&lt;/number&gt;&lt;keywords&gt;&lt;keyword&gt;Crustacean&lt;/keyword&gt;&lt;keyword&gt;Decapod&lt;/keyword&gt;&lt;keyword&gt;Disease&lt;/keyword&gt;&lt;keyword&gt;Fishery&lt;/keyword&gt;&lt;keyword&gt;Hematodinium&lt;/keyword&gt;&lt;keyword&gt;Infection&lt;/keyword&gt;&lt;keyword&gt;Myospora&lt;/keyword&gt;&lt;keyword&gt;Pathogenesis&lt;/keyword&gt;&lt;/keywords&gt;&lt;dates&gt;&lt;year&gt;2011&lt;/year&gt;&lt;pub-dates&gt;&lt;date&gt;2011/1//&lt;/date&gt;&lt;/pub-dates&gt;&lt;/dates&gt;&lt;publisher&gt;Elsevier Inc.&lt;/publisher&gt;&lt;urls&gt;&lt;related-urls&gt;&lt;url&gt;http://dx.doi.org/10.1016/j.jip.2010.09.017&lt;/url&gt;&lt;url&gt;https://linkinghub.elsevier.com/retrieve/pii/S0022201110002211&lt;/url&gt;&lt;/related-urls&gt;&lt;/urls&gt;&lt;electronic-resource-num&gt;10.1016/j.jip.2010.09.017&lt;/electronic-resource-num&gt;&lt;/record&gt;&lt;/Cite&gt;&lt;/EndNote&gt;</w:instrText>
      </w:r>
      <w:r w:rsidRPr="009819CE">
        <w:rPr>
          <w:rFonts w:cstheme="minorBidi"/>
          <w:color w:val="222222"/>
          <w:shd w:val="clear" w:color="auto" w:fill="FFFFFF"/>
        </w:rPr>
        <w:fldChar w:fldCharType="separate"/>
      </w:r>
      <w:r w:rsidR="00D50EFF" w:rsidRPr="007268F5">
        <w:rPr>
          <w:rFonts w:cstheme="minorBidi"/>
          <w:color w:val="222222"/>
          <w:shd w:val="clear" w:color="auto" w:fill="FFFFFF"/>
        </w:rPr>
        <w:t>(</w:t>
      </w:r>
      <w:hyperlink w:anchor="_ENREF_304" w:tooltip="Stentiford, 2011 #364" w:history="1">
        <w:r w:rsidR="00950097" w:rsidRPr="007268F5">
          <w:rPr>
            <w:rFonts w:cstheme="minorBidi"/>
            <w:color w:val="222222"/>
            <w:shd w:val="clear" w:color="auto" w:fill="FFFFFF"/>
          </w:rPr>
          <w:t>Stentiford and Neil, 2011</w:t>
        </w:r>
      </w:hyperlink>
      <w:r w:rsidR="00D50EFF" w:rsidRPr="007268F5">
        <w:rPr>
          <w:rFonts w:cstheme="minorBidi"/>
          <w:color w:val="222222"/>
          <w:shd w:val="clear" w:color="auto" w:fill="FFFFFF"/>
        </w:rPr>
        <w:t>)</w:t>
      </w:r>
      <w:r w:rsidRPr="009819CE">
        <w:rPr>
          <w:rFonts w:cstheme="minorBidi"/>
          <w:color w:val="222222"/>
          <w:shd w:val="clear" w:color="auto" w:fill="FFFFFF"/>
        </w:rPr>
        <w:fldChar w:fldCharType="end"/>
      </w:r>
      <w:r w:rsidRPr="009819CE">
        <w:rPr>
          <w:rFonts w:cstheme="minorBidi"/>
          <w:color w:val="222222"/>
          <w:shd w:val="clear" w:color="auto" w:fill="FFFFFF"/>
        </w:rPr>
        <w:t xml:space="preserve">. However, it is not known if </w:t>
      </w:r>
      <w:r w:rsidR="009D03F4" w:rsidRPr="009819CE">
        <w:rPr>
          <w:rFonts w:cstheme="minorBidi"/>
          <w:i/>
          <w:iCs/>
          <w:color w:val="222222"/>
          <w:shd w:val="clear" w:color="auto" w:fill="FFFFFF"/>
        </w:rPr>
        <w:t>Hematodinium</w:t>
      </w:r>
      <w:r w:rsidRPr="009819CE">
        <w:rPr>
          <w:rFonts w:cstheme="minorBidi"/>
          <w:color w:val="222222"/>
          <w:shd w:val="clear" w:color="auto" w:fill="FFFFFF"/>
        </w:rPr>
        <w:t xml:space="preserve"> sp. targets specific lipid and/or fatty acids to direct to the spores o</w:t>
      </w:r>
      <w:r w:rsidR="001C075C" w:rsidRPr="00FA7D47">
        <w:rPr>
          <w:rFonts w:cstheme="minorBidi"/>
          <w:color w:val="222222"/>
          <w:shd w:val="clear" w:color="auto" w:fill="FFFFFF"/>
        </w:rPr>
        <w:t>r</w:t>
      </w:r>
      <w:r w:rsidRPr="009819CE">
        <w:rPr>
          <w:rFonts w:cstheme="minorBidi"/>
          <w:color w:val="222222"/>
          <w:shd w:val="clear" w:color="auto" w:fill="FFFFFF"/>
        </w:rPr>
        <w:t xml:space="preserve"> if lipid profiles in </w:t>
      </w:r>
      <w:r w:rsidR="009D03F4" w:rsidRPr="009819CE">
        <w:rPr>
          <w:rFonts w:cstheme="minorBidi"/>
          <w:i/>
          <w:iCs/>
          <w:color w:val="222222"/>
          <w:shd w:val="clear" w:color="auto" w:fill="FFFFFF"/>
        </w:rPr>
        <w:t>Hematodinium</w:t>
      </w:r>
      <w:r w:rsidRPr="009819CE">
        <w:rPr>
          <w:rFonts w:cstheme="minorBidi"/>
          <w:color w:val="222222"/>
          <w:shd w:val="clear" w:color="auto" w:fill="FFFFFF"/>
        </w:rPr>
        <w:t xml:space="preserve"> sp</w:t>
      </w:r>
      <w:r w:rsidR="008E62E1" w:rsidRPr="009819CE">
        <w:rPr>
          <w:rFonts w:cstheme="minorBidi"/>
          <w:color w:val="222222"/>
          <w:shd w:val="clear" w:color="auto" w:fill="FFFFFF"/>
        </w:rPr>
        <w:t>.</w:t>
      </w:r>
      <w:r w:rsidRPr="009819CE">
        <w:rPr>
          <w:rFonts w:cstheme="minorBidi"/>
          <w:color w:val="222222"/>
          <w:shd w:val="clear" w:color="auto" w:fill="FFFFFF"/>
        </w:rPr>
        <w:t xml:space="preserve"> spores reflect the lipid composition available in the host.</w:t>
      </w:r>
    </w:p>
    <w:p w14:paraId="51913417" w14:textId="087DF57B" w:rsidR="006A0363" w:rsidRPr="009819CE" w:rsidRDefault="006A0363" w:rsidP="006A0363">
      <w:pPr>
        <w:rPr>
          <w:rFonts w:cstheme="minorBidi"/>
          <w:shd w:val="clear" w:color="auto" w:fill="FFFFFF"/>
        </w:rPr>
      </w:pPr>
      <w:r w:rsidRPr="009819CE">
        <w:rPr>
          <w:rFonts w:cstheme="minorBidi"/>
          <w:shd w:val="clear" w:color="auto" w:fill="FFFFFF"/>
        </w:rPr>
        <w:t xml:space="preserve">This study aims to investigate the lipid metabolic dependency of </w:t>
      </w:r>
      <w:r w:rsidR="009D03F4" w:rsidRPr="009819CE">
        <w:rPr>
          <w:rFonts w:cstheme="minorBidi"/>
          <w:i/>
          <w:shd w:val="clear" w:color="auto" w:fill="FFFFFF"/>
        </w:rPr>
        <w:t>Hematodinium</w:t>
      </w:r>
      <w:r w:rsidRPr="009819CE">
        <w:rPr>
          <w:rFonts w:cstheme="minorBidi"/>
          <w:shd w:val="clear" w:color="auto" w:fill="FFFFFF"/>
        </w:rPr>
        <w:t xml:space="preserve"> sp. upon its host </w:t>
      </w:r>
      <w:r w:rsidR="00C31E47" w:rsidRPr="009819CE">
        <w:rPr>
          <w:rFonts w:cstheme="minorBidi"/>
          <w:i/>
          <w:iCs/>
          <w:shd w:val="clear" w:color="auto" w:fill="FFFFFF"/>
        </w:rPr>
        <w:t>Nephrops</w:t>
      </w:r>
      <w:r w:rsidRPr="009819CE">
        <w:rPr>
          <w:rFonts w:cstheme="minorBidi"/>
          <w:shd w:val="clear" w:color="auto" w:fill="FFFFFF"/>
        </w:rPr>
        <w:t xml:space="preserve">. To this end, in this research the types of lipids scavenged by the parasite from the host during disease progression and the spores naturally generated by </w:t>
      </w:r>
      <w:r w:rsidR="009D03F4" w:rsidRPr="009819CE">
        <w:rPr>
          <w:rFonts w:cstheme="minorBidi"/>
          <w:i/>
          <w:iCs/>
          <w:shd w:val="clear" w:color="auto" w:fill="FFFFFF"/>
        </w:rPr>
        <w:t>Hematodinium</w:t>
      </w:r>
      <w:r w:rsidRPr="009819CE">
        <w:rPr>
          <w:rFonts w:cstheme="minorBidi"/>
          <w:shd w:val="clear" w:color="auto" w:fill="FFFFFF"/>
        </w:rPr>
        <w:t xml:space="preserve"> sp. spores </w:t>
      </w:r>
      <w:r w:rsidR="00E259AE">
        <w:rPr>
          <w:rFonts w:cstheme="minorBidi"/>
          <w:shd w:val="clear" w:color="auto" w:fill="FFFFFF"/>
        </w:rPr>
        <w:t>will be examined</w:t>
      </w:r>
      <w:r w:rsidR="00E259AE" w:rsidRPr="009819CE">
        <w:rPr>
          <w:rFonts w:cstheme="minorBidi"/>
          <w:shd w:val="clear" w:color="auto" w:fill="FFFFFF"/>
        </w:rPr>
        <w:t xml:space="preserve"> </w:t>
      </w:r>
      <w:r w:rsidRPr="009819CE">
        <w:rPr>
          <w:rFonts w:cstheme="minorBidi"/>
          <w:shd w:val="clear" w:color="auto" w:fill="FFFFFF"/>
        </w:rPr>
        <w:t xml:space="preserve">and </w:t>
      </w:r>
      <w:r w:rsidR="00E259AE">
        <w:rPr>
          <w:rFonts w:cstheme="minorBidi"/>
          <w:shd w:val="clear" w:color="auto" w:fill="FFFFFF"/>
        </w:rPr>
        <w:t xml:space="preserve">a </w:t>
      </w:r>
      <w:r w:rsidRPr="009819CE">
        <w:rPr>
          <w:rFonts w:cstheme="minorBidi"/>
          <w:shd w:val="clear" w:color="auto" w:fill="FFFFFF"/>
        </w:rPr>
        <w:t>compar</w:t>
      </w:r>
      <w:r w:rsidR="00E259AE">
        <w:rPr>
          <w:rFonts w:cstheme="minorBidi"/>
          <w:shd w:val="clear" w:color="auto" w:fill="FFFFFF"/>
        </w:rPr>
        <w:t>ison</w:t>
      </w:r>
      <w:r w:rsidRPr="009819CE">
        <w:rPr>
          <w:rFonts w:cstheme="minorBidi"/>
          <w:shd w:val="clear" w:color="auto" w:fill="FFFFFF"/>
        </w:rPr>
        <w:t xml:space="preserve"> </w:t>
      </w:r>
      <w:r w:rsidR="00E259AE">
        <w:rPr>
          <w:rFonts w:cstheme="minorBidi"/>
          <w:shd w:val="clear" w:color="auto" w:fill="FFFFFF"/>
        </w:rPr>
        <w:t xml:space="preserve">made between </w:t>
      </w:r>
      <w:r w:rsidRPr="009819CE">
        <w:rPr>
          <w:rFonts w:cstheme="minorBidi"/>
          <w:shd w:val="clear" w:color="auto" w:fill="FFFFFF"/>
        </w:rPr>
        <w:t xml:space="preserve">these profiles </w:t>
      </w:r>
      <w:r w:rsidR="00E259AE">
        <w:rPr>
          <w:rFonts w:cstheme="minorBidi"/>
          <w:shd w:val="clear" w:color="auto" w:fill="FFFFFF"/>
        </w:rPr>
        <w:t>and</w:t>
      </w:r>
      <w:r w:rsidRPr="009819CE">
        <w:rPr>
          <w:rFonts w:cstheme="minorBidi"/>
          <w:shd w:val="clear" w:color="auto" w:fill="FFFFFF"/>
        </w:rPr>
        <w:t xml:space="preserve"> the host lipid profiles. Through these investigations, insights into the parasite's nutrient acquisition needs, its impact on the host's lipid metabolism, and its overall success</w:t>
      </w:r>
      <w:r w:rsidR="00E259AE">
        <w:rPr>
          <w:rFonts w:cstheme="minorBidi"/>
          <w:shd w:val="clear" w:color="auto" w:fill="FFFFFF"/>
        </w:rPr>
        <w:t xml:space="preserve"> are sought</w:t>
      </w:r>
      <w:r w:rsidRPr="009819CE">
        <w:rPr>
          <w:rFonts w:cstheme="minorBidi"/>
          <w:shd w:val="clear" w:color="auto" w:fill="FFFFFF"/>
        </w:rPr>
        <w:t xml:space="preserve">. To achieve this, the lipid class and fatty acid profiles (total and within each lipid class fraction) of both spores (once released naturally to the environment) and the hepatopancreas in sporulated and non-sporulated animals infected with different levels of patent </w:t>
      </w:r>
      <w:r w:rsidR="009D03F4" w:rsidRPr="009819CE">
        <w:rPr>
          <w:rFonts w:cstheme="minorBidi"/>
          <w:i/>
          <w:shd w:val="clear" w:color="auto" w:fill="FFFFFF"/>
        </w:rPr>
        <w:t>Hematodinium</w:t>
      </w:r>
      <w:r w:rsidRPr="009819CE">
        <w:rPr>
          <w:rFonts w:cstheme="minorBidi"/>
          <w:shd w:val="clear" w:color="auto" w:fill="FFFFFF"/>
        </w:rPr>
        <w:t xml:space="preserve"> sp. infection using pleopod </w:t>
      </w:r>
      <w:r w:rsidR="007E6468" w:rsidRPr="009819CE">
        <w:rPr>
          <w:rFonts w:cstheme="minorBidi"/>
          <w:shd w:val="clear" w:color="auto" w:fill="FFFFFF"/>
        </w:rPr>
        <w:t>method</w:t>
      </w:r>
      <w:r w:rsidR="007E6468">
        <w:rPr>
          <w:rFonts w:cstheme="minorBidi"/>
          <w:shd w:val="clear" w:color="auto" w:fill="FFFFFF"/>
        </w:rPr>
        <w:t>,</w:t>
      </w:r>
      <w:r w:rsidR="007E6468" w:rsidRPr="009819CE">
        <w:rPr>
          <w:rFonts w:cstheme="minorBidi"/>
          <w:shd w:val="clear" w:color="auto" w:fill="FFFFFF"/>
        </w:rPr>
        <w:t xml:space="preserve"> </w:t>
      </w:r>
      <w:r w:rsidR="007E6468">
        <w:rPr>
          <w:rFonts w:cstheme="minorBidi"/>
          <w:shd w:val="clear" w:color="auto" w:fill="FFFFFF"/>
        </w:rPr>
        <w:t>were</w:t>
      </w:r>
      <w:r w:rsidR="00E259AE">
        <w:rPr>
          <w:rFonts w:cstheme="minorBidi"/>
          <w:shd w:val="clear" w:color="auto" w:fill="FFFFFF"/>
        </w:rPr>
        <w:t xml:space="preserve"> analysed</w:t>
      </w:r>
      <w:r w:rsidRPr="009819CE">
        <w:rPr>
          <w:rFonts w:cstheme="minorBidi"/>
          <w:shd w:val="clear" w:color="auto" w:fill="FFFFFF"/>
        </w:rPr>
        <w:t>.</w:t>
      </w:r>
    </w:p>
    <w:p w14:paraId="63F313C0" w14:textId="77777777" w:rsidR="006A0363" w:rsidRPr="009819CE" w:rsidRDefault="006A0363" w:rsidP="00B3468E">
      <w:pPr>
        <w:pStyle w:val="Heading2"/>
        <w:rPr>
          <w:rFonts w:cstheme="minorBidi"/>
        </w:rPr>
      </w:pPr>
      <w:bookmarkStart w:id="309" w:name="_Toc204106660"/>
      <w:r w:rsidRPr="009819CE">
        <w:rPr>
          <w:rFonts w:cstheme="minorBidi"/>
        </w:rPr>
        <w:t>Materials and Methods</w:t>
      </w:r>
      <w:bookmarkEnd w:id="309"/>
    </w:p>
    <w:p w14:paraId="7F499AF7" w14:textId="5E6DCE00" w:rsidR="006A0363" w:rsidRPr="009819CE" w:rsidRDefault="006A0363" w:rsidP="00B3468E">
      <w:pPr>
        <w:pStyle w:val="Heading3"/>
        <w:rPr>
          <w:rFonts w:cstheme="minorBidi"/>
        </w:rPr>
      </w:pPr>
      <w:bookmarkStart w:id="310" w:name="_Toc204106661"/>
      <w:r w:rsidRPr="009819CE">
        <w:rPr>
          <w:rFonts w:cstheme="minorBidi"/>
        </w:rPr>
        <w:t xml:space="preserve">Ethics </w:t>
      </w:r>
      <w:r w:rsidR="00C2771C" w:rsidRPr="00FA7D47">
        <w:rPr>
          <w:rFonts w:cstheme="minorBidi"/>
        </w:rPr>
        <w:t>s</w:t>
      </w:r>
      <w:r w:rsidRPr="009819CE">
        <w:rPr>
          <w:rFonts w:cstheme="minorBidi"/>
        </w:rPr>
        <w:t>tatement</w:t>
      </w:r>
      <w:bookmarkEnd w:id="310"/>
    </w:p>
    <w:p w14:paraId="45CAFD5A" w14:textId="77777777" w:rsidR="006A0363" w:rsidRPr="009819CE" w:rsidRDefault="006A0363" w:rsidP="006A0363">
      <w:pPr>
        <w:rPr>
          <w:rFonts w:cstheme="minorBidi"/>
        </w:rPr>
      </w:pPr>
      <w:r w:rsidRPr="009819CE">
        <w:rPr>
          <w:rFonts w:cstheme="minorBidi"/>
        </w:rPr>
        <w:t xml:space="preserve">This protocol was approved by the University of Stirling Animal Welfare and Ethical Review Body (AWERB (15/16) 78). </w:t>
      </w:r>
    </w:p>
    <w:p w14:paraId="176636D8" w14:textId="6A6CB1E6" w:rsidR="006A0363" w:rsidRPr="009819CE" w:rsidRDefault="006A0363" w:rsidP="00B3468E">
      <w:pPr>
        <w:pStyle w:val="Heading3"/>
        <w:rPr>
          <w:rFonts w:cstheme="minorBidi"/>
        </w:rPr>
      </w:pPr>
      <w:bookmarkStart w:id="311" w:name="_Toc204106662"/>
      <w:r w:rsidRPr="009819CE">
        <w:rPr>
          <w:rFonts w:cstheme="minorBidi"/>
        </w:rPr>
        <w:t xml:space="preserve">Acquisition of live </w:t>
      </w:r>
      <w:r w:rsidR="009D03F4" w:rsidRPr="009819CE">
        <w:rPr>
          <w:rFonts w:cstheme="minorBidi"/>
          <w:i/>
        </w:rPr>
        <w:t>Hematodinium</w:t>
      </w:r>
      <w:r w:rsidRPr="009819CE">
        <w:rPr>
          <w:rFonts w:cstheme="minorBidi"/>
          <w:i/>
        </w:rPr>
        <w:t xml:space="preserve"> </w:t>
      </w:r>
      <w:r w:rsidRPr="009819CE">
        <w:rPr>
          <w:rFonts w:cstheme="minorBidi"/>
        </w:rPr>
        <w:t xml:space="preserve">infected </w:t>
      </w:r>
      <w:r w:rsidR="00C31E47" w:rsidRPr="009819CE">
        <w:rPr>
          <w:rFonts w:cstheme="minorBidi"/>
          <w:i/>
        </w:rPr>
        <w:t>Nephrops</w:t>
      </w:r>
      <w:bookmarkEnd w:id="311"/>
      <w:r w:rsidRPr="009819CE">
        <w:rPr>
          <w:rFonts w:cstheme="minorBidi"/>
          <w:i/>
        </w:rPr>
        <w:t xml:space="preserve"> </w:t>
      </w:r>
    </w:p>
    <w:p w14:paraId="4752CB71" w14:textId="7C4EBA41" w:rsidR="006A0363" w:rsidRPr="009819CE" w:rsidRDefault="00C31E47" w:rsidP="000A597A">
      <w:r w:rsidRPr="009819CE">
        <w:rPr>
          <w:i/>
          <w:iCs/>
        </w:rPr>
        <w:t>Nephrops</w:t>
      </w:r>
      <w:r w:rsidR="006A0363" w:rsidRPr="009819CE">
        <w:rPr>
          <w:i/>
          <w:iCs/>
        </w:rPr>
        <w:t xml:space="preserve"> </w:t>
      </w:r>
      <w:r w:rsidR="006A0363" w:rsidRPr="009819CE">
        <w:t xml:space="preserve">were trawled from the Clyde Sea Area (55°45.482N, 4°53.375W) aboard the commercial vessel Eilidh Anne GK2 between end of January and March 2020. Animals were caught in three separate trawls conducted on January 28, 2020, February 25, 2020, and March 10, 2020. Onboard, </w:t>
      </w:r>
      <w:r w:rsidRPr="009819CE">
        <w:rPr>
          <w:i/>
        </w:rPr>
        <w:t>Nephrops</w:t>
      </w:r>
      <w:r w:rsidR="006A0363" w:rsidRPr="009819CE">
        <w:t xml:space="preserve"> were separated from bycatch and sorted into different tubes sets according to the body colour method (BCM) initially separating visually infected from non-visually infected. </w:t>
      </w:r>
      <w:r w:rsidRPr="009819CE">
        <w:rPr>
          <w:i/>
          <w:iCs/>
        </w:rPr>
        <w:t>Nephrops</w:t>
      </w:r>
      <w:r w:rsidR="006A0363" w:rsidRPr="009819CE">
        <w:t xml:space="preserve"> were then transported to Scotprime Seafoods Ltd, where they were kept in running seawater for 24 hours. Animals were transported to the University of Stirling in an insulated water container (model SP-BI220 - Sanderson Plastic Products). On arrival, </w:t>
      </w:r>
      <w:r w:rsidRPr="009819CE">
        <w:rPr>
          <w:i/>
          <w:shd w:val="clear" w:color="auto" w:fill="FFFFFF"/>
        </w:rPr>
        <w:t>Nephrops</w:t>
      </w:r>
      <w:r w:rsidR="006A0363" w:rsidRPr="009819CE">
        <w:rPr>
          <w:i/>
          <w:shd w:val="clear" w:color="auto" w:fill="FFFFFF"/>
        </w:rPr>
        <w:t xml:space="preserve"> </w:t>
      </w:r>
      <w:r w:rsidR="006A0363" w:rsidRPr="009819CE">
        <w:t xml:space="preserve">were tagged and evaluated for sex, carapace length (CL), damage and shell hardness. A pleopod sample was collected from each </w:t>
      </w:r>
      <w:r w:rsidRPr="009819CE">
        <w:rPr>
          <w:i/>
        </w:rPr>
        <w:t>Nephrops</w:t>
      </w:r>
      <w:r w:rsidR="006A0363" w:rsidRPr="009819CE">
        <w:rPr>
          <w:i/>
        </w:rPr>
        <w:t xml:space="preserve"> </w:t>
      </w:r>
      <w:r w:rsidR="006A0363" w:rsidRPr="009819CE">
        <w:t xml:space="preserve"> in order to determine pleopod staging (pleopod method, PM) and </w:t>
      </w:r>
      <w:r w:rsidR="00C967F0" w:rsidRPr="00FA7D47">
        <w:t>moult stage</w:t>
      </w:r>
      <w:r w:rsidR="006A0363" w:rsidRPr="009819CE">
        <w:t xml:space="preserve"> </w:t>
      </w:r>
      <w:r w:rsidR="006A0363" w:rsidRPr="009819CE">
        <w:fldChar w:fldCharType="begin"/>
      </w:r>
      <w:r w:rsidR="00D50EFF" w:rsidRPr="009819CE">
        <w:instrText xml:space="preserve"> ADDIN EN.CITE &lt;EndNote&gt;&lt;Cite&gt;&lt;Author&gt;Philp&lt;/Author&gt;&lt;Year&gt;2013&lt;/Year&gt;&lt;RecNum&gt;54&lt;/RecNum&gt;&lt;DisplayText&gt;(Philp and Marteinsdottír, 2013)&lt;/DisplayText&gt;&lt;record&gt;&lt;rec-number&gt;54&lt;/rec-number&gt;&lt;foreign-keys&gt;&lt;key app="EN" db-id="sd9wrx9fj09rx3erprsx999o0r5aprvp2zse" timestamp="1687855901" guid="68ec341d-29dc-4782-951f-0623eee24ac5"&gt;54&lt;/key&gt;&lt;/foreign-keys&gt;&lt;ref-type name="Journal Article"&gt;17&lt;/ref-type&gt;&lt;contributors&gt;&lt;authors&gt;&lt;author&gt;Philp, Heather&lt;/author&gt;&lt;author&gt;Marteinsdottír, Guđrun&lt;/author&gt;&lt;/authors&gt;&lt;/contributors&gt;&lt;titles&gt;&lt;title&gt;&lt;style face="normal" font="default" size="100%"&gt;Moult cycle of the decapod &lt;/style&gt;&lt;style face="italic" font="default" size="100%"&gt;Nephrops norvegicus &lt;/style&gt;&lt;style face="normal" font="default" size="100%"&gt;(Linnaeus, 1758): Description of stages and sequential changes in haemolymph protein and haemocyanin&lt;/style&gt;&lt;/title&gt;&lt;secondary-title&gt;Marine Biology Research&lt;/secondary-title&gt;&lt;/titles&gt;&lt;periodical&gt;&lt;full-title&gt;Marine Biology Research&lt;/full-title&gt;&lt;/periodical&gt;&lt;pages&gt;7-18&lt;/pages&gt;&lt;volume&gt;9&lt;/volume&gt;&lt;number&gt;1&lt;/number&gt;&lt;keywords&gt;&lt;keyword&gt;Nephrops norvegicus&lt;/keyword&gt;&lt;keyword&gt;haemocyanin&lt;/keyword&gt;&lt;keyword&gt;moult stages&lt;/keyword&gt;&lt;keyword&gt;protein&lt;/keyword&gt;&lt;keyword&gt;setogenesis&lt;/keyword&gt;&lt;/keywords&gt;&lt;dates&gt;&lt;year&gt;2013&lt;/year&gt;&lt;pub-dates&gt;&lt;date&gt;2013/1//&lt;/date&gt;&lt;/pub-dates&gt;&lt;/dates&gt;&lt;urls&gt;&lt;related-urls&gt;&lt;url&gt;http://www.tandfonline.com/doi/abs/10.1080/17451000.2012.727435&lt;/url&gt;&lt;/related-urls&gt;&lt;/urls&gt;&lt;electronic-resource-num&gt;10.1080/17451000.2012.727435&lt;/electronic-resource-num&gt;&lt;/record&gt;&lt;/Cite&gt;&lt;/EndNote&gt;</w:instrText>
      </w:r>
      <w:r w:rsidR="006A0363" w:rsidRPr="009819CE">
        <w:fldChar w:fldCharType="separate"/>
      </w:r>
      <w:r w:rsidR="00D50EFF" w:rsidRPr="009819CE">
        <w:t>(</w:t>
      </w:r>
      <w:hyperlink w:anchor="_ENREF_244" w:tooltip="Philp, 2013 #54" w:history="1">
        <w:r w:rsidR="00950097" w:rsidRPr="009819CE">
          <w:t>Philp and Marteinsdottír, 2013</w:t>
        </w:r>
      </w:hyperlink>
      <w:r w:rsidR="00D50EFF" w:rsidRPr="009819CE">
        <w:t>)</w:t>
      </w:r>
      <w:r w:rsidR="006A0363" w:rsidRPr="009819CE">
        <w:fldChar w:fldCharType="end"/>
      </w:r>
      <w:r w:rsidR="006A0363" w:rsidRPr="009819CE">
        <w:t>. Individually tagged animals were classified into three categories and kept in separate tanks: non-infected (stage 0; n=32), low to moderate infection (stages 1-2, PM; n= 45) and heavily infected (stages 3-4, PM; n=42).</w:t>
      </w:r>
    </w:p>
    <w:p w14:paraId="29BE315E" w14:textId="17F67E71" w:rsidR="000A597A" w:rsidRDefault="006A0363" w:rsidP="000A597A">
      <w:r w:rsidRPr="009819CE">
        <w:t xml:space="preserve">A total of </w:t>
      </w:r>
      <w:r w:rsidR="00EB6A1A" w:rsidRPr="009819CE">
        <w:t>n=</w:t>
      </w:r>
      <w:r w:rsidRPr="009819CE">
        <w:t xml:space="preserve">119 animals, consisting of </w:t>
      </w:r>
      <w:r w:rsidR="00EB6A1A" w:rsidRPr="009819CE">
        <w:t>n=</w:t>
      </w:r>
      <w:r w:rsidRPr="009819CE">
        <w:t xml:space="preserve">64 males and </w:t>
      </w:r>
      <w:r w:rsidR="00EB6A1A" w:rsidRPr="009819CE">
        <w:t>n=</w:t>
      </w:r>
      <w:r w:rsidRPr="009819CE">
        <w:t>55 females, were captured and kept in tanks for this study (</w:t>
      </w:r>
      <w:r w:rsidR="00EC1059" w:rsidRPr="009819CE">
        <w:fldChar w:fldCharType="begin"/>
      </w:r>
      <w:r w:rsidR="00EC1059" w:rsidRPr="009819CE">
        <w:instrText xml:space="preserve"> REF _Ref201491122 \h </w:instrText>
      </w:r>
      <w:r w:rsidR="000A597A">
        <w:instrText xml:space="preserve"> \* MERGEFORMAT </w:instrText>
      </w:r>
      <w:r w:rsidR="00EC1059" w:rsidRPr="009819CE">
        <w:fldChar w:fldCharType="separate"/>
      </w:r>
      <w:r w:rsidR="008549FC" w:rsidRPr="007E6468">
        <w:rPr>
          <w:b/>
          <w:bCs/>
        </w:rPr>
        <w:t xml:space="preserve">Table </w:t>
      </w:r>
      <w:r w:rsidR="008549FC">
        <w:rPr>
          <w:b/>
          <w:bCs/>
          <w:noProof/>
        </w:rPr>
        <w:t>4.1</w:t>
      </w:r>
      <w:r w:rsidR="00EC1059" w:rsidRPr="009819CE">
        <w:fldChar w:fldCharType="end"/>
      </w:r>
      <w:r w:rsidRPr="009819CE">
        <w:t>).</w:t>
      </w:r>
    </w:p>
    <w:p w14:paraId="782629C0" w14:textId="3C1C6E3F" w:rsidR="006A0363" w:rsidRPr="009819CE" w:rsidRDefault="006A0363" w:rsidP="00B3468E">
      <w:pPr>
        <w:pStyle w:val="Heading3"/>
        <w:rPr>
          <w:rFonts w:cstheme="minorBidi"/>
        </w:rPr>
      </w:pPr>
      <w:bookmarkStart w:id="312" w:name="_Toc204106663"/>
      <w:r w:rsidRPr="009819CE">
        <w:rPr>
          <w:rFonts w:cstheme="minorBidi"/>
        </w:rPr>
        <w:t xml:space="preserve">Animal </w:t>
      </w:r>
      <w:r w:rsidR="00C2771C" w:rsidRPr="00FA7D47">
        <w:rPr>
          <w:rFonts w:cstheme="minorBidi"/>
        </w:rPr>
        <w:t>h</w:t>
      </w:r>
      <w:r w:rsidRPr="009819CE">
        <w:rPr>
          <w:rFonts w:cstheme="minorBidi"/>
        </w:rPr>
        <w:t xml:space="preserve">usbandry and </w:t>
      </w:r>
      <w:r w:rsidR="00C2771C" w:rsidRPr="00FA7D47">
        <w:rPr>
          <w:rFonts w:cstheme="minorBidi"/>
        </w:rPr>
        <w:t>e</w:t>
      </w:r>
      <w:r w:rsidRPr="009819CE">
        <w:rPr>
          <w:rFonts w:cstheme="minorBidi"/>
        </w:rPr>
        <w:t xml:space="preserve">xperimental </w:t>
      </w:r>
      <w:r w:rsidR="00C2771C" w:rsidRPr="00FA7D47">
        <w:rPr>
          <w:rFonts w:cstheme="minorBidi"/>
        </w:rPr>
        <w:t>c</w:t>
      </w:r>
      <w:r w:rsidRPr="009819CE">
        <w:rPr>
          <w:rFonts w:cstheme="minorBidi"/>
        </w:rPr>
        <w:t>onditions</w:t>
      </w:r>
      <w:bookmarkEnd w:id="312"/>
    </w:p>
    <w:p w14:paraId="63322C3E" w14:textId="7FB5CDC1" w:rsidR="00E424C3" w:rsidRPr="009819CE" w:rsidRDefault="006A0363" w:rsidP="006A0363">
      <w:pPr>
        <w:rPr>
          <w:rFonts w:cstheme="minorBidi"/>
        </w:rPr>
        <w:sectPr w:rsidR="00E424C3" w:rsidRPr="009819CE" w:rsidSect="003A7A28">
          <w:headerReference w:type="default" r:id="rId97"/>
          <w:pgSz w:w="11906" w:h="16838" w:code="9"/>
          <w:pgMar w:top="1440" w:right="1440" w:bottom="1440" w:left="1440" w:header="708" w:footer="708" w:gutter="0"/>
          <w:cols w:space="708"/>
          <w:docGrid w:linePitch="360"/>
        </w:sectPr>
      </w:pPr>
      <w:r w:rsidRPr="009819CE">
        <w:rPr>
          <w:rFonts w:cstheme="minorBidi"/>
        </w:rPr>
        <w:t xml:space="preserve">Tanks were held in a cold room at temperature between 8°C-12°C on a 12:12 light/dark photoperiod cycle. Every day, nitrate, nitrite, ammonia, and pH levels were measured. Aerators were provided for all tanks. Throughout the experiment, the animals were not fed. Heavily infected </w:t>
      </w:r>
      <w:r w:rsidR="00C31E47" w:rsidRPr="009819CE">
        <w:rPr>
          <w:rFonts w:cstheme="minorBidi"/>
          <w:i/>
          <w:shd w:val="clear" w:color="auto" w:fill="FFFFFF"/>
        </w:rPr>
        <w:t>Nephrops</w:t>
      </w:r>
      <w:r w:rsidRPr="009819CE">
        <w:rPr>
          <w:rFonts w:cstheme="minorBidi"/>
          <w:i/>
          <w:shd w:val="clear" w:color="auto" w:fill="FFFFFF"/>
        </w:rPr>
        <w:t xml:space="preserve"> </w:t>
      </w:r>
      <w:r w:rsidRPr="009819CE">
        <w:rPr>
          <w:rFonts w:cstheme="minorBidi"/>
        </w:rPr>
        <w:t>(stages 3-4, PM; n=42)</w:t>
      </w:r>
      <w:r w:rsidRPr="009819CE">
        <w:rPr>
          <w:rStyle w:val="Emphasis"/>
          <w:rFonts w:cstheme="minorBidi"/>
        </w:rPr>
        <w:t xml:space="preserve"> </w:t>
      </w:r>
      <w:r w:rsidRPr="009819CE">
        <w:rPr>
          <w:rFonts w:cstheme="minorBidi"/>
        </w:rPr>
        <w:t xml:space="preserve">were individually placed into the </w:t>
      </w:r>
      <w:r w:rsidR="00C07CCE" w:rsidRPr="009819CE">
        <w:rPr>
          <w:rFonts w:cstheme="minorBidi"/>
        </w:rPr>
        <w:t>‘</w:t>
      </w:r>
      <w:r w:rsidRPr="009819CE">
        <w:rPr>
          <w:rFonts w:cstheme="minorBidi"/>
        </w:rPr>
        <w:t>sporulation tanks</w:t>
      </w:r>
      <w:r w:rsidR="00C07CCE" w:rsidRPr="009819CE">
        <w:rPr>
          <w:rFonts w:cstheme="minorBidi"/>
        </w:rPr>
        <w:t>’</w:t>
      </w:r>
      <w:r w:rsidRPr="009819CE">
        <w:rPr>
          <w:rFonts w:cstheme="minorBidi"/>
        </w:rPr>
        <w:t xml:space="preserve"> </w:t>
      </w:r>
      <w:r w:rsidRPr="009819CE">
        <w:rPr>
          <w:rStyle w:val="issue-underline"/>
          <w:rFonts w:cstheme="minorBidi"/>
        </w:rPr>
        <w:t>(28cm</w:t>
      </w:r>
      <w:r w:rsidRPr="009819CE">
        <w:rPr>
          <w:rFonts w:cstheme="minorBidi"/>
        </w:rPr>
        <w:t xml:space="preserve"> (L) x 11 (W) cm) (</w:t>
      </w:r>
      <w:r w:rsidRPr="009819CE">
        <w:rPr>
          <w:rFonts w:cstheme="minorBidi"/>
          <w:b/>
          <w:bCs/>
        </w:rPr>
        <w:fldChar w:fldCharType="begin"/>
      </w:r>
      <w:r w:rsidRPr="009819CE">
        <w:rPr>
          <w:rFonts w:cstheme="minorBidi"/>
          <w:b/>
          <w:bCs/>
        </w:rPr>
        <w:instrText xml:space="preserve"> REF _Ref139215923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4.1</w:t>
      </w:r>
      <w:r w:rsidRPr="009819CE">
        <w:rPr>
          <w:rFonts w:cstheme="minorBidi"/>
          <w:b/>
          <w:bCs/>
        </w:rPr>
        <w:fldChar w:fldCharType="end"/>
      </w:r>
      <w:r w:rsidRPr="009819CE">
        <w:rPr>
          <w:rFonts w:cstheme="minorBidi"/>
        </w:rPr>
        <w:t>A) containing 1.5 L of artificial seawater (Instant Ocean® Sea Salt)</w:t>
      </w:r>
      <w:r w:rsidRPr="009819CE">
        <w:rPr>
          <w:rStyle w:val="Strong"/>
          <w:rFonts w:cstheme="minorBidi"/>
        </w:rPr>
        <w:t xml:space="preserve">, </w:t>
      </w:r>
      <w:r w:rsidRPr="009819CE">
        <w:rPr>
          <w:rFonts w:cstheme="minorBidi"/>
        </w:rPr>
        <w:t>33-35 PSU (practical salinity units), and maintained at a pH 7.6-8.4.  The water was replaced every 24 hours until sporulation occurred.  A 50 L tank was used to hold infected animals (stages 1-2, PM; n=45). A second 50 L holding tank filled with natural seawater was used for non-infected/control animals (stages 0, PM; n=32). Artificial seawater was used to replace 40% of the total volume daily. To prevent attacks and cannibalism in the 50 L holding tanks, small dividers were used (</w:t>
      </w:r>
      <w:r w:rsidRPr="009819CE">
        <w:rPr>
          <w:rFonts w:cstheme="minorBidi"/>
          <w:b/>
          <w:bCs/>
        </w:rPr>
        <w:fldChar w:fldCharType="begin"/>
      </w:r>
      <w:r w:rsidRPr="009819CE">
        <w:rPr>
          <w:rFonts w:cstheme="minorBidi"/>
          <w:b/>
          <w:bCs/>
        </w:rPr>
        <w:instrText xml:space="preserve"> REF _Ref139215923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4.1</w:t>
      </w:r>
      <w:r w:rsidRPr="009819CE">
        <w:rPr>
          <w:rFonts w:cstheme="minorBidi"/>
          <w:b/>
          <w:bCs/>
        </w:rPr>
        <w:fldChar w:fldCharType="end"/>
      </w:r>
      <w:r w:rsidRPr="009819CE">
        <w:rPr>
          <w:rFonts w:cstheme="minorBidi"/>
        </w:rPr>
        <w:t xml:space="preserve">B). Furthermore, </w:t>
      </w:r>
      <w:r w:rsidR="00C34347" w:rsidRPr="009819CE">
        <w:rPr>
          <w:rFonts w:cstheme="minorBidi"/>
        </w:rPr>
        <w:t>tank enrichment using</w:t>
      </w:r>
      <w:r w:rsidRPr="009819CE">
        <w:rPr>
          <w:rFonts w:cstheme="minorBidi"/>
        </w:rPr>
        <w:t xml:space="preserve"> short segments of pipeline were introduced as shelter.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71375AA6" w14:textId="77777777" w:rsidTr="00E424C3">
        <w:trPr>
          <w:trHeight w:val="2268"/>
        </w:trPr>
        <w:tc>
          <w:tcPr>
            <w:tcW w:w="9026" w:type="dxa"/>
          </w:tcPr>
          <w:p w14:paraId="477511C4" w14:textId="77777777" w:rsidR="006A0363" w:rsidRPr="009819CE" w:rsidRDefault="006A0363" w:rsidP="007D6607">
            <w:pPr>
              <w:rPr>
                <w:rFonts w:cstheme="minorBidi"/>
                <w:lang w:val="en-GB"/>
              </w:rPr>
            </w:pPr>
            <w:r w:rsidRPr="00FF34FE">
              <w:rPr>
                <w:rFonts w:cstheme="minorBidi"/>
                <w:noProof/>
              </w:rPr>
              <w:drawing>
                <wp:inline distT="0" distB="0" distL="0" distR="0" wp14:anchorId="30778BF6" wp14:editId="695DCAAC">
                  <wp:extent cx="5525518" cy="2141933"/>
                  <wp:effectExtent l="0" t="0" r="0" b="0"/>
                  <wp:docPr id="573796489" name="Picture 573796489"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10;&#10;Description automatically generated"/>
                          <pic:cNvPicPr/>
                        </pic:nvPicPr>
                        <pic:blipFill rotWithShape="1">
                          <a:blip r:embed="rId98"/>
                          <a:srcRect r="6156"/>
                          <a:stretch/>
                        </pic:blipFill>
                        <pic:spPr bwMode="auto">
                          <a:xfrm>
                            <a:off x="0" y="0"/>
                            <a:ext cx="5534610" cy="2145457"/>
                          </a:xfrm>
                          <a:prstGeom prst="rect">
                            <a:avLst/>
                          </a:prstGeom>
                          <a:ln>
                            <a:noFill/>
                          </a:ln>
                          <a:extLst>
                            <a:ext uri="{53640926-AAD7-44D8-BBD7-CCE9431645EC}">
                              <a14:shadowObscured xmlns:a14="http://schemas.microsoft.com/office/drawing/2010/main"/>
                            </a:ext>
                          </a:extLst>
                        </pic:spPr>
                      </pic:pic>
                    </a:graphicData>
                  </a:graphic>
                </wp:inline>
              </w:drawing>
            </w:r>
          </w:p>
        </w:tc>
      </w:tr>
      <w:tr w:rsidR="006A0363" w:rsidRPr="00FA7D47" w14:paraId="000FEB49" w14:textId="77777777" w:rsidTr="00E424C3">
        <w:tc>
          <w:tcPr>
            <w:tcW w:w="9026" w:type="dxa"/>
          </w:tcPr>
          <w:p w14:paraId="739D9953" w14:textId="08E294EB" w:rsidR="006A0363" w:rsidRPr="009819CE" w:rsidRDefault="006A0363" w:rsidP="007D6607">
            <w:pPr>
              <w:spacing w:line="240" w:lineRule="auto"/>
              <w:rPr>
                <w:rFonts w:cstheme="minorBidi"/>
                <w:lang w:val="en-GB"/>
              </w:rPr>
            </w:pPr>
            <w:bookmarkStart w:id="313" w:name="_Ref139215923"/>
            <w:bookmarkStart w:id="314" w:name="_Toc204106739"/>
            <w:r w:rsidRPr="009819CE">
              <w:rPr>
                <w:rFonts w:cstheme="minorBidi"/>
                <w:b/>
                <w:bCs/>
                <w:sz w:val="22"/>
                <w:szCs w:val="18"/>
                <w:lang w:val="en-GB"/>
              </w:rPr>
              <w:t xml:space="preserve">Figure </w:t>
            </w:r>
            <w:r w:rsidRPr="007E6468">
              <w:rPr>
                <w:rFonts w:cstheme="minorBidi"/>
                <w:b/>
                <w:bCs/>
                <w:sz w:val="22"/>
                <w:szCs w:val="18"/>
              </w:rPr>
              <w:fldChar w:fldCharType="begin"/>
            </w:r>
            <w:r w:rsidRPr="009819CE">
              <w:rPr>
                <w:rFonts w:cstheme="minorBidi"/>
                <w:b/>
                <w:bCs/>
                <w:sz w:val="22"/>
                <w:szCs w:val="18"/>
                <w:lang w:val="en-GB"/>
              </w:rPr>
              <w:instrText xml:space="preserve"> STYLEREF 1 \s </w:instrText>
            </w:r>
            <w:r w:rsidRPr="007E6468">
              <w:rPr>
                <w:rFonts w:cstheme="minorBidi"/>
                <w:b/>
                <w:bCs/>
                <w:sz w:val="22"/>
                <w:szCs w:val="18"/>
              </w:rPr>
              <w:fldChar w:fldCharType="separate"/>
            </w:r>
            <w:r w:rsidR="008549FC">
              <w:rPr>
                <w:rFonts w:cstheme="minorBidi"/>
                <w:b/>
                <w:bCs/>
                <w:noProof/>
                <w:sz w:val="22"/>
                <w:szCs w:val="18"/>
                <w:lang w:val="en-GB"/>
              </w:rPr>
              <w:t>4</w:t>
            </w:r>
            <w:r w:rsidRPr="007E6468">
              <w:rPr>
                <w:rFonts w:cstheme="minorBidi"/>
                <w:b/>
                <w:bCs/>
                <w:sz w:val="22"/>
                <w:szCs w:val="18"/>
              </w:rPr>
              <w:fldChar w:fldCharType="end"/>
            </w:r>
            <w:r w:rsidRPr="009819CE">
              <w:rPr>
                <w:rFonts w:cstheme="minorBidi"/>
                <w:b/>
                <w:bCs/>
                <w:sz w:val="22"/>
                <w:szCs w:val="18"/>
                <w:lang w:val="en-GB"/>
              </w:rPr>
              <w:t>.</w:t>
            </w:r>
            <w:r w:rsidRPr="007E6468">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7E6468">
              <w:rPr>
                <w:rFonts w:cstheme="minorBidi"/>
                <w:b/>
                <w:bCs/>
                <w:sz w:val="22"/>
                <w:szCs w:val="18"/>
              </w:rPr>
              <w:fldChar w:fldCharType="separate"/>
            </w:r>
            <w:r w:rsidR="008549FC">
              <w:rPr>
                <w:rFonts w:cstheme="minorBidi"/>
                <w:b/>
                <w:bCs/>
                <w:noProof/>
                <w:sz w:val="22"/>
                <w:szCs w:val="18"/>
                <w:lang w:val="en-GB"/>
              </w:rPr>
              <w:t>1</w:t>
            </w:r>
            <w:r w:rsidRPr="007E6468">
              <w:rPr>
                <w:rFonts w:cstheme="minorBidi"/>
                <w:b/>
                <w:bCs/>
                <w:sz w:val="22"/>
                <w:szCs w:val="18"/>
              </w:rPr>
              <w:fldChar w:fldCharType="end"/>
            </w:r>
            <w:bookmarkEnd w:id="313"/>
            <w:r w:rsidRPr="009819CE">
              <w:rPr>
                <w:rFonts w:cstheme="minorBidi"/>
                <w:sz w:val="22"/>
                <w:szCs w:val="18"/>
                <w:lang w:val="en-GB"/>
              </w:rPr>
              <w:t xml:space="preserve"> A) </w:t>
            </w:r>
            <w:r w:rsidR="00C31E47" w:rsidRPr="009819CE">
              <w:rPr>
                <w:rFonts w:cstheme="minorBidi"/>
                <w:i/>
                <w:iCs/>
                <w:sz w:val="22"/>
                <w:szCs w:val="18"/>
                <w:lang w:val="en-GB"/>
              </w:rPr>
              <w:t>Nephrops</w:t>
            </w:r>
            <w:r w:rsidRPr="009819CE">
              <w:rPr>
                <w:rFonts w:cstheme="minorBidi"/>
                <w:sz w:val="22"/>
                <w:szCs w:val="18"/>
                <w:lang w:val="en-GB"/>
              </w:rPr>
              <w:t xml:space="preserve"> with high infection levels kept in individual sporulation tanks (28 cm (L) x 11 cm (W)), each containing 1.5 L of artificial seawater. B) Control holding tank (50 L) with non-infected </w:t>
            </w:r>
            <w:r w:rsidR="00C31E47" w:rsidRPr="009819CE">
              <w:rPr>
                <w:rFonts w:cstheme="minorBidi"/>
                <w:i/>
                <w:iCs/>
                <w:sz w:val="22"/>
                <w:szCs w:val="18"/>
                <w:lang w:val="en-GB"/>
              </w:rPr>
              <w:t>Nephrops</w:t>
            </w:r>
            <w:r w:rsidRPr="009819CE">
              <w:rPr>
                <w:rFonts w:cstheme="minorBidi"/>
                <w:sz w:val="22"/>
                <w:szCs w:val="18"/>
                <w:lang w:val="en-GB"/>
              </w:rPr>
              <w:t>.</w:t>
            </w:r>
            <w:bookmarkEnd w:id="314"/>
          </w:p>
        </w:tc>
      </w:tr>
    </w:tbl>
    <w:p w14:paraId="302D71BC" w14:textId="4496CEBE" w:rsidR="00E70CA1" w:rsidRPr="009819CE" w:rsidRDefault="00E70CA1" w:rsidP="006A0363">
      <w:pPr>
        <w:rPr>
          <w:rFonts w:cstheme="minorBidi"/>
        </w:rPr>
      </w:pPr>
    </w:p>
    <w:p w14:paraId="148CDE3F" w14:textId="77777777" w:rsidR="006A0363" w:rsidRPr="009819CE" w:rsidRDefault="006A0363" w:rsidP="00B3468E">
      <w:pPr>
        <w:pStyle w:val="Heading3"/>
        <w:rPr>
          <w:rFonts w:cstheme="minorBidi"/>
        </w:rPr>
      </w:pPr>
      <w:bookmarkStart w:id="315" w:name="_Toc204106664"/>
      <w:r w:rsidRPr="009819CE">
        <w:rPr>
          <w:rFonts w:cstheme="minorBidi"/>
        </w:rPr>
        <w:t>Collection of spores and hepatopancreas</w:t>
      </w:r>
      <w:bookmarkEnd w:id="315"/>
    </w:p>
    <w:p w14:paraId="7B36DF7D" w14:textId="2ABA1679" w:rsidR="006A0363" w:rsidRPr="009819CE" w:rsidRDefault="006A0363" w:rsidP="006A0363">
      <w:pPr>
        <w:rPr>
          <w:rFonts w:cstheme="minorBidi"/>
          <w:b/>
        </w:rPr>
      </w:pPr>
      <w:r w:rsidRPr="009819CE">
        <w:rPr>
          <w:rFonts w:cstheme="minorBidi"/>
        </w:rPr>
        <w:t>During sporulation events, live spores were released, causing the water to become white-cloudy. To ensure the complete evacuation of spores from the host, the animals were transferred to clean tanks every hour and monitored for approximately four hours for any additional spore release. The spore collection method described by Beevers (2010) was followed with some modifications. Spores were collected by sub-aliquoting the artificial seawater containing spores into 50 mL falcon tubes, which were then washed three times with artificial seawater by spinning at 400 x g for 5 min at 4°C. Washed spores were resuspended in 1 ml of artificial seawater and stored at -80°C for further analysis. Animals that sporulated usually died (n=3) within hours, while those that survived sporulation (n=1) were euthani</w:t>
      </w:r>
      <w:r w:rsidR="00E259AE">
        <w:rPr>
          <w:rFonts w:cstheme="minorBidi"/>
        </w:rPr>
        <w:t>s</w:t>
      </w:r>
      <w:r w:rsidRPr="009819CE">
        <w:rPr>
          <w:rFonts w:cstheme="minorBidi"/>
        </w:rPr>
        <w:t>ed after 24 h.</w:t>
      </w:r>
    </w:p>
    <w:p w14:paraId="0328BEFE" w14:textId="77777777" w:rsidR="006A0363" w:rsidRPr="009819CE" w:rsidRDefault="006A0363" w:rsidP="00B3468E">
      <w:pPr>
        <w:pStyle w:val="Heading3"/>
        <w:rPr>
          <w:rFonts w:cstheme="minorBidi"/>
        </w:rPr>
      </w:pPr>
      <w:bookmarkStart w:id="316" w:name="_Toc204106665"/>
      <w:r w:rsidRPr="009819CE">
        <w:rPr>
          <w:rFonts w:cstheme="minorBidi"/>
        </w:rPr>
        <w:t>Hepatosomatic index</w:t>
      </w:r>
      <w:bookmarkEnd w:id="316"/>
    </w:p>
    <w:p w14:paraId="66DBA7B2" w14:textId="77777777" w:rsidR="00C7113F" w:rsidRPr="009819CE" w:rsidRDefault="006A0363" w:rsidP="006A0363">
      <w:pPr>
        <w:rPr>
          <w:rFonts w:cstheme="minorBidi"/>
        </w:rPr>
      </w:pPr>
      <w:r w:rsidRPr="009819CE">
        <w:rPr>
          <w:rFonts w:cstheme="minorBidi"/>
        </w:rPr>
        <w:t>Hepatosomatic index was measured from BCM-negative individuals (n=3), BCM-positive individuals (n=26), and sporulated individuals (n=4). Among the individuals classified as BCM-negative, only two were identified as negative or stage 0 by the PM method, while the remaining individual exhibited a stage 1 PM infection. Within the BCM-positive group, the distribution was as follows: stage 1 (n=4), stage 2 (n=5), stage 3 (n=11), and stage 4 (n=9). Among sporulated animals, three individuals were categorized as stage 3, and one individual was classified as stage 4.</w:t>
      </w:r>
      <w:r w:rsidR="00C7113F" w:rsidRPr="009819CE">
        <w:rPr>
          <w:rFonts w:cstheme="minorBidi"/>
        </w:rPr>
        <w:t xml:space="preserve"> </w:t>
      </w:r>
    </w:p>
    <w:p w14:paraId="550F3099" w14:textId="74D33D18" w:rsidR="006A0363" w:rsidRPr="009819CE" w:rsidRDefault="00C7113F" w:rsidP="006A0363">
      <w:pPr>
        <w:rPr>
          <w:rFonts w:cstheme="minorBidi"/>
        </w:rPr>
      </w:pPr>
      <w:r w:rsidRPr="009819CE">
        <w:rPr>
          <w:rFonts w:cstheme="minorBidi"/>
        </w:rPr>
        <w:t>H</w:t>
      </w:r>
      <w:r w:rsidR="006A0363" w:rsidRPr="009819CE">
        <w:rPr>
          <w:rFonts w:cstheme="minorBidi"/>
        </w:rPr>
        <w:t>epatosomatic index (HSI) was calculated using the following formula:</w:t>
      </w:r>
    </w:p>
    <w:p w14:paraId="42C844AF" w14:textId="77777777" w:rsidR="006A0363" w:rsidRPr="009819CE" w:rsidRDefault="006A0363" w:rsidP="006A0363">
      <w:pPr>
        <w:rPr>
          <w:rFonts w:cstheme="minorBidi"/>
        </w:rPr>
      </w:pPr>
      <m:oMathPara>
        <m:oMath>
          <m:r>
            <m:rPr>
              <m:sty m:val="p"/>
            </m:rPr>
            <w:rPr>
              <w:rFonts w:ascii="Cambria Math" w:hAnsi="Cambria Math" w:cstheme="minorBidi"/>
            </w:rPr>
            <m:t>HSI</m:t>
          </m:r>
          <m:r>
            <w:rPr>
              <w:rFonts w:ascii="Cambria Math" w:hAnsi="Cambria Math" w:cstheme="minorBidi"/>
            </w:rPr>
            <m:t xml:space="preserve">= </m:t>
          </m:r>
          <m:f>
            <m:fPr>
              <m:ctrlPr>
                <w:rPr>
                  <w:rFonts w:ascii="Cambria Math" w:hAnsi="Cambria Math" w:cstheme="minorBidi"/>
                  <w:i/>
                </w:rPr>
              </m:ctrlPr>
            </m:fPr>
            <m:num>
              <m:r>
                <m:rPr>
                  <m:sty m:val="p"/>
                </m:rPr>
                <w:rPr>
                  <w:rFonts w:ascii="Cambria Math" w:hAnsi="Cambria Math" w:cstheme="minorBidi"/>
                  <w:shd w:val="clear" w:color="auto" w:fill="FFFFFF"/>
                </w:rPr>
                <m:t>Hepatopancreas wet weight(g)</m:t>
              </m:r>
            </m:num>
            <m:den>
              <m:r>
                <m:rPr>
                  <m:sty m:val="p"/>
                </m:rPr>
                <w:rPr>
                  <w:rFonts w:ascii="Cambria Math" w:hAnsi="Cambria Math" w:cstheme="minorBidi"/>
                  <w:shd w:val="clear" w:color="auto" w:fill="FFFFFF"/>
                </w:rPr>
                <m:t>Body wet weight(g)</m:t>
              </m:r>
            </m:den>
          </m:f>
          <m:r>
            <m:rPr>
              <m:sty m:val="p"/>
            </m:rPr>
            <w:rPr>
              <w:rFonts w:ascii="Cambria Math" w:hAnsi="Cambria Math" w:cstheme="minorBidi"/>
              <w:shd w:val="clear" w:color="auto" w:fill="FFFFFF"/>
            </w:rPr>
            <m:t>×100</m:t>
          </m:r>
        </m:oMath>
      </m:oMathPara>
    </w:p>
    <w:p w14:paraId="17FFC505" w14:textId="77777777" w:rsidR="006A0363" w:rsidRPr="009819CE" w:rsidRDefault="006A0363" w:rsidP="00B3468E">
      <w:pPr>
        <w:pStyle w:val="Heading3"/>
        <w:rPr>
          <w:rFonts w:cstheme="minorBidi"/>
        </w:rPr>
      </w:pPr>
      <w:bookmarkStart w:id="317" w:name="_Ref157963588"/>
      <w:bookmarkStart w:id="318" w:name="_Toc204106666"/>
      <w:r w:rsidRPr="009819CE">
        <w:rPr>
          <w:rFonts w:cstheme="minorBidi"/>
        </w:rPr>
        <w:t>Histopathology</w:t>
      </w:r>
      <w:bookmarkEnd w:id="317"/>
      <w:bookmarkEnd w:id="318"/>
    </w:p>
    <w:p w14:paraId="4A360351" w14:textId="77777777" w:rsidR="006A0363" w:rsidRPr="009819CE" w:rsidRDefault="006A0363" w:rsidP="006A0363">
      <w:pPr>
        <w:rPr>
          <w:rFonts w:cstheme="minorBidi"/>
        </w:rPr>
      </w:pPr>
      <w:r w:rsidRPr="009819CE">
        <w:rPr>
          <w:rFonts w:cstheme="minorBidi"/>
        </w:rPr>
        <w:t xml:space="preserve">The hepatopancreas from sporulated animals (n=4) was dissected, weighed, and subsequently stored at -80°C for future use. Similarly, portions of the hepatopancreas were sampled from two distinct groups: BCM-negative individuals (n=12) and BCM-positive individuals (non-sporulated) (n=28). Among the individuals classified as BCM-negative, only seven were identified as negative or stage 0 by the PM method, while the remaining individuals (n=5) exhibited a stage 1 PM infection. Within the BCM-positive group, the distribution was as follows: stage 1 (n=4), stage 2 (n=6), stage 3 (n=10), and stage 4 (n=8). Among sporulated animals, three individuals were categorized as stage 3, and one individual was classified as stage 4. </w:t>
      </w:r>
    </w:p>
    <w:p w14:paraId="152A249A" w14:textId="77777777" w:rsidR="006A0363" w:rsidRPr="009819CE" w:rsidRDefault="006A0363" w:rsidP="006A0363">
      <w:pPr>
        <w:rPr>
          <w:rFonts w:cstheme="minorBidi"/>
        </w:rPr>
      </w:pPr>
      <w:r w:rsidRPr="009819CE">
        <w:rPr>
          <w:rFonts w:cstheme="minorBidi"/>
        </w:rPr>
        <w:t>From the excised hepatopancreas, a small portion was taken and placed in Davidson's seawater fixative for 24 h, followed by transfer to 70% ethanol. All sample processing was conducted at CEFAS (Centre for Environment, Fisheries, and Aquaculture Science).</w:t>
      </w:r>
    </w:p>
    <w:p w14:paraId="0CCAEA2F" w14:textId="77777777" w:rsidR="006A0363" w:rsidRPr="009819CE" w:rsidRDefault="006A0363" w:rsidP="006A0363">
      <w:pPr>
        <w:rPr>
          <w:rFonts w:cstheme="minorBidi"/>
        </w:rPr>
      </w:pPr>
      <w:r w:rsidRPr="009819CE">
        <w:rPr>
          <w:rFonts w:cstheme="minorBidi"/>
        </w:rPr>
        <w:t>Subsequently, the sections obtained from the samples were stained with haematoxylin and eosin (H&amp;E). Standard light microscopy was employed to analyse the stained sections, and digital images were captured using the LuciaTM Screen Measurement System from Nikon.</w:t>
      </w:r>
    </w:p>
    <w:p w14:paraId="5F86D66D" w14:textId="77777777" w:rsidR="006A0363" w:rsidRPr="009819CE" w:rsidRDefault="006A0363" w:rsidP="00B3468E">
      <w:pPr>
        <w:pStyle w:val="Heading3"/>
        <w:rPr>
          <w:rFonts w:cstheme="minorBidi"/>
        </w:rPr>
      </w:pPr>
      <w:bookmarkStart w:id="319" w:name="_Toc204106667"/>
      <w:r w:rsidRPr="009819CE">
        <w:rPr>
          <w:rFonts w:cstheme="minorBidi"/>
        </w:rPr>
        <w:t>Electron microscopy</w:t>
      </w:r>
      <w:bookmarkEnd w:id="319"/>
    </w:p>
    <w:p w14:paraId="52DD0D21" w14:textId="516E5B9B" w:rsidR="006A0363" w:rsidRPr="009819CE" w:rsidRDefault="006A0363" w:rsidP="006A0363">
      <w:pPr>
        <w:rPr>
          <w:rFonts w:cstheme="minorBidi"/>
        </w:rPr>
      </w:pPr>
      <w:r w:rsidRPr="009819CE">
        <w:rPr>
          <w:rFonts w:cstheme="minorBidi"/>
        </w:rPr>
        <w:t xml:space="preserve">In the electron microscopy analysis, the hepatopancreas of individuals infected with </w:t>
      </w:r>
      <w:r w:rsidR="009D03F4" w:rsidRPr="009819CE">
        <w:rPr>
          <w:rFonts w:cstheme="minorBidi"/>
          <w:i/>
          <w:iCs/>
        </w:rPr>
        <w:t>Hematodinium</w:t>
      </w:r>
      <w:r w:rsidRPr="009819CE">
        <w:rPr>
          <w:rFonts w:cstheme="minorBidi"/>
          <w:i/>
          <w:iCs/>
        </w:rPr>
        <w:t xml:space="preserve"> </w:t>
      </w:r>
      <w:r w:rsidRPr="009819CE">
        <w:rPr>
          <w:rFonts w:cstheme="minorBidi"/>
        </w:rPr>
        <w:t>sp., identified as positive by both the BCM and PM methods (n=11), along with macrospores (n=2), obtained specifically from two individuals in stage 3 of PM infection</w:t>
      </w:r>
      <w:r w:rsidR="00E259AE">
        <w:rPr>
          <w:rFonts w:cstheme="minorBidi"/>
        </w:rPr>
        <w:t xml:space="preserve"> were scrutinised</w:t>
      </w:r>
      <w:r w:rsidRPr="009819CE">
        <w:rPr>
          <w:rFonts w:cstheme="minorBidi"/>
        </w:rPr>
        <w:t xml:space="preserve">. Among the BCM-positive samples, the </w:t>
      </w:r>
      <w:r w:rsidR="000B0894" w:rsidRPr="009819CE">
        <w:rPr>
          <w:rFonts w:cstheme="minorBidi"/>
        </w:rPr>
        <w:t>d</w:t>
      </w:r>
      <w:r w:rsidRPr="009819CE">
        <w:rPr>
          <w:rFonts w:cstheme="minorBidi"/>
        </w:rPr>
        <w:t>istribution across infection PM stages was as follows: stage 1 (n=2), stage 2 (n=4), stage 3 (n=3), and stage 4 (n=2).</w:t>
      </w:r>
    </w:p>
    <w:p w14:paraId="054D9CA9" w14:textId="02D327C6" w:rsidR="006A0363" w:rsidRPr="009819CE" w:rsidRDefault="006A0363" w:rsidP="006A0363">
      <w:pPr>
        <w:rPr>
          <w:rFonts w:cstheme="minorBidi"/>
        </w:rPr>
      </w:pPr>
      <w:r w:rsidRPr="009819CE">
        <w:rPr>
          <w:rFonts w:cstheme="minorBidi"/>
        </w:rPr>
        <w:t>The preservation of spores (n=2) and hepatopancreas tissue (n=11) followed the procedure outlined in</w:t>
      </w:r>
      <w:r w:rsidR="00D3089C" w:rsidRPr="009819CE">
        <w:rPr>
          <w:rFonts w:cstheme="minorBidi"/>
        </w:rPr>
        <w:t xml:space="preserve"> </w:t>
      </w:r>
      <w:hyperlink w:anchor="_ENREF_301" w:tooltip="Stentiford, 2003 #274" w:history="1">
        <w:r w:rsidR="00950097" w:rsidRPr="009819CE">
          <w:rPr>
            <w:rFonts w:cstheme="minorBidi"/>
          </w:rPr>
          <w:fldChar w:fldCharType="begin"/>
        </w:r>
        <w:r w:rsidR="00950097">
          <w:rPr>
            <w:rFonts w:cstheme="minorBidi"/>
          </w:rPr>
          <w:instrText xml:space="preserve"> ADDIN EN.CITE &lt;EndNote&gt;&lt;Cite AuthorYear="1"&gt;&lt;Author&gt;Stentiford&lt;/Author&gt;&lt;Year&gt;2003&lt;/Year&gt;&lt;RecNum&gt;274&lt;/RecNum&gt;&lt;DisplayText&gt;Stentiford et al. (2003)&lt;/DisplayText&gt;&lt;record&gt;&lt;rec-number&gt;274&lt;/rec-number&gt;&lt;foreign-keys&gt;&lt;key app="EN" db-id="sd9wrx9fj09rx3erprsx999o0r5aprvp2zse" timestamp="1687855901" guid="42a0dca3-ebf0-4965-b18d-f27f33e475d2"&gt;274&lt;/key&gt;&lt;/foreign-keys&gt;&lt;ref-type name="Journal Article"&gt;17&lt;/ref-type&gt;&lt;contributors&gt;&lt;authors&gt;&lt;author&gt;Stentiford, Grant D.&lt;/author&gt;&lt;author&gt;Evans, M.&lt;/author&gt;&lt;author&gt;Bateman, Kelly S.&lt;/author&gt;&lt;author&gt;Feist, Stephen W.&lt;/author&gt;&lt;/authors&gt;&lt;/contributors&gt;&lt;titles&gt;&lt;title&gt;&lt;style face="normal" font="default" size="100%"&gt;Co-infection by a yeast-like organism in hematodinium-infected European edible crabs &lt;/style&gt;&lt;style face="italic" font="default" size="100%"&gt;Cancer pagurus &lt;/style&gt;&lt;style face="normal" font="default" size="100%"&gt;and velvet swimming crabs &lt;/style&gt;&lt;style face="italic" font="default" size="100%"&gt;Necora puber&lt;/style&gt;&lt;style face="normal" font="default" size="100%"&gt; from the English channel&lt;/style&gt;&lt;/title&gt;&lt;secondary-title&gt;Diseases of Aquatic Organisms&lt;/secondary-title&gt;&lt;/titles&gt;&lt;periodical&gt;&lt;full-title&gt;Diseases of Aquatic Organisms&lt;/full-title&gt;&lt;/periodical&gt;&lt;pages&gt;195-202&lt;/pages&gt;&lt;volume&gt;54&lt;/volume&gt;&lt;number&gt;3&lt;/number&gt;&lt;keywords&gt;&lt;keyword&gt;Cancer pagurus&lt;/keyword&gt;&lt;keyword&gt;Haemocytes&lt;/keyword&gt;&lt;keyword&gt;Hematodinium&lt;/keyword&gt;&lt;keyword&gt;Immunosuppression&lt;/keyword&gt;&lt;keyword&gt;Necora puber&lt;/keyword&gt;&lt;keyword&gt;Secondary infection&lt;/keyword&gt;&lt;keyword&gt;Yeast&lt;/keyword&gt;&lt;/keywords&gt;&lt;dates&gt;&lt;year&gt;2003&lt;/year&gt;&lt;/dates&gt;&lt;urls&gt;&lt;related-urls&gt;&lt;url&gt;http://www.int-res.com/abstracts/dao/v54/n3/p195-202/&lt;/url&gt;&lt;url&gt;https://www.int-res.com/articles/dao2003/54/d054p195.pdf&lt;/url&gt;&lt;/related-urls&gt;&lt;/urls&gt;&lt;electronic-resource-num&gt;10.3354/dao054195&lt;/electronic-resource-num&gt;&lt;/record&gt;&lt;/Cite&gt;&lt;/EndNote&gt;</w:instrText>
        </w:r>
        <w:r w:rsidR="00950097" w:rsidRPr="009819CE">
          <w:rPr>
            <w:rFonts w:cstheme="minorBidi"/>
          </w:rPr>
          <w:fldChar w:fldCharType="separate"/>
        </w:r>
        <w:r w:rsidR="00950097" w:rsidRPr="00EE7FB9">
          <w:rPr>
            <w:rFonts w:cstheme="minorBidi"/>
            <w:noProof/>
          </w:rPr>
          <w:t>Stentiford et al. (2003)</w:t>
        </w:r>
        <w:r w:rsidR="00950097" w:rsidRPr="009819CE">
          <w:rPr>
            <w:rFonts w:cstheme="minorBidi"/>
          </w:rPr>
          <w:fldChar w:fldCharType="end"/>
        </w:r>
      </w:hyperlink>
      <w:r w:rsidR="00D3089C" w:rsidRPr="009819CE">
        <w:rPr>
          <w:rFonts w:cstheme="minorBidi"/>
        </w:rPr>
        <w:t>.</w:t>
      </w:r>
      <w:sdt>
        <w:sdtPr>
          <w:rPr>
            <w:rFonts w:cstheme="minorBidi"/>
            <w:color w:val="000000"/>
            <w:shd w:val="clear" w:color="auto" w:fill="FFFFFF"/>
          </w:rPr>
          <w:tag w:val="MENDELEY_CITATION_v3_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"/>
          <w:id w:val="-659538499"/>
          <w:placeholder>
            <w:docPart w:val="E0104E32769F4824BA7ACD5F1D05C17A"/>
          </w:placeholder>
          <w:showingPlcHdr/>
        </w:sdtPr>
        <w:sdtEndPr/>
        <w:sdtContent>
          <w:r w:rsidR="007E6468" w:rsidRPr="005A2CC0">
            <w:rPr>
              <w:rStyle w:val="PlaceholderText"/>
            </w:rPr>
            <w:t>Click or tap here to enter text.</w:t>
          </w:r>
        </w:sdtContent>
      </w:sdt>
      <w:r w:rsidRPr="009819CE">
        <w:rPr>
          <w:rFonts w:cstheme="minorBidi"/>
          <w:shd w:val="clear" w:color="auto" w:fill="FFFFFF"/>
        </w:rPr>
        <w:t>.</w:t>
      </w:r>
      <w:r w:rsidRPr="009819CE">
        <w:rPr>
          <w:rFonts w:cstheme="minorBidi"/>
        </w:rPr>
        <w:t xml:space="preserve"> Small tissue blocks measuring 2</w:t>
      </w:r>
      <w:r w:rsidR="00AF6BA8" w:rsidRPr="009819CE">
        <w:rPr>
          <w:rFonts w:cstheme="minorBidi"/>
        </w:rPr>
        <w:t xml:space="preserve"> </w:t>
      </w:r>
      <w:r w:rsidRPr="009819CE">
        <w:rPr>
          <w:rFonts w:cstheme="minorBidi"/>
        </w:rPr>
        <w:t>mm</w:t>
      </w:r>
      <w:r w:rsidRPr="009819CE">
        <w:rPr>
          <w:rFonts w:cstheme="minorBidi"/>
          <w:vertAlign w:val="superscript"/>
        </w:rPr>
        <w:t>3</w:t>
      </w:r>
      <w:r w:rsidRPr="009819CE">
        <w:rPr>
          <w:rFonts w:cstheme="minorBidi"/>
        </w:rPr>
        <w:t xml:space="preserve"> were fixed in a solution containing 2.5% glutaraldehyde, 0.1 M sodium cacodylate buffer (pH 7.4), and 1.75% sodium chloride at room temperature</w:t>
      </w:r>
      <w:r w:rsidR="00237B91" w:rsidRPr="009819CE">
        <w:rPr>
          <w:rFonts w:cstheme="minorBidi"/>
        </w:rPr>
        <w:t xml:space="preserve"> (RT)</w:t>
      </w:r>
      <w:r w:rsidRPr="009819CE">
        <w:rPr>
          <w:rFonts w:cstheme="minorBidi"/>
        </w:rPr>
        <w:t xml:space="preserve"> for 2 h. After fixation, the tissue samples were rinsed in a buffer solution of 0.1 M sodium cacodylate with 1.75% sodium chloride (pH 7.4) and then post-fixed for 1 h at 4°C in a mixture of 1% osmium tetroxide and 1.75% potassium ferrocyanide in 0.1 M sodium cacodylate buffer. Tissue samples were subsequently washed in three changes of 0.1 M sodium cacodylate buffer </w:t>
      </w:r>
      <w:r w:rsidR="00D3089C" w:rsidRPr="00FA7D47">
        <w:rPr>
          <w:rFonts w:cstheme="minorBidi"/>
        </w:rPr>
        <w:t xml:space="preserve">(pH 7.4) </w:t>
      </w:r>
      <w:r w:rsidRPr="009819CE">
        <w:rPr>
          <w:rFonts w:cstheme="minorBidi"/>
        </w:rPr>
        <w:t xml:space="preserve">and stained with 0.5% aqueous uranyl acetate for 1 h. To prepare for embedding, samples underwent dehydration using a graded series of acetone and were embedded in epoxy resin 812 (Agar Scientific-pre-mix kit 812). Thick sections were stained with </w:t>
      </w:r>
      <w:r w:rsidR="00D3089C" w:rsidRPr="00FA7D47">
        <w:rPr>
          <w:rFonts w:cstheme="minorBidi"/>
        </w:rPr>
        <w:t>t</w:t>
      </w:r>
      <w:r w:rsidRPr="009819CE">
        <w:rPr>
          <w:rFonts w:cstheme="minorBidi"/>
        </w:rPr>
        <w:t xml:space="preserve">oluidine </w:t>
      </w:r>
      <w:r w:rsidR="00D3089C" w:rsidRPr="00FA7D47">
        <w:rPr>
          <w:rFonts w:cstheme="minorBidi"/>
        </w:rPr>
        <w:t>b</w:t>
      </w:r>
      <w:r w:rsidRPr="009819CE">
        <w:rPr>
          <w:rFonts w:cstheme="minorBidi"/>
        </w:rPr>
        <w:t>lue to facilitate identification of suitable target areas when viewed under a light microscope. Ultrathin sections measuring 70 to 90 nm, obtained from these selected areas, were mounted on uncoated copper grids and stained with uranyl acetate and Reynolds' lead citrate. The sections were then examined using a JEOL 1210 transmission electron microscope.</w:t>
      </w:r>
    </w:p>
    <w:p w14:paraId="0D7FA191" w14:textId="7E2A493E" w:rsidR="006A0363" w:rsidRPr="009819CE" w:rsidRDefault="006A0363" w:rsidP="00B3468E">
      <w:pPr>
        <w:pStyle w:val="Heading3"/>
        <w:rPr>
          <w:rFonts w:cstheme="minorBidi"/>
        </w:rPr>
      </w:pPr>
      <w:bookmarkStart w:id="320" w:name="_Toc204106668"/>
      <w:r w:rsidRPr="009819CE">
        <w:rPr>
          <w:rFonts w:cstheme="minorBidi"/>
        </w:rPr>
        <w:t xml:space="preserve">Water </w:t>
      </w:r>
      <w:r w:rsidR="00C2771C" w:rsidRPr="00FA7D47">
        <w:rPr>
          <w:rFonts w:cstheme="minorBidi"/>
        </w:rPr>
        <w:t>c</w:t>
      </w:r>
      <w:r w:rsidRPr="009819CE">
        <w:rPr>
          <w:rFonts w:cstheme="minorBidi"/>
        </w:rPr>
        <w:t>ontent</w:t>
      </w:r>
      <w:bookmarkEnd w:id="320"/>
    </w:p>
    <w:p w14:paraId="7465E48E" w14:textId="03E5436D" w:rsidR="006A0363" w:rsidRPr="009819CE" w:rsidRDefault="006A0363" w:rsidP="006A0363">
      <w:pPr>
        <w:rPr>
          <w:rFonts w:cstheme="minorBidi"/>
        </w:rPr>
      </w:pPr>
      <w:r w:rsidRPr="009819CE">
        <w:rPr>
          <w:rFonts w:cstheme="minorBidi"/>
        </w:rPr>
        <w:t xml:space="preserve">Subsamples of both the spores (n=4) and hepatopancreas (n=43) were subjected to freeze-drying </w:t>
      </w:r>
      <w:r w:rsidR="0033634D" w:rsidRPr="0033634D">
        <w:t>using a</w:t>
      </w:r>
      <w:r w:rsidR="0033634D" w:rsidRPr="0033634D">
        <w:rPr>
          <w:b/>
          <w:bCs/>
        </w:rPr>
        <w:t xml:space="preserve"> </w:t>
      </w:r>
      <w:r w:rsidR="0033634D">
        <w:t xml:space="preserve">lyophiliser </w:t>
      </w:r>
      <w:r w:rsidRPr="0033634D">
        <w:rPr>
          <w:rFonts w:cstheme="minorBidi"/>
          <w:b/>
          <w:bCs/>
        </w:rPr>
        <w:t>(</w:t>
      </w:r>
      <w:r w:rsidRPr="009819CE">
        <w:rPr>
          <w:rFonts w:cstheme="minorBidi"/>
        </w:rPr>
        <w:t>Alpha 1-4 LSCbasic - Martin Christ</w:t>
      </w:r>
      <w:r w:rsidR="00D91A5F">
        <w:rPr>
          <w:rFonts w:cstheme="minorBidi"/>
        </w:rPr>
        <w:t>, Germany</w:t>
      </w:r>
      <w:r w:rsidRPr="009819CE">
        <w:rPr>
          <w:rFonts w:cstheme="minorBidi"/>
        </w:rPr>
        <w:t xml:space="preserve">) for a minimum of 24 h. Dry matter content was determined by calculating the difference between the initial wet weight of the samples and their weight after freeze-drying. </w:t>
      </w:r>
      <w:bookmarkStart w:id="321" w:name="_Ref137914447"/>
    </w:p>
    <w:p w14:paraId="03FE1439" w14:textId="5002D62B" w:rsidR="006A0363" w:rsidRPr="009819CE" w:rsidRDefault="006A0363" w:rsidP="00B3468E">
      <w:pPr>
        <w:pStyle w:val="Heading3"/>
        <w:rPr>
          <w:rFonts w:cstheme="minorBidi"/>
        </w:rPr>
      </w:pPr>
      <w:bookmarkStart w:id="322" w:name="_Toc204106669"/>
      <w:r w:rsidRPr="009819CE">
        <w:rPr>
          <w:rFonts w:cstheme="minorBidi"/>
        </w:rPr>
        <w:t xml:space="preserve">Total </w:t>
      </w:r>
      <w:r w:rsidR="00C2771C" w:rsidRPr="00FA7D47">
        <w:rPr>
          <w:rFonts w:cstheme="minorBidi"/>
        </w:rPr>
        <w:t>l</w:t>
      </w:r>
      <w:r w:rsidRPr="009819CE">
        <w:rPr>
          <w:rFonts w:cstheme="minorBidi"/>
        </w:rPr>
        <w:t xml:space="preserve">ipid </w:t>
      </w:r>
      <w:r w:rsidR="00C2771C" w:rsidRPr="00FA7D47">
        <w:rPr>
          <w:rFonts w:cstheme="minorBidi"/>
        </w:rPr>
        <w:t>e</w:t>
      </w:r>
      <w:r w:rsidRPr="009819CE">
        <w:rPr>
          <w:rFonts w:cstheme="minorBidi"/>
        </w:rPr>
        <w:t xml:space="preserve">xtraction and </w:t>
      </w:r>
      <w:r w:rsidR="00C2771C" w:rsidRPr="00FA7D47">
        <w:rPr>
          <w:rFonts w:cstheme="minorBidi"/>
        </w:rPr>
        <w:t>l</w:t>
      </w:r>
      <w:r w:rsidRPr="009819CE">
        <w:rPr>
          <w:rFonts w:cstheme="minorBidi"/>
        </w:rPr>
        <w:t xml:space="preserve">ipid </w:t>
      </w:r>
      <w:r w:rsidR="00C2771C" w:rsidRPr="00FA7D47">
        <w:rPr>
          <w:rFonts w:cstheme="minorBidi"/>
        </w:rPr>
        <w:t>c</w:t>
      </w:r>
      <w:r w:rsidRPr="009819CE">
        <w:rPr>
          <w:rFonts w:cstheme="minorBidi"/>
        </w:rPr>
        <w:t xml:space="preserve">lass </w:t>
      </w:r>
      <w:r w:rsidR="00C2771C" w:rsidRPr="00FA7D47">
        <w:rPr>
          <w:rFonts w:cstheme="minorBidi"/>
        </w:rPr>
        <w:t>a</w:t>
      </w:r>
      <w:r w:rsidRPr="009819CE">
        <w:rPr>
          <w:rFonts w:cstheme="minorBidi"/>
        </w:rPr>
        <w:t>nalysis</w:t>
      </w:r>
      <w:bookmarkEnd w:id="321"/>
      <w:bookmarkEnd w:id="322"/>
    </w:p>
    <w:p w14:paraId="455A9344" w14:textId="7643FF91" w:rsidR="006A0363" w:rsidRPr="009819CE" w:rsidRDefault="006A0363" w:rsidP="006A0363">
      <w:pPr>
        <w:rPr>
          <w:rFonts w:cstheme="minorBidi"/>
        </w:rPr>
      </w:pPr>
      <w:r w:rsidRPr="009819CE">
        <w:rPr>
          <w:rFonts w:cstheme="minorBidi"/>
        </w:rPr>
        <w:t xml:space="preserve">All chemicals were obtained from Fisher Scientific, Loughborough, United Kingdom unless otherwise indicated. A Folch extraction method was used to extract total lipids from </w:t>
      </w:r>
      <w:r w:rsidR="00C31E47" w:rsidRPr="009819CE">
        <w:rPr>
          <w:rFonts w:cstheme="minorBidi"/>
          <w:i/>
          <w:iCs/>
        </w:rPr>
        <w:t>Nephrops</w:t>
      </w:r>
      <w:r w:rsidRPr="009819CE">
        <w:rPr>
          <w:rFonts w:cstheme="minorBidi"/>
          <w:i/>
          <w:iCs/>
        </w:rPr>
        <w:t xml:space="preserve"> </w:t>
      </w:r>
      <w:r w:rsidRPr="009819CE">
        <w:rPr>
          <w:rFonts w:cstheme="minorBidi"/>
        </w:rPr>
        <w:t xml:space="preserve">hepatopancreas (n=43)  and </w:t>
      </w:r>
      <w:r w:rsidR="009D03F4" w:rsidRPr="009819CE">
        <w:rPr>
          <w:rFonts w:cstheme="minorBidi"/>
          <w:i/>
          <w:iCs/>
        </w:rPr>
        <w:t>Hematodinium</w:t>
      </w:r>
      <w:r w:rsidRPr="009819CE">
        <w:rPr>
          <w:rFonts w:cstheme="minorBidi"/>
        </w:rPr>
        <w:t xml:space="preserve"> sp. spores (n=4)  </w:t>
      </w:r>
      <w:r w:rsidRPr="009819CE">
        <w:rPr>
          <w:rFonts w:cstheme="minorBidi"/>
        </w:rPr>
        <w:fldChar w:fldCharType="begin"/>
      </w:r>
      <w:r w:rsidR="00D50EFF" w:rsidRPr="009819CE">
        <w:rPr>
          <w:rFonts w:cstheme="minorBidi"/>
        </w:rPr>
        <w:instrText xml:space="preserve"> ADDIN EN.CITE &lt;EndNote&gt;&lt;Cite&gt;&lt;Author&gt;Folch&lt;/Author&gt;&lt;Year&gt;1957&lt;/Year&gt;&lt;RecNum&gt;819&lt;/RecNum&gt;&lt;DisplayText&gt;(Folch et al., 1957)&lt;/DisplayText&gt;&lt;record&gt;&lt;rec-number&gt;819&lt;/rec-number&gt;&lt;foreign-keys&gt;&lt;key app="EN" db-id="sd9wrx9fj09rx3erprsx999o0r5aprvp2zse" timestamp="1687855901" guid="cf63e492-0249-486d-af80-46bf6a0f432c"&gt;819&lt;/key&gt;&lt;/foreign-keys&gt;&lt;ref-type name="Journal Article"&gt;17&lt;/ref-type&gt;&lt;contributors&gt;&lt;authors&gt;&lt;author&gt;Folch, Jordi&lt;/author&gt;&lt;author&gt;Lees, M.&lt;/author&gt;&lt;author&gt;Stanley, G. H. Sloane&lt;/author&gt;&lt;/authors&gt;&lt;/contributors&gt;&lt;titles&gt;&lt;title&gt;A simple method for the isolation and purification of total lipides from animal tissues&lt;/title&gt;&lt;secondary-title&gt;Journal of Biological Chemistry&lt;/secondary-title&gt;&lt;/titles&gt;&lt;periodical&gt;&lt;full-title&gt;Journal of Biological Chemistry&lt;/full-title&gt;&lt;/periodical&gt;&lt;pages&gt;497-509&lt;/pages&gt;&lt;volume&gt;226&lt;/volume&gt;&lt;number&gt;1&lt;/number&gt;&lt;dates&gt;&lt;year&gt;1957&lt;/year&gt;&lt;pub-dates&gt;&lt;date&gt;1957/5//&lt;/date&gt;&lt;/pub-dates&gt;&lt;/dates&gt;&lt;publisher&gt;Elsevier&lt;/publisher&gt;&lt;urls&gt;&lt;related-urls&gt;&lt;url&gt;https://linkinghub.elsevier.com/retrieve/pii/S0021925818648495&lt;/url&gt;&lt;/related-urls&gt;&lt;/urls&gt;&lt;electronic-resource-num&gt;10.1016/S0021-9258(18)64849-5&lt;/electronic-resource-num&gt;&lt;/record&gt;&lt;/Cite&gt;&lt;/EndNote&gt;</w:instrText>
      </w:r>
      <w:r w:rsidRPr="009819CE">
        <w:rPr>
          <w:rFonts w:cstheme="minorBidi"/>
        </w:rPr>
        <w:fldChar w:fldCharType="separate"/>
      </w:r>
      <w:r w:rsidR="00D50EFF" w:rsidRPr="009819CE">
        <w:rPr>
          <w:rFonts w:cstheme="minorBidi"/>
        </w:rPr>
        <w:t>(</w:t>
      </w:r>
      <w:hyperlink w:anchor="_ENREF_98" w:tooltip="Folch, 1957 #819" w:history="1">
        <w:r w:rsidR="00950097" w:rsidRPr="009819CE">
          <w:rPr>
            <w:rFonts w:cstheme="minorBidi"/>
          </w:rPr>
          <w:t>Folch et al., 1957</w:t>
        </w:r>
      </w:hyperlink>
      <w:r w:rsidR="00D50EFF" w:rsidRPr="009819CE">
        <w:rPr>
          <w:rFonts w:cstheme="minorBidi"/>
        </w:rPr>
        <w:t>)</w:t>
      </w:r>
      <w:r w:rsidRPr="009819CE">
        <w:rPr>
          <w:rFonts w:cstheme="minorBidi"/>
        </w:rPr>
        <w:fldChar w:fldCharType="end"/>
      </w:r>
      <w:r w:rsidRPr="009819CE">
        <w:rPr>
          <w:rFonts w:cstheme="minorBidi"/>
        </w:rPr>
        <w:t xml:space="preserve">. Extracted lipids were then resuspended in </w:t>
      </w:r>
      <w:r w:rsidRPr="009819CE">
        <w:rPr>
          <w:rStyle w:val="issue-underline"/>
          <w:rFonts w:cstheme="minorBidi"/>
        </w:rPr>
        <w:t>chloroform:</w:t>
      </w:r>
      <w:r w:rsidRPr="009819CE">
        <w:rPr>
          <w:rFonts w:cstheme="minorBidi"/>
        </w:rPr>
        <w:t xml:space="preserve"> methanol (2:1,v/v) with butylated hydroxytoluene (BHT) </w:t>
      </w:r>
      <w:r w:rsidRPr="009819CE">
        <w:rPr>
          <w:rStyle w:val="issue-underline"/>
          <w:rFonts w:cstheme="minorBidi"/>
        </w:rPr>
        <w:t>(Sigma-Aldrich,Dorset,</w:t>
      </w:r>
      <w:r w:rsidRPr="009819CE">
        <w:rPr>
          <w:rFonts w:cstheme="minorBidi"/>
        </w:rPr>
        <w:t xml:space="preserve"> UK) (0.01%,w/v) to a final concentration of 10 mg/mL and frozen at −25°C until further use. The lipid classes were separated for analytical purposes. Total lipids were loaded onto 20cm × 20cm thin-layer chromatography plates (Merck, Darmstadt, Germany) and eluted with a solvent mixture composed of isohexane: diethyl ether: glacial acetic acid (80:20:1,v/v/v). Following visualizing with 2.7 dichlorofluoresce, total neutral lipids and total polar lipids were recovered by eluting the scraped off silica with chloroform: methanol (2:1,v/v) until further use for fatty acid analysis.</w:t>
      </w:r>
    </w:p>
    <w:p w14:paraId="3ED07943" w14:textId="6DCF1554" w:rsidR="006A0363" w:rsidRPr="009819CE" w:rsidRDefault="006A0363" w:rsidP="006A0363">
      <w:pPr>
        <w:rPr>
          <w:rFonts w:cstheme="minorBidi"/>
        </w:rPr>
      </w:pPr>
      <w:r w:rsidRPr="009819CE">
        <w:rPr>
          <w:rFonts w:cstheme="minorBidi"/>
        </w:rPr>
        <w:t xml:space="preserve">The lipid classes in total lipid samples were determined using a high-performance thin-layer chromatography (HPTLC) technique </w:t>
      </w:r>
      <w:r w:rsidRPr="009819CE">
        <w:rPr>
          <w:rFonts w:cstheme="minorBidi"/>
        </w:rPr>
        <w:fldChar w:fldCharType="begin"/>
      </w:r>
      <w:r w:rsidR="00DD2778" w:rsidRPr="009819CE">
        <w:rPr>
          <w:rFonts w:cstheme="minorBidi"/>
        </w:rPr>
        <w:instrText xml:space="preserve"> ADDIN EN.CITE &lt;EndNote&gt;&lt;Cite&gt;&lt;Author&gt;Tocher&lt;/Author&gt;&lt;Year&gt;1988&lt;/Year&gt;&lt;RecNum&gt;1262&lt;/RecNum&gt;&lt;DisplayText&gt;(Tocher and Harvie, 1988)&lt;/DisplayText&gt;&lt;record&gt;&lt;rec-number&gt;1262&lt;/rec-number&gt;&lt;foreign-keys&gt;&lt;key app="EN" db-id="sd9wrx9fj09rx3erprsx999o0r5aprvp2zse" timestamp="1687855902" guid="3095a24d-2b47-4407-9d01-35c2446531d3"&gt;1262&lt;/key&gt;&lt;/foreign-keys&gt;&lt;ref-type name="Journal Article"&gt;17&lt;/ref-type&gt;&lt;contributors&gt;&lt;authors&gt;&lt;author&gt;Tocher, Douglas R.&lt;/author&gt;&lt;author&gt;Harvie, Douglas G.&lt;/author&gt;&lt;/authors&gt;&lt;/contributors&gt;&lt;titles&gt;&lt;title&gt;&lt;style face="normal" font="default" size="100%"&gt;Fatty acid compositions of the major phosphoglycerides from fish neural tissues; (n-3) and (n-6) polyunsaturated fatty acids in rainbow trout (&lt;/style&gt;&lt;style face="italic" font="default" size="100%"&gt;Salmo gairdneri&lt;/style&gt;&lt;style face="normal" font="default" size="100%"&gt;) and cod (&lt;/style&gt;&lt;style face="italic" font="default" size="100%"&gt;Gadus morhua&lt;/style&gt;&lt;style face="normal" font="default" size="100%"&gt;) brains and retinas&lt;/style&gt;&lt;/title&gt;&lt;secondary-title&gt;Fish Physiology and Biochemistry&lt;/secondary-title&gt;&lt;/titles&gt;&lt;periodical&gt;&lt;full-title&gt;Fish Physiology and Biochemistry&lt;/full-title&gt;&lt;/periodical&gt;&lt;pages&gt;229-239&lt;/pages&gt;&lt;volume&gt;5&lt;/volume&gt;&lt;number&gt;4&lt;/number&gt;&lt;keywords&gt;&lt;keyword&gt;brain&lt;/keyword&gt;&lt;keyword&gt;composition&lt;/keyword&gt;&lt;keyword&gt;fatty acids&lt;/keyword&gt;&lt;keyword&gt;fish&lt;/keyword&gt;&lt;keyword&gt;phospholipids&lt;/keyword&gt;&lt;keyword&gt;polyunsaturated&lt;/keyword&gt;&lt;keyword&gt;retina&lt;/keyword&gt;&lt;/keywords&gt;&lt;dates&gt;&lt;year&gt;1988&lt;/year&gt;&lt;pub-dates&gt;&lt;date&gt;1988/10//&lt;/date&gt;&lt;/pub-dates&gt;&lt;/dates&gt;&lt;publisher&gt;Kluwer Academic Publishers&lt;/publisher&gt;&lt;urls&gt;&lt;related-urls&gt;&lt;url&gt;https://link.springer.com/article/10.1007/BF01874800&lt;/url&gt;&lt;/related-urls&gt;&lt;/urls&gt;&lt;electronic-resource-num&gt;10.1007/BF01874800/METRICS&lt;/electronic-resource-num&gt;&lt;/record&gt;&lt;/Cite&gt;&lt;/EndNote&gt;</w:instrText>
      </w:r>
      <w:r w:rsidRPr="009819CE">
        <w:rPr>
          <w:rFonts w:cstheme="minorBidi"/>
        </w:rPr>
        <w:fldChar w:fldCharType="separate"/>
      </w:r>
      <w:r w:rsidR="00D50EFF" w:rsidRPr="007E6468">
        <w:rPr>
          <w:rFonts w:cstheme="minorBidi"/>
        </w:rPr>
        <w:t>(</w:t>
      </w:r>
      <w:hyperlink w:anchor="_ENREF_327" w:tooltip="Tocher, 1988 #1262" w:history="1">
        <w:r w:rsidR="00950097" w:rsidRPr="007E6468">
          <w:rPr>
            <w:rFonts w:cstheme="minorBidi"/>
          </w:rPr>
          <w:t>Tocher and Harvie, 1988</w:t>
        </w:r>
      </w:hyperlink>
      <w:r w:rsidR="00D50EFF" w:rsidRPr="007E6468">
        <w:rPr>
          <w:rFonts w:cstheme="minorBidi"/>
        </w:rPr>
        <w:t>)</w:t>
      </w:r>
      <w:r w:rsidRPr="009819CE">
        <w:rPr>
          <w:rFonts w:cstheme="minorBidi"/>
        </w:rPr>
        <w:fldChar w:fldCharType="end"/>
      </w:r>
      <w:r w:rsidRPr="009819CE">
        <w:rPr>
          <w:rFonts w:cstheme="minorBidi"/>
        </w:rPr>
        <w:t>. To visualize lipid classes, samples were charred for 15 min at 160°C after spraying them with 3% (w/v) aqueous cupric acetate containing 8% phosphoric acid, and then quantified them by densitometry using the CAMAG-3 TLC Scanner with winCATS Planar Chromatography Manager (Version Firmware 1.14.16; CAMAG, Muttenz, Switzerland).  The identity of individual classes was confirmed by comparing the reference (Rf) values of known standards with those of the samples.</w:t>
      </w:r>
    </w:p>
    <w:p w14:paraId="5EC8C5D9" w14:textId="26C30882" w:rsidR="006A0363" w:rsidRPr="009819CE" w:rsidRDefault="006A0363" w:rsidP="00B3468E">
      <w:pPr>
        <w:pStyle w:val="Heading3"/>
        <w:rPr>
          <w:rFonts w:cstheme="minorBidi"/>
        </w:rPr>
      </w:pPr>
      <w:bookmarkStart w:id="323" w:name="_Toc204106670"/>
      <w:r w:rsidRPr="009819CE">
        <w:rPr>
          <w:rFonts w:cstheme="minorBidi"/>
        </w:rPr>
        <w:t xml:space="preserve">Fatty Acid Analysis: FAME </w:t>
      </w:r>
      <w:r w:rsidR="00C2771C" w:rsidRPr="00FA7D47">
        <w:rPr>
          <w:rFonts w:cstheme="minorBidi"/>
        </w:rPr>
        <w:t>p</w:t>
      </w:r>
      <w:r w:rsidRPr="009819CE">
        <w:rPr>
          <w:rFonts w:cstheme="minorBidi"/>
        </w:rPr>
        <w:t xml:space="preserve">reparation and </w:t>
      </w:r>
      <w:r w:rsidR="00C2771C" w:rsidRPr="00FA7D47">
        <w:rPr>
          <w:rFonts w:cstheme="minorBidi"/>
        </w:rPr>
        <w:t>g</w:t>
      </w:r>
      <w:r w:rsidRPr="009819CE">
        <w:rPr>
          <w:rFonts w:cstheme="minorBidi"/>
        </w:rPr>
        <w:t xml:space="preserve">as </w:t>
      </w:r>
      <w:r w:rsidR="00C2771C" w:rsidRPr="00FA7D47">
        <w:rPr>
          <w:rFonts w:cstheme="minorBidi"/>
        </w:rPr>
        <w:t>c</w:t>
      </w:r>
      <w:r w:rsidRPr="009819CE">
        <w:rPr>
          <w:rFonts w:cstheme="minorBidi"/>
        </w:rPr>
        <w:t>hromatography</w:t>
      </w:r>
      <w:bookmarkEnd w:id="323"/>
    </w:p>
    <w:p w14:paraId="7D52F1D7" w14:textId="02215E6E" w:rsidR="00E0266B" w:rsidRPr="009819CE" w:rsidRDefault="006A0363" w:rsidP="006A0363">
      <w:pPr>
        <w:rPr>
          <w:rFonts w:cstheme="minorBidi"/>
        </w:rPr>
      </w:pPr>
      <w:r w:rsidRPr="009819CE">
        <w:rPr>
          <w:rFonts w:cstheme="minorBidi"/>
        </w:rPr>
        <w:t xml:space="preserve">Fatty acid methyl esters (FAMEs) from total lipid or total neutral and polar lipid fractions were prepared by acid-catalysed transesterification of total lipid as in </w:t>
      </w:r>
      <w:hyperlink w:anchor="_ENREF_51" w:tooltip="Christie, 2010 #820" w:history="1">
        <w:r w:rsidR="00950097" w:rsidRPr="009819CE">
          <w:rPr>
            <w:rFonts w:cstheme="minorBidi"/>
          </w:rPr>
          <w:fldChar w:fldCharType="begin"/>
        </w:r>
        <w:r w:rsidR="00950097">
          <w:rPr>
            <w:rFonts w:cstheme="minorBidi"/>
          </w:rPr>
          <w:instrText xml:space="preserve"> ADDIN EN.CITE &lt;EndNote&gt;&lt;Cite AuthorYear="1"&gt;&lt;Author&gt;Christie&lt;/Author&gt;&lt;Year&gt;2010&lt;/Year&gt;&lt;RecNum&gt;820&lt;/RecNum&gt;&lt;DisplayText&gt;Christie and Han (2010)&lt;/DisplayText&gt;&lt;record&gt;&lt;rec-number&gt;820&lt;/rec-number&gt;&lt;foreign-keys&gt;&lt;key app="EN" db-id="sd9wrx9fj09rx3erprsx999o0r5aprvp2zse" timestamp="1687855901" guid="62fbfb20-e0a4-46da-88fb-2799861d03fc"&gt;820&lt;/key&gt;&lt;/foreign-keys&gt;&lt;ref-type name="Book"&gt;6&lt;/ref-type&gt;&lt;contributors&gt;&lt;authors&gt;&lt;author&gt;Christie, William W.&lt;/author&gt;&lt;author&gt;Han, Xianlin&lt;/author&gt;&lt;/authors&gt;&lt;secondary-authors&gt;&lt;author&gt;William W. Christie, Xianlin Han&lt;/author&gt;&lt;/secondary-authors&gt;&lt;/contributors&gt;&lt;titles&gt;&lt;title&gt;Lipid analysis: isolation, separation, identification and lipidomic analysis: fourth edition&lt;/title&gt;&lt;secondary-title&gt;Lipid Analysis (Fourth Edition)&lt;/secondary-title&gt;&lt;/titles&gt;&lt;pages&gt;1-428&lt;/pages&gt;&lt;section&gt;393-415&lt;/section&gt;&lt;dates&gt;&lt;year&gt;2010&lt;/year&gt;&lt;/dates&gt;&lt;pub-location&gt;In Oily Press Lipid Library Series&lt;/pub-location&gt;&lt;publisher&gt;Woodhead Publishing&lt;/publisher&gt;&lt;isbn&gt;9780955251245&lt;/isbn&gt;&lt;urls&gt;&lt;/urls&gt;&lt;electronic-resource-num&gt;10.1533/9780857097866&lt;/electronic-resource-num&gt;&lt;/record&gt;&lt;/Cite&gt;&lt;/EndNote&gt;</w:instrText>
        </w:r>
        <w:r w:rsidR="00950097" w:rsidRPr="009819CE">
          <w:rPr>
            <w:rFonts w:cstheme="minorBidi"/>
          </w:rPr>
          <w:fldChar w:fldCharType="separate"/>
        </w:r>
        <w:r w:rsidR="00950097" w:rsidRPr="00871B4F">
          <w:rPr>
            <w:rFonts w:cstheme="minorBidi"/>
            <w:noProof/>
          </w:rPr>
          <w:t>Christie and Han (2010)</w:t>
        </w:r>
        <w:r w:rsidR="00950097" w:rsidRPr="009819CE">
          <w:rPr>
            <w:rFonts w:cstheme="minorBidi"/>
          </w:rPr>
          <w:fldChar w:fldCharType="end"/>
        </w:r>
      </w:hyperlink>
      <w:r w:rsidRPr="009819CE">
        <w:rPr>
          <w:rFonts w:cstheme="minorBidi"/>
          <w:color w:val="000000"/>
        </w:rPr>
        <w:t>.</w:t>
      </w:r>
      <w:r w:rsidRPr="009819CE">
        <w:rPr>
          <w:rFonts w:cstheme="minorBidi"/>
        </w:rPr>
        <w:t xml:space="preserve"> FAMEs were separated and quantified by a gas liquid chromatography (GLC) (Fisons GC-8160, Thermo Scientific, Milan, Italy) equipped with a 30 mm × 0.32 mm i.d. × 0.25 μm ZB-wax column (Phenomenex, Cheshire, UK), fitted with “on column” injection and flame ionisation detection. Hydrogen was used as the carrier gas, and the temperature programming was from 50 to 150°C increasing at 40°C·min</w:t>
      </w:r>
      <w:r w:rsidRPr="009819CE">
        <w:rPr>
          <w:rFonts w:cstheme="minorBidi"/>
          <w:vertAlign w:val="superscript"/>
        </w:rPr>
        <w:t>−1</w:t>
      </w:r>
      <w:r w:rsidRPr="009819CE">
        <w:rPr>
          <w:rFonts w:cstheme="minorBidi"/>
        </w:rPr>
        <w:t>, followed by a gradient of 2°C·min</w:t>
      </w:r>
      <w:r w:rsidRPr="009819CE">
        <w:rPr>
          <w:rFonts w:cstheme="minorBidi"/>
          <w:vertAlign w:val="superscript"/>
        </w:rPr>
        <w:t>−1</w:t>
      </w:r>
      <w:r w:rsidRPr="009819CE">
        <w:rPr>
          <w:rFonts w:cstheme="minorBidi"/>
        </w:rPr>
        <w:t xml:space="preserve"> to a final temperature of 230°C. Individual FAMEs were identified by comparison with known standards (Supelco 37 FAME mix, Sigma-Aldrich Ltd., Poole, UK). The data w</w:t>
      </w:r>
      <w:r w:rsidR="00C2771C" w:rsidRPr="00FA7D47">
        <w:rPr>
          <w:rFonts w:cstheme="minorBidi"/>
        </w:rPr>
        <w:t>ere</w:t>
      </w:r>
      <w:r w:rsidRPr="009819CE">
        <w:rPr>
          <w:rFonts w:cstheme="minorBidi"/>
        </w:rPr>
        <w:t xml:space="preserve"> collected and processed using Chromcard for Windows Version 1.19 (Thermoquest Italia S.p.A, Milan, Italy).</w:t>
      </w:r>
    </w:p>
    <w:p w14:paraId="6FC6952F" w14:textId="77777777" w:rsidR="006A0363" w:rsidRPr="009819CE" w:rsidRDefault="006A0363" w:rsidP="00B3468E">
      <w:pPr>
        <w:pStyle w:val="Heading3"/>
        <w:rPr>
          <w:rFonts w:cstheme="minorBidi"/>
        </w:rPr>
      </w:pPr>
      <w:bookmarkStart w:id="324" w:name="_Toc204106671"/>
      <w:r w:rsidRPr="009819CE">
        <w:rPr>
          <w:rFonts w:cstheme="minorBidi"/>
        </w:rPr>
        <w:t>Statistical analysis</w:t>
      </w:r>
      <w:bookmarkEnd w:id="324"/>
    </w:p>
    <w:p w14:paraId="3056120E" w14:textId="7185BD82" w:rsidR="006A0363" w:rsidRPr="009819CE" w:rsidRDefault="006A0363" w:rsidP="006A0363">
      <w:pPr>
        <w:rPr>
          <w:rFonts w:cstheme="minorBidi"/>
        </w:rPr>
      </w:pPr>
      <w:r w:rsidRPr="009819CE">
        <w:rPr>
          <w:rFonts w:cstheme="minorBidi"/>
        </w:rPr>
        <w:t xml:space="preserve">Statistical analysis was performed in RStudio Version 4.1.2.. Homogeneity of variance was tested using either Levene test (“leveneTest”) </w:t>
      </w:r>
      <w:r w:rsidRPr="009819CE">
        <w:rPr>
          <w:rFonts w:cstheme="minorBidi"/>
        </w:rPr>
        <w:fldChar w:fldCharType="begin"/>
      </w:r>
      <w:r w:rsidR="00D50EFF" w:rsidRPr="009819CE">
        <w:rPr>
          <w:rFonts w:cstheme="minorBidi"/>
        </w:rPr>
        <w:instrText xml:space="preserve"> ADDIN EN.CITE &lt;EndNote&gt;&lt;Cite&gt;&lt;Author&gt;Fox&lt;/Author&gt;&lt;Year&gt;2019&lt;/Year&gt;&lt;RecNum&gt;888&lt;/RecNum&gt;&lt;DisplayText&gt;(Fox and Weisberg, 2019)&lt;/DisplayText&gt;&lt;record&gt;&lt;rec-number&gt;888&lt;/rec-number&gt;&lt;foreign-keys&gt;&lt;key app="EN" db-id="sd9wrx9fj09rx3erprsx999o0r5aprvp2zse" timestamp="1687855901" guid="8d3ed228-aa05-4c39-8b13-e190c9785178"&gt;888&lt;/key&gt;&lt;/foreign-keys&gt;&lt;ref-type name="Book"&gt;6&lt;/ref-type&gt;&lt;contributors&gt;&lt;authors&gt;&lt;author&gt;Fox, John&lt;/author&gt;&lt;author&gt;Weisberg, Sanford&lt;/author&gt;&lt;/authors&gt;&lt;/contributors&gt;&lt;titles&gt;&lt;title&gt;An R Companion to Applied Regression - John Fox, Sanford Weisberg - Google Books&lt;/title&gt;&lt;/titles&gt;&lt;pages&gt;1-571&lt;/pages&gt;&lt;dates&gt;&lt;year&gt;2019&lt;/year&gt;&lt;/dates&gt;&lt;pub-location&gt;United States of America&lt;/pub-location&gt;&lt;isbn&gt;978-1-5443-3647-3&lt;/isbn&gt;&lt;urls&gt;&lt;related-urls&gt;&lt;url&gt;https://books.google.co.uk/books?hl=en&amp;amp;lr=&amp;amp;id=uPNrDwAAQBAJ&amp;amp;oi=fnd&amp;amp;pg=PP1&amp;amp;dq=Fox,+J.+and+Weisberg,+S.+(2019)+An+R+Companion+to+Applied+Regression,+Third+Edition,+Sage.&amp;amp;ots=MwK3dC1u98&amp;amp;sig=jxr5LZZzFBNLHhqASha_nEx6Qes#v=onepage&amp;amp;q&amp;amp;f=false&lt;/url&gt;&lt;/related-urls&gt;&lt;/urls&gt;&lt;/record&gt;&lt;/Cite&gt;&lt;/EndNote&gt;</w:instrText>
      </w:r>
      <w:r w:rsidRPr="009819CE">
        <w:rPr>
          <w:rFonts w:cstheme="minorBidi"/>
        </w:rPr>
        <w:fldChar w:fldCharType="separate"/>
      </w:r>
      <w:r w:rsidR="00D50EFF" w:rsidRPr="009819CE">
        <w:rPr>
          <w:rFonts w:cstheme="minorBidi"/>
        </w:rPr>
        <w:t>(</w:t>
      </w:r>
      <w:hyperlink w:anchor="_ENREF_99" w:tooltip="Fox, 2019 #888" w:history="1">
        <w:r w:rsidR="00950097" w:rsidRPr="009819CE">
          <w:rPr>
            <w:rFonts w:cstheme="minorBidi"/>
          </w:rPr>
          <w:t>Fox and Weisberg, 2019</w:t>
        </w:r>
      </w:hyperlink>
      <w:r w:rsidR="00D50EFF" w:rsidRPr="009819CE">
        <w:rPr>
          <w:rFonts w:cstheme="minorBidi"/>
        </w:rPr>
        <w:t>)</w:t>
      </w:r>
      <w:r w:rsidRPr="009819CE">
        <w:rPr>
          <w:rFonts w:cstheme="minorBidi"/>
        </w:rPr>
        <w:fldChar w:fldCharType="end"/>
      </w:r>
      <w:r w:rsidRPr="009819CE">
        <w:rPr>
          <w:rFonts w:cstheme="minorBidi"/>
        </w:rPr>
        <w:t xml:space="preserve"> or Shapiro test (“shapiro.test”) </w:t>
      </w:r>
      <w:sdt>
        <w:sdtPr>
          <w:rPr>
            <w:rFonts w:cstheme="minorBidi"/>
            <w:color w:val="000000"/>
          </w:rPr>
          <w:tag w:val="MENDELEY_CITATION_v3_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"/>
          <w:id w:val="-2099714802"/>
          <w:placeholder>
            <w:docPart w:val="6BBCF52D7E8D4A83B9C869D9D31A04E0"/>
          </w:placeholder>
        </w:sdtPr>
        <w:sdtEndPr/>
        <w:sdtContent>
          <w:r w:rsidRPr="009819CE">
            <w:rPr>
              <w:rFonts w:cstheme="minorBidi"/>
              <w:color w:val="000000"/>
            </w:rPr>
            <w:t>(Royston, 1982)</w:t>
          </w:r>
        </w:sdtContent>
      </w:sdt>
      <w:r w:rsidRPr="009819CE">
        <w:rPr>
          <w:rFonts w:cstheme="minorBidi"/>
        </w:rPr>
        <w:t xml:space="preserve">.  </w:t>
      </w:r>
      <w:r w:rsidR="00E80AF4">
        <w:rPr>
          <w:rFonts w:cstheme="minorBidi"/>
        </w:rPr>
        <w:t>t-test</w:t>
      </w:r>
      <w:r w:rsidRPr="009819CE">
        <w:rPr>
          <w:rFonts w:cstheme="minorBidi"/>
        </w:rPr>
        <w:t xml:space="preserve"> (“t.test”) </w:t>
      </w:r>
      <w:r w:rsidRPr="009819CE">
        <w:rPr>
          <w:rFonts w:cstheme="minorBidi"/>
        </w:rPr>
        <w:fldChar w:fldCharType="begin"/>
      </w:r>
      <w:r w:rsidR="00EE7FB9">
        <w:rPr>
          <w:rFonts w:cstheme="minorBidi"/>
        </w:rPr>
        <w:instrText xml:space="preserve"> ADDIN EN.CITE &lt;EndNote&gt;&lt;Cite&gt;&lt;Author&gt;Student&lt;/Author&gt;&lt;Year&gt;1908&lt;/Year&gt;&lt;RecNum&gt;891&lt;/RecNum&gt;&lt;DisplayText&gt;(Student, 1908)&lt;/DisplayText&gt;&lt;record&gt;&lt;rec-number&gt;891&lt;/rec-number&gt;&lt;foreign-keys&gt;&lt;key app="EN" db-id="sd9wrx9fj09rx3erprsx999o0r5aprvp2zse" timestamp="1687855901" guid="7141df37-94ea-4803-9b10-8fa16aed55e0"&gt;891&lt;/key&gt;&lt;/foreign-keys&gt;&lt;ref-type name="Journal Article"&gt;17&lt;/ref-type&gt;&lt;contributors&gt;&lt;authors&gt;&lt;author&gt;Student,&lt;/author&gt;&lt;/authors&gt;&lt;/contributors&gt;&lt;titles&gt;&lt;title&gt;The probable error of a mean&lt;/title&gt;&lt;secondary-title&gt;Biometrika&lt;/secondary-title&gt;&lt;/titles&gt;&lt;periodical&gt;&lt;full-title&gt;Biometrika&lt;/full-title&gt;&lt;/periodical&gt;&lt;pages&gt;1-1&lt;/pages&gt;&lt;volume&gt;6&lt;/volume&gt;&lt;number&gt;1&lt;/number&gt;&lt;dates&gt;&lt;year&gt;1908&lt;/year&gt;&lt;pub-dates&gt;&lt;date&gt;1908/3//&lt;/date&gt;&lt;/pub-dates&gt;&lt;/dates&gt;&lt;publisher&gt;JSTOR&lt;/publisher&gt;&lt;urls&gt;&lt;/urls&gt;&lt;electronic-resource-num&gt;10.2307/2331554&lt;/electronic-resource-num&gt;&lt;/record&gt;&lt;/Cite&gt;&lt;/EndNote&gt;</w:instrText>
      </w:r>
      <w:r w:rsidRPr="009819CE">
        <w:rPr>
          <w:rFonts w:cstheme="minorBidi"/>
        </w:rPr>
        <w:fldChar w:fldCharType="separate"/>
      </w:r>
      <w:r w:rsidR="00D50EFF" w:rsidRPr="009819CE">
        <w:rPr>
          <w:rFonts w:cstheme="minorBidi"/>
          <w:noProof/>
        </w:rPr>
        <w:t>(</w:t>
      </w:r>
      <w:hyperlink w:anchor="_ENREF_312" w:tooltip="Student, 1908 #891" w:history="1">
        <w:r w:rsidR="00950097" w:rsidRPr="009819CE">
          <w:rPr>
            <w:rFonts w:cstheme="minorBidi"/>
            <w:noProof/>
          </w:rPr>
          <w:t>Student, 1908</w:t>
        </w:r>
      </w:hyperlink>
      <w:r w:rsidR="00D50EFF" w:rsidRPr="009819CE">
        <w:rPr>
          <w:rFonts w:cstheme="minorBidi"/>
          <w:noProof/>
        </w:rPr>
        <w:t>)</w:t>
      </w:r>
      <w:r w:rsidRPr="009819CE">
        <w:rPr>
          <w:rFonts w:cstheme="minorBidi"/>
        </w:rPr>
        <w:fldChar w:fldCharType="end"/>
      </w:r>
      <w:r w:rsidRPr="009819CE">
        <w:rPr>
          <w:rFonts w:cstheme="minorBidi"/>
        </w:rPr>
        <w:t xml:space="preserve"> was used to compare the mean of two groups if homogeneity of variance was fulfilled (parametric), otherwise Wilcoxon test (“wilcox.test()”) </w:t>
      </w:r>
      <w:r w:rsidRPr="009819CE">
        <w:rPr>
          <w:rFonts w:cstheme="minorBidi"/>
        </w:rPr>
        <w:fldChar w:fldCharType="begin"/>
      </w:r>
      <w:r w:rsidR="00D50EFF" w:rsidRPr="009819CE">
        <w:rPr>
          <w:rFonts w:cstheme="minorBidi"/>
        </w:rPr>
        <w:instrText xml:space="preserve"> ADDIN EN.CITE &lt;EndNote&gt;&lt;Cite&gt;&lt;Author&gt;Hollander&lt;/Author&gt;&lt;Year&gt;2013&lt;/Year&gt;&lt;RecNum&gt;892&lt;/RecNum&gt;&lt;DisplayText&gt;(Hollander et al., 2013)&lt;/DisplayText&gt;&lt;record&gt;&lt;rec-number&gt;892&lt;/rec-number&gt;&lt;foreign-keys&gt;&lt;key app="EN" db-id="sd9wrx9fj09rx3erprsx999o0r5aprvp2zse" timestamp="1687855901" guid="b2faf6ec-f6a8-4c6b-b78c-5f232753e4b6"&gt;892&lt;/key&gt;&lt;/foreign-keys&gt;&lt;ref-type name="Book"&gt;6&lt;/ref-type&gt;&lt;contributors&gt;&lt;authors&gt;&lt;author&gt;Hollander, Myles&lt;/author&gt;&lt;author&gt;Wolfe, Douglas A.&lt;/author&gt;&lt;author&gt;Chicken, Eric&lt;/author&gt;&lt;/authors&gt;&lt;/contributors&gt;&lt;titles&gt;&lt;title&gt;Nonparametric statistical methods, Wiley Series in Probability and Statistics&lt;/title&gt;&lt;/titles&gt;&lt;pages&gt;848-848&lt;/pages&gt;&lt;dates&gt;&lt;year&gt;2013&lt;/year&gt;&lt;/dates&gt;&lt;publisher&gt;Wiley&lt;/publisher&gt;&lt;isbn&gt;978-0-470-38737-5&lt;/isbn&gt;&lt;urls&gt;&lt;related-urls&gt;&lt;url&gt;https://www.wiley.com/en-us/Nonparametric+Statistical+Methods%2C+3rd+Edition-p-9780470387375&lt;/url&gt;&lt;/related-urls&gt;&lt;/urls&gt;&lt;/record&gt;&lt;/Cite&gt;&lt;/EndNote&gt;</w:instrText>
      </w:r>
      <w:r w:rsidRPr="009819CE">
        <w:rPr>
          <w:rFonts w:cstheme="minorBidi"/>
        </w:rPr>
        <w:fldChar w:fldCharType="separate"/>
      </w:r>
      <w:r w:rsidR="00D50EFF" w:rsidRPr="009819CE">
        <w:rPr>
          <w:rFonts w:cstheme="minorBidi"/>
        </w:rPr>
        <w:t>(</w:t>
      </w:r>
      <w:hyperlink w:anchor="_ENREF_133" w:tooltip="Hollander, 2013 #892" w:history="1">
        <w:r w:rsidR="00950097" w:rsidRPr="009819CE">
          <w:rPr>
            <w:rFonts w:cstheme="minorBidi"/>
          </w:rPr>
          <w:t>Hollander et al., 2013</w:t>
        </w:r>
      </w:hyperlink>
      <w:r w:rsidR="00D50EFF" w:rsidRPr="009819CE">
        <w:rPr>
          <w:rFonts w:cstheme="minorBidi"/>
        </w:rPr>
        <w:t>)</w:t>
      </w:r>
      <w:r w:rsidRPr="009819CE">
        <w:rPr>
          <w:rFonts w:cstheme="minorBidi"/>
        </w:rPr>
        <w:fldChar w:fldCharType="end"/>
      </w:r>
      <w:r w:rsidRPr="009819CE">
        <w:rPr>
          <w:rFonts w:cstheme="minorBidi"/>
        </w:rPr>
        <w:t xml:space="preserve"> was carried out (non-parametric). Similarly, ANOVA (“aov()” or “anova()”) </w:t>
      </w:r>
      <w:r w:rsidRPr="009819CE">
        <w:rPr>
          <w:rFonts w:cstheme="minorBidi"/>
        </w:rPr>
        <w:fldChar w:fldCharType="begin"/>
      </w:r>
      <w:r w:rsidR="00EE7FB9">
        <w:rPr>
          <w:rFonts w:cstheme="minorBidi"/>
        </w:rPr>
        <w:instrText xml:space="preserve"> ADDIN EN.CITE &lt;EndNote&gt;&lt;Cite&gt;&lt;Author&gt;Chambers&lt;/Author&gt;&lt;Year&gt;1992&lt;/Year&gt;&lt;RecNum&gt;893&lt;/RecNum&gt;&lt;DisplayText&gt;(Chambers and Hastie, 1992)&lt;/DisplayText&gt;&lt;record&gt;&lt;rec-number&gt;893&lt;/rec-number&gt;&lt;foreign-keys&gt;&lt;key app="EN" db-id="sd9wrx9fj09rx3erprsx999o0r5aprvp2zse" timestamp="1687855901" guid="a996e13e-6184-4903-95fd-d5b3bfb45adb"&gt;893&lt;/key&gt;&lt;/foreign-keys&gt;&lt;ref-type name="Book"&gt;6&lt;/ref-type&gt;&lt;contributors&gt;&lt;authors&gt;&lt;author&gt;Chambers, John M.,&lt;/author&gt;&lt;author&gt;Hastie, Trevor&lt;/author&gt;&lt;/authors&gt;&lt;/contributors&gt;&lt;titles&gt;&lt;title&gt;Statistical models in S&lt;/title&gt;&lt;/titles&gt;&lt;pages&gt;608-608&lt;/pages&gt;&lt;dates&gt;&lt;year&gt;1992&lt;/year&gt;&lt;/dates&gt;&lt;publisher&gt;Chapman &amp;amp; Hall/CRC&lt;/publisher&gt;&lt;isbn&gt;9780412830402&lt;/isbn&gt;&lt;urls&gt;&lt;related-urls&gt;&lt;url&gt;https://www.routledge.com/Statistical-Models-in-S/Chambers-Hastie/p/book/9780412830402&lt;/url&gt;&lt;/related-urls&gt;&lt;/urls&gt;&lt;/record&gt;&lt;/Cite&gt;&lt;/EndNote&gt;</w:instrText>
      </w:r>
      <w:r w:rsidRPr="009819CE">
        <w:rPr>
          <w:rFonts w:cstheme="minorBidi"/>
        </w:rPr>
        <w:fldChar w:fldCharType="separate"/>
      </w:r>
      <w:r w:rsidR="00A8698B" w:rsidRPr="009819CE">
        <w:rPr>
          <w:rFonts w:cstheme="minorBidi"/>
          <w:noProof/>
        </w:rPr>
        <w:t>(</w:t>
      </w:r>
      <w:hyperlink w:anchor="_ENREF_44" w:tooltip="Chambers, 1992 #893" w:history="1">
        <w:r w:rsidR="00950097" w:rsidRPr="009819CE">
          <w:rPr>
            <w:rFonts w:cstheme="minorBidi"/>
            <w:noProof/>
          </w:rPr>
          <w:t>Chambers and Hastie, 1992</w:t>
        </w:r>
      </w:hyperlink>
      <w:r w:rsidR="00A8698B" w:rsidRPr="009819CE">
        <w:rPr>
          <w:rFonts w:cstheme="minorBidi"/>
          <w:noProof/>
        </w:rPr>
        <w:t>)</w:t>
      </w:r>
      <w:r w:rsidRPr="009819CE">
        <w:rPr>
          <w:rFonts w:cstheme="minorBidi"/>
        </w:rPr>
        <w:fldChar w:fldCharType="end"/>
      </w:r>
      <w:r w:rsidRPr="009819CE">
        <w:rPr>
          <w:rFonts w:cstheme="minorBidi"/>
        </w:rPr>
        <w:t xml:space="preserve"> was used to compare multiple groups (parametric) and Kruskal-Wallis (“kruskal.test()”) </w:t>
      </w:r>
      <w:r w:rsidRPr="009819CE">
        <w:rPr>
          <w:rFonts w:cstheme="minorBidi"/>
        </w:rPr>
        <w:fldChar w:fldCharType="begin"/>
      </w:r>
      <w:r w:rsidR="00D50EFF" w:rsidRPr="009819CE">
        <w:rPr>
          <w:rFonts w:cstheme="minorBidi"/>
        </w:rPr>
        <w:instrText xml:space="preserve"> ADDIN EN.CITE &lt;EndNote&gt;&lt;Cite&gt;&lt;Author&gt;Hollander&lt;/Author&gt;&lt;Year&gt;2013&lt;/Year&gt;&lt;RecNum&gt;892&lt;/RecNum&gt;&lt;DisplayText&gt;(Hollander et al., 2013)&lt;/DisplayText&gt;&lt;record&gt;&lt;rec-number&gt;892&lt;/rec-number&gt;&lt;foreign-keys&gt;&lt;key app="EN" db-id="sd9wrx9fj09rx3erprsx999o0r5aprvp2zse" timestamp="1687855901" guid="b2faf6ec-f6a8-4c6b-b78c-5f232753e4b6"&gt;892&lt;/key&gt;&lt;/foreign-keys&gt;&lt;ref-type name="Book"&gt;6&lt;/ref-type&gt;&lt;contributors&gt;&lt;authors&gt;&lt;author&gt;Hollander, Myles&lt;/author&gt;&lt;author&gt;Wolfe, Douglas A.&lt;/author&gt;&lt;author&gt;Chicken, Eric&lt;/author&gt;&lt;/authors&gt;&lt;/contributors&gt;&lt;titles&gt;&lt;title&gt;Nonparametric statistical methods, Wiley Series in Probability and Statistics&lt;/title&gt;&lt;/titles&gt;&lt;pages&gt;848-848&lt;/pages&gt;&lt;dates&gt;&lt;year&gt;2013&lt;/year&gt;&lt;/dates&gt;&lt;publisher&gt;Wiley&lt;/publisher&gt;&lt;isbn&gt;978-0-470-38737-5&lt;/isbn&gt;&lt;urls&gt;&lt;related-urls&gt;&lt;url&gt;https://www.wiley.com/en-us/Nonparametric+Statistical+Methods%2C+3rd+Edition-p-9780470387375&lt;/url&gt;&lt;/related-urls&gt;&lt;/urls&gt;&lt;/record&gt;&lt;/Cite&gt;&lt;/EndNote&gt;</w:instrText>
      </w:r>
      <w:r w:rsidRPr="009819CE">
        <w:rPr>
          <w:rFonts w:cstheme="minorBidi"/>
        </w:rPr>
        <w:fldChar w:fldCharType="separate"/>
      </w:r>
      <w:r w:rsidR="00D50EFF" w:rsidRPr="009819CE">
        <w:rPr>
          <w:rFonts w:cstheme="minorBidi"/>
        </w:rPr>
        <w:t>(</w:t>
      </w:r>
      <w:hyperlink w:anchor="_ENREF_133" w:tooltip="Hollander, 2013 #892" w:history="1">
        <w:r w:rsidR="00950097" w:rsidRPr="009819CE">
          <w:rPr>
            <w:rFonts w:cstheme="minorBidi"/>
          </w:rPr>
          <w:t>Hollander et al., 2013</w:t>
        </w:r>
      </w:hyperlink>
      <w:r w:rsidR="00D50EFF" w:rsidRPr="009819CE">
        <w:rPr>
          <w:rFonts w:cstheme="minorBidi"/>
        </w:rPr>
        <w:t>)</w:t>
      </w:r>
      <w:r w:rsidRPr="009819CE">
        <w:rPr>
          <w:rFonts w:cstheme="minorBidi"/>
        </w:rPr>
        <w:fldChar w:fldCharType="end"/>
      </w:r>
      <w:r w:rsidRPr="009819CE">
        <w:rPr>
          <w:rFonts w:cstheme="minorBidi"/>
        </w:rPr>
        <w:t xml:space="preserve">  to compare multiple groups (non-parametric) depending on the homogeneity of variance. P values &lt; 0.05 were considered statistically significant. Percentage data </w:t>
      </w:r>
      <w:r w:rsidR="00A22ACC" w:rsidRPr="00FA7D47">
        <w:rPr>
          <w:rFonts w:cstheme="minorBidi"/>
        </w:rPr>
        <w:t xml:space="preserve">were </w:t>
      </w:r>
      <w:r w:rsidRPr="009819CE">
        <w:rPr>
          <w:rFonts w:cstheme="minorBidi"/>
        </w:rPr>
        <w:t>arcsine transformed prior to statistical analysis using the following formula in R version 4.2.2: Data&lt;- (asin(sqrt((data)/100)))*(180/3.141592654)</w:t>
      </w:r>
    </w:p>
    <w:p w14:paraId="70FF5ECD" w14:textId="77777777" w:rsidR="006A0363" w:rsidRPr="009819CE" w:rsidRDefault="006A0363" w:rsidP="00B3468E">
      <w:pPr>
        <w:pStyle w:val="Heading2"/>
        <w:rPr>
          <w:rFonts w:cstheme="minorBidi"/>
        </w:rPr>
      </w:pPr>
      <w:bookmarkStart w:id="325" w:name="_Toc204106672"/>
      <w:r w:rsidRPr="009819CE">
        <w:rPr>
          <w:rFonts w:cstheme="minorBidi"/>
        </w:rPr>
        <w:t>Results</w:t>
      </w:r>
      <w:bookmarkEnd w:id="325"/>
    </w:p>
    <w:p w14:paraId="79B0C42C" w14:textId="01E7DEE7" w:rsidR="0003755F" w:rsidRPr="009819CE" w:rsidRDefault="00392D25" w:rsidP="00B3468E">
      <w:pPr>
        <w:pStyle w:val="Heading3"/>
      </w:pPr>
      <w:bookmarkStart w:id="326" w:name="_Toc204106673"/>
      <w:r w:rsidRPr="009819CE">
        <w:t>Summary of experimental animals and lipid analysis subsets</w:t>
      </w:r>
      <w:bookmarkEnd w:id="326"/>
    </w:p>
    <w:p w14:paraId="1BD8570F" w14:textId="48482ED9" w:rsidR="00695553" w:rsidRPr="00FA7D47" w:rsidRDefault="00875257" w:rsidP="00695553">
      <w:r w:rsidRPr="009819CE">
        <w:t xml:space="preserve">Data from </w:t>
      </w:r>
      <w:r w:rsidR="00EC1059" w:rsidRPr="009819CE">
        <w:fldChar w:fldCharType="begin"/>
      </w:r>
      <w:r w:rsidR="00EC1059" w:rsidRPr="009819CE">
        <w:instrText xml:space="preserve"> REF _Ref201491122 \h </w:instrText>
      </w:r>
      <w:r w:rsidR="00EC1059" w:rsidRPr="009819CE">
        <w:fldChar w:fldCharType="separate"/>
      </w:r>
      <w:r w:rsidR="008549FC" w:rsidRPr="007E6468">
        <w:rPr>
          <w:b/>
          <w:bCs/>
        </w:rPr>
        <w:t xml:space="preserve">Table </w:t>
      </w:r>
      <w:r w:rsidR="008549FC">
        <w:rPr>
          <w:b/>
          <w:bCs/>
          <w:noProof/>
        </w:rPr>
        <w:t>4</w:t>
      </w:r>
      <w:r w:rsidR="008549FC">
        <w:rPr>
          <w:b/>
          <w:bCs/>
        </w:rPr>
        <w:t>.</w:t>
      </w:r>
      <w:r w:rsidR="008549FC">
        <w:rPr>
          <w:b/>
          <w:bCs/>
          <w:noProof/>
        </w:rPr>
        <w:t>1</w:t>
      </w:r>
      <w:r w:rsidR="00EC1059" w:rsidRPr="009819CE">
        <w:fldChar w:fldCharType="end"/>
      </w:r>
      <w:r w:rsidR="00EC1059" w:rsidRPr="009819CE">
        <w:t xml:space="preserve"> </w:t>
      </w:r>
      <w:r w:rsidR="00695553" w:rsidRPr="00FA7D47">
        <w:t xml:space="preserve">provides an overview of the </w:t>
      </w:r>
      <w:r w:rsidR="00695553" w:rsidRPr="00FA7D47">
        <w:rPr>
          <w:rStyle w:val="Emphasis"/>
          <w:rFonts w:eastAsiaTheme="majorEastAsia"/>
        </w:rPr>
        <w:t>Nephrops norvegicus</w:t>
      </w:r>
      <w:r w:rsidR="00695553" w:rsidRPr="00FA7D47">
        <w:t xml:space="preserve"> used in the experiment, including sex, infection status, moult stage, and size class. It also outlines the subsets of individuals selected for total lipid and lipid class analysis, as well as those used for neutral and polar fraction analysis. The composition of these subsets reflects the broader population held in tanks during the study.</w:t>
      </w:r>
    </w:p>
    <w:p w14:paraId="72419EDA" w14:textId="77777777" w:rsidR="00695553" w:rsidRPr="009819CE" w:rsidRDefault="00695553" w:rsidP="00392D25">
      <w:pPr>
        <w:sectPr w:rsidR="00695553" w:rsidRPr="009819CE" w:rsidSect="003A7A28">
          <w:pgSz w:w="11906" w:h="16838" w:code="9"/>
          <w:pgMar w:top="1440" w:right="1440" w:bottom="1440" w:left="1440" w:header="708" w:footer="708" w:gutter="0"/>
          <w:cols w:space="708"/>
          <w:docGrid w:linePitch="360"/>
        </w:sectPr>
      </w:pPr>
    </w:p>
    <w:p w14:paraId="4618C3AF" w14:textId="260BF480" w:rsidR="00A36D59" w:rsidRPr="009819CE" w:rsidRDefault="00616676" w:rsidP="00616676">
      <w:pPr>
        <w:pStyle w:val="Caption"/>
        <w:rPr>
          <w:rFonts w:asciiTheme="minorBidi" w:hAnsiTheme="minorBidi"/>
        </w:rPr>
      </w:pPr>
      <w:bookmarkStart w:id="327" w:name="_Ref201491122"/>
      <w:bookmarkStart w:id="328" w:name="_Ref201491116"/>
      <w:bookmarkStart w:id="329" w:name="_Toc202273063"/>
      <w:bookmarkStart w:id="330" w:name="_Toc204106761"/>
      <w:r w:rsidRPr="007E6468">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1</w:t>
      </w:r>
      <w:r w:rsidR="0095522A">
        <w:rPr>
          <w:b/>
          <w:bCs/>
        </w:rPr>
        <w:fldChar w:fldCharType="end"/>
      </w:r>
      <w:bookmarkEnd w:id="327"/>
      <w:r w:rsidR="00E50F5C" w:rsidRPr="009819CE">
        <w:t>.</w:t>
      </w:r>
      <w:r w:rsidR="005E4064" w:rsidRPr="00FA7D47">
        <w:rPr>
          <w:rStyle w:val="Heading2Char"/>
        </w:rPr>
        <w:t xml:space="preserve"> </w:t>
      </w:r>
      <w:r w:rsidR="005E4064" w:rsidRPr="007E6468">
        <w:rPr>
          <w:rStyle w:val="Strong"/>
          <w:b w:val="0"/>
          <w:bCs w:val="0"/>
        </w:rPr>
        <w:t xml:space="preserve">Summary of </w:t>
      </w:r>
      <w:r w:rsidR="005E4064" w:rsidRPr="007E6468">
        <w:rPr>
          <w:rStyle w:val="Emphasis"/>
        </w:rPr>
        <w:t>Nephrops norvegicus</w:t>
      </w:r>
      <w:r w:rsidR="005E4064" w:rsidRPr="007E6468">
        <w:rPr>
          <w:rStyle w:val="Strong"/>
          <w:b w:val="0"/>
          <w:bCs w:val="0"/>
        </w:rPr>
        <w:t xml:space="preserve"> used in the study and lipid analysis subsets.</w:t>
      </w:r>
      <w:r w:rsidR="005E4064" w:rsidRPr="00FA7D47">
        <w:t xml:space="preserve"> Overview of experimental animals held in tanks, showing sex distribution, infection status based on body colour method (BCM) and pleopod method (PM), moult stage, and size class. The table also details the subsets selected for total fatty acid methyl ester (FAME) and lipid class analyses, as well as for neutral and polar lipid fraction analyses. Percentages are calculated relative to totals within each subgroup</w:t>
      </w:r>
      <w:bookmarkEnd w:id="328"/>
      <w:bookmarkEnd w:id="329"/>
      <w:bookmarkEnd w:id="330"/>
    </w:p>
    <w:tbl>
      <w:tblPr>
        <w:tblW w:w="5000" w:type="pct"/>
        <w:jc w:val="center"/>
        <w:tblLook w:val="04A0" w:firstRow="1" w:lastRow="0" w:firstColumn="1" w:lastColumn="0" w:noHBand="0" w:noVBand="1"/>
      </w:tblPr>
      <w:tblGrid>
        <w:gridCol w:w="2435"/>
        <w:gridCol w:w="486"/>
        <w:gridCol w:w="672"/>
        <w:gridCol w:w="485"/>
        <w:gridCol w:w="672"/>
        <w:gridCol w:w="608"/>
        <w:gridCol w:w="970"/>
        <w:gridCol w:w="485"/>
        <w:gridCol w:w="672"/>
        <w:gridCol w:w="485"/>
        <w:gridCol w:w="672"/>
        <w:gridCol w:w="547"/>
        <w:gridCol w:w="979"/>
        <w:gridCol w:w="485"/>
        <w:gridCol w:w="672"/>
        <w:gridCol w:w="485"/>
        <w:gridCol w:w="672"/>
        <w:gridCol w:w="485"/>
        <w:gridCol w:w="976"/>
      </w:tblGrid>
      <w:tr w:rsidR="00A36D59" w:rsidRPr="00FA7D47" w14:paraId="50B1E052" w14:textId="77777777" w:rsidTr="0095549A">
        <w:trPr>
          <w:trHeight w:val="300"/>
          <w:jc w:val="center"/>
        </w:trPr>
        <w:tc>
          <w:tcPr>
            <w:tcW w:w="873"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F17FC1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Parameter</w:t>
            </w:r>
          </w:p>
        </w:tc>
        <w:tc>
          <w:tcPr>
            <w:tcW w:w="1396" w:type="pct"/>
            <w:gridSpan w:val="6"/>
            <w:tcBorders>
              <w:top w:val="single" w:sz="8" w:space="0" w:color="auto"/>
              <w:left w:val="nil"/>
              <w:bottom w:val="nil"/>
              <w:right w:val="single" w:sz="8" w:space="0" w:color="000000"/>
            </w:tcBorders>
            <w:shd w:val="clear" w:color="auto" w:fill="auto"/>
            <w:noWrap/>
            <w:vAlign w:val="center"/>
            <w:hideMark/>
          </w:tcPr>
          <w:p w14:paraId="162F17A9"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Holding tanks</w:t>
            </w:r>
          </w:p>
        </w:tc>
        <w:tc>
          <w:tcPr>
            <w:tcW w:w="1377" w:type="pct"/>
            <w:gridSpan w:val="6"/>
            <w:tcBorders>
              <w:top w:val="single" w:sz="8" w:space="0" w:color="auto"/>
              <w:left w:val="nil"/>
              <w:bottom w:val="nil"/>
              <w:right w:val="single" w:sz="4" w:space="0" w:color="auto"/>
            </w:tcBorders>
            <w:shd w:val="clear" w:color="auto" w:fill="auto"/>
            <w:noWrap/>
            <w:vAlign w:val="center"/>
            <w:hideMark/>
          </w:tcPr>
          <w:p w14:paraId="27AB7A4C"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 fames and lipid class</w:t>
            </w:r>
          </w:p>
        </w:tc>
        <w:tc>
          <w:tcPr>
            <w:tcW w:w="1355" w:type="pct"/>
            <w:gridSpan w:val="6"/>
            <w:tcBorders>
              <w:top w:val="single" w:sz="4" w:space="0" w:color="auto"/>
              <w:left w:val="single" w:sz="4" w:space="0" w:color="auto"/>
              <w:bottom w:val="nil"/>
              <w:right w:val="single" w:sz="4" w:space="0" w:color="auto"/>
            </w:tcBorders>
            <w:shd w:val="clear" w:color="auto" w:fill="auto"/>
            <w:noWrap/>
            <w:vAlign w:val="center"/>
            <w:hideMark/>
          </w:tcPr>
          <w:p w14:paraId="787F8F85"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Neutral and polar fraction</w:t>
            </w:r>
          </w:p>
        </w:tc>
      </w:tr>
      <w:tr w:rsidR="00A36D59" w:rsidRPr="00FA7D47" w14:paraId="2FB8EB6D" w14:textId="77777777" w:rsidTr="0095549A">
        <w:trPr>
          <w:trHeight w:val="300"/>
          <w:jc w:val="center"/>
        </w:trPr>
        <w:tc>
          <w:tcPr>
            <w:tcW w:w="873" w:type="pct"/>
            <w:vMerge/>
            <w:tcBorders>
              <w:top w:val="single" w:sz="8" w:space="0" w:color="auto"/>
              <w:left w:val="single" w:sz="8" w:space="0" w:color="auto"/>
              <w:bottom w:val="single" w:sz="8" w:space="0" w:color="000000"/>
              <w:right w:val="single" w:sz="8" w:space="0" w:color="auto"/>
            </w:tcBorders>
            <w:vAlign w:val="center"/>
            <w:hideMark/>
          </w:tcPr>
          <w:p w14:paraId="52F77F22" w14:textId="77777777" w:rsidR="00A36D59" w:rsidRPr="00FA7D47" w:rsidRDefault="00A36D59" w:rsidP="0095549A">
            <w:pPr>
              <w:spacing w:after="0" w:line="240" w:lineRule="auto"/>
              <w:jc w:val="center"/>
              <w:rPr>
                <w:rFonts w:cstheme="minorBidi"/>
                <w:color w:val="000000"/>
                <w:sz w:val="20"/>
                <w:szCs w:val="20"/>
              </w:rPr>
            </w:pPr>
          </w:p>
        </w:tc>
        <w:tc>
          <w:tcPr>
            <w:tcW w:w="415" w:type="pct"/>
            <w:gridSpan w:val="2"/>
            <w:tcBorders>
              <w:top w:val="nil"/>
              <w:left w:val="nil"/>
              <w:bottom w:val="nil"/>
              <w:right w:val="nil"/>
            </w:tcBorders>
            <w:shd w:val="clear" w:color="auto" w:fill="auto"/>
            <w:noWrap/>
            <w:vAlign w:val="center"/>
            <w:hideMark/>
          </w:tcPr>
          <w:p w14:paraId="7BD510EB"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Female</w:t>
            </w:r>
          </w:p>
        </w:tc>
        <w:tc>
          <w:tcPr>
            <w:tcW w:w="415" w:type="pct"/>
            <w:gridSpan w:val="2"/>
            <w:tcBorders>
              <w:top w:val="nil"/>
              <w:left w:val="nil"/>
              <w:bottom w:val="nil"/>
              <w:right w:val="nil"/>
            </w:tcBorders>
            <w:shd w:val="clear" w:color="auto" w:fill="auto"/>
            <w:noWrap/>
            <w:vAlign w:val="center"/>
            <w:hideMark/>
          </w:tcPr>
          <w:p w14:paraId="37F6F1D8"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Male</w:t>
            </w:r>
          </w:p>
        </w:tc>
        <w:tc>
          <w:tcPr>
            <w:tcW w:w="566" w:type="pct"/>
            <w:gridSpan w:val="2"/>
            <w:tcBorders>
              <w:top w:val="nil"/>
              <w:left w:val="nil"/>
              <w:bottom w:val="nil"/>
              <w:right w:val="nil"/>
            </w:tcBorders>
            <w:shd w:val="clear" w:color="auto" w:fill="auto"/>
            <w:noWrap/>
            <w:vAlign w:val="center"/>
            <w:hideMark/>
          </w:tcPr>
          <w:p w14:paraId="17A8C9A8"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415" w:type="pct"/>
            <w:gridSpan w:val="2"/>
            <w:tcBorders>
              <w:top w:val="nil"/>
              <w:left w:val="single" w:sz="8" w:space="0" w:color="auto"/>
              <w:bottom w:val="nil"/>
              <w:right w:val="nil"/>
            </w:tcBorders>
            <w:shd w:val="clear" w:color="auto" w:fill="auto"/>
            <w:noWrap/>
            <w:vAlign w:val="center"/>
            <w:hideMark/>
          </w:tcPr>
          <w:p w14:paraId="414CF1DF"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Female</w:t>
            </w:r>
          </w:p>
        </w:tc>
        <w:tc>
          <w:tcPr>
            <w:tcW w:w="415" w:type="pct"/>
            <w:gridSpan w:val="2"/>
            <w:tcBorders>
              <w:top w:val="nil"/>
              <w:left w:val="nil"/>
              <w:bottom w:val="nil"/>
              <w:right w:val="nil"/>
            </w:tcBorders>
            <w:shd w:val="clear" w:color="auto" w:fill="auto"/>
            <w:noWrap/>
            <w:vAlign w:val="center"/>
            <w:hideMark/>
          </w:tcPr>
          <w:p w14:paraId="3FE7C88F"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Male</w:t>
            </w:r>
          </w:p>
        </w:tc>
        <w:tc>
          <w:tcPr>
            <w:tcW w:w="547" w:type="pct"/>
            <w:gridSpan w:val="2"/>
            <w:tcBorders>
              <w:top w:val="nil"/>
              <w:left w:val="nil"/>
              <w:bottom w:val="nil"/>
              <w:right w:val="single" w:sz="4" w:space="0" w:color="auto"/>
            </w:tcBorders>
            <w:shd w:val="clear" w:color="auto" w:fill="auto"/>
            <w:noWrap/>
            <w:vAlign w:val="center"/>
            <w:hideMark/>
          </w:tcPr>
          <w:p w14:paraId="3A05F9E7"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415" w:type="pct"/>
            <w:gridSpan w:val="2"/>
            <w:tcBorders>
              <w:top w:val="nil"/>
              <w:left w:val="single" w:sz="4" w:space="0" w:color="auto"/>
              <w:bottom w:val="nil"/>
              <w:right w:val="nil"/>
            </w:tcBorders>
            <w:shd w:val="clear" w:color="auto" w:fill="auto"/>
            <w:noWrap/>
            <w:vAlign w:val="center"/>
            <w:hideMark/>
          </w:tcPr>
          <w:p w14:paraId="1250F899"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Female</w:t>
            </w:r>
          </w:p>
        </w:tc>
        <w:tc>
          <w:tcPr>
            <w:tcW w:w="415" w:type="pct"/>
            <w:gridSpan w:val="2"/>
            <w:tcBorders>
              <w:top w:val="nil"/>
              <w:left w:val="nil"/>
              <w:bottom w:val="nil"/>
              <w:right w:val="nil"/>
            </w:tcBorders>
            <w:shd w:val="clear" w:color="auto" w:fill="auto"/>
            <w:noWrap/>
            <w:vAlign w:val="center"/>
            <w:hideMark/>
          </w:tcPr>
          <w:p w14:paraId="475DCBB7"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Male</w:t>
            </w:r>
          </w:p>
        </w:tc>
        <w:tc>
          <w:tcPr>
            <w:tcW w:w="526" w:type="pct"/>
            <w:gridSpan w:val="2"/>
            <w:tcBorders>
              <w:top w:val="nil"/>
              <w:left w:val="nil"/>
              <w:bottom w:val="nil"/>
              <w:right w:val="single" w:sz="4" w:space="0" w:color="auto"/>
            </w:tcBorders>
            <w:shd w:val="clear" w:color="auto" w:fill="auto"/>
            <w:noWrap/>
            <w:vAlign w:val="center"/>
            <w:hideMark/>
          </w:tcPr>
          <w:p w14:paraId="745D05EB"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w:t>
            </w:r>
          </w:p>
        </w:tc>
      </w:tr>
      <w:tr w:rsidR="00A36D59" w:rsidRPr="00FA7D47" w14:paraId="329360B1" w14:textId="77777777" w:rsidTr="0095549A">
        <w:trPr>
          <w:trHeight w:val="315"/>
          <w:jc w:val="center"/>
        </w:trPr>
        <w:tc>
          <w:tcPr>
            <w:tcW w:w="873" w:type="pct"/>
            <w:vMerge/>
            <w:tcBorders>
              <w:top w:val="single" w:sz="8" w:space="0" w:color="auto"/>
              <w:left w:val="single" w:sz="8" w:space="0" w:color="auto"/>
              <w:bottom w:val="single" w:sz="8" w:space="0" w:color="000000"/>
              <w:right w:val="single" w:sz="8" w:space="0" w:color="auto"/>
            </w:tcBorders>
            <w:vAlign w:val="center"/>
            <w:hideMark/>
          </w:tcPr>
          <w:p w14:paraId="642C9388" w14:textId="77777777" w:rsidR="00A36D59" w:rsidRPr="00FA7D47" w:rsidRDefault="00A36D59" w:rsidP="0095549A">
            <w:pPr>
              <w:spacing w:after="0" w:line="240" w:lineRule="auto"/>
              <w:jc w:val="center"/>
              <w:rPr>
                <w:rFonts w:cstheme="minorBidi"/>
                <w:color w:val="000000"/>
                <w:sz w:val="20"/>
                <w:szCs w:val="20"/>
              </w:rPr>
            </w:pPr>
          </w:p>
        </w:tc>
        <w:tc>
          <w:tcPr>
            <w:tcW w:w="174" w:type="pct"/>
            <w:tcBorders>
              <w:top w:val="nil"/>
              <w:left w:val="nil"/>
              <w:bottom w:val="single" w:sz="8" w:space="0" w:color="auto"/>
              <w:right w:val="nil"/>
            </w:tcBorders>
            <w:shd w:val="clear" w:color="auto" w:fill="auto"/>
            <w:noWrap/>
            <w:vAlign w:val="center"/>
            <w:hideMark/>
          </w:tcPr>
          <w:p w14:paraId="1D24A791"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w:t>
            </w:r>
          </w:p>
        </w:tc>
        <w:tc>
          <w:tcPr>
            <w:tcW w:w="240" w:type="pct"/>
            <w:tcBorders>
              <w:top w:val="nil"/>
              <w:left w:val="nil"/>
              <w:bottom w:val="single" w:sz="8" w:space="0" w:color="auto"/>
              <w:right w:val="nil"/>
            </w:tcBorders>
            <w:shd w:val="clear" w:color="auto" w:fill="auto"/>
            <w:noWrap/>
            <w:vAlign w:val="center"/>
            <w:hideMark/>
          </w:tcPr>
          <w:p w14:paraId="223D3361"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w:t>
            </w:r>
          </w:p>
        </w:tc>
        <w:tc>
          <w:tcPr>
            <w:tcW w:w="174" w:type="pct"/>
            <w:tcBorders>
              <w:top w:val="nil"/>
              <w:left w:val="nil"/>
              <w:bottom w:val="single" w:sz="8" w:space="0" w:color="auto"/>
              <w:right w:val="nil"/>
            </w:tcBorders>
            <w:shd w:val="clear" w:color="auto" w:fill="auto"/>
            <w:noWrap/>
            <w:vAlign w:val="center"/>
            <w:hideMark/>
          </w:tcPr>
          <w:p w14:paraId="20E8D194"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w:t>
            </w:r>
          </w:p>
        </w:tc>
        <w:tc>
          <w:tcPr>
            <w:tcW w:w="240" w:type="pct"/>
            <w:tcBorders>
              <w:top w:val="nil"/>
              <w:left w:val="nil"/>
              <w:bottom w:val="single" w:sz="8" w:space="0" w:color="auto"/>
              <w:right w:val="nil"/>
            </w:tcBorders>
            <w:shd w:val="clear" w:color="auto" w:fill="auto"/>
            <w:noWrap/>
            <w:vAlign w:val="center"/>
            <w:hideMark/>
          </w:tcPr>
          <w:p w14:paraId="1EBCDD3B"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w:t>
            </w:r>
          </w:p>
        </w:tc>
        <w:tc>
          <w:tcPr>
            <w:tcW w:w="218" w:type="pct"/>
            <w:tcBorders>
              <w:top w:val="nil"/>
              <w:left w:val="nil"/>
              <w:bottom w:val="single" w:sz="8" w:space="0" w:color="auto"/>
              <w:right w:val="nil"/>
            </w:tcBorders>
            <w:shd w:val="clear" w:color="auto" w:fill="auto"/>
            <w:noWrap/>
            <w:vAlign w:val="center"/>
            <w:hideMark/>
          </w:tcPr>
          <w:p w14:paraId="4E7FD854"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w:t>
            </w:r>
          </w:p>
        </w:tc>
        <w:tc>
          <w:tcPr>
            <w:tcW w:w="348" w:type="pct"/>
            <w:tcBorders>
              <w:top w:val="nil"/>
              <w:left w:val="nil"/>
              <w:bottom w:val="single" w:sz="8" w:space="0" w:color="auto"/>
              <w:right w:val="single" w:sz="8" w:space="0" w:color="auto"/>
            </w:tcBorders>
            <w:shd w:val="clear" w:color="auto" w:fill="auto"/>
            <w:noWrap/>
            <w:vAlign w:val="center"/>
            <w:hideMark/>
          </w:tcPr>
          <w:p w14:paraId="199AFBB0"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 %</w:t>
            </w:r>
          </w:p>
        </w:tc>
        <w:tc>
          <w:tcPr>
            <w:tcW w:w="174" w:type="pct"/>
            <w:tcBorders>
              <w:top w:val="nil"/>
              <w:left w:val="nil"/>
              <w:bottom w:val="single" w:sz="8" w:space="0" w:color="auto"/>
              <w:right w:val="nil"/>
            </w:tcBorders>
            <w:shd w:val="clear" w:color="auto" w:fill="auto"/>
            <w:noWrap/>
            <w:vAlign w:val="center"/>
            <w:hideMark/>
          </w:tcPr>
          <w:p w14:paraId="69B65B5D"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w:t>
            </w:r>
          </w:p>
        </w:tc>
        <w:tc>
          <w:tcPr>
            <w:tcW w:w="240" w:type="pct"/>
            <w:tcBorders>
              <w:top w:val="nil"/>
              <w:left w:val="nil"/>
              <w:bottom w:val="single" w:sz="8" w:space="0" w:color="auto"/>
              <w:right w:val="nil"/>
            </w:tcBorders>
            <w:shd w:val="clear" w:color="auto" w:fill="auto"/>
            <w:noWrap/>
            <w:vAlign w:val="center"/>
            <w:hideMark/>
          </w:tcPr>
          <w:p w14:paraId="13DBE31E"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w:t>
            </w:r>
          </w:p>
        </w:tc>
        <w:tc>
          <w:tcPr>
            <w:tcW w:w="174" w:type="pct"/>
            <w:tcBorders>
              <w:top w:val="nil"/>
              <w:left w:val="nil"/>
              <w:bottom w:val="single" w:sz="8" w:space="0" w:color="auto"/>
              <w:right w:val="nil"/>
            </w:tcBorders>
            <w:shd w:val="clear" w:color="auto" w:fill="auto"/>
            <w:noWrap/>
            <w:vAlign w:val="center"/>
            <w:hideMark/>
          </w:tcPr>
          <w:p w14:paraId="75A4B1B0"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w:t>
            </w:r>
          </w:p>
        </w:tc>
        <w:tc>
          <w:tcPr>
            <w:tcW w:w="240" w:type="pct"/>
            <w:tcBorders>
              <w:top w:val="nil"/>
              <w:left w:val="nil"/>
              <w:bottom w:val="single" w:sz="8" w:space="0" w:color="auto"/>
              <w:right w:val="nil"/>
            </w:tcBorders>
            <w:shd w:val="clear" w:color="auto" w:fill="auto"/>
            <w:noWrap/>
            <w:vAlign w:val="center"/>
            <w:hideMark/>
          </w:tcPr>
          <w:p w14:paraId="4A41AB31"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w:t>
            </w:r>
          </w:p>
        </w:tc>
        <w:tc>
          <w:tcPr>
            <w:tcW w:w="196" w:type="pct"/>
            <w:tcBorders>
              <w:top w:val="nil"/>
              <w:left w:val="nil"/>
              <w:bottom w:val="single" w:sz="8" w:space="0" w:color="auto"/>
              <w:right w:val="nil"/>
            </w:tcBorders>
            <w:shd w:val="clear" w:color="auto" w:fill="auto"/>
            <w:noWrap/>
            <w:vAlign w:val="center"/>
            <w:hideMark/>
          </w:tcPr>
          <w:p w14:paraId="54515330"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w:t>
            </w:r>
          </w:p>
        </w:tc>
        <w:tc>
          <w:tcPr>
            <w:tcW w:w="351" w:type="pct"/>
            <w:tcBorders>
              <w:top w:val="nil"/>
              <w:left w:val="nil"/>
              <w:bottom w:val="single" w:sz="8" w:space="0" w:color="auto"/>
              <w:right w:val="single" w:sz="4" w:space="0" w:color="auto"/>
            </w:tcBorders>
            <w:shd w:val="clear" w:color="auto" w:fill="auto"/>
            <w:noWrap/>
            <w:vAlign w:val="center"/>
            <w:hideMark/>
          </w:tcPr>
          <w:p w14:paraId="4EF130DA"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 %</w:t>
            </w:r>
          </w:p>
        </w:tc>
        <w:tc>
          <w:tcPr>
            <w:tcW w:w="174" w:type="pct"/>
            <w:tcBorders>
              <w:top w:val="nil"/>
              <w:left w:val="single" w:sz="4" w:space="0" w:color="auto"/>
              <w:bottom w:val="single" w:sz="4" w:space="0" w:color="auto"/>
              <w:right w:val="nil"/>
            </w:tcBorders>
            <w:shd w:val="clear" w:color="auto" w:fill="auto"/>
            <w:noWrap/>
            <w:vAlign w:val="center"/>
            <w:hideMark/>
          </w:tcPr>
          <w:p w14:paraId="15EC01E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F</w:t>
            </w:r>
          </w:p>
        </w:tc>
        <w:tc>
          <w:tcPr>
            <w:tcW w:w="240" w:type="pct"/>
            <w:tcBorders>
              <w:top w:val="nil"/>
              <w:left w:val="nil"/>
              <w:bottom w:val="single" w:sz="4" w:space="0" w:color="auto"/>
              <w:right w:val="nil"/>
            </w:tcBorders>
            <w:shd w:val="clear" w:color="auto" w:fill="auto"/>
            <w:noWrap/>
            <w:vAlign w:val="center"/>
            <w:hideMark/>
          </w:tcPr>
          <w:p w14:paraId="1A1295B3"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F%</w:t>
            </w:r>
          </w:p>
        </w:tc>
        <w:tc>
          <w:tcPr>
            <w:tcW w:w="174" w:type="pct"/>
            <w:tcBorders>
              <w:top w:val="nil"/>
              <w:left w:val="nil"/>
              <w:bottom w:val="single" w:sz="4" w:space="0" w:color="auto"/>
              <w:right w:val="nil"/>
            </w:tcBorders>
            <w:shd w:val="clear" w:color="auto" w:fill="auto"/>
            <w:noWrap/>
            <w:vAlign w:val="center"/>
            <w:hideMark/>
          </w:tcPr>
          <w:p w14:paraId="5605BB2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M</w:t>
            </w:r>
          </w:p>
        </w:tc>
        <w:tc>
          <w:tcPr>
            <w:tcW w:w="240" w:type="pct"/>
            <w:tcBorders>
              <w:top w:val="nil"/>
              <w:left w:val="nil"/>
              <w:bottom w:val="single" w:sz="4" w:space="0" w:color="auto"/>
              <w:right w:val="nil"/>
            </w:tcBorders>
            <w:shd w:val="clear" w:color="auto" w:fill="auto"/>
            <w:noWrap/>
            <w:vAlign w:val="center"/>
            <w:hideMark/>
          </w:tcPr>
          <w:p w14:paraId="34E8EFA7"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M%</w:t>
            </w:r>
          </w:p>
        </w:tc>
        <w:tc>
          <w:tcPr>
            <w:tcW w:w="174" w:type="pct"/>
            <w:tcBorders>
              <w:top w:val="nil"/>
              <w:left w:val="nil"/>
              <w:bottom w:val="single" w:sz="4" w:space="0" w:color="auto"/>
              <w:right w:val="nil"/>
            </w:tcBorders>
            <w:shd w:val="clear" w:color="auto" w:fill="auto"/>
            <w:noWrap/>
            <w:vAlign w:val="center"/>
            <w:hideMark/>
          </w:tcPr>
          <w:p w14:paraId="673EAD8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T</w:t>
            </w:r>
          </w:p>
        </w:tc>
        <w:tc>
          <w:tcPr>
            <w:tcW w:w="352" w:type="pct"/>
            <w:tcBorders>
              <w:top w:val="nil"/>
              <w:left w:val="nil"/>
              <w:bottom w:val="single" w:sz="4" w:space="0" w:color="auto"/>
              <w:right w:val="single" w:sz="4" w:space="0" w:color="auto"/>
            </w:tcBorders>
            <w:shd w:val="clear" w:color="auto" w:fill="auto"/>
            <w:noWrap/>
            <w:vAlign w:val="center"/>
            <w:hideMark/>
          </w:tcPr>
          <w:p w14:paraId="6A935E3E"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Total %</w:t>
            </w:r>
          </w:p>
        </w:tc>
      </w:tr>
      <w:tr w:rsidR="00A36D59" w:rsidRPr="00FA7D47" w14:paraId="5F07371D"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5AF13CEB"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Sex</w:t>
            </w:r>
          </w:p>
        </w:tc>
        <w:tc>
          <w:tcPr>
            <w:tcW w:w="174" w:type="pct"/>
            <w:tcBorders>
              <w:top w:val="nil"/>
              <w:left w:val="nil"/>
              <w:bottom w:val="nil"/>
              <w:right w:val="nil"/>
            </w:tcBorders>
            <w:shd w:val="clear" w:color="auto" w:fill="auto"/>
            <w:noWrap/>
            <w:vAlign w:val="center"/>
            <w:hideMark/>
          </w:tcPr>
          <w:p w14:paraId="73BADC4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55</w:t>
            </w:r>
          </w:p>
        </w:tc>
        <w:tc>
          <w:tcPr>
            <w:tcW w:w="240" w:type="pct"/>
            <w:tcBorders>
              <w:top w:val="nil"/>
              <w:left w:val="nil"/>
              <w:bottom w:val="nil"/>
              <w:right w:val="nil"/>
            </w:tcBorders>
            <w:shd w:val="clear" w:color="auto" w:fill="auto"/>
            <w:noWrap/>
            <w:vAlign w:val="center"/>
            <w:hideMark/>
          </w:tcPr>
          <w:p w14:paraId="62A2B3D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46.2</w:t>
            </w:r>
          </w:p>
        </w:tc>
        <w:tc>
          <w:tcPr>
            <w:tcW w:w="174" w:type="pct"/>
            <w:tcBorders>
              <w:top w:val="nil"/>
              <w:left w:val="nil"/>
              <w:bottom w:val="nil"/>
              <w:right w:val="nil"/>
            </w:tcBorders>
            <w:shd w:val="clear" w:color="auto" w:fill="auto"/>
            <w:noWrap/>
            <w:vAlign w:val="center"/>
            <w:hideMark/>
          </w:tcPr>
          <w:p w14:paraId="16DA23B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64</w:t>
            </w:r>
          </w:p>
        </w:tc>
        <w:tc>
          <w:tcPr>
            <w:tcW w:w="240" w:type="pct"/>
            <w:tcBorders>
              <w:top w:val="nil"/>
              <w:left w:val="nil"/>
              <w:bottom w:val="nil"/>
              <w:right w:val="nil"/>
            </w:tcBorders>
            <w:shd w:val="clear" w:color="auto" w:fill="auto"/>
            <w:noWrap/>
            <w:vAlign w:val="center"/>
            <w:hideMark/>
          </w:tcPr>
          <w:p w14:paraId="4999BAF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53.8</w:t>
            </w:r>
          </w:p>
        </w:tc>
        <w:tc>
          <w:tcPr>
            <w:tcW w:w="218" w:type="pct"/>
            <w:tcBorders>
              <w:top w:val="nil"/>
              <w:left w:val="nil"/>
              <w:bottom w:val="nil"/>
              <w:right w:val="nil"/>
            </w:tcBorders>
            <w:shd w:val="clear" w:color="auto" w:fill="auto"/>
            <w:noWrap/>
            <w:vAlign w:val="center"/>
            <w:hideMark/>
          </w:tcPr>
          <w:p w14:paraId="29A65D2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119</w:t>
            </w:r>
          </w:p>
        </w:tc>
        <w:tc>
          <w:tcPr>
            <w:tcW w:w="348" w:type="pct"/>
            <w:tcBorders>
              <w:top w:val="nil"/>
              <w:left w:val="nil"/>
              <w:bottom w:val="nil"/>
              <w:right w:val="single" w:sz="8" w:space="0" w:color="auto"/>
            </w:tcBorders>
            <w:shd w:val="clear" w:color="auto" w:fill="auto"/>
            <w:noWrap/>
            <w:vAlign w:val="center"/>
            <w:hideMark/>
          </w:tcPr>
          <w:p w14:paraId="6E4FE586"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0A252F6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21</w:t>
            </w:r>
          </w:p>
        </w:tc>
        <w:tc>
          <w:tcPr>
            <w:tcW w:w="240" w:type="pct"/>
            <w:tcBorders>
              <w:top w:val="nil"/>
              <w:left w:val="nil"/>
              <w:bottom w:val="nil"/>
              <w:right w:val="nil"/>
            </w:tcBorders>
            <w:shd w:val="clear" w:color="auto" w:fill="auto"/>
            <w:noWrap/>
            <w:vAlign w:val="center"/>
            <w:hideMark/>
          </w:tcPr>
          <w:p w14:paraId="4F9867A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48.8</w:t>
            </w:r>
          </w:p>
        </w:tc>
        <w:tc>
          <w:tcPr>
            <w:tcW w:w="174" w:type="pct"/>
            <w:tcBorders>
              <w:top w:val="nil"/>
              <w:left w:val="nil"/>
              <w:bottom w:val="nil"/>
              <w:right w:val="nil"/>
            </w:tcBorders>
            <w:shd w:val="clear" w:color="auto" w:fill="auto"/>
            <w:noWrap/>
            <w:vAlign w:val="center"/>
            <w:hideMark/>
          </w:tcPr>
          <w:p w14:paraId="24CD0DF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22</w:t>
            </w:r>
          </w:p>
        </w:tc>
        <w:tc>
          <w:tcPr>
            <w:tcW w:w="240" w:type="pct"/>
            <w:tcBorders>
              <w:top w:val="nil"/>
              <w:left w:val="nil"/>
              <w:bottom w:val="nil"/>
              <w:right w:val="nil"/>
            </w:tcBorders>
            <w:shd w:val="clear" w:color="auto" w:fill="auto"/>
            <w:noWrap/>
            <w:vAlign w:val="center"/>
            <w:hideMark/>
          </w:tcPr>
          <w:p w14:paraId="699E961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51.2</w:t>
            </w:r>
          </w:p>
        </w:tc>
        <w:tc>
          <w:tcPr>
            <w:tcW w:w="196" w:type="pct"/>
            <w:tcBorders>
              <w:top w:val="nil"/>
              <w:left w:val="nil"/>
              <w:bottom w:val="nil"/>
              <w:right w:val="nil"/>
            </w:tcBorders>
            <w:shd w:val="clear" w:color="auto" w:fill="auto"/>
            <w:noWrap/>
            <w:vAlign w:val="center"/>
            <w:hideMark/>
          </w:tcPr>
          <w:p w14:paraId="03F037B7" w14:textId="77777777" w:rsidR="00A36D59" w:rsidRPr="009819CE" w:rsidRDefault="00A36D59" w:rsidP="0095549A">
            <w:pPr>
              <w:spacing w:after="0" w:line="240" w:lineRule="auto"/>
              <w:jc w:val="center"/>
              <w:rPr>
                <w:rFonts w:cstheme="minorBidi"/>
                <w:b/>
                <w:bCs/>
                <w:color w:val="FF0000"/>
                <w:sz w:val="20"/>
                <w:szCs w:val="20"/>
              </w:rPr>
            </w:pPr>
            <w:r w:rsidRPr="009819CE">
              <w:rPr>
                <w:rFonts w:cstheme="minorBidi"/>
                <w:b/>
                <w:bCs/>
                <w:color w:val="FF0000"/>
                <w:sz w:val="20"/>
                <w:szCs w:val="20"/>
              </w:rPr>
              <w:t>43</w:t>
            </w:r>
          </w:p>
        </w:tc>
        <w:tc>
          <w:tcPr>
            <w:tcW w:w="351" w:type="pct"/>
            <w:tcBorders>
              <w:top w:val="nil"/>
              <w:left w:val="nil"/>
              <w:bottom w:val="nil"/>
              <w:right w:val="single" w:sz="8" w:space="0" w:color="auto"/>
            </w:tcBorders>
            <w:shd w:val="clear" w:color="auto" w:fill="auto"/>
            <w:noWrap/>
            <w:vAlign w:val="center"/>
            <w:hideMark/>
          </w:tcPr>
          <w:p w14:paraId="31960EAB"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single" w:sz="4" w:space="0" w:color="auto"/>
              <w:left w:val="nil"/>
              <w:bottom w:val="nil"/>
              <w:right w:val="nil"/>
            </w:tcBorders>
            <w:shd w:val="clear" w:color="auto" w:fill="auto"/>
            <w:noWrap/>
            <w:vAlign w:val="center"/>
            <w:hideMark/>
          </w:tcPr>
          <w:p w14:paraId="64BD8FE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13</w:t>
            </w:r>
          </w:p>
        </w:tc>
        <w:tc>
          <w:tcPr>
            <w:tcW w:w="240" w:type="pct"/>
            <w:tcBorders>
              <w:top w:val="single" w:sz="4" w:space="0" w:color="auto"/>
              <w:left w:val="nil"/>
              <w:bottom w:val="nil"/>
              <w:right w:val="nil"/>
            </w:tcBorders>
            <w:shd w:val="clear" w:color="auto" w:fill="auto"/>
            <w:noWrap/>
            <w:vAlign w:val="center"/>
            <w:hideMark/>
          </w:tcPr>
          <w:p w14:paraId="5745C22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54.2</w:t>
            </w:r>
          </w:p>
        </w:tc>
        <w:tc>
          <w:tcPr>
            <w:tcW w:w="174" w:type="pct"/>
            <w:tcBorders>
              <w:top w:val="single" w:sz="4" w:space="0" w:color="auto"/>
              <w:left w:val="nil"/>
              <w:bottom w:val="nil"/>
              <w:right w:val="nil"/>
            </w:tcBorders>
            <w:shd w:val="clear" w:color="auto" w:fill="auto"/>
            <w:noWrap/>
            <w:vAlign w:val="center"/>
            <w:hideMark/>
          </w:tcPr>
          <w:p w14:paraId="2A36C92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w:t>
            </w:r>
          </w:p>
        </w:tc>
        <w:tc>
          <w:tcPr>
            <w:tcW w:w="240" w:type="pct"/>
            <w:tcBorders>
              <w:top w:val="single" w:sz="4" w:space="0" w:color="auto"/>
              <w:left w:val="nil"/>
              <w:bottom w:val="nil"/>
              <w:right w:val="nil"/>
            </w:tcBorders>
            <w:shd w:val="clear" w:color="auto" w:fill="auto"/>
            <w:noWrap/>
            <w:vAlign w:val="center"/>
            <w:hideMark/>
          </w:tcPr>
          <w:p w14:paraId="12CEEB3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45.8</w:t>
            </w:r>
          </w:p>
        </w:tc>
        <w:tc>
          <w:tcPr>
            <w:tcW w:w="174" w:type="pct"/>
            <w:tcBorders>
              <w:top w:val="single" w:sz="4" w:space="0" w:color="auto"/>
              <w:left w:val="nil"/>
              <w:bottom w:val="nil"/>
              <w:right w:val="nil"/>
            </w:tcBorders>
            <w:shd w:val="clear" w:color="auto" w:fill="auto"/>
            <w:noWrap/>
            <w:vAlign w:val="center"/>
            <w:hideMark/>
          </w:tcPr>
          <w:p w14:paraId="2721F92B" w14:textId="77777777" w:rsidR="00A36D59" w:rsidRPr="009819CE" w:rsidRDefault="00A36D59" w:rsidP="0095549A">
            <w:pPr>
              <w:spacing w:after="0" w:line="240" w:lineRule="auto"/>
              <w:jc w:val="center"/>
              <w:rPr>
                <w:rFonts w:cstheme="minorBidi"/>
                <w:b/>
                <w:bCs/>
                <w:color w:val="FF0000"/>
                <w:sz w:val="20"/>
                <w:szCs w:val="20"/>
              </w:rPr>
            </w:pPr>
            <w:r w:rsidRPr="009819CE">
              <w:rPr>
                <w:rFonts w:cstheme="minorBidi"/>
                <w:b/>
                <w:bCs/>
                <w:color w:val="FF0000"/>
                <w:sz w:val="20"/>
                <w:szCs w:val="20"/>
              </w:rPr>
              <w:t>24</w:t>
            </w:r>
          </w:p>
        </w:tc>
        <w:tc>
          <w:tcPr>
            <w:tcW w:w="352" w:type="pct"/>
            <w:tcBorders>
              <w:top w:val="single" w:sz="4" w:space="0" w:color="auto"/>
              <w:left w:val="nil"/>
              <w:bottom w:val="nil"/>
              <w:right w:val="single" w:sz="8" w:space="0" w:color="auto"/>
            </w:tcBorders>
            <w:shd w:val="clear" w:color="auto" w:fill="auto"/>
            <w:noWrap/>
            <w:vAlign w:val="center"/>
            <w:hideMark/>
          </w:tcPr>
          <w:p w14:paraId="5D60A0D7"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35840B43"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32DA39AA"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Body colour method</w:t>
            </w:r>
          </w:p>
        </w:tc>
        <w:tc>
          <w:tcPr>
            <w:tcW w:w="174" w:type="pct"/>
            <w:tcBorders>
              <w:top w:val="nil"/>
              <w:left w:val="nil"/>
              <w:bottom w:val="nil"/>
              <w:right w:val="nil"/>
            </w:tcBorders>
            <w:shd w:val="clear" w:color="auto" w:fill="auto"/>
            <w:noWrap/>
            <w:vAlign w:val="center"/>
            <w:hideMark/>
          </w:tcPr>
          <w:p w14:paraId="78E2F856" w14:textId="77777777" w:rsidR="00A36D59" w:rsidRPr="009819CE" w:rsidRDefault="00A36D59" w:rsidP="0095549A">
            <w:pPr>
              <w:spacing w:after="0" w:line="240" w:lineRule="auto"/>
              <w:jc w:val="center"/>
              <w:rPr>
                <w:rFonts w:cstheme="minorBidi"/>
                <w:b/>
                <w:bCs/>
                <w:color w:val="000000"/>
                <w:sz w:val="20"/>
                <w:szCs w:val="20"/>
              </w:rPr>
            </w:pPr>
          </w:p>
        </w:tc>
        <w:tc>
          <w:tcPr>
            <w:tcW w:w="240" w:type="pct"/>
            <w:tcBorders>
              <w:top w:val="nil"/>
              <w:left w:val="nil"/>
              <w:bottom w:val="nil"/>
              <w:right w:val="nil"/>
            </w:tcBorders>
            <w:shd w:val="clear" w:color="auto" w:fill="auto"/>
            <w:noWrap/>
            <w:vAlign w:val="center"/>
            <w:hideMark/>
          </w:tcPr>
          <w:p w14:paraId="365DE352"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4AE67FCE"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07C1D276" w14:textId="77777777" w:rsidR="00A36D59" w:rsidRPr="009819CE" w:rsidRDefault="00A36D59" w:rsidP="0095549A">
            <w:pPr>
              <w:spacing w:after="0" w:line="240" w:lineRule="auto"/>
              <w:jc w:val="center"/>
              <w:rPr>
                <w:rFonts w:cstheme="minorBidi"/>
                <w:sz w:val="20"/>
                <w:szCs w:val="20"/>
              </w:rPr>
            </w:pPr>
          </w:p>
        </w:tc>
        <w:tc>
          <w:tcPr>
            <w:tcW w:w="218" w:type="pct"/>
            <w:tcBorders>
              <w:top w:val="nil"/>
              <w:left w:val="nil"/>
              <w:bottom w:val="nil"/>
              <w:right w:val="nil"/>
            </w:tcBorders>
            <w:shd w:val="clear" w:color="auto" w:fill="auto"/>
            <w:noWrap/>
            <w:vAlign w:val="center"/>
            <w:hideMark/>
          </w:tcPr>
          <w:p w14:paraId="31B3BD6E" w14:textId="77777777" w:rsidR="00A36D59" w:rsidRPr="009819CE" w:rsidRDefault="00A36D59" w:rsidP="0095549A">
            <w:pPr>
              <w:spacing w:after="0" w:line="240" w:lineRule="auto"/>
              <w:jc w:val="center"/>
              <w:rPr>
                <w:rFonts w:cstheme="minorBidi"/>
                <w:sz w:val="20"/>
                <w:szCs w:val="20"/>
              </w:rPr>
            </w:pPr>
          </w:p>
        </w:tc>
        <w:tc>
          <w:tcPr>
            <w:tcW w:w="348" w:type="pct"/>
            <w:tcBorders>
              <w:top w:val="nil"/>
              <w:left w:val="nil"/>
              <w:bottom w:val="nil"/>
              <w:right w:val="single" w:sz="8" w:space="0" w:color="auto"/>
            </w:tcBorders>
            <w:shd w:val="clear" w:color="auto" w:fill="auto"/>
            <w:noWrap/>
            <w:vAlign w:val="center"/>
            <w:hideMark/>
          </w:tcPr>
          <w:p w14:paraId="5776E027"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0682250B"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49D3C78D"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5C9B3AAC"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4A26B924" w14:textId="77777777" w:rsidR="00A36D59" w:rsidRPr="009819CE" w:rsidRDefault="00A36D59" w:rsidP="0095549A">
            <w:pPr>
              <w:spacing w:after="0" w:line="240" w:lineRule="auto"/>
              <w:jc w:val="center"/>
              <w:rPr>
                <w:rFonts w:cstheme="minorBidi"/>
                <w:sz w:val="20"/>
                <w:szCs w:val="20"/>
              </w:rPr>
            </w:pPr>
          </w:p>
        </w:tc>
        <w:tc>
          <w:tcPr>
            <w:tcW w:w="196" w:type="pct"/>
            <w:tcBorders>
              <w:top w:val="nil"/>
              <w:left w:val="nil"/>
              <w:bottom w:val="nil"/>
              <w:right w:val="nil"/>
            </w:tcBorders>
            <w:shd w:val="clear" w:color="auto" w:fill="auto"/>
            <w:noWrap/>
            <w:vAlign w:val="center"/>
            <w:hideMark/>
          </w:tcPr>
          <w:p w14:paraId="4A99800E" w14:textId="77777777" w:rsidR="00A36D59" w:rsidRPr="009819CE" w:rsidRDefault="00A36D59" w:rsidP="0095549A">
            <w:pPr>
              <w:spacing w:after="0" w:line="240" w:lineRule="auto"/>
              <w:jc w:val="center"/>
              <w:rPr>
                <w:rFonts w:cstheme="minorBidi"/>
                <w:sz w:val="20"/>
                <w:szCs w:val="20"/>
              </w:rPr>
            </w:pPr>
          </w:p>
        </w:tc>
        <w:tc>
          <w:tcPr>
            <w:tcW w:w="351" w:type="pct"/>
            <w:tcBorders>
              <w:top w:val="nil"/>
              <w:left w:val="nil"/>
              <w:bottom w:val="nil"/>
              <w:right w:val="single" w:sz="8" w:space="0" w:color="auto"/>
            </w:tcBorders>
            <w:shd w:val="clear" w:color="auto" w:fill="auto"/>
            <w:noWrap/>
            <w:vAlign w:val="center"/>
            <w:hideMark/>
          </w:tcPr>
          <w:p w14:paraId="7DD27B17"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0EC911AD"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52B7D81D"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71EAA833"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52439A4C"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06833380" w14:textId="77777777" w:rsidR="00A36D59" w:rsidRPr="009819CE" w:rsidRDefault="00A36D59" w:rsidP="0095549A">
            <w:pPr>
              <w:spacing w:after="0" w:line="240" w:lineRule="auto"/>
              <w:jc w:val="center"/>
              <w:rPr>
                <w:rFonts w:cstheme="minorBidi"/>
                <w:sz w:val="20"/>
                <w:szCs w:val="20"/>
              </w:rPr>
            </w:pPr>
          </w:p>
        </w:tc>
        <w:tc>
          <w:tcPr>
            <w:tcW w:w="352" w:type="pct"/>
            <w:tcBorders>
              <w:top w:val="nil"/>
              <w:left w:val="nil"/>
              <w:bottom w:val="nil"/>
              <w:right w:val="single" w:sz="8" w:space="0" w:color="auto"/>
            </w:tcBorders>
            <w:shd w:val="clear" w:color="auto" w:fill="auto"/>
            <w:noWrap/>
            <w:vAlign w:val="center"/>
            <w:hideMark/>
          </w:tcPr>
          <w:p w14:paraId="725B5976"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1FC4CDF0"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25B0EBD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BCM negative</w:t>
            </w:r>
          </w:p>
        </w:tc>
        <w:tc>
          <w:tcPr>
            <w:tcW w:w="174" w:type="pct"/>
            <w:tcBorders>
              <w:top w:val="nil"/>
              <w:left w:val="nil"/>
              <w:bottom w:val="nil"/>
              <w:right w:val="nil"/>
            </w:tcBorders>
            <w:shd w:val="clear" w:color="auto" w:fill="auto"/>
            <w:noWrap/>
            <w:vAlign w:val="center"/>
            <w:hideMark/>
          </w:tcPr>
          <w:p w14:paraId="0F559E6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16</w:t>
            </w:r>
          </w:p>
        </w:tc>
        <w:tc>
          <w:tcPr>
            <w:tcW w:w="240" w:type="pct"/>
            <w:tcBorders>
              <w:top w:val="nil"/>
              <w:left w:val="nil"/>
              <w:bottom w:val="nil"/>
              <w:right w:val="nil"/>
            </w:tcBorders>
            <w:shd w:val="clear" w:color="auto" w:fill="auto"/>
            <w:noWrap/>
            <w:vAlign w:val="center"/>
            <w:hideMark/>
          </w:tcPr>
          <w:p w14:paraId="62A9DD4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36.4</w:t>
            </w:r>
          </w:p>
        </w:tc>
        <w:tc>
          <w:tcPr>
            <w:tcW w:w="174" w:type="pct"/>
            <w:tcBorders>
              <w:top w:val="nil"/>
              <w:left w:val="nil"/>
              <w:bottom w:val="nil"/>
              <w:right w:val="nil"/>
            </w:tcBorders>
            <w:shd w:val="clear" w:color="auto" w:fill="auto"/>
            <w:noWrap/>
            <w:vAlign w:val="center"/>
            <w:hideMark/>
          </w:tcPr>
          <w:p w14:paraId="299BF30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28</w:t>
            </w:r>
          </w:p>
        </w:tc>
        <w:tc>
          <w:tcPr>
            <w:tcW w:w="240" w:type="pct"/>
            <w:tcBorders>
              <w:top w:val="nil"/>
              <w:left w:val="nil"/>
              <w:bottom w:val="nil"/>
              <w:right w:val="nil"/>
            </w:tcBorders>
            <w:shd w:val="clear" w:color="auto" w:fill="auto"/>
            <w:noWrap/>
            <w:vAlign w:val="center"/>
            <w:hideMark/>
          </w:tcPr>
          <w:p w14:paraId="5EC6E00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23.5</w:t>
            </w:r>
          </w:p>
        </w:tc>
        <w:tc>
          <w:tcPr>
            <w:tcW w:w="218" w:type="pct"/>
            <w:tcBorders>
              <w:top w:val="nil"/>
              <w:left w:val="nil"/>
              <w:bottom w:val="nil"/>
              <w:right w:val="nil"/>
            </w:tcBorders>
            <w:shd w:val="clear" w:color="auto" w:fill="auto"/>
            <w:noWrap/>
            <w:vAlign w:val="center"/>
            <w:hideMark/>
          </w:tcPr>
          <w:p w14:paraId="0E8E5FB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44</w:t>
            </w:r>
          </w:p>
        </w:tc>
        <w:tc>
          <w:tcPr>
            <w:tcW w:w="348" w:type="pct"/>
            <w:tcBorders>
              <w:top w:val="nil"/>
              <w:left w:val="nil"/>
              <w:bottom w:val="nil"/>
              <w:right w:val="single" w:sz="8" w:space="0" w:color="auto"/>
            </w:tcBorders>
            <w:shd w:val="clear" w:color="auto" w:fill="auto"/>
            <w:noWrap/>
            <w:vAlign w:val="center"/>
            <w:hideMark/>
          </w:tcPr>
          <w:p w14:paraId="06FBA9A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37</w:t>
            </w:r>
          </w:p>
        </w:tc>
        <w:tc>
          <w:tcPr>
            <w:tcW w:w="174" w:type="pct"/>
            <w:tcBorders>
              <w:top w:val="nil"/>
              <w:left w:val="nil"/>
              <w:bottom w:val="nil"/>
              <w:right w:val="nil"/>
            </w:tcBorders>
            <w:shd w:val="clear" w:color="auto" w:fill="auto"/>
            <w:noWrap/>
            <w:vAlign w:val="center"/>
            <w:hideMark/>
          </w:tcPr>
          <w:p w14:paraId="7FA85D4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240" w:type="pct"/>
            <w:tcBorders>
              <w:top w:val="nil"/>
              <w:left w:val="nil"/>
              <w:bottom w:val="nil"/>
              <w:right w:val="nil"/>
            </w:tcBorders>
            <w:shd w:val="clear" w:color="auto" w:fill="auto"/>
            <w:noWrap/>
            <w:vAlign w:val="center"/>
            <w:hideMark/>
          </w:tcPr>
          <w:p w14:paraId="790E94E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3F73395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w:t>
            </w:r>
          </w:p>
        </w:tc>
        <w:tc>
          <w:tcPr>
            <w:tcW w:w="240" w:type="pct"/>
            <w:tcBorders>
              <w:top w:val="nil"/>
              <w:left w:val="nil"/>
              <w:bottom w:val="nil"/>
              <w:right w:val="nil"/>
            </w:tcBorders>
            <w:shd w:val="clear" w:color="auto" w:fill="auto"/>
            <w:noWrap/>
            <w:vAlign w:val="center"/>
            <w:hideMark/>
          </w:tcPr>
          <w:p w14:paraId="426C575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18.6</w:t>
            </w:r>
          </w:p>
        </w:tc>
        <w:tc>
          <w:tcPr>
            <w:tcW w:w="196" w:type="pct"/>
            <w:tcBorders>
              <w:top w:val="nil"/>
              <w:left w:val="nil"/>
              <w:bottom w:val="nil"/>
              <w:right w:val="nil"/>
            </w:tcBorders>
            <w:shd w:val="clear" w:color="auto" w:fill="auto"/>
            <w:noWrap/>
            <w:vAlign w:val="center"/>
            <w:hideMark/>
          </w:tcPr>
          <w:p w14:paraId="5160559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w:t>
            </w:r>
          </w:p>
        </w:tc>
        <w:tc>
          <w:tcPr>
            <w:tcW w:w="351" w:type="pct"/>
            <w:tcBorders>
              <w:top w:val="nil"/>
              <w:left w:val="nil"/>
              <w:bottom w:val="nil"/>
              <w:right w:val="single" w:sz="8" w:space="0" w:color="auto"/>
            </w:tcBorders>
            <w:shd w:val="clear" w:color="auto" w:fill="auto"/>
            <w:noWrap/>
            <w:vAlign w:val="center"/>
            <w:hideMark/>
          </w:tcPr>
          <w:p w14:paraId="77BF59C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27.9</w:t>
            </w:r>
          </w:p>
        </w:tc>
        <w:tc>
          <w:tcPr>
            <w:tcW w:w="174" w:type="pct"/>
            <w:tcBorders>
              <w:top w:val="nil"/>
              <w:left w:val="nil"/>
              <w:bottom w:val="nil"/>
              <w:right w:val="nil"/>
            </w:tcBorders>
            <w:shd w:val="clear" w:color="auto" w:fill="auto"/>
            <w:noWrap/>
            <w:vAlign w:val="center"/>
            <w:hideMark/>
          </w:tcPr>
          <w:p w14:paraId="02E48A7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14A139F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40</w:t>
            </w:r>
          </w:p>
        </w:tc>
        <w:tc>
          <w:tcPr>
            <w:tcW w:w="174" w:type="pct"/>
            <w:tcBorders>
              <w:top w:val="nil"/>
              <w:left w:val="nil"/>
              <w:bottom w:val="nil"/>
              <w:right w:val="nil"/>
            </w:tcBorders>
            <w:shd w:val="clear" w:color="auto" w:fill="auto"/>
            <w:noWrap/>
            <w:vAlign w:val="center"/>
            <w:hideMark/>
          </w:tcPr>
          <w:p w14:paraId="0839BC2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29F42BF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60</w:t>
            </w:r>
          </w:p>
        </w:tc>
        <w:tc>
          <w:tcPr>
            <w:tcW w:w="174" w:type="pct"/>
            <w:tcBorders>
              <w:top w:val="nil"/>
              <w:left w:val="nil"/>
              <w:bottom w:val="nil"/>
              <w:right w:val="nil"/>
            </w:tcBorders>
            <w:shd w:val="clear" w:color="auto" w:fill="auto"/>
            <w:noWrap/>
            <w:vAlign w:val="center"/>
            <w:hideMark/>
          </w:tcPr>
          <w:p w14:paraId="1746752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w:t>
            </w:r>
          </w:p>
        </w:tc>
        <w:tc>
          <w:tcPr>
            <w:tcW w:w="352" w:type="pct"/>
            <w:tcBorders>
              <w:top w:val="nil"/>
              <w:left w:val="nil"/>
              <w:bottom w:val="nil"/>
              <w:right w:val="single" w:sz="8" w:space="0" w:color="auto"/>
            </w:tcBorders>
            <w:shd w:val="clear" w:color="auto" w:fill="auto"/>
            <w:noWrap/>
            <w:vAlign w:val="center"/>
            <w:hideMark/>
          </w:tcPr>
          <w:p w14:paraId="0508056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20.8</w:t>
            </w:r>
          </w:p>
        </w:tc>
      </w:tr>
      <w:tr w:rsidR="00A36D59" w:rsidRPr="00FA7D47" w14:paraId="5B2D3825"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5C1D318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BCM positive</w:t>
            </w:r>
          </w:p>
        </w:tc>
        <w:tc>
          <w:tcPr>
            <w:tcW w:w="174" w:type="pct"/>
            <w:tcBorders>
              <w:top w:val="nil"/>
              <w:left w:val="nil"/>
              <w:bottom w:val="nil"/>
              <w:right w:val="nil"/>
            </w:tcBorders>
            <w:shd w:val="clear" w:color="auto" w:fill="auto"/>
            <w:noWrap/>
            <w:vAlign w:val="center"/>
            <w:hideMark/>
          </w:tcPr>
          <w:p w14:paraId="6701CA8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39</w:t>
            </w:r>
          </w:p>
        </w:tc>
        <w:tc>
          <w:tcPr>
            <w:tcW w:w="240" w:type="pct"/>
            <w:tcBorders>
              <w:top w:val="nil"/>
              <w:left w:val="nil"/>
              <w:bottom w:val="nil"/>
              <w:right w:val="nil"/>
            </w:tcBorders>
            <w:shd w:val="clear" w:color="auto" w:fill="auto"/>
            <w:noWrap/>
            <w:vAlign w:val="center"/>
            <w:hideMark/>
          </w:tcPr>
          <w:p w14:paraId="4AC2951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52</w:t>
            </w:r>
          </w:p>
        </w:tc>
        <w:tc>
          <w:tcPr>
            <w:tcW w:w="174" w:type="pct"/>
            <w:tcBorders>
              <w:top w:val="nil"/>
              <w:left w:val="nil"/>
              <w:bottom w:val="nil"/>
              <w:right w:val="nil"/>
            </w:tcBorders>
            <w:shd w:val="clear" w:color="auto" w:fill="auto"/>
            <w:noWrap/>
            <w:vAlign w:val="center"/>
            <w:hideMark/>
          </w:tcPr>
          <w:p w14:paraId="25DFB36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36</w:t>
            </w:r>
          </w:p>
        </w:tc>
        <w:tc>
          <w:tcPr>
            <w:tcW w:w="240" w:type="pct"/>
            <w:tcBorders>
              <w:top w:val="nil"/>
              <w:left w:val="nil"/>
              <w:bottom w:val="nil"/>
              <w:right w:val="nil"/>
            </w:tcBorders>
            <w:shd w:val="clear" w:color="auto" w:fill="auto"/>
            <w:noWrap/>
            <w:vAlign w:val="center"/>
            <w:hideMark/>
          </w:tcPr>
          <w:p w14:paraId="11F375C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30.3</w:t>
            </w:r>
          </w:p>
        </w:tc>
        <w:tc>
          <w:tcPr>
            <w:tcW w:w="218" w:type="pct"/>
            <w:tcBorders>
              <w:top w:val="nil"/>
              <w:left w:val="nil"/>
              <w:bottom w:val="nil"/>
              <w:right w:val="nil"/>
            </w:tcBorders>
            <w:shd w:val="clear" w:color="auto" w:fill="auto"/>
            <w:noWrap/>
            <w:vAlign w:val="center"/>
            <w:hideMark/>
          </w:tcPr>
          <w:p w14:paraId="43F92B1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75</w:t>
            </w:r>
          </w:p>
        </w:tc>
        <w:tc>
          <w:tcPr>
            <w:tcW w:w="348" w:type="pct"/>
            <w:tcBorders>
              <w:top w:val="nil"/>
              <w:left w:val="nil"/>
              <w:bottom w:val="nil"/>
              <w:right w:val="single" w:sz="8" w:space="0" w:color="auto"/>
            </w:tcBorders>
            <w:shd w:val="clear" w:color="auto" w:fill="auto"/>
            <w:noWrap/>
            <w:vAlign w:val="center"/>
            <w:hideMark/>
          </w:tcPr>
          <w:p w14:paraId="48F6806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63</w:t>
            </w:r>
          </w:p>
        </w:tc>
        <w:tc>
          <w:tcPr>
            <w:tcW w:w="174" w:type="pct"/>
            <w:tcBorders>
              <w:top w:val="nil"/>
              <w:left w:val="nil"/>
              <w:bottom w:val="nil"/>
              <w:right w:val="nil"/>
            </w:tcBorders>
            <w:shd w:val="clear" w:color="auto" w:fill="auto"/>
            <w:noWrap/>
            <w:vAlign w:val="center"/>
            <w:hideMark/>
          </w:tcPr>
          <w:p w14:paraId="33A9872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w:t>
            </w:r>
          </w:p>
        </w:tc>
        <w:tc>
          <w:tcPr>
            <w:tcW w:w="240" w:type="pct"/>
            <w:tcBorders>
              <w:top w:val="nil"/>
              <w:left w:val="nil"/>
              <w:bottom w:val="nil"/>
              <w:right w:val="nil"/>
            </w:tcBorders>
            <w:shd w:val="clear" w:color="auto" w:fill="auto"/>
            <w:noWrap/>
            <w:vAlign w:val="center"/>
            <w:hideMark/>
          </w:tcPr>
          <w:p w14:paraId="09B1B2F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60.7</w:t>
            </w:r>
          </w:p>
        </w:tc>
        <w:tc>
          <w:tcPr>
            <w:tcW w:w="174" w:type="pct"/>
            <w:tcBorders>
              <w:top w:val="nil"/>
              <w:left w:val="nil"/>
              <w:bottom w:val="nil"/>
              <w:right w:val="nil"/>
            </w:tcBorders>
            <w:shd w:val="clear" w:color="auto" w:fill="auto"/>
            <w:noWrap/>
            <w:vAlign w:val="center"/>
            <w:hideMark/>
          </w:tcPr>
          <w:p w14:paraId="012A72A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14</w:t>
            </w:r>
          </w:p>
        </w:tc>
        <w:tc>
          <w:tcPr>
            <w:tcW w:w="240" w:type="pct"/>
            <w:tcBorders>
              <w:top w:val="nil"/>
              <w:left w:val="nil"/>
              <w:bottom w:val="nil"/>
              <w:right w:val="nil"/>
            </w:tcBorders>
            <w:shd w:val="clear" w:color="auto" w:fill="auto"/>
            <w:noWrap/>
            <w:vAlign w:val="center"/>
            <w:hideMark/>
          </w:tcPr>
          <w:p w14:paraId="547C9BB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32.6</w:t>
            </w:r>
          </w:p>
        </w:tc>
        <w:tc>
          <w:tcPr>
            <w:tcW w:w="196" w:type="pct"/>
            <w:tcBorders>
              <w:top w:val="nil"/>
              <w:left w:val="nil"/>
              <w:bottom w:val="nil"/>
              <w:right w:val="nil"/>
            </w:tcBorders>
            <w:shd w:val="clear" w:color="auto" w:fill="auto"/>
            <w:noWrap/>
            <w:vAlign w:val="center"/>
            <w:hideMark/>
          </w:tcPr>
          <w:p w14:paraId="4B6DFC9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28</w:t>
            </w:r>
          </w:p>
        </w:tc>
        <w:tc>
          <w:tcPr>
            <w:tcW w:w="351" w:type="pct"/>
            <w:tcBorders>
              <w:top w:val="nil"/>
              <w:left w:val="nil"/>
              <w:bottom w:val="nil"/>
              <w:right w:val="single" w:sz="8" w:space="0" w:color="auto"/>
            </w:tcBorders>
            <w:shd w:val="clear" w:color="auto" w:fill="auto"/>
            <w:noWrap/>
            <w:vAlign w:val="center"/>
            <w:hideMark/>
          </w:tcPr>
          <w:p w14:paraId="55810F7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65.1</w:t>
            </w:r>
          </w:p>
        </w:tc>
        <w:tc>
          <w:tcPr>
            <w:tcW w:w="174" w:type="pct"/>
            <w:tcBorders>
              <w:top w:val="nil"/>
              <w:left w:val="nil"/>
              <w:bottom w:val="nil"/>
              <w:right w:val="nil"/>
            </w:tcBorders>
            <w:shd w:val="clear" w:color="auto" w:fill="auto"/>
            <w:noWrap/>
            <w:vAlign w:val="center"/>
            <w:hideMark/>
          </w:tcPr>
          <w:p w14:paraId="533C234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w:t>
            </w:r>
          </w:p>
        </w:tc>
        <w:tc>
          <w:tcPr>
            <w:tcW w:w="240" w:type="pct"/>
            <w:tcBorders>
              <w:top w:val="nil"/>
              <w:left w:val="nil"/>
              <w:bottom w:val="nil"/>
              <w:right w:val="nil"/>
            </w:tcBorders>
            <w:shd w:val="clear" w:color="auto" w:fill="auto"/>
            <w:noWrap/>
            <w:vAlign w:val="center"/>
            <w:hideMark/>
          </w:tcPr>
          <w:p w14:paraId="4523023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57.9</w:t>
            </w:r>
          </w:p>
        </w:tc>
        <w:tc>
          <w:tcPr>
            <w:tcW w:w="174" w:type="pct"/>
            <w:tcBorders>
              <w:top w:val="nil"/>
              <w:left w:val="nil"/>
              <w:bottom w:val="nil"/>
              <w:right w:val="nil"/>
            </w:tcBorders>
            <w:shd w:val="clear" w:color="auto" w:fill="auto"/>
            <w:noWrap/>
            <w:vAlign w:val="center"/>
            <w:hideMark/>
          </w:tcPr>
          <w:p w14:paraId="6B1999A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w:t>
            </w:r>
          </w:p>
        </w:tc>
        <w:tc>
          <w:tcPr>
            <w:tcW w:w="240" w:type="pct"/>
            <w:tcBorders>
              <w:top w:val="nil"/>
              <w:left w:val="nil"/>
              <w:bottom w:val="nil"/>
              <w:right w:val="nil"/>
            </w:tcBorders>
            <w:shd w:val="clear" w:color="auto" w:fill="auto"/>
            <w:noWrap/>
            <w:vAlign w:val="center"/>
            <w:hideMark/>
          </w:tcPr>
          <w:p w14:paraId="50287E0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42.1</w:t>
            </w:r>
          </w:p>
        </w:tc>
        <w:tc>
          <w:tcPr>
            <w:tcW w:w="174" w:type="pct"/>
            <w:tcBorders>
              <w:top w:val="nil"/>
              <w:left w:val="nil"/>
              <w:bottom w:val="nil"/>
              <w:right w:val="nil"/>
            </w:tcBorders>
            <w:shd w:val="clear" w:color="auto" w:fill="auto"/>
            <w:noWrap/>
            <w:vAlign w:val="center"/>
            <w:hideMark/>
          </w:tcPr>
          <w:p w14:paraId="3C787F3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19</w:t>
            </w:r>
          </w:p>
        </w:tc>
        <w:tc>
          <w:tcPr>
            <w:tcW w:w="352" w:type="pct"/>
            <w:tcBorders>
              <w:top w:val="nil"/>
              <w:left w:val="nil"/>
              <w:bottom w:val="nil"/>
              <w:right w:val="single" w:sz="8" w:space="0" w:color="auto"/>
            </w:tcBorders>
            <w:shd w:val="clear" w:color="auto" w:fill="auto"/>
            <w:noWrap/>
            <w:vAlign w:val="center"/>
            <w:hideMark/>
          </w:tcPr>
          <w:p w14:paraId="75B5D15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79.2</w:t>
            </w:r>
          </w:p>
        </w:tc>
      </w:tr>
      <w:tr w:rsidR="00A36D59" w:rsidRPr="00FA7D47" w14:paraId="4641E2D9"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70CFC42C"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Pleopod method (PM)</w:t>
            </w:r>
          </w:p>
        </w:tc>
        <w:tc>
          <w:tcPr>
            <w:tcW w:w="174" w:type="pct"/>
            <w:tcBorders>
              <w:top w:val="nil"/>
              <w:left w:val="nil"/>
              <w:bottom w:val="nil"/>
              <w:right w:val="nil"/>
            </w:tcBorders>
            <w:shd w:val="clear" w:color="auto" w:fill="auto"/>
            <w:noWrap/>
            <w:vAlign w:val="center"/>
            <w:hideMark/>
          </w:tcPr>
          <w:p w14:paraId="6DA5B8ED" w14:textId="77777777" w:rsidR="00A36D59" w:rsidRPr="009819CE" w:rsidRDefault="00A36D59" w:rsidP="0095549A">
            <w:pPr>
              <w:spacing w:after="0" w:line="240" w:lineRule="auto"/>
              <w:jc w:val="center"/>
              <w:rPr>
                <w:rFonts w:cstheme="minorBidi"/>
                <w:b/>
                <w:bCs/>
                <w:color w:val="000000"/>
                <w:sz w:val="20"/>
                <w:szCs w:val="20"/>
              </w:rPr>
            </w:pPr>
          </w:p>
        </w:tc>
        <w:tc>
          <w:tcPr>
            <w:tcW w:w="240" w:type="pct"/>
            <w:tcBorders>
              <w:top w:val="nil"/>
              <w:left w:val="nil"/>
              <w:bottom w:val="nil"/>
              <w:right w:val="nil"/>
            </w:tcBorders>
            <w:shd w:val="clear" w:color="auto" w:fill="auto"/>
            <w:noWrap/>
            <w:vAlign w:val="center"/>
            <w:hideMark/>
          </w:tcPr>
          <w:p w14:paraId="09B46080"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67E6C07A"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1A72E815" w14:textId="77777777" w:rsidR="00A36D59" w:rsidRPr="009819CE" w:rsidRDefault="00A36D59" w:rsidP="0095549A">
            <w:pPr>
              <w:spacing w:after="0" w:line="240" w:lineRule="auto"/>
              <w:jc w:val="center"/>
              <w:rPr>
                <w:rFonts w:cstheme="minorBidi"/>
                <w:sz w:val="20"/>
                <w:szCs w:val="20"/>
              </w:rPr>
            </w:pPr>
          </w:p>
        </w:tc>
        <w:tc>
          <w:tcPr>
            <w:tcW w:w="218" w:type="pct"/>
            <w:tcBorders>
              <w:top w:val="nil"/>
              <w:left w:val="nil"/>
              <w:bottom w:val="nil"/>
              <w:right w:val="nil"/>
            </w:tcBorders>
            <w:shd w:val="clear" w:color="auto" w:fill="auto"/>
            <w:noWrap/>
            <w:vAlign w:val="center"/>
            <w:hideMark/>
          </w:tcPr>
          <w:p w14:paraId="453E265A" w14:textId="77777777" w:rsidR="00A36D59" w:rsidRPr="009819CE" w:rsidRDefault="00A36D59" w:rsidP="0095549A">
            <w:pPr>
              <w:spacing w:after="0" w:line="240" w:lineRule="auto"/>
              <w:jc w:val="center"/>
              <w:rPr>
                <w:rFonts w:cstheme="minorBidi"/>
                <w:sz w:val="20"/>
                <w:szCs w:val="20"/>
              </w:rPr>
            </w:pPr>
          </w:p>
        </w:tc>
        <w:tc>
          <w:tcPr>
            <w:tcW w:w="348" w:type="pct"/>
            <w:tcBorders>
              <w:top w:val="nil"/>
              <w:left w:val="nil"/>
              <w:bottom w:val="nil"/>
              <w:right w:val="single" w:sz="8" w:space="0" w:color="auto"/>
            </w:tcBorders>
            <w:shd w:val="clear" w:color="auto" w:fill="auto"/>
            <w:noWrap/>
            <w:vAlign w:val="center"/>
            <w:hideMark/>
          </w:tcPr>
          <w:p w14:paraId="7C52116D"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73736E6B"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2E5FE766"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303CF684"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2DCA0437" w14:textId="77777777" w:rsidR="00A36D59" w:rsidRPr="009819CE" w:rsidRDefault="00A36D59" w:rsidP="0095549A">
            <w:pPr>
              <w:spacing w:after="0" w:line="240" w:lineRule="auto"/>
              <w:jc w:val="center"/>
              <w:rPr>
                <w:rFonts w:cstheme="minorBidi"/>
                <w:sz w:val="20"/>
                <w:szCs w:val="20"/>
              </w:rPr>
            </w:pPr>
          </w:p>
        </w:tc>
        <w:tc>
          <w:tcPr>
            <w:tcW w:w="196" w:type="pct"/>
            <w:tcBorders>
              <w:top w:val="nil"/>
              <w:left w:val="nil"/>
              <w:bottom w:val="nil"/>
              <w:right w:val="nil"/>
            </w:tcBorders>
            <w:shd w:val="clear" w:color="auto" w:fill="auto"/>
            <w:noWrap/>
            <w:vAlign w:val="center"/>
            <w:hideMark/>
          </w:tcPr>
          <w:p w14:paraId="3A1078CA" w14:textId="77777777" w:rsidR="00A36D59" w:rsidRPr="009819CE" w:rsidRDefault="00A36D59" w:rsidP="0095549A">
            <w:pPr>
              <w:spacing w:after="0" w:line="240" w:lineRule="auto"/>
              <w:jc w:val="center"/>
              <w:rPr>
                <w:rFonts w:cstheme="minorBidi"/>
                <w:sz w:val="20"/>
                <w:szCs w:val="20"/>
              </w:rPr>
            </w:pPr>
          </w:p>
        </w:tc>
        <w:tc>
          <w:tcPr>
            <w:tcW w:w="351" w:type="pct"/>
            <w:tcBorders>
              <w:top w:val="nil"/>
              <w:left w:val="nil"/>
              <w:bottom w:val="nil"/>
              <w:right w:val="single" w:sz="8" w:space="0" w:color="auto"/>
            </w:tcBorders>
            <w:shd w:val="clear" w:color="auto" w:fill="auto"/>
            <w:noWrap/>
            <w:vAlign w:val="center"/>
            <w:hideMark/>
          </w:tcPr>
          <w:p w14:paraId="24F6A9D0"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25DD4E88"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361A7333"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2FC2436B"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4AA13C2F"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268EA886" w14:textId="77777777" w:rsidR="00A36D59" w:rsidRPr="009819CE" w:rsidRDefault="00A36D59" w:rsidP="0095549A">
            <w:pPr>
              <w:spacing w:after="0" w:line="240" w:lineRule="auto"/>
              <w:jc w:val="center"/>
              <w:rPr>
                <w:rFonts w:cstheme="minorBidi"/>
                <w:sz w:val="20"/>
                <w:szCs w:val="20"/>
              </w:rPr>
            </w:pPr>
          </w:p>
        </w:tc>
        <w:tc>
          <w:tcPr>
            <w:tcW w:w="352" w:type="pct"/>
            <w:tcBorders>
              <w:top w:val="nil"/>
              <w:left w:val="nil"/>
              <w:bottom w:val="nil"/>
              <w:right w:val="single" w:sz="8" w:space="0" w:color="auto"/>
            </w:tcBorders>
            <w:shd w:val="clear" w:color="auto" w:fill="auto"/>
            <w:noWrap/>
            <w:vAlign w:val="center"/>
            <w:hideMark/>
          </w:tcPr>
          <w:p w14:paraId="49E3E12A"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46C1C912"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68A8697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S0</w:t>
            </w:r>
          </w:p>
        </w:tc>
        <w:tc>
          <w:tcPr>
            <w:tcW w:w="174" w:type="pct"/>
            <w:tcBorders>
              <w:top w:val="nil"/>
              <w:left w:val="nil"/>
              <w:bottom w:val="nil"/>
              <w:right w:val="nil"/>
            </w:tcBorders>
            <w:shd w:val="clear" w:color="auto" w:fill="auto"/>
            <w:noWrap/>
            <w:vAlign w:val="center"/>
            <w:hideMark/>
          </w:tcPr>
          <w:p w14:paraId="1FE2AA6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w:t>
            </w:r>
          </w:p>
        </w:tc>
        <w:tc>
          <w:tcPr>
            <w:tcW w:w="240" w:type="pct"/>
            <w:tcBorders>
              <w:top w:val="nil"/>
              <w:left w:val="nil"/>
              <w:bottom w:val="nil"/>
              <w:right w:val="nil"/>
            </w:tcBorders>
            <w:shd w:val="clear" w:color="auto" w:fill="auto"/>
            <w:noWrap/>
            <w:vAlign w:val="center"/>
            <w:hideMark/>
          </w:tcPr>
          <w:p w14:paraId="55B0501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37.5</w:t>
            </w:r>
          </w:p>
        </w:tc>
        <w:tc>
          <w:tcPr>
            <w:tcW w:w="174" w:type="pct"/>
            <w:tcBorders>
              <w:top w:val="nil"/>
              <w:left w:val="nil"/>
              <w:bottom w:val="nil"/>
              <w:right w:val="nil"/>
            </w:tcBorders>
            <w:shd w:val="clear" w:color="auto" w:fill="auto"/>
            <w:noWrap/>
            <w:vAlign w:val="center"/>
            <w:hideMark/>
          </w:tcPr>
          <w:p w14:paraId="67FE5DC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20</w:t>
            </w:r>
          </w:p>
        </w:tc>
        <w:tc>
          <w:tcPr>
            <w:tcW w:w="240" w:type="pct"/>
            <w:tcBorders>
              <w:top w:val="nil"/>
              <w:left w:val="nil"/>
              <w:bottom w:val="nil"/>
              <w:right w:val="nil"/>
            </w:tcBorders>
            <w:shd w:val="clear" w:color="auto" w:fill="auto"/>
            <w:noWrap/>
            <w:vAlign w:val="center"/>
            <w:hideMark/>
          </w:tcPr>
          <w:p w14:paraId="24613F3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62.5</w:t>
            </w:r>
          </w:p>
        </w:tc>
        <w:tc>
          <w:tcPr>
            <w:tcW w:w="218" w:type="pct"/>
            <w:tcBorders>
              <w:top w:val="nil"/>
              <w:left w:val="nil"/>
              <w:bottom w:val="nil"/>
              <w:right w:val="nil"/>
            </w:tcBorders>
            <w:shd w:val="clear" w:color="auto" w:fill="auto"/>
            <w:noWrap/>
            <w:vAlign w:val="center"/>
            <w:hideMark/>
          </w:tcPr>
          <w:p w14:paraId="41C2EE3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32</w:t>
            </w:r>
          </w:p>
        </w:tc>
        <w:tc>
          <w:tcPr>
            <w:tcW w:w="348" w:type="pct"/>
            <w:tcBorders>
              <w:top w:val="nil"/>
              <w:left w:val="nil"/>
              <w:bottom w:val="nil"/>
              <w:right w:val="single" w:sz="8" w:space="0" w:color="auto"/>
            </w:tcBorders>
            <w:shd w:val="clear" w:color="auto" w:fill="auto"/>
            <w:noWrap/>
            <w:vAlign w:val="center"/>
            <w:hideMark/>
          </w:tcPr>
          <w:p w14:paraId="6E3A31A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26.9</w:t>
            </w:r>
          </w:p>
        </w:tc>
        <w:tc>
          <w:tcPr>
            <w:tcW w:w="174" w:type="pct"/>
            <w:tcBorders>
              <w:top w:val="nil"/>
              <w:left w:val="nil"/>
              <w:bottom w:val="nil"/>
              <w:right w:val="nil"/>
            </w:tcBorders>
            <w:shd w:val="clear" w:color="auto" w:fill="auto"/>
            <w:noWrap/>
            <w:vAlign w:val="center"/>
            <w:hideMark/>
          </w:tcPr>
          <w:p w14:paraId="4991082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5BF18FB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42.9</w:t>
            </w:r>
          </w:p>
        </w:tc>
        <w:tc>
          <w:tcPr>
            <w:tcW w:w="174" w:type="pct"/>
            <w:tcBorders>
              <w:top w:val="nil"/>
              <w:left w:val="nil"/>
              <w:bottom w:val="nil"/>
              <w:right w:val="nil"/>
            </w:tcBorders>
            <w:shd w:val="clear" w:color="auto" w:fill="auto"/>
            <w:noWrap/>
            <w:vAlign w:val="center"/>
            <w:hideMark/>
          </w:tcPr>
          <w:p w14:paraId="5D231C0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240" w:type="pct"/>
            <w:tcBorders>
              <w:top w:val="nil"/>
              <w:left w:val="nil"/>
              <w:bottom w:val="nil"/>
              <w:right w:val="nil"/>
            </w:tcBorders>
            <w:shd w:val="clear" w:color="auto" w:fill="auto"/>
            <w:noWrap/>
            <w:vAlign w:val="center"/>
            <w:hideMark/>
          </w:tcPr>
          <w:p w14:paraId="26F6E30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57.1</w:t>
            </w:r>
          </w:p>
        </w:tc>
        <w:tc>
          <w:tcPr>
            <w:tcW w:w="196" w:type="pct"/>
            <w:tcBorders>
              <w:top w:val="nil"/>
              <w:left w:val="nil"/>
              <w:bottom w:val="nil"/>
              <w:right w:val="nil"/>
            </w:tcBorders>
            <w:shd w:val="clear" w:color="auto" w:fill="auto"/>
            <w:noWrap/>
            <w:vAlign w:val="center"/>
            <w:hideMark/>
          </w:tcPr>
          <w:p w14:paraId="68705D0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351" w:type="pct"/>
            <w:tcBorders>
              <w:top w:val="nil"/>
              <w:left w:val="nil"/>
              <w:bottom w:val="nil"/>
              <w:right w:val="single" w:sz="8" w:space="0" w:color="auto"/>
            </w:tcBorders>
            <w:shd w:val="clear" w:color="auto" w:fill="auto"/>
            <w:noWrap/>
            <w:vAlign w:val="center"/>
            <w:hideMark/>
          </w:tcPr>
          <w:p w14:paraId="39ACEAE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16.3</w:t>
            </w:r>
          </w:p>
        </w:tc>
        <w:tc>
          <w:tcPr>
            <w:tcW w:w="174" w:type="pct"/>
            <w:tcBorders>
              <w:top w:val="nil"/>
              <w:left w:val="nil"/>
              <w:bottom w:val="nil"/>
              <w:right w:val="nil"/>
            </w:tcBorders>
            <w:shd w:val="clear" w:color="auto" w:fill="auto"/>
            <w:noWrap/>
            <w:vAlign w:val="center"/>
            <w:hideMark/>
          </w:tcPr>
          <w:p w14:paraId="39BD275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289C0D8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05BEC4D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0293123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5F2E060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352" w:type="pct"/>
            <w:tcBorders>
              <w:top w:val="nil"/>
              <w:left w:val="nil"/>
              <w:bottom w:val="nil"/>
              <w:right w:val="single" w:sz="8" w:space="0" w:color="auto"/>
            </w:tcBorders>
            <w:shd w:val="clear" w:color="auto" w:fill="auto"/>
            <w:noWrap/>
            <w:vAlign w:val="center"/>
            <w:hideMark/>
          </w:tcPr>
          <w:p w14:paraId="03AAB3D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w:t>
            </w:r>
          </w:p>
        </w:tc>
      </w:tr>
      <w:tr w:rsidR="00A36D59" w:rsidRPr="00FA7D47" w14:paraId="78932B20"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134B977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S1</w:t>
            </w:r>
          </w:p>
        </w:tc>
        <w:tc>
          <w:tcPr>
            <w:tcW w:w="174" w:type="pct"/>
            <w:tcBorders>
              <w:top w:val="nil"/>
              <w:left w:val="nil"/>
              <w:bottom w:val="nil"/>
              <w:right w:val="nil"/>
            </w:tcBorders>
            <w:shd w:val="clear" w:color="auto" w:fill="auto"/>
            <w:noWrap/>
            <w:vAlign w:val="center"/>
            <w:hideMark/>
          </w:tcPr>
          <w:p w14:paraId="55FDDD6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13</w:t>
            </w:r>
          </w:p>
        </w:tc>
        <w:tc>
          <w:tcPr>
            <w:tcW w:w="240" w:type="pct"/>
            <w:tcBorders>
              <w:top w:val="nil"/>
              <w:left w:val="nil"/>
              <w:bottom w:val="nil"/>
              <w:right w:val="nil"/>
            </w:tcBorders>
            <w:shd w:val="clear" w:color="auto" w:fill="auto"/>
            <w:noWrap/>
            <w:vAlign w:val="center"/>
            <w:hideMark/>
          </w:tcPr>
          <w:p w14:paraId="0724D02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52</w:t>
            </w:r>
          </w:p>
        </w:tc>
        <w:tc>
          <w:tcPr>
            <w:tcW w:w="174" w:type="pct"/>
            <w:tcBorders>
              <w:top w:val="nil"/>
              <w:left w:val="nil"/>
              <w:bottom w:val="nil"/>
              <w:right w:val="nil"/>
            </w:tcBorders>
            <w:shd w:val="clear" w:color="auto" w:fill="auto"/>
            <w:noWrap/>
            <w:vAlign w:val="center"/>
            <w:hideMark/>
          </w:tcPr>
          <w:p w14:paraId="2A533AE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w:t>
            </w:r>
          </w:p>
        </w:tc>
        <w:tc>
          <w:tcPr>
            <w:tcW w:w="240" w:type="pct"/>
            <w:tcBorders>
              <w:top w:val="nil"/>
              <w:left w:val="nil"/>
              <w:bottom w:val="nil"/>
              <w:right w:val="nil"/>
            </w:tcBorders>
            <w:shd w:val="clear" w:color="auto" w:fill="auto"/>
            <w:noWrap/>
            <w:vAlign w:val="center"/>
            <w:hideMark/>
          </w:tcPr>
          <w:p w14:paraId="56082AC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48</w:t>
            </w:r>
          </w:p>
        </w:tc>
        <w:tc>
          <w:tcPr>
            <w:tcW w:w="218" w:type="pct"/>
            <w:tcBorders>
              <w:top w:val="nil"/>
              <w:left w:val="nil"/>
              <w:bottom w:val="nil"/>
              <w:right w:val="nil"/>
            </w:tcBorders>
            <w:shd w:val="clear" w:color="auto" w:fill="auto"/>
            <w:noWrap/>
            <w:vAlign w:val="center"/>
            <w:hideMark/>
          </w:tcPr>
          <w:p w14:paraId="125DF33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348" w:type="pct"/>
            <w:tcBorders>
              <w:top w:val="nil"/>
              <w:left w:val="nil"/>
              <w:bottom w:val="nil"/>
              <w:right w:val="single" w:sz="8" w:space="0" w:color="auto"/>
            </w:tcBorders>
            <w:shd w:val="clear" w:color="auto" w:fill="auto"/>
            <w:noWrap/>
            <w:vAlign w:val="center"/>
            <w:hideMark/>
          </w:tcPr>
          <w:p w14:paraId="3948D73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21</w:t>
            </w:r>
          </w:p>
        </w:tc>
        <w:tc>
          <w:tcPr>
            <w:tcW w:w="174" w:type="pct"/>
            <w:tcBorders>
              <w:top w:val="nil"/>
              <w:left w:val="nil"/>
              <w:bottom w:val="nil"/>
              <w:right w:val="nil"/>
            </w:tcBorders>
            <w:shd w:val="clear" w:color="auto" w:fill="auto"/>
            <w:noWrap/>
            <w:vAlign w:val="center"/>
            <w:hideMark/>
          </w:tcPr>
          <w:p w14:paraId="3A75C02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w:t>
            </w:r>
          </w:p>
        </w:tc>
        <w:tc>
          <w:tcPr>
            <w:tcW w:w="240" w:type="pct"/>
            <w:tcBorders>
              <w:top w:val="nil"/>
              <w:left w:val="nil"/>
              <w:bottom w:val="nil"/>
              <w:right w:val="nil"/>
            </w:tcBorders>
            <w:shd w:val="clear" w:color="auto" w:fill="auto"/>
            <w:noWrap/>
            <w:vAlign w:val="center"/>
            <w:hideMark/>
          </w:tcPr>
          <w:p w14:paraId="5258C00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55.6</w:t>
            </w:r>
          </w:p>
        </w:tc>
        <w:tc>
          <w:tcPr>
            <w:tcW w:w="174" w:type="pct"/>
            <w:tcBorders>
              <w:top w:val="nil"/>
              <w:left w:val="nil"/>
              <w:bottom w:val="nil"/>
              <w:right w:val="nil"/>
            </w:tcBorders>
            <w:shd w:val="clear" w:color="auto" w:fill="auto"/>
            <w:noWrap/>
            <w:vAlign w:val="center"/>
            <w:hideMark/>
          </w:tcPr>
          <w:p w14:paraId="31CC9B8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240" w:type="pct"/>
            <w:tcBorders>
              <w:top w:val="nil"/>
              <w:left w:val="nil"/>
              <w:bottom w:val="nil"/>
              <w:right w:val="nil"/>
            </w:tcBorders>
            <w:shd w:val="clear" w:color="auto" w:fill="auto"/>
            <w:noWrap/>
            <w:vAlign w:val="center"/>
            <w:hideMark/>
          </w:tcPr>
          <w:p w14:paraId="1178281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44.4</w:t>
            </w:r>
          </w:p>
        </w:tc>
        <w:tc>
          <w:tcPr>
            <w:tcW w:w="196" w:type="pct"/>
            <w:tcBorders>
              <w:top w:val="nil"/>
              <w:left w:val="nil"/>
              <w:bottom w:val="nil"/>
              <w:right w:val="nil"/>
            </w:tcBorders>
            <w:shd w:val="clear" w:color="auto" w:fill="auto"/>
            <w:noWrap/>
            <w:vAlign w:val="center"/>
            <w:hideMark/>
          </w:tcPr>
          <w:p w14:paraId="49A7F41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9</w:t>
            </w:r>
          </w:p>
        </w:tc>
        <w:tc>
          <w:tcPr>
            <w:tcW w:w="351" w:type="pct"/>
            <w:tcBorders>
              <w:top w:val="nil"/>
              <w:left w:val="nil"/>
              <w:bottom w:val="nil"/>
              <w:right w:val="single" w:sz="8" w:space="0" w:color="auto"/>
            </w:tcBorders>
            <w:shd w:val="clear" w:color="auto" w:fill="auto"/>
            <w:noWrap/>
            <w:vAlign w:val="center"/>
            <w:hideMark/>
          </w:tcPr>
          <w:p w14:paraId="4B4B22F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20.9</w:t>
            </w:r>
          </w:p>
        </w:tc>
        <w:tc>
          <w:tcPr>
            <w:tcW w:w="174" w:type="pct"/>
            <w:tcBorders>
              <w:top w:val="nil"/>
              <w:left w:val="nil"/>
              <w:bottom w:val="nil"/>
              <w:right w:val="nil"/>
            </w:tcBorders>
            <w:shd w:val="clear" w:color="auto" w:fill="auto"/>
            <w:noWrap/>
            <w:vAlign w:val="center"/>
            <w:hideMark/>
          </w:tcPr>
          <w:p w14:paraId="1C89421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58B81B9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75</w:t>
            </w:r>
          </w:p>
        </w:tc>
        <w:tc>
          <w:tcPr>
            <w:tcW w:w="174" w:type="pct"/>
            <w:tcBorders>
              <w:top w:val="nil"/>
              <w:left w:val="nil"/>
              <w:bottom w:val="nil"/>
              <w:right w:val="nil"/>
            </w:tcBorders>
            <w:shd w:val="clear" w:color="auto" w:fill="auto"/>
            <w:noWrap/>
            <w:vAlign w:val="center"/>
            <w:hideMark/>
          </w:tcPr>
          <w:p w14:paraId="2A07E13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0B573DD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174" w:type="pct"/>
            <w:tcBorders>
              <w:top w:val="nil"/>
              <w:left w:val="nil"/>
              <w:bottom w:val="nil"/>
              <w:right w:val="nil"/>
            </w:tcBorders>
            <w:shd w:val="clear" w:color="auto" w:fill="auto"/>
            <w:noWrap/>
            <w:vAlign w:val="center"/>
            <w:hideMark/>
          </w:tcPr>
          <w:p w14:paraId="2CEC328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352" w:type="pct"/>
            <w:tcBorders>
              <w:top w:val="nil"/>
              <w:left w:val="nil"/>
              <w:bottom w:val="nil"/>
              <w:right w:val="single" w:sz="8" w:space="0" w:color="auto"/>
            </w:tcBorders>
            <w:shd w:val="clear" w:color="auto" w:fill="auto"/>
            <w:noWrap/>
            <w:vAlign w:val="center"/>
            <w:hideMark/>
          </w:tcPr>
          <w:p w14:paraId="7C5C361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w:t>
            </w:r>
          </w:p>
        </w:tc>
      </w:tr>
      <w:tr w:rsidR="00A36D59" w:rsidRPr="00FA7D47" w14:paraId="258F3866"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40EA5BB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S2</w:t>
            </w:r>
          </w:p>
        </w:tc>
        <w:tc>
          <w:tcPr>
            <w:tcW w:w="174" w:type="pct"/>
            <w:tcBorders>
              <w:top w:val="nil"/>
              <w:left w:val="nil"/>
              <w:bottom w:val="nil"/>
              <w:right w:val="nil"/>
            </w:tcBorders>
            <w:shd w:val="clear" w:color="auto" w:fill="auto"/>
            <w:noWrap/>
            <w:vAlign w:val="center"/>
            <w:hideMark/>
          </w:tcPr>
          <w:p w14:paraId="79CC72E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9</w:t>
            </w:r>
          </w:p>
        </w:tc>
        <w:tc>
          <w:tcPr>
            <w:tcW w:w="240" w:type="pct"/>
            <w:tcBorders>
              <w:top w:val="nil"/>
              <w:left w:val="nil"/>
              <w:bottom w:val="nil"/>
              <w:right w:val="nil"/>
            </w:tcBorders>
            <w:shd w:val="clear" w:color="auto" w:fill="auto"/>
            <w:noWrap/>
            <w:vAlign w:val="center"/>
            <w:hideMark/>
          </w:tcPr>
          <w:p w14:paraId="3360434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45</w:t>
            </w:r>
          </w:p>
        </w:tc>
        <w:tc>
          <w:tcPr>
            <w:tcW w:w="174" w:type="pct"/>
            <w:tcBorders>
              <w:top w:val="nil"/>
              <w:left w:val="nil"/>
              <w:bottom w:val="nil"/>
              <w:right w:val="nil"/>
            </w:tcBorders>
            <w:shd w:val="clear" w:color="auto" w:fill="auto"/>
            <w:noWrap/>
            <w:vAlign w:val="center"/>
            <w:hideMark/>
          </w:tcPr>
          <w:p w14:paraId="0F0212A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w:t>
            </w:r>
          </w:p>
        </w:tc>
        <w:tc>
          <w:tcPr>
            <w:tcW w:w="240" w:type="pct"/>
            <w:tcBorders>
              <w:top w:val="nil"/>
              <w:left w:val="nil"/>
              <w:bottom w:val="nil"/>
              <w:right w:val="nil"/>
            </w:tcBorders>
            <w:shd w:val="clear" w:color="auto" w:fill="auto"/>
            <w:noWrap/>
            <w:vAlign w:val="center"/>
            <w:hideMark/>
          </w:tcPr>
          <w:p w14:paraId="5D93317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55</w:t>
            </w:r>
          </w:p>
        </w:tc>
        <w:tc>
          <w:tcPr>
            <w:tcW w:w="218" w:type="pct"/>
            <w:tcBorders>
              <w:top w:val="nil"/>
              <w:left w:val="nil"/>
              <w:bottom w:val="nil"/>
              <w:right w:val="nil"/>
            </w:tcBorders>
            <w:shd w:val="clear" w:color="auto" w:fill="auto"/>
            <w:noWrap/>
            <w:vAlign w:val="center"/>
            <w:hideMark/>
          </w:tcPr>
          <w:p w14:paraId="72DC978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20</w:t>
            </w:r>
          </w:p>
        </w:tc>
        <w:tc>
          <w:tcPr>
            <w:tcW w:w="348" w:type="pct"/>
            <w:tcBorders>
              <w:top w:val="nil"/>
              <w:left w:val="nil"/>
              <w:bottom w:val="nil"/>
              <w:right w:val="single" w:sz="8" w:space="0" w:color="auto"/>
            </w:tcBorders>
            <w:shd w:val="clear" w:color="auto" w:fill="auto"/>
            <w:noWrap/>
            <w:vAlign w:val="center"/>
            <w:hideMark/>
          </w:tcPr>
          <w:p w14:paraId="13AE5AA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16.8</w:t>
            </w:r>
          </w:p>
        </w:tc>
        <w:tc>
          <w:tcPr>
            <w:tcW w:w="174" w:type="pct"/>
            <w:tcBorders>
              <w:top w:val="nil"/>
              <w:left w:val="nil"/>
              <w:bottom w:val="nil"/>
              <w:right w:val="nil"/>
            </w:tcBorders>
            <w:shd w:val="clear" w:color="auto" w:fill="auto"/>
            <w:noWrap/>
            <w:vAlign w:val="center"/>
            <w:hideMark/>
          </w:tcPr>
          <w:p w14:paraId="22D8AA7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6D112D8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470BEBF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2F67E91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96" w:type="pct"/>
            <w:tcBorders>
              <w:top w:val="nil"/>
              <w:left w:val="nil"/>
              <w:bottom w:val="nil"/>
              <w:right w:val="nil"/>
            </w:tcBorders>
            <w:shd w:val="clear" w:color="auto" w:fill="auto"/>
            <w:noWrap/>
            <w:vAlign w:val="center"/>
            <w:hideMark/>
          </w:tcPr>
          <w:p w14:paraId="40664EC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351" w:type="pct"/>
            <w:tcBorders>
              <w:top w:val="nil"/>
              <w:left w:val="nil"/>
              <w:bottom w:val="nil"/>
              <w:right w:val="single" w:sz="8" w:space="0" w:color="auto"/>
            </w:tcBorders>
            <w:shd w:val="clear" w:color="auto" w:fill="auto"/>
            <w:noWrap/>
            <w:vAlign w:val="center"/>
            <w:hideMark/>
          </w:tcPr>
          <w:p w14:paraId="2FE91B4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14</w:t>
            </w:r>
          </w:p>
        </w:tc>
        <w:tc>
          <w:tcPr>
            <w:tcW w:w="174" w:type="pct"/>
            <w:tcBorders>
              <w:top w:val="nil"/>
              <w:left w:val="nil"/>
              <w:bottom w:val="nil"/>
              <w:right w:val="nil"/>
            </w:tcBorders>
            <w:shd w:val="clear" w:color="auto" w:fill="auto"/>
            <w:noWrap/>
            <w:vAlign w:val="center"/>
            <w:hideMark/>
          </w:tcPr>
          <w:p w14:paraId="1CC9789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78234ED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40</w:t>
            </w:r>
          </w:p>
        </w:tc>
        <w:tc>
          <w:tcPr>
            <w:tcW w:w="174" w:type="pct"/>
            <w:tcBorders>
              <w:top w:val="nil"/>
              <w:left w:val="nil"/>
              <w:bottom w:val="nil"/>
              <w:right w:val="nil"/>
            </w:tcBorders>
            <w:shd w:val="clear" w:color="auto" w:fill="auto"/>
            <w:noWrap/>
            <w:vAlign w:val="center"/>
            <w:hideMark/>
          </w:tcPr>
          <w:p w14:paraId="7D941A6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35C5667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60</w:t>
            </w:r>
          </w:p>
        </w:tc>
        <w:tc>
          <w:tcPr>
            <w:tcW w:w="174" w:type="pct"/>
            <w:tcBorders>
              <w:top w:val="nil"/>
              <w:left w:val="nil"/>
              <w:bottom w:val="nil"/>
              <w:right w:val="nil"/>
            </w:tcBorders>
            <w:shd w:val="clear" w:color="auto" w:fill="auto"/>
            <w:noWrap/>
            <w:vAlign w:val="center"/>
            <w:hideMark/>
          </w:tcPr>
          <w:p w14:paraId="70F7B71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w:t>
            </w:r>
          </w:p>
        </w:tc>
        <w:tc>
          <w:tcPr>
            <w:tcW w:w="352" w:type="pct"/>
            <w:tcBorders>
              <w:top w:val="nil"/>
              <w:left w:val="nil"/>
              <w:bottom w:val="nil"/>
              <w:right w:val="single" w:sz="8" w:space="0" w:color="auto"/>
            </w:tcBorders>
            <w:shd w:val="clear" w:color="auto" w:fill="auto"/>
            <w:noWrap/>
            <w:vAlign w:val="center"/>
            <w:hideMark/>
          </w:tcPr>
          <w:p w14:paraId="6A38F15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20.8</w:t>
            </w:r>
          </w:p>
        </w:tc>
      </w:tr>
      <w:tr w:rsidR="00A36D59" w:rsidRPr="00FA7D47" w14:paraId="3F03F342"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027377D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S3</w:t>
            </w:r>
          </w:p>
        </w:tc>
        <w:tc>
          <w:tcPr>
            <w:tcW w:w="174" w:type="pct"/>
            <w:tcBorders>
              <w:top w:val="nil"/>
              <w:left w:val="nil"/>
              <w:bottom w:val="nil"/>
              <w:right w:val="nil"/>
            </w:tcBorders>
            <w:shd w:val="clear" w:color="auto" w:fill="auto"/>
            <w:noWrap/>
            <w:vAlign w:val="center"/>
            <w:hideMark/>
          </w:tcPr>
          <w:p w14:paraId="22C89A2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w:t>
            </w:r>
          </w:p>
        </w:tc>
        <w:tc>
          <w:tcPr>
            <w:tcW w:w="240" w:type="pct"/>
            <w:tcBorders>
              <w:top w:val="nil"/>
              <w:left w:val="nil"/>
              <w:bottom w:val="nil"/>
              <w:right w:val="nil"/>
            </w:tcBorders>
            <w:shd w:val="clear" w:color="auto" w:fill="auto"/>
            <w:noWrap/>
            <w:vAlign w:val="center"/>
            <w:hideMark/>
          </w:tcPr>
          <w:p w14:paraId="04CF262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44.4</w:t>
            </w:r>
          </w:p>
        </w:tc>
        <w:tc>
          <w:tcPr>
            <w:tcW w:w="174" w:type="pct"/>
            <w:tcBorders>
              <w:top w:val="nil"/>
              <w:left w:val="nil"/>
              <w:bottom w:val="nil"/>
              <w:right w:val="nil"/>
            </w:tcBorders>
            <w:shd w:val="clear" w:color="auto" w:fill="auto"/>
            <w:noWrap/>
            <w:vAlign w:val="center"/>
            <w:hideMark/>
          </w:tcPr>
          <w:p w14:paraId="19F7C8C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15</w:t>
            </w:r>
          </w:p>
        </w:tc>
        <w:tc>
          <w:tcPr>
            <w:tcW w:w="240" w:type="pct"/>
            <w:tcBorders>
              <w:top w:val="nil"/>
              <w:left w:val="nil"/>
              <w:bottom w:val="nil"/>
              <w:right w:val="nil"/>
            </w:tcBorders>
            <w:shd w:val="clear" w:color="auto" w:fill="auto"/>
            <w:noWrap/>
            <w:vAlign w:val="center"/>
            <w:hideMark/>
          </w:tcPr>
          <w:p w14:paraId="51DDC0D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55.6</w:t>
            </w:r>
          </w:p>
        </w:tc>
        <w:tc>
          <w:tcPr>
            <w:tcW w:w="218" w:type="pct"/>
            <w:tcBorders>
              <w:top w:val="nil"/>
              <w:left w:val="nil"/>
              <w:bottom w:val="nil"/>
              <w:right w:val="nil"/>
            </w:tcBorders>
            <w:shd w:val="clear" w:color="auto" w:fill="auto"/>
            <w:noWrap/>
            <w:vAlign w:val="center"/>
            <w:hideMark/>
          </w:tcPr>
          <w:p w14:paraId="433B2C4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27</w:t>
            </w:r>
          </w:p>
        </w:tc>
        <w:tc>
          <w:tcPr>
            <w:tcW w:w="348" w:type="pct"/>
            <w:tcBorders>
              <w:top w:val="nil"/>
              <w:left w:val="nil"/>
              <w:bottom w:val="nil"/>
              <w:right w:val="single" w:sz="8" w:space="0" w:color="auto"/>
            </w:tcBorders>
            <w:shd w:val="clear" w:color="auto" w:fill="auto"/>
            <w:noWrap/>
            <w:vAlign w:val="center"/>
            <w:hideMark/>
          </w:tcPr>
          <w:p w14:paraId="501E808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22.7</w:t>
            </w:r>
          </w:p>
        </w:tc>
        <w:tc>
          <w:tcPr>
            <w:tcW w:w="174" w:type="pct"/>
            <w:tcBorders>
              <w:top w:val="nil"/>
              <w:left w:val="nil"/>
              <w:bottom w:val="nil"/>
              <w:right w:val="nil"/>
            </w:tcBorders>
            <w:shd w:val="clear" w:color="auto" w:fill="auto"/>
            <w:noWrap/>
            <w:vAlign w:val="center"/>
            <w:hideMark/>
          </w:tcPr>
          <w:p w14:paraId="3D3581A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48BAB50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30</w:t>
            </w:r>
          </w:p>
        </w:tc>
        <w:tc>
          <w:tcPr>
            <w:tcW w:w="174" w:type="pct"/>
            <w:tcBorders>
              <w:top w:val="nil"/>
              <w:left w:val="nil"/>
              <w:bottom w:val="nil"/>
              <w:right w:val="nil"/>
            </w:tcBorders>
            <w:shd w:val="clear" w:color="auto" w:fill="auto"/>
            <w:noWrap/>
            <w:vAlign w:val="center"/>
            <w:hideMark/>
          </w:tcPr>
          <w:p w14:paraId="3DBEFE6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240" w:type="pct"/>
            <w:tcBorders>
              <w:top w:val="nil"/>
              <w:left w:val="nil"/>
              <w:bottom w:val="nil"/>
              <w:right w:val="nil"/>
            </w:tcBorders>
            <w:shd w:val="clear" w:color="auto" w:fill="auto"/>
            <w:noWrap/>
            <w:vAlign w:val="center"/>
            <w:hideMark/>
          </w:tcPr>
          <w:p w14:paraId="63332FE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70</w:t>
            </w:r>
          </w:p>
        </w:tc>
        <w:tc>
          <w:tcPr>
            <w:tcW w:w="196" w:type="pct"/>
            <w:tcBorders>
              <w:top w:val="nil"/>
              <w:left w:val="nil"/>
              <w:bottom w:val="nil"/>
              <w:right w:val="nil"/>
            </w:tcBorders>
            <w:shd w:val="clear" w:color="auto" w:fill="auto"/>
            <w:noWrap/>
            <w:vAlign w:val="center"/>
            <w:hideMark/>
          </w:tcPr>
          <w:p w14:paraId="3DC1936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10</w:t>
            </w:r>
          </w:p>
        </w:tc>
        <w:tc>
          <w:tcPr>
            <w:tcW w:w="351" w:type="pct"/>
            <w:tcBorders>
              <w:top w:val="nil"/>
              <w:left w:val="nil"/>
              <w:bottom w:val="nil"/>
              <w:right w:val="single" w:sz="8" w:space="0" w:color="auto"/>
            </w:tcBorders>
            <w:shd w:val="clear" w:color="auto" w:fill="auto"/>
            <w:noWrap/>
            <w:vAlign w:val="center"/>
            <w:hideMark/>
          </w:tcPr>
          <w:p w14:paraId="463F974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23</w:t>
            </w:r>
          </w:p>
        </w:tc>
        <w:tc>
          <w:tcPr>
            <w:tcW w:w="174" w:type="pct"/>
            <w:tcBorders>
              <w:top w:val="nil"/>
              <w:left w:val="nil"/>
              <w:bottom w:val="nil"/>
              <w:right w:val="nil"/>
            </w:tcBorders>
            <w:shd w:val="clear" w:color="auto" w:fill="auto"/>
            <w:noWrap/>
            <w:vAlign w:val="center"/>
            <w:hideMark/>
          </w:tcPr>
          <w:p w14:paraId="109B4AA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308A88B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4DAB648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433BF0D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6D9386F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352" w:type="pct"/>
            <w:tcBorders>
              <w:top w:val="nil"/>
              <w:left w:val="nil"/>
              <w:bottom w:val="nil"/>
              <w:right w:val="single" w:sz="8" w:space="0" w:color="auto"/>
            </w:tcBorders>
            <w:shd w:val="clear" w:color="auto" w:fill="auto"/>
            <w:noWrap/>
            <w:vAlign w:val="center"/>
            <w:hideMark/>
          </w:tcPr>
          <w:p w14:paraId="4FAD1B7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w:t>
            </w:r>
          </w:p>
        </w:tc>
      </w:tr>
      <w:tr w:rsidR="00A36D59" w:rsidRPr="00FA7D47" w14:paraId="191D19E3"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1597FFF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S4</w:t>
            </w:r>
          </w:p>
        </w:tc>
        <w:tc>
          <w:tcPr>
            <w:tcW w:w="174" w:type="pct"/>
            <w:tcBorders>
              <w:top w:val="nil"/>
              <w:left w:val="nil"/>
              <w:bottom w:val="nil"/>
              <w:right w:val="nil"/>
            </w:tcBorders>
            <w:shd w:val="clear" w:color="auto" w:fill="auto"/>
            <w:noWrap/>
            <w:vAlign w:val="center"/>
            <w:hideMark/>
          </w:tcPr>
          <w:p w14:paraId="0342C00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9</w:t>
            </w:r>
          </w:p>
        </w:tc>
        <w:tc>
          <w:tcPr>
            <w:tcW w:w="240" w:type="pct"/>
            <w:tcBorders>
              <w:top w:val="nil"/>
              <w:left w:val="nil"/>
              <w:bottom w:val="nil"/>
              <w:right w:val="nil"/>
            </w:tcBorders>
            <w:shd w:val="clear" w:color="auto" w:fill="auto"/>
            <w:noWrap/>
            <w:vAlign w:val="center"/>
            <w:hideMark/>
          </w:tcPr>
          <w:p w14:paraId="32CCBF1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60</w:t>
            </w:r>
          </w:p>
        </w:tc>
        <w:tc>
          <w:tcPr>
            <w:tcW w:w="174" w:type="pct"/>
            <w:tcBorders>
              <w:top w:val="nil"/>
              <w:left w:val="nil"/>
              <w:bottom w:val="nil"/>
              <w:right w:val="nil"/>
            </w:tcBorders>
            <w:shd w:val="clear" w:color="auto" w:fill="auto"/>
            <w:noWrap/>
            <w:vAlign w:val="center"/>
            <w:hideMark/>
          </w:tcPr>
          <w:p w14:paraId="73CB3E8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240" w:type="pct"/>
            <w:tcBorders>
              <w:top w:val="nil"/>
              <w:left w:val="nil"/>
              <w:bottom w:val="nil"/>
              <w:right w:val="nil"/>
            </w:tcBorders>
            <w:shd w:val="clear" w:color="auto" w:fill="auto"/>
            <w:noWrap/>
            <w:vAlign w:val="center"/>
            <w:hideMark/>
          </w:tcPr>
          <w:p w14:paraId="5729BC5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40</w:t>
            </w:r>
          </w:p>
        </w:tc>
        <w:tc>
          <w:tcPr>
            <w:tcW w:w="218" w:type="pct"/>
            <w:tcBorders>
              <w:top w:val="nil"/>
              <w:left w:val="nil"/>
              <w:bottom w:val="nil"/>
              <w:right w:val="nil"/>
            </w:tcBorders>
            <w:shd w:val="clear" w:color="auto" w:fill="auto"/>
            <w:noWrap/>
            <w:vAlign w:val="center"/>
            <w:hideMark/>
          </w:tcPr>
          <w:p w14:paraId="772B61F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15</w:t>
            </w:r>
          </w:p>
        </w:tc>
        <w:tc>
          <w:tcPr>
            <w:tcW w:w="348" w:type="pct"/>
            <w:tcBorders>
              <w:top w:val="nil"/>
              <w:left w:val="nil"/>
              <w:bottom w:val="nil"/>
              <w:right w:val="single" w:sz="8" w:space="0" w:color="auto"/>
            </w:tcBorders>
            <w:shd w:val="clear" w:color="auto" w:fill="auto"/>
            <w:noWrap/>
            <w:vAlign w:val="center"/>
            <w:hideMark/>
          </w:tcPr>
          <w:p w14:paraId="565962E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12.6</w:t>
            </w:r>
          </w:p>
        </w:tc>
        <w:tc>
          <w:tcPr>
            <w:tcW w:w="174" w:type="pct"/>
            <w:tcBorders>
              <w:top w:val="nil"/>
              <w:left w:val="nil"/>
              <w:bottom w:val="nil"/>
              <w:right w:val="nil"/>
            </w:tcBorders>
            <w:shd w:val="clear" w:color="auto" w:fill="auto"/>
            <w:noWrap/>
            <w:vAlign w:val="center"/>
            <w:hideMark/>
          </w:tcPr>
          <w:p w14:paraId="3E34C1B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240" w:type="pct"/>
            <w:tcBorders>
              <w:top w:val="nil"/>
              <w:left w:val="nil"/>
              <w:bottom w:val="nil"/>
              <w:right w:val="nil"/>
            </w:tcBorders>
            <w:shd w:val="clear" w:color="auto" w:fill="auto"/>
            <w:noWrap/>
            <w:vAlign w:val="center"/>
            <w:hideMark/>
          </w:tcPr>
          <w:p w14:paraId="08F7617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75</w:t>
            </w:r>
          </w:p>
        </w:tc>
        <w:tc>
          <w:tcPr>
            <w:tcW w:w="174" w:type="pct"/>
            <w:tcBorders>
              <w:top w:val="nil"/>
              <w:left w:val="nil"/>
              <w:bottom w:val="nil"/>
              <w:right w:val="nil"/>
            </w:tcBorders>
            <w:shd w:val="clear" w:color="auto" w:fill="auto"/>
            <w:noWrap/>
            <w:vAlign w:val="center"/>
            <w:hideMark/>
          </w:tcPr>
          <w:p w14:paraId="1563EF7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35E6C07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196" w:type="pct"/>
            <w:tcBorders>
              <w:top w:val="nil"/>
              <w:left w:val="nil"/>
              <w:bottom w:val="nil"/>
              <w:right w:val="nil"/>
            </w:tcBorders>
            <w:shd w:val="clear" w:color="auto" w:fill="auto"/>
            <w:noWrap/>
            <w:vAlign w:val="center"/>
            <w:hideMark/>
          </w:tcPr>
          <w:p w14:paraId="7073327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w:t>
            </w:r>
          </w:p>
        </w:tc>
        <w:tc>
          <w:tcPr>
            <w:tcW w:w="351" w:type="pct"/>
            <w:tcBorders>
              <w:top w:val="nil"/>
              <w:left w:val="nil"/>
              <w:bottom w:val="nil"/>
              <w:right w:val="single" w:sz="8" w:space="0" w:color="auto"/>
            </w:tcBorders>
            <w:shd w:val="clear" w:color="auto" w:fill="auto"/>
            <w:noWrap/>
            <w:vAlign w:val="center"/>
            <w:hideMark/>
          </w:tcPr>
          <w:p w14:paraId="0E6485E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19</w:t>
            </w:r>
          </w:p>
        </w:tc>
        <w:tc>
          <w:tcPr>
            <w:tcW w:w="174" w:type="pct"/>
            <w:tcBorders>
              <w:top w:val="nil"/>
              <w:left w:val="nil"/>
              <w:bottom w:val="nil"/>
              <w:right w:val="nil"/>
            </w:tcBorders>
            <w:shd w:val="clear" w:color="auto" w:fill="auto"/>
            <w:noWrap/>
            <w:vAlign w:val="center"/>
            <w:hideMark/>
          </w:tcPr>
          <w:p w14:paraId="4172CF0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6C7C478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75</w:t>
            </w:r>
          </w:p>
        </w:tc>
        <w:tc>
          <w:tcPr>
            <w:tcW w:w="174" w:type="pct"/>
            <w:tcBorders>
              <w:top w:val="nil"/>
              <w:left w:val="nil"/>
              <w:bottom w:val="nil"/>
              <w:right w:val="nil"/>
            </w:tcBorders>
            <w:shd w:val="clear" w:color="auto" w:fill="auto"/>
            <w:noWrap/>
            <w:vAlign w:val="center"/>
            <w:hideMark/>
          </w:tcPr>
          <w:p w14:paraId="76D0208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297C3D2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174" w:type="pct"/>
            <w:tcBorders>
              <w:top w:val="nil"/>
              <w:left w:val="nil"/>
              <w:bottom w:val="nil"/>
              <w:right w:val="nil"/>
            </w:tcBorders>
            <w:shd w:val="clear" w:color="auto" w:fill="auto"/>
            <w:noWrap/>
            <w:vAlign w:val="center"/>
            <w:hideMark/>
          </w:tcPr>
          <w:p w14:paraId="1E42A28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352" w:type="pct"/>
            <w:tcBorders>
              <w:top w:val="nil"/>
              <w:left w:val="nil"/>
              <w:bottom w:val="nil"/>
              <w:right w:val="single" w:sz="8" w:space="0" w:color="auto"/>
            </w:tcBorders>
            <w:shd w:val="clear" w:color="auto" w:fill="auto"/>
            <w:noWrap/>
            <w:vAlign w:val="center"/>
            <w:hideMark/>
          </w:tcPr>
          <w:p w14:paraId="7D614EE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w:t>
            </w:r>
          </w:p>
        </w:tc>
      </w:tr>
      <w:tr w:rsidR="00A36D59" w:rsidRPr="00FA7D47" w14:paraId="21951FE2"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0C76D9D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ps2  (S1-S4)</w:t>
            </w:r>
          </w:p>
        </w:tc>
        <w:tc>
          <w:tcPr>
            <w:tcW w:w="174" w:type="pct"/>
            <w:tcBorders>
              <w:top w:val="nil"/>
              <w:left w:val="nil"/>
              <w:bottom w:val="nil"/>
              <w:right w:val="nil"/>
            </w:tcBorders>
            <w:shd w:val="clear" w:color="auto" w:fill="auto"/>
            <w:noWrap/>
            <w:vAlign w:val="center"/>
            <w:hideMark/>
          </w:tcPr>
          <w:p w14:paraId="468F74F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43</w:t>
            </w:r>
          </w:p>
        </w:tc>
        <w:tc>
          <w:tcPr>
            <w:tcW w:w="240" w:type="pct"/>
            <w:tcBorders>
              <w:top w:val="nil"/>
              <w:left w:val="nil"/>
              <w:bottom w:val="nil"/>
              <w:right w:val="nil"/>
            </w:tcBorders>
            <w:shd w:val="clear" w:color="auto" w:fill="auto"/>
            <w:noWrap/>
            <w:vAlign w:val="center"/>
            <w:hideMark/>
          </w:tcPr>
          <w:p w14:paraId="0887884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49</w:t>
            </w:r>
          </w:p>
        </w:tc>
        <w:tc>
          <w:tcPr>
            <w:tcW w:w="174" w:type="pct"/>
            <w:tcBorders>
              <w:top w:val="nil"/>
              <w:left w:val="nil"/>
              <w:bottom w:val="nil"/>
              <w:right w:val="nil"/>
            </w:tcBorders>
            <w:shd w:val="clear" w:color="auto" w:fill="auto"/>
            <w:noWrap/>
            <w:vAlign w:val="center"/>
            <w:hideMark/>
          </w:tcPr>
          <w:p w14:paraId="5284672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44</w:t>
            </w:r>
          </w:p>
        </w:tc>
        <w:tc>
          <w:tcPr>
            <w:tcW w:w="240" w:type="pct"/>
            <w:tcBorders>
              <w:top w:val="nil"/>
              <w:left w:val="nil"/>
              <w:bottom w:val="nil"/>
              <w:right w:val="nil"/>
            </w:tcBorders>
            <w:shd w:val="clear" w:color="auto" w:fill="auto"/>
            <w:noWrap/>
            <w:vAlign w:val="center"/>
            <w:hideMark/>
          </w:tcPr>
          <w:p w14:paraId="3C7749E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51</w:t>
            </w:r>
          </w:p>
        </w:tc>
        <w:tc>
          <w:tcPr>
            <w:tcW w:w="218" w:type="pct"/>
            <w:tcBorders>
              <w:top w:val="nil"/>
              <w:left w:val="nil"/>
              <w:bottom w:val="nil"/>
              <w:right w:val="nil"/>
            </w:tcBorders>
            <w:shd w:val="clear" w:color="auto" w:fill="auto"/>
            <w:noWrap/>
            <w:vAlign w:val="center"/>
            <w:hideMark/>
          </w:tcPr>
          <w:p w14:paraId="475BA00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87</w:t>
            </w:r>
          </w:p>
        </w:tc>
        <w:tc>
          <w:tcPr>
            <w:tcW w:w="348" w:type="pct"/>
            <w:tcBorders>
              <w:top w:val="nil"/>
              <w:left w:val="nil"/>
              <w:bottom w:val="nil"/>
              <w:right w:val="single" w:sz="8" w:space="0" w:color="auto"/>
            </w:tcBorders>
            <w:shd w:val="clear" w:color="auto" w:fill="auto"/>
            <w:noWrap/>
            <w:vAlign w:val="center"/>
            <w:hideMark/>
          </w:tcPr>
          <w:p w14:paraId="2116F65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73.1</w:t>
            </w:r>
          </w:p>
        </w:tc>
        <w:tc>
          <w:tcPr>
            <w:tcW w:w="174" w:type="pct"/>
            <w:tcBorders>
              <w:top w:val="nil"/>
              <w:left w:val="nil"/>
              <w:bottom w:val="nil"/>
              <w:right w:val="nil"/>
            </w:tcBorders>
            <w:shd w:val="clear" w:color="auto" w:fill="auto"/>
            <w:noWrap/>
            <w:vAlign w:val="center"/>
            <w:hideMark/>
          </w:tcPr>
          <w:p w14:paraId="08F58AF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w:t>
            </w:r>
          </w:p>
        </w:tc>
        <w:tc>
          <w:tcPr>
            <w:tcW w:w="240" w:type="pct"/>
            <w:tcBorders>
              <w:top w:val="nil"/>
              <w:left w:val="nil"/>
              <w:bottom w:val="nil"/>
              <w:right w:val="nil"/>
            </w:tcBorders>
            <w:shd w:val="clear" w:color="auto" w:fill="auto"/>
            <w:noWrap/>
            <w:vAlign w:val="center"/>
            <w:hideMark/>
          </w:tcPr>
          <w:p w14:paraId="4EE0653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44</w:t>
            </w:r>
          </w:p>
        </w:tc>
        <w:tc>
          <w:tcPr>
            <w:tcW w:w="174" w:type="pct"/>
            <w:tcBorders>
              <w:top w:val="nil"/>
              <w:left w:val="nil"/>
              <w:bottom w:val="nil"/>
              <w:right w:val="nil"/>
            </w:tcBorders>
            <w:shd w:val="clear" w:color="auto" w:fill="auto"/>
            <w:noWrap/>
            <w:vAlign w:val="center"/>
            <w:hideMark/>
          </w:tcPr>
          <w:p w14:paraId="1197E02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14</w:t>
            </w:r>
          </w:p>
        </w:tc>
        <w:tc>
          <w:tcPr>
            <w:tcW w:w="240" w:type="pct"/>
            <w:tcBorders>
              <w:top w:val="nil"/>
              <w:left w:val="nil"/>
              <w:bottom w:val="nil"/>
              <w:right w:val="nil"/>
            </w:tcBorders>
            <w:shd w:val="clear" w:color="auto" w:fill="auto"/>
            <w:noWrap/>
            <w:vAlign w:val="center"/>
            <w:hideMark/>
          </w:tcPr>
          <w:p w14:paraId="0A7DE9B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56</w:t>
            </w:r>
          </w:p>
        </w:tc>
        <w:tc>
          <w:tcPr>
            <w:tcW w:w="196" w:type="pct"/>
            <w:tcBorders>
              <w:top w:val="nil"/>
              <w:left w:val="nil"/>
              <w:bottom w:val="nil"/>
              <w:right w:val="nil"/>
            </w:tcBorders>
            <w:shd w:val="clear" w:color="auto" w:fill="auto"/>
            <w:noWrap/>
            <w:vAlign w:val="center"/>
            <w:hideMark/>
          </w:tcPr>
          <w:p w14:paraId="1B7CE7C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351" w:type="pct"/>
            <w:tcBorders>
              <w:top w:val="nil"/>
              <w:left w:val="nil"/>
              <w:bottom w:val="nil"/>
              <w:right w:val="single" w:sz="8" w:space="0" w:color="auto"/>
            </w:tcBorders>
            <w:shd w:val="clear" w:color="auto" w:fill="auto"/>
            <w:noWrap/>
            <w:vAlign w:val="center"/>
            <w:hideMark/>
          </w:tcPr>
          <w:p w14:paraId="21D3A6C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58.1</w:t>
            </w:r>
          </w:p>
        </w:tc>
        <w:tc>
          <w:tcPr>
            <w:tcW w:w="174" w:type="pct"/>
            <w:tcBorders>
              <w:top w:val="nil"/>
              <w:left w:val="nil"/>
              <w:bottom w:val="nil"/>
              <w:right w:val="nil"/>
            </w:tcBorders>
            <w:shd w:val="clear" w:color="auto" w:fill="auto"/>
            <w:noWrap/>
            <w:vAlign w:val="center"/>
            <w:hideMark/>
          </w:tcPr>
          <w:p w14:paraId="4FB163E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240" w:type="pct"/>
            <w:tcBorders>
              <w:top w:val="nil"/>
              <w:left w:val="nil"/>
              <w:bottom w:val="nil"/>
              <w:right w:val="nil"/>
            </w:tcBorders>
            <w:shd w:val="clear" w:color="auto" w:fill="auto"/>
            <w:noWrap/>
            <w:vAlign w:val="center"/>
            <w:hideMark/>
          </w:tcPr>
          <w:p w14:paraId="63525F5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53.8</w:t>
            </w:r>
          </w:p>
        </w:tc>
        <w:tc>
          <w:tcPr>
            <w:tcW w:w="174" w:type="pct"/>
            <w:tcBorders>
              <w:top w:val="nil"/>
              <w:left w:val="nil"/>
              <w:bottom w:val="nil"/>
              <w:right w:val="nil"/>
            </w:tcBorders>
            <w:shd w:val="clear" w:color="auto" w:fill="auto"/>
            <w:noWrap/>
            <w:vAlign w:val="center"/>
            <w:hideMark/>
          </w:tcPr>
          <w:p w14:paraId="6A1FB4C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240" w:type="pct"/>
            <w:tcBorders>
              <w:top w:val="nil"/>
              <w:left w:val="nil"/>
              <w:bottom w:val="nil"/>
              <w:right w:val="nil"/>
            </w:tcBorders>
            <w:shd w:val="clear" w:color="auto" w:fill="auto"/>
            <w:noWrap/>
            <w:vAlign w:val="center"/>
            <w:hideMark/>
          </w:tcPr>
          <w:p w14:paraId="5D6787B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46.2</w:t>
            </w:r>
          </w:p>
        </w:tc>
        <w:tc>
          <w:tcPr>
            <w:tcW w:w="174" w:type="pct"/>
            <w:tcBorders>
              <w:top w:val="nil"/>
              <w:left w:val="nil"/>
              <w:bottom w:val="nil"/>
              <w:right w:val="nil"/>
            </w:tcBorders>
            <w:shd w:val="clear" w:color="auto" w:fill="auto"/>
            <w:noWrap/>
            <w:vAlign w:val="center"/>
            <w:hideMark/>
          </w:tcPr>
          <w:p w14:paraId="67CE6B9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13</w:t>
            </w:r>
          </w:p>
        </w:tc>
        <w:tc>
          <w:tcPr>
            <w:tcW w:w="352" w:type="pct"/>
            <w:tcBorders>
              <w:top w:val="nil"/>
              <w:left w:val="nil"/>
              <w:bottom w:val="nil"/>
              <w:right w:val="single" w:sz="8" w:space="0" w:color="auto"/>
            </w:tcBorders>
            <w:shd w:val="clear" w:color="auto" w:fill="auto"/>
            <w:noWrap/>
            <w:vAlign w:val="center"/>
            <w:hideMark/>
          </w:tcPr>
          <w:p w14:paraId="75037B1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54.2</w:t>
            </w:r>
          </w:p>
        </w:tc>
      </w:tr>
      <w:tr w:rsidR="00A36D59" w:rsidRPr="00FA7D47" w14:paraId="395F50F3"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70F4D95F"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Sporulation</w:t>
            </w:r>
          </w:p>
        </w:tc>
        <w:tc>
          <w:tcPr>
            <w:tcW w:w="174" w:type="pct"/>
            <w:tcBorders>
              <w:top w:val="nil"/>
              <w:left w:val="nil"/>
              <w:bottom w:val="nil"/>
              <w:right w:val="nil"/>
            </w:tcBorders>
            <w:shd w:val="clear" w:color="auto" w:fill="auto"/>
            <w:noWrap/>
            <w:vAlign w:val="center"/>
            <w:hideMark/>
          </w:tcPr>
          <w:p w14:paraId="7C43FB28" w14:textId="77777777" w:rsidR="00A36D59" w:rsidRPr="009819CE" w:rsidRDefault="00A36D59" w:rsidP="0095549A">
            <w:pPr>
              <w:spacing w:after="0" w:line="240" w:lineRule="auto"/>
              <w:jc w:val="center"/>
              <w:rPr>
                <w:rFonts w:cstheme="minorBidi"/>
                <w:b/>
                <w:bCs/>
                <w:color w:val="000000"/>
                <w:sz w:val="20"/>
                <w:szCs w:val="20"/>
              </w:rPr>
            </w:pPr>
          </w:p>
        </w:tc>
        <w:tc>
          <w:tcPr>
            <w:tcW w:w="240" w:type="pct"/>
            <w:tcBorders>
              <w:top w:val="nil"/>
              <w:left w:val="nil"/>
              <w:bottom w:val="nil"/>
              <w:right w:val="nil"/>
            </w:tcBorders>
            <w:shd w:val="clear" w:color="auto" w:fill="auto"/>
            <w:noWrap/>
            <w:vAlign w:val="center"/>
            <w:hideMark/>
          </w:tcPr>
          <w:p w14:paraId="5707323A"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4A1ECF49"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1B02F2CC" w14:textId="77777777" w:rsidR="00A36D59" w:rsidRPr="009819CE" w:rsidRDefault="00A36D59" w:rsidP="0095549A">
            <w:pPr>
              <w:spacing w:after="0" w:line="240" w:lineRule="auto"/>
              <w:jc w:val="center"/>
              <w:rPr>
                <w:rFonts w:cstheme="minorBidi"/>
                <w:sz w:val="20"/>
                <w:szCs w:val="20"/>
              </w:rPr>
            </w:pPr>
          </w:p>
        </w:tc>
        <w:tc>
          <w:tcPr>
            <w:tcW w:w="218" w:type="pct"/>
            <w:tcBorders>
              <w:top w:val="nil"/>
              <w:left w:val="nil"/>
              <w:bottom w:val="nil"/>
              <w:right w:val="nil"/>
            </w:tcBorders>
            <w:shd w:val="clear" w:color="auto" w:fill="auto"/>
            <w:noWrap/>
            <w:vAlign w:val="center"/>
            <w:hideMark/>
          </w:tcPr>
          <w:p w14:paraId="5B293654" w14:textId="77777777" w:rsidR="00A36D59" w:rsidRPr="009819CE" w:rsidRDefault="00A36D59" w:rsidP="0095549A">
            <w:pPr>
              <w:spacing w:after="0" w:line="240" w:lineRule="auto"/>
              <w:jc w:val="center"/>
              <w:rPr>
                <w:rFonts w:cstheme="minorBidi"/>
                <w:sz w:val="20"/>
                <w:szCs w:val="20"/>
              </w:rPr>
            </w:pPr>
          </w:p>
        </w:tc>
        <w:tc>
          <w:tcPr>
            <w:tcW w:w="348" w:type="pct"/>
            <w:tcBorders>
              <w:top w:val="nil"/>
              <w:left w:val="nil"/>
              <w:bottom w:val="nil"/>
              <w:right w:val="single" w:sz="8" w:space="0" w:color="auto"/>
            </w:tcBorders>
            <w:shd w:val="clear" w:color="auto" w:fill="auto"/>
            <w:noWrap/>
            <w:vAlign w:val="center"/>
            <w:hideMark/>
          </w:tcPr>
          <w:p w14:paraId="57161386"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04F7E1D0"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349E8BC8"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4165395E"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6356B073" w14:textId="77777777" w:rsidR="00A36D59" w:rsidRPr="009819CE" w:rsidRDefault="00A36D59" w:rsidP="0095549A">
            <w:pPr>
              <w:spacing w:after="0" w:line="240" w:lineRule="auto"/>
              <w:jc w:val="center"/>
              <w:rPr>
                <w:rFonts w:cstheme="minorBidi"/>
                <w:sz w:val="20"/>
                <w:szCs w:val="20"/>
              </w:rPr>
            </w:pPr>
          </w:p>
        </w:tc>
        <w:tc>
          <w:tcPr>
            <w:tcW w:w="196" w:type="pct"/>
            <w:tcBorders>
              <w:top w:val="nil"/>
              <w:left w:val="nil"/>
              <w:bottom w:val="nil"/>
              <w:right w:val="nil"/>
            </w:tcBorders>
            <w:shd w:val="clear" w:color="auto" w:fill="auto"/>
            <w:noWrap/>
            <w:vAlign w:val="center"/>
            <w:hideMark/>
          </w:tcPr>
          <w:p w14:paraId="0FBC1BCC" w14:textId="77777777" w:rsidR="00A36D59" w:rsidRPr="009819CE" w:rsidRDefault="00A36D59" w:rsidP="0095549A">
            <w:pPr>
              <w:spacing w:after="0" w:line="240" w:lineRule="auto"/>
              <w:jc w:val="center"/>
              <w:rPr>
                <w:rFonts w:cstheme="minorBidi"/>
                <w:sz w:val="20"/>
                <w:szCs w:val="20"/>
              </w:rPr>
            </w:pPr>
          </w:p>
        </w:tc>
        <w:tc>
          <w:tcPr>
            <w:tcW w:w="351" w:type="pct"/>
            <w:tcBorders>
              <w:top w:val="nil"/>
              <w:left w:val="nil"/>
              <w:bottom w:val="nil"/>
              <w:right w:val="single" w:sz="8" w:space="0" w:color="auto"/>
            </w:tcBorders>
            <w:shd w:val="clear" w:color="auto" w:fill="auto"/>
            <w:noWrap/>
            <w:vAlign w:val="center"/>
            <w:hideMark/>
          </w:tcPr>
          <w:p w14:paraId="3E8329CA"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48E70B91"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62B383B4"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1BD07BEA"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282E8C96"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1CD42266" w14:textId="77777777" w:rsidR="00A36D59" w:rsidRPr="009819CE" w:rsidRDefault="00A36D59" w:rsidP="0095549A">
            <w:pPr>
              <w:spacing w:after="0" w:line="240" w:lineRule="auto"/>
              <w:jc w:val="center"/>
              <w:rPr>
                <w:rFonts w:cstheme="minorBidi"/>
                <w:sz w:val="20"/>
                <w:szCs w:val="20"/>
              </w:rPr>
            </w:pPr>
          </w:p>
        </w:tc>
        <w:tc>
          <w:tcPr>
            <w:tcW w:w="352" w:type="pct"/>
            <w:tcBorders>
              <w:top w:val="nil"/>
              <w:left w:val="nil"/>
              <w:bottom w:val="nil"/>
              <w:right w:val="single" w:sz="8" w:space="0" w:color="auto"/>
            </w:tcBorders>
            <w:shd w:val="clear" w:color="auto" w:fill="auto"/>
            <w:noWrap/>
            <w:vAlign w:val="center"/>
            <w:hideMark/>
          </w:tcPr>
          <w:p w14:paraId="1138569C"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4AC2195B"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18B14F8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sporulated</w:t>
            </w:r>
          </w:p>
        </w:tc>
        <w:tc>
          <w:tcPr>
            <w:tcW w:w="174" w:type="pct"/>
            <w:tcBorders>
              <w:top w:val="nil"/>
              <w:left w:val="nil"/>
              <w:bottom w:val="nil"/>
              <w:right w:val="nil"/>
            </w:tcBorders>
            <w:shd w:val="clear" w:color="auto" w:fill="auto"/>
            <w:noWrap/>
            <w:vAlign w:val="center"/>
            <w:hideMark/>
          </w:tcPr>
          <w:p w14:paraId="65457C7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35C4831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174" w:type="pct"/>
            <w:tcBorders>
              <w:top w:val="nil"/>
              <w:left w:val="nil"/>
              <w:bottom w:val="nil"/>
              <w:right w:val="nil"/>
            </w:tcBorders>
            <w:shd w:val="clear" w:color="auto" w:fill="auto"/>
            <w:noWrap/>
            <w:vAlign w:val="center"/>
            <w:hideMark/>
          </w:tcPr>
          <w:p w14:paraId="4EE633D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705EBBA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75</w:t>
            </w:r>
          </w:p>
        </w:tc>
        <w:tc>
          <w:tcPr>
            <w:tcW w:w="218" w:type="pct"/>
            <w:tcBorders>
              <w:top w:val="nil"/>
              <w:left w:val="nil"/>
              <w:bottom w:val="nil"/>
              <w:right w:val="nil"/>
            </w:tcBorders>
            <w:shd w:val="clear" w:color="auto" w:fill="auto"/>
            <w:noWrap/>
            <w:vAlign w:val="center"/>
            <w:hideMark/>
          </w:tcPr>
          <w:p w14:paraId="7D52EB7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348" w:type="pct"/>
            <w:tcBorders>
              <w:top w:val="nil"/>
              <w:left w:val="nil"/>
              <w:bottom w:val="nil"/>
              <w:right w:val="single" w:sz="8" w:space="0" w:color="auto"/>
            </w:tcBorders>
            <w:shd w:val="clear" w:color="auto" w:fill="auto"/>
            <w:noWrap/>
            <w:vAlign w:val="center"/>
            <w:hideMark/>
          </w:tcPr>
          <w:p w14:paraId="7120D5D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3.4</w:t>
            </w:r>
          </w:p>
        </w:tc>
        <w:tc>
          <w:tcPr>
            <w:tcW w:w="174" w:type="pct"/>
            <w:tcBorders>
              <w:top w:val="nil"/>
              <w:left w:val="nil"/>
              <w:bottom w:val="nil"/>
              <w:right w:val="nil"/>
            </w:tcBorders>
            <w:shd w:val="clear" w:color="auto" w:fill="auto"/>
            <w:noWrap/>
            <w:vAlign w:val="center"/>
            <w:hideMark/>
          </w:tcPr>
          <w:p w14:paraId="13B8018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151E837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4EA6184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54FEA13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196" w:type="pct"/>
            <w:tcBorders>
              <w:top w:val="nil"/>
              <w:left w:val="nil"/>
              <w:bottom w:val="nil"/>
              <w:right w:val="nil"/>
            </w:tcBorders>
            <w:shd w:val="clear" w:color="auto" w:fill="auto"/>
            <w:noWrap/>
            <w:vAlign w:val="center"/>
            <w:hideMark/>
          </w:tcPr>
          <w:p w14:paraId="477C1FD0" w14:textId="77777777" w:rsidR="00A36D59" w:rsidRPr="009819CE" w:rsidRDefault="00A36D59" w:rsidP="0095549A">
            <w:pPr>
              <w:spacing w:after="0" w:line="240" w:lineRule="auto"/>
              <w:jc w:val="center"/>
              <w:rPr>
                <w:rFonts w:cstheme="minorBidi"/>
                <w:b/>
                <w:bCs/>
                <w:color w:val="FF0000"/>
                <w:sz w:val="20"/>
                <w:szCs w:val="20"/>
              </w:rPr>
            </w:pPr>
            <w:r w:rsidRPr="009819CE">
              <w:rPr>
                <w:rFonts w:cstheme="minorBidi"/>
                <w:b/>
                <w:bCs/>
                <w:color w:val="FF0000"/>
                <w:sz w:val="20"/>
                <w:szCs w:val="20"/>
              </w:rPr>
              <w:t>3</w:t>
            </w:r>
          </w:p>
        </w:tc>
        <w:tc>
          <w:tcPr>
            <w:tcW w:w="351" w:type="pct"/>
            <w:tcBorders>
              <w:top w:val="nil"/>
              <w:left w:val="nil"/>
              <w:bottom w:val="nil"/>
              <w:right w:val="single" w:sz="8" w:space="0" w:color="auto"/>
            </w:tcBorders>
            <w:shd w:val="clear" w:color="auto" w:fill="auto"/>
            <w:noWrap/>
            <w:vAlign w:val="center"/>
            <w:hideMark/>
          </w:tcPr>
          <w:p w14:paraId="7FDD3E0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174" w:type="pct"/>
            <w:tcBorders>
              <w:top w:val="nil"/>
              <w:left w:val="nil"/>
              <w:bottom w:val="nil"/>
              <w:right w:val="nil"/>
            </w:tcBorders>
            <w:shd w:val="clear" w:color="auto" w:fill="auto"/>
            <w:noWrap/>
            <w:vAlign w:val="center"/>
            <w:hideMark/>
          </w:tcPr>
          <w:p w14:paraId="65A2BAE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2EEA5BD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6FD1E1A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61C9C2D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174" w:type="pct"/>
            <w:tcBorders>
              <w:top w:val="nil"/>
              <w:left w:val="nil"/>
              <w:bottom w:val="nil"/>
              <w:right w:val="nil"/>
            </w:tcBorders>
            <w:shd w:val="clear" w:color="auto" w:fill="auto"/>
            <w:noWrap/>
            <w:vAlign w:val="center"/>
            <w:hideMark/>
          </w:tcPr>
          <w:p w14:paraId="14458F59" w14:textId="77777777" w:rsidR="00A36D59" w:rsidRPr="009819CE" w:rsidRDefault="00A36D59" w:rsidP="0095549A">
            <w:pPr>
              <w:spacing w:after="0" w:line="240" w:lineRule="auto"/>
              <w:jc w:val="center"/>
              <w:rPr>
                <w:rFonts w:cstheme="minorBidi"/>
                <w:b/>
                <w:bCs/>
                <w:color w:val="FF0000"/>
                <w:sz w:val="20"/>
                <w:szCs w:val="20"/>
              </w:rPr>
            </w:pPr>
            <w:r w:rsidRPr="009819CE">
              <w:rPr>
                <w:rFonts w:cstheme="minorBidi"/>
                <w:b/>
                <w:bCs/>
                <w:color w:val="FF0000"/>
                <w:sz w:val="20"/>
                <w:szCs w:val="20"/>
              </w:rPr>
              <w:t>3</w:t>
            </w:r>
          </w:p>
        </w:tc>
        <w:tc>
          <w:tcPr>
            <w:tcW w:w="352" w:type="pct"/>
            <w:tcBorders>
              <w:top w:val="nil"/>
              <w:left w:val="nil"/>
              <w:bottom w:val="nil"/>
              <w:right w:val="single" w:sz="8" w:space="0" w:color="auto"/>
            </w:tcBorders>
            <w:shd w:val="clear" w:color="auto" w:fill="auto"/>
            <w:noWrap/>
            <w:vAlign w:val="center"/>
            <w:hideMark/>
          </w:tcPr>
          <w:p w14:paraId="4B9914D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12.5</w:t>
            </w:r>
          </w:p>
        </w:tc>
      </w:tr>
      <w:tr w:rsidR="00A36D59" w:rsidRPr="00FA7D47" w14:paraId="03358C0D"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1353A54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spore</w:t>
            </w:r>
          </w:p>
        </w:tc>
        <w:tc>
          <w:tcPr>
            <w:tcW w:w="174" w:type="pct"/>
            <w:tcBorders>
              <w:top w:val="nil"/>
              <w:left w:val="nil"/>
              <w:bottom w:val="nil"/>
              <w:right w:val="nil"/>
            </w:tcBorders>
            <w:shd w:val="clear" w:color="auto" w:fill="auto"/>
            <w:noWrap/>
            <w:vAlign w:val="center"/>
            <w:hideMark/>
          </w:tcPr>
          <w:p w14:paraId="0AF974B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1F000A2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174" w:type="pct"/>
            <w:tcBorders>
              <w:top w:val="nil"/>
              <w:left w:val="nil"/>
              <w:bottom w:val="nil"/>
              <w:right w:val="nil"/>
            </w:tcBorders>
            <w:shd w:val="clear" w:color="auto" w:fill="auto"/>
            <w:noWrap/>
            <w:vAlign w:val="center"/>
            <w:hideMark/>
          </w:tcPr>
          <w:p w14:paraId="5F91E99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7BBBDA0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75</w:t>
            </w:r>
          </w:p>
        </w:tc>
        <w:tc>
          <w:tcPr>
            <w:tcW w:w="218" w:type="pct"/>
            <w:tcBorders>
              <w:top w:val="nil"/>
              <w:left w:val="nil"/>
              <w:bottom w:val="nil"/>
              <w:right w:val="nil"/>
            </w:tcBorders>
            <w:shd w:val="clear" w:color="auto" w:fill="auto"/>
            <w:noWrap/>
            <w:vAlign w:val="center"/>
            <w:hideMark/>
          </w:tcPr>
          <w:p w14:paraId="70A89FB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348" w:type="pct"/>
            <w:tcBorders>
              <w:top w:val="nil"/>
              <w:left w:val="nil"/>
              <w:bottom w:val="nil"/>
              <w:right w:val="single" w:sz="8" w:space="0" w:color="auto"/>
            </w:tcBorders>
            <w:shd w:val="clear" w:color="auto" w:fill="auto"/>
            <w:noWrap/>
            <w:vAlign w:val="center"/>
            <w:hideMark/>
          </w:tcPr>
          <w:p w14:paraId="10038FC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3.4</w:t>
            </w:r>
          </w:p>
        </w:tc>
        <w:tc>
          <w:tcPr>
            <w:tcW w:w="174" w:type="pct"/>
            <w:tcBorders>
              <w:top w:val="nil"/>
              <w:left w:val="nil"/>
              <w:bottom w:val="nil"/>
              <w:right w:val="nil"/>
            </w:tcBorders>
            <w:shd w:val="clear" w:color="auto" w:fill="auto"/>
            <w:noWrap/>
            <w:vAlign w:val="center"/>
            <w:hideMark/>
          </w:tcPr>
          <w:p w14:paraId="73AFF24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3FEF5D7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5CE1BB3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5AD7A85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196" w:type="pct"/>
            <w:tcBorders>
              <w:top w:val="nil"/>
              <w:left w:val="nil"/>
              <w:bottom w:val="nil"/>
              <w:right w:val="nil"/>
            </w:tcBorders>
            <w:shd w:val="clear" w:color="auto" w:fill="auto"/>
            <w:noWrap/>
            <w:vAlign w:val="center"/>
            <w:hideMark/>
          </w:tcPr>
          <w:p w14:paraId="1E61BB0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351" w:type="pct"/>
            <w:tcBorders>
              <w:top w:val="nil"/>
              <w:left w:val="nil"/>
              <w:bottom w:val="nil"/>
              <w:right w:val="single" w:sz="8" w:space="0" w:color="auto"/>
            </w:tcBorders>
            <w:shd w:val="clear" w:color="auto" w:fill="auto"/>
            <w:noWrap/>
            <w:vAlign w:val="center"/>
            <w:hideMark/>
          </w:tcPr>
          <w:p w14:paraId="265159A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174" w:type="pct"/>
            <w:tcBorders>
              <w:top w:val="nil"/>
              <w:left w:val="nil"/>
              <w:bottom w:val="nil"/>
              <w:right w:val="nil"/>
            </w:tcBorders>
            <w:shd w:val="clear" w:color="auto" w:fill="auto"/>
            <w:noWrap/>
            <w:vAlign w:val="center"/>
            <w:hideMark/>
          </w:tcPr>
          <w:p w14:paraId="19E85E0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026B81D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7160EC6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2E59CFF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174" w:type="pct"/>
            <w:tcBorders>
              <w:top w:val="nil"/>
              <w:left w:val="nil"/>
              <w:bottom w:val="nil"/>
              <w:right w:val="nil"/>
            </w:tcBorders>
            <w:shd w:val="clear" w:color="auto" w:fill="auto"/>
            <w:noWrap/>
            <w:vAlign w:val="center"/>
            <w:hideMark/>
          </w:tcPr>
          <w:p w14:paraId="468CD9A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352" w:type="pct"/>
            <w:tcBorders>
              <w:top w:val="nil"/>
              <w:left w:val="nil"/>
              <w:bottom w:val="nil"/>
              <w:right w:val="single" w:sz="8" w:space="0" w:color="auto"/>
            </w:tcBorders>
            <w:shd w:val="clear" w:color="auto" w:fill="auto"/>
            <w:noWrap/>
            <w:vAlign w:val="center"/>
            <w:hideMark/>
          </w:tcPr>
          <w:p w14:paraId="2487A79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12.5</w:t>
            </w:r>
          </w:p>
        </w:tc>
      </w:tr>
      <w:tr w:rsidR="00A36D59" w:rsidRPr="00FA7D47" w14:paraId="43C9A6D4"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384A7EAD"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1CEA9648"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6E94140E"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41D25D5D"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3E54916D" w14:textId="77777777" w:rsidR="00A36D59" w:rsidRPr="009819CE" w:rsidRDefault="00A36D59" w:rsidP="0095549A">
            <w:pPr>
              <w:spacing w:after="0" w:line="240" w:lineRule="auto"/>
              <w:jc w:val="center"/>
              <w:rPr>
                <w:rFonts w:cstheme="minorBidi"/>
                <w:sz w:val="20"/>
                <w:szCs w:val="20"/>
              </w:rPr>
            </w:pPr>
          </w:p>
        </w:tc>
        <w:tc>
          <w:tcPr>
            <w:tcW w:w="218" w:type="pct"/>
            <w:tcBorders>
              <w:top w:val="nil"/>
              <w:left w:val="nil"/>
              <w:bottom w:val="nil"/>
              <w:right w:val="nil"/>
            </w:tcBorders>
            <w:shd w:val="clear" w:color="auto" w:fill="auto"/>
            <w:noWrap/>
            <w:vAlign w:val="center"/>
            <w:hideMark/>
          </w:tcPr>
          <w:p w14:paraId="4D5BD7DE" w14:textId="77777777" w:rsidR="00A36D59" w:rsidRPr="009819CE" w:rsidRDefault="00A36D59" w:rsidP="0095549A">
            <w:pPr>
              <w:spacing w:after="0" w:line="240" w:lineRule="auto"/>
              <w:jc w:val="center"/>
              <w:rPr>
                <w:rFonts w:cstheme="minorBidi"/>
                <w:sz w:val="20"/>
                <w:szCs w:val="20"/>
              </w:rPr>
            </w:pPr>
          </w:p>
        </w:tc>
        <w:tc>
          <w:tcPr>
            <w:tcW w:w="348" w:type="pct"/>
            <w:tcBorders>
              <w:top w:val="nil"/>
              <w:left w:val="nil"/>
              <w:bottom w:val="nil"/>
              <w:right w:val="single" w:sz="8" w:space="0" w:color="auto"/>
            </w:tcBorders>
            <w:shd w:val="clear" w:color="auto" w:fill="auto"/>
            <w:noWrap/>
            <w:vAlign w:val="center"/>
            <w:hideMark/>
          </w:tcPr>
          <w:p w14:paraId="57752E3F"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457C157B"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4450ED6B"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6FB104A0"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750B5765" w14:textId="77777777" w:rsidR="00A36D59" w:rsidRPr="009819CE" w:rsidRDefault="00A36D59" w:rsidP="0095549A">
            <w:pPr>
              <w:spacing w:after="0" w:line="240" w:lineRule="auto"/>
              <w:jc w:val="center"/>
              <w:rPr>
                <w:rFonts w:cstheme="minorBidi"/>
                <w:sz w:val="20"/>
                <w:szCs w:val="20"/>
              </w:rPr>
            </w:pPr>
          </w:p>
        </w:tc>
        <w:tc>
          <w:tcPr>
            <w:tcW w:w="196" w:type="pct"/>
            <w:tcBorders>
              <w:top w:val="nil"/>
              <w:left w:val="nil"/>
              <w:bottom w:val="nil"/>
              <w:right w:val="nil"/>
            </w:tcBorders>
            <w:shd w:val="clear" w:color="auto" w:fill="auto"/>
            <w:noWrap/>
            <w:vAlign w:val="center"/>
            <w:hideMark/>
          </w:tcPr>
          <w:p w14:paraId="4F24C5D6" w14:textId="77777777" w:rsidR="00A36D59" w:rsidRPr="009819CE" w:rsidRDefault="00A36D59" w:rsidP="0095549A">
            <w:pPr>
              <w:spacing w:after="0" w:line="240" w:lineRule="auto"/>
              <w:jc w:val="center"/>
              <w:rPr>
                <w:rFonts w:cstheme="minorBidi"/>
                <w:sz w:val="20"/>
                <w:szCs w:val="20"/>
              </w:rPr>
            </w:pPr>
          </w:p>
        </w:tc>
        <w:tc>
          <w:tcPr>
            <w:tcW w:w="351" w:type="pct"/>
            <w:tcBorders>
              <w:top w:val="nil"/>
              <w:left w:val="nil"/>
              <w:bottom w:val="nil"/>
              <w:right w:val="single" w:sz="8" w:space="0" w:color="auto"/>
            </w:tcBorders>
            <w:shd w:val="clear" w:color="auto" w:fill="auto"/>
            <w:noWrap/>
            <w:vAlign w:val="center"/>
            <w:hideMark/>
          </w:tcPr>
          <w:p w14:paraId="50C67E3B"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69E56EF4"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21DE7875"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6EBFF6F8"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55727976"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23AA76F7" w14:textId="77777777" w:rsidR="00A36D59" w:rsidRPr="009819CE" w:rsidRDefault="00A36D59" w:rsidP="0095549A">
            <w:pPr>
              <w:spacing w:after="0" w:line="240" w:lineRule="auto"/>
              <w:jc w:val="center"/>
              <w:rPr>
                <w:rFonts w:cstheme="minorBidi"/>
                <w:sz w:val="20"/>
                <w:szCs w:val="20"/>
              </w:rPr>
            </w:pPr>
          </w:p>
        </w:tc>
        <w:tc>
          <w:tcPr>
            <w:tcW w:w="352" w:type="pct"/>
            <w:tcBorders>
              <w:top w:val="nil"/>
              <w:left w:val="nil"/>
              <w:bottom w:val="nil"/>
              <w:right w:val="single" w:sz="8" w:space="0" w:color="auto"/>
            </w:tcBorders>
            <w:shd w:val="clear" w:color="auto" w:fill="auto"/>
            <w:noWrap/>
            <w:vAlign w:val="center"/>
            <w:hideMark/>
          </w:tcPr>
          <w:p w14:paraId="5DA2A610"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739DE27C"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2A11E5E3" w14:textId="5B2F8636" w:rsidR="00A36D59" w:rsidRPr="009819CE" w:rsidRDefault="00A36D59" w:rsidP="0095549A">
            <w:pPr>
              <w:spacing w:after="0" w:line="240" w:lineRule="auto"/>
              <w:jc w:val="center"/>
              <w:rPr>
                <w:rFonts w:cstheme="minorBidi"/>
                <w:b/>
                <w:bCs/>
                <w:color w:val="000000"/>
                <w:sz w:val="20"/>
                <w:szCs w:val="20"/>
              </w:rPr>
            </w:pPr>
            <w:r w:rsidRPr="00FA7D47">
              <w:rPr>
                <w:rFonts w:cstheme="minorBidi"/>
                <w:b/>
                <w:bCs/>
                <w:color w:val="000000"/>
                <w:sz w:val="20"/>
                <w:szCs w:val="20"/>
              </w:rPr>
              <w:t>Moult</w:t>
            </w:r>
            <w:r w:rsidRPr="009819CE">
              <w:rPr>
                <w:rFonts w:cstheme="minorBidi"/>
                <w:b/>
                <w:bCs/>
                <w:color w:val="000000"/>
                <w:sz w:val="20"/>
                <w:szCs w:val="20"/>
              </w:rPr>
              <w:t xml:space="preserve"> stage</w:t>
            </w:r>
          </w:p>
        </w:tc>
        <w:tc>
          <w:tcPr>
            <w:tcW w:w="174" w:type="pct"/>
            <w:tcBorders>
              <w:top w:val="nil"/>
              <w:left w:val="nil"/>
              <w:bottom w:val="nil"/>
              <w:right w:val="nil"/>
            </w:tcBorders>
            <w:shd w:val="clear" w:color="auto" w:fill="auto"/>
            <w:noWrap/>
            <w:vAlign w:val="center"/>
            <w:hideMark/>
          </w:tcPr>
          <w:p w14:paraId="0BAD0B43" w14:textId="77777777" w:rsidR="00A36D59" w:rsidRPr="009819CE" w:rsidRDefault="00A36D59" w:rsidP="0095549A">
            <w:pPr>
              <w:spacing w:after="0" w:line="240" w:lineRule="auto"/>
              <w:jc w:val="center"/>
              <w:rPr>
                <w:rFonts w:cstheme="minorBidi"/>
                <w:b/>
                <w:bCs/>
                <w:color w:val="000000"/>
                <w:sz w:val="20"/>
                <w:szCs w:val="20"/>
              </w:rPr>
            </w:pPr>
          </w:p>
        </w:tc>
        <w:tc>
          <w:tcPr>
            <w:tcW w:w="240" w:type="pct"/>
            <w:tcBorders>
              <w:top w:val="nil"/>
              <w:left w:val="nil"/>
              <w:bottom w:val="nil"/>
              <w:right w:val="nil"/>
            </w:tcBorders>
            <w:shd w:val="clear" w:color="auto" w:fill="auto"/>
            <w:noWrap/>
            <w:vAlign w:val="center"/>
            <w:hideMark/>
          </w:tcPr>
          <w:p w14:paraId="0895BBFF"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7359D104"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57B48D2C" w14:textId="77777777" w:rsidR="00A36D59" w:rsidRPr="009819CE" w:rsidRDefault="00A36D59" w:rsidP="0095549A">
            <w:pPr>
              <w:spacing w:after="0" w:line="240" w:lineRule="auto"/>
              <w:jc w:val="center"/>
              <w:rPr>
                <w:rFonts w:cstheme="minorBidi"/>
                <w:sz w:val="20"/>
                <w:szCs w:val="20"/>
              </w:rPr>
            </w:pPr>
          </w:p>
        </w:tc>
        <w:tc>
          <w:tcPr>
            <w:tcW w:w="218" w:type="pct"/>
            <w:tcBorders>
              <w:top w:val="nil"/>
              <w:left w:val="nil"/>
              <w:bottom w:val="nil"/>
              <w:right w:val="nil"/>
            </w:tcBorders>
            <w:shd w:val="clear" w:color="auto" w:fill="auto"/>
            <w:noWrap/>
            <w:vAlign w:val="center"/>
            <w:hideMark/>
          </w:tcPr>
          <w:p w14:paraId="4498C19A" w14:textId="77777777" w:rsidR="00A36D59" w:rsidRPr="009819CE" w:rsidRDefault="00A36D59" w:rsidP="0095549A">
            <w:pPr>
              <w:spacing w:after="0" w:line="240" w:lineRule="auto"/>
              <w:jc w:val="center"/>
              <w:rPr>
                <w:rFonts w:cstheme="minorBidi"/>
                <w:sz w:val="20"/>
                <w:szCs w:val="20"/>
              </w:rPr>
            </w:pPr>
          </w:p>
        </w:tc>
        <w:tc>
          <w:tcPr>
            <w:tcW w:w="348" w:type="pct"/>
            <w:tcBorders>
              <w:top w:val="nil"/>
              <w:left w:val="nil"/>
              <w:bottom w:val="nil"/>
              <w:right w:val="single" w:sz="8" w:space="0" w:color="auto"/>
            </w:tcBorders>
            <w:shd w:val="clear" w:color="auto" w:fill="auto"/>
            <w:noWrap/>
            <w:vAlign w:val="center"/>
            <w:hideMark/>
          </w:tcPr>
          <w:p w14:paraId="33480B03"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6DDB324D"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0D25A75E"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78926A22"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23FE81E8" w14:textId="77777777" w:rsidR="00A36D59" w:rsidRPr="009819CE" w:rsidRDefault="00A36D59" w:rsidP="0095549A">
            <w:pPr>
              <w:spacing w:after="0" w:line="240" w:lineRule="auto"/>
              <w:jc w:val="center"/>
              <w:rPr>
                <w:rFonts w:cstheme="minorBidi"/>
                <w:sz w:val="20"/>
                <w:szCs w:val="20"/>
              </w:rPr>
            </w:pPr>
          </w:p>
        </w:tc>
        <w:tc>
          <w:tcPr>
            <w:tcW w:w="196" w:type="pct"/>
            <w:tcBorders>
              <w:top w:val="nil"/>
              <w:left w:val="nil"/>
              <w:bottom w:val="nil"/>
              <w:right w:val="nil"/>
            </w:tcBorders>
            <w:shd w:val="clear" w:color="auto" w:fill="auto"/>
            <w:noWrap/>
            <w:vAlign w:val="center"/>
            <w:hideMark/>
          </w:tcPr>
          <w:p w14:paraId="75CA55F4" w14:textId="77777777" w:rsidR="00A36D59" w:rsidRPr="009819CE" w:rsidRDefault="00A36D59" w:rsidP="0095549A">
            <w:pPr>
              <w:spacing w:after="0" w:line="240" w:lineRule="auto"/>
              <w:jc w:val="center"/>
              <w:rPr>
                <w:rFonts w:cstheme="minorBidi"/>
                <w:sz w:val="20"/>
                <w:szCs w:val="20"/>
              </w:rPr>
            </w:pPr>
          </w:p>
        </w:tc>
        <w:tc>
          <w:tcPr>
            <w:tcW w:w="351" w:type="pct"/>
            <w:tcBorders>
              <w:top w:val="nil"/>
              <w:left w:val="nil"/>
              <w:bottom w:val="nil"/>
              <w:right w:val="single" w:sz="8" w:space="0" w:color="auto"/>
            </w:tcBorders>
            <w:shd w:val="clear" w:color="auto" w:fill="auto"/>
            <w:noWrap/>
            <w:vAlign w:val="center"/>
            <w:hideMark/>
          </w:tcPr>
          <w:p w14:paraId="6E506614"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1D68F199"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5E093673"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227AB8A4"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590A1D67"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7416F09A" w14:textId="77777777" w:rsidR="00A36D59" w:rsidRPr="009819CE" w:rsidRDefault="00A36D59" w:rsidP="0095549A">
            <w:pPr>
              <w:spacing w:after="0" w:line="240" w:lineRule="auto"/>
              <w:jc w:val="center"/>
              <w:rPr>
                <w:rFonts w:cstheme="minorBidi"/>
                <w:sz w:val="20"/>
                <w:szCs w:val="20"/>
              </w:rPr>
            </w:pPr>
          </w:p>
        </w:tc>
        <w:tc>
          <w:tcPr>
            <w:tcW w:w="352" w:type="pct"/>
            <w:tcBorders>
              <w:top w:val="nil"/>
              <w:left w:val="nil"/>
              <w:bottom w:val="nil"/>
              <w:right w:val="single" w:sz="8" w:space="0" w:color="auto"/>
            </w:tcBorders>
            <w:shd w:val="clear" w:color="auto" w:fill="auto"/>
            <w:noWrap/>
            <w:vAlign w:val="center"/>
            <w:hideMark/>
          </w:tcPr>
          <w:p w14:paraId="2F192B46"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43A6D262"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0B06A8E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B</w:t>
            </w:r>
          </w:p>
        </w:tc>
        <w:tc>
          <w:tcPr>
            <w:tcW w:w="174" w:type="pct"/>
            <w:tcBorders>
              <w:top w:val="nil"/>
              <w:left w:val="nil"/>
              <w:bottom w:val="nil"/>
              <w:right w:val="nil"/>
            </w:tcBorders>
            <w:shd w:val="clear" w:color="auto" w:fill="auto"/>
            <w:noWrap/>
            <w:vAlign w:val="center"/>
            <w:hideMark/>
          </w:tcPr>
          <w:p w14:paraId="1989A71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50DAFD2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174" w:type="pct"/>
            <w:tcBorders>
              <w:top w:val="nil"/>
              <w:left w:val="nil"/>
              <w:bottom w:val="nil"/>
              <w:right w:val="nil"/>
            </w:tcBorders>
            <w:shd w:val="clear" w:color="auto" w:fill="auto"/>
            <w:noWrap/>
            <w:vAlign w:val="center"/>
            <w:hideMark/>
          </w:tcPr>
          <w:p w14:paraId="7C2EDA6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2C7D3FF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218" w:type="pct"/>
            <w:tcBorders>
              <w:top w:val="nil"/>
              <w:left w:val="nil"/>
              <w:bottom w:val="nil"/>
              <w:right w:val="nil"/>
            </w:tcBorders>
            <w:shd w:val="clear" w:color="auto" w:fill="auto"/>
            <w:noWrap/>
            <w:vAlign w:val="center"/>
            <w:hideMark/>
          </w:tcPr>
          <w:p w14:paraId="5C0CAAF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348" w:type="pct"/>
            <w:tcBorders>
              <w:top w:val="nil"/>
              <w:left w:val="nil"/>
              <w:bottom w:val="nil"/>
              <w:right w:val="single" w:sz="8" w:space="0" w:color="auto"/>
            </w:tcBorders>
            <w:shd w:val="clear" w:color="auto" w:fill="auto"/>
            <w:noWrap/>
            <w:vAlign w:val="center"/>
            <w:hideMark/>
          </w:tcPr>
          <w:p w14:paraId="6D06DE2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174" w:type="pct"/>
            <w:tcBorders>
              <w:top w:val="nil"/>
              <w:left w:val="nil"/>
              <w:bottom w:val="nil"/>
              <w:right w:val="nil"/>
            </w:tcBorders>
            <w:shd w:val="clear" w:color="auto" w:fill="auto"/>
            <w:noWrap/>
            <w:vAlign w:val="center"/>
            <w:hideMark/>
          </w:tcPr>
          <w:p w14:paraId="3B86638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2DA408C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08F1ADF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3AAC616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96" w:type="pct"/>
            <w:tcBorders>
              <w:top w:val="nil"/>
              <w:left w:val="nil"/>
              <w:bottom w:val="nil"/>
              <w:right w:val="nil"/>
            </w:tcBorders>
            <w:shd w:val="clear" w:color="auto" w:fill="auto"/>
            <w:noWrap/>
            <w:vAlign w:val="center"/>
            <w:hideMark/>
          </w:tcPr>
          <w:p w14:paraId="0221A9D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351" w:type="pct"/>
            <w:tcBorders>
              <w:top w:val="nil"/>
              <w:left w:val="nil"/>
              <w:bottom w:val="nil"/>
              <w:right w:val="single" w:sz="8" w:space="0" w:color="auto"/>
            </w:tcBorders>
            <w:shd w:val="clear" w:color="auto" w:fill="auto"/>
            <w:noWrap/>
            <w:vAlign w:val="center"/>
            <w:hideMark/>
          </w:tcPr>
          <w:p w14:paraId="607DC63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4.7</w:t>
            </w:r>
          </w:p>
        </w:tc>
        <w:tc>
          <w:tcPr>
            <w:tcW w:w="174" w:type="pct"/>
            <w:tcBorders>
              <w:top w:val="nil"/>
              <w:left w:val="nil"/>
              <w:bottom w:val="nil"/>
              <w:right w:val="nil"/>
            </w:tcBorders>
            <w:shd w:val="clear" w:color="auto" w:fill="auto"/>
            <w:noWrap/>
            <w:vAlign w:val="center"/>
            <w:hideMark/>
          </w:tcPr>
          <w:p w14:paraId="542A2AC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70B7523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100</w:t>
            </w:r>
          </w:p>
        </w:tc>
        <w:tc>
          <w:tcPr>
            <w:tcW w:w="174" w:type="pct"/>
            <w:tcBorders>
              <w:top w:val="nil"/>
              <w:left w:val="nil"/>
              <w:bottom w:val="nil"/>
              <w:right w:val="nil"/>
            </w:tcBorders>
            <w:shd w:val="clear" w:color="auto" w:fill="auto"/>
            <w:noWrap/>
            <w:vAlign w:val="center"/>
            <w:hideMark/>
          </w:tcPr>
          <w:p w14:paraId="43D98D2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0</w:t>
            </w:r>
          </w:p>
        </w:tc>
        <w:tc>
          <w:tcPr>
            <w:tcW w:w="240" w:type="pct"/>
            <w:tcBorders>
              <w:top w:val="nil"/>
              <w:left w:val="nil"/>
              <w:bottom w:val="nil"/>
              <w:right w:val="nil"/>
            </w:tcBorders>
            <w:shd w:val="clear" w:color="auto" w:fill="auto"/>
            <w:noWrap/>
            <w:vAlign w:val="center"/>
            <w:hideMark/>
          </w:tcPr>
          <w:p w14:paraId="0C08D92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0</w:t>
            </w:r>
          </w:p>
        </w:tc>
        <w:tc>
          <w:tcPr>
            <w:tcW w:w="174" w:type="pct"/>
            <w:tcBorders>
              <w:top w:val="nil"/>
              <w:left w:val="nil"/>
              <w:bottom w:val="nil"/>
              <w:right w:val="nil"/>
            </w:tcBorders>
            <w:shd w:val="clear" w:color="auto" w:fill="auto"/>
            <w:noWrap/>
            <w:vAlign w:val="center"/>
            <w:hideMark/>
          </w:tcPr>
          <w:p w14:paraId="4A805C2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352" w:type="pct"/>
            <w:tcBorders>
              <w:top w:val="nil"/>
              <w:left w:val="nil"/>
              <w:bottom w:val="nil"/>
              <w:right w:val="single" w:sz="8" w:space="0" w:color="auto"/>
            </w:tcBorders>
            <w:shd w:val="clear" w:color="auto" w:fill="auto"/>
            <w:noWrap/>
            <w:vAlign w:val="center"/>
            <w:hideMark/>
          </w:tcPr>
          <w:p w14:paraId="395D197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2.3</w:t>
            </w:r>
          </w:p>
        </w:tc>
      </w:tr>
      <w:tr w:rsidR="00A36D59" w:rsidRPr="00FA7D47" w14:paraId="71673698"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71E1BF8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C</w:t>
            </w:r>
          </w:p>
        </w:tc>
        <w:tc>
          <w:tcPr>
            <w:tcW w:w="174" w:type="pct"/>
            <w:tcBorders>
              <w:top w:val="nil"/>
              <w:left w:val="nil"/>
              <w:bottom w:val="nil"/>
              <w:right w:val="nil"/>
            </w:tcBorders>
            <w:shd w:val="clear" w:color="auto" w:fill="auto"/>
            <w:noWrap/>
            <w:vAlign w:val="center"/>
            <w:hideMark/>
          </w:tcPr>
          <w:p w14:paraId="7C7CCA1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46</w:t>
            </w:r>
          </w:p>
        </w:tc>
        <w:tc>
          <w:tcPr>
            <w:tcW w:w="240" w:type="pct"/>
            <w:tcBorders>
              <w:top w:val="nil"/>
              <w:left w:val="nil"/>
              <w:bottom w:val="nil"/>
              <w:right w:val="nil"/>
            </w:tcBorders>
            <w:shd w:val="clear" w:color="auto" w:fill="auto"/>
            <w:noWrap/>
            <w:vAlign w:val="center"/>
            <w:hideMark/>
          </w:tcPr>
          <w:p w14:paraId="5A62F6A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48.4</w:t>
            </w:r>
          </w:p>
        </w:tc>
        <w:tc>
          <w:tcPr>
            <w:tcW w:w="174" w:type="pct"/>
            <w:tcBorders>
              <w:top w:val="nil"/>
              <w:left w:val="nil"/>
              <w:bottom w:val="nil"/>
              <w:right w:val="nil"/>
            </w:tcBorders>
            <w:shd w:val="clear" w:color="auto" w:fill="auto"/>
            <w:noWrap/>
            <w:vAlign w:val="center"/>
            <w:hideMark/>
          </w:tcPr>
          <w:p w14:paraId="219E4EF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49</w:t>
            </w:r>
          </w:p>
        </w:tc>
        <w:tc>
          <w:tcPr>
            <w:tcW w:w="240" w:type="pct"/>
            <w:tcBorders>
              <w:top w:val="nil"/>
              <w:left w:val="nil"/>
              <w:bottom w:val="nil"/>
              <w:right w:val="nil"/>
            </w:tcBorders>
            <w:shd w:val="clear" w:color="auto" w:fill="auto"/>
            <w:noWrap/>
            <w:vAlign w:val="center"/>
            <w:hideMark/>
          </w:tcPr>
          <w:p w14:paraId="51477CA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51.6</w:t>
            </w:r>
          </w:p>
        </w:tc>
        <w:tc>
          <w:tcPr>
            <w:tcW w:w="218" w:type="pct"/>
            <w:tcBorders>
              <w:top w:val="nil"/>
              <w:left w:val="nil"/>
              <w:bottom w:val="nil"/>
              <w:right w:val="nil"/>
            </w:tcBorders>
            <w:shd w:val="clear" w:color="auto" w:fill="auto"/>
            <w:noWrap/>
            <w:vAlign w:val="center"/>
            <w:hideMark/>
          </w:tcPr>
          <w:p w14:paraId="3E86956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95</w:t>
            </w:r>
          </w:p>
        </w:tc>
        <w:tc>
          <w:tcPr>
            <w:tcW w:w="348" w:type="pct"/>
            <w:tcBorders>
              <w:top w:val="nil"/>
              <w:left w:val="nil"/>
              <w:bottom w:val="nil"/>
              <w:right w:val="single" w:sz="8" w:space="0" w:color="auto"/>
            </w:tcBorders>
            <w:shd w:val="clear" w:color="auto" w:fill="auto"/>
            <w:noWrap/>
            <w:vAlign w:val="center"/>
            <w:hideMark/>
          </w:tcPr>
          <w:p w14:paraId="4C1E256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79.8</w:t>
            </w:r>
          </w:p>
        </w:tc>
        <w:tc>
          <w:tcPr>
            <w:tcW w:w="174" w:type="pct"/>
            <w:tcBorders>
              <w:top w:val="nil"/>
              <w:left w:val="nil"/>
              <w:bottom w:val="nil"/>
              <w:right w:val="nil"/>
            </w:tcBorders>
            <w:shd w:val="clear" w:color="auto" w:fill="auto"/>
            <w:noWrap/>
            <w:vAlign w:val="center"/>
            <w:hideMark/>
          </w:tcPr>
          <w:p w14:paraId="3B8D8E8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19</w:t>
            </w:r>
          </w:p>
        </w:tc>
        <w:tc>
          <w:tcPr>
            <w:tcW w:w="240" w:type="pct"/>
            <w:tcBorders>
              <w:top w:val="nil"/>
              <w:left w:val="nil"/>
              <w:bottom w:val="nil"/>
              <w:right w:val="nil"/>
            </w:tcBorders>
            <w:shd w:val="clear" w:color="auto" w:fill="auto"/>
            <w:noWrap/>
            <w:vAlign w:val="center"/>
            <w:hideMark/>
          </w:tcPr>
          <w:p w14:paraId="40A0932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74" w:type="pct"/>
            <w:tcBorders>
              <w:top w:val="nil"/>
              <w:left w:val="nil"/>
              <w:bottom w:val="nil"/>
              <w:right w:val="nil"/>
            </w:tcBorders>
            <w:shd w:val="clear" w:color="auto" w:fill="auto"/>
            <w:noWrap/>
            <w:vAlign w:val="center"/>
            <w:hideMark/>
          </w:tcPr>
          <w:p w14:paraId="6B3AF48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19</w:t>
            </w:r>
          </w:p>
        </w:tc>
        <w:tc>
          <w:tcPr>
            <w:tcW w:w="240" w:type="pct"/>
            <w:tcBorders>
              <w:top w:val="nil"/>
              <w:left w:val="nil"/>
              <w:bottom w:val="nil"/>
              <w:right w:val="nil"/>
            </w:tcBorders>
            <w:shd w:val="clear" w:color="auto" w:fill="auto"/>
            <w:noWrap/>
            <w:vAlign w:val="center"/>
            <w:hideMark/>
          </w:tcPr>
          <w:p w14:paraId="4FC4787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50</w:t>
            </w:r>
          </w:p>
        </w:tc>
        <w:tc>
          <w:tcPr>
            <w:tcW w:w="196" w:type="pct"/>
            <w:tcBorders>
              <w:top w:val="nil"/>
              <w:left w:val="nil"/>
              <w:bottom w:val="nil"/>
              <w:right w:val="nil"/>
            </w:tcBorders>
            <w:shd w:val="clear" w:color="auto" w:fill="auto"/>
            <w:noWrap/>
            <w:vAlign w:val="center"/>
            <w:hideMark/>
          </w:tcPr>
          <w:p w14:paraId="3F4E9D1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38</w:t>
            </w:r>
          </w:p>
        </w:tc>
        <w:tc>
          <w:tcPr>
            <w:tcW w:w="351" w:type="pct"/>
            <w:tcBorders>
              <w:top w:val="nil"/>
              <w:left w:val="nil"/>
              <w:bottom w:val="nil"/>
              <w:right w:val="single" w:sz="8" w:space="0" w:color="auto"/>
            </w:tcBorders>
            <w:shd w:val="clear" w:color="auto" w:fill="auto"/>
            <w:noWrap/>
            <w:vAlign w:val="center"/>
            <w:hideMark/>
          </w:tcPr>
          <w:p w14:paraId="45ED3AB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88.4</w:t>
            </w:r>
          </w:p>
        </w:tc>
        <w:tc>
          <w:tcPr>
            <w:tcW w:w="174" w:type="pct"/>
            <w:tcBorders>
              <w:top w:val="nil"/>
              <w:left w:val="nil"/>
              <w:bottom w:val="nil"/>
              <w:right w:val="nil"/>
            </w:tcBorders>
            <w:shd w:val="clear" w:color="auto" w:fill="auto"/>
            <w:noWrap/>
            <w:vAlign w:val="center"/>
            <w:hideMark/>
          </w:tcPr>
          <w:p w14:paraId="38F37E7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w:t>
            </w:r>
          </w:p>
        </w:tc>
        <w:tc>
          <w:tcPr>
            <w:tcW w:w="240" w:type="pct"/>
            <w:tcBorders>
              <w:top w:val="nil"/>
              <w:left w:val="nil"/>
              <w:bottom w:val="nil"/>
              <w:right w:val="nil"/>
            </w:tcBorders>
            <w:shd w:val="clear" w:color="auto" w:fill="auto"/>
            <w:noWrap/>
            <w:vAlign w:val="center"/>
            <w:hideMark/>
          </w:tcPr>
          <w:p w14:paraId="704857B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54.5</w:t>
            </w:r>
          </w:p>
        </w:tc>
        <w:tc>
          <w:tcPr>
            <w:tcW w:w="174" w:type="pct"/>
            <w:tcBorders>
              <w:top w:val="nil"/>
              <w:left w:val="nil"/>
              <w:bottom w:val="nil"/>
              <w:right w:val="nil"/>
            </w:tcBorders>
            <w:shd w:val="clear" w:color="auto" w:fill="auto"/>
            <w:noWrap/>
            <w:vAlign w:val="center"/>
            <w:hideMark/>
          </w:tcPr>
          <w:p w14:paraId="225A5E0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10</w:t>
            </w:r>
          </w:p>
        </w:tc>
        <w:tc>
          <w:tcPr>
            <w:tcW w:w="240" w:type="pct"/>
            <w:tcBorders>
              <w:top w:val="nil"/>
              <w:left w:val="nil"/>
              <w:bottom w:val="nil"/>
              <w:right w:val="nil"/>
            </w:tcBorders>
            <w:shd w:val="clear" w:color="auto" w:fill="auto"/>
            <w:noWrap/>
            <w:vAlign w:val="center"/>
            <w:hideMark/>
          </w:tcPr>
          <w:p w14:paraId="7FD5015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45.5</w:t>
            </w:r>
          </w:p>
        </w:tc>
        <w:tc>
          <w:tcPr>
            <w:tcW w:w="174" w:type="pct"/>
            <w:tcBorders>
              <w:top w:val="nil"/>
              <w:left w:val="nil"/>
              <w:bottom w:val="nil"/>
              <w:right w:val="nil"/>
            </w:tcBorders>
            <w:shd w:val="clear" w:color="auto" w:fill="auto"/>
            <w:noWrap/>
            <w:vAlign w:val="center"/>
            <w:hideMark/>
          </w:tcPr>
          <w:p w14:paraId="29A12A3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22</w:t>
            </w:r>
          </w:p>
        </w:tc>
        <w:tc>
          <w:tcPr>
            <w:tcW w:w="352" w:type="pct"/>
            <w:tcBorders>
              <w:top w:val="nil"/>
              <w:left w:val="nil"/>
              <w:bottom w:val="nil"/>
              <w:right w:val="single" w:sz="8" w:space="0" w:color="auto"/>
            </w:tcBorders>
            <w:shd w:val="clear" w:color="auto" w:fill="auto"/>
            <w:noWrap/>
            <w:vAlign w:val="center"/>
            <w:hideMark/>
          </w:tcPr>
          <w:p w14:paraId="26DC6DA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51.2</w:t>
            </w:r>
          </w:p>
        </w:tc>
      </w:tr>
      <w:tr w:rsidR="00A36D59" w:rsidRPr="00FA7D47" w14:paraId="35B8464D"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1FA6556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D</w:t>
            </w:r>
          </w:p>
        </w:tc>
        <w:tc>
          <w:tcPr>
            <w:tcW w:w="174" w:type="pct"/>
            <w:tcBorders>
              <w:top w:val="nil"/>
              <w:left w:val="nil"/>
              <w:bottom w:val="nil"/>
              <w:right w:val="nil"/>
            </w:tcBorders>
            <w:shd w:val="clear" w:color="auto" w:fill="auto"/>
            <w:noWrap/>
            <w:vAlign w:val="center"/>
            <w:hideMark/>
          </w:tcPr>
          <w:p w14:paraId="4B268DA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240" w:type="pct"/>
            <w:tcBorders>
              <w:top w:val="nil"/>
              <w:left w:val="nil"/>
              <w:bottom w:val="nil"/>
              <w:right w:val="nil"/>
            </w:tcBorders>
            <w:shd w:val="clear" w:color="auto" w:fill="auto"/>
            <w:noWrap/>
            <w:vAlign w:val="center"/>
            <w:hideMark/>
          </w:tcPr>
          <w:p w14:paraId="211545F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4828F53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14</w:t>
            </w:r>
          </w:p>
        </w:tc>
        <w:tc>
          <w:tcPr>
            <w:tcW w:w="240" w:type="pct"/>
            <w:tcBorders>
              <w:top w:val="nil"/>
              <w:left w:val="nil"/>
              <w:bottom w:val="nil"/>
              <w:right w:val="nil"/>
            </w:tcBorders>
            <w:shd w:val="clear" w:color="auto" w:fill="auto"/>
            <w:noWrap/>
            <w:vAlign w:val="center"/>
            <w:hideMark/>
          </w:tcPr>
          <w:p w14:paraId="6653D71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218" w:type="pct"/>
            <w:tcBorders>
              <w:top w:val="nil"/>
              <w:left w:val="nil"/>
              <w:bottom w:val="nil"/>
              <w:right w:val="nil"/>
            </w:tcBorders>
            <w:shd w:val="clear" w:color="auto" w:fill="auto"/>
            <w:noWrap/>
            <w:vAlign w:val="center"/>
            <w:hideMark/>
          </w:tcPr>
          <w:p w14:paraId="3970136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21</w:t>
            </w:r>
          </w:p>
        </w:tc>
        <w:tc>
          <w:tcPr>
            <w:tcW w:w="348" w:type="pct"/>
            <w:tcBorders>
              <w:top w:val="nil"/>
              <w:left w:val="nil"/>
              <w:bottom w:val="nil"/>
              <w:right w:val="single" w:sz="8" w:space="0" w:color="auto"/>
            </w:tcBorders>
            <w:shd w:val="clear" w:color="auto" w:fill="auto"/>
            <w:noWrap/>
            <w:vAlign w:val="center"/>
            <w:hideMark/>
          </w:tcPr>
          <w:p w14:paraId="1BA451A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17.6</w:t>
            </w:r>
          </w:p>
        </w:tc>
        <w:tc>
          <w:tcPr>
            <w:tcW w:w="174" w:type="pct"/>
            <w:tcBorders>
              <w:top w:val="nil"/>
              <w:left w:val="nil"/>
              <w:bottom w:val="nil"/>
              <w:right w:val="nil"/>
            </w:tcBorders>
            <w:shd w:val="clear" w:color="auto" w:fill="auto"/>
            <w:noWrap/>
            <w:vAlign w:val="center"/>
            <w:hideMark/>
          </w:tcPr>
          <w:p w14:paraId="09DD05E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7F37418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33.3</w:t>
            </w:r>
          </w:p>
        </w:tc>
        <w:tc>
          <w:tcPr>
            <w:tcW w:w="174" w:type="pct"/>
            <w:tcBorders>
              <w:top w:val="nil"/>
              <w:left w:val="nil"/>
              <w:bottom w:val="nil"/>
              <w:right w:val="nil"/>
            </w:tcBorders>
            <w:shd w:val="clear" w:color="auto" w:fill="auto"/>
            <w:noWrap/>
            <w:vAlign w:val="center"/>
            <w:hideMark/>
          </w:tcPr>
          <w:p w14:paraId="05D9F27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1537CD5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66.7</w:t>
            </w:r>
          </w:p>
        </w:tc>
        <w:tc>
          <w:tcPr>
            <w:tcW w:w="196" w:type="pct"/>
            <w:tcBorders>
              <w:top w:val="nil"/>
              <w:left w:val="nil"/>
              <w:bottom w:val="nil"/>
              <w:right w:val="nil"/>
            </w:tcBorders>
            <w:shd w:val="clear" w:color="auto" w:fill="auto"/>
            <w:noWrap/>
            <w:vAlign w:val="center"/>
            <w:hideMark/>
          </w:tcPr>
          <w:p w14:paraId="18CE7EF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351" w:type="pct"/>
            <w:tcBorders>
              <w:top w:val="nil"/>
              <w:left w:val="nil"/>
              <w:bottom w:val="nil"/>
              <w:right w:val="single" w:sz="8" w:space="0" w:color="auto"/>
            </w:tcBorders>
            <w:shd w:val="clear" w:color="auto" w:fill="auto"/>
            <w:noWrap/>
            <w:vAlign w:val="center"/>
            <w:hideMark/>
          </w:tcPr>
          <w:p w14:paraId="44E8BDB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174" w:type="pct"/>
            <w:tcBorders>
              <w:top w:val="nil"/>
              <w:left w:val="nil"/>
              <w:bottom w:val="nil"/>
              <w:right w:val="nil"/>
            </w:tcBorders>
            <w:shd w:val="clear" w:color="auto" w:fill="auto"/>
            <w:noWrap/>
            <w:vAlign w:val="center"/>
            <w:hideMark/>
          </w:tcPr>
          <w:p w14:paraId="2FC1F67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0</w:t>
            </w:r>
          </w:p>
        </w:tc>
        <w:tc>
          <w:tcPr>
            <w:tcW w:w="240" w:type="pct"/>
            <w:tcBorders>
              <w:top w:val="nil"/>
              <w:left w:val="nil"/>
              <w:bottom w:val="nil"/>
              <w:right w:val="nil"/>
            </w:tcBorders>
            <w:shd w:val="clear" w:color="auto" w:fill="auto"/>
            <w:noWrap/>
            <w:vAlign w:val="center"/>
            <w:hideMark/>
          </w:tcPr>
          <w:p w14:paraId="3F19BBF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0</w:t>
            </w:r>
          </w:p>
        </w:tc>
        <w:tc>
          <w:tcPr>
            <w:tcW w:w="174" w:type="pct"/>
            <w:tcBorders>
              <w:top w:val="nil"/>
              <w:left w:val="nil"/>
              <w:bottom w:val="nil"/>
              <w:right w:val="nil"/>
            </w:tcBorders>
            <w:shd w:val="clear" w:color="auto" w:fill="auto"/>
            <w:noWrap/>
            <w:vAlign w:val="center"/>
            <w:hideMark/>
          </w:tcPr>
          <w:p w14:paraId="594C4F5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nil"/>
              <w:right w:val="nil"/>
            </w:tcBorders>
            <w:shd w:val="clear" w:color="auto" w:fill="auto"/>
            <w:noWrap/>
            <w:vAlign w:val="center"/>
            <w:hideMark/>
          </w:tcPr>
          <w:p w14:paraId="5F8D86D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100</w:t>
            </w:r>
          </w:p>
        </w:tc>
        <w:tc>
          <w:tcPr>
            <w:tcW w:w="174" w:type="pct"/>
            <w:tcBorders>
              <w:top w:val="nil"/>
              <w:left w:val="nil"/>
              <w:bottom w:val="nil"/>
              <w:right w:val="nil"/>
            </w:tcBorders>
            <w:shd w:val="clear" w:color="auto" w:fill="auto"/>
            <w:noWrap/>
            <w:vAlign w:val="center"/>
            <w:hideMark/>
          </w:tcPr>
          <w:p w14:paraId="5379C63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352" w:type="pct"/>
            <w:tcBorders>
              <w:top w:val="nil"/>
              <w:left w:val="nil"/>
              <w:bottom w:val="nil"/>
              <w:right w:val="single" w:sz="8" w:space="0" w:color="auto"/>
            </w:tcBorders>
            <w:shd w:val="clear" w:color="auto" w:fill="auto"/>
            <w:noWrap/>
            <w:vAlign w:val="center"/>
            <w:hideMark/>
          </w:tcPr>
          <w:p w14:paraId="01B5C7A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2.3</w:t>
            </w:r>
          </w:p>
        </w:tc>
      </w:tr>
      <w:tr w:rsidR="00A36D59" w:rsidRPr="00FA7D47" w14:paraId="308BC915"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796DD781" w14:textId="77777777" w:rsidR="00A36D59" w:rsidRPr="009819CE" w:rsidRDefault="00A36D59" w:rsidP="0095549A">
            <w:pPr>
              <w:spacing w:after="0" w:line="240" w:lineRule="auto"/>
              <w:jc w:val="center"/>
              <w:rPr>
                <w:rFonts w:cstheme="minorBidi"/>
                <w:b/>
                <w:bCs/>
                <w:color w:val="000000"/>
                <w:sz w:val="20"/>
                <w:szCs w:val="20"/>
              </w:rPr>
            </w:pPr>
            <w:r w:rsidRPr="009819CE">
              <w:rPr>
                <w:rFonts w:cstheme="minorBidi"/>
                <w:b/>
                <w:bCs/>
                <w:color w:val="000000"/>
                <w:sz w:val="20"/>
                <w:szCs w:val="20"/>
              </w:rPr>
              <w:t>Size</w:t>
            </w:r>
          </w:p>
        </w:tc>
        <w:tc>
          <w:tcPr>
            <w:tcW w:w="174" w:type="pct"/>
            <w:tcBorders>
              <w:top w:val="nil"/>
              <w:left w:val="nil"/>
              <w:bottom w:val="nil"/>
              <w:right w:val="nil"/>
            </w:tcBorders>
            <w:shd w:val="clear" w:color="auto" w:fill="auto"/>
            <w:noWrap/>
            <w:vAlign w:val="center"/>
            <w:hideMark/>
          </w:tcPr>
          <w:p w14:paraId="05F1776A" w14:textId="77777777" w:rsidR="00A36D59" w:rsidRPr="009819CE" w:rsidRDefault="00A36D59" w:rsidP="0095549A">
            <w:pPr>
              <w:spacing w:after="0" w:line="240" w:lineRule="auto"/>
              <w:jc w:val="center"/>
              <w:rPr>
                <w:rFonts w:cstheme="minorBidi"/>
                <w:b/>
                <w:bCs/>
                <w:color w:val="000000"/>
                <w:sz w:val="20"/>
                <w:szCs w:val="20"/>
              </w:rPr>
            </w:pPr>
          </w:p>
        </w:tc>
        <w:tc>
          <w:tcPr>
            <w:tcW w:w="240" w:type="pct"/>
            <w:tcBorders>
              <w:top w:val="nil"/>
              <w:left w:val="nil"/>
              <w:bottom w:val="nil"/>
              <w:right w:val="nil"/>
            </w:tcBorders>
            <w:shd w:val="clear" w:color="auto" w:fill="auto"/>
            <w:noWrap/>
            <w:vAlign w:val="center"/>
            <w:hideMark/>
          </w:tcPr>
          <w:p w14:paraId="1B7EC140"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68C88060"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6EF1D1B1" w14:textId="77777777" w:rsidR="00A36D59" w:rsidRPr="009819CE" w:rsidRDefault="00A36D59" w:rsidP="0095549A">
            <w:pPr>
              <w:spacing w:after="0" w:line="240" w:lineRule="auto"/>
              <w:jc w:val="center"/>
              <w:rPr>
                <w:rFonts w:cstheme="minorBidi"/>
                <w:sz w:val="20"/>
                <w:szCs w:val="20"/>
              </w:rPr>
            </w:pPr>
          </w:p>
        </w:tc>
        <w:tc>
          <w:tcPr>
            <w:tcW w:w="218" w:type="pct"/>
            <w:tcBorders>
              <w:top w:val="nil"/>
              <w:left w:val="nil"/>
              <w:bottom w:val="nil"/>
              <w:right w:val="nil"/>
            </w:tcBorders>
            <w:shd w:val="clear" w:color="auto" w:fill="auto"/>
            <w:noWrap/>
            <w:vAlign w:val="center"/>
            <w:hideMark/>
          </w:tcPr>
          <w:p w14:paraId="4E0665F1" w14:textId="77777777" w:rsidR="00A36D59" w:rsidRPr="009819CE" w:rsidRDefault="00A36D59" w:rsidP="0095549A">
            <w:pPr>
              <w:spacing w:after="0" w:line="240" w:lineRule="auto"/>
              <w:jc w:val="center"/>
              <w:rPr>
                <w:rFonts w:cstheme="minorBidi"/>
                <w:sz w:val="20"/>
                <w:szCs w:val="20"/>
              </w:rPr>
            </w:pPr>
          </w:p>
        </w:tc>
        <w:tc>
          <w:tcPr>
            <w:tcW w:w="348" w:type="pct"/>
            <w:tcBorders>
              <w:top w:val="nil"/>
              <w:left w:val="nil"/>
              <w:bottom w:val="nil"/>
              <w:right w:val="single" w:sz="8" w:space="0" w:color="auto"/>
            </w:tcBorders>
            <w:shd w:val="clear" w:color="auto" w:fill="auto"/>
            <w:noWrap/>
            <w:vAlign w:val="center"/>
            <w:hideMark/>
          </w:tcPr>
          <w:p w14:paraId="6681A517"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16A75BB1"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2D756434"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0B91DCA3"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75CA001A" w14:textId="77777777" w:rsidR="00A36D59" w:rsidRPr="009819CE" w:rsidRDefault="00A36D59" w:rsidP="0095549A">
            <w:pPr>
              <w:spacing w:after="0" w:line="240" w:lineRule="auto"/>
              <w:jc w:val="center"/>
              <w:rPr>
                <w:rFonts w:cstheme="minorBidi"/>
                <w:sz w:val="20"/>
                <w:szCs w:val="20"/>
              </w:rPr>
            </w:pPr>
          </w:p>
        </w:tc>
        <w:tc>
          <w:tcPr>
            <w:tcW w:w="196" w:type="pct"/>
            <w:tcBorders>
              <w:top w:val="nil"/>
              <w:left w:val="nil"/>
              <w:bottom w:val="nil"/>
              <w:right w:val="nil"/>
            </w:tcBorders>
            <w:shd w:val="clear" w:color="auto" w:fill="auto"/>
            <w:noWrap/>
            <w:vAlign w:val="center"/>
            <w:hideMark/>
          </w:tcPr>
          <w:p w14:paraId="6172C9B3" w14:textId="77777777" w:rsidR="00A36D59" w:rsidRPr="009819CE" w:rsidRDefault="00A36D59" w:rsidP="0095549A">
            <w:pPr>
              <w:spacing w:after="0" w:line="240" w:lineRule="auto"/>
              <w:jc w:val="center"/>
              <w:rPr>
                <w:rFonts w:cstheme="minorBidi"/>
                <w:sz w:val="20"/>
                <w:szCs w:val="20"/>
              </w:rPr>
            </w:pPr>
          </w:p>
        </w:tc>
        <w:tc>
          <w:tcPr>
            <w:tcW w:w="351" w:type="pct"/>
            <w:tcBorders>
              <w:top w:val="nil"/>
              <w:left w:val="nil"/>
              <w:bottom w:val="nil"/>
              <w:right w:val="single" w:sz="8" w:space="0" w:color="auto"/>
            </w:tcBorders>
            <w:shd w:val="clear" w:color="auto" w:fill="auto"/>
            <w:noWrap/>
            <w:vAlign w:val="center"/>
            <w:hideMark/>
          </w:tcPr>
          <w:p w14:paraId="0BB0B35E" w14:textId="77777777" w:rsidR="00A36D59" w:rsidRPr="009819CE" w:rsidRDefault="00A36D59" w:rsidP="0095549A">
            <w:pPr>
              <w:spacing w:after="0" w:line="240" w:lineRule="auto"/>
              <w:jc w:val="center"/>
              <w:rPr>
                <w:rFonts w:cstheme="minorBidi"/>
                <w:color w:val="000000"/>
                <w:sz w:val="20"/>
                <w:szCs w:val="20"/>
              </w:rPr>
            </w:pPr>
          </w:p>
        </w:tc>
        <w:tc>
          <w:tcPr>
            <w:tcW w:w="174" w:type="pct"/>
            <w:tcBorders>
              <w:top w:val="nil"/>
              <w:left w:val="nil"/>
              <w:bottom w:val="nil"/>
              <w:right w:val="nil"/>
            </w:tcBorders>
            <w:shd w:val="clear" w:color="auto" w:fill="auto"/>
            <w:noWrap/>
            <w:vAlign w:val="center"/>
            <w:hideMark/>
          </w:tcPr>
          <w:p w14:paraId="14DDE0BD" w14:textId="77777777" w:rsidR="00A36D59" w:rsidRPr="009819CE" w:rsidRDefault="00A36D59" w:rsidP="0095549A">
            <w:pPr>
              <w:spacing w:after="0" w:line="240" w:lineRule="auto"/>
              <w:jc w:val="center"/>
              <w:rPr>
                <w:rFonts w:cstheme="minorBidi"/>
                <w:color w:val="000000"/>
                <w:sz w:val="20"/>
                <w:szCs w:val="20"/>
              </w:rPr>
            </w:pPr>
          </w:p>
        </w:tc>
        <w:tc>
          <w:tcPr>
            <w:tcW w:w="240" w:type="pct"/>
            <w:tcBorders>
              <w:top w:val="nil"/>
              <w:left w:val="nil"/>
              <w:bottom w:val="nil"/>
              <w:right w:val="nil"/>
            </w:tcBorders>
            <w:shd w:val="clear" w:color="auto" w:fill="auto"/>
            <w:noWrap/>
            <w:vAlign w:val="center"/>
            <w:hideMark/>
          </w:tcPr>
          <w:p w14:paraId="1F035FFE"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5F8668FD" w14:textId="77777777" w:rsidR="00A36D59" w:rsidRPr="009819CE" w:rsidRDefault="00A36D59" w:rsidP="0095549A">
            <w:pPr>
              <w:spacing w:after="0" w:line="240" w:lineRule="auto"/>
              <w:jc w:val="center"/>
              <w:rPr>
                <w:rFonts w:cstheme="minorBidi"/>
                <w:sz w:val="20"/>
                <w:szCs w:val="20"/>
              </w:rPr>
            </w:pPr>
          </w:p>
        </w:tc>
        <w:tc>
          <w:tcPr>
            <w:tcW w:w="240" w:type="pct"/>
            <w:tcBorders>
              <w:top w:val="nil"/>
              <w:left w:val="nil"/>
              <w:bottom w:val="nil"/>
              <w:right w:val="nil"/>
            </w:tcBorders>
            <w:shd w:val="clear" w:color="auto" w:fill="auto"/>
            <w:noWrap/>
            <w:vAlign w:val="center"/>
            <w:hideMark/>
          </w:tcPr>
          <w:p w14:paraId="4276AA52" w14:textId="77777777" w:rsidR="00A36D59" w:rsidRPr="009819CE" w:rsidRDefault="00A36D59" w:rsidP="0095549A">
            <w:pPr>
              <w:spacing w:after="0" w:line="240" w:lineRule="auto"/>
              <w:jc w:val="center"/>
              <w:rPr>
                <w:rFonts w:cstheme="minorBidi"/>
                <w:sz w:val="20"/>
                <w:szCs w:val="20"/>
              </w:rPr>
            </w:pPr>
          </w:p>
        </w:tc>
        <w:tc>
          <w:tcPr>
            <w:tcW w:w="174" w:type="pct"/>
            <w:tcBorders>
              <w:top w:val="nil"/>
              <w:left w:val="nil"/>
              <w:bottom w:val="nil"/>
              <w:right w:val="nil"/>
            </w:tcBorders>
            <w:shd w:val="clear" w:color="auto" w:fill="auto"/>
            <w:noWrap/>
            <w:vAlign w:val="center"/>
            <w:hideMark/>
          </w:tcPr>
          <w:p w14:paraId="5D70E1A8" w14:textId="77777777" w:rsidR="00A36D59" w:rsidRPr="009819CE" w:rsidRDefault="00A36D59" w:rsidP="0095549A">
            <w:pPr>
              <w:spacing w:after="0" w:line="240" w:lineRule="auto"/>
              <w:jc w:val="center"/>
              <w:rPr>
                <w:rFonts w:cstheme="minorBidi"/>
                <w:sz w:val="20"/>
                <w:szCs w:val="20"/>
              </w:rPr>
            </w:pPr>
          </w:p>
        </w:tc>
        <w:tc>
          <w:tcPr>
            <w:tcW w:w="352" w:type="pct"/>
            <w:tcBorders>
              <w:top w:val="nil"/>
              <w:left w:val="nil"/>
              <w:bottom w:val="nil"/>
              <w:right w:val="single" w:sz="8" w:space="0" w:color="auto"/>
            </w:tcBorders>
            <w:shd w:val="clear" w:color="auto" w:fill="auto"/>
            <w:noWrap/>
            <w:vAlign w:val="center"/>
            <w:hideMark/>
          </w:tcPr>
          <w:p w14:paraId="4E8DCA04" w14:textId="77777777" w:rsidR="00A36D59" w:rsidRPr="009819CE" w:rsidRDefault="00A36D59" w:rsidP="0095549A">
            <w:pPr>
              <w:spacing w:after="0" w:line="240" w:lineRule="auto"/>
              <w:jc w:val="center"/>
              <w:rPr>
                <w:rFonts w:cstheme="minorBidi"/>
                <w:color w:val="000000"/>
                <w:sz w:val="20"/>
                <w:szCs w:val="20"/>
              </w:rPr>
            </w:pPr>
          </w:p>
        </w:tc>
      </w:tr>
      <w:tr w:rsidR="00A36D59" w:rsidRPr="00FA7D47" w14:paraId="70AA9DDB"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7DADE4F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S (22.1-25mm)</w:t>
            </w:r>
          </w:p>
        </w:tc>
        <w:tc>
          <w:tcPr>
            <w:tcW w:w="174" w:type="pct"/>
            <w:tcBorders>
              <w:top w:val="nil"/>
              <w:left w:val="nil"/>
              <w:bottom w:val="nil"/>
              <w:right w:val="nil"/>
            </w:tcBorders>
            <w:shd w:val="clear" w:color="auto" w:fill="auto"/>
            <w:noWrap/>
            <w:vAlign w:val="center"/>
            <w:hideMark/>
          </w:tcPr>
          <w:p w14:paraId="1336F79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19</w:t>
            </w:r>
          </w:p>
        </w:tc>
        <w:tc>
          <w:tcPr>
            <w:tcW w:w="240" w:type="pct"/>
            <w:tcBorders>
              <w:top w:val="nil"/>
              <w:left w:val="nil"/>
              <w:bottom w:val="nil"/>
              <w:right w:val="nil"/>
            </w:tcBorders>
            <w:shd w:val="clear" w:color="auto" w:fill="auto"/>
            <w:noWrap/>
            <w:vAlign w:val="center"/>
            <w:hideMark/>
          </w:tcPr>
          <w:p w14:paraId="3EC4ED2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76</w:t>
            </w:r>
          </w:p>
        </w:tc>
        <w:tc>
          <w:tcPr>
            <w:tcW w:w="174" w:type="pct"/>
            <w:tcBorders>
              <w:top w:val="nil"/>
              <w:left w:val="nil"/>
              <w:bottom w:val="nil"/>
              <w:right w:val="nil"/>
            </w:tcBorders>
            <w:shd w:val="clear" w:color="auto" w:fill="auto"/>
            <w:noWrap/>
            <w:vAlign w:val="center"/>
            <w:hideMark/>
          </w:tcPr>
          <w:p w14:paraId="23CB3C8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240" w:type="pct"/>
            <w:tcBorders>
              <w:top w:val="nil"/>
              <w:left w:val="nil"/>
              <w:bottom w:val="nil"/>
              <w:right w:val="nil"/>
            </w:tcBorders>
            <w:shd w:val="clear" w:color="auto" w:fill="auto"/>
            <w:noWrap/>
            <w:vAlign w:val="center"/>
            <w:hideMark/>
          </w:tcPr>
          <w:p w14:paraId="46DDB97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24</w:t>
            </w:r>
          </w:p>
        </w:tc>
        <w:tc>
          <w:tcPr>
            <w:tcW w:w="218" w:type="pct"/>
            <w:tcBorders>
              <w:top w:val="nil"/>
              <w:left w:val="nil"/>
              <w:bottom w:val="nil"/>
              <w:right w:val="nil"/>
            </w:tcBorders>
            <w:shd w:val="clear" w:color="auto" w:fill="auto"/>
            <w:noWrap/>
            <w:vAlign w:val="center"/>
            <w:hideMark/>
          </w:tcPr>
          <w:p w14:paraId="432113C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25</w:t>
            </w:r>
          </w:p>
        </w:tc>
        <w:tc>
          <w:tcPr>
            <w:tcW w:w="348" w:type="pct"/>
            <w:tcBorders>
              <w:top w:val="nil"/>
              <w:left w:val="nil"/>
              <w:bottom w:val="nil"/>
              <w:right w:val="single" w:sz="8" w:space="0" w:color="auto"/>
            </w:tcBorders>
            <w:shd w:val="clear" w:color="auto" w:fill="auto"/>
            <w:noWrap/>
            <w:vAlign w:val="center"/>
            <w:hideMark/>
          </w:tcPr>
          <w:p w14:paraId="670165D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21</w:t>
            </w:r>
          </w:p>
        </w:tc>
        <w:tc>
          <w:tcPr>
            <w:tcW w:w="174" w:type="pct"/>
            <w:tcBorders>
              <w:top w:val="nil"/>
              <w:left w:val="nil"/>
              <w:bottom w:val="nil"/>
              <w:right w:val="nil"/>
            </w:tcBorders>
            <w:shd w:val="clear" w:color="auto" w:fill="auto"/>
            <w:noWrap/>
            <w:vAlign w:val="center"/>
            <w:hideMark/>
          </w:tcPr>
          <w:p w14:paraId="3BAC655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w:t>
            </w:r>
          </w:p>
        </w:tc>
        <w:tc>
          <w:tcPr>
            <w:tcW w:w="240" w:type="pct"/>
            <w:tcBorders>
              <w:top w:val="nil"/>
              <w:left w:val="nil"/>
              <w:bottom w:val="nil"/>
              <w:right w:val="nil"/>
            </w:tcBorders>
            <w:shd w:val="clear" w:color="auto" w:fill="auto"/>
            <w:noWrap/>
            <w:vAlign w:val="center"/>
            <w:hideMark/>
          </w:tcPr>
          <w:p w14:paraId="5FB9511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70</w:t>
            </w:r>
          </w:p>
        </w:tc>
        <w:tc>
          <w:tcPr>
            <w:tcW w:w="174" w:type="pct"/>
            <w:tcBorders>
              <w:top w:val="nil"/>
              <w:left w:val="nil"/>
              <w:bottom w:val="nil"/>
              <w:right w:val="nil"/>
            </w:tcBorders>
            <w:shd w:val="clear" w:color="auto" w:fill="auto"/>
            <w:noWrap/>
            <w:vAlign w:val="center"/>
            <w:hideMark/>
          </w:tcPr>
          <w:p w14:paraId="6369A571"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w:t>
            </w:r>
          </w:p>
        </w:tc>
        <w:tc>
          <w:tcPr>
            <w:tcW w:w="240" w:type="pct"/>
            <w:tcBorders>
              <w:top w:val="nil"/>
              <w:left w:val="nil"/>
              <w:bottom w:val="nil"/>
              <w:right w:val="nil"/>
            </w:tcBorders>
            <w:shd w:val="clear" w:color="auto" w:fill="auto"/>
            <w:noWrap/>
            <w:vAlign w:val="center"/>
            <w:hideMark/>
          </w:tcPr>
          <w:p w14:paraId="66FCCD1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30</w:t>
            </w:r>
          </w:p>
        </w:tc>
        <w:tc>
          <w:tcPr>
            <w:tcW w:w="196" w:type="pct"/>
            <w:tcBorders>
              <w:top w:val="nil"/>
              <w:left w:val="nil"/>
              <w:bottom w:val="nil"/>
              <w:right w:val="nil"/>
            </w:tcBorders>
            <w:shd w:val="clear" w:color="auto" w:fill="auto"/>
            <w:noWrap/>
            <w:vAlign w:val="center"/>
            <w:hideMark/>
          </w:tcPr>
          <w:p w14:paraId="0B54106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10</w:t>
            </w:r>
          </w:p>
        </w:tc>
        <w:tc>
          <w:tcPr>
            <w:tcW w:w="351" w:type="pct"/>
            <w:tcBorders>
              <w:top w:val="nil"/>
              <w:left w:val="nil"/>
              <w:bottom w:val="nil"/>
              <w:right w:val="single" w:sz="8" w:space="0" w:color="auto"/>
            </w:tcBorders>
            <w:shd w:val="clear" w:color="auto" w:fill="auto"/>
            <w:noWrap/>
            <w:vAlign w:val="center"/>
            <w:hideMark/>
          </w:tcPr>
          <w:p w14:paraId="3305B8E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23.3</w:t>
            </w:r>
          </w:p>
        </w:tc>
        <w:tc>
          <w:tcPr>
            <w:tcW w:w="174" w:type="pct"/>
            <w:tcBorders>
              <w:top w:val="nil"/>
              <w:left w:val="nil"/>
              <w:bottom w:val="nil"/>
              <w:right w:val="nil"/>
            </w:tcBorders>
            <w:shd w:val="clear" w:color="auto" w:fill="auto"/>
            <w:noWrap/>
            <w:vAlign w:val="center"/>
            <w:hideMark/>
          </w:tcPr>
          <w:p w14:paraId="7D9330F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240" w:type="pct"/>
            <w:tcBorders>
              <w:top w:val="nil"/>
              <w:left w:val="nil"/>
              <w:bottom w:val="nil"/>
              <w:right w:val="nil"/>
            </w:tcBorders>
            <w:shd w:val="clear" w:color="auto" w:fill="auto"/>
            <w:noWrap/>
            <w:vAlign w:val="center"/>
            <w:hideMark/>
          </w:tcPr>
          <w:p w14:paraId="12CA2C4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67</w:t>
            </w:r>
          </w:p>
        </w:tc>
        <w:tc>
          <w:tcPr>
            <w:tcW w:w="174" w:type="pct"/>
            <w:tcBorders>
              <w:top w:val="nil"/>
              <w:left w:val="nil"/>
              <w:bottom w:val="nil"/>
              <w:right w:val="nil"/>
            </w:tcBorders>
            <w:shd w:val="clear" w:color="auto" w:fill="auto"/>
            <w:noWrap/>
            <w:vAlign w:val="center"/>
            <w:hideMark/>
          </w:tcPr>
          <w:p w14:paraId="7112653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w:t>
            </w:r>
          </w:p>
        </w:tc>
        <w:tc>
          <w:tcPr>
            <w:tcW w:w="240" w:type="pct"/>
            <w:tcBorders>
              <w:top w:val="nil"/>
              <w:left w:val="nil"/>
              <w:bottom w:val="nil"/>
              <w:right w:val="nil"/>
            </w:tcBorders>
            <w:shd w:val="clear" w:color="auto" w:fill="auto"/>
            <w:noWrap/>
            <w:vAlign w:val="center"/>
            <w:hideMark/>
          </w:tcPr>
          <w:p w14:paraId="69C176E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w:t>
            </w:r>
          </w:p>
        </w:tc>
        <w:tc>
          <w:tcPr>
            <w:tcW w:w="174" w:type="pct"/>
            <w:tcBorders>
              <w:top w:val="nil"/>
              <w:left w:val="nil"/>
              <w:bottom w:val="nil"/>
              <w:right w:val="nil"/>
            </w:tcBorders>
            <w:shd w:val="clear" w:color="auto" w:fill="auto"/>
            <w:noWrap/>
            <w:vAlign w:val="center"/>
            <w:hideMark/>
          </w:tcPr>
          <w:p w14:paraId="3DFC1F7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352" w:type="pct"/>
            <w:tcBorders>
              <w:top w:val="nil"/>
              <w:left w:val="nil"/>
              <w:bottom w:val="nil"/>
              <w:right w:val="single" w:sz="8" w:space="0" w:color="auto"/>
            </w:tcBorders>
            <w:shd w:val="clear" w:color="auto" w:fill="auto"/>
            <w:noWrap/>
            <w:vAlign w:val="center"/>
            <w:hideMark/>
          </w:tcPr>
          <w:p w14:paraId="0C4FE90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14</w:t>
            </w:r>
          </w:p>
        </w:tc>
      </w:tr>
      <w:tr w:rsidR="00A36D59" w:rsidRPr="00FA7D47" w14:paraId="7B62DA76" w14:textId="77777777" w:rsidTr="0095549A">
        <w:trPr>
          <w:trHeight w:val="300"/>
          <w:jc w:val="center"/>
        </w:trPr>
        <w:tc>
          <w:tcPr>
            <w:tcW w:w="873" w:type="pct"/>
            <w:tcBorders>
              <w:top w:val="nil"/>
              <w:left w:val="single" w:sz="8" w:space="0" w:color="auto"/>
              <w:bottom w:val="nil"/>
              <w:right w:val="single" w:sz="8" w:space="0" w:color="auto"/>
            </w:tcBorders>
            <w:shd w:val="clear" w:color="auto" w:fill="auto"/>
            <w:noWrap/>
            <w:vAlign w:val="center"/>
            <w:hideMark/>
          </w:tcPr>
          <w:p w14:paraId="5C76DA3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M (25-30mm)</w:t>
            </w:r>
          </w:p>
        </w:tc>
        <w:tc>
          <w:tcPr>
            <w:tcW w:w="174" w:type="pct"/>
            <w:tcBorders>
              <w:top w:val="nil"/>
              <w:left w:val="nil"/>
              <w:bottom w:val="nil"/>
              <w:right w:val="nil"/>
            </w:tcBorders>
            <w:shd w:val="clear" w:color="auto" w:fill="auto"/>
            <w:noWrap/>
            <w:vAlign w:val="center"/>
            <w:hideMark/>
          </w:tcPr>
          <w:p w14:paraId="569F1D6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30</w:t>
            </w:r>
          </w:p>
        </w:tc>
        <w:tc>
          <w:tcPr>
            <w:tcW w:w="240" w:type="pct"/>
            <w:tcBorders>
              <w:top w:val="nil"/>
              <w:left w:val="nil"/>
              <w:bottom w:val="nil"/>
              <w:right w:val="nil"/>
            </w:tcBorders>
            <w:shd w:val="clear" w:color="auto" w:fill="auto"/>
            <w:noWrap/>
            <w:vAlign w:val="center"/>
            <w:hideMark/>
          </w:tcPr>
          <w:p w14:paraId="313861B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45.5</w:t>
            </w:r>
          </w:p>
        </w:tc>
        <w:tc>
          <w:tcPr>
            <w:tcW w:w="174" w:type="pct"/>
            <w:tcBorders>
              <w:top w:val="nil"/>
              <w:left w:val="nil"/>
              <w:bottom w:val="nil"/>
              <w:right w:val="nil"/>
            </w:tcBorders>
            <w:shd w:val="clear" w:color="auto" w:fill="auto"/>
            <w:noWrap/>
            <w:vAlign w:val="center"/>
            <w:hideMark/>
          </w:tcPr>
          <w:p w14:paraId="5B0AA7F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36</w:t>
            </w:r>
          </w:p>
        </w:tc>
        <w:tc>
          <w:tcPr>
            <w:tcW w:w="240" w:type="pct"/>
            <w:tcBorders>
              <w:top w:val="nil"/>
              <w:left w:val="nil"/>
              <w:bottom w:val="nil"/>
              <w:right w:val="nil"/>
            </w:tcBorders>
            <w:shd w:val="clear" w:color="auto" w:fill="auto"/>
            <w:noWrap/>
            <w:vAlign w:val="center"/>
            <w:hideMark/>
          </w:tcPr>
          <w:p w14:paraId="42DB795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54.5</w:t>
            </w:r>
          </w:p>
        </w:tc>
        <w:tc>
          <w:tcPr>
            <w:tcW w:w="218" w:type="pct"/>
            <w:tcBorders>
              <w:top w:val="nil"/>
              <w:left w:val="nil"/>
              <w:bottom w:val="nil"/>
              <w:right w:val="nil"/>
            </w:tcBorders>
            <w:shd w:val="clear" w:color="auto" w:fill="auto"/>
            <w:noWrap/>
            <w:vAlign w:val="center"/>
            <w:hideMark/>
          </w:tcPr>
          <w:p w14:paraId="78C9DB2F"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66</w:t>
            </w:r>
          </w:p>
        </w:tc>
        <w:tc>
          <w:tcPr>
            <w:tcW w:w="348" w:type="pct"/>
            <w:tcBorders>
              <w:top w:val="nil"/>
              <w:left w:val="nil"/>
              <w:bottom w:val="nil"/>
              <w:right w:val="single" w:sz="8" w:space="0" w:color="auto"/>
            </w:tcBorders>
            <w:shd w:val="clear" w:color="auto" w:fill="auto"/>
            <w:noWrap/>
            <w:vAlign w:val="center"/>
            <w:hideMark/>
          </w:tcPr>
          <w:p w14:paraId="72EA943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55.5</w:t>
            </w:r>
          </w:p>
        </w:tc>
        <w:tc>
          <w:tcPr>
            <w:tcW w:w="174" w:type="pct"/>
            <w:tcBorders>
              <w:top w:val="nil"/>
              <w:left w:val="nil"/>
              <w:bottom w:val="nil"/>
              <w:right w:val="nil"/>
            </w:tcBorders>
            <w:shd w:val="clear" w:color="auto" w:fill="auto"/>
            <w:noWrap/>
            <w:vAlign w:val="center"/>
            <w:hideMark/>
          </w:tcPr>
          <w:p w14:paraId="2C44921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13</w:t>
            </w:r>
          </w:p>
        </w:tc>
        <w:tc>
          <w:tcPr>
            <w:tcW w:w="240" w:type="pct"/>
            <w:tcBorders>
              <w:top w:val="nil"/>
              <w:left w:val="nil"/>
              <w:bottom w:val="nil"/>
              <w:right w:val="nil"/>
            </w:tcBorders>
            <w:shd w:val="clear" w:color="auto" w:fill="auto"/>
            <w:noWrap/>
            <w:vAlign w:val="center"/>
            <w:hideMark/>
          </w:tcPr>
          <w:p w14:paraId="5DA5584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54.2</w:t>
            </w:r>
          </w:p>
        </w:tc>
        <w:tc>
          <w:tcPr>
            <w:tcW w:w="174" w:type="pct"/>
            <w:tcBorders>
              <w:top w:val="nil"/>
              <w:left w:val="nil"/>
              <w:bottom w:val="nil"/>
              <w:right w:val="nil"/>
            </w:tcBorders>
            <w:shd w:val="clear" w:color="auto" w:fill="auto"/>
            <w:noWrap/>
            <w:vAlign w:val="center"/>
            <w:hideMark/>
          </w:tcPr>
          <w:p w14:paraId="2B390A37"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w:t>
            </w:r>
          </w:p>
        </w:tc>
        <w:tc>
          <w:tcPr>
            <w:tcW w:w="240" w:type="pct"/>
            <w:tcBorders>
              <w:top w:val="nil"/>
              <w:left w:val="nil"/>
              <w:bottom w:val="nil"/>
              <w:right w:val="nil"/>
            </w:tcBorders>
            <w:shd w:val="clear" w:color="auto" w:fill="auto"/>
            <w:noWrap/>
            <w:vAlign w:val="center"/>
            <w:hideMark/>
          </w:tcPr>
          <w:p w14:paraId="4649B91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45.8</w:t>
            </w:r>
          </w:p>
        </w:tc>
        <w:tc>
          <w:tcPr>
            <w:tcW w:w="196" w:type="pct"/>
            <w:tcBorders>
              <w:top w:val="nil"/>
              <w:left w:val="nil"/>
              <w:bottom w:val="nil"/>
              <w:right w:val="nil"/>
            </w:tcBorders>
            <w:shd w:val="clear" w:color="auto" w:fill="auto"/>
            <w:noWrap/>
            <w:vAlign w:val="center"/>
            <w:hideMark/>
          </w:tcPr>
          <w:p w14:paraId="154DC042"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24</w:t>
            </w:r>
          </w:p>
        </w:tc>
        <w:tc>
          <w:tcPr>
            <w:tcW w:w="351" w:type="pct"/>
            <w:tcBorders>
              <w:top w:val="nil"/>
              <w:left w:val="nil"/>
              <w:bottom w:val="nil"/>
              <w:right w:val="single" w:sz="8" w:space="0" w:color="auto"/>
            </w:tcBorders>
            <w:shd w:val="clear" w:color="auto" w:fill="auto"/>
            <w:noWrap/>
            <w:vAlign w:val="center"/>
            <w:hideMark/>
          </w:tcPr>
          <w:p w14:paraId="62D559D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55.8</w:t>
            </w:r>
          </w:p>
        </w:tc>
        <w:tc>
          <w:tcPr>
            <w:tcW w:w="174" w:type="pct"/>
            <w:tcBorders>
              <w:top w:val="nil"/>
              <w:left w:val="nil"/>
              <w:bottom w:val="nil"/>
              <w:right w:val="nil"/>
            </w:tcBorders>
            <w:shd w:val="clear" w:color="auto" w:fill="auto"/>
            <w:noWrap/>
            <w:vAlign w:val="center"/>
            <w:hideMark/>
          </w:tcPr>
          <w:p w14:paraId="2DE4CAA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w:t>
            </w:r>
          </w:p>
        </w:tc>
        <w:tc>
          <w:tcPr>
            <w:tcW w:w="240" w:type="pct"/>
            <w:tcBorders>
              <w:top w:val="nil"/>
              <w:left w:val="nil"/>
              <w:bottom w:val="nil"/>
              <w:right w:val="nil"/>
            </w:tcBorders>
            <w:shd w:val="clear" w:color="auto" w:fill="auto"/>
            <w:noWrap/>
            <w:vAlign w:val="center"/>
            <w:hideMark/>
          </w:tcPr>
          <w:p w14:paraId="3D40177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67</w:t>
            </w:r>
          </w:p>
        </w:tc>
        <w:tc>
          <w:tcPr>
            <w:tcW w:w="174" w:type="pct"/>
            <w:tcBorders>
              <w:top w:val="nil"/>
              <w:left w:val="nil"/>
              <w:bottom w:val="nil"/>
              <w:right w:val="nil"/>
            </w:tcBorders>
            <w:shd w:val="clear" w:color="auto" w:fill="auto"/>
            <w:noWrap/>
            <w:vAlign w:val="center"/>
            <w:hideMark/>
          </w:tcPr>
          <w:p w14:paraId="5ED0975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4</w:t>
            </w:r>
          </w:p>
        </w:tc>
        <w:tc>
          <w:tcPr>
            <w:tcW w:w="240" w:type="pct"/>
            <w:tcBorders>
              <w:top w:val="nil"/>
              <w:left w:val="nil"/>
              <w:bottom w:val="nil"/>
              <w:right w:val="nil"/>
            </w:tcBorders>
            <w:shd w:val="clear" w:color="auto" w:fill="auto"/>
            <w:noWrap/>
            <w:vAlign w:val="center"/>
            <w:hideMark/>
          </w:tcPr>
          <w:p w14:paraId="034B4C3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33</w:t>
            </w:r>
          </w:p>
        </w:tc>
        <w:tc>
          <w:tcPr>
            <w:tcW w:w="174" w:type="pct"/>
            <w:tcBorders>
              <w:top w:val="nil"/>
              <w:left w:val="nil"/>
              <w:bottom w:val="nil"/>
              <w:right w:val="nil"/>
            </w:tcBorders>
            <w:shd w:val="clear" w:color="auto" w:fill="auto"/>
            <w:noWrap/>
            <w:vAlign w:val="center"/>
            <w:hideMark/>
          </w:tcPr>
          <w:p w14:paraId="7AB7786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12</w:t>
            </w:r>
          </w:p>
        </w:tc>
        <w:tc>
          <w:tcPr>
            <w:tcW w:w="352" w:type="pct"/>
            <w:tcBorders>
              <w:top w:val="nil"/>
              <w:left w:val="nil"/>
              <w:bottom w:val="nil"/>
              <w:right w:val="single" w:sz="8" w:space="0" w:color="auto"/>
            </w:tcBorders>
            <w:shd w:val="clear" w:color="auto" w:fill="auto"/>
            <w:noWrap/>
            <w:vAlign w:val="center"/>
            <w:hideMark/>
          </w:tcPr>
          <w:p w14:paraId="6B92D784"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27.9</w:t>
            </w:r>
          </w:p>
        </w:tc>
      </w:tr>
      <w:tr w:rsidR="00A36D59" w:rsidRPr="00FA7D47" w14:paraId="2B095985" w14:textId="77777777" w:rsidTr="0095549A">
        <w:trPr>
          <w:trHeight w:val="315"/>
          <w:jc w:val="center"/>
        </w:trPr>
        <w:tc>
          <w:tcPr>
            <w:tcW w:w="873" w:type="pct"/>
            <w:tcBorders>
              <w:top w:val="nil"/>
              <w:left w:val="single" w:sz="8" w:space="0" w:color="auto"/>
              <w:bottom w:val="single" w:sz="8" w:space="0" w:color="auto"/>
              <w:right w:val="single" w:sz="8" w:space="0" w:color="auto"/>
            </w:tcBorders>
            <w:shd w:val="clear" w:color="auto" w:fill="auto"/>
            <w:noWrap/>
            <w:vAlign w:val="center"/>
            <w:hideMark/>
          </w:tcPr>
          <w:p w14:paraId="1A63D64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L (30-35.3mm)</w:t>
            </w:r>
          </w:p>
        </w:tc>
        <w:tc>
          <w:tcPr>
            <w:tcW w:w="174" w:type="pct"/>
            <w:tcBorders>
              <w:top w:val="nil"/>
              <w:left w:val="nil"/>
              <w:bottom w:val="single" w:sz="8" w:space="0" w:color="auto"/>
              <w:right w:val="nil"/>
            </w:tcBorders>
            <w:shd w:val="clear" w:color="auto" w:fill="auto"/>
            <w:noWrap/>
            <w:vAlign w:val="center"/>
            <w:hideMark/>
          </w:tcPr>
          <w:p w14:paraId="032053EA"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240" w:type="pct"/>
            <w:tcBorders>
              <w:top w:val="nil"/>
              <w:left w:val="nil"/>
              <w:bottom w:val="single" w:sz="8" w:space="0" w:color="auto"/>
              <w:right w:val="nil"/>
            </w:tcBorders>
            <w:shd w:val="clear" w:color="auto" w:fill="auto"/>
            <w:noWrap/>
            <w:vAlign w:val="center"/>
            <w:hideMark/>
          </w:tcPr>
          <w:p w14:paraId="0A3FDDA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21.4</w:t>
            </w:r>
          </w:p>
        </w:tc>
        <w:tc>
          <w:tcPr>
            <w:tcW w:w="174" w:type="pct"/>
            <w:tcBorders>
              <w:top w:val="nil"/>
              <w:left w:val="nil"/>
              <w:bottom w:val="single" w:sz="8" w:space="0" w:color="auto"/>
              <w:right w:val="nil"/>
            </w:tcBorders>
            <w:shd w:val="clear" w:color="auto" w:fill="auto"/>
            <w:noWrap/>
            <w:vAlign w:val="center"/>
            <w:hideMark/>
          </w:tcPr>
          <w:p w14:paraId="4F25FDA5"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22</w:t>
            </w:r>
          </w:p>
        </w:tc>
        <w:tc>
          <w:tcPr>
            <w:tcW w:w="240" w:type="pct"/>
            <w:tcBorders>
              <w:top w:val="nil"/>
              <w:left w:val="nil"/>
              <w:bottom w:val="single" w:sz="8" w:space="0" w:color="auto"/>
              <w:right w:val="nil"/>
            </w:tcBorders>
            <w:shd w:val="clear" w:color="auto" w:fill="auto"/>
            <w:noWrap/>
            <w:vAlign w:val="center"/>
            <w:hideMark/>
          </w:tcPr>
          <w:p w14:paraId="7F808E7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78.6</w:t>
            </w:r>
          </w:p>
        </w:tc>
        <w:tc>
          <w:tcPr>
            <w:tcW w:w="218" w:type="pct"/>
            <w:tcBorders>
              <w:top w:val="nil"/>
              <w:left w:val="nil"/>
              <w:bottom w:val="single" w:sz="8" w:space="0" w:color="auto"/>
              <w:right w:val="nil"/>
            </w:tcBorders>
            <w:shd w:val="clear" w:color="auto" w:fill="auto"/>
            <w:noWrap/>
            <w:vAlign w:val="center"/>
            <w:hideMark/>
          </w:tcPr>
          <w:p w14:paraId="01E5DBC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28</w:t>
            </w:r>
          </w:p>
        </w:tc>
        <w:tc>
          <w:tcPr>
            <w:tcW w:w="348" w:type="pct"/>
            <w:tcBorders>
              <w:top w:val="nil"/>
              <w:left w:val="nil"/>
              <w:bottom w:val="single" w:sz="8" w:space="0" w:color="auto"/>
              <w:right w:val="single" w:sz="8" w:space="0" w:color="auto"/>
            </w:tcBorders>
            <w:shd w:val="clear" w:color="auto" w:fill="auto"/>
            <w:noWrap/>
            <w:vAlign w:val="center"/>
            <w:hideMark/>
          </w:tcPr>
          <w:p w14:paraId="6A2DEB10"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23.5</w:t>
            </w:r>
          </w:p>
        </w:tc>
        <w:tc>
          <w:tcPr>
            <w:tcW w:w="174" w:type="pct"/>
            <w:tcBorders>
              <w:top w:val="nil"/>
              <w:left w:val="nil"/>
              <w:bottom w:val="single" w:sz="8" w:space="0" w:color="auto"/>
              <w:right w:val="nil"/>
            </w:tcBorders>
            <w:shd w:val="clear" w:color="auto" w:fill="auto"/>
            <w:noWrap/>
            <w:vAlign w:val="center"/>
            <w:hideMark/>
          </w:tcPr>
          <w:p w14:paraId="7E9FA95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single" w:sz="8" w:space="0" w:color="auto"/>
              <w:right w:val="nil"/>
            </w:tcBorders>
            <w:shd w:val="clear" w:color="auto" w:fill="auto"/>
            <w:noWrap/>
            <w:vAlign w:val="center"/>
            <w:hideMark/>
          </w:tcPr>
          <w:p w14:paraId="4E3162D9"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11.1</w:t>
            </w:r>
          </w:p>
        </w:tc>
        <w:tc>
          <w:tcPr>
            <w:tcW w:w="174" w:type="pct"/>
            <w:tcBorders>
              <w:top w:val="nil"/>
              <w:left w:val="nil"/>
              <w:bottom w:val="single" w:sz="8" w:space="0" w:color="auto"/>
              <w:right w:val="nil"/>
            </w:tcBorders>
            <w:shd w:val="clear" w:color="auto" w:fill="auto"/>
            <w:noWrap/>
            <w:vAlign w:val="center"/>
            <w:hideMark/>
          </w:tcPr>
          <w:p w14:paraId="57AA07A8"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w:t>
            </w:r>
          </w:p>
        </w:tc>
        <w:tc>
          <w:tcPr>
            <w:tcW w:w="240" w:type="pct"/>
            <w:tcBorders>
              <w:top w:val="nil"/>
              <w:left w:val="nil"/>
              <w:bottom w:val="single" w:sz="8" w:space="0" w:color="auto"/>
              <w:right w:val="nil"/>
            </w:tcBorders>
            <w:shd w:val="clear" w:color="auto" w:fill="auto"/>
            <w:noWrap/>
            <w:vAlign w:val="center"/>
            <w:hideMark/>
          </w:tcPr>
          <w:p w14:paraId="30F4964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88.9</w:t>
            </w:r>
          </w:p>
        </w:tc>
        <w:tc>
          <w:tcPr>
            <w:tcW w:w="196" w:type="pct"/>
            <w:tcBorders>
              <w:top w:val="nil"/>
              <w:left w:val="nil"/>
              <w:bottom w:val="single" w:sz="8" w:space="0" w:color="auto"/>
              <w:right w:val="nil"/>
            </w:tcBorders>
            <w:shd w:val="clear" w:color="auto" w:fill="auto"/>
            <w:noWrap/>
            <w:vAlign w:val="center"/>
            <w:hideMark/>
          </w:tcPr>
          <w:p w14:paraId="3236820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9</w:t>
            </w:r>
          </w:p>
        </w:tc>
        <w:tc>
          <w:tcPr>
            <w:tcW w:w="351" w:type="pct"/>
            <w:tcBorders>
              <w:top w:val="nil"/>
              <w:left w:val="nil"/>
              <w:bottom w:val="single" w:sz="8" w:space="0" w:color="auto"/>
              <w:right w:val="single" w:sz="8" w:space="0" w:color="auto"/>
            </w:tcBorders>
            <w:shd w:val="clear" w:color="auto" w:fill="auto"/>
            <w:noWrap/>
            <w:vAlign w:val="center"/>
            <w:hideMark/>
          </w:tcPr>
          <w:p w14:paraId="70281F83"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20.9</w:t>
            </w:r>
          </w:p>
        </w:tc>
        <w:tc>
          <w:tcPr>
            <w:tcW w:w="174" w:type="pct"/>
            <w:tcBorders>
              <w:top w:val="nil"/>
              <w:left w:val="nil"/>
              <w:bottom w:val="single" w:sz="8" w:space="0" w:color="auto"/>
              <w:right w:val="nil"/>
            </w:tcBorders>
            <w:shd w:val="clear" w:color="auto" w:fill="auto"/>
            <w:noWrap/>
            <w:vAlign w:val="center"/>
            <w:hideMark/>
          </w:tcPr>
          <w:p w14:paraId="4E4DC8E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w:t>
            </w:r>
          </w:p>
        </w:tc>
        <w:tc>
          <w:tcPr>
            <w:tcW w:w="240" w:type="pct"/>
            <w:tcBorders>
              <w:top w:val="nil"/>
              <w:left w:val="nil"/>
              <w:bottom w:val="single" w:sz="8" w:space="0" w:color="auto"/>
              <w:right w:val="nil"/>
            </w:tcBorders>
            <w:shd w:val="clear" w:color="auto" w:fill="auto"/>
            <w:noWrap/>
            <w:vAlign w:val="center"/>
            <w:hideMark/>
          </w:tcPr>
          <w:p w14:paraId="1921C19B"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17</w:t>
            </w:r>
          </w:p>
        </w:tc>
        <w:tc>
          <w:tcPr>
            <w:tcW w:w="174" w:type="pct"/>
            <w:tcBorders>
              <w:top w:val="nil"/>
              <w:left w:val="nil"/>
              <w:bottom w:val="single" w:sz="8" w:space="0" w:color="auto"/>
              <w:right w:val="nil"/>
            </w:tcBorders>
            <w:shd w:val="clear" w:color="auto" w:fill="auto"/>
            <w:noWrap/>
            <w:vAlign w:val="center"/>
            <w:hideMark/>
          </w:tcPr>
          <w:p w14:paraId="3F0D0FCE"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5</w:t>
            </w:r>
          </w:p>
        </w:tc>
        <w:tc>
          <w:tcPr>
            <w:tcW w:w="240" w:type="pct"/>
            <w:tcBorders>
              <w:top w:val="nil"/>
              <w:left w:val="nil"/>
              <w:bottom w:val="single" w:sz="8" w:space="0" w:color="auto"/>
              <w:right w:val="nil"/>
            </w:tcBorders>
            <w:shd w:val="clear" w:color="auto" w:fill="auto"/>
            <w:noWrap/>
            <w:vAlign w:val="center"/>
            <w:hideMark/>
          </w:tcPr>
          <w:p w14:paraId="73242A06"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83</w:t>
            </w:r>
          </w:p>
        </w:tc>
        <w:tc>
          <w:tcPr>
            <w:tcW w:w="174" w:type="pct"/>
            <w:tcBorders>
              <w:top w:val="nil"/>
              <w:left w:val="nil"/>
              <w:bottom w:val="single" w:sz="8" w:space="0" w:color="auto"/>
              <w:right w:val="nil"/>
            </w:tcBorders>
            <w:shd w:val="clear" w:color="auto" w:fill="auto"/>
            <w:noWrap/>
            <w:vAlign w:val="center"/>
            <w:hideMark/>
          </w:tcPr>
          <w:p w14:paraId="4D6D205D"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6</w:t>
            </w:r>
          </w:p>
        </w:tc>
        <w:tc>
          <w:tcPr>
            <w:tcW w:w="352" w:type="pct"/>
            <w:tcBorders>
              <w:top w:val="nil"/>
              <w:left w:val="nil"/>
              <w:bottom w:val="single" w:sz="8" w:space="0" w:color="auto"/>
              <w:right w:val="single" w:sz="8" w:space="0" w:color="auto"/>
            </w:tcBorders>
            <w:shd w:val="clear" w:color="auto" w:fill="auto"/>
            <w:noWrap/>
            <w:vAlign w:val="center"/>
            <w:hideMark/>
          </w:tcPr>
          <w:p w14:paraId="6E7F771C" w14:textId="77777777" w:rsidR="00A36D59" w:rsidRPr="009819CE" w:rsidRDefault="00A36D59" w:rsidP="0095549A">
            <w:pPr>
              <w:spacing w:after="0" w:line="240" w:lineRule="auto"/>
              <w:jc w:val="center"/>
              <w:rPr>
                <w:rFonts w:cstheme="minorBidi"/>
                <w:color w:val="000000"/>
                <w:sz w:val="20"/>
                <w:szCs w:val="20"/>
              </w:rPr>
            </w:pPr>
            <w:r w:rsidRPr="009819CE">
              <w:rPr>
                <w:rFonts w:cstheme="minorBidi"/>
                <w:color w:val="000000"/>
                <w:sz w:val="20"/>
                <w:szCs w:val="20"/>
              </w:rPr>
              <w:t>14</w:t>
            </w:r>
          </w:p>
        </w:tc>
      </w:tr>
    </w:tbl>
    <w:p w14:paraId="12829982" w14:textId="7C8A6FB0" w:rsidR="00695553" w:rsidRPr="009819CE" w:rsidRDefault="00695553" w:rsidP="00392D25"/>
    <w:p w14:paraId="4774B62A" w14:textId="77777777" w:rsidR="00695553" w:rsidRPr="009819CE" w:rsidRDefault="00695553" w:rsidP="00392D25">
      <w:pPr>
        <w:sectPr w:rsidR="00695553" w:rsidRPr="009819CE" w:rsidSect="00695553">
          <w:pgSz w:w="16838" w:h="11906" w:orient="landscape" w:code="9"/>
          <w:pgMar w:top="1440" w:right="1440" w:bottom="1440" w:left="1440" w:header="708" w:footer="708" w:gutter="0"/>
          <w:cols w:space="708"/>
          <w:docGrid w:linePitch="360"/>
        </w:sectPr>
      </w:pPr>
    </w:p>
    <w:p w14:paraId="0FE4D5C3" w14:textId="45E19227" w:rsidR="006A0363" w:rsidRPr="009819CE" w:rsidRDefault="006A0363" w:rsidP="00B3468E">
      <w:pPr>
        <w:pStyle w:val="Heading3"/>
        <w:rPr>
          <w:rFonts w:cstheme="minorBidi"/>
        </w:rPr>
      </w:pPr>
      <w:bookmarkStart w:id="331" w:name="_Toc204106674"/>
      <w:r w:rsidRPr="009819CE">
        <w:rPr>
          <w:rFonts w:cstheme="minorBidi"/>
        </w:rPr>
        <w:t>Sporulation observations</w:t>
      </w:r>
      <w:bookmarkEnd w:id="331"/>
      <w:r w:rsidRPr="009819CE">
        <w:rPr>
          <w:rFonts w:cstheme="minorBidi"/>
        </w:rPr>
        <w:t xml:space="preserve"> </w:t>
      </w:r>
    </w:p>
    <w:p w14:paraId="58E953E8" w14:textId="1D412ABA" w:rsidR="006A0363" w:rsidRPr="00FA7D47" w:rsidRDefault="006A0363" w:rsidP="006A0363">
      <w:pPr>
        <w:rPr>
          <w:rFonts w:cstheme="minorBidi"/>
        </w:rPr>
      </w:pPr>
      <w:r w:rsidRPr="009819CE">
        <w:rPr>
          <w:rFonts w:cstheme="minorBidi"/>
        </w:rPr>
        <w:t xml:space="preserve">Out of the n=42 animals categorised as being at </w:t>
      </w:r>
      <w:r w:rsidR="00E259AE">
        <w:rPr>
          <w:rFonts w:cstheme="minorBidi"/>
        </w:rPr>
        <w:t xml:space="preserve">an </w:t>
      </w:r>
      <w:r w:rsidRPr="009819CE">
        <w:rPr>
          <w:rFonts w:cstheme="minorBidi"/>
        </w:rPr>
        <w:t>advance</w:t>
      </w:r>
      <w:r w:rsidR="00E259AE">
        <w:rPr>
          <w:rFonts w:cstheme="minorBidi"/>
        </w:rPr>
        <w:t>d</w:t>
      </w:r>
      <w:r w:rsidRPr="009819CE">
        <w:rPr>
          <w:rFonts w:cstheme="minorBidi"/>
        </w:rPr>
        <w:t xml:space="preserve"> stage of infection (stages 3-4, PM; n=42) (</w:t>
      </w:r>
      <w:r w:rsidR="00B53416" w:rsidRPr="009819CE">
        <w:rPr>
          <w:rFonts w:cstheme="minorBidi"/>
        </w:rPr>
        <w:fldChar w:fldCharType="begin"/>
      </w:r>
      <w:r w:rsidR="00B53416" w:rsidRPr="009819CE">
        <w:rPr>
          <w:rFonts w:cstheme="minorBidi"/>
        </w:rPr>
        <w:instrText xml:space="preserve"> REF _Ref201491122 \h </w:instrText>
      </w:r>
      <w:r w:rsidR="00B53416" w:rsidRPr="009819CE">
        <w:rPr>
          <w:rFonts w:cstheme="minorBidi"/>
        </w:rPr>
      </w:r>
      <w:r w:rsidR="00B53416" w:rsidRPr="009819CE">
        <w:rPr>
          <w:rFonts w:cstheme="minorBidi"/>
        </w:rPr>
        <w:fldChar w:fldCharType="separate"/>
      </w:r>
      <w:r w:rsidR="008549FC" w:rsidRPr="007E6468">
        <w:rPr>
          <w:b/>
          <w:bCs/>
        </w:rPr>
        <w:t xml:space="preserve">Table </w:t>
      </w:r>
      <w:r w:rsidR="008549FC">
        <w:rPr>
          <w:b/>
          <w:bCs/>
          <w:noProof/>
        </w:rPr>
        <w:t>4</w:t>
      </w:r>
      <w:r w:rsidR="008549FC">
        <w:rPr>
          <w:b/>
          <w:bCs/>
        </w:rPr>
        <w:t>.</w:t>
      </w:r>
      <w:r w:rsidR="008549FC">
        <w:rPr>
          <w:b/>
          <w:bCs/>
          <w:noProof/>
        </w:rPr>
        <w:t>1</w:t>
      </w:r>
      <w:r w:rsidR="00B53416" w:rsidRPr="009819CE">
        <w:rPr>
          <w:rFonts w:cstheme="minorBidi"/>
        </w:rPr>
        <w:fldChar w:fldCharType="end"/>
      </w:r>
      <w:r w:rsidRPr="009819CE">
        <w:rPr>
          <w:rFonts w:cstheme="minorBidi"/>
        </w:rPr>
        <w:t>), only n=4 individuals underwent sporulation, comprising 3 males and 1 female (CL 2</w:t>
      </w:r>
      <w:r w:rsidR="00C2771C" w:rsidRPr="00FA7D47">
        <w:rPr>
          <w:rFonts w:cstheme="minorBidi"/>
        </w:rPr>
        <w:t>7</w:t>
      </w:r>
      <w:r w:rsidRPr="009819CE">
        <w:rPr>
          <w:rFonts w:cstheme="minorBidi"/>
        </w:rPr>
        <w:t xml:space="preserve"> ± 3.</w:t>
      </w:r>
      <w:r w:rsidR="00C2771C" w:rsidRPr="00FA7D47">
        <w:rPr>
          <w:rFonts w:cstheme="minorBidi"/>
        </w:rPr>
        <w:t>4</w:t>
      </w:r>
      <w:r w:rsidRPr="009819CE">
        <w:rPr>
          <w:rFonts w:cstheme="minorBidi"/>
        </w:rPr>
        <w:t xml:space="preserve"> mm)</w:t>
      </w:r>
      <w:r w:rsidR="00625A78" w:rsidRPr="009819CE">
        <w:rPr>
          <w:rFonts w:cstheme="minorBidi"/>
        </w:rPr>
        <w:t xml:space="preserve"> (</w:t>
      </w:r>
      <w:r w:rsidR="00CB1691" w:rsidRPr="009819CE">
        <w:rPr>
          <w:rFonts w:cstheme="minorBidi"/>
        </w:rPr>
        <w:fldChar w:fldCharType="begin"/>
      </w:r>
      <w:r w:rsidR="00CB1691" w:rsidRPr="009819CE">
        <w:rPr>
          <w:rFonts w:cstheme="minorBidi"/>
        </w:rPr>
        <w:instrText xml:space="preserve"> REF _Ref136949913 \h </w:instrText>
      </w:r>
      <w:r w:rsidR="00CB1691" w:rsidRPr="009819CE">
        <w:rPr>
          <w:rFonts w:cstheme="minorBidi"/>
        </w:rPr>
      </w:r>
      <w:r w:rsidR="00CB1691" w:rsidRPr="009819CE">
        <w:rPr>
          <w:rFonts w:cstheme="minorBidi"/>
        </w:rPr>
        <w:fldChar w:fldCharType="separate"/>
      </w:r>
      <w:r w:rsidR="008549FC" w:rsidRPr="009819CE">
        <w:rPr>
          <w:rFonts w:cstheme="minorBidi"/>
          <w:b/>
          <w:bCs/>
        </w:rPr>
        <w:t xml:space="preserve">Table </w:t>
      </w:r>
      <w:r w:rsidR="008549FC">
        <w:rPr>
          <w:rFonts w:cstheme="minorBidi"/>
          <w:b/>
          <w:bCs/>
          <w:noProof/>
        </w:rPr>
        <w:t>4</w:t>
      </w:r>
      <w:r w:rsidR="008549FC">
        <w:rPr>
          <w:rFonts w:cstheme="minorBidi"/>
          <w:b/>
          <w:bCs/>
        </w:rPr>
        <w:t>.</w:t>
      </w:r>
      <w:r w:rsidR="008549FC">
        <w:rPr>
          <w:rFonts w:cstheme="minorBidi"/>
          <w:b/>
          <w:bCs/>
          <w:noProof/>
        </w:rPr>
        <w:t>2</w:t>
      </w:r>
      <w:r w:rsidR="00CB1691" w:rsidRPr="009819CE">
        <w:rPr>
          <w:rFonts w:cstheme="minorBidi"/>
        </w:rPr>
        <w:fldChar w:fldCharType="end"/>
      </w:r>
      <w:r w:rsidR="00CB1691" w:rsidRPr="009819CE">
        <w:rPr>
          <w:rFonts w:cstheme="minorBidi"/>
        </w:rPr>
        <w:t>)</w:t>
      </w:r>
      <w:r w:rsidRPr="009819CE">
        <w:rPr>
          <w:rFonts w:cstheme="minorBidi"/>
        </w:rPr>
        <w:t>. The sporulation events occurred over a period of 4 to 24 days during the captive period. Each sporulation event lasted between 1 to 3 h, during which visible spores were observed exiting the host. After this period, no further spores were observed, and it was noted that, in most cases (3 out of 4), the animals typically died immediately after sporulation. Unfortunately, one animal</w:t>
      </w:r>
      <w:r w:rsidR="00C80E41" w:rsidRPr="009819CE">
        <w:rPr>
          <w:rFonts w:cstheme="minorBidi"/>
        </w:rPr>
        <w:t xml:space="preserve"> </w:t>
      </w:r>
      <w:r w:rsidR="00C80E41" w:rsidRPr="007E6468">
        <w:rPr>
          <w:rFonts w:cstheme="minorBidi"/>
        </w:rPr>
        <w:t>(</w:t>
      </w:r>
      <w:r w:rsidRPr="009819CE">
        <w:rPr>
          <w:rFonts w:cstheme="minorBidi"/>
        </w:rPr>
        <w:t>SP11</w:t>
      </w:r>
      <w:r w:rsidR="00C80E41" w:rsidRPr="009819CE">
        <w:rPr>
          <w:rFonts w:cstheme="minorBidi"/>
        </w:rPr>
        <w:t>)</w:t>
      </w:r>
      <w:r w:rsidRPr="009819CE">
        <w:rPr>
          <w:rFonts w:cstheme="minorBidi"/>
        </w:rPr>
        <w:t>, sporulated over the weekend and exhibited signs of degradation upon examination, leading to its exclusion from the analysis.</w:t>
      </w:r>
      <w:r w:rsidR="00DA767F" w:rsidRPr="00FA7D47">
        <w:rPr>
          <w:rFonts w:cstheme="minorBidi"/>
        </w:rPr>
        <w:t xml:space="preserve"> </w:t>
      </w:r>
    </w:p>
    <w:p w14:paraId="13F007DC" w14:textId="0563D8DA" w:rsidR="00DA767F" w:rsidRPr="00FA7D47" w:rsidRDefault="00DA767F" w:rsidP="006A0363">
      <w:pPr>
        <w:rPr>
          <w:rFonts w:cstheme="minorBidi"/>
        </w:rPr>
      </w:pPr>
      <w:r w:rsidRPr="00FA7D47">
        <w:t>Links to videos capturing the sporulation events</w:t>
      </w:r>
      <w:r w:rsidR="008852D8" w:rsidRPr="00FA7D47">
        <w:t xml:space="preserve"> using a</w:t>
      </w:r>
      <w:r w:rsidR="006B059C" w:rsidRPr="00FA7D47">
        <w:t>n</w:t>
      </w:r>
      <w:r w:rsidR="008852D8" w:rsidRPr="00FA7D47">
        <w:t xml:space="preserve"> </w:t>
      </w:r>
      <w:r w:rsidR="00E259AE">
        <w:t>Apple iP</w:t>
      </w:r>
      <w:r w:rsidR="008852D8" w:rsidRPr="00FA7D47">
        <w:t>hone</w:t>
      </w:r>
      <w:r w:rsidRPr="00FA7D47">
        <w:t xml:space="preserve"> </w:t>
      </w:r>
      <w:r w:rsidR="006B059C" w:rsidRPr="00FA7D47">
        <w:t xml:space="preserve">11 </w:t>
      </w:r>
      <w:r w:rsidRPr="00FA7D47">
        <w:t xml:space="preserve">are provided in supplementary </w:t>
      </w:r>
      <w:r w:rsidRPr="00FA7D47">
        <w:fldChar w:fldCharType="begin"/>
      </w:r>
      <w:r w:rsidRPr="00FA7D47">
        <w:instrText xml:space="preserve"> REF _Ref171449816 \h </w:instrText>
      </w:r>
      <w:r w:rsidRPr="00FA7D47">
        <w:fldChar w:fldCharType="separate"/>
      </w:r>
      <w:r w:rsidR="008549FC" w:rsidRPr="009819CE">
        <w:rPr>
          <w:b/>
          <w:bCs/>
        </w:rPr>
        <w:t xml:space="preserve">Table S4. </w:t>
      </w:r>
      <w:r w:rsidR="008549FC">
        <w:rPr>
          <w:b/>
          <w:bCs/>
          <w:noProof/>
        </w:rPr>
        <w:t>1</w:t>
      </w:r>
      <w:r w:rsidRPr="00FA7D47">
        <w:fldChar w:fldCharType="end"/>
      </w:r>
      <w:r w:rsidRPr="00FA7D47">
        <w:t>.</w:t>
      </w:r>
    </w:p>
    <w:p w14:paraId="4E78F150" w14:textId="77777777" w:rsidR="0052004E" w:rsidRPr="009819CE" w:rsidRDefault="0052004E" w:rsidP="006A0363">
      <w:pPr>
        <w:rPr>
          <w:rFonts w:cstheme="minorBidi"/>
        </w:rPr>
      </w:pPr>
    </w:p>
    <w:p w14:paraId="0A44E2B8" w14:textId="391FB77F" w:rsidR="006A0363" w:rsidRPr="009819CE" w:rsidRDefault="00AD626F" w:rsidP="006A0363">
      <w:pPr>
        <w:rPr>
          <w:rFonts w:cstheme="minorBidi"/>
        </w:rPr>
        <w:sectPr w:rsidR="006A0363" w:rsidRPr="009819CE" w:rsidSect="003A7A28">
          <w:pgSz w:w="11906" w:h="16838" w:code="9"/>
          <w:pgMar w:top="1440" w:right="1440" w:bottom="1440" w:left="1440" w:header="708" w:footer="708" w:gutter="0"/>
          <w:cols w:space="708"/>
          <w:docGrid w:linePitch="360"/>
        </w:sectPr>
      </w:pPr>
      <w:r w:rsidRPr="00FA7D47">
        <w:rPr>
          <w:rFonts w:cstheme="minorBidi"/>
        </w:rPr>
        <w:t xml:space="preserve"> </w:t>
      </w:r>
    </w:p>
    <w:p w14:paraId="0FBA74DA" w14:textId="55401ECC" w:rsidR="006A0363" w:rsidRPr="009819CE" w:rsidRDefault="006A0363" w:rsidP="006A0363">
      <w:pPr>
        <w:spacing w:line="240" w:lineRule="auto"/>
        <w:rPr>
          <w:rFonts w:cstheme="minorBidi"/>
        </w:rPr>
      </w:pPr>
      <w:bookmarkStart w:id="332" w:name="_Ref136949913"/>
      <w:bookmarkStart w:id="333" w:name="_Toc202273064"/>
      <w:bookmarkStart w:id="334" w:name="_Toc204106762"/>
      <w:r w:rsidRPr="009819CE">
        <w:rPr>
          <w:rFonts w:cstheme="minorBidi"/>
          <w:b/>
          <w:bCs/>
        </w:rPr>
        <w:t xml:space="preserve">Table </w:t>
      </w:r>
      <w:r w:rsidR="0095522A">
        <w:rPr>
          <w:rFonts w:cstheme="minorBidi"/>
          <w:b/>
          <w:bCs/>
        </w:rPr>
        <w:fldChar w:fldCharType="begin"/>
      </w:r>
      <w:r w:rsidR="0095522A">
        <w:rPr>
          <w:rFonts w:cstheme="minorBidi"/>
          <w:b/>
          <w:bCs/>
        </w:rPr>
        <w:instrText xml:space="preserve"> STYLEREF 1 \s </w:instrText>
      </w:r>
      <w:r w:rsidR="0095522A">
        <w:rPr>
          <w:rFonts w:cstheme="minorBidi"/>
          <w:b/>
          <w:bCs/>
        </w:rPr>
        <w:fldChar w:fldCharType="separate"/>
      </w:r>
      <w:r w:rsidR="008549FC">
        <w:rPr>
          <w:rFonts w:cstheme="minorBidi"/>
          <w:b/>
          <w:bCs/>
          <w:noProof/>
        </w:rPr>
        <w:t>4</w:t>
      </w:r>
      <w:r w:rsidR="0095522A">
        <w:rPr>
          <w:rFonts w:cstheme="minorBidi"/>
          <w:b/>
          <w:bCs/>
        </w:rPr>
        <w:fldChar w:fldCharType="end"/>
      </w:r>
      <w:r w:rsidR="0095522A">
        <w:rPr>
          <w:rFonts w:cstheme="minorBidi"/>
          <w:b/>
          <w:bCs/>
        </w:rPr>
        <w:t>.</w:t>
      </w:r>
      <w:r w:rsidR="0095522A">
        <w:rPr>
          <w:rFonts w:cstheme="minorBidi"/>
          <w:b/>
          <w:bCs/>
        </w:rPr>
        <w:fldChar w:fldCharType="begin"/>
      </w:r>
      <w:r w:rsidR="0095522A">
        <w:rPr>
          <w:rFonts w:cstheme="minorBidi"/>
          <w:b/>
          <w:bCs/>
        </w:rPr>
        <w:instrText xml:space="preserve"> SEQ Table \* ARABIC \s 1 </w:instrText>
      </w:r>
      <w:r w:rsidR="0095522A">
        <w:rPr>
          <w:rFonts w:cstheme="minorBidi"/>
          <w:b/>
          <w:bCs/>
        </w:rPr>
        <w:fldChar w:fldCharType="separate"/>
      </w:r>
      <w:r w:rsidR="008549FC">
        <w:rPr>
          <w:rFonts w:cstheme="minorBidi"/>
          <w:b/>
          <w:bCs/>
          <w:noProof/>
        </w:rPr>
        <w:t>2</w:t>
      </w:r>
      <w:r w:rsidR="0095522A">
        <w:rPr>
          <w:rFonts w:cstheme="minorBidi"/>
          <w:b/>
          <w:bCs/>
        </w:rPr>
        <w:fldChar w:fldCharType="end"/>
      </w:r>
      <w:bookmarkEnd w:id="332"/>
      <w:r w:rsidRPr="009819CE">
        <w:rPr>
          <w:rFonts w:cstheme="minorBidi"/>
        </w:rPr>
        <w:t xml:space="preserve"> </w:t>
      </w:r>
      <w:r w:rsidR="00C2771C" w:rsidRPr="00FA7D47">
        <w:rPr>
          <w:rFonts w:cstheme="minorBidi"/>
        </w:rPr>
        <w:t>Table showing</w:t>
      </w:r>
      <w:r w:rsidRPr="009819CE">
        <w:rPr>
          <w:rFonts w:cstheme="minorBidi"/>
        </w:rPr>
        <w:t xml:space="preserve"> the four sporulated </w:t>
      </w:r>
      <w:r w:rsidR="00C31E47" w:rsidRPr="009819CE">
        <w:rPr>
          <w:rFonts w:cstheme="minorBidi"/>
          <w:i/>
        </w:rPr>
        <w:t>Nephrops</w:t>
      </w:r>
      <w:r w:rsidRPr="009819CE">
        <w:rPr>
          <w:rFonts w:cstheme="minorBidi"/>
        </w:rPr>
        <w:t>. (ms=</w:t>
      </w:r>
      <w:r w:rsidR="00C967F0" w:rsidRPr="00FA7D47">
        <w:rPr>
          <w:rFonts w:cstheme="minorBidi"/>
        </w:rPr>
        <w:t>moult stage</w:t>
      </w:r>
      <w:r w:rsidRPr="009819CE">
        <w:rPr>
          <w:rFonts w:cstheme="minorBidi"/>
        </w:rPr>
        <w:t>, EG=empty gut; BCM= body colour method; PM=pleopod method; CL=carapace length, NA= not available).</w:t>
      </w:r>
      <w:bookmarkEnd w:id="333"/>
      <w:bookmarkEnd w:id="334"/>
    </w:p>
    <w:tbl>
      <w:tblPr>
        <w:tblStyle w:val="TableGrid"/>
        <w:tblW w:w="4755" w:type="pct"/>
        <w:jc w:val="center"/>
        <w:tblLook w:val="04A0" w:firstRow="1" w:lastRow="0" w:firstColumn="1" w:lastColumn="0" w:noHBand="0" w:noVBand="1"/>
      </w:tblPr>
      <w:tblGrid>
        <w:gridCol w:w="928"/>
        <w:gridCol w:w="995"/>
        <w:gridCol w:w="1328"/>
        <w:gridCol w:w="1166"/>
        <w:gridCol w:w="1028"/>
        <w:gridCol w:w="572"/>
        <w:gridCol w:w="506"/>
        <w:gridCol w:w="939"/>
        <w:gridCol w:w="672"/>
        <w:gridCol w:w="516"/>
        <w:gridCol w:w="705"/>
        <w:gridCol w:w="850"/>
        <w:gridCol w:w="1651"/>
        <w:gridCol w:w="1409"/>
      </w:tblGrid>
      <w:tr w:rsidR="006A0363" w:rsidRPr="00FA7D47" w14:paraId="185079F3" w14:textId="77777777" w:rsidTr="00E0266B">
        <w:trPr>
          <w:trHeight w:val="1304"/>
          <w:jc w:val="center"/>
        </w:trPr>
        <w:tc>
          <w:tcPr>
            <w:tcW w:w="357" w:type="pct"/>
          </w:tcPr>
          <w:p w14:paraId="7F219806"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Sample ID</w:t>
            </w:r>
          </w:p>
        </w:tc>
        <w:tc>
          <w:tcPr>
            <w:tcW w:w="385" w:type="pct"/>
          </w:tcPr>
          <w:p w14:paraId="46D20D4C"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Arrival date</w:t>
            </w:r>
          </w:p>
        </w:tc>
        <w:tc>
          <w:tcPr>
            <w:tcW w:w="522" w:type="pct"/>
          </w:tcPr>
          <w:p w14:paraId="035504D7"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Sporulation date</w:t>
            </w:r>
          </w:p>
        </w:tc>
        <w:tc>
          <w:tcPr>
            <w:tcW w:w="463" w:type="pct"/>
          </w:tcPr>
          <w:p w14:paraId="6FA7529E"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Death date</w:t>
            </w:r>
          </w:p>
        </w:tc>
        <w:tc>
          <w:tcPr>
            <w:tcW w:w="262" w:type="pct"/>
          </w:tcPr>
          <w:p w14:paraId="01195F2E"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Days in captivity</w:t>
            </w:r>
          </w:p>
        </w:tc>
        <w:tc>
          <w:tcPr>
            <w:tcW w:w="216" w:type="pct"/>
          </w:tcPr>
          <w:p w14:paraId="456521C8"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Sex</w:t>
            </w:r>
          </w:p>
        </w:tc>
        <w:tc>
          <w:tcPr>
            <w:tcW w:w="191" w:type="pct"/>
          </w:tcPr>
          <w:p w14:paraId="53CDC6BB"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ms</w:t>
            </w:r>
          </w:p>
        </w:tc>
        <w:tc>
          <w:tcPr>
            <w:tcW w:w="354" w:type="pct"/>
          </w:tcPr>
          <w:p w14:paraId="184DC768"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Gut content</w:t>
            </w:r>
          </w:p>
        </w:tc>
        <w:tc>
          <w:tcPr>
            <w:tcW w:w="253" w:type="pct"/>
          </w:tcPr>
          <w:p w14:paraId="7AE7A197"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BCM</w:t>
            </w:r>
          </w:p>
        </w:tc>
        <w:tc>
          <w:tcPr>
            <w:tcW w:w="194" w:type="pct"/>
          </w:tcPr>
          <w:p w14:paraId="232F22A1"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PM</w:t>
            </w:r>
          </w:p>
        </w:tc>
        <w:tc>
          <w:tcPr>
            <w:tcW w:w="254" w:type="pct"/>
          </w:tcPr>
          <w:p w14:paraId="62504F3B"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CL (mm)</w:t>
            </w:r>
          </w:p>
        </w:tc>
        <w:tc>
          <w:tcPr>
            <w:tcW w:w="326" w:type="pct"/>
          </w:tcPr>
          <w:p w14:paraId="3DFC74FB"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Body weight (g)</w:t>
            </w:r>
          </w:p>
        </w:tc>
        <w:tc>
          <w:tcPr>
            <w:tcW w:w="677" w:type="pct"/>
          </w:tcPr>
          <w:p w14:paraId="1920A644"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Total spore</w:t>
            </w:r>
          </w:p>
          <w:p w14:paraId="14973375"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wet weight</w:t>
            </w:r>
          </w:p>
          <w:p w14:paraId="079DBE30" w14:textId="77777777"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(g)</w:t>
            </w:r>
          </w:p>
        </w:tc>
        <w:tc>
          <w:tcPr>
            <w:tcW w:w="546" w:type="pct"/>
          </w:tcPr>
          <w:p w14:paraId="4995F122" w14:textId="2B745076" w:rsidR="006A0363" w:rsidRPr="009819CE" w:rsidRDefault="006A0363" w:rsidP="007D6607">
            <w:pPr>
              <w:spacing w:line="240" w:lineRule="auto"/>
              <w:jc w:val="center"/>
              <w:rPr>
                <w:rFonts w:cstheme="minorBidi"/>
                <w:b/>
                <w:bCs/>
                <w:sz w:val="20"/>
                <w:lang w:val="en-GB"/>
              </w:rPr>
            </w:pPr>
            <w:r w:rsidRPr="009819CE">
              <w:rPr>
                <w:rFonts w:cstheme="minorBidi"/>
                <w:b/>
                <w:bCs/>
                <w:sz w:val="20"/>
                <w:lang w:val="en-GB"/>
              </w:rPr>
              <w:t>Spore wet weight/body weight</w:t>
            </w:r>
            <w:r w:rsidR="001F7D6B" w:rsidRPr="009819CE">
              <w:rPr>
                <w:rFonts w:cstheme="minorBidi"/>
                <w:b/>
                <w:bCs/>
                <w:sz w:val="20"/>
                <w:lang w:val="en-GB"/>
              </w:rPr>
              <w:t xml:space="preserve"> (%)</w:t>
            </w:r>
          </w:p>
        </w:tc>
      </w:tr>
      <w:tr w:rsidR="006A0363" w:rsidRPr="00FA7D47" w14:paraId="57ED65EC" w14:textId="77777777" w:rsidTr="007D6607">
        <w:trPr>
          <w:trHeight w:val="753"/>
          <w:jc w:val="center"/>
        </w:trPr>
        <w:tc>
          <w:tcPr>
            <w:tcW w:w="357" w:type="pct"/>
          </w:tcPr>
          <w:p w14:paraId="62631586"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SP11</w:t>
            </w:r>
          </w:p>
        </w:tc>
        <w:tc>
          <w:tcPr>
            <w:tcW w:w="385" w:type="pct"/>
          </w:tcPr>
          <w:p w14:paraId="0E3DA301"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28.01.20</w:t>
            </w:r>
          </w:p>
        </w:tc>
        <w:tc>
          <w:tcPr>
            <w:tcW w:w="522" w:type="pct"/>
          </w:tcPr>
          <w:p w14:paraId="6DA3115C"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21.02.20</w:t>
            </w:r>
          </w:p>
        </w:tc>
        <w:tc>
          <w:tcPr>
            <w:tcW w:w="463" w:type="pct"/>
          </w:tcPr>
          <w:p w14:paraId="23DDF8E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21.02.20</w:t>
            </w:r>
          </w:p>
        </w:tc>
        <w:tc>
          <w:tcPr>
            <w:tcW w:w="262" w:type="pct"/>
          </w:tcPr>
          <w:p w14:paraId="15A165FF" w14:textId="77777777" w:rsidR="006A0363" w:rsidRPr="009819CE" w:rsidRDefault="006A0363" w:rsidP="007D6607">
            <w:pPr>
              <w:spacing w:line="240" w:lineRule="auto"/>
              <w:jc w:val="center"/>
              <w:rPr>
                <w:rFonts w:cstheme="minorBidi"/>
                <w:color w:val="000000"/>
                <w:sz w:val="20"/>
                <w:lang w:val="en-GB"/>
              </w:rPr>
            </w:pPr>
            <w:r w:rsidRPr="009819CE">
              <w:rPr>
                <w:rFonts w:cstheme="minorBidi"/>
                <w:color w:val="000000"/>
                <w:sz w:val="20"/>
                <w:lang w:val="en-GB"/>
              </w:rPr>
              <w:t>24</w:t>
            </w:r>
          </w:p>
        </w:tc>
        <w:tc>
          <w:tcPr>
            <w:tcW w:w="216" w:type="pct"/>
          </w:tcPr>
          <w:p w14:paraId="6BD29916"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M</w:t>
            </w:r>
          </w:p>
        </w:tc>
        <w:tc>
          <w:tcPr>
            <w:tcW w:w="191" w:type="pct"/>
          </w:tcPr>
          <w:p w14:paraId="0947DCB4"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C1</w:t>
            </w:r>
          </w:p>
        </w:tc>
        <w:tc>
          <w:tcPr>
            <w:tcW w:w="354" w:type="pct"/>
          </w:tcPr>
          <w:p w14:paraId="24EA94AC"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EG</w:t>
            </w:r>
          </w:p>
        </w:tc>
        <w:tc>
          <w:tcPr>
            <w:tcW w:w="253" w:type="pct"/>
          </w:tcPr>
          <w:p w14:paraId="5656559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POS</w:t>
            </w:r>
          </w:p>
        </w:tc>
        <w:tc>
          <w:tcPr>
            <w:tcW w:w="194" w:type="pct"/>
          </w:tcPr>
          <w:p w14:paraId="491D4F4D"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3</w:t>
            </w:r>
          </w:p>
        </w:tc>
        <w:tc>
          <w:tcPr>
            <w:tcW w:w="254" w:type="pct"/>
          </w:tcPr>
          <w:p w14:paraId="04781C96"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24.9</w:t>
            </w:r>
          </w:p>
        </w:tc>
        <w:tc>
          <w:tcPr>
            <w:tcW w:w="326" w:type="pct"/>
          </w:tcPr>
          <w:p w14:paraId="0EED5148"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NA</w:t>
            </w:r>
          </w:p>
        </w:tc>
        <w:tc>
          <w:tcPr>
            <w:tcW w:w="677" w:type="pct"/>
          </w:tcPr>
          <w:p w14:paraId="4153DFC5"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0.30</w:t>
            </w:r>
          </w:p>
        </w:tc>
        <w:tc>
          <w:tcPr>
            <w:tcW w:w="546" w:type="pct"/>
          </w:tcPr>
          <w:p w14:paraId="49BC4D46"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NA</w:t>
            </w:r>
          </w:p>
        </w:tc>
      </w:tr>
      <w:tr w:rsidR="006A0363" w:rsidRPr="00FA7D47" w14:paraId="23EE22F9" w14:textId="77777777" w:rsidTr="007D6607">
        <w:trPr>
          <w:trHeight w:val="708"/>
          <w:jc w:val="center"/>
        </w:trPr>
        <w:tc>
          <w:tcPr>
            <w:tcW w:w="357" w:type="pct"/>
          </w:tcPr>
          <w:p w14:paraId="496BF35D"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SP47</w:t>
            </w:r>
          </w:p>
        </w:tc>
        <w:tc>
          <w:tcPr>
            <w:tcW w:w="385" w:type="pct"/>
          </w:tcPr>
          <w:p w14:paraId="4D640E73"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25.02.20</w:t>
            </w:r>
          </w:p>
        </w:tc>
        <w:tc>
          <w:tcPr>
            <w:tcW w:w="522" w:type="pct"/>
          </w:tcPr>
          <w:p w14:paraId="128B3F8D"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29.02.20</w:t>
            </w:r>
          </w:p>
        </w:tc>
        <w:tc>
          <w:tcPr>
            <w:tcW w:w="463" w:type="pct"/>
          </w:tcPr>
          <w:p w14:paraId="0311BBAC"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29.02.20</w:t>
            </w:r>
          </w:p>
        </w:tc>
        <w:tc>
          <w:tcPr>
            <w:tcW w:w="262" w:type="pct"/>
          </w:tcPr>
          <w:p w14:paraId="5A5978D8"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4</w:t>
            </w:r>
          </w:p>
        </w:tc>
        <w:tc>
          <w:tcPr>
            <w:tcW w:w="216" w:type="pct"/>
          </w:tcPr>
          <w:p w14:paraId="357DDBA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M</w:t>
            </w:r>
          </w:p>
        </w:tc>
        <w:tc>
          <w:tcPr>
            <w:tcW w:w="191" w:type="pct"/>
          </w:tcPr>
          <w:p w14:paraId="385F5BD9"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C1</w:t>
            </w:r>
          </w:p>
        </w:tc>
        <w:tc>
          <w:tcPr>
            <w:tcW w:w="354" w:type="pct"/>
          </w:tcPr>
          <w:p w14:paraId="3D535BB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EG</w:t>
            </w:r>
          </w:p>
        </w:tc>
        <w:tc>
          <w:tcPr>
            <w:tcW w:w="253" w:type="pct"/>
          </w:tcPr>
          <w:p w14:paraId="41F15032"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POS</w:t>
            </w:r>
          </w:p>
        </w:tc>
        <w:tc>
          <w:tcPr>
            <w:tcW w:w="194" w:type="pct"/>
          </w:tcPr>
          <w:p w14:paraId="619E5F29"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3</w:t>
            </w:r>
          </w:p>
        </w:tc>
        <w:tc>
          <w:tcPr>
            <w:tcW w:w="254" w:type="pct"/>
          </w:tcPr>
          <w:p w14:paraId="13B58F4C"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32.5</w:t>
            </w:r>
          </w:p>
        </w:tc>
        <w:tc>
          <w:tcPr>
            <w:tcW w:w="326" w:type="pct"/>
          </w:tcPr>
          <w:p w14:paraId="3747239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18.36</w:t>
            </w:r>
          </w:p>
        </w:tc>
        <w:tc>
          <w:tcPr>
            <w:tcW w:w="677" w:type="pct"/>
          </w:tcPr>
          <w:p w14:paraId="3F2C13B2"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3.79</w:t>
            </w:r>
          </w:p>
        </w:tc>
        <w:tc>
          <w:tcPr>
            <w:tcW w:w="546" w:type="pct"/>
            <w:vAlign w:val="bottom"/>
          </w:tcPr>
          <w:p w14:paraId="18FC58FA" w14:textId="212719E6" w:rsidR="006A0363" w:rsidRPr="009819CE" w:rsidRDefault="001F7D6B" w:rsidP="007D6607">
            <w:pPr>
              <w:spacing w:line="240" w:lineRule="auto"/>
              <w:jc w:val="center"/>
              <w:rPr>
                <w:rFonts w:cstheme="minorBidi"/>
                <w:sz w:val="20"/>
                <w:lang w:val="en-GB"/>
              </w:rPr>
            </w:pPr>
            <w:r w:rsidRPr="009819CE">
              <w:rPr>
                <w:rFonts w:cstheme="minorBidi"/>
                <w:color w:val="000000"/>
                <w:sz w:val="20"/>
                <w:lang w:val="en-GB"/>
              </w:rPr>
              <w:t>21</w:t>
            </w:r>
          </w:p>
        </w:tc>
      </w:tr>
      <w:tr w:rsidR="006A0363" w:rsidRPr="00FA7D47" w14:paraId="6AFA5743" w14:textId="77777777" w:rsidTr="007D6607">
        <w:trPr>
          <w:trHeight w:val="598"/>
          <w:jc w:val="center"/>
        </w:trPr>
        <w:tc>
          <w:tcPr>
            <w:tcW w:w="357" w:type="pct"/>
          </w:tcPr>
          <w:p w14:paraId="01C06E1F"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SP56</w:t>
            </w:r>
          </w:p>
        </w:tc>
        <w:tc>
          <w:tcPr>
            <w:tcW w:w="385" w:type="pct"/>
          </w:tcPr>
          <w:p w14:paraId="4E4D4F9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25.02.20</w:t>
            </w:r>
          </w:p>
        </w:tc>
        <w:tc>
          <w:tcPr>
            <w:tcW w:w="522" w:type="pct"/>
          </w:tcPr>
          <w:p w14:paraId="06F218EA"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07.03.20</w:t>
            </w:r>
          </w:p>
        </w:tc>
        <w:tc>
          <w:tcPr>
            <w:tcW w:w="463" w:type="pct"/>
          </w:tcPr>
          <w:p w14:paraId="10B28C12"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07.03.20</w:t>
            </w:r>
          </w:p>
        </w:tc>
        <w:tc>
          <w:tcPr>
            <w:tcW w:w="262" w:type="pct"/>
          </w:tcPr>
          <w:p w14:paraId="2CB457D2"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11</w:t>
            </w:r>
          </w:p>
        </w:tc>
        <w:tc>
          <w:tcPr>
            <w:tcW w:w="216" w:type="pct"/>
          </w:tcPr>
          <w:p w14:paraId="1D99DF7E"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M</w:t>
            </w:r>
          </w:p>
        </w:tc>
        <w:tc>
          <w:tcPr>
            <w:tcW w:w="191" w:type="pct"/>
          </w:tcPr>
          <w:p w14:paraId="331FB433"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C1</w:t>
            </w:r>
          </w:p>
        </w:tc>
        <w:tc>
          <w:tcPr>
            <w:tcW w:w="354" w:type="pct"/>
          </w:tcPr>
          <w:p w14:paraId="6250D0AE"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EG</w:t>
            </w:r>
          </w:p>
        </w:tc>
        <w:tc>
          <w:tcPr>
            <w:tcW w:w="253" w:type="pct"/>
          </w:tcPr>
          <w:p w14:paraId="5162A057"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POS</w:t>
            </w:r>
          </w:p>
        </w:tc>
        <w:tc>
          <w:tcPr>
            <w:tcW w:w="194" w:type="pct"/>
          </w:tcPr>
          <w:p w14:paraId="4FAE107B"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3</w:t>
            </w:r>
          </w:p>
        </w:tc>
        <w:tc>
          <w:tcPr>
            <w:tcW w:w="254" w:type="pct"/>
          </w:tcPr>
          <w:p w14:paraId="63BB2795"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23.6</w:t>
            </w:r>
          </w:p>
        </w:tc>
        <w:tc>
          <w:tcPr>
            <w:tcW w:w="326" w:type="pct"/>
          </w:tcPr>
          <w:p w14:paraId="1DEA645C"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6.14</w:t>
            </w:r>
          </w:p>
        </w:tc>
        <w:tc>
          <w:tcPr>
            <w:tcW w:w="677" w:type="pct"/>
          </w:tcPr>
          <w:p w14:paraId="4418E01C"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0.92</w:t>
            </w:r>
          </w:p>
        </w:tc>
        <w:tc>
          <w:tcPr>
            <w:tcW w:w="546" w:type="pct"/>
            <w:vAlign w:val="bottom"/>
          </w:tcPr>
          <w:p w14:paraId="095A5EFA" w14:textId="5A99DBDE" w:rsidR="006A0363" w:rsidRPr="009819CE" w:rsidRDefault="001F7D6B" w:rsidP="007D6607">
            <w:pPr>
              <w:spacing w:line="240" w:lineRule="auto"/>
              <w:jc w:val="center"/>
              <w:rPr>
                <w:rFonts w:cstheme="minorBidi"/>
                <w:sz w:val="20"/>
                <w:lang w:val="en-GB"/>
              </w:rPr>
            </w:pPr>
            <w:r w:rsidRPr="009819CE">
              <w:rPr>
                <w:rFonts w:cstheme="minorBidi"/>
                <w:color w:val="000000"/>
                <w:sz w:val="20"/>
                <w:lang w:val="en-GB"/>
              </w:rPr>
              <w:t>15</w:t>
            </w:r>
          </w:p>
        </w:tc>
      </w:tr>
      <w:tr w:rsidR="006A0363" w:rsidRPr="00FA7D47" w14:paraId="1E12D08C" w14:textId="77777777" w:rsidTr="007D6607">
        <w:trPr>
          <w:trHeight w:val="340"/>
          <w:jc w:val="center"/>
        </w:trPr>
        <w:tc>
          <w:tcPr>
            <w:tcW w:w="357" w:type="pct"/>
          </w:tcPr>
          <w:p w14:paraId="20F29942"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SP91</w:t>
            </w:r>
          </w:p>
        </w:tc>
        <w:tc>
          <w:tcPr>
            <w:tcW w:w="385" w:type="pct"/>
          </w:tcPr>
          <w:p w14:paraId="15EE2C75" w14:textId="77777777" w:rsidR="006A0363" w:rsidRPr="009819CE" w:rsidRDefault="006A0363" w:rsidP="007D6607">
            <w:pPr>
              <w:spacing w:line="240" w:lineRule="auto"/>
              <w:jc w:val="center"/>
              <w:rPr>
                <w:rFonts w:cstheme="minorBidi"/>
                <w:color w:val="000000"/>
                <w:sz w:val="20"/>
                <w:lang w:val="en-GB"/>
              </w:rPr>
            </w:pPr>
            <w:r w:rsidRPr="009819CE">
              <w:rPr>
                <w:rFonts w:cstheme="minorBidi"/>
                <w:color w:val="000000"/>
                <w:sz w:val="20"/>
                <w:lang w:val="en-GB"/>
              </w:rPr>
              <w:t>10.03.20</w:t>
            </w:r>
          </w:p>
        </w:tc>
        <w:tc>
          <w:tcPr>
            <w:tcW w:w="522" w:type="pct"/>
          </w:tcPr>
          <w:p w14:paraId="6D2C2FCF" w14:textId="77777777" w:rsidR="006A0363" w:rsidRPr="009819CE" w:rsidRDefault="006A0363" w:rsidP="007D6607">
            <w:pPr>
              <w:spacing w:line="240" w:lineRule="auto"/>
              <w:jc w:val="center"/>
              <w:rPr>
                <w:rFonts w:cstheme="minorBidi"/>
                <w:color w:val="000000"/>
                <w:sz w:val="20"/>
                <w:lang w:val="en-GB"/>
              </w:rPr>
            </w:pPr>
            <w:r w:rsidRPr="009819CE">
              <w:rPr>
                <w:rFonts w:cstheme="minorBidi"/>
                <w:color w:val="000000"/>
                <w:sz w:val="20"/>
                <w:lang w:val="en-GB"/>
              </w:rPr>
              <w:t>15.03.20</w:t>
            </w:r>
          </w:p>
        </w:tc>
        <w:tc>
          <w:tcPr>
            <w:tcW w:w="463" w:type="pct"/>
          </w:tcPr>
          <w:p w14:paraId="533317F3" w14:textId="77777777" w:rsidR="006A0363" w:rsidRPr="009819CE" w:rsidRDefault="006A0363" w:rsidP="007D6607">
            <w:pPr>
              <w:spacing w:line="240" w:lineRule="auto"/>
              <w:jc w:val="center"/>
              <w:rPr>
                <w:rFonts w:cstheme="minorBidi"/>
                <w:color w:val="000000"/>
                <w:sz w:val="20"/>
                <w:lang w:val="en-GB"/>
              </w:rPr>
            </w:pPr>
            <w:r w:rsidRPr="009819CE">
              <w:rPr>
                <w:rFonts w:cstheme="minorBidi"/>
                <w:color w:val="000000"/>
                <w:sz w:val="20"/>
                <w:lang w:val="en-GB"/>
              </w:rPr>
              <w:t>16.03.20</w:t>
            </w:r>
          </w:p>
        </w:tc>
        <w:tc>
          <w:tcPr>
            <w:tcW w:w="262" w:type="pct"/>
          </w:tcPr>
          <w:p w14:paraId="6A2AB9F0"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7</w:t>
            </w:r>
          </w:p>
        </w:tc>
        <w:tc>
          <w:tcPr>
            <w:tcW w:w="216" w:type="pct"/>
          </w:tcPr>
          <w:p w14:paraId="042C2547"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F</w:t>
            </w:r>
          </w:p>
        </w:tc>
        <w:tc>
          <w:tcPr>
            <w:tcW w:w="191" w:type="pct"/>
          </w:tcPr>
          <w:p w14:paraId="2C9EB64A"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C1</w:t>
            </w:r>
          </w:p>
        </w:tc>
        <w:tc>
          <w:tcPr>
            <w:tcW w:w="354" w:type="pct"/>
          </w:tcPr>
          <w:p w14:paraId="5FC3EFC6"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EG</w:t>
            </w:r>
          </w:p>
        </w:tc>
        <w:tc>
          <w:tcPr>
            <w:tcW w:w="253" w:type="pct"/>
          </w:tcPr>
          <w:p w14:paraId="7AD2764A"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POS</w:t>
            </w:r>
          </w:p>
        </w:tc>
        <w:tc>
          <w:tcPr>
            <w:tcW w:w="194" w:type="pct"/>
          </w:tcPr>
          <w:p w14:paraId="7710DC48"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4</w:t>
            </w:r>
          </w:p>
        </w:tc>
        <w:tc>
          <w:tcPr>
            <w:tcW w:w="254" w:type="pct"/>
          </w:tcPr>
          <w:p w14:paraId="5CDFA978"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25.0</w:t>
            </w:r>
          </w:p>
        </w:tc>
        <w:tc>
          <w:tcPr>
            <w:tcW w:w="326" w:type="pct"/>
          </w:tcPr>
          <w:p w14:paraId="0B754F6B"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7.97</w:t>
            </w:r>
          </w:p>
        </w:tc>
        <w:tc>
          <w:tcPr>
            <w:tcW w:w="677" w:type="pct"/>
          </w:tcPr>
          <w:p w14:paraId="2E7461C9" w14:textId="77777777" w:rsidR="006A0363" w:rsidRPr="009819CE" w:rsidRDefault="006A0363" w:rsidP="007D6607">
            <w:pPr>
              <w:spacing w:line="240" w:lineRule="auto"/>
              <w:jc w:val="center"/>
              <w:rPr>
                <w:rFonts w:cstheme="minorBidi"/>
                <w:sz w:val="20"/>
                <w:lang w:val="en-GB"/>
              </w:rPr>
            </w:pPr>
            <w:r w:rsidRPr="009819CE">
              <w:rPr>
                <w:rFonts w:cstheme="minorBidi"/>
                <w:sz w:val="20"/>
                <w:lang w:val="en-GB"/>
              </w:rPr>
              <w:t>1.78</w:t>
            </w:r>
          </w:p>
        </w:tc>
        <w:tc>
          <w:tcPr>
            <w:tcW w:w="546" w:type="pct"/>
            <w:vAlign w:val="bottom"/>
          </w:tcPr>
          <w:p w14:paraId="41D83269" w14:textId="32F48275" w:rsidR="006A0363" w:rsidRPr="009819CE" w:rsidRDefault="001F7D6B" w:rsidP="007D6607">
            <w:pPr>
              <w:spacing w:line="240" w:lineRule="auto"/>
              <w:jc w:val="center"/>
              <w:rPr>
                <w:rFonts w:cstheme="minorBidi"/>
                <w:sz w:val="20"/>
                <w:lang w:val="en-GB"/>
              </w:rPr>
            </w:pPr>
            <w:r w:rsidRPr="009819CE">
              <w:rPr>
                <w:rFonts w:cstheme="minorBidi"/>
                <w:color w:val="000000"/>
                <w:sz w:val="20"/>
                <w:lang w:val="en-GB"/>
              </w:rPr>
              <w:t>22</w:t>
            </w:r>
          </w:p>
        </w:tc>
      </w:tr>
    </w:tbl>
    <w:p w14:paraId="52D73BA3" w14:textId="77777777" w:rsidR="006A0363" w:rsidRPr="009819CE" w:rsidRDefault="006A0363" w:rsidP="006A0363">
      <w:pPr>
        <w:rPr>
          <w:rFonts w:cstheme="minorBidi"/>
        </w:rPr>
        <w:sectPr w:rsidR="006A0363" w:rsidRPr="009819CE" w:rsidSect="003A7A28">
          <w:pgSz w:w="16838" w:h="11906" w:orient="landscape" w:code="9"/>
          <w:pgMar w:top="1440" w:right="1440" w:bottom="1440" w:left="1440" w:header="708" w:footer="708" w:gutter="0"/>
          <w:cols w:space="708"/>
          <w:docGrid w:linePitch="360"/>
        </w:sectPr>
      </w:pPr>
    </w:p>
    <w:p w14:paraId="2617BF92" w14:textId="7F3DABFC" w:rsidR="006A0363" w:rsidRPr="009819CE" w:rsidRDefault="006A0363" w:rsidP="00B3468E">
      <w:pPr>
        <w:pStyle w:val="Heading3"/>
        <w:rPr>
          <w:rFonts w:cstheme="minorBidi"/>
        </w:rPr>
      </w:pPr>
      <w:bookmarkStart w:id="335" w:name="_Toc204106675"/>
      <w:r w:rsidRPr="009819CE">
        <w:rPr>
          <w:rFonts w:cstheme="minorBidi"/>
        </w:rPr>
        <w:t xml:space="preserve">Histology and </w:t>
      </w:r>
      <w:r w:rsidR="00B361BC" w:rsidRPr="00FA7D47">
        <w:rPr>
          <w:rFonts w:cstheme="minorBidi"/>
        </w:rPr>
        <w:t>e</w:t>
      </w:r>
      <w:r w:rsidRPr="009819CE">
        <w:rPr>
          <w:rFonts w:cstheme="minorBidi"/>
        </w:rPr>
        <w:t>lectron microscopy</w:t>
      </w:r>
      <w:bookmarkEnd w:id="335"/>
    </w:p>
    <w:p w14:paraId="781D1855" w14:textId="0F6BBFA4" w:rsidR="006A0363" w:rsidRPr="009819CE" w:rsidRDefault="002B2FD7" w:rsidP="006A0363">
      <w:pPr>
        <w:rPr>
          <w:rFonts w:cstheme="minorBidi"/>
        </w:rPr>
      </w:pPr>
      <w:r w:rsidRPr="009819CE">
        <w:rPr>
          <w:rFonts w:cstheme="minorBidi"/>
        </w:rPr>
        <w:t xml:space="preserve">The individuals that underwent sporulation produced spores with the macrospore phenotype </w:t>
      </w:r>
      <w:r w:rsidR="00FE3A1B" w:rsidRPr="009819CE">
        <w:rPr>
          <w:rFonts w:cstheme="minorBidi"/>
        </w:rPr>
        <w:t xml:space="preserve">based on </w:t>
      </w:r>
      <w:r w:rsidR="006A0363" w:rsidRPr="009819CE">
        <w:rPr>
          <w:rFonts w:cstheme="minorBidi"/>
        </w:rPr>
        <w:t xml:space="preserve">the descriptions provided by </w:t>
      </w:r>
      <w:hyperlink w:anchor="_ENREF_18" w:tooltip="Appleton, 1998 #373" w:history="1">
        <w:r w:rsidR="00950097" w:rsidRPr="009819CE">
          <w:rPr>
            <w:rFonts w:cstheme="minorBidi"/>
          </w:rPr>
          <w:fldChar w:fldCharType="begin"/>
        </w:r>
        <w:r w:rsidR="00950097" w:rsidRPr="009819CE">
          <w:rPr>
            <w:rFonts w:cstheme="minorBidi"/>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9819CE">
          <w:rPr>
            <w:rFonts w:cstheme="minorBidi"/>
          </w:rPr>
          <w:fldChar w:fldCharType="separate"/>
        </w:r>
        <w:r w:rsidR="00950097" w:rsidRPr="009819CE">
          <w:rPr>
            <w:rFonts w:cstheme="minorBidi"/>
          </w:rPr>
          <w:t>Appleton and Vickerman (1998)</w:t>
        </w:r>
        <w:r w:rsidR="00950097" w:rsidRPr="009819CE">
          <w:rPr>
            <w:rFonts w:cstheme="minorBidi"/>
          </w:rPr>
          <w:fldChar w:fldCharType="end"/>
        </w:r>
      </w:hyperlink>
      <w:r w:rsidR="006A0363" w:rsidRPr="009819CE">
        <w:rPr>
          <w:rFonts w:cstheme="minorBidi"/>
        </w:rPr>
        <w:t xml:space="preserve">.  </w:t>
      </w:r>
      <w:r w:rsidR="006A0363" w:rsidRPr="009819CE">
        <w:rPr>
          <w:rFonts w:cstheme="minorBidi"/>
        </w:rPr>
        <w:fldChar w:fldCharType="begin"/>
      </w:r>
      <w:r w:rsidR="006A0363" w:rsidRPr="009819CE">
        <w:rPr>
          <w:rFonts w:cstheme="minorBidi"/>
        </w:rPr>
        <w:instrText xml:space="preserve"> REF _Ref136884496 \h  \* MERGEFORMAT </w:instrText>
      </w:r>
      <w:r w:rsidR="006A0363" w:rsidRPr="009819CE">
        <w:rPr>
          <w:rFonts w:cstheme="minorBidi"/>
        </w:rPr>
      </w:r>
      <w:r w:rsidR="006A0363" w:rsidRPr="009819CE">
        <w:rPr>
          <w:rFonts w:cstheme="minorBidi"/>
        </w:rPr>
        <w:fldChar w:fldCharType="separate"/>
      </w:r>
      <w:r w:rsidR="008549FC" w:rsidRPr="008549FC">
        <w:rPr>
          <w:rFonts w:cstheme="minorBidi"/>
          <w:b/>
          <w:bCs/>
        </w:rPr>
        <w:t>Figure 4.2</w:t>
      </w:r>
      <w:r w:rsidR="006A0363" w:rsidRPr="009819CE">
        <w:rPr>
          <w:rFonts w:cstheme="minorBidi"/>
        </w:rPr>
        <w:fldChar w:fldCharType="end"/>
      </w:r>
      <w:r w:rsidR="006A0363" w:rsidRPr="009819CE">
        <w:rPr>
          <w:rFonts w:cstheme="minorBidi"/>
        </w:rPr>
        <w:t xml:space="preserve"> shows a fresh macrospore </w:t>
      </w:r>
      <w:r w:rsidR="00D71E27" w:rsidRPr="00FA7D47">
        <w:rPr>
          <w:rFonts w:cstheme="minorBidi"/>
        </w:rPr>
        <w:t xml:space="preserve">preparation </w:t>
      </w:r>
      <w:r w:rsidR="006A0363" w:rsidRPr="009819CE">
        <w:rPr>
          <w:rFonts w:cstheme="minorBidi"/>
        </w:rPr>
        <w:t xml:space="preserve">with </w:t>
      </w:r>
      <w:r w:rsidR="0040463E" w:rsidRPr="00FA7D47">
        <w:rPr>
          <w:rFonts w:cstheme="minorBidi"/>
        </w:rPr>
        <w:t xml:space="preserve">traces </w:t>
      </w:r>
      <w:r w:rsidR="006A0363" w:rsidRPr="009819CE">
        <w:rPr>
          <w:rFonts w:cstheme="minorBidi"/>
        </w:rPr>
        <w:t xml:space="preserve">of the sporoblast cells. </w:t>
      </w:r>
      <w:r w:rsidR="00237B91" w:rsidRPr="009819CE">
        <w:rPr>
          <w:rFonts w:cstheme="minorBidi"/>
        </w:rPr>
        <w:t xml:space="preserve">Transmission electron microscopy </w:t>
      </w:r>
      <w:r w:rsidR="006A0363" w:rsidRPr="009819CE">
        <w:rPr>
          <w:rFonts w:cstheme="minorBidi"/>
        </w:rPr>
        <w:t xml:space="preserve">images in </w:t>
      </w:r>
      <w:r w:rsidR="006A0363" w:rsidRPr="009819CE">
        <w:rPr>
          <w:rFonts w:cstheme="minorBidi"/>
        </w:rPr>
        <w:fldChar w:fldCharType="begin"/>
      </w:r>
      <w:r w:rsidR="006A0363" w:rsidRPr="009819CE">
        <w:rPr>
          <w:rFonts w:cstheme="minorBidi"/>
        </w:rPr>
        <w:instrText xml:space="preserve"> REF _Ref130984767 \h  \* MERGEFORMAT </w:instrText>
      </w:r>
      <w:r w:rsidR="006A0363" w:rsidRPr="009819CE">
        <w:rPr>
          <w:rFonts w:cstheme="minorBidi"/>
        </w:rPr>
      </w:r>
      <w:r w:rsidR="006A0363" w:rsidRPr="009819CE">
        <w:rPr>
          <w:rFonts w:cstheme="minorBidi"/>
        </w:rPr>
        <w:fldChar w:fldCharType="separate"/>
      </w:r>
      <w:r w:rsidR="008549FC" w:rsidRPr="008549FC">
        <w:rPr>
          <w:rFonts w:cstheme="minorBidi"/>
          <w:b/>
          <w:bCs/>
        </w:rPr>
        <w:t>Figure 4.3</w:t>
      </w:r>
      <w:r w:rsidR="006A0363" w:rsidRPr="009819CE">
        <w:rPr>
          <w:rFonts w:cstheme="minorBidi"/>
        </w:rPr>
        <w:fldChar w:fldCharType="end"/>
      </w:r>
      <w:r w:rsidR="006A0363" w:rsidRPr="009819CE">
        <w:rPr>
          <w:rFonts w:cstheme="minorBidi"/>
        </w:rPr>
        <w:t xml:space="preserve">. provide visual representations of this phenotype. No instances of sporulation involving a mixture of the two phenotypes were observed. The macrospores were distinguished by the presence of </w:t>
      </w:r>
      <w:r w:rsidR="00C2771C" w:rsidRPr="00FA7D47">
        <w:rPr>
          <w:rFonts w:cstheme="minorBidi"/>
        </w:rPr>
        <w:t xml:space="preserve">presumably </w:t>
      </w:r>
      <w:r w:rsidR="006A0363" w:rsidRPr="009819CE">
        <w:rPr>
          <w:rFonts w:cstheme="minorBidi"/>
        </w:rPr>
        <w:t xml:space="preserve">large lipid droplets within the cytoplasm, occupying approximately 40% of the cell, as described by Beevers (2010). Additionally, the macrospores exhibited trichocysts and flagellar hair vesicles. </w:t>
      </w:r>
      <w:r w:rsidR="009D03F4" w:rsidRPr="009819CE">
        <w:rPr>
          <w:rFonts w:cstheme="minorBidi"/>
          <w:i/>
          <w:iCs/>
        </w:rPr>
        <w:t>Hematodinium</w:t>
      </w:r>
      <w:r w:rsidR="006A0363" w:rsidRPr="009819CE">
        <w:rPr>
          <w:rFonts w:cstheme="minorBidi"/>
        </w:rPr>
        <w:t xml:space="preserve"> </w:t>
      </w:r>
      <w:r w:rsidR="006E0C72" w:rsidRPr="009819CE">
        <w:rPr>
          <w:rFonts w:cstheme="minorBidi"/>
        </w:rPr>
        <w:t xml:space="preserve">sp. </w:t>
      </w:r>
      <w:r w:rsidR="006A0363" w:rsidRPr="009819CE">
        <w:rPr>
          <w:rFonts w:cstheme="minorBidi"/>
        </w:rPr>
        <w:t xml:space="preserve">trophonts shared similar characteristics with macrospores, although they displayed diverse shapes and varying numbers of nuclei, and did not present a flagellar hair vesicle, as shown in </w:t>
      </w:r>
      <w:r w:rsidR="006A0363" w:rsidRPr="009819CE">
        <w:rPr>
          <w:rFonts w:cstheme="minorBidi"/>
          <w:b/>
          <w:bCs/>
        </w:rPr>
        <w:fldChar w:fldCharType="begin"/>
      </w:r>
      <w:r w:rsidR="006A0363" w:rsidRPr="009819CE">
        <w:rPr>
          <w:rFonts w:cstheme="minorBidi"/>
          <w:b/>
          <w:bCs/>
        </w:rPr>
        <w:instrText xml:space="preserve"> REF _Ref130984687 \h  \* MERGEFORMAT </w:instrText>
      </w:r>
      <w:r w:rsidR="006A0363" w:rsidRPr="009819CE">
        <w:rPr>
          <w:rFonts w:cstheme="minorBidi"/>
          <w:b/>
          <w:bCs/>
        </w:rPr>
      </w:r>
      <w:r w:rsidR="006A0363" w:rsidRPr="009819CE">
        <w:rPr>
          <w:rFonts w:cstheme="minorBidi"/>
          <w:b/>
          <w:bCs/>
        </w:rPr>
        <w:fldChar w:fldCharType="separate"/>
      </w:r>
      <w:r w:rsidR="008549FC" w:rsidRPr="008549FC">
        <w:rPr>
          <w:rFonts w:cstheme="minorBidi"/>
          <w:b/>
          <w:bCs/>
        </w:rPr>
        <w:t>Figure 4.4</w:t>
      </w:r>
      <w:r w:rsidR="006A0363" w:rsidRPr="009819CE">
        <w:rPr>
          <w:rFonts w:cstheme="minorBidi"/>
          <w:b/>
          <w:bCs/>
        </w:rPr>
        <w:fldChar w:fldCharType="end"/>
      </w:r>
      <w:r w:rsidR="006A0363" w:rsidRPr="009819CE">
        <w:rPr>
          <w:rFonts w:cstheme="minorBidi"/>
          <w:b/>
          <w:bCs/>
        </w:rPr>
        <w:t xml:space="preserve">. </w:t>
      </w:r>
    </w:p>
    <w:p w14:paraId="0F3B5BFC" w14:textId="120FC705" w:rsidR="006A0363" w:rsidRPr="00FA7D47" w:rsidRDefault="006A0363" w:rsidP="006A0363">
      <w:r w:rsidRPr="009819CE">
        <w:rPr>
          <w:rFonts w:cstheme="minorBidi"/>
        </w:rPr>
        <w:t xml:space="preserve">The tissues of individuals that underwent sporulation exhibited signs of parasite evacuation and tissue disruption. </w:t>
      </w:r>
      <w:r w:rsidRPr="009819CE">
        <w:rPr>
          <w:rFonts w:cstheme="minorBidi"/>
          <w:b/>
          <w:bCs/>
        </w:rPr>
        <w:fldChar w:fldCharType="begin"/>
      </w:r>
      <w:r w:rsidRPr="009819CE">
        <w:rPr>
          <w:rFonts w:cstheme="minorBidi"/>
          <w:b/>
          <w:bCs/>
        </w:rPr>
        <w:instrText xml:space="preserve"> REF _Ref136793190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4.5</w:t>
      </w:r>
      <w:r w:rsidRPr="009819CE">
        <w:rPr>
          <w:rFonts w:cstheme="minorBidi"/>
          <w:b/>
          <w:bCs/>
        </w:rPr>
        <w:fldChar w:fldCharType="end"/>
      </w:r>
      <w:r w:rsidRPr="009819CE">
        <w:rPr>
          <w:rFonts w:cstheme="minorBidi"/>
        </w:rPr>
        <w:t xml:space="preserve"> shows the hepatopancreas of a sporulated animal, </w:t>
      </w:r>
      <w:r w:rsidRPr="009819CE">
        <w:rPr>
          <w:rFonts w:cstheme="minorBidi"/>
          <w:b/>
          <w:bCs/>
        </w:rPr>
        <w:fldChar w:fldCharType="begin"/>
      </w:r>
      <w:r w:rsidRPr="009819CE">
        <w:rPr>
          <w:rFonts w:cstheme="minorBidi"/>
          <w:b/>
          <w:bCs/>
        </w:rPr>
        <w:instrText xml:space="preserve"> REF _Ref136793213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4.6</w:t>
      </w:r>
      <w:r w:rsidRPr="009819CE">
        <w:rPr>
          <w:rFonts w:cstheme="minorBidi"/>
          <w:b/>
          <w:bCs/>
        </w:rPr>
        <w:fldChar w:fldCharType="end"/>
      </w:r>
      <w:r w:rsidRPr="009819CE">
        <w:rPr>
          <w:rFonts w:cstheme="minorBidi"/>
          <w:b/>
          <w:bCs/>
        </w:rPr>
        <w:t xml:space="preserve"> </w:t>
      </w:r>
      <w:r w:rsidRPr="009819CE">
        <w:rPr>
          <w:rFonts w:cstheme="minorBidi"/>
        </w:rPr>
        <w:t xml:space="preserve">illustrates the male gonad and </w:t>
      </w:r>
      <w:r w:rsidRPr="009819CE">
        <w:rPr>
          <w:rFonts w:cstheme="minorBidi"/>
          <w:b/>
          <w:bCs/>
        </w:rPr>
        <w:fldChar w:fldCharType="begin"/>
      </w:r>
      <w:r w:rsidRPr="009819CE">
        <w:rPr>
          <w:rFonts w:cstheme="minorBidi"/>
          <w:b/>
          <w:bCs/>
        </w:rPr>
        <w:instrText xml:space="preserve"> REF _Ref136793278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4.7</w:t>
      </w:r>
      <w:r w:rsidRPr="009819CE">
        <w:rPr>
          <w:rFonts w:cstheme="minorBidi"/>
          <w:b/>
          <w:bCs/>
        </w:rPr>
        <w:fldChar w:fldCharType="end"/>
      </w:r>
      <w:r w:rsidRPr="009819CE">
        <w:rPr>
          <w:rFonts w:cstheme="minorBidi"/>
        </w:rPr>
        <w:t xml:space="preserve"> shows the muscle of a sporulated animal). Notably, no visible macrospores were identified within the tissues after sporulation, and the remaining parasite cells observed appeared to be in the form of trophonts. </w:t>
      </w:r>
      <w:r w:rsidR="0037292C" w:rsidRPr="009819CE">
        <w:rPr>
          <w:rFonts w:cstheme="minorBidi"/>
        </w:rPr>
        <w:t>(</w:t>
      </w:r>
      <w:r w:rsidR="0037292C" w:rsidRPr="009819CE">
        <w:t xml:space="preserve">Refer to </w:t>
      </w:r>
      <w:r w:rsidR="00777642" w:rsidRPr="009819CE">
        <w:t>s</w:t>
      </w:r>
      <w:r w:rsidR="0037292C" w:rsidRPr="009819CE">
        <w:t>ection</w:t>
      </w:r>
      <w:r w:rsidR="002756BA" w:rsidRPr="00FA7D47">
        <w:t xml:space="preserve"> </w:t>
      </w:r>
      <w:r w:rsidR="002756BA" w:rsidRPr="007E6468">
        <w:rPr>
          <w:b/>
          <w:bCs/>
        </w:rPr>
        <w:fldChar w:fldCharType="begin"/>
      </w:r>
      <w:r w:rsidR="002756BA" w:rsidRPr="007E6468">
        <w:rPr>
          <w:b/>
          <w:bCs/>
        </w:rPr>
        <w:instrText xml:space="preserve"> REF _Ref194393478 \r \h </w:instrText>
      </w:r>
      <w:r w:rsidR="002756BA" w:rsidRPr="009819CE">
        <w:rPr>
          <w:b/>
          <w:bCs/>
        </w:rPr>
        <w:instrText xml:space="preserve"> \* MERGEFORMAT </w:instrText>
      </w:r>
      <w:r w:rsidR="002756BA" w:rsidRPr="007E6468">
        <w:rPr>
          <w:b/>
          <w:bCs/>
        </w:rPr>
      </w:r>
      <w:r w:rsidR="002756BA" w:rsidRPr="007E6468">
        <w:rPr>
          <w:b/>
          <w:bCs/>
        </w:rPr>
        <w:fldChar w:fldCharType="separate"/>
      </w:r>
      <w:r w:rsidR="008549FC">
        <w:rPr>
          <w:b/>
          <w:bCs/>
        </w:rPr>
        <w:t>3.4.2</w:t>
      </w:r>
      <w:r w:rsidR="002756BA" w:rsidRPr="007E6468">
        <w:rPr>
          <w:b/>
          <w:bCs/>
        </w:rPr>
        <w:fldChar w:fldCharType="end"/>
      </w:r>
      <w:r w:rsidR="0037292C" w:rsidRPr="009819CE">
        <w:rPr>
          <w:b/>
          <w:bCs/>
        </w:rPr>
        <w:t xml:space="preserve"> </w:t>
      </w:r>
      <w:r w:rsidR="0037292C" w:rsidRPr="009819CE">
        <w:rPr>
          <w:rFonts w:cstheme="minorBidi"/>
          <w:b/>
          <w:bCs/>
        </w:rPr>
        <w:t xml:space="preserve"> </w:t>
      </w:r>
      <w:r w:rsidR="0037292C" w:rsidRPr="009819CE">
        <w:t xml:space="preserve">for the categorization of non-sporulated </w:t>
      </w:r>
      <w:r w:rsidR="00C31E47" w:rsidRPr="009819CE">
        <w:rPr>
          <w:i/>
          <w:iCs/>
        </w:rPr>
        <w:t>Nephrops</w:t>
      </w:r>
      <w:r w:rsidR="0037292C" w:rsidRPr="009819CE">
        <w:t xml:space="preserve"> according to PM stages 0-4</w:t>
      </w:r>
      <w:r w:rsidR="00E60843" w:rsidRPr="009819CE">
        <w:t>)</w:t>
      </w:r>
      <w:r w:rsidR="00371AFD" w:rsidRPr="009819CE">
        <w:t>.</w:t>
      </w:r>
    </w:p>
    <w:p w14:paraId="45A78042" w14:textId="77777777" w:rsidR="005643CC" w:rsidRPr="00FA7D47" w:rsidRDefault="005643CC" w:rsidP="006A0363">
      <w:pPr>
        <w:rPr>
          <w:rFonts w:cstheme="minorBidi"/>
        </w:rPr>
        <w:sectPr w:rsidR="005643CC" w:rsidRPr="00FA7D47" w:rsidSect="003A7A28">
          <w:pgSz w:w="11906" w:h="16838" w:code="9"/>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6A0363" w:rsidRPr="00FA7D47" w14:paraId="267A69FE" w14:textId="77777777" w:rsidTr="00E419AA">
        <w:tc>
          <w:tcPr>
            <w:tcW w:w="5000" w:type="pct"/>
            <w:vAlign w:val="center"/>
          </w:tcPr>
          <w:p w14:paraId="7344839F" w14:textId="3B048805" w:rsidR="006A0363" w:rsidRPr="009819CE" w:rsidRDefault="00E419AA" w:rsidP="00997484">
            <w:pPr>
              <w:spacing w:before="0" w:after="0"/>
              <w:jc w:val="center"/>
              <w:rPr>
                <w:rFonts w:cstheme="minorBidi"/>
                <w:lang w:val="en-GB"/>
              </w:rPr>
            </w:pPr>
            <w:r w:rsidRPr="00FF34FE">
              <w:rPr>
                <w:rFonts w:cstheme="minorBidi"/>
                <w:noProof/>
              </w:rPr>
              <w:drawing>
                <wp:inline distT="0" distB="0" distL="0" distR="0" wp14:anchorId="37E2FBE3" wp14:editId="0492AEE6">
                  <wp:extent cx="4670473" cy="6603636"/>
                  <wp:effectExtent l="0" t="0" r="0" b="6985"/>
                  <wp:docPr id="1702076909" name="Picture 5" descr="A close-up of several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076909" name="Picture 5" descr="A close-up of several cells&#10;&#10;AI-generated content may be incorrect."/>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691450" cy="6633296"/>
                          </a:xfrm>
                          <a:prstGeom prst="rect">
                            <a:avLst/>
                          </a:prstGeom>
                        </pic:spPr>
                      </pic:pic>
                    </a:graphicData>
                  </a:graphic>
                </wp:inline>
              </w:drawing>
            </w:r>
          </w:p>
        </w:tc>
      </w:tr>
      <w:tr w:rsidR="006A0363" w:rsidRPr="00FA7D47" w14:paraId="74A642F8" w14:textId="77777777" w:rsidTr="00E419AA">
        <w:tc>
          <w:tcPr>
            <w:tcW w:w="5000" w:type="pct"/>
            <w:vAlign w:val="center"/>
          </w:tcPr>
          <w:p w14:paraId="4140F93C" w14:textId="771D0866" w:rsidR="006A0363" w:rsidRPr="009819CE" w:rsidRDefault="006A0363" w:rsidP="006C2FAB">
            <w:pPr>
              <w:spacing w:line="240" w:lineRule="auto"/>
              <w:rPr>
                <w:rFonts w:cstheme="minorBidi"/>
                <w:lang w:val="en-GB"/>
              </w:rPr>
            </w:pPr>
            <w:bookmarkStart w:id="336" w:name="_Ref136884496"/>
            <w:bookmarkStart w:id="337" w:name="_Toc204106740"/>
            <w:r w:rsidRPr="009819CE">
              <w:rPr>
                <w:rFonts w:cstheme="minorBidi"/>
                <w:b/>
                <w:bCs/>
                <w:sz w:val="22"/>
                <w:szCs w:val="22"/>
                <w:lang w:val="en-GB"/>
              </w:rPr>
              <w:t xml:space="preserve">Figure </w:t>
            </w:r>
            <w:r w:rsidRPr="007E6468">
              <w:rPr>
                <w:rFonts w:cstheme="minorBidi"/>
                <w:b/>
                <w:bCs/>
                <w:sz w:val="22"/>
              </w:rPr>
              <w:fldChar w:fldCharType="begin"/>
            </w:r>
            <w:r w:rsidRPr="009819CE">
              <w:rPr>
                <w:rFonts w:cstheme="minorBidi"/>
                <w:b/>
                <w:bCs/>
                <w:sz w:val="22"/>
                <w:szCs w:val="22"/>
                <w:lang w:val="en-GB"/>
              </w:rPr>
              <w:instrText xml:space="preserve"> STYLEREF 1 \s </w:instrText>
            </w:r>
            <w:r w:rsidRPr="007E6468">
              <w:rPr>
                <w:rFonts w:cstheme="minorBidi"/>
                <w:b/>
                <w:bCs/>
                <w:sz w:val="22"/>
              </w:rPr>
              <w:fldChar w:fldCharType="separate"/>
            </w:r>
            <w:r w:rsidR="008549FC">
              <w:rPr>
                <w:rFonts w:cstheme="minorBidi"/>
                <w:b/>
                <w:bCs/>
                <w:noProof/>
                <w:sz w:val="22"/>
                <w:szCs w:val="22"/>
                <w:lang w:val="en-GB"/>
              </w:rPr>
              <w:t>4</w:t>
            </w:r>
            <w:r w:rsidRPr="007E6468">
              <w:rPr>
                <w:rFonts w:cstheme="minorBidi"/>
                <w:b/>
                <w:bCs/>
                <w:sz w:val="22"/>
              </w:rPr>
              <w:fldChar w:fldCharType="end"/>
            </w:r>
            <w:r w:rsidRPr="009819CE">
              <w:rPr>
                <w:rFonts w:cstheme="minorBidi"/>
                <w:b/>
                <w:bCs/>
                <w:sz w:val="22"/>
                <w:szCs w:val="22"/>
                <w:lang w:val="en-GB"/>
              </w:rPr>
              <w:t>.</w:t>
            </w:r>
            <w:r w:rsidRPr="007E6468">
              <w:rPr>
                <w:rFonts w:cstheme="minorBidi"/>
                <w:b/>
                <w:bCs/>
                <w:sz w:val="22"/>
              </w:rPr>
              <w:fldChar w:fldCharType="begin"/>
            </w:r>
            <w:r w:rsidRPr="009819CE">
              <w:rPr>
                <w:rFonts w:cstheme="minorBidi"/>
                <w:b/>
                <w:bCs/>
                <w:sz w:val="22"/>
                <w:szCs w:val="22"/>
                <w:lang w:val="en-GB"/>
              </w:rPr>
              <w:instrText xml:space="preserve"> SEQ Figure \* ARABIC \s 1 </w:instrText>
            </w:r>
            <w:r w:rsidRPr="007E6468">
              <w:rPr>
                <w:rFonts w:cstheme="minorBidi"/>
                <w:b/>
                <w:bCs/>
                <w:sz w:val="22"/>
              </w:rPr>
              <w:fldChar w:fldCharType="separate"/>
            </w:r>
            <w:r w:rsidR="008549FC">
              <w:rPr>
                <w:rFonts w:cstheme="minorBidi"/>
                <w:b/>
                <w:bCs/>
                <w:noProof/>
                <w:sz w:val="22"/>
                <w:szCs w:val="22"/>
                <w:lang w:val="en-GB"/>
              </w:rPr>
              <w:t>2</w:t>
            </w:r>
            <w:r w:rsidRPr="007E6468">
              <w:rPr>
                <w:rFonts w:cstheme="minorBidi"/>
                <w:b/>
                <w:bCs/>
                <w:sz w:val="22"/>
              </w:rPr>
              <w:fldChar w:fldCharType="end"/>
            </w:r>
            <w:bookmarkEnd w:id="336"/>
            <w:r w:rsidR="001148B1" w:rsidRPr="00FA7D47">
              <w:rPr>
                <w:rFonts w:cstheme="minorBidi"/>
                <w:sz w:val="22"/>
                <w:szCs w:val="22"/>
                <w:lang w:val="en-GB"/>
              </w:rPr>
              <w:t xml:space="preserve"> </w:t>
            </w:r>
            <w:r w:rsidR="00646B08" w:rsidRPr="009819CE">
              <w:rPr>
                <w:rStyle w:val="Emphasis"/>
                <w:rFonts w:eastAsiaTheme="majorEastAsia"/>
              </w:rPr>
              <w:t>Hematodinium</w:t>
            </w:r>
            <w:r w:rsidR="00646B08" w:rsidRPr="009819CE">
              <w:t xml:space="preserve"> sp. macrospores observed under light microscopy.</w:t>
            </w:r>
            <w:r w:rsidR="00646B08" w:rsidRPr="009819CE">
              <w:br/>
            </w:r>
            <w:r w:rsidR="00646B08" w:rsidRPr="009819CE">
              <w:rPr>
                <w:rStyle w:val="Strong"/>
              </w:rPr>
              <w:t>A)</w:t>
            </w:r>
            <w:r w:rsidR="00646B08" w:rsidRPr="009819CE">
              <w:t xml:space="preserve"> Living macrospores obtained from </w:t>
            </w:r>
            <w:r w:rsidR="00646B08" w:rsidRPr="007E6468">
              <w:rPr>
                <w:i/>
                <w:iCs/>
              </w:rPr>
              <w:t>in vivo</w:t>
            </w:r>
            <w:r w:rsidR="00646B08" w:rsidRPr="009819CE">
              <w:t xml:space="preserve"> sporulation in </w:t>
            </w:r>
            <w:r w:rsidR="00646B08" w:rsidRPr="009819CE">
              <w:rPr>
                <w:rStyle w:val="Emphasis"/>
                <w:rFonts w:eastAsiaTheme="majorEastAsia"/>
              </w:rPr>
              <w:t>Nephrops norvegicus</w:t>
            </w:r>
            <w:r w:rsidR="00646B08" w:rsidRPr="009819CE">
              <w:t>, with some showing a long anterior flagellum (white arrows) and a pronounced keel (black arrows), characteristic of mature macrospores. sb: sporoblast debris.</w:t>
            </w:r>
            <w:r w:rsidR="00646B08" w:rsidRPr="009819CE">
              <w:br/>
            </w:r>
            <w:r w:rsidR="00646B08" w:rsidRPr="009819CE">
              <w:rPr>
                <w:rStyle w:val="Strong"/>
              </w:rPr>
              <w:t>B)</w:t>
            </w:r>
            <w:r w:rsidR="00646B08" w:rsidRPr="009819CE">
              <w:t xml:space="preserve"> Additional view of in vivo-derived macrospores using light microscopy.</w:t>
            </w:r>
            <w:r w:rsidR="00646B08" w:rsidRPr="009819CE">
              <w:br/>
            </w:r>
            <w:r w:rsidR="00646B08" w:rsidRPr="009819CE">
              <w:rPr>
                <w:rStyle w:val="Strong"/>
              </w:rPr>
              <w:t>C)</w:t>
            </w:r>
            <w:r w:rsidR="00646B08" w:rsidRPr="009819CE">
              <w:t xml:space="preserve"> Living macrospores from </w:t>
            </w:r>
            <w:r w:rsidR="00646B08" w:rsidRPr="007E6468">
              <w:rPr>
                <w:i/>
                <w:iCs/>
              </w:rPr>
              <w:t>in vitro</w:t>
            </w:r>
            <w:r w:rsidR="00646B08" w:rsidRPr="009819CE">
              <w:t xml:space="preserve"> sporulation. Morphological features, including the anterior flagellum (white arrows) and keel (black arrows), are consistent with </w:t>
            </w:r>
            <w:r w:rsidR="00646B08" w:rsidRPr="007E6468">
              <w:rPr>
                <w:i/>
                <w:iCs/>
              </w:rPr>
              <w:t>in vivo</w:t>
            </w:r>
            <w:r w:rsidR="00646B08" w:rsidRPr="009819CE">
              <w:t xml:space="preserve"> observations.</w:t>
            </w:r>
            <w:r w:rsidR="00473387" w:rsidRPr="009819CE">
              <w:rPr>
                <w:rFonts w:cstheme="minorBidi"/>
                <w:sz w:val="22"/>
                <w:szCs w:val="22"/>
                <w:lang w:val="en-GB"/>
              </w:rPr>
              <w:t>Source:</w:t>
            </w:r>
            <w:r w:rsidR="00663D01" w:rsidRPr="009819CE">
              <w:rPr>
                <w:rFonts w:cstheme="minorBidi"/>
                <w:sz w:val="22"/>
                <w:szCs w:val="22"/>
                <w:lang w:val="en-GB"/>
              </w:rPr>
              <w:t xml:space="preserve"> </w:t>
            </w:r>
            <w:hyperlink w:anchor="_ENREF_18" w:tooltip="Appleton, 1998 #373" w:history="1">
              <w:r w:rsidR="00950097" w:rsidRPr="009819CE">
                <w:rPr>
                  <w:rFonts w:cstheme="minorBidi"/>
                  <w:sz w:val="22"/>
                  <w:szCs w:val="22"/>
                </w:rPr>
                <w:fldChar w:fldCharType="begin"/>
              </w:r>
              <w:r w:rsidR="00950097" w:rsidRPr="009819CE">
                <w:rPr>
                  <w:rFonts w:cstheme="minorBidi"/>
                  <w:sz w:val="22"/>
                  <w:szCs w:val="22"/>
                  <w:lang w:val="en-GB"/>
                </w:rPr>
                <w:instrText xml:space="preserve"> ADDIN EN.CITE &lt;EndNote&gt;&lt;Cite AuthorYear="1"&gt;&lt;Author&gt;Appleton&lt;/Author&gt;&lt;Year&gt;1998&lt;/Year&gt;&lt;RecNum&gt;373&lt;/RecNum&gt;&lt;DisplayText&gt;Appleton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00950097" w:rsidRPr="009819CE">
                <w:rPr>
                  <w:rFonts w:cstheme="minorBidi"/>
                  <w:sz w:val="22"/>
                  <w:szCs w:val="22"/>
                </w:rPr>
                <w:fldChar w:fldCharType="separate"/>
              </w:r>
              <w:r w:rsidR="00950097" w:rsidRPr="007E6468">
                <w:rPr>
                  <w:rFonts w:cstheme="minorBidi"/>
                  <w:sz w:val="22"/>
                  <w:szCs w:val="22"/>
                </w:rPr>
                <w:t>Appleton and Vickerman (1998)</w:t>
              </w:r>
              <w:bookmarkEnd w:id="337"/>
              <w:r w:rsidR="00950097" w:rsidRPr="009819CE">
                <w:rPr>
                  <w:rFonts w:cstheme="minorBidi"/>
                  <w:sz w:val="22"/>
                  <w:szCs w:val="22"/>
                </w:rPr>
                <w:fldChar w:fldCharType="end"/>
              </w:r>
            </w:hyperlink>
          </w:p>
        </w:tc>
      </w:tr>
    </w:tbl>
    <w:p w14:paraId="15208E20" w14:textId="77777777" w:rsidR="00345A41" w:rsidRPr="009819CE" w:rsidRDefault="00345A41" w:rsidP="006A0363">
      <w:pPr>
        <w:rPr>
          <w:rFonts w:cstheme="minorBidi"/>
        </w:rPr>
        <w:sectPr w:rsidR="00345A41" w:rsidRPr="009819CE" w:rsidSect="00FD6852">
          <w:pgSz w:w="11906" w:h="16838" w:code="9"/>
          <w:pgMar w:top="720" w:right="720" w:bottom="720" w:left="72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2E338880" w14:textId="77777777" w:rsidTr="007E6468">
        <w:tc>
          <w:tcPr>
            <w:tcW w:w="9026" w:type="dxa"/>
            <w:vAlign w:val="center"/>
          </w:tcPr>
          <w:p w14:paraId="7E1CB408" w14:textId="222CA63C" w:rsidR="006A0363" w:rsidRPr="009819CE" w:rsidRDefault="00B956F2" w:rsidP="007E6468">
            <w:pPr>
              <w:spacing w:before="0" w:after="0"/>
              <w:jc w:val="center"/>
              <w:rPr>
                <w:rFonts w:cstheme="minorBidi"/>
                <w:lang w:val="en-GB"/>
              </w:rPr>
            </w:pPr>
            <w:r w:rsidRPr="00FF34FE">
              <w:rPr>
                <w:rFonts w:cstheme="minorBidi"/>
                <w:noProof/>
              </w:rPr>
              <w:drawing>
                <wp:inline distT="0" distB="0" distL="0" distR="0" wp14:anchorId="25F21681" wp14:editId="38D798AB">
                  <wp:extent cx="5137554" cy="6961822"/>
                  <wp:effectExtent l="0" t="0" r="6350" b="0"/>
                  <wp:docPr id="1116613476" name="Picture 6"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13476" name="Picture 6" descr="A close-up of a microscope&#10;&#10;AI-generated content may be incorrect."/>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150571" cy="6979461"/>
                          </a:xfrm>
                          <a:prstGeom prst="rect">
                            <a:avLst/>
                          </a:prstGeom>
                        </pic:spPr>
                      </pic:pic>
                    </a:graphicData>
                  </a:graphic>
                </wp:inline>
              </w:drawing>
            </w:r>
          </w:p>
        </w:tc>
      </w:tr>
      <w:tr w:rsidR="006A0363" w:rsidRPr="00FA7D47" w14:paraId="7D27352D" w14:textId="77777777" w:rsidTr="00997484">
        <w:tc>
          <w:tcPr>
            <w:tcW w:w="9026" w:type="dxa"/>
          </w:tcPr>
          <w:p w14:paraId="0A085811" w14:textId="30E83F12" w:rsidR="00234411" w:rsidRPr="009819CE" w:rsidRDefault="006A0363" w:rsidP="00B4667F">
            <w:pPr>
              <w:spacing w:line="240" w:lineRule="auto"/>
              <w:rPr>
                <w:rFonts w:cstheme="minorBidi"/>
                <w:lang w:val="en-GB"/>
              </w:rPr>
            </w:pPr>
            <w:bookmarkStart w:id="338" w:name="_Ref130984767"/>
            <w:bookmarkStart w:id="339" w:name="_Toc204106741"/>
            <w:r w:rsidRPr="009819CE">
              <w:rPr>
                <w:rFonts w:cstheme="minorBidi"/>
                <w:b/>
                <w:bCs/>
                <w:sz w:val="22"/>
                <w:szCs w:val="18"/>
                <w:lang w:val="en-GB"/>
              </w:rPr>
              <w:t xml:space="preserve">Figure </w:t>
            </w:r>
            <w:r w:rsidRPr="007E6468">
              <w:rPr>
                <w:rFonts w:cstheme="minorBidi"/>
                <w:b/>
                <w:bCs/>
                <w:sz w:val="22"/>
                <w:szCs w:val="18"/>
              </w:rPr>
              <w:fldChar w:fldCharType="begin"/>
            </w:r>
            <w:r w:rsidRPr="009819CE">
              <w:rPr>
                <w:rFonts w:cstheme="minorBidi"/>
                <w:b/>
                <w:bCs/>
                <w:sz w:val="22"/>
                <w:szCs w:val="18"/>
                <w:lang w:val="en-GB"/>
              </w:rPr>
              <w:instrText xml:space="preserve"> STYLEREF 1 \s </w:instrText>
            </w:r>
            <w:r w:rsidRPr="007E6468">
              <w:rPr>
                <w:rFonts w:cstheme="minorBidi"/>
                <w:b/>
                <w:bCs/>
                <w:sz w:val="22"/>
                <w:szCs w:val="18"/>
              </w:rPr>
              <w:fldChar w:fldCharType="separate"/>
            </w:r>
            <w:r w:rsidR="008549FC">
              <w:rPr>
                <w:rFonts w:cstheme="minorBidi"/>
                <w:b/>
                <w:bCs/>
                <w:noProof/>
                <w:sz w:val="22"/>
                <w:szCs w:val="18"/>
                <w:lang w:val="en-GB"/>
              </w:rPr>
              <w:t>4</w:t>
            </w:r>
            <w:r w:rsidRPr="007E6468">
              <w:rPr>
                <w:rFonts w:cstheme="minorBidi"/>
                <w:b/>
                <w:bCs/>
                <w:sz w:val="22"/>
                <w:szCs w:val="18"/>
              </w:rPr>
              <w:fldChar w:fldCharType="end"/>
            </w:r>
            <w:r w:rsidRPr="009819CE">
              <w:rPr>
                <w:rFonts w:cstheme="minorBidi"/>
                <w:b/>
                <w:bCs/>
                <w:sz w:val="22"/>
                <w:szCs w:val="18"/>
                <w:lang w:val="en-GB"/>
              </w:rPr>
              <w:t>.</w:t>
            </w:r>
            <w:r w:rsidRPr="007E6468">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7E6468">
              <w:rPr>
                <w:rFonts w:cstheme="minorBidi"/>
                <w:b/>
                <w:bCs/>
                <w:sz w:val="22"/>
                <w:szCs w:val="18"/>
              </w:rPr>
              <w:fldChar w:fldCharType="separate"/>
            </w:r>
            <w:r w:rsidR="008549FC">
              <w:rPr>
                <w:rFonts w:cstheme="minorBidi"/>
                <w:b/>
                <w:bCs/>
                <w:noProof/>
                <w:sz w:val="22"/>
                <w:szCs w:val="18"/>
                <w:lang w:val="en-GB"/>
              </w:rPr>
              <w:t>3</w:t>
            </w:r>
            <w:r w:rsidRPr="007E6468">
              <w:rPr>
                <w:rFonts w:cstheme="minorBidi"/>
                <w:b/>
                <w:bCs/>
                <w:sz w:val="22"/>
                <w:szCs w:val="18"/>
              </w:rPr>
              <w:fldChar w:fldCharType="end"/>
            </w:r>
            <w:bookmarkEnd w:id="338"/>
            <w:r w:rsidRPr="009819CE">
              <w:rPr>
                <w:rFonts w:cstheme="minorBidi"/>
                <w:sz w:val="22"/>
                <w:szCs w:val="18"/>
                <w:lang w:val="en-GB"/>
              </w:rPr>
              <w:t xml:space="preserve"> </w:t>
            </w:r>
            <w:r w:rsidR="00B4667F" w:rsidRPr="007E6468">
              <w:rPr>
                <w:rFonts w:cstheme="minorBidi"/>
                <w:sz w:val="22"/>
                <w:szCs w:val="22"/>
              </w:rPr>
              <w:t xml:space="preserve">Electron microscopy of Hematodinium sp. macrospores obtained from in vivo sporulation events. </w:t>
            </w:r>
            <w:r w:rsidR="00B4667F" w:rsidRPr="007E6468">
              <w:rPr>
                <w:rFonts w:cstheme="minorBidi"/>
                <w:b/>
                <w:bCs/>
                <w:sz w:val="22"/>
                <w:szCs w:val="22"/>
              </w:rPr>
              <w:t>A–B</w:t>
            </w:r>
            <w:r w:rsidR="00B4667F" w:rsidRPr="007E6468">
              <w:rPr>
                <w:rFonts w:cstheme="minorBidi"/>
                <w:sz w:val="22"/>
                <w:szCs w:val="22"/>
              </w:rPr>
              <w:t>) Ultrastructural features include nucleus (n)</w:t>
            </w:r>
            <w:r w:rsidR="00C82B81" w:rsidRPr="007E6468">
              <w:rPr>
                <w:rFonts w:cstheme="minorBidi"/>
                <w:sz w:val="22"/>
                <w:szCs w:val="22"/>
              </w:rPr>
              <w:t>,</w:t>
            </w:r>
            <w:r w:rsidR="00B4667F" w:rsidRPr="007E6468">
              <w:rPr>
                <w:rFonts w:cstheme="minorBidi"/>
                <w:sz w:val="22"/>
                <w:szCs w:val="22"/>
              </w:rPr>
              <w:t xml:space="preserve"> chromosomes (ch</w:t>
            </w:r>
            <w:r w:rsidR="00C82B81" w:rsidRPr="007E6468">
              <w:rPr>
                <w:rFonts w:cstheme="minorBidi"/>
                <w:sz w:val="22"/>
                <w:szCs w:val="22"/>
              </w:rPr>
              <w:t>r</w:t>
            </w:r>
            <w:r w:rsidR="00B4667F" w:rsidRPr="007E6468">
              <w:rPr>
                <w:rFonts w:cstheme="minorBidi"/>
                <w:sz w:val="22"/>
                <w:szCs w:val="22"/>
              </w:rPr>
              <w:t>)</w:t>
            </w:r>
            <w:r w:rsidR="00C82B81" w:rsidRPr="007E6468">
              <w:rPr>
                <w:rFonts w:cstheme="minorBidi"/>
                <w:sz w:val="22"/>
                <w:szCs w:val="22"/>
              </w:rPr>
              <w:t>,</w:t>
            </w:r>
            <w:r w:rsidR="00B4667F" w:rsidRPr="007E6468">
              <w:rPr>
                <w:rFonts w:cstheme="minorBidi"/>
                <w:sz w:val="22"/>
                <w:szCs w:val="22"/>
              </w:rPr>
              <w:t xml:space="preserve"> vacuoles (v), flagellar hair vesicles (fhv), trichocysts (tr), lipid droplets (l), and electron-dense deposits within vacuoles (vd). Autophagosome-like structures (ap) are also present and may indicate early degenerative changes.</w:t>
            </w:r>
            <w:bookmarkEnd w:id="339"/>
          </w:p>
        </w:tc>
      </w:tr>
    </w:tbl>
    <w:p w14:paraId="253CCC73" w14:textId="77777777" w:rsidR="00234411" w:rsidRPr="009819CE" w:rsidRDefault="00234411">
      <w:pPr>
        <w:sectPr w:rsidR="00234411" w:rsidRPr="009819CE" w:rsidSect="00345A41">
          <w:pgSz w:w="11906" w:h="16838" w:code="9"/>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1F3AE3AE" w14:textId="77777777" w:rsidTr="007E6468">
        <w:tc>
          <w:tcPr>
            <w:tcW w:w="5000" w:type="pct"/>
          </w:tcPr>
          <w:p w14:paraId="642FF79B" w14:textId="7E07F2D7" w:rsidR="006A0363" w:rsidRPr="009819CE" w:rsidRDefault="00ED12F6" w:rsidP="007D6607">
            <w:pPr>
              <w:jc w:val="center"/>
              <w:rPr>
                <w:rFonts w:cstheme="minorBidi"/>
                <w:lang w:val="en-GB"/>
              </w:rPr>
            </w:pPr>
            <w:r w:rsidRPr="00FF34FE">
              <w:rPr>
                <w:rFonts w:cstheme="minorBidi"/>
                <w:noProof/>
                <w:sz w:val="22"/>
                <w:szCs w:val="18"/>
              </w:rPr>
              <w:drawing>
                <wp:inline distT="0" distB="0" distL="0" distR="0" wp14:anchorId="11FC2BC0" wp14:editId="325076C5">
                  <wp:extent cx="5687164" cy="3664585"/>
                  <wp:effectExtent l="0" t="0" r="8890" b="0"/>
                  <wp:docPr id="874565061" name="Picture 7" descr="A close-up of several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65061" name="Picture 7" descr="A close-up of several images of cells&#10;&#10;AI-generated content may be incorrect."/>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01136" cy="3673588"/>
                          </a:xfrm>
                          <a:prstGeom prst="rect">
                            <a:avLst/>
                          </a:prstGeom>
                        </pic:spPr>
                      </pic:pic>
                    </a:graphicData>
                  </a:graphic>
                </wp:inline>
              </w:drawing>
            </w:r>
          </w:p>
        </w:tc>
      </w:tr>
      <w:tr w:rsidR="006A0363" w:rsidRPr="00FA7D47" w14:paraId="18A795C1" w14:textId="77777777" w:rsidTr="007E6468">
        <w:tc>
          <w:tcPr>
            <w:tcW w:w="5000" w:type="pct"/>
          </w:tcPr>
          <w:p w14:paraId="313D530B" w14:textId="3B02AA0E" w:rsidR="006A0363" w:rsidRPr="009819CE" w:rsidRDefault="006A0363" w:rsidP="007D6607">
            <w:pPr>
              <w:spacing w:line="240" w:lineRule="auto"/>
              <w:rPr>
                <w:rFonts w:cstheme="minorBidi"/>
                <w:lang w:val="en-GB"/>
              </w:rPr>
            </w:pPr>
            <w:bookmarkStart w:id="340" w:name="_Ref130984687"/>
            <w:bookmarkStart w:id="341" w:name="_Ref104469024"/>
            <w:bookmarkStart w:id="342" w:name="_Toc204106742"/>
            <w:r w:rsidRPr="009819CE">
              <w:rPr>
                <w:rFonts w:cstheme="minorBidi"/>
                <w:b/>
                <w:bCs/>
                <w:sz w:val="22"/>
                <w:szCs w:val="18"/>
                <w:lang w:val="en-GB"/>
              </w:rPr>
              <w:t xml:space="preserve">Figure </w:t>
            </w:r>
            <w:r w:rsidRPr="007E6468">
              <w:rPr>
                <w:rFonts w:cstheme="minorBidi"/>
                <w:b/>
                <w:bCs/>
                <w:sz w:val="22"/>
                <w:szCs w:val="18"/>
              </w:rPr>
              <w:fldChar w:fldCharType="begin"/>
            </w:r>
            <w:r w:rsidRPr="009819CE">
              <w:rPr>
                <w:rFonts w:cstheme="minorBidi"/>
                <w:b/>
                <w:bCs/>
                <w:sz w:val="22"/>
                <w:szCs w:val="18"/>
                <w:lang w:val="en-GB"/>
              </w:rPr>
              <w:instrText xml:space="preserve"> STYLEREF 1 \s </w:instrText>
            </w:r>
            <w:r w:rsidRPr="007E6468">
              <w:rPr>
                <w:rFonts w:cstheme="minorBidi"/>
                <w:b/>
                <w:bCs/>
                <w:sz w:val="22"/>
                <w:szCs w:val="18"/>
              </w:rPr>
              <w:fldChar w:fldCharType="separate"/>
            </w:r>
            <w:r w:rsidR="008549FC">
              <w:rPr>
                <w:rFonts w:cstheme="minorBidi"/>
                <w:b/>
                <w:bCs/>
                <w:noProof/>
                <w:sz w:val="22"/>
                <w:szCs w:val="18"/>
                <w:lang w:val="en-GB"/>
              </w:rPr>
              <w:t>4</w:t>
            </w:r>
            <w:r w:rsidRPr="007E6468">
              <w:rPr>
                <w:rFonts w:cstheme="minorBidi"/>
                <w:b/>
                <w:bCs/>
                <w:sz w:val="22"/>
                <w:szCs w:val="18"/>
              </w:rPr>
              <w:fldChar w:fldCharType="end"/>
            </w:r>
            <w:r w:rsidRPr="009819CE">
              <w:rPr>
                <w:rFonts w:cstheme="minorBidi"/>
                <w:b/>
                <w:bCs/>
                <w:sz w:val="22"/>
                <w:szCs w:val="18"/>
                <w:lang w:val="en-GB"/>
              </w:rPr>
              <w:t>.</w:t>
            </w:r>
            <w:r w:rsidRPr="007E6468">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7E6468">
              <w:rPr>
                <w:rFonts w:cstheme="minorBidi"/>
                <w:b/>
                <w:bCs/>
                <w:sz w:val="22"/>
                <w:szCs w:val="18"/>
              </w:rPr>
              <w:fldChar w:fldCharType="separate"/>
            </w:r>
            <w:r w:rsidR="008549FC">
              <w:rPr>
                <w:rFonts w:cstheme="minorBidi"/>
                <w:b/>
                <w:bCs/>
                <w:noProof/>
                <w:sz w:val="22"/>
                <w:szCs w:val="18"/>
                <w:lang w:val="en-GB"/>
              </w:rPr>
              <w:t>4</w:t>
            </w:r>
            <w:r w:rsidRPr="007E6468">
              <w:rPr>
                <w:rFonts w:cstheme="minorBidi"/>
                <w:b/>
                <w:bCs/>
                <w:sz w:val="22"/>
                <w:szCs w:val="18"/>
              </w:rPr>
              <w:fldChar w:fldCharType="end"/>
            </w:r>
            <w:bookmarkEnd w:id="340"/>
            <w:bookmarkEnd w:id="341"/>
            <w:r w:rsidR="00011B5C" w:rsidRPr="007E6468">
              <w:rPr>
                <w:sz w:val="22"/>
                <w:szCs w:val="22"/>
              </w:rPr>
              <w:t xml:space="preserve">Electron microscopy of </w:t>
            </w:r>
            <w:r w:rsidR="00011B5C" w:rsidRPr="007E6468">
              <w:rPr>
                <w:rStyle w:val="Emphasis"/>
                <w:rFonts w:eastAsiaTheme="majorEastAsia"/>
                <w:sz w:val="22"/>
                <w:szCs w:val="22"/>
              </w:rPr>
              <w:t>Hematodinium</w:t>
            </w:r>
            <w:r w:rsidR="00011B5C" w:rsidRPr="007E6468">
              <w:rPr>
                <w:sz w:val="22"/>
                <w:szCs w:val="22"/>
              </w:rPr>
              <w:t xml:space="preserve"> sp. trophonts within the hepatopancreas tissue of </w:t>
            </w:r>
            <w:r w:rsidR="00011B5C" w:rsidRPr="007E6468">
              <w:rPr>
                <w:rStyle w:val="Emphasis"/>
                <w:rFonts w:eastAsiaTheme="majorEastAsia"/>
                <w:sz w:val="22"/>
                <w:szCs w:val="22"/>
              </w:rPr>
              <w:t>Nephrops norvegicus</w:t>
            </w:r>
            <w:r w:rsidR="00011B5C" w:rsidRPr="007E6468">
              <w:rPr>
                <w:sz w:val="22"/>
                <w:szCs w:val="22"/>
              </w:rPr>
              <w:t>.</w:t>
            </w:r>
            <w:r w:rsidR="00011B5C" w:rsidRPr="009819CE">
              <w:rPr>
                <w:sz w:val="22"/>
                <w:szCs w:val="22"/>
              </w:rPr>
              <w:t xml:space="preserve"> </w:t>
            </w:r>
            <w:r w:rsidR="00011B5C" w:rsidRPr="007E6468">
              <w:rPr>
                <w:rStyle w:val="Strong"/>
                <w:sz w:val="22"/>
                <w:szCs w:val="22"/>
              </w:rPr>
              <w:t>A)</w:t>
            </w:r>
            <w:r w:rsidR="00011B5C" w:rsidRPr="007E6468">
              <w:rPr>
                <w:sz w:val="22"/>
                <w:szCs w:val="22"/>
              </w:rPr>
              <w:t xml:space="preserve"> </w:t>
            </w:r>
            <w:r w:rsidR="00E259AE">
              <w:rPr>
                <w:sz w:val="22"/>
                <w:szCs w:val="22"/>
              </w:rPr>
              <w:t>m</w:t>
            </w:r>
            <w:r w:rsidR="00011B5C" w:rsidRPr="007E6468">
              <w:rPr>
                <w:sz w:val="22"/>
                <w:szCs w:val="22"/>
              </w:rPr>
              <w:t xml:space="preserve">ononucleated, </w:t>
            </w:r>
            <w:r w:rsidR="00011B5C" w:rsidRPr="007E6468">
              <w:rPr>
                <w:rStyle w:val="Strong"/>
                <w:sz w:val="22"/>
                <w:szCs w:val="22"/>
              </w:rPr>
              <w:t>B)</w:t>
            </w:r>
            <w:r w:rsidR="00011B5C" w:rsidRPr="007E6468">
              <w:rPr>
                <w:sz w:val="22"/>
                <w:szCs w:val="22"/>
              </w:rPr>
              <w:t xml:space="preserve"> binucleated, </w:t>
            </w:r>
            <w:r w:rsidR="00011B5C" w:rsidRPr="007E6468">
              <w:rPr>
                <w:rStyle w:val="Strong"/>
                <w:sz w:val="22"/>
                <w:szCs w:val="22"/>
              </w:rPr>
              <w:t>C)</w:t>
            </w:r>
            <w:r w:rsidR="00011B5C" w:rsidRPr="007E6468">
              <w:rPr>
                <w:sz w:val="22"/>
                <w:szCs w:val="22"/>
              </w:rPr>
              <w:t xml:space="preserve"> trinucleated, and </w:t>
            </w:r>
            <w:r w:rsidR="00011B5C" w:rsidRPr="007E6468">
              <w:rPr>
                <w:rStyle w:val="Strong"/>
                <w:sz w:val="22"/>
                <w:szCs w:val="22"/>
              </w:rPr>
              <w:t>D)</w:t>
            </w:r>
            <w:r w:rsidR="00011B5C" w:rsidRPr="007E6468">
              <w:rPr>
                <w:sz w:val="22"/>
                <w:szCs w:val="22"/>
              </w:rPr>
              <w:t xml:space="preserve"> multinucleated trophont cells. An alveolate surface (al) delineates the outer structure of each cell. Visible cellular components include the nucleus (n), chromosomes (chr), trichocysts (tr), autophagosome-like structures (ap) indicative of potential early degenerative changes, lipid droplets (l), and vacuoles (v).</w:t>
            </w:r>
            <w:bookmarkEnd w:id="342"/>
          </w:p>
        </w:tc>
      </w:tr>
    </w:tbl>
    <w:p w14:paraId="7028CEE6" w14:textId="77777777" w:rsidR="006A0363" w:rsidRPr="009819CE" w:rsidRDefault="006A0363" w:rsidP="007E6468">
      <w:pPr>
        <w:spacing w:before="0" w:after="0"/>
        <w:rPr>
          <w:rFonts w:cstheme="minorBidi"/>
        </w:rPr>
        <w:sectPr w:rsidR="006A0363" w:rsidRPr="009819CE" w:rsidSect="003E0FCC">
          <w:pgSz w:w="11906" w:h="16838" w:code="9"/>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66353F9F" w14:textId="77777777" w:rsidTr="007D6607">
        <w:tc>
          <w:tcPr>
            <w:tcW w:w="5000" w:type="pct"/>
          </w:tcPr>
          <w:p w14:paraId="689639D3" w14:textId="473B8D75" w:rsidR="006A0363" w:rsidRPr="009819CE" w:rsidRDefault="00765805" w:rsidP="007E6468">
            <w:pPr>
              <w:spacing w:before="0" w:after="0"/>
              <w:rPr>
                <w:rFonts w:cstheme="minorBidi"/>
                <w:lang w:val="en-GB"/>
              </w:rPr>
            </w:pPr>
            <w:r w:rsidRPr="00FF34FE">
              <w:rPr>
                <w:rFonts w:cstheme="minorBidi"/>
                <w:noProof/>
              </w:rPr>
              <w:drawing>
                <wp:inline distT="0" distB="0" distL="0" distR="0" wp14:anchorId="52AEA7EE" wp14:editId="71570DAE">
                  <wp:extent cx="5583277" cy="5665548"/>
                  <wp:effectExtent l="0" t="0" r="0" b="0"/>
                  <wp:docPr id="583330552" name="Picture 9"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30552" name="Picture 9" descr="A close-up of a microscope&#10;&#10;AI-generated content may be incorrect."/>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586547" cy="5668866"/>
                          </a:xfrm>
                          <a:prstGeom prst="rect">
                            <a:avLst/>
                          </a:prstGeom>
                        </pic:spPr>
                      </pic:pic>
                    </a:graphicData>
                  </a:graphic>
                </wp:inline>
              </w:drawing>
            </w:r>
          </w:p>
        </w:tc>
      </w:tr>
      <w:tr w:rsidR="006A0363" w:rsidRPr="00FA7D47" w14:paraId="7DBD6457" w14:textId="77777777" w:rsidTr="007D6607">
        <w:tc>
          <w:tcPr>
            <w:tcW w:w="5000" w:type="pct"/>
          </w:tcPr>
          <w:p w14:paraId="23D6AD27" w14:textId="31C3FCE1" w:rsidR="006A0363" w:rsidRPr="009819CE" w:rsidRDefault="006A0363" w:rsidP="007D6607">
            <w:pPr>
              <w:spacing w:line="240" w:lineRule="auto"/>
              <w:rPr>
                <w:rFonts w:cstheme="minorBidi"/>
                <w:sz w:val="22"/>
                <w:szCs w:val="22"/>
                <w:lang w:val="en-GB"/>
              </w:rPr>
            </w:pPr>
            <w:bookmarkStart w:id="343" w:name="_Ref136793190"/>
            <w:bookmarkStart w:id="344" w:name="_Toc204106743"/>
            <w:r w:rsidRPr="009819CE">
              <w:rPr>
                <w:rFonts w:cstheme="minorBidi"/>
                <w:b/>
                <w:bCs/>
                <w:sz w:val="22"/>
                <w:szCs w:val="22"/>
                <w:lang w:val="en-GB"/>
              </w:rPr>
              <w:t xml:space="preserve">Figure </w:t>
            </w:r>
            <w:r w:rsidRPr="007E6468">
              <w:rPr>
                <w:rFonts w:cstheme="minorBidi"/>
                <w:b/>
                <w:bCs/>
                <w:sz w:val="22"/>
              </w:rPr>
              <w:fldChar w:fldCharType="begin"/>
            </w:r>
            <w:r w:rsidRPr="009819CE">
              <w:rPr>
                <w:rFonts w:cstheme="minorBidi"/>
                <w:b/>
                <w:bCs/>
                <w:sz w:val="22"/>
                <w:szCs w:val="22"/>
                <w:lang w:val="en-GB"/>
              </w:rPr>
              <w:instrText xml:space="preserve"> STYLEREF 1 \s </w:instrText>
            </w:r>
            <w:r w:rsidRPr="007E6468">
              <w:rPr>
                <w:rFonts w:cstheme="minorBidi"/>
                <w:b/>
                <w:bCs/>
                <w:sz w:val="22"/>
              </w:rPr>
              <w:fldChar w:fldCharType="separate"/>
            </w:r>
            <w:r w:rsidR="008549FC">
              <w:rPr>
                <w:rFonts w:cstheme="minorBidi"/>
                <w:b/>
                <w:bCs/>
                <w:noProof/>
                <w:sz w:val="22"/>
                <w:szCs w:val="22"/>
                <w:lang w:val="en-GB"/>
              </w:rPr>
              <w:t>4</w:t>
            </w:r>
            <w:r w:rsidRPr="007E6468">
              <w:rPr>
                <w:rFonts w:cstheme="minorBidi"/>
                <w:b/>
                <w:bCs/>
                <w:sz w:val="22"/>
              </w:rPr>
              <w:fldChar w:fldCharType="end"/>
            </w:r>
            <w:r w:rsidRPr="009819CE">
              <w:rPr>
                <w:rFonts w:cstheme="minorBidi"/>
                <w:b/>
                <w:bCs/>
                <w:sz w:val="22"/>
                <w:szCs w:val="22"/>
                <w:lang w:val="en-GB"/>
              </w:rPr>
              <w:t>.</w:t>
            </w:r>
            <w:r w:rsidRPr="007E6468">
              <w:rPr>
                <w:rFonts w:cstheme="minorBidi"/>
                <w:b/>
                <w:bCs/>
                <w:sz w:val="22"/>
              </w:rPr>
              <w:fldChar w:fldCharType="begin"/>
            </w:r>
            <w:r w:rsidRPr="009819CE">
              <w:rPr>
                <w:rFonts w:cstheme="minorBidi"/>
                <w:b/>
                <w:bCs/>
                <w:sz w:val="22"/>
                <w:szCs w:val="22"/>
                <w:lang w:val="en-GB"/>
              </w:rPr>
              <w:instrText xml:space="preserve"> SEQ Figure \* ARABIC \s 1 </w:instrText>
            </w:r>
            <w:r w:rsidRPr="007E6468">
              <w:rPr>
                <w:rFonts w:cstheme="minorBidi"/>
                <w:b/>
                <w:bCs/>
                <w:sz w:val="22"/>
              </w:rPr>
              <w:fldChar w:fldCharType="separate"/>
            </w:r>
            <w:r w:rsidR="008549FC">
              <w:rPr>
                <w:rFonts w:cstheme="minorBidi"/>
                <w:b/>
                <w:bCs/>
                <w:noProof/>
                <w:sz w:val="22"/>
                <w:szCs w:val="22"/>
                <w:lang w:val="en-GB"/>
              </w:rPr>
              <w:t>5</w:t>
            </w:r>
            <w:r w:rsidRPr="007E6468">
              <w:rPr>
                <w:rFonts w:cstheme="minorBidi"/>
                <w:b/>
                <w:bCs/>
                <w:sz w:val="22"/>
              </w:rPr>
              <w:fldChar w:fldCharType="end"/>
            </w:r>
            <w:bookmarkEnd w:id="343"/>
            <w:r w:rsidRPr="009819CE">
              <w:rPr>
                <w:rFonts w:cstheme="minorBidi"/>
                <w:sz w:val="22"/>
                <w:szCs w:val="22"/>
                <w:lang w:val="en-GB"/>
              </w:rPr>
              <w:t xml:space="preserve"> </w:t>
            </w:r>
            <w:r w:rsidR="000B0B6B" w:rsidRPr="007E6468">
              <w:rPr>
                <w:sz w:val="22"/>
                <w:szCs w:val="22"/>
              </w:rPr>
              <w:t xml:space="preserve">Hepatopancreas tissue of a </w:t>
            </w:r>
            <w:r w:rsidR="000B0B6B" w:rsidRPr="007E6468">
              <w:rPr>
                <w:rStyle w:val="Emphasis"/>
                <w:rFonts w:eastAsiaTheme="majorEastAsia"/>
                <w:sz w:val="22"/>
                <w:szCs w:val="22"/>
              </w:rPr>
              <w:t>Nephrops norvegicus</w:t>
            </w:r>
            <w:r w:rsidR="000B0B6B" w:rsidRPr="007E6468">
              <w:rPr>
                <w:sz w:val="22"/>
                <w:szCs w:val="22"/>
              </w:rPr>
              <w:t xml:space="preserve"> individual (SP56) following sporulation of </w:t>
            </w:r>
            <w:r w:rsidR="000B0B6B" w:rsidRPr="007E6468">
              <w:rPr>
                <w:rStyle w:val="Emphasis"/>
                <w:rFonts w:eastAsiaTheme="majorEastAsia"/>
                <w:sz w:val="22"/>
                <w:szCs w:val="22"/>
              </w:rPr>
              <w:t>Hematodinium</w:t>
            </w:r>
            <w:r w:rsidR="000B0B6B" w:rsidRPr="007E6468">
              <w:rPr>
                <w:sz w:val="22"/>
                <w:szCs w:val="22"/>
              </w:rPr>
              <w:t xml:space="preserve"> sp. parasites. </w:t>
            </w:r>
            <w:r w:rsidR="000B0B6B" w:rsidRPr="007E6468">
              <w:rPr>
                <w:rStyle w:val="Strong"/>
                <w:sz w:val="22"/>
                <w:szCs w:val="22"/>
              </w:rPr>
              <w:t>A)</w:t>
            </w:r>
            <w:r w:rsidR="000B0B6B" w:rsidRPr="007E6468">
              <w:rPr>
                <w:sz w:val="22"/>
                <w:szCs w:val="22"/>
              </w:rPr>
              <w:t xml:space="preserve"> Overview showing disruption of hepatopancreatic ducts and surrounding connective tissue. </w:t>
            </w:r>
            <w:r w:rsidR="000B0B6B" w:rsidRPr="007E6468">
              <w:rPr>
                <w:rStyle w:val="Strong"/>
                <w:sz w:val="22"/>
                <w:szCs w:val="22"/>
              </w:rPr>
              <w:t>B)</w:t>
            </w:r>
            <w:r w:rsidR="000B0B6B" w:rsidRPr="007E6468">
              <w:rPr>
                <w:sz w:val="22"/>
                <w:szCs w:val="22"/>
              </w:rPr>
              <w:t xml:space="preserve"> Higher magnification of the same tissue highlighting the presence of mononucleated </w:t>
            </w:r>
            <w:r w:rsidR="000B0B6B" w:rsidRPr="007E6468">
              <w:rPr>
                <w:rStyle w:val="Emphasis"/>
                <w:rFonts w:eastAsiaTheme="majorEastAsia"/>
                <w:sz w:val="22"/>
                <w:szCs w:val="22"/>
              </w:rPr>
              <w:t>Hematodinium</w:t>
            </w:r>
            <w:r w:rsidR="000B0B6B" w:rsidRPr="007E6468">
              <w:rPr>
                <w:sz w:val="22"/>
                <w:szCs w:val="22"/>
              </w:rPr>
              <w:t xml:space="preserve"> trophonts (black arrow). </w:t>
            </w:r>
            <w:r w:rsidR="000B0B6B" w:rsidRPr="007E6468">
              <w:rPr>
                <w:rStyle w:val="Emphasis"/>
                <w:rFonts w:eastAsiaTheme="majorEastAsia"/>
                <w:sz w:val="22"/>
                <w:szCs w:val="22"/>
              </w:rPr>
              <w:t>Note: No residual macrospores are observed.</w:t>
            </w:r>
            <w:bookmarkEnd w:id="344"/>
          </w:p>
        </w:tc>
      </w:tr>
    </w:tbl>
    <w:p w14:paraId="65BF6021" w14:textId="77777777" w:rsidR="006A0363" w:rsidRPr="009819CE" w:rsidRDefault="006A0363" w:rsidP="006A0363">
      <w:pPr>
        <w:rPr>
          <w:rFonts w:cstheme="min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645499C0" w14:textId="77777777" w:rsidTr="007D6607">
        <w:tc>
          <w:tcPr>
            <w:tcW w:w="5000" w:type="pct"/>
          </w:tcPr>
          <w:p w14:paraId="79D7BC02" w14:textId="6F1816F5" w:rsidR="006A0363" w:rsidRPr="009819CE" w:rsidRDefault="006B1D18" w:rsidP="007E6468">
            <w:pPr>
              <w:spacing w:before="0" w:after="0"/>
              <w:rPr>
                <w:rFonts w:cstheme="minorBidi"/>
                <w:lang w:val="en-GB"/>
              </w:rPr>
            </w:pPr>
            <w:r w:rsidRPr="00FF34FE">
              <w:rPr>
                <w:rFonts w:cstheme="minorBidi"/>
                <w:noProof/>
              </w:rPr>
              <w:drawing>
                <wp:inline distT="0" distB="0" distL="0" distR="0" wp14:anchorId="0A35B702" wp14:editId="065BCB51">
                  <wp:extent cx="5731510" cy="5746750"/>
                  <wp:effectExtent l="0" t="0" r="2540" b="6350"/>
                  <wp:docPr id="1467489865" name="Picture 12"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89865" name="Picture 12" descr="A close-up of a microscope&#10;&#10;AI-generated content may be incorrect."/>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1510" cy="5746750"/>
                          </a:xfrm>
                          <a:prstGeom prst="rect">
                            <a:avLst/>
                          </a:prstGeom>
                        </pic:spPr>
                      </pic:pic>
                    </a:graphicData>
                  </a:graphic>
                </wp:inline>
              </w:drawing>
            </w:r>
          </w:p>
        </w:tc>
      </w:tr>
      <w:tr w:rsidR="006A0363" w:rsidRPr="00FA7D47" w14:paraId="0DC6A248" w14:textId="77777777" w:rsidTr="007D6607">
        <w:tc>
          <w:tcPr>
            <w:tcW w:w="5000" w:type="pct"/>
          </w:tcPr>
          <w:p w14:paraId="1C9B52DD" w14:textId="511BB323" w:rsidR="006A0363" w:rsidRPr="009819CE" w:rsidRDefault="006A0363" w:rsidP="007D6607">
            <w:pPr>
              <w:spacing w:line="240" w:lineRule="auto"/>
              <w:rPr>
                <w:rFonts w:cstheme="minorBidi"/>
                <w:sz w:val="22"/>
                <w:szCs w:val="22"/>
                <w:lang w:val="en-GB"/>
              </w:rPr>
            </w:pPr>
            <w:bookmarkStart w:id="345" w:name="_Ref136793213"/>
            <w:bookmarkStart w:id="346" w:name="_Toc204106744"/>
            <w:r w:rsidRPr="009819CE">
              <w:rPr>
                <w:rFonts w:cstheme="minorBidi"/>
                <w:b/>
                <w:bCs/>
                <w:sz w:val="22"/>
                <w:szCs w:val="22"/>
                <w:lang w:val="en-GB"/>
              </w:rPr>
              <w:t xml:space="preserve">Figure </w:t>
            </w:r>
            <w:r w:rsidRPr="007E6468">
              <w:rPr>
                <w:rFonts w:cstheme="minorBidi"/>
                <w:b/>
                <w:bCs/>
                <w:sz w:val="22"/>
              </w:rPr>
              <w:fldChar w:fldCharType="begin"/>
            </w:r>
            <w:r w:rsidRPr="009819CE">
              <w:rPr>
                <w:rFonts w:cstheme="minorBidi"/>
                <w:b/>
                <w:bCs/>
                <w:sz w:val="22"/>
                <w:szCs w:val="22"/>
                <w:lang w:val="en-GB"/>
              </w:rPr>
              <w:instrText xml:space="preserve"> STYLEREF 1 \s </w:instrText>
            </w:r>
            <w:r w:rsidRPr="007E6468">
              <w:rPr>
                <w:rFonts w:cstheme="minorBidi"/>
                <w:b/>
                <w:bCs/>
                <w:sz w:val="22"/>
              </w:rPr>
              <w:fldChar w:fldCharType="separate"/>
            </w:r>
            <w:r w:rsidR="008549FC">
              <w:rPr>
                <w:rFonts w:cstheme="minorBidi"/>
                <w:b/>
                <w:bCs/>
                <w:noProof/>
                <w:sz w:val="22"/>
                <w:szCs w:val="22"/>
                <w:lang w:val="en-GB"/>
              </w:rPr>
              <w:t>4</w:t>
            </w:r>
            <w:r w:rsidRPr="007E6468">
              <w:rPr>
                <w:rFonts w:cstheme="minorBidi"/>
                <w:b/>
                <w:bCs/>
                <w:sz w:val="22"/>
              </w:rPr>
              <w:fldChar w:fldCharType="end"/>
            </w:r>
            <w:r w:rsidRPr="009819CE">
              <w:rPr>
                <w:rFonts w:cstheme="minorBidi"/>
                <w:b/>
                <w:bCs/>
                <w:sz w:val="22"/>
                <w:szCs w:val="22"/>
                <w:lang w:val="en-GB"/>
              </w:rPr>
              <w:t>.</w:t>
            </w:r>
            <w:r w:rsidRPr="007E6468">
              <w:rPr>
                <w:rFonts w:cstheme="minorBidi"/>
                <w:b/>
                <w:bCs/>
                <w:sz w:val="22"/>
              </w:rPr>
              <w:fldChar w:fldCharType="begin"/>
            </w:r>
            <w:r w:rsidRPr="009819CE">
              <w:rPr>
                <w:rFonts w:cstheme="minorBidi"/>
                <w:b/>
                <w:bCs/>
                <w:sz w:val="22"/>
                <w:szCs w:val="22"/>
                <w:lang w:val="en-GB"/>
              </w:rPr>
              <w:instrText xml:space="preserve"> SEQ Figure \* ARABIC \s 1 </w:instrText>
            </w:r>
            <w:r w:rsidRPr="007E6468">
              <w:rPr>
                <w:rFonts w:cstheme="minorBidi"/>
                <w:b/>
                <w:bCs/>
                <w:sz w:val="22"/>
              </w:rPr>
              <w:fldChar w:fldCharType="separate"/>
            </w:r>
            <w:r w:rsidR="008549FC">
              <w:rPr>
                <w:rFonts w:cstheme="minorBidi"/>
                <w:b/>
                <w:bCs/>
                <w:noProof/>
                <w:sz w:val="22"/>
                <w:szCs w:val="22"/>
                <w:lang w:val="en-GB"/>
              </w:rPr>
              <w:t>6</w:t>
            </w:r>
            <w:r w:rsidRPr="007E6468">
              <w:rPr>
                <w:rFonts w:cstheme="minorBidi"/>
                <w:b/>
                <w:bCs/>
                <w:sz w:val="22"/>
              </w:rPr>
              <w:fldChar w:fldCharType="end"/>
            </w:r>
            <w:bookmarkEnd w:id="345"/>
            <w:r w:rsidRPr="009819CE">
              <w:rPr>
                <w:rFonts w:cstheme="minorBidi"/>
                <w:sz w:val="22"/>
                <w:szCs w:val="22"/>
                <w:lang w:val="en-GB"/>
              </w:rPr>
              <w:t xml:space="preserve"> </w:t>
            </w:r>
            <w:r w:rsidR="004475FF" w:rsidRPr="007E6468">
              <w:rPr>
                <w:sz w:val="22"/>
                <w:szCs w:val="22"/>
              </w:rPr>
              <w:t xml:space="preserve">Male gonad tissue of a </w:t>
            </w:r>
            <w:r w:rsidR="004475FF" w:rsidRPr="007E6468">
              <w:rPr>
                <w:rStyle w:val="Emphasis"/>
                <w:rFonts w:eastAsiaTheme="majorEastAsia"/>
                <w:sz w:val="22"/>
                <w:szCs w:val="22"/>
              </w:rPr>
              <w:t>Nephrops norvegicus</w:t>
            </w:r>
            <w:r w:rsidR="004475FF" w:rsidRPr="007E6468">
              <w:rPr>
                <w:sz w:val="22"/>
                <w:szCs w:val="22"/>
              </w:rPr>
              <w:t xml:space="preserve"> individual (SP56) following sporulation of </w:t>
            </w:r>
            <w:r w:rsidR="004475FF" w:rsidRPr="007E6468">
              <w:rPr>
                <w:rStyle w:val="Emphasis"/>
                <w:rFonts w:eastAsiaTheme="majorEastAsia"/>
                <w:sz w:val="22"/>
                <w:szCs w:val="22"/>
              </w:rPr>
              <w:t>Hematodinium</w:t>
            </w:r>
            <w:r w:rsidR="004475FF" w:rsidRPr="007E6468">
              <w:rPr>
                <w:sz w:val="22"/>
                <w:szCs w:val="22"/>
              </w:rPr>
              <w:t xml:space="preserve"> sp. parasites. </w:t>
            </w:r>
            <w:r w:rsidR="004475FF" w:rsidRPr="007E6468">
              <w:rPr>
                <w:rStyle w:val="Strong"/>
                <w:sz w:val="22"/>
                <w:szCs w:val="22"/>
              </w:rPr>
              <w:t>A)</w:t>
            </w:r>
            <w:r w:rsidR="004475FF" w:rsidRPr="007E6468">
              <w:rPr>
                <w:sz w:val="22"/>
                <w:szCs w:val="22"/>
              </w:rPr>
              <w:t xml:space="preserve"> Overview showing disruption of connective tissue within the gonad, while the </w:t>
            </w:r>
            <w:r w:rsidR="004475FF" w:rsidRPr="007E6468">
              <w:rPr>
                <w:i/>
                <w:iCs/>
                <w:sz w:val="22"/>
                <w:szCs w:val="22"/>
              </w:rPr>
              <w:t>vas deferens</w:t>
            </w:r>
            <w:r w:rsidR="004475FF" w:rsidRPr="007E6468">
              <w:rPr>
                <w:sz w:val="22"/>
                <w:szCs w:val="22"/>
              </w:rPr>
              <w:t xml:space="preserve"> appears comparatively less affected. </w:t>
            </w:r>
            <w:r w:rsidR="004475FF" w:rsidRPr="007E6468">
              <w:rPr>
                <w:rStyle w:val="Strong"/>
                <w:sz w:val="22"/>
                <w:szCs w:val="22"/>
              </w:rPr>
              <w:t>B)</w:t>
            </w:r>
            <w:r w:rsidR="004475FF" w:rsidRPr="007E6468">
              <w:rPr>
                <w:sz w:val="22"/>
                <w:szCs w:val="22"/>
              </w:rPr>
              <w:t xml:space="preserve"> Higher magnification of the same tissue highlighting the presence of mononucleated </w:t>
            </w:r>
            <w:r w:rsidR="004475FF" w:rsidRPr="007E6468">
              <w:rPr>
                <w:rStyle w:val="Emphasis"/>
                <w:rFonts w:eastAsiaTheme="majorEastAsia"/>
                <w:sz w:val="22"/>
                <w:szCs w:val="22"/>
              </w:rPr>
              <w:t>Hematodinium</w:t>
            </w:r>
            <w:r w:rsidR="004475FF" w:rsidRPr="007E6468">
              <w:rPr>
                <w:sz w:val="22"/>
                <w:szCs w:val="22"/>
              </w:rPr>
              <w:t xml:space="preserve"> trophonts (black arrow). </w:t>
            </w:r>
            <w:r w:rsidR="004475FF" w:rsidRPr="007E6468">
              <w:rPr>
                <w:rStyle w:val="Emphasis"/>
                <w:rFonts w:eastAsiaTheme="majorEastAsia"/>
                <w:sz w:val="22"/>
                <w:szCs w:val="22"/>
              </w:rPr>
              <w:t>Note: No residual macrospores are observed.</w:t>
            </w:r>
            <w:bookmarkEnd w:id="346"/>
          </w:p>
        </w:tc>
      </w:tr>
    </w:tbl>
    <w:p w14:paraId="184C6E43" w14:textId="77777777" w:rsidR="006A0363" w:rsidRPr="009819CE" w:rsidRDefault="006A0363" w:rsidP="006A0363">
      <w:pPr>
        <w:rPr>
          <w:rFonts w:cstheme="minorBidi"/>
        </w:rPr>
        <w:sectPr w:rsidR="006A0363" w:rsidRPr="009819CE" w:rsidSect="003A7A28">
          <w:pgSz w:w="11906" w:h="16838" w:code="9"/>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6966E00C" w14:textId="77777777" w:rsidTr="007E6468">
        <w:trPr>
          <w:trHeight w:val="9214"/>
        </w:trPr>
        <w:tc>
          <w:tcPr>
            <w:tcW w:w="5000" w:type="pct"/>
          </w:tcPr>
          <w:p w14:paraId="472ECC78" w14:textId="7B0D6E8C" w:rsidR="00280B71" w:rsidRPr="009819CE" w:rsidRDefault="00A41728" w:rsidP="007E6468">
            <w:pPr>
              <w:spacing w:before="0" w:after="0"/>
              <w:rPr>
                <w:rFonts w:cstheme="minorBidi"/>
                <w:lang w:val="en-GB"/>
              </w:rPr>
            </w:pPr>
            <w:r w:rsidRPr="00FF34FE">
              <w:rPr>
                <w:rFonts w:cstheme="minorBidi"/>
                <w:noProof/>
              </w:rPr>
              <w:drawing>
                <wp:inline distT="0" distB="0" distL="0" distR="0" wp14:anchorId="7D562339" wp14:editId="2036695E">
                  <wp:extent cx="5603638" cy="5618538"/>
                  <wp:effectExtent l="0" t="0" r="0" b="1270"/>
                  <wp:docPr id="1493250347" name="Picture 11"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50347" name="Picture 11" descr="A close-up of a microscope&#10;&#10;AI-generated content may be incorrect."/>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605417" cy="5620322"/>
                          </a:xfrm>
                          <a:prstGeom prst="rect">
                            <a:avLst/>
                          </a:prstGeom>
                        </pic:spPr>
                      </pic:pic>
                    </a:graphicData>
                  </a:graphic>
                </wp:inline>
              </w:drawing>
            </w:r>
          </w:p>
        </w:tc>
      </w:tr>
      <w:tr w:rsidR="006A0363" w:rsidRPr="009819CE" w14:paraId="74E81964" w14:textId="77777777" w:rsidTr="007D6607">
        <w:tc>
          <w:tcPr>
            <w:tcW w:w="5000" w:type="pct"/>
          </w:tcPr>
          <w:p w14:paraId="2AAE1F00" w14:textId="53EBC6F0" w:rsidR="006A0363" w:rsidRPr="009819CE" w:rsidRDefault="006A0363" w:rsidP="007D6607">
            <w:pPr>
              <w:spacing w:line="240" w:lineRule="auto"/>
              <w:rPr>
                <w:rFonts w:cstheme="minorBidi"/>
                <w:sz w:val="22"/>
                <w:szCs w:val="22"/>
                <w:lang w:val="en-GB"/>
              </w:rPr>
            </w:pPr>
            <w:bookmarkStart w:id="347" w:name="_Ref136793278"/>
            <w:bookmarkStart w:id="348" w:name="_Toc204106745"/>
            <w:r w:rsidRPr="009819CE">
              <w:rPr>
                <w:rFonts w:cstheme="minorBidi"/>
                <w:b/>
                <w:bCs/>
                <w:sz w:val="22"/>
                <w:szCs w:val="22"/>
                <w:lang w:val="en-GB"/>
              </w:rPr>
              <w:t xml:space="preserve">Figure </w:t>
            </w:r>
            <w:r w:rsidRPr="007E6468">
              <w:rPr>
                <w:rFonts w:cstheme="minorBidi"/>
                <w:b/>
                <w:bCs/>
                <w:sz w:val="22"/>
              </w:rPr>
              <w:fldChar w:fldCharType="begin"/>
            </w:r>
            <w:r w:rsidRPr="009819CE">
              <w:rPr>
                <w:rFonts w:cstheme="minorBidi"/>
                <w:b/>
                <w:bCs/>
                <w:sz w:val="22"/>
                <w:szCs w:val="22"/>
                <w:lang w:val="en-GB"/>
              </w:rPr>
              <w:instrText xml:space="preserve"> STYLEREF 1 \s </w:instrText>
            </w:r>
            <w:r w:rsidRPr="007E6468">
              <w:rPr>
                <w:rFonts w:cstheme="minorBidi"/>
                <w:b/>
                <w:bCs/>
                <w:sz w:val="22"/>
              </w:rPr>
              <w:fldChar w:fldCharType="separate"/>
            </w:r>
            <w:r w:rsidR="008549FC">
              <w:rPr>
                <w:rFonts w:cstheme="minorBidi"/>
                <w:b/>
                <w:bCs/>
                <w:noProof/>
                <w:sz w:val="22"/>
                <w:szCs w:val="22"/>
                <w:lang w:val="en-GB"/>
              </w:rPr>
              <w:t>4</w:t>
            </w:r>
            <w:r w:rsidRPr="007E6468">
              <w:rPr>
                <w:rFonts w:cstheme="minorBidi"/>
                <w:b/>
                <w:bCs/>
                <w:sz w:val="22"/>
              </w:rPr>
              <w:fldChar w:fldCharType="end"/>
            </w:r>
            <w:r w:rsidRPr="009819CE">
              <w:rPr>
                <w:rFonts w:cstheme="minorBidi"/>
                <w:b/>
                <w:bCs/>
                <w:sz w:val="22"/>
                <w:szCs w:val="22"/>
                <w:lang w:val="en-GB"/>
              </w:rPr>
              <w:t>.</w:t>
            </w:r>
            <w:r w:rsidRPr="007E6468">
              <w:rPr>
                <w:rFonts w:cstheme="minorBidi"/>
                <w:b/>
                <w:bCs/>
                <w:sz w:val="22"/>
              </w:rPr>
              <w:fldChar w:fldCharType="begin"/>
            </w:r>
            <w:r w:rsidRPr="009819CE">
              <w:rPr>
                <w:rFonts w:cstheme="minorBidi"/>
                <w:b/>
                <w:bCs/>
                <w:sz w:val="22"/>
                <w:szCs w:val="22"/>
                <w:lang w:val="en-GB"/>
              </w:rPr>
              <w:instrText xml:space="preserve"> SEQ Figure \* ARABIC \s 1 </w:instrText>
            </w:r>
            <w:r w:rsidRPr="007E6468">
              <w:rPr>
                <w:rFonts w:cstheme="minorBidi"/>
                <w:b/>
                <w:bCs/>
                <w:sz w:val="22"/>
              </w:rPr>
              <w:fldChar w:fldCharType="separate"/>
            </w:r>
            <w:r w:rsidR="008549FC">
              <w:rPr>
                <w:rFonts w:cstheme="minorBidi"/>
                <w:b/>
                <w:bCs/>
                <w:noProof/>
                <w:sz w:val="22"/>
                <w:szCs w:val="22"/>
                <w:lang w:val="en-GB"/>
              </w:rPr>
              <w:t>7</w:t>
            </w:r>
            <w:r w:rsidRPr="007E6468">
              <w:rPr>
                <w:rFonts w:cstheme="minorBidi"/>
                <w:b/>
                <w:bCs/>
                <w:sz w:val="22"/>
              </w:rPr>
              <w:fldChar w:fldCharType="end"/>
            </w:r>
            <w:bookmarkEnd w:id="347"/>
            <w:r w:rsidRPr="009819CE">
              <w:rPr>
                <w:rFonts w:cstheme="minorBidi"/>
                <w:sz w:val="22"/>
                <w:szCs w:val="22"/>
                <w:lang w:val="en-GB"/>
              </w:rPr>
              <w:t xml:space="preserve"> </w:t>
            </w:r>
            <w:r w:rsidR="006E3229" w:rsidRPr="007E6468">
              <w:rPr>
                <w:sz w:val="22"/>
                <w:szCs w:val="22"/>
              </w:rPr>
              <w:t xml:space="preserve">Muscle tissue of a </w:t>
            </w:r>
            <w:r w:rsidR="006E3229" w:rsidRPr="007E6468">
              <w:rPr>
                <w:rStyle w:val="Emphasis"/>
                <w:rFonts w:eastAsiaTheme="majorEastAsia"/>
                <w:sz w:val="22"/>
                <w:szCs w:val="22"/>
              </w:rPr>
              <w:t>Nephrops norvegicus</w:t>
            </w:r>
            <w:r w:rsidR="006E3229" w:rsidRPr="007E6468">
              <w:rPr>
                <w:sz w:val="22"/>
                <w:szCs w:val="22"/>
              </w:rPr>
              <w:t xml:space="preserve"> individual (SP56) following sporulation of </w:t>
            </w:r>
            <w:r w:rsidR="006E3229" w:rsidRPr="007E6468">
              <w:rPr>
                <w:rStyle w:val="Emphasis"/>
                <w:rFonts w:eastAsiaTheme="majorEastAsia"/>
                <w:sz w:val="22"/>
                <w:szCs w:val="22"/>
              </w:rPr>
              <w:t>Hematodinium</w:t>
            </w:r>
            <w:r w:rsidR="006E3229" w:rsidRPr="007E6468">
              <w:rPr>
                <w:sz w:val="22"/>
                <w:szCs w:val="22"/>
              </w:rPr>
              <w:t xml:space="preserve"> sp. parasites. </w:t>
            </w:r>
            <w:r w:rsidR="006E3229" w:rsidRPr="007E6468">
              <w:rPr>
                <w:rStyle w:val="Strong"/>
                <w:sz w:val="22"/>
                <w:szCs w:val="22"/>
              </w:rPr>
              <w:t>A)</w:t>
            </w:r>
            <w:r w:rsidR="006E3229" w:rsidRPr="007E6468">
              <w:rPr>
                <w:sz w:val="22"/>
                <w:szCs w:val="22"/>
              </w:rPr>
              <w:t xml:space="preserve"> Overview showing disruption of connective tissue between muscle fibres and infiltration by </w:t>
            </w:r>
            <w:r w:rsidR="006E3229" w:rsidRPr="007E6468">
              <w:rPr>
                <w:rStyle w:val="Emphasis"/>
                <w:rFonts w:eastAsiaTheme="majorEastAsia"/>
                <w:sz w:val="22"/>
                <w:szCs w:val="22"/>
              </w:rPr>
              <w:t>Hematodinium</w:t>
            </w:r>
            <w:r w:rsidR="006E3229" w:rsidRPr="007E6468">
              <w:rPr>
                <w:sz w:val="22"/>
                <w:szCs w:val="22"/>
              </w:rPr>
              <w:t xml:space="preserve"> parasites. </w:t>
            </w:r>
            <w:r w:rsidR="006E3229" w:rsidRPr="007E6468">
              <w:rPr>
                <w:rStyle w:val="Strong"/>
                <w:sz w:val="22"/>
                <w:szCs w:val="22"/>
              </w:rPr>
              <w:t>B)</w:t>
            </w:r>
            <w:r w:rsidR="006E3229" w:rsidRPr="007E6468">
              <w:rPr>
                <w:sz w:val="22"/>
                <w:szCs w:val="22"/>
              </w:rPr>
              <w:t xml:space="preserve"> Higher magnification of the same tissue highlighting the presence of mononucleated trophonts (black arrow). </w:t>
            </w:r>
            <w:r w:rsidR="006E3229" w:rsidRPr="007E6468">
              <w:rPr>
                <w:rStyle w:val="Emphasis"/>
                <w:rFonts w:eastAsiaTheme="majorEastAsia"/>
                <w:sz w:val="22"/>
                <w:szCs w:val="22"/>
              </w:rPr>
              <w:t>Note: No residual macrospores are observed in the tissue.</w:t>
            </w:r>
            <w:bookmarkEnd w:id="348"/>
          </w:p>
        </w:tc>
      </w:tr>
    </w:tbl>
    <w:p w14:paraId="0722FBBB" w14:textId="77777777" w:rsidR="006A0363" w:rsidRPr="009819CE" w:rsidRDefault="006A0363" w:rsidP="006A0363">
      <w:pPr>
        <w:rPr>
          <w:rFonts w:cstheme="minorBidi"/>
        </w:rPr>
      </w:pPr>
    </w:p>
    <w:p w14:paraId="641FE5B6" w14:textId="77777777" w:rsidR="006A0363" w:rsidRPr="009819CE" w:rsidRDefault="006A0363" w:rsidP="006A0363">
      <w:pPr>
        <w:rPr>
          <w:rFonts w:cstheme="minorBidi"/>
        </w:rPr>
        <w:sectPr w:rsidR="006A0363" w:rsidRPr="009819CE" w:rsidSect="003A7A28">
          <w:pgSz w:w="11906" w:h="16838" w:code="9"/>
          <w:pgMar w:top="1440" w:right="1440" w:bottom="1440" w:left="1440" w:header="708" w:footer="708" w:gutter="0"/>
          <w:cols w:space="708"/>
          <w:docGrid w:linePitch="360"/>
        </w:sectPr>
      </w:pPr>
    </w:p>
    <w:p w14:paraId="36BC5A79" w14:textId="761E96B2" w:rsidR="006A0363" w:rsidRPr="009819CE" w:rsidRDefault="006A0363" w:rsidP="00B3468E">
      <w:pPr>
        <w:pStyle w:val="Heading3"/>
        <w:rPr>
          <w:rFonts w:cstheme="minorBidi"/>
        </w:rPr>
      </w:pPr>
      <w:bookmarkStart w:id="349" w:name="_Toc204106676"/>
      <w:r w:rsidRPr="009819CE">
        <w:rPr>
          <w:rFonts w:cstheme="minorBidi"/>
        </w:rPr>
        <w:t xml:space="preserve">Body </w:t>
      </w:r>
      <w:r w:rsidR="00F7771A">
        <w:rPr>
          <w:rFonts w:cstheme="minorBidi"/>
        </w:rPr>
        <w:t>i</w:t>
      </w:r>
      <w:r w:rsidRPr="009819CE">
        <w:rPr>
          <w:rFonts w:cstheme="minorBidi"/>
        </w:rPr>
        <w:t xml:space="preserve">ndices and </w:t>
      </w:r>
      <w:r w:rsidR="00F7771A">
        <w:rPr>
          <w:rFonts w:cstheme="minorBidi"/>
        </w:rPr>
        <w:t>l</w:t>
      </w:r>
      <w:r w:rsidRPr="009819CE">
        <w:rPr>
          <w:rFonts w:cstheme="minorBidi"/>
        </w:rPr>
        <w:t xml:space="preserve">ipid </w:t>
      </w:r>
      <w:r w:rsidR="00F7771A">
        <w:rPr>
          <w:rFonts w:cstheme="minorBidi"/>
        </w:rPr>
        <w:t>c</w:t>
      </w:r>
      <w:r w:rsidRPr="009819CE">
        <w:rPr>
          <w:rFonts w:cstheme="minorBidi"/>
        </w:rPr>
        <w:t xml:space="preserve">ontent in </w:t>
      </w:r>
      <w:r w:rsidR="00C31E47" w:rsidRPr="009819CE">
        <w:rPr>
          <w:rFonts w:cstheme="minorBidi"/>
          <w:i/>
        </w:rPr>
        <w:t>Nephrops</w:t>
      </w:r>
      <w:r w:rsidRPr="009819CE">
        <w:rPr>
          <w:rFonts w:cstheme="minorBidi"/>
        </w:rPr>
        <w:t xml:space="preserve"> hepatopancreas and spores</w:t>
      </w:r>
      <w:bookmarkEnd w:id="349"/>
    </w:p>
    <w:p w14:paraId="72E7A840" w14:textId="37B604F9" w:rsidR="006A0363" w:rsidRPr="009819CE" w:rsidRDefault="006A0363" w:rsidP="006A0363">
      <w:pPr>
        <w:rPr>
          <w:rFonts w:cstheme="minorBidi"/>
        </w:rPr>
      </w:pPr>
      <w:r w:rsidRPr="009819CE">
        <w:rPr>
          <w:rFonts w:cstheme="minorBidi"/>
        </w:rPr>
        <w:t xml:space="preserve">Data on body weight and hepatosomatic index (HSI) were collected from BCM-negative (n=3) individuals, BCM-positive (n=26) individuals, and sporulated individuals (n=3). Neither the body weight nor the HSI exhibited a significant difference between infected and non-infected individuals </w:t>
      </w:r>
      <w:r w:rsidR="00BF1C2C" w:rsidRPr="00FA7D47">
        <w:rPr>
          <w:rFonts w:cstheme="minorBidi"/>
        </w:rPr>
        <w:t>(</w:t>
      </w:r>
      <w:r w:rsidR="00E259AE">
        <w:rPr>
          <w:rFonts w:cstheme="minorBidi"/>
        </w:rPr>
        <w:t>p</w:t>
      </w:r>
      <w:r w:rsidR="00BF1C2C" w:rsidRPr="00FA7D47">
        <w:rPr>
          <w:rFonts w:cstheme="minorBidi"/>
        </w:rPr>
        <w:t xml:space="preserve">&gt;0.05) </w:t>
      </w:r>
      <w:r w:rsidRPr="009819CE">
        <w:rPr>
          <w:rFonts w:cstheme="minorBidi"/>
        </w:rPr>
        <w:t>using both the BCM and PM diagnostic methods (</w:t>
      </w:r>
      <w:r w:rsidRPr="009819CE">
        <w:rPr>
          <w:rFonts w:cstheme="minorBidi"/>
          <w:b/>
          <w:bCs/>
        </w:rPr>
        <w:fldChar w:fldCharType="begin"/>
      </w:r>
      <w:r w:rsidRPr="009819CE">
        <w:rPr>
          <w:rFonts w:cstheme="minorBidi"/>
          <w:b/>
          <w:bCs/>
        </w:rPr>
        <w:instrText xml:space="preserve"> REF _Ref136884404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4.8</w:t>
      </w:r>
      <w:r w:rsidRPr="009819CE">
        <w:rPr>
          <w:rFonts w:cstheme="minorBidi"/>
          <w:b/>
          <w:bCs/>
        </w:rPr>
        <w:fldChar w:fldCharType="end"/>
      </w:r>
      <w:r w:rsidRPr="009819CE">
        <w:rPr>
          <w:rFonts w:cstheme="minorBidi"/>
        </w:rPr>
        <w:t xml:space="preserve">). </w:t>
      </w:r>
    </w:p>
    <w:p w14:paraId="6F8FD194" w14:textId="26B22812" w:rsidR="006A0363" w:rsidRPr="009819CE" w:rsidRDefault="006A0363" w:rsidP="00F103A8">
      <w:pPr>
        <w:rPr>
          <w:rFonts w:cstheme="minorBidi"/>
        </w:rPr>
        <w:sectPr w:rsidR="006A0363" w:rsidRPr="009819CE" w:rsidSect="003A7A28">
          <w:footerReference w:type="default" r:id="rId105"/>
          <w:pgSz w:w="11906" w:h="16838" w:code="9"/>
          <w:pgMar w:top="1440" w:right="1440" w:bottom="1440" w:left="1440" w:header="708" w:footer="708" w:gutter="0"/>
          <w:cols w:space="708"/>
          <w:docGrid w:linePitch="360"/>
        </w:sectPr>
      </w:pPr>
      <w:r w:rsidRPr="009819CE">
        <w:rPr>
          <w:rFonts w:cstheme="minorBidi"/>
        </w:rPr>
        <w:t xml:space="preserve">Lipid percentages were analysed in the hepatopancreas of </w:t>
      </w:r>
      <w:r w:rsidR="00C31E47" w:rsidRPr="009819CE">
        <w:rPr>
          <w:rFonts w:cstheme="minorBidi"/>
          <w:i/>
          <w:iCs/>
        </w:rPr>
        <w:t>Nephrops</w:t>
      </w:r>
      <w:r w:rsidRPr="009819CE">
        <w:rPr>
          <w:rFonts w:cstheme="minorBidi"/>
        </w:rPr>
        <w:t xml:space="preserve">, including individuals from </w:t>
      </w:r>
      <w:r w:rsidR="009D03F4" w:rsidRPr="009819CE">
        <w:rPr>
          <w:rFonts w:cstheme="minorBidi"/>
          <w:i/>
        </w:rPr>
        <w:t>Hematodinium</w:t>
      </w:r>
      <w:r w:rsidRPr="009819CE">
        <w:rPr>
          <w:rFonts w:cstheme="minorBidi"/>
        </w:rPr>
        <w:t xml:space="preserve"> BCM negative (n=11) and BCM positive (n=29) groups, as well as macrospores (n=3) and the sporulated host hepatopancreas (n=3). Among the BCM-negative group, only 6 individuals were classified as stage 0, while the remaining individuals (n=5) were categorized as stage 1. In the BCM-positive group, the distribution of stages for PM infection was as follows: stage 1 (n=5), stage 2 (n=6), stage 3 (n=10), and stage 4 (n=8). The three sporulated host hepatopancreas analysed exhibited a PM stage 3.  As shown in </w:t>
      </w:r>
      <w:r w:rsidRPr="009819CE">
        <w:rPr>
          <w:rFonts w:cstheme="minorBidi"/>
          <w:b/>
          <w:bCs/>
        </w:rPr>
        <w:fldChar w:fldCharType="begin"/>
      </w:r>
      <w:r w:rsidRPr="009819CE">
        <w:rPr>
          <w:rFonts w:cstheme="minorBidi"/>
          <w:b/>
          <w:bCs/>
        </w:rPr>
        <w:instrText xml:space="preserve"> REF _Ref136888816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4.9</w:t>
      </w:r>
      <w:r w:rsidRPr="009819CE">
        <w:rPr>
          <w:rFonts w:cstheme="minorBidi"/>
          <w:b/>
          <w:bCs/>
        </w:rPr>
        <w:fldChar w:fldCharType="end"/>
      </w:r>
      <w:r w:rsidR="007B055E" w:rsidRPr="00FA7D47">
        <w:rPr>
          <w:rFonts w:cstheme="minorBidi"/>
          <w:b/>
          <w:bCs/>
        </w:rPr>
        <w:t>,</w:t>
      </w:r>
      <w:r w:rsidRPr="009819CE">
        <w:rPr>
          <w:rFonts w:cstheme="minorBidi"/>
        </w:rPr>
        <w:t xml:space="preserve"> no significant variations were observed in the lipid content among the different levels of </w:t>
      </w:r>
      <w:r w:rsidR="009D03F4" w:rsidRPr="009819CE">
        <w:rPr>
          <w:rFonts w:cstheme="minorBidi"/>
          <w:i/>
          <w:iCs/>
        </w:rPr>
        <w:t>Hematodinium</w:t>
      </w:r>
      <w:r w:rsidRPr="009819CE">
        <w:rPr>
          <w:rFonts w:cstheme="minorBidi"/>
        </w:rPr>
        <w:t xml:space="preserve"> </w:t>
      </w:r>
      <w:r w:rsidR="006710DA" w:rsidRPr="009819CE">
        <w:rPr>
          <w:rFonts w:cstheme="minorBidi"/>
        </w:rPr>
        <w:t xml:space="preserve">sp. </w:t>
      </w:r>
      <w:r w:rsidRPr="009819CE">
        <w:rPr>
          <w:rFonts w:cstheme="minorBidi"/>
        </w:rPr>
        <w:t xml:space="preserve">infection or between the spores and the host hepatopancreas.  </w:t>
      </w:r>
      <w:r w:rsidR="00911B39" w:rsidRPr="009819CE">
        <w:rPr>
          <w:rFonts w:cstheme="minorBidi"/>
        </w:rPr>
        <w:t xml:space="preserve">However, </w:t>
      </w:r>
      <w:r w:rsidR="00F103A8" w:rsidRPr="009819CE">
        <w:rPr>
          <w:rFonts w:cstheme="minorBidi"/>
          <w:b/>
          <w:bCs/>
        </w:rPr>
        <w:fldChar w:fldCharType="begin"/>
      </w:r>
      <w:r w:rsidR="00F103A8" w:rsidRPr="009819CE">
        <w:rPr>
          <w:rFonts w:cstheme="minorBidi"/>
          <w:b/>
          <w:bCs/>
        </w:rPr>
        <w:instrText xml:space="preserve"> REF _Ref136888816 \h  \* MERGEFORMAT </w:instrText>
      </w:r>
      <w:r w:rsidR="00F103A8" w:rsidRPr="009819CE">
        <w:rPr>
          <w:rFonts w:cstheme="minorBidi"/>
          <w:b/>
          <w:bCs/>
        </w:rPr>
      </w:r>
      <w:r w:rsidR="00F103A8" w:rsidRPr="009819CE">
        <w:rPr>
          <w:rFonts w:cstheme="minorBidi"/>
          <w:b/>
          <w:bCs/>
        </w:rPr>
        <w:fldChar w:fldCharType="separate"/>
      </w:r>
      <w:r w:rsidR="008549FC" w:rsidRPr="008549FC">
        <w:rPr>
          <w:rFonts w:cstheme="minorBidi"/>
          <w:b/>
          <w:bCs/>
        </w:rPr>
        <w:t>Figure 4.9</w:t>
      </w:r>
      <w:r w:rsidR="00F103A8" w:rsidRPr="009819CE">
        <w:rPr>
          <w:rFonts w:cstheme="minorBidi"/>
          <w:b/>
          <w:bCs/>
        </w:rPr>
        <w:fldChar w:fldCharType="end"/>
      </w:r>
      <w:r w:rsidR="00F103A8" w:rsidRPr="009819CE">
        <w:rPr>
          <w:rFonts w:cstheme="minorBidi"/>
        </w:rPr>
        <w:t>A illustrates considerable variability in H</w:t>
      </w:r>
      <w:r w:rsidR="00911B39" w:rsidRPr="009819CE">
        <w:rPr>
          <w:rFonts w:cstheme="minorBidi"/>
        </w:rPr>
        <w:t>SI</w:t>
      </w:r>
      <w:r w:rsidR="00F103A8" w:rsidRPr="009819CE">
        <w:rPr>
          <w:rFonts w:cstheme="minorBidi"/>
        </w:rPr>
        <w:t xml:space="preserve"> between individuals, while </w:t>
      </w:r>
      <w:r w:rsidR="00911B39" w:rsidRPr="009819CE">
        <w:rPr>
          <w:rFonts w:cstheme="minorBidi"/>
          <w:b/>
          <w:bCs/>
        </w:rPr>
        <w:fldChar w:fldCharType="begin"/>
      </w:r>
      <w:r w:rsidR="00911B39" w:rsidRPr="009819CE">
        <w:rPr>
          <w:rFonts w:cstheme="minorBidi"/>
          <w:b/>
          <w:bCs/>
        </w:rPr>
        <w:instrText xml:space="preserve"> REF _Ref136888816 \h  \* MERGEFORMAT </w:instrText>
      </w:r>
      <w:r w:rsidR="00911B39" w:rsidRPr="009819CE">
        <w:rPr>
          <w:rFonts w:cstheme="minorBidi"/>
          <w:b/>
          <w:bCs/>
        </w:rPr>
      </w:r>
      <w:r w:rsidR="00911B39" w:rsidRPr="009819CE">
        <w:rPr>
          <w:rFonts w:cstheme="minorBidi"/>
          <w:b/>
          <w:bCs/>
        </w:rPr>
        <w:fldChar w:fldCharType="separate"/>
      </w:r>
      <w:r w:rsidR="008549FC" w:rsidRPr="008549FC">
        <w:rPr>
          <w:rFonts w:cstheme="minorBidi"/>
          <w:b/>
          <w:bCs/>
        </w:rPr>
        <w:t>Figure 4.9</w:t>
      </w:r>
      <w:r w:rsidR="00911B39" w:rsidRPr="009819CE">
        <w:rPr>
          <w:rFonts w:cstheme="minorBidi"/>
          <w:b/>
          <w:bCs/>
        </w:rPr>
        <w:fldChar w:fldCharType="end"/>
      </w:r>
      <w:r w:rsidR="00911B39" w:rsidRPr="009819CE">
        <w:rPr>
          <w:rFonts w:cstheme="minorBidi"/>
        </w:rPr>
        <w:t xml:space="preserve">B  </w:t>
      </w:r>
      <w:r w:rsidR="00F103A8" w:rsidRPr="009819CE">
        <w:rPr>
          <w:rFonts w:cstheme="minorBidi"/>
        </w:rPr>
        <w:t>shows fluctuations in lipid content across different pleopod stages. Notably, there is minimal variability in lipid content within the spores, suggesting a consistent targeting of a specific lipid quantity</w:t>
      </w:r>
      <w:r w:rsidR="00911B39" w:rsidRPr="009819CE">
        <w:rPr>
          <w:rFonts w:cstheme="minorBidi"/>
        </w:rPr>
        <w:t xml:space="preserve"> (</w:t>
      </w:r>
      <w:r w:rsidR="00911B39" w:rsidRPr="009819CE">
        <w:rPr>
          <w:rFonts w:cstheme="minorBidi"/>
          <w:b/>
          <w:bCs/>
        </w:rPr>
        <w:fldChar w:fldCharType="begin"/>
      </w:r>
      <w:r w:rsidR="00911B39" w:rsidRPr="009819CE">
        <w:rPr>
          <w:rFonts w:cstheme="minorBidi"/>
          <w:b/>
          <w:bCs/>
        </w:rPr>
        <w:instrText xml:space="preserve"> REF _Ref136888816 \h  \* MERGEFORMAT </w:instrText>
      </w:r>
      <w:r w:rsidR="00911B39" w:rsidRPr="009819CE">
        <w:rPr>
          <w:rFonts w:cstheme="minorBidi"/>
          <w:b/>
          <w:bCs/>
        </w:rPr>
      </w:r>
      <w:r w:rsidR="00911B39" w:rsidRPr="009819CE">
        <w:rPr>
          <w:rFonts w:cstheme="minorBidi"/>
          <w:b/>
          <w:bCs/>
        </w:rPr>
        <w:fldChar w:fldCharType="separate"/>
      </w:r>
      <w:r w:rsidR="008549FC" w:rsidRPr="008549FC">
        <w:rPr>
          <w:rFonts w:cstheme="minorBidi"/>
          <w:b/>
          <w:bCs/>
        </w:rPr>
        <w:t>Figure 4.9</w:t>
      </w:r>
      <w:r w:rsidR="00911B39" w:rsidRPr="009819CE">
        <w:rPr>
          <w:rFonts w:cstheme="minorBidi"/>
          <w:b/>
          <w:bCs/>
        </w:rPr>
        <w:fldChar w:fldCharType="end"/>
      </w:r>
      <w:r w:rsidR="00911B39" w:rsidRPr="009819CE">
        <w:rPr>
          <w:rFonts w:cstheme="minorBidi"/>
        </w:rPr>
        <w:t>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1354B098" w14:textId="77777777" w:rsidTr="007E6468">
        <w:tc>
          <w:tcPr>
            <w:tcW w:w="5000" w:type="pct"/>
          </w:tcPr>
          <w:p w14:paraId="0C0B39EA" w14:textId="1B4FC305" w:rsidR="00B26CA4" w:rsidRPr="00B26CA4" w:rsidRDefault="00B26CA4" w:rsidP="00B26CA4">
            <w:pPr>
              <w:spacing w:before="100" w:beforeAutospacing="1" w:after="100" w:afterAutospacing="1" w:line="240" w:lineRule="auto"/>
              <w:jc w:val="left"/>
              <w:rPr>
                <w:rFonts w:ascii="Times New Roman" w:hAnsi="Times New Roman"/>
              </w:rPr>
            </w:pPr>
            <w:r w:rsidRPr="00B26CA4">
              <w:rPr>
                <w:rFonts w:ascii="Times New Roman" w:hAnsi="Times New Roman"/>
                <w:noProof/>
              </w:rPr>
              <w:drawing>
                <wp:inline distT="0" distB="0" distL="0" distR="0" wp14:anchorId="23BC5B67" wp14:editId="3684EFA3">
                  <wp:extent cx="5507502" cy="5507502"/>
                  <wp:effectExtent l="0" t="0" r="0" b="0"/>
                  <wp:docPr id="13011435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508522" cy="5508522"/>
                          </a:xfrm>
                          <a:prstGeom prst="rect">
                            <a:avLst/>
                          </a:prstGeom>
                          <a:noFill/>
                          <a:ln>
                            <a:noFill/>
                          </a:ln>
                        </pic:spPr>
                      </pic:pic>
                    </a:graphicData>
                  </a:graphic>
                </wp:inline>
              </w:drawing>
            </w:r>
          </w:p>
          <w:p w14:paraId="68A815AE" w14:textId="69A11C38" w:rsidR="006A0363" w:rsidRPr="009819CE" w:rsidRDefault="006A0363" w:rsidP="007E6468">
            <w:pPr>
              <w:spacing w:before="0" w:after="0"/>
              <w:jc w:val="center"/>
              <w:rPr>
                <w:rFonts w:cstheme="minorBidi"/>
                <w:lang w:val="en-GB"/>
              </w:rPr>
            </w:pPr>
          </w:p>
        </w:tc>
      </w:tr>
      <w:tr w:rsidR="006A0363" w:rsidRPr="00FA7D47" w14:paraId="41975DAD" w14:textId="77777777" w:rsidTr="007E6468">
        <w:tc>
          <w:tcPr>
            <w:tcW w:w="5000" w:type="pct"/>
          </w:tcPr>
          <w:p w14:paraId="33077EC7" w14:textId="738C2D17" w:rsidR="006A0363" w:rsidRPr="007E6468" w:rsidRDefault="006A0363" w:rsidP="00371147">
            <w:pPr>
              <w:spacing w:line="240" w:lineRule="auto"/>
              <w:rPr>
                <w:rFonts w:cstheme="minorBidi"/>
                <w:sz w:val="22"/>
                <w:szCs w:val="18"/>
                <w:lang w:val="en-GB"/>
              </w:rPr>
            </w:pPr>
            <w:bookmarkStart w:id="350" w:name="_Ref136884404"/>
            <w:bookmarkStart w:id="351" w:name="_Toc204106746"/>
            <w:r w:rsidRPr="009819CE">
              <w:rPr>
                <w:rFonts w:cstheme="minorBidi"/>
                <w:b/>
                <w:bCs/>
                <w:sz w:val="22"/>
                <w:szCs w:val="18"/>
                <w:lang w:val="en-GB"/>
              </w:rPr>
              <w:t xml:space="preserve">Figure </w:t>
            </w:r>
            <w:r w:rsidRPr="007E6468">
              <w:rPr>
                <w:rFonts w:cstheme="minorBidi"/>
                <w:b/>
                <w:bCs/>
                <w:sz w:val="22"/>
                <w:szCs w:val="18"/>
              </w:rPr>
              <w:fldChar w:fldCharType="begin"/>
            </w:r>
            <w:r w:rsidRPr="009819CE">
              <w:rPr>
                <w:rFonts w:cstheme="minorBidi"/>
                <w:b/>
                <w:bCs/>
                <w:sz w:val="22"/>
                <w:szCs w:val="18"/>
                <w:lang w:val="en-GB"/>
              </w:rPr>
              <w:instrText xml:space="preserve"> STYLEREF 1 \s </w:instrText>
            </w:r>
            <w:r w:rsidRPr="007E6468">
              <w:rPr>
                <w:rFonts w:cstheme="minorBidi"/>
                <w:b/>
                <w:bCs/>
                <w:sz w:val="22"/>
                <w:szCs w:val="18"/>
              </w:rPr>
              <w:fldChar w:fldCharType="separate"/>
            </w:r>
            <w:r w:rsidR="008549FC">
              <w:rPr>
                <w:rFonts w:cstheme="minorBidi"/>
                <w:b/>
                <w:bCs/>
                <w:noProof/>
                <w:sz w:val="22"/>
                <w:szCs w:val="18"/>
                <w:lang w:val="en-GB"/>
              </w:rPr>
              <w:t>4</w:t>
            </w:r>
            <w:r w:rsidRPr="007E6468">
              <w:rPr>
                <w:rFonts w:cstheme="minorBidi"/>
                <w:b/>
                <w:bCs/>
                <w:sz w:val="22"/>
                <w:szCs w:val="18"/>
              </w:rPr>
              <w:fldChar w:fldCharType="end"/>
            </w:r>
            <w:r w:rsidRPr="009819CE">
              <w:rPr>
                <w:rFonts w:cstheme="minorBidi"/>
                <w:b/>
                <w:bCs/>
                <w:sz w:val="22"/>
                <w:szCs w:val="18"/>
                <w:lang w:val="en-GB"/>
              </w:rPr>
              <w:t>.</w:t>
            </w:r>
            <w:r w:rsidRPr="007E6468">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7E6468">
              <w:rPr>
                <w:rFonts w:cstheme="minorBidi"/>
                <w:b/>
                <w:bCs/>
                <w:sz w:val="22"/>
                <w:szCs w:val="18"/>
              </w:rPr>
              <w:fldChar w:fldCharType="separate"/>
            </w:r>
            <w:r w:rsidR="008549FC">
              <w:rPr>
                <w:rFonts w:cstheme="minorBidi"/>
                <w:b/>
                <w:bCs/>
                <w:noProof/>
                <w:sz w:val="22"/>
                <w:szCs w:val="18"/>
                <w:lang w:val="en-GB"/>
              </w:rPr>
              <w:t>8</w:t>
            </w:r>
            <w:r w:rsidRPr="007E6468">
              <w:rPr>
                <w:rFonts w:cstheme="minorBidi"/>
                <w:b/>
                <w:bCs/>
                <w:sz w:val="22"/>
                <w:szCs w:val="18"/>
              </w:rPr>
              <w:fldChar w:fldCharType="end"/>
            </w:r>
            <w:bookmarkEnd w:id="350"/>
            <w:r w:rsidRPr="009819CE">
              <w:rPr>
                <w:rFonts w:cstheme="minorBidi"/>
                <w:sz w:val="22"/>
                <w:szCs w:val="18"/>
                <w:lang w:val="en-GB"/>
              </w:rPr>
              <w:t xml:space="preserve"> </w:t>
            </w:r>
            <w:r w:rsidR="00371147" w:rsidRPr="00371147">
              <w:rPr>
                <w:rFonts w:cstheme="minorBidi"/>
                <w:sz w:val="22"/>
                <w:szCs w:val="18"/>
                <w:lang w:val="en-GB"/>
              </w:rPr>
              <w:t xml:space="preserve">Hepatosomatic index (HSI, %) in </w:t>
            </w:r>
            <w:r w:rsidR="00371147" w:rsidRPr="007E6468">
              <w:rPr>
                <w:rFonts w:cstheme="minorBidi"/>
                <w:i/>
                <w:iCs/>
                <w:sz w:val="22"/>
                <w:szCs w:val="18"/>
              </w:rPr>
              <w:t>Nephrops norvegicus</w:t>
            </w:r>
            <w:r w:rsidR="00371147" w:rsidRPr="00371147">
              <w:rPr>
                <w:rFonts w:cstheme="minorBidi"/>
                <w:sz w:val="22"/>
                <w:szCs w:val="18"/>
                <w:lang w:val="en-GB"/>
              </w:rPr>
              <w:t xml:space="preserve"> infected with </w:t>
            </w:r>
            <w:r w:rsidR="00371147" w:rsidRPr="007E6468">
              <w:rPr>
                <w:rFonts w:cstheme="minorBidi"/>
                <w:i/>
                <w:iCs/>
                <w:sz w:val="22"/>
                <w:szCs w:val="18"/>
              </w:rPr>
              <w:t>Hematodinium</w:t>
            </w:r>
            <w:r w:rsidR="00371147" w:rsidRPr="00371147">
              <w:rPr>
                <w:rFonts w:cstheme="minorBidi"/>
                <w:sz w:val="22"/>
                <w:szCs w:val="18"/>
                <w:lang w:val="en-GB"/>
              </w:rPr>
              <w:t xml:space="preserve"> sp.</w:t>
            </w:r>
            <w:r w:rsidR="00371147">
              <w:rPr>
                <w:rFonts w:cstheme="minorBidi"/>
                <w:sz w:val="22"/>
                <w:szCs w:val="18"/>
                <w:lang w:val="en-GB"/>
              </w:rPr>
              <w:t xml:space="preserve"> </w:t>
            </w:r>
            <w:r w:rsidR="00371147" w:rsidRPr="007E6468">
              <w:rPr>
                <w:rFonts w:cstheme="minorBidi"/>
                <w:b/>
                <w:bCs/>
                <w:sz w:val="22"/>
                <w:szCs w:val="18"/>
              </w:rPr>
              <w:t>A)</w:t>
            </w:r>
            <w:r w:rsidR="00371147" w:rsidRPr="00371147">
              <w:rPr>
                <w:rFonts w:cstheme="minorBidi"/>
                <w:sz w:val="22"/>
                <w:szCs w:val="18"/>
                <w:lang w:val="en-GB"/>
              </w:rPr>
              <w:t xml:space="preserve"> HSI in individuals classified as BCM-positive (</w:t>
            </w:r>
            <w:r w:rsidR="00865AFD">
              <w:rPr>
                <w:rFonts w:cstheme="minorBidi"/>
                <w:sz w:val="22"/>
                <w:szCs w:val="18"/>
                <w:lang w:val="en-GB"/>
              </w:rPr>
              <w:t xml:space="preserve">POS, </w:t>
            </w:r>
            <w:r w:rsidR="00371147" w:rsidRPr="00371147">
              <w:rPr>
                <w:rFonts w:cstheme="minorBidi"/>
                <w:sz w:val="22"/>
                <w:szCs w:val="18"/>
                <w:lang w:val="en-GB"/>
              </w:rPr>
              <w:t>n = 29), BCM-negative (</w:t>
            </w:r>
            <w:r w:rsidR="00865AFD">
              <w:rPr>
                <w:rFonts w:cstheme="minorBidi"/>
                <w:sz w:val="22"/>
                <w:szCs w:val="18"/>
                <w:lang w:val="en-GB"/>
              </w:rPr>
              <w:t xml:space="preserve">NEG, </w:t>
            </w:r>
            <w:r w:rsidR="00371147" w:rsidRPr="00371147">
              <w:rPr>
                <w:rFonts w:cstheme="minorBidi"/>
                <w:sz w:val="22"/>
                <w:szCs w:val="18"/>
                <w:lang w:val="en-GB"/>
              </w:rPr>
              <w:t xml:space="preserve">n = </w:t>
            </w:r>
            <w:r w:rsidR="00B01E4F">
              <w:rPr>
                <w:rFonts w:cstheme="minorBidi"/>
                <w:sz w:val="22"/>
                <w:szCs w:val="18"/>
                <w:lang w:val="en-GB"/>
              </w:rPr>
              <w:t>3</w:t>
            </w:r>
            <w:r w:rsidR="00371147" w:rsidRPr="00371147">
              <w:rPr>
                <w:rFonts w:cstheme="minorBidi"/>
                <w:sz w:val="22"/>
                <w:szCs w:val="18"/>
                <w:lang w:val="en-GB"/>
              </w:rPr>
              <w:t>), and sporulated (n = 3).</w:t>
            </w:r>
            <w:r w:rsidR="00371147">
              <w:rPr>
                <w:rFonts w:cstheme="minorBidi"/>
                <w:sz w:val="22"/>
                <w:szCs w:val="18"/>
                <w:lang w:val="en-GB"/>
              </w:rPr>
              <w:t xml:space="preserve"> </w:t>
            </w:r>
            <w:r w:rsidR="00371147" w:rsidRPr="007E6468">
              <w:rPr>
                <w:rFonts w:cstheme="minorBidi"/>
                <w:b/>
                <w:bCs/>
                <w:sz w:val="22"/>
                <w:szCs w:val="18"/>
              </w:rPr>
              <w:t xml:space="preserve">B) </w:t>
            </w:r>
            <w:r w:rsidR="00371147" w:rsidRPr="00371147">
              <w:rPr>
                <w:rFonts w:cstheme="minorBidi"/>
                <w:sz w:val="22"/>
                <w:szCs w:val="18"/>
                <w:lang w:val="en-GB"/>
              </w:rPr>
              <w:t>HSI based on pleopod method (PM) classification: stage 0 (n = 2), stage 1 (n = 5), stage 2 (n = 5), stage 3 (n = 11), stage 4 (n = 9), and sporulated (PM stages 3 and 4; n = 3)</w:t>
            </w:r>
            <w:bookmarkEnd w:id="351"/>
          </w:p>
        </w:tc>
      </w:tr>
    </w:tbl>
    <w:p w14:paraId="66F19754" w14:textId="77777777" w:rsidR="006A0363" w:rsidRPr="009819CE" w:rsidRDefault="006A0363" w:rsidP="006A0363">
      <w:pPr>
        <w:rPr>
          <w:rFonts w:cstheme="minorBidi"/>
        </w:rPr>
        <w:sectPr w:rsidR="006A0363" w:rsidRPr="009819CE" w:rsidSect="003A7A28">
          <w:pgSz w:w="11906" w:h="16838"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14F17EE9" w14:textId="77777777" w:rsidTr="007D6607">
        <w:tc>
          <w:tcPr>
            <w:tcW w:w="9016" w:type="dxa"/>
          </w:tcPr>
          <w:p w14:paraId="5D47576B" w14:textId="4033D33F" w:rsidR="006A0363" w:rsidRPr="009819CE" w:rsidRDefault="0093268E" w:rsidP="007D6607">
            <w:pPr>
              <w:jc w:val="center"/>
              <w:rPr>
                <w:rFonts w:cstheme="minorBidi"/>
                <w:lang w:val="en-GB"/>
              </w:rPr>
            </w:pPr>
            <w:r>
              <w:rPr>
                <w:noProof/>
              </w:rPr>
              <w:drawing>
                <wp:inline distT="0" distB="0" distL="0" distR="0" wp14:anchorId="74BC505D" wp14:editId="1DA48F14">
                  <wp:extent cx="5602787" cy="6112413"/>
                  <wp:effectExtent l="0" t="0" r="0" b="3175"/>
                  <wp:docPr id="10726694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604187" cy="6113940"/>
                          </a:xfrm>
                          <a:prstGeom prst="rect">
                            <a:avLst/>
                          </a:prstGeom>
                          <a:noFill/>
                          <a:ln>
                            <a:noFill/>
                          </a:ln>
                        </pic:spPr>
                      </pic:pic>
                    </a:graphicData>
                  </a:graphic>
                </wp:inline>
              </w:drawing>
            </w:r>
          </w:p>
        </w:tc>
      </w:tr>
      <w:tr w:rsidR="006A0363" w:rsidRPr="00FA7D47" w14:paraId="4E703D06" w14:textId="77777777" w:rsidTr="007D6607">
        <w:trPr>
          <w:trHeight w:val="227"/>
        </w:trPr>
        <w:tc>
          <w:tcPr>
            <w:tcW w:w="9016" w:type="dxa"/>
          </w:tcPr>
          <w:p w14:paraId="0F9E7EB9" w14:textId="78573FB5" w:rsidR="006A0363" w:rsidRPr="009819CE" w:rsidRDefault="006A0363" w:rsidP="007D6607">
            <w:pPr>
              <w:spacing w:line="240" w:lineRule="auto"/>
              <w:rPr>
                <w:rFonts w:cstheme="minorBidi"/>
                <w:lang w:val="en-GB"/>
              </w:rPr>
            </w:pPr>
            <w:bookmarkStart w:id="352" w:name="_Ref136888816"/>
            <w:bookmarkStart w:id="353" w:name="_Toc204106747"/>
            <w:r w:rsidRPr="009819CE">
              <w:rPr>
                <w:rFonts w:cstheme="minorBidi"/>
                <w:b/>
                <w:bCs/>
                <w:sz w:val="22"/>
                <w:szCs w:val="18"/>
                <w:lang w:val="en-GB"/>
              </w:rPr>
              <w:t xml:space="preserve">Figure </w:t>
            </w:r>
            <w:r w:rsidRPr="007E6468">
              <w:rPr>
                <w:rFonts w:cstheme="minorBidi"/>
                <w:b/>
                <w:bCs/>
                <w:sz w:val="22"/>
                <w:szCs w:val="18"/>
              </w:rPr>
              <w:fldChar w:fldCharType="begin"/>
            </w:r>
            <w:r w:rsidRPr="009819CE">
              <w:rPr>
                <w:rFonts w:cstheme="minorBidi"/>
                <w:b/>
                <w:bCs/>
                <w:sz w:val="22"/>
                <w:szCs w:val="18"/>
                <w:lang w:val="en-GB"/>
              </w:rPr>
              <w:instrText xml:space="preserve"> STYLEREF 1 \s </w:instrText>
            </w:r>
            <w:r w:rsidRPr="007E6468">
              <w:rPr>
                <w:rFonts w:cstheme="minorBidi"/>
                <w:b/>
                <w:bCs/>
                <w:sz w:val="22"/>
                <w:szCs w:val="18"/>
              </w:rPr>
              <w:fldChar w:fldCharType="separate"/>
            </w:r>
            <w:r w:rsidR="008549FC">
              <w:rPr>
                <w:rFonts w:cstheme="minorBidi"/>
                <w:b/>
                <w:bCs/>
                <w:noProof/>
                <w:sz w:val="22"/>
                <w:szCs w:val="18"/>
                <w:lang w:val="en-GB"/>
              </w:rPr>
              <w:t>4</w:t>
            </w:r>
            <w:r w:rsidRPr="007E6468">
              <w:rPr>
                <w:rFonts w:cstheme="minorBidi"/>
                <w:b/>
                <w:bCs/>
                <w:sz w:val="22"/>
                <w:szCs w:val="18"/>
              </w:rPr>
              <w:fldChar w:fldCharType="end"/>
            </w:r>
            <w:r w:rsidRPr="009819CE">
              <w:rPr>
                <w:rFonts w:cstheme="minorBidi"/>
                <w:b/>
                <w:bCs/>
                <w:sz w:val="22"/>
                <w:szCs w:val="18"/>
                <w:lang w:val="en-GB"/>
              </w:rPr>
              <w:t>.</w:t>
            </w:r>
            <w:r w:rsidRPr="007E6468">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7E6468">
              <w:rPr>
                <w:rFonts w:cstheme="minorBidi"/>
                <w:b/>
                <w:bCs/>
                <w:sz w:val="22"/>
                <w:szCs w:val="18"/>
              </w:rPr>
              <w:fldChar w:fldCharType="separate"/>
            </w:r>
            <w:r w:rsidR="008549FC">
              <w:rPr>
                <w:rFonts w:cstheme="minorBidi"/>
                <w:b/>
                <w:bCs/>
                <w:noProof/>
                <w:sz w:val="22"/>
                <w:szCs w:val="18"/>
                <w:lang w:val="en-GB"/>
              </w:rPr>
              <w:t>9</w:t>
            </w:r>
            <w:r w:rsidRPr="007E6468">
              <w:rPr>
                <w:rFonts w:cstheme="minorBidi"/>
                <w:b/>
                <w:bCs/>
                <w:sz w:val="22"/>
                <w:szCs w:val="18"/>
              </w:rPr>
              <w:fldChar w:fldCharType="end"/>
            </w:r>
            <w:bookmarkEnd w:id="352"/>
            <w:r w:rsidRPr="009819CE">
              <w:rPr>
                <w:rFonts w:cstheme="minorBidi"/>
                <w:sz w:val="22"/>
                <w:szCs w:val="18"/>
                <w:lang w:val="en-GB"/>
              </w:rPr>
              <w:t xml:space="preserve"> </w:t>
            </w:r>
            <w:r w:rsidR="00845023">
              <w:t xml:space="preserve">Lipid percentage (%) in </w:t>
            </w:r>
            <w:r w:rsidR="00845023">
              <w:rPr>
                <w:rStyle w:val="Emphasis"/>
                <w:rFonts w:eastAsiaTheme="majorEastAsia"/>
              </w:rPr>
              <w:t>Nephrops norvegicus</w:t>
            </w:r>
            <w:r w:rsidR="00845023">
              <w:t xml:space="preserve"> according to infection classification. </w:t>
            </w:r>
            <w:r w:rsidR="00845023">
              <w:rPr>
                <w:rStyle w:val="Strong"/>
              </w:rPr>
              <w:t>A)</w:t>
            </w:r>
            <w:r w:rsidR="00845023">
              <w:t xml:space="preserve"> Body colour method (BCM): BCM-positive (POS, </w:t>
            </w:r>
            <w:r w:rsidR="00845023">
              <w:rPr>
                <w:rStyle w:val="Emphasis"/>
                <w:rFonts w:eastAsiaTheme="majorEastAsia"/>
              </w:rPr>
              <w:t>n</w:t>
            </w:r>
            <w:r w:rsidR="00845023">
              <w:t xml:space="preserve"> = 32) and BCM-negative (NEG, </w:t>
            </w:r>
            <w:r w:rsidR="00845023">
              <w:rPr>
                <w:rStyle w:val="Emphasis"/>
                <w:rFonts w:eastAsiaTheme="majorEastAsia"/>
              </w:rPr>
              <w:t>n</w:t>
            </w:r>
            <w:r w:rsidR="00845023">
              <w:t xml:space="preserve"> = 11). </w:t>
            </w:r>
            <w:r w:rsidR="00845023">
              <w:rPr>
                <w:rStyle w:val="Strong"/>
              </w:rPr>
              <w:t>B)</w:t>
            </w:r>
            <w:r w:rsidR="00845023">
              <w:t xml:space="preserve"> Pleopod method (PM) classification: stage 0 (</w:t>
            </w:r>
            <w:r w:rsidR="00845023">
              <w:rPr>
                <w:rStyle w:val="Emphasis"/>
                <w:rFonts w:eastAsiaTheme="majorEastAsia"/>
              </w:rPr>
              <w:t>n</w:t>
            </w:r>
            <w:r w:rsidR="00845023">
              <w:t xml:space="preserve"> = 6), stage 1 (S1, </w:t>
            </w:r>
            <w:r w:rsidR="00845023">
              <w:rPr>
                <w:rStyle w:val="Emphasis"/>
                <w:rFonts w:eastAsiaTheme="majorEastAsia"/>
              </w:rPr>
              <w:t>n</w:t>
            </w:r>
            <w:r w:rsidR="00845023">
              <w:t xml:space="preserve"> = 10), stage 2 (S2, </w:t>
            </w:r>
            <w:r w:rsidR="00845023">
              <w:rPr>
                <w:rStyle w:val="Emphasis"/>
                <w:rFonts w:eastAsiaTheme="majorEastAsia"/>
              </w:rPr>
              <w:t>n</w:t>
            </w:r>
            <w:r w:rsidR="00845023">
              <w:t xml:space="preserve"> = 6), stage 3 (S3, </w:t>
            </w:r>
            <w:r w:rsidR="00845023">
              <w:rPr>
                <w:rStyle w:val="Emphasis"/>
                <w:rFonts w:eastAsiaTheme="majorEastAsia"/>
              </w:rPr>
              <w:t>n</w:t>
            </w:r>
            <w:r w:rsidR="00845023">
              <w:t xml:space="preserve"> = 10), stage 4 (S4, </w:t>
            </w:r>
            <w:r w:rsidR="00845023">
              <w:rPr>
                <w:rStyle w:val="Emphasis"/>
                <w:rFonts w:eastAsiaTheme="majorEastAsia"/>
              </w:rPr>
              <w:t>n</w:t>
            </w:r>
            <w:r w:rsidR="00845023">
              <w:t xml:space="preserve"> = 8), sporulated (PM stages 3 and 4; </w:t>
            </w:r>
            <w:r w:rsidR="00845023">
              <w:rPr>
                <w:rStyle w:val="Emphasis"/>
                <w:rFonts w:eastAsiaTheme="majorEastAsia"/>
              </w:rPr>
              <w:t>n</w:t>
            </w:r>
            <w:r w:rsidR="00845023">
              <w:t xml:space="preserve"> = 3), and spores (</w:t>
            </w:r>
            <w:r w:rsidR="00845023">
              <w:rPr>
                <w:rStyle w:val="Emphasis"/>
                <w:rFonts w:eastAsiaTheme="majorEastAsia"/>
              </w:rPr>
              <w:t>n</w:t>
            </w:r>
            <w:r w:rsidR="00845023">
              <w:t xml:space="preserve"> = 3).</w:t>
            </w:r>
            <w:bookmarkEnd w:id="353"/>
          </w:p>
        </w:tc>
      </w:tr>
    </w:tbl>
    <w:p w14:paraId="42E1E366" w14:textId="77777777" w:rsidR="006A0363" w:rsidRPr="009819CE" w:rsidRDefault="006A0363" w:rsidP="006A0363">
      <w:pPr>
        <w:rPr>
          <w:rFonts w:cstheme="minorBidi"/>
        </w:rPr>
        <w:sectPr w:rsidR="006A0363" w:rsidRPr="009819CE" w:rsidSect="003A7A28">
          <w:pgSz w:w="11906" w:h="16838" w:code="9"/>
          <w:pgMar w:top="1440" w:right="1440" w:bottom="1440" w:left="1440" w:header="708" w:footer="708" w:gutter="0"/>
          <w:cols w:space="708"/>
          <w:docGrid w:linePitch="360"/>
        </w:sectPr>
      </w:pPr>
    </w:p>
    <w:p w14:paraId="6EDDA02F" w14:textId="77777777" w:rsidR="006A0363" w:rsidRPr="009819CE" w:rsidRDefault="006A0363" w:rsidP="00B3468E">
      <w:pPr>
        <w:pStyle w:val="Heading3"/>
        <w:rPr>
          <w:rFonts w:cstheme="minorBidi"/>
        </w:rPr>
      </w:pPr>
      <w:bookmarkStart w:id="354" w:name="_Ref137632905"/>
      <w:bookmarkStart w:id="355" w:name="_Toc204106677"/>
      <w:r w:rsidRPr="009819CE">
        <w:rPr>
          <w:rFonts w:cstheme="minorBidi"/>
        </w:rPr>
        <w:t>Fatty acid composition in total lipid</w:t>
      </w:r>
      <w:bookmarkEnd w:id="354"/>
      <w:bookmarkEnd w:id="355"/>
      <w:r w:rsidRPr="009819CE">
        <w:rPr>
          <w:rFonts w:cstheme="minorBidi"/>
        </w:rPr>
        <w:t xml:space="preserve">  </w:t>
      </w:r>
    </w:p>
    <w:p w14:paraId="72388E6D" w14:textId="70C92FE3" w:rsidR="002179E7" w:rsidRPr="009819CE" w:rsidRDefault="006A0363" w:rsidP="006A0363">
      <w:pPr>
        <w:ind w:left="20"/>
        <w:rPr>
          <w:rFonts w:cstheme="minorBidi"/>
          <w:b/>
          <w:bCs/>
        </w:rPr>
      </w:pPr>
      <w:r w:rsidRPr="009819CE">
        <w:rPr>
          <w:rFonts w:cstheme="minorBidi"/>
        </w:rPr>
        <w:t xml:space="preserve">The fatty acid composition of </w:t>
      </w:r>
      <w:r w:rsidR="009D03F4" w:rsidRPr="009819CE">
        <w:rPr>
          <w:rFonts w:cstheme="minorBidi"/>
          <w:i/>
          <w:iCs/>
        </w:rPr>
        <w:t>Hematodinium</w:t>
      </w:r>
      <w:r w:rsidRPr="009819CE">
        <w:rPr>
          <w:rFonts w:cstheme="minorBidi"/>
        </w:rPr>
        <w:t xml:space="preserve"> sp. macrospores, hepatopancreas from </w:t>
      </w:r>
      <w:r w:rsidR="00C31E47" w:rsidRPr="009819CE">
        <w:rPr>
          <w:rFonts w:cstheme="minorBidi"/>
          <w:i/>
          <w:iCs/>
        </w:rPr>
        <w:t>Nephrops</w:t>
      </w:r>
      <w:r w:rsidRPr="009819CE">
        <w:rPr>
          <w:rFonts w:cstheme="minorBidi"/>
        </w:rPr>
        <w:t xml:space="preserve"> according to pleopod staging (stage 1-4 by PM), and from non-</w:t>
      </w:r>
      <w:r w:rsidR="002A7777" w:rsidRPr="009819CE">
        <w:rPr>
          <w:rFonts w:cstheme="minorBidi"/>
        </w:rPr>
        <w:t>patently</w:t>
      </w:r>
      <w:r w:rsidRPr="009819CE">
        <w:rPr>
          <w:rFonts w:cstheme="minorBidi"/>
        </w:rPr>
        <w:t xml:space="preserve"> infected individuals (stage 0 by PM), are provided in</w:t>
      </w:r>
      <w:r w:rsidR="00DF4033" w:rsidRPr="009819CE">
        <w:rPr>
          <w:rFonts w:cstheme="minorBidi"/>
        </w:rPr>
        <w:t xml:space="preserve"> </w:t>
      </w:r>
      <w:r w:rsidR="005A4D31" w:rsidRPr="009819CE">
        <w:rPr>
          <w:rFonts w:cstheme="minorBidi"/>
          <w:b/>
          <w:bCs/>
        </w:rPr>
        <w:fldChar w:fldCharType="begin"/>
      </w:r>
      <w:r w:rsidR="005A4D31" w:rsidRPr="009819CE">
        <w:rPr>
          <w:rFonts w:cstheme="minorBidi"/>
          <w:b/>
          <w:bCs/>
        </w:rPr>
        <w:instrText xml:space="preserve"> REF _Ref201491560 \h  \* MERGEFORMAT </w:instrText>
      </w:r>
      <w:r w:rsidR="005A4D31" w:rsidRPr="009819CE">
        <w:rPr>
          <w:rFonts w:cstheme="minorBidi"/>
          <w:b/>
          <w:bCs/>
        </w:rPr>
      </w:r>
      <w:r w:rsidR="005A4D31" w:rsidRPr="009819CE">
        <w:rPr>
          <w:rFonts w:cstheme="minorBidi"/>
          <w:b/>
          <w:bCs/>
        </w:rPr>
        <w:fldChar w:fldCharType="separate"/>
      </w:r>
      <w:r w:rsidR="008549FC" w:rsidRPr="009819CE">
        <w:rPr>
          <w:b/>
          <w:bCs/>
        </w:rPr>
        <w:t xml:space="preserve">Table </w:t>
      </w:r>
      <w:r w:rsidR="008549FC">
        <w:rPr>
          <w:b/>
          <w:bCs/>
        </w:rPr>
        <w:t>4.3</w:t>
      </w:r>
      <w:r w:rsidR="005A4D31" w:rsidRPr="009819CE">
        <w:rPr>
          <w:rFonts w:cstheme="minorBidi"/>
          <w:b/>
          <w:bCs/>
        </w:rPr>
        <w:fldChar w:fldCharType="end"/>
      </w:r>
      <w:r w:rsidR="005A4D31" w:rsidRPr="009819CE">
        <w:rPr>
          <w:rFonts w:cstheme="minorBidi"/>
        </w:rPr>
        <w:t>.</w:t>
      </w:r>
    </w:p>
    <w:p w14:paraId="47572D00" w14:textId="7DCD1652" w:rsidR="006A0363" w:rsidRPr="009819CE" w:rsidRDefault="006A0363" w:rsidP="006A0363">
      <w:pPr>
        <w:ind w:left="20"/>
        <w:rPr>
          <w:rFonts w:cstheme="minorBidi"/>
        </w:rPr>
      </w:pPr>
      <w:r w:rsidRPr="009819CE">
        <w:rPr>
          <w:rFonts w:cstheme="minorBidi"/>
        </w:rPr>
        <w:t xml:space="preserve">In general, all samples were remarkably similar. Monounsaturated fatty acids constituted a significant proportion, ranging from 43% to 50%, across all samples. Saturated fatty acids were found to be the second most prevalent, making up approximately 24% to 25% of the total composition. Following this, (n-3) long-chain polyunsaturated fatty acids </w:t>
      </w:r>
      <w:r w:rsidR="00614D05" w:rsidRPr="009819CE">
        <w:rPr>
          <w:rFonts w:cstheme="minorBidi"/>
        </w:rPr>
        <w:t xml:space="preserve">(PUFAs) </w:t>
      </w:r>
      <w:r w:rsidRPr="009819CE">
        <w:rPr>
          <w:rFonts w:cstheme="minorBidi"/>
        </w:rPr>
        <w:t xml:space="preserve">accounted for around 15% to 20%, while (n-6) fatty acids comprised approximately 7.7% to 10% of the lipid composition. Interestingly, macrospores exhibited a significantly higher abundance of </w:t>
      </w:r>
      <w:r w:rsidR="00614D05" w:rsidRPr="009819CE">
        <w:rPr>
          <w:rFonts w:cstheme="minorBidi"/>
        </w:rPr>
        <w:t>(n-3) PUFAs</w:t>
      </w:r>
      <w:r w:rsidRPr="009819CE">
        <w:rPr>
          <w:rFonts w:cstheme="minorBidi"/>
        </w:rPr>
        <w:t xml:space="preserve">, representing approximately 27% of their lipid composition, and a significantly lower content of </w:t>
      </w:r>
      <w:r w:rsidR="00E6249B" w:rsidRPr="009819CE">
        <w:rPr>
          <w:rFonts w:cstheme="minorBidi"/>
        </w:rPr>
        <w:t>(n-6)</w:t>
      </w:r>
      <w:r w:rsidRPr="009819CE">
        <w:rPr>
          <w:rFonts w:cstheme="minorBidi"/>
        </w:rPr>
        <w:t xml:space="preserve"> fatty acids, comprising only 4.7% (</w:t>
      </w:r>
      <w:r w:rsidRPr="009819CE">
        <w:rPr>
          <w:rFonts w:cstheme="minorBidi"/>
        </w:rPr>
        <w:fldChar w:fldCharType="begin"/>
      </w:r>
      <w:r w:rsidRPr="009819CE">
        <w:rPr>
          <w:rFonts w:cstheme="minorBidi"/>
        </w:rPr>
        <w:instrText xml:space="preserve"> REF _Ref141624042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9819CE">
        <w:rPr>
          <w:rFonts w:cstheme="minorBidi"/>
          <w:b/>
          <w:bCs/>
        </w:rPr>
        <w:t xml:space="preserve">Figure </w:t>
      </w:r>
      <w:r w:rsidR="008549FC">
        <w:rPr>
          <w:rFonts w:cstheme="minorBidi"/>
          <w:b/>
          <w:bCs/>
        </w:rPr>
        <w:t>4</w:t>
      </w:r>
      <w:r w:rsidR="008549FC" w:rsidRPr="009819CE">
        <w:rPr>
          <w:rFonts w:cstheme="minorBidi"/>
          <w:b/>
          <w:bCs/>
        </w:rPr>
        <w:t>.</w:t>
      </w:r>
      <w:r w:rsidR="008549FC">
        <w:rPr>
          <w:rFonts w:cstheme="minorBidi"/>
          <w:b/>
          <w:bCs/>
        </w:rPr>
        <w:t>10</w:t>
      </w:r>
      <w:r w:rsidRPr="009819CE">
        <w:rPr>
          <w:rFonts w:cstheme="minorBidi"/>
        </w:rPr>
        <w:fldChar w:fldCharType="end"/>
      </w:r>
      <w:r w:rsidRPr="009819CE">
        <w:rPr>
          <w:rFonts w:cstheme="minorBidi"/>
        </w:rPr>
        <w:t>).</w:t>
      </w:r>
    </w:p>
    <w:p w14:paraId="766631A3" w14:textId="7B89BE75" w:rsidR="006A0363" w:rsidRPr="009819CE" w:rsidRDefault="006A0363" w:rsidP="006A0363">
      <w:pPr>
        <w:ind w:left="20"/>
        <w:rPr>
          <w:rFonts w:cstheme="minorBidi"/>
        </w:rPr>
      </w:pPr>
      <w:r w:rsidRPr="009819CE">
        <w:rPr>
          <w:rFonts w:cstheme="minorBidi"/>
        </w:rPr>
        <w:t>Lipid profiles were characterized by dominant groups of fatty acids: oleic acid (18:1n-9), vaccenic acid (18:1n-7), and palmitoleic acid (POA, 16:1n-7) were consistently present at high levels in all samples. The most abundant saturated fatty acids were palmitic acid</w:t>
      </w:r>
      <w:r w:rsidR="00150EBF" w:rsidRPr="009819CE">
        <w:rPr>
          <w:rFonts w:cstheme="minorBidi"/>
        </w:rPr>
        <w:t xml:space="preserve"> </w:t>
      </w:r>
      <w:r w:rsidRPr="009819CE">
        <w:rPr>
          <w:rFonts w:cstheme="minorBidi"/>
        </w:rPr>
        <w:t>(16:0) and stearic acid (18:0). The major n-3 PUFAs identified were eicosapentaenoic acid  (EPA, 20:5n-3) and docosahexaenoic acid (DHA, 22:6n-3) while arachidonic acid (A</w:t>
      </w:r>
      <w:r w:rsidR="00AB4490" w:rsidRPr="009819CE">
        <w:rPr>
          <w:rFonts w:cstheme="minorBidi"/>
        </w:rPr>
        <w:t>R</w:t>
      </w:r>
      <w:r w:rsidRPr="009819CE">
        <w:rPr>
          <w:rFonts w:cstheme="minorBidi"/>
        </w:rPr>
        <w:t>A, 20:4n-6), linoleic acid (18:2n-6), and eicosadienoic acid (EDA, 20:2n-6) were the main n-6 PUFAs, with the last two being more predominant in the host hepatopancreas and to a lesser extent in macrospores</w:t>
      </w:r>
      <w:r w:rsidRPr="009819CE">
        <w:rPr>
          <w:rFonts w:cstheme="minorBidi"/>
          <w:b/>
          <w:bCs/>
        </w:rPr>
        <w:t xml:space="preserve"> </w:t>
      </w:r>
      <w:r w:rsidRPr="009819CE">
        <w:rPr>
          <w:rFonts w:cstheme="minorBidi"/>
        </w:rPr>
        <w:t>(</w:t>
      </w:r>
      <w:r w:rsidRPr="009819CE">
        <w:rPr>
          <w:rFonts w:cstheme="minorBidi"/>
          <w:b/>
          <w:bCs/>
        </w:rPr>
        <w:fldChar w:fldCharType="begin"/>
      </w:r>
      <w:r w:rsidRPr="009819CE">
        <w:rPr>
          <w:rFonts w:cstheme="minorBidi"/>
          <w:b/>
          <w:bCs/>
        </w:rPr>
        <w:instrText xml:space="preserve"> REF _Ref136949738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4.11</w:t>
      </w:r>
      <w:r w:rsidRPr="009819CE">
        <w:rPr>
          <w:rFonts w:cstheme="minorBidi"/>
          <w:b/>
          <w:bCs/>
        </w:rPr>
        <w:fldChar w:fldCharType="end"/>
      </w:r>
      <w:r w:rsidRPr="009819CE">
        <w:rPr>
          <w:rFonts w:cstheme="minorBidi"/>
        </w:rPr>
        <w:t>).</w:t>
      </w:r>
    </w:p>
    <w:p w14:paraId="1376A923" w14:textId="2FFC16B3" w:rsidR="00F07F00" w:rsidRDefault="006A0363" w:rsidP="00F07F00">
      <w:r w:rsidRPr="009819CE">
        <w:t xml:space="preserve">The macrospores exhibited consistent and significant differences compared to both the host hepatopancreas and the hepatopancreas of infected </w:t>
      </w:r>
      <w:r w:rsidR="00C31E47" w:rsidRPr="009819CE">
        <w:rPr>
          <w:i/>
          <w:iCs/>
        </w:rPr>
        <w:t>Nephrops</w:t>
      </w:r>
      <w:r w:rsidRPr="009819CE">
        <w:t xml:space="preserve"> at various levels of </w:t>
      </w:r>
      <w:r w:rsidR="009D03F4" w:rsidRPr="009819CE">
        <w:rPr>
          <w:i/>
          <w:iCs/>
        </w:rPr>
        <w:t>Hematodinium</w:t>
      </w:r>
      <w:r w:rsidRPr="009819CE">
        <w:t xml:space="preserve"> sp</w:t>
      </w:r>
      <w:r w:rsidR="00B441D5" w:rsidRPr="009819CE">
        <w:t>.</w:t>
      </w:r>
      <w:r w:rsidRPr="009819CE">
        <w:t xml:space="preserve"> infection (stage 0-4) in terms of total </w:t>
      </w:r>
      <w:r w:rsidR="00A72A7A" w:rsidRPr="009819CE">
        <w:t>(n-3) PUFAs</w:t>
      </w:r>
      <w:r w:rsidRPr="009819CE">
        <w:t xml:space="preserve"> content, particularly docosahexaenoic acid (DHA, 22:6n-3) and eicosapentaenoic acid (EPA, 20:5n-3), were significantly higher in macrospores. Conversely, the </w:t>
      </w:r>
      <w:r w:rsidR="00A72A7A" w:rsidRPr="009819CE">
        <w:t>(n</w:t>
      </w:r>
      <w:r w:rsidRPr="009819CE">
        <w:t>-6</w:t>
      </w:r>
      <w:r w:rsidR="00A72A7A" w:rsidRPr="009819CE">
        <w:t>)</w:t>
      </w:r>
      <w:r w:rsidRPr="009819CE">
        <w:t xml:space="preserve"> fatty acid eicosadienoic acid (EDA, 20:2n-6) showed a significant decrease in macrospores. Among the monounsaturated fatty acids, palmitoleic acid (16:1n-7) was significantly higher in macrospores, while eicosenoic acid (20:1n-11) and gondoic acid (20:1n-9) were significantly decreased. Additionally, saturated stearic acid (18:0) was also significantly lower in macrospores. Further information, including detailed results and corresponding p-values, can be found in </w:t>
      </w:r>
      <w:r w:rsidR="00F07F00">
        <w:fldChar w:fldCharType="begin"/>
      </w:r>
      <w:r w:rsidR="00F07F00">
        <w:instrText xml:space="preserve"> REF _Ref204026081 \h </w:instrText>
      </w:r>
      <w:r w:rsidR="00F07F00">
        <w:fldChar w:fldCharType="separate"/>
      </w:r>
      <w:r w:rsidR="008549FC" w:rsidRPr="005E2068">
        <w:rPr>
          <w:b/>
          <w:bCs/>
        </w:rPr>
        <w:t xml:space="preserve">Table </w:t>
      </w:r>
      <w:r w:rsidR="008549FC">
        <w:rPr>
          <w:b/>
          <w:bCs/>
          <w:noProof/>
        </w:rPr>
        <w:t>4</w:t>
      </w:r>
      <w:r w:rsidR="008549FC">
        <w:rPr>
          <w:b/>
          <w:bCs/>
        </w:rPr>
        <w:t>.</w:t>
      </w:r>
      <w:r w:rsidR="008549FC">
        <w:rPr>
          <w:b/>
          <w:bCs/>
          <w:noProof/>
        </w:rPr>
        <w:t>8</w:t>
      </w:r>
      <w:r w:rsidR="00F07F00">
        <w:fldChar w:fldCharType="end"/>
      </w:r>
      <w:r w:rsidR="00F07F00">
        <w:t>.</w:t>
      </w:r>
    </w:p>
    <w:p w14:paraId="442A7137" w14:textId="154A33C6" w:rsidR="00826A9A" w:rsidRPr="00A52890" w:rsidRDefault="006A0363" w:rsidP="00A52890">
      <w:pPr>
        <w:rPr>
          <w:b/>
        </w:rPr>
        <w:sectPr w:rsidR="00826A9A" w:rsidRPr="00A52890" w:rsidSect="00BB6ADB">
          <w:footerReference w:type="default" r:id="rId108"/>
          <w:pgSz w:w="11906" w:h="16838" w:code="9"/>
          <w:pgMar w:top="1440" w:right="1440" w:bottom="1440" w:left="1440" w:header="340" w:footer="340" w:gutter="0"/>
          <w:cols w:space="708"/>
          <w:docGrid w:linePitch="360"/>
        </w:sectPr>
      </w:pPr>
      <w:r w:rsidRPr="009819CE">
        <w:t>.</w:t>
      </w:r>
    </w:p>
    <w:p w14:paraId="2D9B462E" w14:textId="3BCB78EE" w:rsidR="00E5225F" w:rsidRPr="009819CE" w:rsidRDefault="00E5225F" w:rsidP="00E5225F">
      <w:pPr>
        <w:pStyle w:val="Caption"/>
        <w:rPr>
          <w:rFonts w:asciiTheme="minorBidi" w:hAnsiTheme="minorBidi" w:cstheme="minorBidi"/>
        </w:rPr>
      </w:pPr>
      <w:bookmarkStart w:id="356" w:name="_Ref201491560"/>
      <w:bookmarkStart w:id="357" w:name="_Toc202273065"/>
      <w:bookmarkStart w:id="358" w:name="_Toc204106763"/>
      <w:r w:rsidRPr="009819CE">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3</w:t>
      </w:r>
      <w:r w:rsidR="0095522A">
        <w:rPr>
          <w:b/>
          <w:bCs/>
        </w:rPr>
        <w:fldChar w:fldCharType="end"/>
      </w:r>
      <w:bookmarkEnd w:id="356"/>
      <w:r w:rsidRPr="009819CE">
        <w:t xml:space="preserve"> </w:t>
      </w:r>
      <w:r w:rsidRPr="009819CE">
        <w:rPr>
          <w:rFonts w:asciiTheme="minorBidi" w:hAnsiTheme="minorBidi" w:cstheme="minorBidi"/>
        </w:rPr>
        <w:t xml:space="preserve">Fatty acid composition in total lipids (% of total fatty acids) in oil extracted from </w:t>
      </w:r>
      <w:r w:rsidRPr="009819CE">
        <w:rPr>
          <w:rFonts w:asciiTheme="minorBidi" w:hAnsiTheme="minorBidi" w:cstheme="minorBidi"/>
          <w:i/>
        </w:rPr>
        <w:t>N.</w:t>
      </w:r>
      <w:r w:rsidR="00E259AE">
        <w:rPr>
          <w:rFonts w:asciiTheme="minorBidi" w:hAnsiTheme="minorBidi" w:cstheme="minorBidi"/>
          <w:i/>
        </w:rPr>
        <w:t xml:space="preserve"> </w:t>
      </w:r>
      <w:r w:rsidRPr="009819CE">
        <w:rPr>
          <w:rFonts w:asciiTheme="minorBidi" w:hAnsiTheme="minorBidi" w:cstheme="minorBidi"/>
          <w:i/>
        </w:rPr>
        <w:t>norvegicus</w:t>
      </w:r>
      <w:r w:rsidRPr="009819CE">
        <w:rPr>
          <w:rFonts w:asciiTheme="minorBidi" w:hAnsiTheme="minorBidi" w:cstheme="minorBidi"/>
        </w:rPr>
        <w:t xml:space="preserve"> hepatopancreas with different levels of </w:t>
      </w:r>
      <w:r w:rsidRPr="009819CE">
        <w:rPr>
          <w:rFonts w:asciiTheme="minorBidi" w:hAnsiTheme="minorBidi" w:cstheme="minorBidi"/>
          <w:i/>
        </w:rPr>
        <w:t>Hematodinium</w:t>
      </w:r>
      <w:r w:rsidRPr="009819CE">
        <w:rPr>
          <w:rFonts w:asciiTheme="minorBidi" w:hAnsiTheme="minorBidi" w:cstheme="minorBidi"/>
        </w:rPr>
        <w:t xml:space="preserve"> sp. infection sampled from the Clyde Sea area. Macrospores (n=3).</w:t>
      </w:r>
      <w:bookmarkEnd w:id="357"/>
      <w:bookmarkEnd w:id="358"/>
    </w:p>
    <w:tbl>
      <w:tblPr>
        <w:tblW w:w="5000" w:type="pct"/>
        <w:tblLook w:val="04A0" w:firstRow="1" w:lastRow="0" w:firstColumn="1" w:lastColumn="0" w:noHBand="0" w:noVBand="1"/>
      </w:tblPr>
      <w:tblGrid>
        <w:gridCol w:w="3204"/>
        <w:gridCol w:w="1630"/>
        <w:gridCol w:w="1630"/>
        <w:gridCol w:w="1630"/>
        <w:gridCol w:w="1629"/>
        <w:gridCol w:w="1629"/>
        <w:gridCol w:w="1656"/>
        <w:gridCol w:w="1670"/>
      </w:tblGrid>
      <w:tr w:rsidR="008B0AC6" w:rsidRPr="00FA7D47" w14:paraId="5468C0A4" w14:textId="77777777" w:rsidTr="0095549A">
        <w:trPr>
          <w:trHeight w:val="300"/>
        </w:trPr>
        <w:tc>
          <w:tcPr>
            <w:tcW w:w="1091" w:type="pct"/>
            <w:vMerge w:val="restart"/>
            <w:tcBorders>
              <w:top w:val="single" w:sz="4" w:space="0" w:color="auto"/>
              <w:left w:val="nil"/>
              <w:bottom w:val="single" w:sz="8" w:space="0" w:color="000000"/>
              <w:right w:val="nil"/>
            </w:tcBorders>
            <w:shd w:val="clear" w:color="auto" w:fill="auto"/>
            <w:vAlign w:val="center"/>
            <w:hideMark/>
          </w:tcPr>
          <w:p w14:paraId="08AA2AF6"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fatty acid</w:t>
            </w:r>
          </w:p>
        </w:tc>
        <w:tc>
          <w:tcPr>
            <w:tcW w:w="555" w:type="pct"/>
            <w:tcBorders>
              <w:top w:val="single" w:sz="4" w:space="0" w:color="auto"/>
              <w:left w:val="nil"/>
              <w:bottom w:val="nil"/>
              <w:right w:val="nil"/>
            </w:tcBorders>
            <w:shd w:val="clear" w:color="auto" w:fill="auto"/>
            <w:noWrap/>
            <w:vAlign w:val="center"/>
            <w:hideMark/>
          </w:tcPr>
          <w:p w14:paraId="033EDE50"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S0</w:t>
            </w:r>
          </w:p>
        </w:tc>
        <w:tc>
          <w:tcPr>
            <w:tcW w:w="555" w:type="pct"/>
            <w:tcBorders>
              <w:top w:val="single" w:sz="4" w:space="0" w:color="auto"/>
              <w:left w:val="nil"/>
              <w:bottom w:val="nil"/>
              <w:right w:val="nil"/>
            </w:tcBorders>
            <w:shd w:val="clear" w:color="auto" w:fill="auto"/>
            <w:noWrap/>
            <w:vAlign w:val="center"/>
            <w:hideMark/>
          </w:tcPr>
          <w:p w14:paraId="1DE3465B"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S1</w:t>
            </w:r>
          </w:p>
        </w:tc>
        <w:tc>
          <w:tcPr>
            <w:tcW w:w="555" w:type="pct"/>
            <w:tcBorders>
              <w:top w:val="single" w:sz="4" w:space="0" w:color="auto"/>
              <w:left w:val="nil"/>
              <w:bottom w:val="nil"/>
              <w:right w:val="nil"/>
            </w:tcBorders>
            <w:shd w:val="clear" w:color="auto" w:fill="auto"/>
            <w:noWrap/>
            <w:vAlign w:val="center"/>
            <w:hideMark/>
          </w:tcPr>
          <w:p w14:paraId="330ED9BE"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S2</w:t>
            </w:r>
          </w:p>
        </w:tc>
        <w:tc>
          <w:tcPr>
            <w:tcW w:w="555" w:type="pct"/>
            <w:tcBorders>
              <w:top w:val="single" w:sz="4" w:space="0" w:color="auto"/>
              <w:left w:val="nil"/>
              <w:bottom w:val="nil"/>
              <w:right w:val="nil"/>
            </w:tcBorders>
            <w:shd w:val="clear" w:color="auto" w:fill="auto"/>
            <w:noWrap/>
            <w:vAlign w:val="center"/>
            <w:hideMark/>
          </w:tcPr>
          <w:p w14:paraId="5BC41FD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S3</w:t>
            </w:r>
          </w:p>
        </w:tc>
        <w:tc>
          <w:tcPr>
            <w:tcW w:w="555" w:type="pct"/>
            <w:tcBorders>
              <w:top w:val="single" w:sz="4" w:space="0" w:color="auto"/>
              <w:left w:val="nil"/>
              <w:bottom w:val="nil"/>
              <w:right w:val="nil"/>
            </w:tcBorders>
            <w:shd w:val="clear" w:color="auto" w:fill="auto"/>
            <w:noWrap/>
            <w:vAlign w:val="center"/>
            <w:hideMark/>
          </w:tcPr>
          <w:p w14:paraId="0E0688CC"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S4</w:t>
            </w:r>
          </w:p>
        </w:tc>
        <w:tc>
          <w:tcPr>
            <w:tcW w:w="564" w:type="pct"/>
            <w:tcBorders>
              <w:top w:val="single" w:sz="4" w:space="0" w:color="auto"/>
              <w:left w:val="nil"/>
              <w:bottom w:val="nil"/>
              <w:right w:val="nil"/>
            </w:tcBorders>
            <w:shd w:val="clear" w:color="auto" w:fill="auto"/>
            <w:noWrap/>
            <w:vAlign w:val="center"/>
            <w:hideMark/>
          </w:tcPr>
          <w:p w14:paraId="2BBAC01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sporulated</w:t>
            </w:r>
          </w:p>
        </w:tc>
        <w:tc>
          <w:tcPr>
            <w:tcW w:w="569" w:type="pct"/>
            <w:tcBorders>
              <w:top w:val="single" w:sz="4" w:space="0" w:color="auto"/>
              <w:left w:val="nil"/>
              <w:bottom w:val="nil"/>
              <w:right w:val="nil"/>
            </w:tcBorders>
            <w:shd w:val="clear" w:color="auto" w:fill="auto"/>
            <w:noWrap/>
            <w:vAlign w:val="center"/>
            <w:hideMark/>
          </w:tcPr>
          <w:p w14:paraId="3668253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macrospore</w:t>
            </w:r>
          </w:p>
        </w:tc>
      </w:tr>
      <w:tr w:rsidR="008B0AC6" w:rsidRPr="00FA7D47" w14:paraId="1194C145" w14:textId="77777777" w:rsidTr="0095549A">
        <w:trPr>
          <w:trHeight w:val="315"/>
        </w:trPr>
        <w:tc>
          <w:tcPr>
            <w:tcW w:w="1091" w:type="pct"/>
            <w:vMerge/>
            <w:tcBorders>
              <w:top w:val="single" w:sz="4" w:space="0" w:color="auto"/>
              <w:left w:val="nil"/>
              <w:bottom w:val="single" w:sz="8" w:space="0" w:color="000000"/>
              <w:right w:val="nil"/>
            </w:tcBorders>
            <w:vAlign w:val="center"/>
            <w:hideMark/>
          </w:tcPr>
          <w:p w14:paraId="51B3319D" w14:textId="77777777" w:rsidR="00E5225F" w:rsidRPr="00FA7D47" w:rsidRDefault="00E5225F" w:rsidP="0095549A">
            <w:pPr>
              <w:spacing w:after="0" w:line="240" w:lineRule="auto"/>
              <w:jc w:val="center"/>
              <w:rPr>
                <w:rFonts w:cstheme="minorBidi"/>
                <w:b/>
                <w:bCs/>
                <w:color w:val="000000"/>
                <w:sz w:val="22"/>
                <w:szCs w:val="22"/>
              </w:rPr>
            </w:pPr>
          </w:p>
        </w:tc>
        <w:tc>
          <w:tcPr>
            <w:tcW w:w="555" w:type="pct"/>
            <w:tcBorders>
              <w:top w:val="nil"/>
              <w:left w:val="nil"/>
              <w:bottom w:val="single" w:sz="8" w:space="0" w:color="auto"/>
              <w:right w:val="nil"/>
            </w:tcBorders>
            <w:shd w:val="clear" w:color="auto" w:fill="auto"/>
            <w:noWrap/>
            <w:vAlign w:val="center"/>
            <w:hideMark/>
          </w:tcPr>
          <w:p w14:paraId="62832C4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c>
          <w:tcPr>
            <w:tcW w:w="555" w:type="pct"/>
            <w:tcBorders>
              <w:top w:val="nil"/>
              <w:left w:val="nil"/>
              <w:bottom w:val="single" w:sz="8" w:space="0" w:color="auto"/>
              <w:right w:val="nil"/>
            </w:tcBorders>
            <w:shd w:val="clear" w:color="auto" w:fill="auto"/>
            <w:noWrap/>
            <w:vAlign w:val="center"/>
            <w:hideMark/>
          </w:tcPr>
          <w:p w14:paraId="5D475EC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c>
          <w:tcPr>
            <w:tcW w:w="555" w:type="pct"/>
            <w:tcBorders>
              <w:top w:val="nil"/>
              <w:left w:val="nil"/>
              <w:bottom w:val="single" w:sz="8" w:space="0" w:color="auto"/>
              <w:right w:val="nil"/>
            </w:tcBorders>
            <w:shd w:val="clear" w:color="auto" w:fill="auto"/>
            <w:noWrap/>
            <w:vAlign w:val="center"/>
            <w:hideMark/>
          </w:tcPr>
          <w:p w14:paraId="160B420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c>
          <w:tcPr>
            <w:tcW w:w="555" w:type="pct"/>
            <w:tcBorders>
              <w:top w:val="nil"/>
              <w:left w:val="nil"/>
              <w:bottom w:val="single" w:sz="8" w:space="0" w:color="auto"/>
              <w:right w:val="nil"/>
            </w:tcBorders>
            <w:shd w:val="clear" w:color="auto" w:fill="auto"/>
            <w:noWrap/>
            <w:vAlign w:val="center"/>
            <w:hideMark/>
          </w:tcPr>
          <w:p w14:paraId="48F18CB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c>
          <w:tcPr>
            <w:tcW w:w="555" w:type="pct"/>
            <w:tcBorders>
              <w:top w:val="nil"/>
              <w:left w:val="nil"/>
              <w:bottom w:val="single" w:sz="8" w:space="0" w:color="auto"/>
              <w:right w:val="nil"/>
            </w:tcBorders>
            <w:shd w:val="clear" w:color="auto" w:fill="auto"/>
            <w:noWrap/>
            <w:vAlign w:val="center"/>
            <w:hideMark/>
          </w:tcPr>
          <w:p w14:paraId="75B037D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c>
          <w:tcPr>
            <w:tcW w:w="564" w:type="pct"/>
            <w:tcBorders>
              <w:top w:val="nil"/>
              <w:left w:val="nil"/>
              <w:bottom w:val="single" w:sz="8" w:space="0" w:color="auto"/>
              <w:right w:val="nil"/>
            </w:tcBorders>
            <w:shd w:val="clear" w:color="auto" w:fill="auto"/>
            <w:noWrap/>
            <w:vAlign w:val="center"/>
            <w:hideMark/>
          </w:tcPr>
          <w:p w14:paraId="045A705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c>
          <w:tcPr>
            <w:tcW w:w="569" w:type="pct"/>
            <w:tcBorders>
              <w:top w:val="nil"/>
              <w:left w:val="nil"/>
              <w:bottom w:val="single" w:sz="8" w:space="0" w:color="auto"/>
              <w:right w:val="nil"/>
            </w:tcBorders>
            <w:shd w:val="clear" w:color="auto" w:fill="auto"/>
            <w:noWrap/>
            <w:vAlign w:val="center"/>
            <w:hideMark/>
          </w:tcPr>
          <w:p w14:paraId="1C94BFF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mean ± sd</w:t>
            </w:r>
          </w:p>
        </w:tc>
      </w:tr>
      <w:tr w:rsidR="008B0AC6" w:rsidRPr="00FA7D47" w14:paraId="6B649A84" w14:textId="77777777" w:rsidTr="0095549A">
        <w:trPr>
          <w:trHeight w:val="300"/>
        </w:trPr>
        <w:tc>
          <w:tcPr>
            <w:tcW w:w="1091" w:type="pct"/>
            <w:tcBorders>
              <w:top w:val="nil"/>
              <w:left w:val="nil"/>
              <w:bottom w:val="nil"/>
              <w:right w:val="nil"/>
            </w:tcBorders>
            <w:shd w:val="clear" w:color="auto" w:fill="auto"/>
            <w:vAlign w:val="center"/>
            <w:hideMark/>
          </w:tcPr>
          <w:p w14:paraId="12C72E7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14:0</w:t>
            </w:r>
          </w:p>
        </w:tc>
        <w:tc>
          <w:tcPr>
            <w:tcW w:w="555" w:type="pct"/>
            <w:tcBorders>
              <w:top w:val="nil"/>
              <w:left w:val="nil"/>
              <w:bottom w:val="nil"/>
              <w:right w:val="nil"/>
            </w:tcBorders>
            <w:shd w:val="clear" w:color="auto" w:fill="auto"/>
            <w:noWrap/>
            <w:vAlign w:val="center"/>
            <w:hideMark/>
          </w:tcPr>
          <w:p w14:paraId="7E4D454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1.69 ± 0.47</w:t>
            </w:r>
          </w:p>
        </w:tc>
        <w:tc>
          <w:tcPr>
            <w:tcW w:w="555" w:type="pct"/>
            <w:tcBorders>
              <w:top w:val="nil"/>
              <w:left w:val="nil"/>
              <w:bottom w:val="nil"/>
              <w:right w:val="nil"/>
            </w:tcBorders>
            <w:shd w:val="clear" w:color="auto" w:fill="auto"/>
            <w:noWrap/>
            <w:vAlign w:val="center"/>
            <w:hideMark/>
          </w:tcPr>
          <w:p w14:paraId="756745F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1.83 ± 0.48</w:t>
            </w:r>
          </w:p>
        </w:tc>
        <w:tc>
          <w:tcPr>
            <w:tcW w:w="555" w:type="pct"/>
            <w:tcBorders>
              <w:top w:val="nil"/>
              <w:left w:val="nil"/>
              <w:bottom w:val="nil"/>
              <w:right w:val="nil"/>
            </w:tcBorders>
            <w:shd w:val="clear" w:color="auto" w:fill="auto"/>
            <w:noWrap/>
            <w:vAlign w:val="center"/>
            <w:hideMark/>
          </w:tcPr>
          <w:p w14:paraId="15F36C0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1.74 ± 0.55</w:t>
            </w:r>
          </w:p>
        </w:tc>
        <w:tc>
          <w:tcPr>
            <w:tcW w:w="555" w:type="pct"/>
            <w:tcBorders>
              <w:top w:val="nil"/>
              <w:left w:val="nil"/>
              <w:bottom w:val="nil"/>
              <w:right w:val="nil"/>
            </w:tcBorders>
            <w:shd w:val="clear" w:color="auto" w:fill="auto"/>
            <w:noWrap/>
            <w:vAlign w:val="center"/>
            <w:hideMark/>
          </w:tcPr>
          <w:p w14:paraId="3684CA1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1.72 ± 0.24</w:t>
            </w:r>
          </w:p>
        </w:tc>
        <w:tc>
          <w:tcPr>
            <w:tcW w:w="555" w:type="pct"/>
            <w:tcBorders>
              <w:top w:val="nil"/>
              <w:left w:val="nil"/>
              <w:bottom w:val="nil"/>
              <w:right w:val="nil"/>
            </w:tcBorders>
            <w:shd w:val="clear" w:color="auto" w:fill="auto"/>
            <w:noWrap/>
            <w:vAlign w:val="center"/>
            <w:hideMark/>
          </w:tcPr>
          <w:p w14:paraId="1F48F9D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1.74 ± 0.26</w:t>
            </w:r>
          </w:p>
        </w:tc>
        <w:tc>
          <w:tcPr>
            <w:tcW w:w="564" w:type="pct"/>
            <w:tcBorders>
              <w:top w:val="nil"/>
              <w:left w:val="nil"/>
              <w:bottom w:val="nil"/>
              <w:right w:val="nil"/>
            </w:tcBorders>
            <w:shd w:val="clear" w:color="auto" w:fill="auto"/>
            <w:noWrap/>
            <w:vAlign w:val="center"/>
            <w:hideMark/>
          </w:tcPr>
          <w:p w14:paraId="4DA59D1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1.44 ± 0.14</w:t>
            </w:r>
          </w:p>
        </w:tc>
        <w:tc>
          <w:tcPr>
            <w:tcW w:w="569" w:type="pct"/>
            <w:tcBorders>
              <w:top w:val="nil"/>
              <w:left w:val="nil"/>
              <w:bottom w:val="nil"/>
              <w:right w:val="nil"/>
            </w:tcBorders>
            <w:shd w:val="clear" w:color="auto" w:fill="auto"/>
            <w:noWrap/>
            <w:vAlign w:val="center"/>
            <w:hideMark/>
          </w:tcPr>
          <w:p w14:paraId="65899D4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1.95 ± 0.21</w:t>
            </w:r>
          </w:p>
        </w:tc>
      </w:tr>
      <w:tr w:rsidR="008B0AC6" w:rsidRPr="00FA7D47" w14:paraId="07E12CAD" w14:textId="77777777" w:rsidTr="0095549A">
        <w:trPr>
          <w:trHeight w:val="300"/>
        </w:trPr>
        <w:tc>
          <w:tcPr>
            <w:tcW w:w="1091" w:type="pct"/>
            <w:tcBorders>
              <w:top w:val="nil"/>
              <w:left w:val="nil"/>
              <w:bottom w:val="nil"/>
              <w:right w:val="nil"/>
            </w:tcBorders>
            <w:shd w:val="clear" w:color="auto" w:fill="auto"/>
            <w:vAlign w:val="center"/>
            <w:hideMark/>
          </w:tcPr>
          <w:p w14:paraId="0D88AA5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iso 15:0</w:t>
            </w:r>
          </w:p>
        </w:tc>
        <w:tc>
          <w:tcPr>
            <w:tcW w:w="555" w:type="pct"/>
            <w:tcBorders>
              <w:top w:val="nil"/>
              <w:left w:val="nil"/>
              <w:bottom w:val="nil"/>
              <w:right w:val="nil"/>
            </w:tcBorders>
            <w:shd w:val="clear" w:color="auto" w:fill="auto"/>
            <w:noWrap/>
            <w:vAlign w:val="center"/>
            <w:hideMark/>
          </w:tcPr>
          <w:p w14:paraId="4EFBDD7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 ± 0.2</w:t>
            </w:r>
          </w:p>
        </w:tc>
        <w:tc>
          <w:tcPr>
            <w:tcW w:w="555" w:type="pct"/>
            <w:tcBorders>
              <w:top w:val="nil"/>
              <w:left w:val="nil"/>
              <w:bottom w:val="nil"/>
              <w:right w:val="nil"/>
            </w:tcBorders>
            <w:shd w:val="clear" w:color="auto" w:fill="auto"/>
            <w:noWrap/>
            <w:vAlign w:val="center"/>
            <w:hideMark/>
          </w:tcPr>
          <w:p w14:paraId="2F6CF75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0.56 ± 0.12</w:t>
            </w:r>
          </w:p>
        </w:tc>
        <w:tc>
          <w:tcPr>
            <w:tcW w:w="555" w:type="pct"/>
            <w:tcBorders>
              <w:top w:val="nil"/>
              <w:left w:val="nil"/>
              <w:bottom w:val="nil"/>
              <w:right w:val="nil"/>
            </w:tcBorders>
            <w:shd w:val="clear" w:color="auto" w:fill="auto"/>
            <w:noWrap/>
            <w:vAlign w:val="center"/>
            <w:hideMark/>
          </w:tcPr>
          <w:p w14:paraId="025A039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0.53 ± 0.14</w:t>
            </w:r>
          </w:p>
        </w:tc>
        <w:tc>
          <w:tcPr>
            <w:tcW w:w="555" w:type="pct"/>
            <w:tcBorders>
              <w:top w:val="nil"/>
              <w:left w:val="nil"/>
              <w:bottom w:val="nil"/>
              <w:right w:val="nil"/>
            </w:tcBorders>
            <w:shd w:val="clear" w:color="auto" w:fill="auto"/>
            <w:noWrap/>
            <w:vAlign w:val="center"/>
            <w:hideMark/>
          </w:tcPr>
          <w:p w14:paraId="5248DE7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0.65 ± 0.14</w:t>
            </w:r>
          </w:p>
        </w:tc>
        <w:tc>
          <w:tcPr>
            <w:tcW w:w="555" w:type="pct"/>
            <w:tcBorders>
              <w:top w:val="nil"/>
              <w:left w:val="nil"/>
              <w:bottom w:val="nil"/>
              <w:right w:val="nil"/>
            </w:tcBorders>
            <w:shd w:val="clear" w:color="auto" w:fill="auto"/>
            <w:noWrap/>
            <w:vAlign w:val="center"/>
            <w:hideMark/>
          </w:tcPr>
          <w:p w14:paraId="508C86C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0.67 ± 0.12</w:t>
            </w:r>
          </w:p>
        </w:tc>
        <w:tc>
          <w:tcPr>
            <w:tcW w:w="564" w:type="pct"/>
            <w:tcBorders>
              <w:top w:val="nil"/>
              <w:left w:val="nil"/>
              <w:bottom w:val="nil"/>
              <w:right w:val="nil"/>
            </w:tcBorders>
            <w:shd w:val="clear" w:color="auto" w:fill="auto"/>
            <w:noWrap/>
            <w:vAlign w:val="center"/>
            <w:hideMark/>
          </w:tcPr>
          <w:p w14:paraId="3A1B6C9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0.78 ± 0.4</w:t>
            </w:r>
          </w:p>
        </w:tc>
        <w:tc>
          <w:tcPr>
            <w:tcW w:w="569" w:type="pct"/>
            <w:tcBorders>
              <w:top w:val="nil"/>
              <w:left w:val="nil"/>
              <w:bottom w:val="nil"/>
              <w:right w:val="nil"/>
            </w:tcBorders>
            <w:shd w:val="clear" w:color="auto" w:fill="auto"/>
            <w:noWrap/>
            <w:vAlign w:val="center"/>
            <w:hideMark/>
          </w:tcPr>
          <w:p w14:paraId="4920BC3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0.62 ± 0.32</w:t>
            </w:r>
          </w:p>
        </w:tc>
      </w:tr>
      <w:tr w:rsidR="008B0AC6" w:rsidRPr="00FA7D47" w14:paraId="2C0AE450" w14:textId="77777777" w:rsidTr="0095549A">
        <w:trPr>
          <w:trHeight w:val="300"/>
        </w:trPr>
        <w:tc>
          <w:tcPr>
            <w:tcW w:w="1091" w:type="pct"/>
            <w:tcBorders>
              <w:top w:val="nil"/>
              <w:left w:val="nil"/>
              <w:bottom w:val="nil"/>
              <w:right w:val="nil"/>
            </w:tcBorders>
            <w:shd w:val="clear" w:color="auto" w:fill="auto"/>
            <w:vAlign w:val="center"/>
            <w:hideMark/>
          </w:tcPr>
          <w:p w14:paraId="647BA02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Anteiso 15:0</w:t>
            </w:r>
          </w:p>
        </w:tc>
        <w:tc>
          <w:tcPr>
            <w:tcW w:w="555" w:type="pct"/>
            <w:tcBorders>
              <w:top w:val="nil"/>
              <w:left w:val="nil"/>
              <w:bottom w:val="nil"/>
              <w:right w:val="nil"/>
            </w:tcBorders>
            <w:shd w:val="clear" w:color="auto" w:fill="auto"/>
            <w:noWrap/>
            <w:vAlign w:val="center"/>
            <w:hideMark/>
          </w:tcPr>
          <w:p w14:paraId="75BB873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0.29 ± 0.12</w:t>
            </w:r>
          </w:p>
        </w:tc>
        <w:tc>
          <w:tcPr>
            <w:tcW w:w="555" w:type="pct"/>
            <w:tcBorders>
              <w:top w:val="nil"/>
              <w:left w:val="nil"/>
              <w:bottom w:val="nil"/>
              <w:right w:val="nil"/>
            </w:tcBorders>
            <w:shd w:val="clear" w:color="auto" w:fill="auto"/>
            <w:noWrap/>
            <w:vAlign w:val="center"/>
            <w:hideMark/>
          </w:tcPr>
          <w:p w14:paraId="363FA97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0.24 ± 0.08</w:t>
            </w:r>
          </w:p>
        </w:tc>
        <w:tc>
          <w:tcPr>
            <w:tcW w:w="555" w:type="pct"/>
            <w:tcBorders>
              <w:top w:val="nil"/>
              <w:left w:val="nil"/>
              <w:bottom w:val="nil"/>
              <w:right w:val="nil"/>
            </w:tcBorders>
            <w:shd w:val="clear" w:color="auto" w:fill="auto"/>
            <w:noWrap/>
            <w:vAlign w:val="center"/>
            <w:hideMark/>
          </w:tcPr>
          <w:p w14:paraId="43551B9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0.23 ± 0.07</w:t>
            </w:r>
          </w:p>
        </w:tc>
        <w:tc>
          <w:tcPr>
            <w:tcW w:w="555" w:type="pct"/>
            <w:tcBorders>
              <w:top w:val="nil"/>
              <w:left w:val="nil"/>
              <w:bottom w:val="nil"/>
              <w:right w:val="nil"/>
            </w:tcBorders>
            <w:shd w:val="clear" w:color="auto" w:fill="auto"/>
            <w:noWrap/>
            <w:vAlign w:val="center"/>
            <w:hideMark/>
          </w:tcPr>
          <w:p w14:paraId="330F3B4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0.11</w:t>
            </w:r>
          </w:p>
        </w:tc>
        <w:tc>
          <w:tcPr>
            <w:tcW w:w="555" w:type="pct"/>
            <w:tcBorders>
              <w:top w:val="nil"/>
              <w:left w:val="nil"/>
              <w:bottom w:val="nil"/>
              <w:right w:val="nil"/>
            </w:tcBorders>
            <w:shd w:val="clear" w:color="auto" w:fill="auto"/>
            <w:noWrap/>
            <w:vAlign w:val="center"/>
            <w:hideMark/>
          </w:tcPr>
          <w:p w14:paraId="6A61F61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0.07</w:t>
            </w:r>
          </w:p>
        </w:tc>
        <w:tc>
          <w:tcPr>
            <w:tcW w:w="564" w:type="pct"/>
            <w:tcBorders>
              <w:top w:val="nil"/>
              <w:left w:val="nil"/>
              <w:bottom w:val="nil"/>
              <w:right w:val="nil"/>
            </w:tcBorders>
            <w:shd w:val="clear" w:color="auto" w:fill="auto"/>
            <w:noWrap/>
            <w:vAlign w:val="center"/>
            <w:hideMark/>
          </w:tcPr>
          <w:p w14:paraId="4B2A043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0.46 ± 0.35</w:t>
            </w:r>
          </w:p>
        </w:tc>
        <w:tc>
          <w:tcPr>
            <w:tcW w:w="569" w:type="pct"/>
            <w:tcBorders>
              <w:top w:val="nil"/>
              <w:left w:val="nil"/>
              <w:bottom w:val="nil"/>
              <w:right w:val="nil"/>
            </w:tcBorders>
            <w:shd w:val="clear" w:color="auto" w:fill="auto"/>
            <w:noWrap/>
            <w:vAlign w:val="center"/>
            <w:hideMark/>
          </w:tcPr>
          <w:p w14:paraId="25F1104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0.58 ± 0.23</w:t>
            </w:r>
          </w:p>
        </w:tc>
      </w:tr>
      <w:tr w:rsidR="008B0AC6" w:rsidRPr="00FA7D47" w14:paraId="0668F61A" w14:textId="77777777" w:rsidTr="0095549A">
        <w:trPr>
          <w:trHeight w:val="300"/>
        </w:trPr>
        <w:tc>
          <w:tcPr>
            <w:tcW w:w="1091" w:type="pct"/>
            <w:tcBorders>
              <w:top w:val="nil"/>
              <w:left w:val="nil"/>
              <w:bottom w:val="nil"/>
              <w:right w:val="nil"/>
            </w:tcBorders>
            <w:shd w:val="clear" w:color="auto" w:fill="auto"/>
            <w:vAlign w:val="center"/>
            <w:hideMark/>
          </w:tcPr>
          <w:p w14:paraId="38E5AD7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15:0</w:t>
            </w:r>
          </w:p>
        </w:tc>
        <w:tc>
          <w:tcPr>
            <w:tcW w:w="555" w:type="pct"/>
            <w:tcBorders>
              <w:top w:val="nil"/>
              <w:left w:val="nil"/>
              <w:bottom w:val="nil"/>
              <w:right w:val="nil"/>
            </w:tcBorders>
            <w:shd w:val="clear" w:color="auto" w:fill="auto"/>
            <w:noWrap/>
            <w:vAlign w:val="center"/>
            <w:hideMark/>
          </w:tcPr>
          <w:p w14:paraId="5E3BED3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0.66 ± 0.14</w:t>
            </w:r>
          </w:p>
        </w:tc>
        <w:tc>
          <w:tcPr>
            <w:tcW w:w="555" w:type="pct"/>
            <w:tcBorders>
              <w:top w:val="nil"/>
              <w:left w:val="nil"/>
              <w:bottom w:val="nil"/>
              <w:right w:val="nil"/>
            </w:tcBorders>
            <w:shd w:val="clear" w:color="auto" w:fill="auto"/>
            <w:noWrap/>
            <w:vAlign w:val="center"/>
            <w:hideMark/>
          </w:tcPr>
          <w:p w14:paraId="3C07578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0.59 ± 0.12</w:t>
            </w:r>
          </w:p>
        </w:tc>
        <w:tc>
          <w:tcPr>
            <w:tcW w:w="555" w:type="pct"/>
            <w:tcBorders>
              <w:top w:val="nil"/>
              <w:left w:val="nil"/>
              <w:bottom w:val="nil"/>
              <w:right w:val="nil"/>
            </w:tcBorders>
            <w:shd w:val="clear" w:color="auto" w:fill="auto"/>
            <w:noWrap/>
            <w:vAlign w:val="center"/>
            <w:hideMark/>
          </w:tcPr>
          <w:p w14:paraId="00B5B10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 ± 0.09</w:t>
            </w:r>
          </w:p>
        </w:tc>
        <w:tc>
          <w:tcPr>
            <w:tcW w:w="555" w:type="pct"/>
            <w:tcBorders>
              <w:top w:val="nil"/>
              <w:left w:val="nil"/>
              <w:bottom w:val="nil"/>
              <w:right w:val="nil"/>
            </w:tcBorders>
            <w:shd w:val="clear" w:color="auto" w:fill="auto"/>
            <w:noWrap/>
            <w:vAlign w:val="center"/>
            <w:hideMark/>
          </w:tcPr>
          <w:p w14:paraId="555460D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0.62 ± 0.1</w:t>
            </w:r>
          </w:p>
        </w:tc>
        <w:tc>
          <w:tcPr>
            <w:tcW w:w="555" w:type="pct"/>
            <w:tcBorders>
              <w:top w:val="nil"/>
              <w:left w:val="nil"/>
              <w:bottom w:val="nil"/>
              <w:right w:val="nil"/>
            </w:tcBorders>
            <w:shd w:val="clear" w:color="auto" w:fill="auto"/>
            <w:noWrap/>
            <w:vAlign w:val="center"/>
            <w:hideMark/>
          </w:tcPr>
          <w:p w14:paraId="2113B3A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0.71 ± 0.12</w:t>
            </w:r>
          </w:p>
        </w:tc>
        <w:tc>
          <w:tcPr>
            <w:tcW w:w="564" w:type="pct"/>
            <w:tcBorders>
              <w:top w:val="nil"/>
              <w:left w:val="nil"/>
              <w:bottom w:val="nil"/>
              <w:right w:val="nil"/>
            </w:tcBorders>
            <w:shd w:val="clear" w:color="auto" w:fill="auto"/>
            <w:noWrap/>
            <w:vAlign w:val="center"/>
            <w:hideMark/>
          </w:tcPr>
          <w:p w14:paraId="0BE0F98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0.69 ± 0.12</w:t>
            </w:r>
          </w:p>
        </w:tc>
        <w:tc>
          <w:tcPr>
            <w:tcW w:w="569" w:type="pct"/>
            <w:tcBorders>
              <w:top w:val="nil"/>
              <w:left w:val="nil"/>
              <w:bottom w:val="nil"/>
              <w:right w:val="nil"/>
            </w:tcBorders>
            <w:shd w:val="clear" w:color="auto" w:fill="auto"/>
            <w:noWrap/>
            <w:vAlign w:val="center"/>
            <w:hideMark/>
          </w:tcPr>
          <w:p w14:paraId="50D13EF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 ± 0.14</w:t>
            </w:r>
          </w:p>
        </w:tc>
      </w:tr>
      <w:tr w:rsidR="008B0AC6" w:rsidRPr="00FA7D47" w14:paraId="7C78FECB" w14:textId="77777777" w:rsidTr="0095549A">
        <w:trPr>
          <w:trHeight w:val="300"/>
        </w:trPr>
        <w:tc>
          <w:tcPr>
            <w:tcW w:w="1091" w:type="pct"/>
            <w:tcBorders>
              <w:top w:val="nil"/>
              <w:left w:val="nil"/>
              <w:bottom w:val="nil"/>
              <w:right w:val="nil"/>
            </w:tcBorders>
            <w:shd w:val="clear" w:color="auto" w:fill="auto"/>
            <w:vAlign w:val="center"/>
            <w:hideMark/>
          </w:tcPr>
          <w:p w14:paraId="03B606A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iso 16:0</w:t>
            </w:r>
          </w:p>
        </w:tc>
        <w:tc>
          <w:tcPr>
            <w:tcW w:w="555" w:type="pct"/>
            <w:tcBorders>
              <w:top w:val="nil"/>
              <w:left w:val="nil"/>
              <w:bottom w:val="nil"/>
              <w:right w:val="nil"/>
            </w:tcBorders>
            <w:shd w:val="clear" w:color="auto" w:fill="auto"/>
            <w:noWrap/>
            <w:vAlign w:val="center"/>
            <w:hideMark/>
          </w:tcPr>
          <w:p w14:paraId="792A323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0.52 ± 0.18</w:t>
            </w:r>
          </w:p>
        </w:tc>
        <w:tc>
          <w:tcPr>
            <w:tcW w:w="555" w:type="pct"/>
            <w:tcBorders>
              <w:top w:val="nil"/>
              <w:left w:val="nil"/>
              <w:bottom w:val="nil"/>
              <w:right w:val="nil"/>
            </w:tcBorders>
            <w:shd w:val="clear" w:color="auto" w:fill="auto"/>
            <w:noWrap/>
            <w:vAlign w:val="center"/>
            <w:hideMark/>
          </w:tcPr>
          <w:p w14:paraId="62D6853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0.42 ± 0.13</w:t>
            </w:r>
          </w:p>
        </w:tc>
        <w:tc>
          <w:tcPr>
            <w:tcW w:w="555" w:type="pct"/>
            <w:tcBorders>
              <w:top w:val="nil"/>
              <w:left w:val="nil"/>
              <w:bottom w:val="nil"/>
              <w:right w:val="nil"/>
            </w:tcBorders>
            <w:shd w:val="clear" w:color="auto" w:fill="auto"/>
            <w:noWrap/>
            <w:vAlign w:val="center"/>
            <w:hideMark/>
          </w:tcPr>
          <w:p w14:paraId="5AC138D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0.45 ± 0.17</w:t>
            </w:r>
          </w:p>
        </w:tc>
        <w:tc>
          <w:tcPr>
            <w:tcW w:w="555" w:type="pct"/>
            <w:tcBorders>
              <w:top w:val="nil"/>
              <w:left w:val="nil"/>
              <w:bottom w:val="nil"/>
              <w:right w:val="nil"/>
            </w:tcBorders>
            <w:shd w:val="clear" w:color="auto" w:fill="auto"/>
            <w:noWrap/>
            <w:vAlign w:val="center"/>
            <w:hideMark/>
          </w:tcPr>
          <w:p w14:paraId="41AF64B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 ± 0.17</w:t>
            </w:r>
          </w:p>
        </w:tc>
        <w:tc>
          <w:tcPr>
            <w:tcW w:w="555" w:type="pct"/>
            <w:tcBorders>
              <w:top w:val="nil"/>
              <w:left w:val="nil"/>
              <w:bottom w:val="nil"/>
              <w:right w:val="nil"/>
            </w:tcBorders>
            <w:shd w:val="clear" w:color="auto" w:fill="auto"/>
            <w:noWrap/>
            <w:vAlign w:val="center"/>
            <w:hideMark/>
          </w:tcPr>
          <w:p w14:paraId="00B829B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0.55 ± 0.12</w:t>
            </w:r>
          </w:p>
        </w:tc>
        <w:tc>
          <w:tcPr>
            <w:tcW w:w="564" w:type="pct"/>
            <w:tcBorders>
              <w:top w:val="nil"/>
              <w:left w:val="nil"/>
              <w:bottom w:val="nil"/>
              <w:right w:val="nil"/>
            </w:tcBorders>
            <w:shd w:val="clear" w:color="auto" w:fill="auto"/>
            <w:noWrap/>
            <w:vAlign w:val="center"/>
            <w:hideMark/>
          </w:tcPr>
          <w:p w14:paraId="3425D5E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0.62 ± 0.28</w:t>
            </w:r>
          </w:p>
        </w:tc>
        <w:tc>
          <w:tcPr>
            <w:tcW w:w="569" w:type="pct"/>
            <w:tcBorders>
              <w:top w:val="nil"/>
              <w:left w:val="nil"/>
              <w:bottom w:val="nil"/>
              <w:right w:val="nil"/>
            </w:tcBorders>
            <w:shd w:val="clear" w:color="auto" w:fill="auto"/>
            <w:noWrap/>
            <w:vAlign w:val="center"/>
            <w:hideMark/>
          </w:tcPr>
          <w:p w14:paraId="2A8CF3F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0.41 ± 0.18</w:t>
            </w:r>
          </w:p>
        </w:tc>
      </w:tr>
      <w:tr w:rsidR="008B0AC6" w:rsidRPr="00FA7D47" w14:paraId="43CCB7DF" w14:textId="77777777" w:rsidTr="0095549A">
        <w:trPr>
          <w:trHeight w:val="300"/>
        </w:trPr>
        <w:tc>
          <w:tcPr>
            <w:tcW w:w="1091" w:type="pct"/>
            <w:tcBorders>
              <w:top w:val="nil"/>
              <w:left w:val="nil"/>
              <w:bottom w:val="nil"/>
              <w:right w:val="nil"/>
            </w:tcBorders>
            <w:shd w:val="clear" w:color="auto" w:fill="auto"/>
            <w:vAlign w:val="center"/>
            <w:hideMark/>
          </w:tcPr>
          <w:p w14:paraId="48D3BE0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16:0 DMA</w:t>
            </w:r>
          </w:p>
        </w:tc>
        <w:tc>
          <w:tcPr>
            <w:tcW w:w="555" w:type="pct"/>
            <w:tcBorders>
              <w:top w:val="nil"/>
              <w:left w:val="nil"/>
              <w:bottom w:val="nil"/>
              <w:right w:val="nil"/>
            </w:tcBorders>
            <w:shd w:val="clear" w:color="auto" w:fill="auto"/>
            <w:noWrap/>
            <w:vAlign w:val="center"/>
            <w:hideMark/>
          </w:tcPr>
          <w:p w14:paraId="7E2EC42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0.51 ± 0.35</w:t>
            </w:r>
          </w:p>
        </w:tc>
        <w:tc>
          <w:tcPr>
            <w:tcW w:w="555" w:type="pct"/>
            <w:tcBorders>
              <w:top w:val="nil"/>
              <w:left w:val="nil"/>
              <w:bottom w:val="nil"/>
              <w:right w:val="nil"/>
            </w:tcBorders>
            <w:shd w:val="clear" w:color="auto" w:fill="auto"/>
            <w:noWrap/>
            <w:vAlign w:val="center"/>
            <w:hideMark/>
          </w:tcPr>
          <w:p w14:paraId="6328C8D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0.26 ± 0.14</w:t>
            </w:r>
          </w:p>
        </w:tc>
        <w:tc>
          <w:tcPr>
            <w:tcW w:w="555" w:type="pct"/>
            <w:tcBorders>
              <w:top w:val="nil"/>
              <w:left w:val="nil"/>
              <w:bottom w:val="nil"/>
              <w:right w:val="nil"/>
            </w:tcBorders>
            <w:shd w:val="clear" w:color="auto" w:fill="auto"/>
            <w:noWrap/>
            <w:vAlign w:val="center"/>
            <w:hideMark/>
          </w:tcPr>
          <w:p w14:paraId="2EACC51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0.18</w:t>
            </w:r>
          </w:p>
        </w:tc>
        <w:tc>
          <w:tcPr>
            <w:tcW w:w="555" w:type="pct"/>
            <w:tcBorders>
              <w:top w:val="nil"/>
              <w:left w:val="nil"/>
              <w:bottom w:val="nil"/>
              <w:right w:val="nil"/>
            </w:tcBorders>
            <w:shd w:val="clear" w:color="auto" w:fill="auto"/>
            <w:noWrap/>
            <w:vAlign w:val="center"/>
            <w:hideMark/>
          </w:tcPr>
          <w:p w14:paraId="3511713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 ± 0.15</w:t>
            </w:r>
          </w:p>
        </w:tc>
        <w:tc>
          <w:tcPr>
            <w:tcW w:w="555" w:type="pct"/>
            <w:tcBorders>
              <w:top w:val="nil"/>
              <w:left w:val="nil"/>
              <w:bottom w:val="nil"/>
              <w:right w:val="nil"/>
            </w:tcBorders>
            <w:shd w:val="clear" w:color="auto" w:fill="auto"/>
            <w:noWrap/>
            <w:vAlign w:val="center"/>
            <w:hideMark/>
          </w:tcPr>
          <w:p w14:paraId="7931733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0.08</w:t>
            </w:r>
          </w:p>
        </w:tc>
        <w:tc>
          <w:tcPr>
            <w:tcW w:w="564" w:type="pct"/>
            <w:tcBorders>
              <w:top w:val="nil"/>
              <w:left w:val="nil"/>
              <w:bottom w:val="nil"/>
              <w:right w:val="nil"/>
            </w:tcBorders>
            <w:shd w:val="clear" w:color="auto" w:fill="auto"/>
            <w:noWrap/>
            <w:vAlign w:val="center"/>
            <w:hideMark/>
          </w:tcPr>
          <w:p w14:paraId="791D16A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0.42 ± 0.21</w:t>
            </w:r>
          </w:p>
        </w:tc>
        <w:tc>
          <w:tcPr>
            <w:tcW w:w="569" w:type="pct"/>
            <w:tcBorders>
              <w:top w:val="nil"/>
              <w:left w:val="nil"/>
              <w:bottom w:val="nil"/>
              <w:right w:val="nil"/>
            </w:tcBorders>
            <w:shd w:val="clear" w:color="auto" w:fill="auto"/>
            <w:noWrap/>
            <w:vAlign w:val="center"/>
            <w:hideMark/>
          </w:tcPr>
          <w:p w14:paraId="6BFC296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44E6018D" w14:textId="77777777" w:rsidTr="0095549A">
        <w:trPr>
          <w:trHeight w:val="300"/>
        </w:trPr>
        <w:tc>
          <w:tcPr>
            <w:tcW w:w="1091" w:type="pct"/>
            <w:tcBorders>
              <w:top w:val="nil"/>
              <w:left w:val="nil"/>
              <w:bottom w:val="nil"/>
              <w:right w:val="nil"/>
            </w:tcBorders>
            <w:shd w:val="clear" w:color="auto" w:fill="auto"/>
            <w:vAlign w:val="center"/>
            <w:hideMark/>
          </w:tcPr>
          <w:p w14:paraId="1FB6B80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Anteiso 16:0</w:t>
            </w:r>
          </w:p>
        </w:tc>
        <w:tc>
          <w:tcPr>
            <w:tcW w:w="555" w:type="pct"/>
            <w:tcBorders>
              <w:top w:val="nil"/>
              <w:left w:val="nil"/>
              <w:bottom w:val="nil"/>
              <w:right w:val="nil"/>
            </w:tcBorders>
            <w:shd w:val="clear" w:color="auto" w:fill="auto"/>
            <w:noWrap/>
            <w:vAlign w:val="center"/>
            <w:hideMark/>
          </w:tcPr>
          <w:p w14:paraId="3FBFED5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0.07 ± 0.05</w:t>
            </w:r>
          </w:p>
        </w:tc>
        <w:tc>
          <w:tcPr>
            <w:tcW w:w="555" w:type="pct"/>
            <w:tcBorders>
              <w:top w:val="nil"/>
              <w:left w:val="nil"/>
              <w:bottom w:val="nil"/>
              <w:right w:val="nil"/>
            </w:tcBorders>
            <w:shd w:val="clear" w:color="auto" w:fill="auto"/>
            <w:noWrap/>
            <w:vAlign w:val="center"/>
            <w:hideMark/>
          </w:tcPr>
          <w:p w14:paraId="41001C6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0.14 ± 0.07</w:t>
            </w:r>
          </w:p>
        </w:tc>
        <w:tc>
          <w:tcPr>
            <w:tcW w:w="555" w:type="pct"/>
            <w:tcBorders>
              <w:top w:val="nil"/>
              <w:left w:val="nil"/>
              <w:bottom w:val="nil"/>
              <w:right w:val="nil"/>
            </w:tcBorders>
            <w:shd w:val="clear" w:color="auto" w:fill="auto"/>
            <w:noWrap/>
            <w:vAlign w:val="center"/>
            <w:hideMark/>
          </w:tcPr>
          <w:p w14:paraId="3C4EB5C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0.13 ± 0.07</w:t>
            </w:r>
          </w:p>
        </w:tc>
        <w:tc>
          <w:tcPr>
            <w:tcW w:w="555" w:type="pct"/>
            <w:tcBorders>
              <w:top w:val="nil"/>
              <w:left w:val="nil"/>
              <w:bottom w:val="nil"/>
              <w:right w:val="nil"/>
            </w:tcBorders>
            <w:shd w:val="clear" w:color="auto" w:fill="auto"/>
            <w:noWrap/>
            <w:vAlign w:val="center"/>
            <w:hideMark/>
          </w:tcPr>
          <w:p w14:paraId="32A0274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 ± 0.07</w:t>
            </w:r>
          </w:p>
        </w:tc>
        <w:tc>
          <w:tcPr>
            <w:tcW w:w="555" w:type="pct"/>
            <w:tcBorders>
              <w:top w:val="nil"/>
              <w:left w:val="nil"/>
              <w:bottom w:val="nil"/>
              <w:right w:val="nil"/>
            </w:tcBorders>
            <w:shd w:val="clear" w:color="auto" w:fill="auto"/>
            <w:noWrap/>
            <w:vAlign w:val="center"/>
            <w:hideMark/>
          </w:tcPr>
          <w:p w14:paraId="45107B8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0.07 ± 0.06</w:t>
            </w:r>
          </w:p>
        </w:tc>
        <w:tc>
          <w:tcPr>
            <w:tcW w:w="564" w:type="pct"/>
            <w:tcBorders>
              <w:top w:val="nil"/>
              <w:left w:val="nil"/>
              <w:bottom w:val="nil"/>
              <w:right w:val="nil"/>
            </w:tcBorders>
            <w:shd w:val="clear" w:color="auto" w:fill="auto"/>
            <w:noWrap/>
            <w:vAlign w:val="center"/>
            <w:hideMark/>
          </w:tcPr>
          <w:p w14:paraId="2460D47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 ± 0.02</w:t>
            </w:r>
          </w:p>
        </w:tc>
        <w:tc>
          <w:tcPr>
            <w:tcW w:w="569" w:type="pct"/>
            <w:tcBorders>
              <w:top w:val="nil"/>
              <w:left w:val="nil"/>
              <w:bottom w:val="nil"/>
              <w:right w:val="nil"/>
            </w:tcBorders>
            <w:shd w:val="clear" w:color="auto" w:fill="auto"/>
            <w:noWrap/>
            <w:vAlign w:val="center"/>
            <w:hideMark/>
          </w:tcPr>
          <w:p w14:paraId="31C3F04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0.09 ± 0.04</w:t>
            </w:r>
          </w:p>
        </w:tc>
      </w:tr>
      <w:tr w:rsidR="008B0AC6" w:rsidRPr="00FA7D47" w14:paraId="5B0981A4" w14:textId="77777777" w:rsidTr="0095549A">
        <w:trPr>
          <w:trHeight w:val="300"/>
        </w:trPr>
        <w:tc>
          <w:tcPr>
            <w:tcW w:w="1091" w:type="pct"/>
            <w:tcBorders>
              <w:top w:val="nil"/>
              <w:left w:val="nil"/>
              <w:bottom w:val="nil"/>
              <w:right w:val="nil"/>
            </w:tcBorders>
            <w:shd w:val="clear" w:color="auto" w:fill="auto"/>
            <w:vAlign w:val="center"/>
            <w:hideMark/>
          </w:tcPr>
          <w:p w14:paraId="46D660A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16:0</w:t>
            </w:r>
          </w:p>
        </w:tc>
        <w:tc>
          <w:tcPr>
            <w:tcW w:w="555" w:type="pct"/>
            <w:tcBorders>
              <w:top w:val="nil"/>
              <w:left w:val="nil"/>
              <w:bottom w:val="nil"/>
              <w:right w:val="nil"/>
            </w:tcBorders>
            <w:shd w:val="clear" w:color="auto" w:fill="auto"/>
            <w:noWrap/>
            <w:vAlign w:val="center"/>
            <w:hideMark/>
          </w:tcPr>
          <w:p w14:paraId="2947C09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12.92 ± 1</w:t>
            </w:r>
          </w:p>
        </w:tc>
        <w:tc>
          <w:tcPr>
            <w:tcW w:w="555" w:type="pct"/>
            <w:tcBorders>
              <w:top w:val="nil"/>
              <w:left w:val="nil"/>
              <w:bottom w:val="nil"/>
              <w:right w:val="nil"/>
            </w:tcBorders>
            <w:shd w:val="clear" w:color="auto" w:fill="auto"/>
            <w:noWrap/>
            <w:vAlign w:val="center"/>
            <w:hideMark/>
          </w:tcPr>
          <w:p w14:paraId="40B512D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12.97 ± 1.5</w:t>
            </w:r>
          </w:p>
        </w:tc>
        <w:tc>
          <w:tcPr>
            <w:tcW w:w="555" w:type="pct"/>
            <w:tcBorders>
              <w:top w:val="nil"/>
              <w:left w:val="nil"/>
              <w:bottom w:val="nil"/>
              <w:right w:val="nil"/>
            </w:tcBorders>
            <w:shd w:val="clear" w:color="auto" w:fill="auto"/>
            <w:noWrap/>
            <w:vAlign w:val="center"/>
            <w:hideMark/>
          </w:tcPr>
          <w:p w14:paraId="7DA17B3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13.36 ± 1.02</w:t>
            </w:r>
          </w:p>
        </w:tc>
        <w:tc>
          <w:tcPr>
            <w:tcW w:w="555" w:type="pct"/>
            <w:tcBorders>
              <w:top w:val="nil"/>
              <w:left w:val="nil"/>
              <w:bottom w:val="nil"/>
              <w:right w:val="nil"/>
            </w:tcBorders>
            <w:shd w:val="clear" w:color="auto" w:fill="auto"/>
            <w:noWrap/>
            <w:vAlign w:val="center"/>
            <w:hideMark/>
          </w:tcPr>
          <w:p w14:paraId="3701633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12.58 ± 1.27</w:t>
            </w:r>
          </w:p>
        </w:tc>
        <w:tc>
          <w:tcPr>
            <w:tcW w:w="555" w:type="pct"/>
            <w:tcBorders>
              <w:top w:val="nil"/>
              <w:left w:val="nil"/>
              <w:bottom w:val="nil"/>
              <w:right w:val="nil"/>
            </w:tcBorders>
            <w:shd w:val="clear" w:color="auto" w:fill="auto"/>
            <w:noWrap/>
            <w:vAlign w:val="center"/>
            <w:hideMark/>
          </w:tcPr>
          <w:p w14:paraId="4B474A3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12.49 ± 0.95</w:t>
            </w:r>
          </w:p>
        </w:tc>
        <w:tc>
          <w:tcPr>
            <w:tcW w:w="564" w:type="pct"/>
            <w:tcBorders>
              <w:top w:val="nil"/>
              <w:left w:val="nil"/>
              <w:bottom w:val="nil"/>
              <w:right w:val="nil"/>
            </w:tcBorders>
            <w:shd w:val="clear" w:color="auto" w:fill="auto"/>
            <w:noWrap/>
            <w:vAlign w:val="center"/>
            <w:hideMark/>
          </w:tcPr>
          <w:p w14:paraId="08F6B35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11.85 ± 0.29</w:t>
            </w:r>
          </w:p>
        </w:tc>
        <w:tc>
          <w:tcPr>
            <w:tcW w:w="569" w:type="pct"/>
            <w:tcBorders>
              <w:top w:val="nil"/>
              <w:left w:val="nil"/>
              <w:bottom w:val="nil"/>
              <w:right w:val="nil"/>
            </w:tcBorders>
            <w:shd w:val="clear" w:color="auto" w:fill="auto"/>
            <w:noWrap/>
            <w:vAlign w:val="center"/>
            <w:hideMark/>
          </w:tcPr>
          <w:p w14:paraId="7B49D8A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14.42 ± 0.94</w:t>
            </w:r>
          </w:p>
        </w:tc>
      </w:tr>
      <w:tr w:rsidR="008B0AC6" w:rsidRPr="00FA7D47" w14:paraId="2741F73F" w14:textId="77777777" w:rsidTr="0095549A">
        <w:trPr>
          <w:trHeight w:val="300"/>
        </w:trPr>
        <w:tc>
          <w:tcPr>
            <w:tcW w:w="1091" w:type="pct"/>
            <w:tcBorders>
              <w:top w:val="nil"/>
              <w:left w:val="nil"/>
              <w:bottom w:val="nil"/>
              <w:right w:val="nil"/>
            </w:tcBorders>
            <w:shd w:val="clear" w:color="auto" w:fill="auto"/>
            <w:vAlign w:val="center"/>
            <w:hideMark/>
          </w:tcPr>
          <w:p w14:paraId="16BF5DE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iso 17:0</w:t>
            </w:r>
          </w:p>
        </w:tc>
        <w:tc>
          <w:tcPr>
            <w:tcW w:w="555" w:type="pct"/>
            <w:tcBorders>
              <w:top w:val="nil"/>
              <w:left w:val="nil"/>
              <w:bottom w:val="nil"/>
              <w:right w:val="nil"/>
            </w:tcBorders>
            <w:shd w:val="clear" w:color="auto" w:fill="auto"/>
            <w:noWrap/>
            <w:vAlign w:val="center"/>
            <w:hideMark/>
          </w:tcPr>
          <w:p w14:paraId="46821AE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 ± 0.35</w:t>
            </w:r>
          </w:p>
        </w:tc>
        <w:tc>
          <w:tcPr>
            <w:tcW w:w="555" w:type="pct"/>
            <w:tcBorders>
              <w:top w:val="nil"/>
              <w:left w:val="nil"/>
              <w:bottom w:val="nil"/>
              <w:right w:val="nil"/>
            </w:tcBorders>
            <w:shd w:val="clear" w:color="auto" w:fill="auto"/>
            <w:noWrap/>
            <w:vAlign w:val="center"/>
            <w:hideMark/>
          </w:tcPr>
          <w:p w14:paraId="084F857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0.91 ± 0.28</w:t>
            </w:r>
          </w:p>
        </w:tc>
        <w:tc>
          <w:tcPr>
            <w:tcW w:w="555" w:type="pct"/>
            <w:tcBorders>
              <w:top w:val="nil"/>
              <w:left w:val="nil"/>
              <w:bottom w:val="nil"/>
              <w:right w:val="nil"/>
            </w:tcBorders>
            <w:shd w:val="clear" w:color="auto" w:fill="auto"/>
            <w:noWrap/>
            <w:vAlign w:val="center"/>
            <w:hideMark/>
          </w:tcPr>
          <w:p w14:paraId="6DBFBC6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0.91 ± 0.33</w:t>
            </w:r>
          </w:p>
        </w:tc>
        <w:tc>
          <w:tcPr>
            <w:tcW w:w="555" w:type="pct"/>
            <w:tcBorders>
              <w:top w:val="nil"/>
              <w:left w:val="nil"/>
              <w:bottom w:val="nil"/>
              <w:right w:val="nil"/>
            </w:tcBorders>
            <w:shd w:val="clear" w:color="auto" w:fill="auto"/>
            <w:noWrap/>
            <w:vAlign w:val="center"/>
            <w:hideMark/>
          </w:tcPr>
          <w:p w14:paraId="6FABD8F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1.05 ± 0.38</w:t>
            </w:r>
          </w:p>
        </w:tc>
        <w:tc>
          <w:tcPr>
            <w:tcW w:w="555" w:type="pct"/>
            <w:tcBorders>
              <w:top w:val="nil"/>
              <w:left w:val="nil"/>
              <w:bottom w:val="nil"/>
              <w:right w:val="nil"/>
            </w:tcBorders>
            <w:shd w:val="clear" w:color="auto" w:fill="auto"/>
            <w:noWrap/>
            <w:vAlign w:val="center"/>
            <w:hideMark/>
          </w:tcPr>
          <w:p w14:paraId="2EB061D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1.08 ± 0.22</w:t>
            </w:r>
          </w:p>
        </w:tc>
        <w:tc>
          <w:tcPr>
            <w:tcW w:w="564" w:type="pct"/>
            <w:tcBorders>
              <w:top w:val="nil"/>
              <w:left w:val="nil"/>
              <w:bottom w:val="nil"/>
              <w:right w:val="nil"/>
            </w:tcBorders>
            <w:shd w:val="clear" w:color="auto" w:fill="auto"/>
            <w:noWrap/>
            <w:vAlign w:val="center"/>
            <w:hideMark/>
          </w:tcPr>
          <w:p w14:paraId="3FA544C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1.17 ± 0.4</w:t>
            </w:r>
          </w:p>
        </w:tc>
        <w:tc>
          <w:tcPr>
            <w:tcW w:w="569" w:type="pct"/>
            <w:tcBorders>
              <w:top w:val="nil"/>
              <w:left w:val="nil"/>
              <w:bottom w:val="nil"/>
              <w:right w:val="nil"/>
            </w:tcBorders>
            <w:shd w:val="clear" w:color="auto" w:fill="auto"/>
            <w:noWrap/>
            <w:vAlign w:val="center"/>
            <w:hideMark/>
          </w:tcPr>
          <w:p w14:paraId="424D36F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0.91 ± 0.32</w:t>
            </w:r>
          </w:p>
        </w:tc>
      </w:tr>
      <w:tr w:rsidR="008B0AC6" w:rsidRPr="00FA7D47" w14:paraId="7A1882A0" w14:textId="77777777" w:rsidTr="0095549A">
        <w:trPr>
          <w:trHeight w:val="300"/>
        </w:trPr>
        <w:tc>
          <w:tcPr>
            <w:tcW w:w="1091" w:type="pct"/>
            <w:tcBorders>
              <w:top w:val="nil"/>
              <w:left w:val="nil"/>
              <w:bottom w:val="nil"/>
              <w:right w:val="nil"/>
            </w:tcBorders>
            <w:shd w:val="clear" w:color="auto" w:fill="auto"/>
            <w:vAlign w:val="center"/>
            <w:hideMark/>
          </w:tcPr>
          <w:p w14:paraId="28B7061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Anteiso 17:0</w:t>
            </w:r>
          </w:p>
        </w:tc>
        <w:tc>
          <w:tcPr>
            <w:tcW w:w="555" w:type="pct"/>
            <w:tcBorders>
              <w:top w:val="nil"/>
              <w:left w:val="nil"/>
              <w:bottom w:val="nil"/>
              <w:right w:val="nil"/>
            </w:tcBorders>
            <w:shd w:val="clear" w:color="auto" w:fill="auto"/>
            <w:noWrap/>
            <w:vAlign w:val="center"/>
            <w:hideMark/>
          </w:tcPr>
          <w:p w14:paraId="1071E19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0.84 ± 0.36</w:t>
            </w:r>
          </w:p>
        </w:tc>
        <w:tc>
          <w:tcPr>
            <w:tcW w:w="555" w:type="pct"/>
            <w:tcBorders>
              <w:top w:val="nil"/>
              <w:left w:val="nil"/>
              <w:bottom w:val="nil"/>
              <w:right w:val="nil"/>
            </w:tcBorders>
            <w:shd w:val="clear" w:color="auto" w:fill="auto"/>
            <w:noWrap/>
            <w:vAlign w:val="center"/>
            <w:hideMark/>
          </w:tcPr>
          <w:p w14:paraId="7BE86F5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0.72 ± 0.26</w:t>
            </w:r>
          </w:p>
        </w:tc>
        <w:tc>
          <w:tcPr>
            <w:tcW w:w="555" w:type="pct"/>
            <w:tcBorders>
              <w:top w:val="nil"/>
              <w:left w:val="nil"/>
              <w:bottom w:val="nil"/>
              <w:right w:val="nil"/>
            </w:tcBorders>
            <w:shd w:val="clear" w:color="auto" w:fill="auto"/>
            <w:noWrap/>
            <w:vAlign w:val="center"/>
            <w:hideMark/>
          </w:tcPr>
          <w:p w14:paraId="1F05394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0.79 ± 0.5</w:t>
            </w:r>
          </w:p>
        </w:tc>
        <w:tc>
          <w:tcPr>
            <w:tcW w:w="555" w:type="pct"/>
            <w:tcBorders>
              <w:top w:val="nil"/>
              <w:left w:val="nil"/>
              <w:bottom w:val="nil"/>
              <w:right w:val="nil"/>
            </w:tcBorders>
            <w:shd w:val="clear" w:color="auto" w:fill="auto"/>
            <w:noWrap/>
            <w:vAlign w:val="center"/>
            <w:hideMark/>
          </w:tcPr>
          <w:p w14:paraId="2672067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0.87 ± 0.39</w:t>
            </w:r>
          </w:p>
        </w:tc>
        <w:tc>
          <w:tcPr>
            <w:tcW w:w="555" w:type="pct"/>
            <w:tcBorders>
              <w:top w:val="nil"/>
              <w:left w:val="nil"/>
              <w:bottom w:val="nil"/>
              <w:right w:val="nil"/>
            </w:tcBorders>
            <w:shd w:val="clear" w:color="auto" w:fill="auto"/>
            <w:noWrap/>
            <w:vAlign w:val="center"/>
            <w:hideMark/>
          </w:tcPr>
          <w:p w14:paraId="7F6F089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0.91 ± 0.24</w:t>
            </w:r>
          </w:p>
        </w:tc>
        <w:tc>
          <w:tcPr>
            <w:tcW w:w="564" w:type="pct"/>
            <w:tcBorders>
              <w:top w:val="nil"/>
              <w:left w:val="nil"/>
              <w:bottom w:val="nil"/>
              <w:right w:val="nil"/>
            </w:tcBorders>
            <w:shd w:val="clear" w:color="auto" w:fill="auto"/>
            <w:noWrap/>
            <w:vAlign w:val="center"/>
            <w:hideMark/>
          </w:tcPr>
          <w:p w14:paraId="61A9E21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1.11 ± 0.41</w:t>
            </w:r>
          </w:p>
        </w:tc>
        <w:tc>
          <w:tcPr>
            <w:tcW w:w="569" w:type="pct"/>
            <w:tcBorders>
              <w:top w:val="nil"/>
              <w:left w:val="nil"/>
              <w:bottom w:val="nil"/>
              <w:right w:val="nil"/>
            </w:tcBorders>
            <w:shd w:val="clear" w:color="auto" w:fill="auto"/>
            <w:noWrap/>
            <w:vAlign w:val="center"/>
            <w:hideMark/>
          </w:tcPr>
          <w:p w14:paraId="4D52BC8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1.9 ± 0.47</w:t>
            </w:r>
          </w:p>
        </w:tc>
      </w:tr>
      <w:tr w:rsidR="008B0AC6" w:rsidRPr="00FA7D47" w14:paraId="0B204F6B" w14:textId="77777777" w:rsidTr="0095549A">
        <w:trPr>
          <w:trHeight w:val="300"/>
        </w:trPr>
        <w:tc>
          <w:tcPr>
            <w:tcW w:w="1091" w:type="pct"/>
            <w:tcBorders>
              <w:top w:val="nil"/>
              <w:left w:val="nil"/>
              <w:bottom w:val="nil"/>
              <w:right w:val="nil"/>
            </w:tcBorders>
            <w:shd w:val="clear" w:color="auto" w:fill="auto"/>
            <w:vAlign w:val="center"/>
            <w:hideMark/>
          </w:tcPr>
          <w:p w14:paraId="19583BA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17:0</w:t>
            </w:r>
          </w:p>
        </w:tc>
        <w:tc>
          <w:tcPr>
            <w:tcW w:w="555" w:type="pct"/>
            <w:tcBorders>
              <w:top w:val="nil"/>
              <w:left w:val="nil"/>
              <w:bottom w:val="nil"/>
              <w:right w:val="nil"/>
            </w:tcBorders>
            <w:shd w:val="clear" w:color="auto" w:fill="auto"/>
            <w:noWrap/>
            <w:vAlign w:val="center"/>
            <w:hideMark/>
          </w:tcPr>
          <w:p w14:paraId="68F5FF9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c>
          <w:tcPr>
            <w:tcW w:w="555" w:type="pct"/>
            <w:tcBorders>
              <w:top w:val="nil"/>
              <w:left w:val="nil"/>
              <w:bottom w:val="nil"/>
              <w:right w:val="nil"/>
            </w:tcBorders>
            <w:shd w:val="clear" w:color="auto" w:fill="auto"/>
            <w:noWrap/>
            <w:vAlign w:val="center"/>
            <w:hideMark/>
          </w:tcPr>
          <w:p w14:paraId="405B0FF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c>
          <w:tcPr>
            <w:tcW w:w="555" w:type="pct"/>
            <w:tcBorders>
              <w:top w:val="nil"/>
              <w:left w:val="nil"/>
              <w:bottom w:val="nil"/>
              <w:right w:val="nil"/>
            </w:tcBorders>
            <w:shd w:val="clear" w:color="auto" w:fill="auto"/>
            <w:noWrap/>
            <w:vAlign w:val="center"/>
            <w:hideMark/>
          </w:tcPr>
          <w:p w14:paraId="0080FF0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c>
          <w:tcPr>
            <w:tcW w:w="555" w:type="pct"/>
            <w:tcBorders>
              <w:top w:val="nil"/>
              <w:left w:val="nil"/>
              <w:bottom w:val="nil"/>
              <w:right w:val="nil"/>
            </w:tcBorders>
            <w:shd w:val="clear" w:color="auto" w:fill="auto"/>
            <w:noWrap/>
            <w:vAlign w:val="center"/>
            <w:hideMark/>
          </w:tcPr>
          <w:p w14:paraId="6FC395A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c>
          <w:tcPr>
            <w:tcW w:w="555" w:type="pct"/>
            <w:tcBorders>
              <w:top w:val="nil"/>
              <w:left w:val="nil"/>
              <w:bottom w:val="nil"/>
              <w:right w:val="nil"/>
            </w:tcBorders>
            <w:shd w:val="clear" w:color="auto" w:fill="auto"/>
            <w:noWrap/>
            <w:vAlign w:val="center"/>
            <w:hideMark/>
          </w:tcPr>
          <w:p w14:paraId="3D508AF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c>
          <w:tcPr>
            <w:tcW w:w="564" w:type="pct"/>
            <w:tcBorders>
              <w:top w:val="nil"/>
              <w:left w:val="nil"/>
              <w:bottom w:val="nil"/>
              <w:right w:val="nil"/>
            </w:tcBorders>
            <w:shd w:val="clear" w:color="auto" w:fill="auto"/>
            <w:noWrap/>
            <w:vAlign w:val="center"/>
            <w:hideMark/>
          </w:tcPr>
          <w:p w14:paraId="55F0421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c>
          <w:tcPr>
            <w:tcW w:w="569" w:type="pct"/>
            <w:tcBorders>
              <w:top w:val="nil"/>
              <w:left w:val="nil"/>
              <w:bottom w:val="nil"/>
              <w:right w:val="nil"/>
            </w:tcBorders>
            <w:shd w:val="clear" w:color="auto" w:fill="auto"/>
            <w:noWrap/>
            <w:vAlign w:val="center"/>
            <w:hideMark/>
          </w:tcPr>
          <w:p w14:paraId="7D24E2D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539A70FC" w14:textId="77777777" w:rsidTr="0095549A">
        <w:trPr>
          <w:trHeight w:val="300"/>
        </w:trPr>
        <w:tc>
          <w:tcPr>
            <w:tcW w:w="1091" w:type="pct"/>
            <w:tcBorders>
              <w:top w:val="nil"/>
              <w:left w:val="nil"/>
              <w:bottom w:val="nil"/>
              <w:right w:val="nil"/>
            </w:tcBorders>
            <w:shd w:val="clear" w:color="auto" w:fill="auto"/>
            <w:vAlign w:val="center"/>
            <w:hideMark/>
          </w:tcPr>
          <w:p w14:paraId="71937D9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iso 18:0</w:t>
            </w:r>
          </w:p>
        </w:tc>
        <w:tc>
          <w:tcPr>
            <w:tcW w:w="555" w:type="pct"/>
            <w:tcBorders>
              <w:top w:val="nil"/>
              <w:left w:val="nil"/>
              <w:bottom w:val="nil"/>
              <w:right w:val="nil"/>
            </w:tcBorders>
            <w:shd w:val="clear" w:color="auto" w:fill="auto"/>
            <w:noWrap/>
            <w:vAlign w:val="center"/>
            <w:hideMark/>
          </w:tcPr>
          <w:p w14:paraId="4245A26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0.58 ± 0.17</w:t>
            </w:r>
          </w:p>
        </w:tc>
        <w:tc>
          <w:tcPr>
            <w:tcW w:w="555" w:type="pct"/>
            <w:tcBorders>
              <w:top w:val="nil"/>
              <w:left w:val="nil"/>
              <w:bottom w:val="nil"/>
              <w:right w:val="nil"/>
            </w:tcBorders>
            <w:shd w:val="clear" w:color="auto" w:fill="auto"/>
            <w:noWrap/>
            <w:vAlign w:val="center"/>
            <w:hideMark/>
          </w:tcPr>
          <w:p w14:paraId="047545F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0.49 ± 0.12</w:t>
            </w:r>
          </w:p>
        </w:tc>
        <w:tc>
          <w:tcPr>
            <w:tcW w:w="555" w:type="pct"/>
            <w:tcBorders>
              <w:top w:val="nil"/>
              <w:left w:val="nil"/>
              <w:bottom w:val="nil"/>
              <w:right w:val="nil"/>
            </w:tcBorders>
            <w:shd w:val="clear" w:color="auto" w:fill="auto"/>
            <w:noWrap/>
            <w:vAlign w:val="center"/>
            <w:hideMark/>
          </w:tcPr>
          <w:p w14:paraId="220A76D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0.41 ± 0.15</w:t>
            </w:r>
          </w:p>
        </w:tc>
        <w:tc>
          <w:tcPr>
            <w:tcW w:w="555" w:type="pct"/>
            <w:tcBorders>
              <w:top w:val="nil"/>
              <w:left w:val="nil"/>
              <w:bottom w:val="nil"/>
              <w:right w:val="nil"/>
            </w:tcBorders>
            <w:shd w:val="clear" w:color="auto" w:fill="auto"/>
            <w:noWrap/>
            <w:vAlign w:val="center"/>
            <w:hideMark/>
          </w:tcPr>
          <w:p w14:paraId="067EDD7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0.49 ± 0.2</w:t>
            </w:r>
          </w:p>
        </w:tc>
        <w:tc>
          <w:tcPr>
            <w:tcW w:w="555" w:type="pct"/>
            <w:tcBorders>
              <w:top w:val="nil"/>
              <w:left w:val="nil"/>
              <w:bottom w:val="nil"/>
              <w:right w:val="nil"/>
            </w:tcBorders>
            <w:shd w:val="clear" w:color="auto" w:fill="auto"/>
            <w:noWrap/>
            <w:vAlign w:val="center"/>
            <w:hideMark/>
          </w:tcPr>
          <w:p w14:paraId="4C030E9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0.52 ± 0.09</w:t>
            </w:r>
          </w:p>
        </w:tc>
        <w:tc>
          <w:tcPr>
            <w:tcW w:w="564" w:type="pct"/>
            <w:tcBorders>
              <w:top w:val="nil"/>
              <w:left w:val="nil"/>
              <w:bottom w:val="nil"/>
              <w:right w:val="nil"/>
            </w:tcBorders>
            <w:shd w:val="clear" w:color="auto" w:fill="auto"/>
            <w:noWrap/>
            <w:vAlign w:val="center"/>
            <w:hideMark/>
          </w:tcPr>
          <w:p w14:paraId="2C54D54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0.54 ± 0.18</w:t>
            </w:r>
          </w:p>
        </w:tc>
        <w:tc>
          <w:tcPr>
            <w:tcW w:w="569" w:type="pct"/>
            <w:tcBorders>
              <w:top w:val="nil"/>
              <w:left w:val="nil"/>
              <w:bottom w:val="nil"/>
              <w:right w:val="nil"/>
            </w:tcBorders>
            <w:shd w:val="clear" w:color="auto" w:fill="auto"/>
            <w:noWrap/>
            <w:vAlign w:val="center"/>
            <w:hideMark/>
          </w:tcPr>
          <w:p w14:paraId="4D871E1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0.41 ± 0.17</w:t>
            </w:r>
          </w:p>
        </w:tc>
      </w:tr>
      <w:tr w:rsidR="008B0AC6" w:rsidRPr="00FA7D47" w14:paraId="65FF94B9" w14:textId="77777777" w:rsidTr="0095549A">
        <w:trPr>
          <w:trHeight w:val="300"/>
        </w:trPr>
        <w:tc>
          <w:tcPr>
            <w:tcW w:w="1091" w:type="pct"/>
            <w:tcBorders>
              <w:top w:val="nil"/>
              <w:left w:val="nil"/>
              <w:bottom w:val="nil"/>
              <w:right w:val="nil"/>
            </w:tcBorders>
            <w:shd w:val="clear" w:color="auto" w:fill="auto"/>
            <w:vAlign w:val="center"/>
            <w:hideMark/>
          </w:tcPr>
          <w:p w14:paraId="66ED4D7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Anteiso 18:0</w:t>
            </w:r>
          </w:p>
        </w:tc>
        <w:tc>
          <w:tcPr>
            <w:tcW w:w="555" w:type="pct"/>
            <w:tcBorders>
              <w:top w:val="nil"/>
              <w:left w:val="nil"/>
              <w:bottom w:val="nil"/>
              <w:right w:val="nil"/>
            </w:tcBorders>
            <w:shd w:val="clear" w:color="auto" w:fill="auto"/>
            <w:noWrap/>
            <w:vAlign w:val="center"/>
            <w:hideMark/>
          </w:tcPr>
          <w:p w14:paraId="38C1808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0.15</w:t>
            </w:r>
          </w:p>
        </w:tc>
        <w:tc>
          <w:tcPr>
            <w:tcW w:w="555" w:type="pct"/>
            <w:tcBorders>
              <w:top w:val="nil"/>
              <w:left w:val="nil"/>
              <w:bottom w:val="nil"/>
              <w:right w:val="nil"/>
            </w:tcBorders>
            <w:shd w:val="clear" w:color="auto" w:fill="auto"/>
            <w:noWrap/>
            <w:vAlign w:val="center"/>
            <w:hideMark/>
          </w:tcPr>
          <w:p w14:paraId="726BD07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0.09</w:t>
            </w:r>
          </w:p>
        </w:tc>
        <w:tc>
          <w:tcPr>
            <w:tcW w:w="555" w:type="pct"/>
            <w:tcBorders>
              <w:top w:val="nil"/>
              <w:left w:val="nil"/>
              <w:bottom w:val="nil"/>
              <w:right w:val="nil"/>
            </w:tcBorders>
            <w:shd w:val="clear" w:color="auto" w:fill="auto"/>
            <w:noWrap/>
            <w:vAlign w:val="center"/>
            <w:hideMark/>
          </w:tcPr>
          <w:p w14:paraId="2D2A66B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0.07</w:t>
            </w:r>
          </w:p>
        </w:tc>
        <w:tc>
          <w:tcPr>
            <w:tcW w:w="555" w:type="pct"/>
            <w:tcBorders>
              <w:top w:val="nil"/>
              <w:left w:val="nil"/>
              <w:bottom w:val="nil"/>
              <w:right w:val="nil"/>
            </w:tcBorders>
            <w:shd w:val="clear" w:color="auto" w:fill="auto"/>
            <w:noWrap/>
            <w:vAlign w:val="center"/>
            <w:hideMark/>
          </w:tcPr>
          <w:p w14:paraId="4EB428F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0.27 ± 0.1</w:t>
            </w:r>
          </w:p>
        </w:tc>
        <w:tc>
          <w:tcPr>
            <w:tcW w:w="555" w:type="pct"/>
            <w:tcBorders>
              <w:top w:val="nil"/>
              <w:left w:val="nil"/>
              <w:bottom w:val="nil"/>
              <w:right w:val="nil"/>
            </w:tcBorders>
            <w:shd w:val="clear" w:color="auto" w:fill="auto"/>
            <w:noWrap/>
            <w:vAlign w:val="center"/>
            <w:hideMark/>
          </w:tcPr>
          <w:p w14:paraId="7094706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 ± 0.08</w:t>
            </w:r>
          </w:p>
        </w:tc>
        <w:tc>
          <w:tcPr>
            <w:tcW w:w="564" w:type="pct"/>
            <w:tcBorders>
              <w:top w:val="nil"/>
              <w:left w:val="nil"/>
              <w:bottom w:val="nil"/>
              <w:right w:val="nil"/>
            </w:tcBorders>
            <w:shd w:val="clear" w:color="auto" w:fill="auto"/>
            <w:noWrap/>
            <w:vAlign w:val="center"/>
            <w:hideMark/>
          </w:tcPr>
          <w:p w14:paraId="09AA30F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0.29 ± 0.03</w:t>
            </w:r>
          </w:p>
        </w:tc>
        <w:tc>
          <w:tcPr>
            <w:tcW w:w="569" w:type="pct"/>
            <w:tcBorders>
              <w:top w:val="nil"/>
              <w:left w:val="nil"/>
              <w:bottom w:val="nil"/>
              <w:right w:val="nil"/>
            </w:tcBorders>
            <w:shd w:val="clear" w:color="auto" w:fill="auto"/>
            <w:noWrap/>
            <w:vAlign w:val="center"/>
            <w:hideMark/>
          </w:tcPr>
          <w:p w14:paraId="612510B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0.14 ± 0.12</w:t>
            </w:r>
          </w:p>
        </w:tc>
      </w:tr>
      <w:tr w:rsidR="008B0AC6" w:rsidRPr="00FA7D47" w14:paraId="336360BC" w14:textId="77777777" w:rsidTr="0095549A">
        <w:trPr>
          <w:trHeight w:val="300"/>
        </w:trPr>
        <w:tc>
          <w:tcPr>
            <w:tcW w:w="1091" w:type="pct"/>
            <w:tcBorders>
              <w:top w:val="nil"/>
              <w:left w:val="nil"/>
              <w:bottom w:val="nil"/>
              <w:right w:val="nil"/>
            </w:tcBorders>
            <w:shd w:val="clear" w:color="auto" w:fill="auto"/>
            <w:vAlign w:val="center"/>
            <w:hideMark/>
          </w:tcPr>
          <w:p w14:paraId="18F95F4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18:0 DMA</w:t>
            </w:r>
          </w:p>
        </w:tc>
        <w:tc>
          <w:tcPr>
            <w:tcW w:w="555" w:type="pct"/>
            <w:tcBorders>
              <w:top w:val="nil"/>
              <w:left w:val="nil"/>
              <w:bottom w:val="nil"/>
              <w:right w:val="nil"/>
            </w:tcBorders>
            <w:shd w:val="clear" w:color="auto" w:fill="auto"/>
            <w:noWrap/>
            <w:vAlign w:val="center"/>
            <w:hideMark/>
          </w:tcPr>
          <w:p w14:paraId="31C96AC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0.39 ± 0.26</w:t>
            </w:r>
          </w:p>
        </w:tc>
        <w:tc>
          <w:tcPr>
            <w:tcW w:w="555" w:type="pct"/>
            <w:tcBorders>
              <w:top w:val="nil"/>
              <w:left w:val="nil"/>
              <w:bottom w:val="nil"/>
              <w:right w:val="nil"/>
            </w:tcBorders>
            <w:shd w:val="clear" w:color="auto" w:fill="auto"/>
            <w:noWrap/>
            <w:vAlign w:val="center"/>
            <w:hideMark/>
          </w:tcPr>
          <w:p w14:paraId="1713414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0.23 ± 0.08</w:t>
            </w:r>
          </w:p>
        </w:tc>
        <w:tc>
          <w:tcPr>
            <w:tcW w:w="555" w:type="pct"/>
            <w:tcBorders>
              <w:top w:val="nil"/>
              <w:left w:val="nil"/>
              <w:bottom w:val="nil"/>
              <w:right w:val="nil"/>
            </w:tcBorders>
            <w:shd w:val="clear" w:color="auto" w:fill="auto"/>
            <w:noWrap/>
            <w:vAlign w:val="center"/>
            <w:hideMark/>
          </w:tcPr>
          <w:p w14:paraId="58BBC52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0.2</w:t>
            </w:r>
          </w:p>
        </w:tc>
        <w:tc>
          <w:tcPr>
            <w:tcW w:w="555" w:type="pct"/>
            <w:tcBorders>
              <w:top w:val="nil"/>
              <w:left w:val="nil"/>
              <w:bottom w:val="nil"/>
              <w:right w:val="nil"/>
            </w:tcBorders>
            <w:shd w:val="clear" w:color="auto" w:fill="auto"/>
            <w:noWrap/>
            <w:vAlign w:val="center"/>
            <w:hideMark/>
          </w:tcPr>
          <w:p w14:paraId="3686BE1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0.18</w:t>
            </w:r>
          </w:p>
        </w:tc>
        <w:tc>
          <w:tcPr>
            <w:tcW w:w="555" w:type="pct"/>
            <w:tcBorders>
              <w:top w:val="nil"/>
              <w:left w:val="nil"/>
              <w:bottom w:val="nil"/>
              <w:right w:val="nil"/>
            </w:tcBorders>
            <w:shd w:val="clear" w:color="auto" w:fill="auto"/>
            <w:noWrap/>
            <w:vAlign w:val="center"/>
            <w:hideMark/>
          </w:tcPr>
          <w:p w14:paraId="6A371AD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0.28 ± 0.08</w:t>
            </w:r>
          </w:p>
        </w:tc>
        <w:tc>
          <w:tcPr>
            <w:tcW w:w="564" w:type="pct"/>
            <w:tcBorders>
              <w:top w:val="nil"/>
              <w:left w:val="nil"/>
              <w:bottom w:val="nil"/>
              <w:right w:val="nil"/>
            </w:tcBorders>
            <w:shd w:val="clear" w:color="auto" w:fill="auto"/>
            <w:noWrap/>
            <w:vAlign w:val="center"/>
            <w:hideMark/>
          </w:tcPr>
          <w:p w14:paraId="5F0CD96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0.35 ± 0.13</w:t>
            </w:r>
          </w:p>
        </w:tc>
        <w:tc>
          <w:tcPr>
            <w:tcW w:w="569" w:type="pct"/>
            <w:tcBorders>
              <w:top w:val="nil"/>
              <w:left w:val="nil"/>
              <w:bottom w:val="nil"/>
              <w:right w:val="nil"/>
            </w:tcBorders>
            <w:shd w:val="clear" w:color="auto" w:fill="auto"/>
            <w:noWrap/>
            <w:vAlign w:val="center"/>
            <w:hideMark/>
          </w:tcPr>
          <w:p w14:paraId="0AFD52E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0.07 ± 0.13</w:t>
            </w:r>
          </w:p>
        </w:tc>
      </w:tr>
      <w:tr w:rsidR="008B0AC6" w:rsidRPr="00FA7D47" w14:paraId="6D5EC539" w14:textId="77777777" w:rsidTr="0095549A">
        <w:trPr>
          <w:trHeight w:val="300"/>
        </w:trPr>
        <w:tc>
          <w:tcPr>
            <w:tcW w:w="1091" w:type="pct"/>
            <w:tcBorders>
              <w:top w:val="nil"/>
              <w:left w:val="nil"/>
              <w:bottom w:val="nil"/>
              <w:right w:val="nil"/>
            </w:tcBorders>
            <w:shd w:val="clear" w:color="auto" w:fill="auto"/>
            <w:vAlign w:val="center"/>
            <w:hideMark/>
          </w:tcPr>
          <w:p w14:paraId="0682D1D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18:0</w:t>
            </w:r>
          </w:p>
        </w:tc>
        <w:tc>
          <w:tcPr>
            <w:tcW w:w="555" w:type="pct"/>
            <w:tcBorders>
              <w:top w:val="nil"/>
              <w:left w:val="nil"/>
              <w:bottom w:val="nil"/>
              <w:right w:val="nil"/>
            </w:tcBorders>
            <w:shd w:val="clear" w:color="auto" w:fill="auto"/>
            <w:noWrap/>
            <w:vAlign w:val="center"/>
            <w:hideMark/>
          </w:tcPr>
          <w:p w14:paraId="63B8A16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3.63 ± 0.86</w:t>
            </w:r>
          </w:p>
        </w:tc>
        <w:tc>
          <w:tcPr>
            <w:tcW w:w="555" w:type="pct"/>
            <w:tcBorders>
              <w:top w:val="nil"/>
              <w:left w:val="nil"/>
              <w:bottom w:val="nil"/>
              <w:right w:val="nil"/>
            </w:tcBorders>
            <w:shd w:val="clear" w:color="auto" w:fill="auto"/>
            <w:noWrap/>
            <w:vAlign w:val="center"/>
            <w:hideMark/>
          </w:tcPr>
          <w:p w14:paraId="3D15FCF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3.38 ± 0.52</w:t>
            </w:r>
          </w:p>
        </w:tc>
        <w:tc>
          <w:tcPr>
            <w:tcW w:w="555" w:type="pct"/>
            <w:tcBorders>
              <w:top w:val="nil"/>
              <w:left w:val="nil"/>
              <w:bottom w:val="nil"/>
              <w:right w:val="nil"/>
            </w:tcBorders>
            <w:shd w:val="clear" w:color="auto" w:fill="auto"/>
            <w:noWrap/>
            <w:vAlign w:val="center"/>
            <w:hideMark/>
          </w:tcPr>
          <w:p w14:paraId="0F972B5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3.39 ± 0.5</w:t>
            </w:r>
          </w:p>
        </w:tc>
        <w:tc>
          <w:tcPr>
            <w:tcW w:w="555" w:type="pct"/>
            <w:tcBorders>
              <w:top w:val="nil"/>
              <w:left w:val="nil"/>
              <w:bottom w:val="nil"/>
              <w:right w:val="nil"/>
            </w:tcBorders>
            <w:shd w:val="clear" w:color="auto" w:fill="auto"/>
            <w:noWrap/>
            <w:vAlign w:val="center"/>
            <w:hideMark/>
          </w:tcPr>
          <w:p w14:paraId="3566494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3.36 ± 0.3</w:t>
            </w:r>
          </w:p>
        </w:tc>
        <w:tc>
          <w:tcPr>
            <w:tcW w:w="555" w:type="pct"/>
            <w:tcBorders>
              <w:top w:val="nil"/>
              <w:left w:val="nil"/>
              <w:bottom w:val="nil"/>
              <w:right w:val="nil"/>
            </w:tcBorders>
            <w:shd w:val="clear" w:color="auto" w:fill="auto"/>
            <w:noWrap/>
            <w:vAlign w:val="center"/>
            <w:hideMark/>
          </w:tcPr>
          <w:p w14:paraId="3015E3C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3.34 ± 0.36</w:t>
            </w:r>
          </w:p>
        </w:tc>
        <w:tc>
          <w:tcPr>
            <w:tcW w:w="564" w:type="pct"/>
            <w:tcBorders>
              <w:top w:val="nil"/>
              <w:left w:val="nil"/>
              <w:bottom w:val="nil"/>
              <w:right w:val="nil"/>
            </w:tcBorders>
            <w:shd w:val="clear" w:color="auto" w:fill="auto"/>
            <w:noWrap/>
            <w:vAlign w:val="center"/>
            <w:hideMark/>
          </w:tcPr>
          <w:p w14:paraId="52CF87C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3.55 ± 0.26</w:t>
            </w:r>
          </w:p>
        </w:tc>
        <w:tc>
          <w:tcPr>
            <w:tcW w:w="569" w:type="pct"/>
            <w:tcBorders>
              <w:top w:val="nil"/>
              <w:left w:val="nil"/>
              <w:bottom w:val="nil"/>
              <w:right w:val="nil"/>
            </w:tcBorders>
            <w:shd w:val="clear" w:color="auto" w:fill="auto"/>
            <w:noWrap/>
            <w:vAlign w:val="center"/>
            <w:hideMark/>
          </w:tcPr>
          <w:p w14:paraId="7E99CD1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1.26 ± 0.08</w:t>
            </w:r>
          </w:p>
        </w:tc>
      </w:tr>
      <w:tr w:rsidR="008B0AC6" w:rsidRPr="00FA7D47" w14:paraId="45E465B5" w14:textId="77777777" w:rsidTr="0095549A">
        <w:trPr>
          <w:trHeight w:val="300"/>
        </w:trPr>
        <w:tc>
          <w:tcPr>
            <w:tcW w:w="1091" w:type="pct"/>
            <w:tcBorders>
              <w:top w:val="nil"/>
              <w:left w:val="nil"/>
              <w:bottom w:val="nil"/>
              <w:right w:val="nil"/>
            </w:tcBorders>
            <w:shd w:val="clear" w:color="auto" w:fill="auto"/>
            <w:vAlign w:val="center"/>
            <w:hideMark/>
          </w:tcPr>
          <w:p w14:paraId="67C106E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iso 19:0</w:t>
            </w:r>
          </w:p>
        </w:tc>
        <w:tc>
          <w:tcPr>
            <w:tcW w:w="555" w:type="pct"/>
            <w:tcBorders>
              <w:top w:val="nil"/>
              <w:left w:val="nil"/>
              <w:bottom w:val="nil"/>
              <w:right w:val="nil"/>
            </w:tcBorders>
            <w:shd w:val="clear" w:color="auto" w:fill="auto"/>
            <w:noWrap/>
            <w:vAlign w:val="center"/>
            <w:hideMark/>
          </w:tcPr>
          <w:p w14:paraId="7333AF9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0.18 ± 0.07</w:t>
            </w:r>
          </w:p>
        </w:tc>
        <w:tc>
          <w:tcPr>
            <w:tcW w:w="555" w:type="pct"/>
            <w:tcBorders>
              <w:top w:val="nil"/>
              <w:left w:val="nil"/>
              <w:bottom w:val="nil"/>
              <w:right w:val="nil"/>
            </w:tcBorders>
            <w:shd w:val="clear" w:color="auto" w:fill="auto"/>
            <w:noWrap/>
            <w:vAlign w:val="center"/>
            <w:hideMark/>
          </w:tcPr>
          <w:p w14:paraId="20E48A4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0.18 ± 0.06</w:t>
            </w:r>
          </w:p>
        </w:tc>
        <w:tc>
          <w:tcPr>
            <w:tcW w:w="555" w:type="pct"/>
            <w:tcBorders>
              <w:top w:val="nil"/>
              <w:left w:val="nil"/>
              <w:bottom w:val="nil"/>
              <w:right w:val="nil"/>
            </w:tcBorders>
            <w:shd w:val="clear" w:color="auto" w:fill="auto"/>
            <w:noWrap/>
            <w:vAlign w:val="center"/>
            <w:hideMark/>
          </w:tcPr>
          <w:p w14:paraId="7A9A80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0.16 ± 0.04</w:t>
            </w:r>
          </w:p>
        </w:tc>
        <w:tc>
          <w:tcPr>
            <w:tcW w:w="555" w:type="pct"/>
            <w:tcBorders>
              <w:top w:val="nil"/>
              <w:left w:val="nil"/>
              <w:bottom w:val="nil"/>
              <w:right w:val="nil"/>
            </w:tcBorders>
            <w:shd w:val="clear" w:color="auto" w:fill="auto"/>
            <w:noWrap/>
            <w:vAlign w:val="center"/>
            <w:hideMark/>
          </w:tcPr>
          <w:p w14:paraId="143D578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0.19 ± 0.08</w:t>
            </w:r>
          </w:p>
        </w:tc>
        <w:tc>
          <w:tcPr>
            <w:tcW w:w="555" w:type="pct"/>
            <w:tcBorders>
              <w:top w:val="nil"/>
              <w:left w:val="nil"/>
              <w:bottom w:val="nil"/>
              <w:right w:val="nil"/>
            </w:tcBorders>
            <w:shd w:val="clear" w:color="auto" w:fill="auto"/>
            <w:noWrap/>
            <w:vAlign w:val="center"/>
            <w:hideMark/>
          </w:tcPr>
          <w:p w14:paraId="1054653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0.17 ± 0.06</w:t>
            </w:r>
          </w:p>
        </w:tc>
        <w:tc>
          <w:tcPr>
            <w:tcW w:w="564" w:type="pct"/>
            <w:tcBorders>
              <w:top w:val="nil"/>
              <w:left w:val="nil"/>
              <w:bottom w:val="nil"/>
              <w:right w:val="nil"/>
            </w:tcBorders>
            <w:shd w:val="clear" w:color="auto" w:fill="auto"/>
            <w:noWrap/>
            <w:vAlign w:val="center"/>
            <w:hideMark/>
          </w:tcPr>
          <w:p w14:paraId="10BB89C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0.23 ± 0.03</w:t>
            </w:r>
          </w:p>
        </w:tc>
        <w:tc>
          <w:tcPr>
            <w:tcW w:w="569" w:type="pct"/>
            <w:tcBorders>
              <w:top w:val="nil"/>
              <w:left w:val="nil"/>
              <w:bottom w:val="nil"/>
              <w:right w:val="nil"/>
            </w:tcBorders>
            <w:shd w:val="clear" w:color="auto" w:fill="auto"/>
            <w:noWrap/>
            <w:vAlign w:val="center"/>
            <w:hideMark/>
          </w:tcPr>
          <w:p w14:paraId="05A27EB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581AEBE1" w14:textId="77777777" w:rsidTr="0095549A">
        <w:trPr>
          <w:trHeight w:val="300"/>
        </w:trPr>
        <w:tc>
          <w:tcPr>
            <w:tcW w:w="1091" w:type="pct"/>
            <w:tcBorders>
              <w:top w:val="nil"/>
              <w:left w:val="nil"/>
              <w:bottom w:val="nil"/>
              <w:right w:val="nil"/>
            </w:tcBorders>
            <w:shd w:val="clear" w:color="auto" w:fill="auto"/>
            <w:vAlign w:val="center"/>
            <w:hideMark/>
          </w:tcPr>
          <w:p w14:paraId="661EBD2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19:0</w:t>
            </w:r>
          </w:p>
        </w:tc>
        <w:tc>
          <w:tcPr>
            <w:tcW w:w="555" w:type="pct"/>
            <w:tcBorders>
              <w:top w:val="nil"/>
              <w:left w:val="nil"/>
              <w:bottom w:val="nil"/>
              <w:right w:val="nil"/>
            </w:tcBorders>
            <w:shd w:val="clear" w:color="auto" w:fill="auto"/>
            <w:noWrap/>
            <w:vAlign w:val="center"/>
            <w:hideMark/>
          </w:tcPr>
          <w:p w14:paraId="444C3AD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0.24 ± 0.14</w:t>
            </w:r>
          </w:p>
        </w:tc>
        <w:tc>
          <w:tcPr>
            <w:tcW w:w="555" w:type="pct"/>
            <w:tcBorders>
              <w:top w:val="nil"/>
              <w:left w:val="nil"/>
              <w:bottom w:val="nil"/>
              <w:right w:val="nil"/>
            </w:tcBorders>
            <w:shd w:val="clear" w:color="auto" w:fill="auto"/>
            <w:noWrap/>
            <w:vAlign w:val="center"/>
            <w:hideMark/>
          </w:tcPr>
          <w:p w14:paraId="3B794B1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0.08</w:t>
            </w:r>
          </w:p>
        </w:tc>
        <w:tc>
          <w:tcPr>
            <w:tcW w:w="555" w:type="pct"/>
            <w:tcBorders>
              <w:top w:val="nil"/>
              <w:left w:val="nil"/>
              <w:bottom w:val="nil"/>
              <w:right w:val="nil"/>
            </w:tcBorders>
            <w:shd w:val="clear" w:color="auto" w:fill="auto"/>
            <w:noWrap/>
            <w:vAlign w:val="center"/>
            <w:hideMark/>
          </w:tcPr>
          <w:p w14:paraId="374302D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0.17 ± 0.11</w:t>
            </w:r>
          </w:p>
        </w:tc>
        <w:tc>
          <w:tcPr>
            <w:tcW w:w="555" w:type="pct"/>
            <w:tcBorders>
              <w:top w:val="nil"/>
              <w:left w:val="nil"/>
              <w:bottom w:val="nil"/>
              <w:right w:val="nil"/>
            </w:tcBorders>
            <w:shd w:val="clear" w:color="auto" w:fill="auto"/>
            <w:noWrap/>
            <w:vAlign w:val="center"/>
            <w:hideMark/>
          </w:tcPr>
          <w:p w14:paraId="20D1604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0.24 ± 0.13</w:t>
            </w:r>
          </w:p>
        </w:tc>
        <w:tc>
          <w:tcPr>
            <w:tcW w:w="555" w:type="pct"/>
            <w:tcBorders>
              <w:top w:val="nil"/>
              <w:left w:val="nil"/>
              <w:bottom w:val="nil"/>
              <w:right w:val="nil"/>
            </w:tcBorders>
            <w:shd w:val="clear" w:color="auto" w:fill="auto"/>
            <w:noWrap/>
            <w:vAlign w:val="center"/>
            <w:hideMark/>
          </w:tcPr>
          <w:p w14:paraId="1B68548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0.1</w:t>
            </w:r>
          </w:p>
        </w:tc>
        <w:tc>
          <w:tcPr>
            <w:tcW w:w="564" w:type="pct"/>
            <w:tcBorders>
              <w:top w:val="nil"/>
              <w:left w:val="nil"/>
              <w:bottom w:val="nil"/>
              <w:right w:val="nil"/>
            </w:tcBorders>
            <w:shd w:val="clear" w:color="auto" w:fill="auto"/>
            <w:noWrap/>
            <w:vAlign w:val="center"/>
            <w:hideMark/>
          </w:tcPr>
          <w:p w14:paraId="0C7F576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 ± 0.07</w:t>
            </w:r>
          </w:p>
        </w:tc>
        <w:tc>
          <w:tcPr>
            <w:tcW w:w="569" w:type="pct"/>
            <w:tcBorders>
              <w:top w:val="nil"/>
              <w:left w:val="nil"/>
              <w:bottom w:val="nil"/>
              <w:right w:val="nil"/>
            </w:tcBorders>
            <w:shd w:val="clear" w:color="auto" w:fill="auto"/>
            <w:noWrap/>
            <w:vAlign w:val="center"/>
            <w:hideMark/>
          </w:tcPr>
          <w:p w14:paraId="0C4898C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0.47 ± 0.04</w:t>
            </w:r>
          </w:p>
        </w:tc>
      </w:tr>
      <w:tr w:rsidR="008B0AC6" w:rsidRPr="00FA7D47" w14:paraId="196872BA" w14:textId="77777777" w:rsidTr="0095549A">
        <w:trPr>
          <w:trHeight w:val="300"/>
        </w:trPr>
        <w:tc>
          <w:tcPr>
            <w:tcW w:w="1091" w:type="pct"/>
            <w:tcBorders>
              <w:top w:val="nil"/>
              <w:left w:val="nil"/>
              <w:bottom w:val="nil"/>
              <w:right w:val="nil"/>
            </w:tcBorders>
            <w:shd w:val="clear" w:color="auto" w:fill="auto"/>
            <w:vAlign w:val="center"/>
            <w:hideMark/>
          </w:tcPr>
          <w:p w14:paraId="1BD7F6C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20:0 DMA</w:t>
            </w:r>
          </w:p>
        </w:tc>
        <w:tc>
          <w:tcPr>
            <w:tcW w:w="555" w:type="pct"/>
            <w:tcBorders>
              <w:top w:val="nil"/>
              <w:left w:val="nil"/>
              <w:bottom w:val="nil"/>
              <w:right w:val="nil"/>
            </w:tcBorders>
            <w:shd w:val="clear" w:color="auto" w:fill="auto"/>
            <w:noWrap/>
            <w:vAlign w:val="center"/>
            <w:hideMark/>
          </w:tcPr>
          <w:p w14:paraId="4723C4B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0.06 ± 0.09</w:t>
            </w:r>
          </w:p>
        </w:tc>
        <w:tc>
          <w:tcPr>
            <w:tcW w:w="555" w:type="pct"/>
            <w:tcBorders>
              <w:top w:val="nil"/>
              <w:left w:val="nil"/>
              <w:bottom w:val="nil"/>
              <w:right w:val="nil"/>
            </w:tcBorders>
            <w:shd w:val="clear" w:color="auto" w:fill="auto"/>
            <w:noWrap/>
            <w:vAlign w:val="center"/>
            <w:hideMark/>
          </w:tcPr>
          <w:p w14:paraId="423E0A0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0.05 ± 0.05</w:t>
            </w:r>
          </w:p>
        </w:tc>
        <w:tc>
          <w:tcPr>
            <w:tcW w:w="555" w:type="pct"/>
            <w:tcBorders>
              <w:top w:val="nil"/>
              <w:left w:val="nil"/>
              <w:bottom w:val="nil"/>
              <w:right w:val="nil"/>
            </w:tcBorders>
            <w:shd w:val="clear" w:color="auto" w:fill="auto"/>
            <w:noWrap/>
            <w:vAlign w:val="center"/>
            <w:hideMark/>
          </w:tcPr>
          <w:p w14:paraId="61128F5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0.06 ± 0.09</w:t>
            </w:r>
          </w:p>
        </w:tc>
        <w:tc>
          <w:tcPr>
            <w:tcW w:w="555" w:type="pct"/>
            <w:tcBorders>
              <w:top w:val="nil"/>
              <w:left w:val="nil"/>
              <w:bottom w:val="nil"/>
              <w:right w:val="nil"/>
            </w:tcBorders>
            <w:shd w:val="clear" w:color="auto" w:fill="auto"/>
            <w:noWrap/>
            <w:vAlign w:val="center"/>
            <w:hideMark/>
          </w:tcPr>
          <w:p w14:paraId="2011172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0.04 ± 0.07</w:t>
            </w:r>
          </w:p>
        </w:tc>
        <w:tc>
          <w:tcPr>
            <w:tcW w:w="555" w:type="pct"/>
            <w:tcBorders>
              <w:top w:val="nil"/>
              <w:left w:val="nil"/>
              <w:bottom w:val="nil"/>
              <w:right w:val="nil"/>
            </w:tcBorders>
            <w:shd w:val="clear" w:color="auto" w:fill="auto"/>
            <w:noWrap/>
            <w:vAlign w:val="center"/>
            <w:hideMark/>
          </w:tcPr>
          <w:p w14:paraId="4AB20F4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0.11 ± 0.15</w:t>
            </w:r>
          </w:p>
        </w:tc>
        <w:tc>
          <w:tcPr>
            <w:tcW w:w="564" w:type="pct"/>
            <w:tcBorders>
              <w:top w:val="nil"/>
              <w:left w:val="nil"/>
              <w:bottom w:val="nil"/>
              <w:right w:val="nil"/>
            </w:tcBorders>
            <w:shd w:val="clear" w:color="auto" w:fill="auto"/>
            <w:noWrap/>
            <w:vAlign w:val="center"/>
            <w:hideMark/>
          </w:tcPr>
          <w:p w14:paraId="2C00138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0.14 ± 0.07</w:t>
            </w:r>
          </w:p>
        </w:tc>
        <w:tc>
          <w:tcPr>
            <w:tcW w:w="569" w:type="pct"/>
            <w:tcBorders>
              <w:top w:val="nil"/>
              <w:left w:val="nil"/>
              <w:bottom w:val="nil"/>
              <w:right w:val="nil"/>
            </w:tcBorders>
            <w:shd w:val="clear" w:color="auto" w:fill="auto"/>
            <w:noWrap/>
            <w:vAlign w:val="center"/>
            <w:hideMark/>
          </w:tcPr>
          <w:p w14:paraId="19F9A62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3CFD6182" w14:textId="77777777" w:rsidTr="0095549A">
        <w:trPr>
          <w:trHeight w:val="300"/>
        </w:trPr>
        <w:tc>
          <w:tcPr>
            <w:tcW w:w="1091" w:type="pct"/>
            <w:tcBorders>
              <w:top w:val="nil"/>
              <w:left w:val="nil"/>
              <w:bottom w:val="nil"/>
              <w:right w:val="nil"/>
            </w:tcBorders>
            <w:shd w:val="clear" w:color="auto" w:fill="auto"/>
            <w:vAlign w:val="center"/>
            <w:hideMark/>
          </w:tcPr>
          <w:p w14:paraId="5705F86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20:0</w:t>
            </w:r>
          </w:p>
        </w:tc>
        <w:tc>
          <w:tcPr>
            <w:tcW w:w="555" w:type="pct"/>
            <w:tcBorders>
              <w:top w:val="nil"/>
              <w:left w:val="nil"/>
              <w:bottom w:val="nil"/>
              <w:right w:val="nil"/>
            </w:tcBorders>
            <w:shd w:val="clear" w:color="auto" w:fill="auto"/>
            <w:noWrap/>
            <w:vAlign w:val="center"/>
            <w:hideMark/>
          </w:tcPr>
          <w:p w14:paraId="1B174F0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0.43 ± 0.09</w:t>
            </w:r>
          </w:p>
        </w:tc>
        <w:tc>
          <w:tcPr>
            <w:tcW w:w="555" w:type="pct"/>
            <w:tcBorders>
              <w:top w:val="nil"/>
              <w:left w:val="nil"/>
              <w:bottom w:val="nil"/>
              <w:right w:val="nil"/>
            </w:tcBorders>
            <w:shd w:val="clear" w:color="auto" w:fill="auto"/>
            <w:noWrap/>
            <w:vAlign w:val="center"/>
            <w:hideMark/>
          </w:tcPr>
          <w:p w14:paraId="6840721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0.44 ± 0.07</w:t>
            </w:r>
          </w:p>
        </w:tc>
        <w:tc>
          <w:tcPr>
            <w:tcW w:w="555" w:type="pct"/>
            <w:tcBorders>
              <w:top w:val="nil"/>
              <w:left w:val="nil"/>
              <w:bottom w:val="nil"/>
              <w:right w:val="nil"/>
            </w:tcBorders>
            <w:shd w:val="clear" w:color="auto" w:fill="auto"/>
            <w:noWrap/>
            <w:vAlign w:val="center"/>
            <w:hideMark/>
          </w:tcPr>
          <w:p w14:paraId="0B65204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0.41 ± 0.06</w:t>
            </w:r>
          </w:p>
        </w:tc>
        <w:tc>
          <w:tcPr>
            <w:tcW w:w="555" w:type="pct"/>
            <w:tcBorders>
              <w:top w:val="nil"/>
              <w:left w:val="nil"/>
              <w:bottom w:val="nil"/>
              <w:right w:val="nil"/>
            </w:tcBorders>
            <w:shd w:val="clear" w:color="auto" w:fill="auto"/>
            <w:noWrap/>
            <w:vAlign w:val="center"/>
            <w:hideMark/>
          </w:tcPr>
          <w:p w14:paraId="4193909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0.46 ± 0.08</w:t>
            </w:r>
          </w:p>
        </w:tc>
        <w:tc>
          <w:tcPr>
            <w:tcW w:w="555" w:type="pct"/>
            <w:tcBorders>
              <w:top w:val="nil"/>
              <w:left w:val="nil"/>
              <w:bottom w:val="nil"/>
              <w:right w:val="nil"/>
            </w:tcBorders>
            <w:shd w:val="clear" w:color="auto" w:fill="auto"/>
            <w:noWrap/>
            <w:vAlign w:val="center"/>
            <w:hideMark/>
          </w:tcPr>
          <w:p w14:paraId="551FD4E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0.48 ± 0.06</w:t>
            </w:r>
          </w:p>
        </w:tc>
        <w:tc>
          <w:tcPr>
            <w:tcW w:w="564" w:type="pct"/>
            <w:tcBorders>
              <w:top w:val="nil"/>
              <w:left w:val="nil"/>
              <w:bottom w:val="nil"/>
              <w:right w:val="nil"/>
            </w:tcBorders>
            <w:shd w:val="clear" w:color="auto" w:fill="auto"/>
            <w:noWrap/>
            <w:vAlign w:val="center"/>
            <w:hideMark/>
          </w:tcPr>
          <w:p w14:paraId="4137F4D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0.45 ± 0.07</w:t>
            </w:r>
          </w:p>
        </w:tc>
        <w:tc>
          <w:tcPr>
            <w:tcW w:w="569" w:type="pct"/>
            <w:tcBorders>
              <w:top w:val="nil"/>
              <w:left w:val="nil"/>
              <w:bottom w:val="nil"/>
              <w:right w:val="nil"/>
            </w:tcBorders>
            <w:shd w:val="clear" w:color="auto" w:fill="auto"/>
            <w:noWrap/>
            <w:vAlign w:val="center"/>
            <w:hideMark/>
          </w:tcPr>
          <w:p w14:paraId="1AB8C22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0.98 ± 0.14</w:t>
            </w:r>
          </w:p>
        </w:tc>
      </w:tr>
      <w:tr w:rsidR="008B0AC6" w:rsidRPr="00FA7D47" w14:paraId="227C4D19" w14:textId="77777777" w:rsidTr="0095549A">
        <w:trPr>
          <w:trHeight w:val="300"/>
        </w:trPr>
        <w:tc>
          <w:tcPr>
            <w:tcW w:w="1091" w:type="pct"/>
            <w:tcBorders>
              <w:top w:val="nil"/>
              <w:left w:val="nil"/>
              <w:bottom w:val="nil"/>
              <w:right w:val="nil"/>
            </w:tcBorders>
            <w:shd w:val="clear" w:color="auto" w:fill="auto"/>
            <w:vAlign w:val="center"/>
            <w:hideMark/>
          </w:tcPr>
          <w:p w14:paraId="5F927E0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22:0</w:t>
            </w:r>
          </w:p>
        </w:tc>
        <w:tc>
          <w:tcPr>
            <w:tcW w:w="555" w:type="pct"/>
            <w:tcBorders>
              <w:top w:val="nil"/>
              <w:left w:val="nil"/>
              <w:bottom w:val="nil"/>
              <w:right w:val="nil"/>
            </w:tcBorders>
            <w:shd w:val="clear" w:color="auto" w:fill="auto"/>
            <w:noWrap/>
            <w:vAlign w:val="center"/>
            <w:hideMark/>
          </w:tcPr>
          <w:p w14:paraId="11FAEA6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0.14</w:t>
            </w:r>
          </w:p>
        </w:tc>
        <w:tc>
          <w:tcPr>
            <w:tcW w:w="555" w:type="pct"/>
            <w:tcBorders>
              <w:top w:val="nil"/>
              <w:left w:val="nil"/>
              <w:bottom w:val="nil"/>
              <w:right w:val="nil"/>
            </w:tcBorders>
            <w:shd w:val="clear" w:color="auto" w:fill="auto"/>
            <w:noWrap/>
            <w:vAlign w:val="center"/>
            <w:hideMark/>
          </w:tcPr>
          <w:p w14:paraId="61FE58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 ± 0.07</w:t>
            </w:r>
          </w:p>
        </w:tc>
        <w:tc>
          <w:tcPr>
            <w:tcW w:w="555" w:type="pct"/>
            <w:tcBorders>
              <w:top w:val="nil"/>
              <w:left w:val="nil"/>
              <w:bottom w:val="nil"/>
              <w:right w:val="nil"/>
            </w:tcBorders>
            <w:shd w:val="clear" w:color="auto" w:fill="auto"/>
            <w:noWrap/>
            <w:vAlign w:val="center"/>
            <w:hideMark/>
          </w:tcPr>
          <w:p w14:paraId="7592B7C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0.26 ± 0.07</w:t>
            </w:r>
          </w:p>
        </w:tc>
        <w:tc>
          <w:tcPr>
            <w:tcW w:w="555" w:type="pct"/>
            <w:tcBorders>
              <w:top w:val="nil"/>
              <w:left w:val="nil"/>
              <w:bottom w:val="nil"/>
              <w:right w:val="nil"/>
            </w:tcBorders>
            <w:shd w:val="clear" w:color="auto" w:fill="auto"/>
            <w:noWrap/>
            <w:vAlign w:val="center"/>
            <w:hideMark/>
          </w:tcPr>
          <w:p w14:paraId="18A1C60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 ± 0.06</w:t>
            </w:r>
          </w:p>
        </w:tc>
        <w:tc>
          <w:tcPr>
            <w:tcW w:w="555" w:type="pct"/>
            <w:tcBorders>
              <w:top w:val="nil"/>
              <w:left w:val="nil"/>
              <w:bottom w:val="nil"/>
              <w:right w:val="nil"/>
            </w:tcBorders>
            <w:shd w:val="clear" w:color="auto" w:fill="auto"/>
            <w:noWrap/>
            <w:vAlign w:val="center"/>
            <w:hideMark/>
          </w:tcPr>
          <w:p w14:paraId="1137E2B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0.08</w:t>
            </w:r>
          </w:p>
        </w:tc>
        <w:tc>
          <w:tcPr>
            <w:tcW w:w="564" w:type="pct"/>
            <w:tcBorders>
              <w:top w:val="nil"/>
              <w:left w:val="nil"/>
              <w:bottom w:val="nil"/>
              <w:right w:val="nil"/>
            </w:tcBorders>
            <w:shd w:val="clear" w:color="auto" w:fill="auto"/>
            <w:noWrap/>
            <w:vAlign w:val="center"/>
            <w:hideMark/>
          </w:tcPr>
          <w:p w14:paraId="2801B2A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0.11</w:t>
            </w:r>
          </w:p>
        </w:tc>
        <w:tc>
          <w:tcPr>
            <w:tcW w:w="569" w:type="pct"/>
            <w:tcBorders>
              <w:top w:val="nil"/>
              <w:left w:val="nil"/>
              <w:bottom w:val="nil"/>
              <w:right w:val="nil"/>
            </w:tcBorders>
            <w:shd w:val="clear" w:color="auto" w:fill="auto"/>
            <w:noWrap/>
            <w:vAlign w:val="center"/>
            <w:hideMark/>
          </w:tcPr>
          <w:p w14:paraId="64300D5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0.21 ± 0.02</w:t>
            </w:r>
          </w:p>
        </w:tc>
      </w:tr>
      <w:tr w:rsidR="008B0AC6" w:rsidRPr="00FA7D47" w14:paraId="1085BB22" w14:textId="77777777" w:rsidTr="0095549A">
        <w:trPr>
          <w:trHeight w:val="300"/>
        </w:trPr>
        <w:tc>
          <w:tcPr>
            <w:tcW w:w="1091" w:type="pct"/>
            <w:tcBorders>
              <w:top w:val="nil"/>
              <w:left w:val="nil"/>
              <w:bottom w:val="nil"/>
              <w:right w:val="nil"/>
            </w:tcBorders>
            <w:shd w:val="clear" w:color="auto" w:fill="auto"/>
            <w:vAlign w:val="center"/>
            <w:hideMark/>
          </w:tcPr>
          <w:p w14:paraId="15A67C0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24:0</w:t>
            </w:r>
          </w:p>
        </w:tc>
        <w:tc>
          <w:tcPr>
            <w:tcW w:w="555" w:type="pct"/>
            <w:tcBorders>
              <w:top w:val="nil"/>
              <w:left w:val="nil"/>
              <w:bottom w:val="nil"/>
              <w:right w:val="nil"/>
            </w:tcBorders>
            <w:shd w:val="clear" w:color="auto" w:fill="auto"/>
            <w:noWrap/>
            <w:vAlign w:val="center"/>
            <w:hideMark/>
          </w:tcPr>
          <w:p w14:paraId="2EF1822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0.01 ± 0.02</w:t>
            </w:r>
          </w:p>
        </w:tc>
        <w:tc>
          <w:tcPr>
            <w:tcW w:w="555" w:type="pct"/>
            <w:tcBorders>
              <w:top w:val="nil"/>
              <w:left w:val="nil"/>
              <w:bottom w:val="nil"/>
              <w:right w:val="nil"/>
            </w:tcBorders>
            <w:shd w:val="clear" w:color="auto" w:fill="auto"/>
            <w:noWrap/>
            <w:vAlign w:val="center"/>
            <w:hideMark/>
          </w:tcPr>
          <w:p w14:paraId="021B931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0.01 ± 0.02</w:t>
            </w:r>
          </w:p>
        </w:tc>
        <w:tc>
          <w:tcPr>
            <w:tcW w:w="555" w:type="pct"/>
            <w:tcBorders>
              <w:top w:val="nil"/>
              <w:left w:val="nil"/>
              <w:bottom w:val="nil"/>
              <w:right w:val="nil"/>
            </w:tcBorders>
            <w:shd w:val="clear" w:color="auto" w:fill="auto"/>
            <w:noWrap/>
            <w:vAlign w:val="center"/>
            <w:hideMark/>
          </w:tcPr>
          <w:p w14:paraId="76E6FA0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0.01 ± 0.02</w:t>
            </w:r>
          </w:p>
        </w:tc>
        <w:tc>
          <w:tcPr>
            <w:tcW w:w="555" w:type="pct"/>
            <w:tcBorders>
              <w:top w:val="nil"/>
              <w:left w:val="nil"/>
              <w:bottom w:val="nil"/>
              <w:right w:val="nil"/>
            </w:tcBorders>
            <w:shd w:val="clear" w:color="auto" w:fill="auto"/>
            <w:noWrap/>
            <w:vAlign w:val="center"/>
            <w:hideMark/>
          </w:tcPr>
          <w:p w14:paraId="1611BCA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0.02 ± 0.03</w:t>
            </w:r>
          </w:p>
        </w:tc>
        <w:tc>
          <w:tcPr>
            <w:tcW w:w="555" w:type="pct"/>
            <w:tcBorders>
              <w:top w:val="nil"/>
              <w:left w:val="nil"/>
              <w:bottom w:val="nil"/>
              <w:right w:val="nil"/>
            </w:tcBorders>
            <w:shd w:val="clear" w:color="auto" w:fill="auto"/>
            <w:noWrap/>
            <w:vAlign w:val="center"/>
            <w:hideMark/>
          </w:tcPr>
          <w:p w14:paraId="417E22D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0.03 ± 0.04</w:t>
            </w:r>
          </w:p>
        </w:tc>
        <w:tc>
          <w:tcPr>
            <w:tcW w:w="564" w:type="pct"/>
            <w:tcBorders>
              <w:top w:val="nil"/>
              <w:left w:val="nil"/>
              <w:bottom w:val="nil"/>
              <w:right w:val="nil"/>
            </w:tcBorders>
            <w:shd w:val="clear" w:color="auto" w:fill="auto"/>
            <w:noWrap/>
            <w:vAlign w:val="center"/>
            <w:hideMark/>
          </w:tcPr>
          <w:p w14:paraId="1F0A537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0.01 ± 0.03</w:t>
            </w:r>
          </w:p>
        </w:tc>
        <w:tc>
          <w:tcPr>
            <w:tcW w:w="569" w:type="pct"/>
            <w:tcBorders>
              <w:top w:val="nil"/>
              <w:left w:val="nil"/>
              <w:bottom w:val="nil"/>
              <w:right w:val="nil"/>
            </w:tcBorders>
            <w:shd w:val="clear" w:color="auto" w:fill="auto"/>
            <w:noWrap/>
            <w:vAlign w:val="center"/>
            <w:hideMark/>
          </w:tcPr>
          <w:p w14:paraId="6A31B8A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4D1990CB" w14:textId="77777777" w:rsidTr="0095549A">
        <w:trPr>
          <w:trHeight w:val="315"/>
        </w:trPr>
        <w:tc>
          <w:tcPr>
            <w:tcW w:w="1091" w:type="pct"/>
            <w:tcBorders>
              <w:top w:val="single" w:sz="4" w:space="0" w:color="auto"/>
              <w:left w:val="nil"/>
              <w:bottom w:val="single" w:sz="8" w:space="0" w:color="auto"/>
              <w:right w:val="nil"/>
            </w:tcBorders>
            <w:shd w:val="clear" w:color="auto" w:fill="auto"/>
            <w:vAlign w:val="center"/>
            <w:hideMark/>
          </w:tcPr>
          <w:p w14:paraId="7568C05E"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total saturated</w:t>
            </w:r>
          </w:p>
        </w:tc>
        <w:tc>
          <w:tcPr>
            <w:tcW w:w="555" w:type="pct"/>
            <w:tcBorders>
              <w:top w:val="single" w:sz="4" w:space="0" w:color="auto"/>
              <w:left w:val="nil"/>
              <w:bottom w:val="single" w:sz="8" w:space="0" w:color="auto"/>
              <w:right w:val="nil"/>
            </w:tcBorders>
            <w:shd w:val="clear" w:color="auto" w:fill="auto"/>
            <w:noWrap/>
            <w:vAlign w:val="center"/>
            <w:hideMark/>
          </w:tcPr>
          <w:p w14:paraId="4EA8DF1E"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25.27 ± 1.98</w:t>
            </w:r>
          </w:p>
        </w:tc>
        <w:tc>
          <w:tcPr>
            <w:tcW w:w="555" w:type="pct"/>
            <w:tcBorders>
              <w:top w:val="single" w:sz="4" w:space="0" w:color="auto"/>
              <w:left w:val="nil"/>
              <w:bottom w:val="single" w:sz="8" w:space="0" w:color="auto"/>
              <w:right w:val="nil"/>
            </w:tcBorders>
            <w:shd w:val="clear" w:color="auto" w:fill="auto"/>
            <w:noWrap/>
            <w:vAlign w:val="center"/>
            <w:hideMark/>
          </w:tcPr>
          <w:p w14:paraId="3F845D3D"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24.19 ± 1.69</w:t>
            </w:r>
          </w:p>
        </w:tc>
        <w:tc>
          <w:tcPr>
            <w:tcW w:w="555" w:type="pct"/>
            <w:tcBorders>
              <w:top w:val="single" w:sz="4" w:space="0" w:color="auto"/>
              <w:left w:val="nil"/>
              <w:bottom w:val="single" w:sz="8" w:space="0" w:color="auto"/>
              <w:right w:val="nil"/>
            </w:tcBorders>
            <w:shd w:val="clear" w:color="auto" w:fill="auto"/>
            <w:noWrap/>
            <w:vAlign w:val="center"/>
            <w:hideMark/>
          </w:tcPr>
          <w:p w14:paraId="53F9B0B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24.32 ± 1.53</w:t>
            </w:r>
          </w:p>
        </w:tc>
        <w:tc>
          <w:tcPr>
            <w:tcW w:w="555" w:type="pct"/>
            <w:tcBorders>
              <w:top w:val="single" w:sz="4" w:space="0" w:color="auto"/>
              <w:left w:val="nil"/>
              <w:bottom w:val="single" w:sz="8" w:space="0" w:color="auto"/>
              <w:right w:val="nil"/>
            </w:tcBorders>
            <w:shd w:val="clear" w:color="auto" w:fill="auto"/>
            <w:noWrap/>
            <w:vAlign w:val="center"/>
            <w:hideMark/>
          </w:tcPr>
          <w:p w14:paraId="2CFE6315"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24.41 ± 1.54</w:t>
            </w:r>
          </w:p>
        </w:tc>
        <w:tc>
          <w:tcPr>
            <w:tcW w:w="555" w:type="pct"/>
            <w:tcBorders>
              <w:top w:val="single" w:sz="4" w:space="0" w:color="auto"/>
              <w:left w:val="nil"/>
              <w:bottom w:val="single" w:sz="8" w:space="0" w:color="auto"/>
              <w:right w:val="nil"/>
            </w:tcBorders>
            <w:shd w:val="clear" w:color="auto" w:fill="auto"/>
            <w:noWrap/>
            <w:vAlign w:val="center"/>
            <w:hideMark/>
          </w:tcPr>
          <w:p w14:paraId="362BF25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24.67 ± 1.64</w:t>
            </w:r>
          </w:p>
        </w:tc>
        <w:tc>
          <w:tcPr>
            <w:tcW w:w="564" w:type="pct"/>
            <w:tcBorders>
              <w:top w:val="single" w:sz="4" w:space="0" w:color="auto"/>
              <w:left w:val="nil"/>
              <w:bottom w:val="single" w:sz="8" w:space="0" w:color="auto"/>
              <w:right w:val="nil"/>
            </w:tcBorders>
            <w:shd w:val="clear" w:color="auto" w:fill="auto"/>
            <w:noWrap/>
            <w:vAlign w:val="center"/>
            <w:hideMark/>
          </w:tcPr>
          <w:p w14:paraId="4EFD1261"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24.82 ± 2.73</w:t>
            </w:r>
          </w:p>
        </w:tc>
        <w:tc>
          <w:tcPr>
            <w:tcW w:w="569" w:type="pct"/>
            <w:tcBorders>
              <w:top w:val="single" w:sz="4" w:space="0" w:color="auto"/>
              <w:left w:val="nil"/>
              <w:bottom w:val="single" w:sz="8" w:space="0" w:color="auto"/>
              <w:right w:val="nil"/>
            </w:tcBorders>
            <w:shd w:val="clear" w:color="auto" w:fill="auto"/>
            <w:noWrap/>
            <w:vAlign w:val="center"/>
            <w:hideMark/>
          </w:tcPr>
          <w:p w14:paraId="5DB6E91B"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24.92 ± 0.89</w:t>
            </w:r>
          </w:p>
        </w:tc>
      </w:tr>
      <w:tr w:rsidR="008B0AC6" w:rsidRPr="00FA7D47" w14:paraId="61F316B7" w14:textId="77777777" w:rsidTr="0095549A">
        <w:trPr>
          <w:trHeight w:val="300"/>
        </w:trPr>
        <w:tc>
          <w:tcPr>
            <w:tcW w:w="1091" w:type="pct"/>
            <w:tcBorders>
              <w:top w:val="nil"/>
              <w:left w:val="nil"/>
              <w:bottom w:val="nil"/>
              <w:right w:val="nil"/>
            </w:tcBorders>
            <w:shd w:val="clear" w:color="auto" w:fill="auto"/>
            <w:vAlign w:val="center"/>
            <w:hideMark/>
          </w:tcPr>
          <w:p w14:paraId="68D4895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16:1n-9</w:t>
            </w:r>
          </w:p>
        </w:tc>
        <w:tc>
          <w:tcPr>
            <w:tcW w:w="555" w:type="pct"/>
            <w:tcBorders>
              <w:top w:val="nil"/>
              <w:left w:val="nil"/>
              <w:bottom w:val="nil"/>
              <w:right w:val="nil"/>
            </w:tcBorders>
            <w:shd w:val="clear" w:color="auto" w:fill="auto"/>
            <w:noWrap/>
            <w:vAlign w:val="center"/>
            <w:hideMark/>
          </w:tcPr>
          <w:p w14:paraId="3CA6E23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0.26 ± 0.08</w:t>
            </w:r>
          </w:p>
        </w:tc>
        <w:tc>
          <w:tcPr>
            <w:tcW w:w="555" w:type="pct"/>
            <w:tcBorders>
              <w:top w:val="nil"/>
              <w:left w:val="nil"/>
              <w:bottom w:val="nil"/>
              <w:right w:val="nil"/>
            </w:tcBorders>
            <w:shd w:val="clear" w:color="auto" w:fill="auto"/>
            <w:noWrap/>
            <w:vAlign w:val="center"/>
            <w:hideMark/>
          </w:tcPr>
          <w:p w14:paraId="6942517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0.05</w:t>
            </w:r>
          </w:p>
        </w:tc>
        <w:tc>
          <w:tcPr>
            <w:tcW w:w="555" w:type="pct"/>
            <w:tcBorders>
              <w:top w:val="nil"/>
              <w:left w:val="nil"/>
              <w:bottom w:val="nil"/>
              <w:right w:val="nil"/>
            </w:tcBorders>
            <w:shd w:val="clear" w:color="auto" w:fill="auto"/>
            <w:noWrap/>
            <w:vAlign w:val="center"/>
            <w:hideMark/>
          </w:tcPr>
          <w:p w14:paraId="303C467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0.29 ± 0.02</w:t>
            </w:r>
          </w:p>
        </w:tc>
        <w:tc>
          <w:tcPr>
            <w:tcW w:w="555" w:type="pct"/>
            <w:tcBorders>
              <w:top w:val="nil"/>
              <w:left w:val="nil"/>
              <w:bottom w:val="nil"/>
              <w:right w:val="nil"/>
            </w:tcBorders>
            <w:shd w:val="clear" w:color="auto" w:fill="auto"/>
            <w:noWrap/>
            <w:vAlign w:val="center"/>
            <w:hideMark/>
          </w:tcPr>
          <w:p w14:paraId="1368A70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0.28 ± 0.04</w:t>
            </w:r>
          </w:p>
        </w:tc>
        <w:tc>
          <w:tcPr>
            <w:tcW w:w="555" w:type="pct"/>
            <w:tcBorders>
              <w:top w:val="nil"/>
              <w:left w:val="nil"/>
              <w:bottom w:val="nil"/>
              <w:right w:val="nil"/>
            </w:tcBorders>
            <w:shd w:val="clear" w:color="auto" w:fill="auto"/>
            <w:noWrap/>
            <w:vAlign w:val="center"/>
            <w:hideMark/>
          </w:tcPr>
          <w:p w14:paraId="30DBFF2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0.27 ± 0.06</w:t>
            </w:r>
          </w:p>
        </w:tc>
        <w:tc>
          <w:tcPr>
            <w:tcW w:w="564" w:type="pct"/>
            <w:tcBorders>
              <w:top w:val="nil"/>
              <w:left w:val="nil"/>
              <w:bottom w:val="nil"/>
              <w:right w:val="nil"/>
            </w:tcBorders>
            <w:shd w:val="clear" w:color="auto" w:fill="auto"/>
            <w:noWrap/>
            <w:vAlign w:val="center"/>
            <w:hideMark/>
          </w:tcPr>
          <w:p w14:paraId="02D72AB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0.28 ± 0.01</w:t>
            </w:r>
          </w:p>
        </w:tc>
        <w:tc>
          <w:tcPr>
            <w:tcW w:w="569" w:type="pct"/>
            <w:tcBorders>
              <w:top w:val="nil"/>
              <w:left w:val="nil"/>
              <w:bottom w:val="nil"/>
              <w:right w:val="nil"/>
            </w:tcBorders>
            <w:shd w:val="clear" w:color="auto" w:fill="auto"/>
            <w:noWrap/>
            <w:vAlign w:val="center"/>
            <w:hideMark/>
          </w:tcPr>
          <w:p w14:paraId="138EA23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0.44 ± 0.04</w:t>
            </w:r>
          </w:p>
        </w:tc>
      </w:tr>
      <w:tr w:rsidR="008B0AC6" w:rsidRPr="00FA7D47" w14:paraId="75959665" w14:textId="77777777" w:rsidTr="0095549A">
        <w:trPr>
          <w:trHeight w:val="300"/>
        </w:trPr>
        <w:tc>
          <w:tcPr>
            <w:tcW w:w="1091" w:type="pct"/>
            <w:tcBorders>
              <w:top w:val="nil"/>
              <w:left w:val="nil"/>
              <w:bottom w:val="nil"/>
              <w:right w:val="nil"/>
            </w:tcBorders>
            <w:shd w:val="clear" w:color="auto" w:fill="auto"/>
            <w:vAlign w:val="center"/>
            <w:hideMark/>
          </w:tcPr>
          <w:p w14:paraId="45BB546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16:1n-7</w:t>
            </w:r>
          </w:p>
        </w:tc>
        <w:tc>
          <w:tcPr>
            <w:tcW w:w="555" w:type="pct"/>
            <w:tcBorders>
              <w:top w:val="nil"/>
              <w:left w:val="nil"/>
              <w:bottom w:val="nil"/>
              <w:right w:val="nil"/>
            </w:tcBorders>
            <w:shd w:val="clear" w:color="auto" w:fill="auto"/>
            <w:noWrap/>
            <w:vAlign w:val="center"/>
            <w:hideMark/>
          </w:tcPr>
          <w:p w14:paraId="3EA2D3A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5.17 ± 0.91</w:t>
            </w:r>
          </w:p>
        </w:tc>
        <w:tc>
          <w:tcPr>
            <w:tcW w:w="555" w:type="pct"/>
            <w:tcBorders>
              <w:top w:val="nil"/>
              <w:left w:val="nil"/>
              <w:bottom w:val="nil"/>
              <w:right w:val="nil"/>
            </w:tcBorders>
            <w:shd w:val="clear" w:color="auto" w:fill="auto"/>
            <w:noWrap/>
            <w:vAlign w:val="center"/>
            <w:hideMark/>
          </w:tcPr>
          <w:p w14:paraId="079EA9C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5.24 ± 1.24</w:t>
            </w:r>
          </w:p>
        </w:tc>
        <w:tc>
          <w:tcPr>
            <w:tcW w:w="555" w:type="pct"/>
            <w:tcBorders>
              <w:top w:val="nil"/>
              <w:left w:val="nil"/>
              <w:bottom w:val="nil"/>
              <w:right w:val="nil"/>
            </w:tcBorders>
            <w:shd w:val="clear" w:color="auto" w:fill="auto"/>
            <w:noWrap/>
            <w:vAlign w:val="center"/>
            <w:hideMark/>
          </w:tcPr>
          <w:p w14:paraId="6CE2FCC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5.64 ± 1.18</w:t>
            </w:r>
          </w:p>
        </w:tc>
        <w:tc>
          <w:tcPr>
            <w:tcW w:w="555" w:type="pct"/>
            <w:tcBorders>
              <w:top w:val="nil"/>
              <w:left w:val="nil"/>
              <w:bottom w:val="nil"/>
              <w:right w:val="nil"/>
            </w:tcBorders>
            <w:shd w:val="clear" w:color="auto" w:fill="auto"/>
            <w:noWrap/>
            <w:vAlign w:val="center"/>
            <w:hideMark/>
          </w:tcPr>
          <w:p w14:paraId="5B08F3F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4.88 ± 0.67</w:t>
            </w:r>
          </w:p>
        </w:tc>
        <w:tc>
          <w:tcPr>
            <w:tcW w:w="555" w:type="pct"/>
            <w:tcBorders>
              <w:top w:val="nil"/>
              <w:left w:val="nil"/>
              <w:bottom w:val="nil"/>
              <w:right w:val="nil"/>
            </w:tcBorders>
            <w:shd w:val="clear" w:color="auto" w:fill="auto"/>
            <w:noWrap/>
            <w:vAlign w:val="center"/>
            <w:hideMark/>
          </w:tcPr>
          <w:p w14:paraId="01849DF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5.38 ± 0.94</w:t>
            </w:r>
          </w:p>
        </w:tc>
        <w:tc>
          <w:tcPr>
            <w:tcW w:w="564" w:type="pct"/>
            <w:tcBorders>
              <w:top w:val="nil"/>
              <w:left w:val="nil"/>
              <w:bottom w:val="nil"/>
              <w:right w:val="nil"/>
            </w:tcBorders>
            <w:shd w:val="clear" w:color="auto" w:fill="auto"/>
            <w:noWrap/>
            <w:vAlign w:val="center"/>
            <w:hideMark/>
          </w:tcPr>
          <w:p w14:paraId="57AC753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4.29 ± 1.16</w:t>
            </w:r>
          </w:p>
        </w:tc>
        <w:tc>
          <w:tcPr>
            <w:tcW w:w="569" w:type="pct"/>
            <w:tcBorders>
              <w:top w:val="nil"/>
              <w:left w:val="nil"/>
              <w:bottom w:val="nil"/>
              <w:right w:val="nil"/>
            </w:tcBorders>
            <w:shd w:val="clear" w:color="auto" w:fill="auto"/>
            <w:noWrap/>
            <w:vAlign w:val="center"/>
            <w:hideMark/>
          </w:tcPr>
          <w:p w14:paraId="0E19246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10.26 ± 0.84</w:t>
            </w:r>
          </w:p>
        </w:tc>
      </w:tr>
      <w:tr w:rsidR="008B0AC6" w:rsidRPr="00FA7D47" w14:paraId="448D383D" w14:textId="77777777" w:rsidTr="0095549A">
        <w:trPr>
          <w:trHeight w:val="300"/>
        </w:trPr>
        <w:tc>
          <w:tcPr>
            <w:tcW w:w="1091" w:type="pct"/>
            <w:tcBorders>
              <w:top w:val="nil"/>
              <w:left w:val="nil"/>
              <w:bottom w:val="nil"/>
              <w:right w:val="nil"/>
            </w:tcBorders>
            <w:shd w:val="clear" w:color="auto" w:fill="auto"/>
            <w:vAlign w:val="center"/>
            <w:hideMark/>
          </w:tcPr>
          <w:p w14:paraId="06B795E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16:1</w:t>
            </w:r>
          </w:p>
        </w:tc>
        <w:tc>
          <w:tcPr>
            <w:tcW w:w="555" w:type="pct"/>
            <w:tcBorders>
              <w:top w:val="nil"/>
              <w:left w:val="nil"/>
              <w:bottom w:val="nil"/>
              <w:right w:val="nil"/>
            </w:tcBorders>
            <w:shd w:val="clear" w:color="auto" w:fill="auto"/>
            <w:noWrap/>
            <w:vAlign w:val="center"/>
            <w:hideMark/>
          </w:tcPr>
          <w:p w14:paraId="4BFDB5E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0.28 ± 0.06</w:t>
            </w:r>
          </w:p>
        </w:tc>
        <w:tc>
          <w:tcPr>
            <w:tcW w:w="555" w:type="pct"/>
            <w:tcBorders>
              <w:top w:val="nil"/>
              <w:left w:val="nil"/>
              <w:bottom w:val="nil"/>
              <w:right w:val="nil"/>
            </w:tcBorders>
            <w:shd w:val="clear" w:color="auto" w:fill="auto"/>
            <w:noWrap/>
            <w:vAlign w:val="center"/>
            <w:hideMark/>
          </w:tcPr>
          <w:p w14:paraId="5F3723B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0.27 ± 0.04</w:t>
            </w:r>
          </w:p>
        </w:tc>
        <w:tc>
          <w:tcPr>
            <w:tcW w:w="555" w:type="pct"/>
            <w:tcBorders>
              <w:top w:val="nil"/>
              <w:left w:val="nil"/>
              <w:bottom w:val="nil"/>
              <w:right w:val="nil"/>
            </w:tcBorders>
            <w:shd w:val="clear" w:color="auto" w:fill="auto"/>
            <w:noWrap/>
            <w:vAlign w:val="center"/>
            <w:hideMark/>
          </w:tcPr>
          <w:p w14:paraId="61633A4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0.29 ± 0.07</w:t>
            </w:r>
          </w:p>
        </w:tc>
        <w:tc>
          <w:tcPr>
            <w:tcW w:w="555" w:type="pct"/>
            <w:tcBorders>
              <w:top w:val="nil"/>
              <w:left w:val="nil"/>
              <w:bottom w:val="nil"/>
              <w:right w:val="nil"/>
            </w:tcBorders>
            <w:shd w:val="clear" w:color="auto" w:fill="auto"/>
            <w:noWrap/>
            <w:vAlign w:val="center"/>
            <w:hideMark/>
          </w:tcPr>
          <w:p w14:paraId="36BF21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0.29 ± 0.06</w:t>
            </w:r>
          </w:p>
        </w:tc>
        <w:tc>
          <w:tcPr>
            <w:tcW w:w="555" w:type="pct"/>
            <w:tcBorders>
              <w:top w:val="nil"/>
              <w:left w:val="nil"/>
              <w:bottom w:val="nil"/>
              <w:right w:val="nil"/>
            </w:tcBorders>
            <w:shd w:val="clear" w:color="auto" w:fill="auto"/>
            <w:noWrap/>
            <w:vAlign w:val="center"/>
            <w:hideMark/>
          </w:tcPr>
          <w:p w14:paraId="5D71A9C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0.05</w:t>
            </w:r>
          </w:p>
        </w:tc>
        <w:tc>
          <w:tcPr>
            <w:tcW w:w="564" w:type="pct"/>
            <w:tcBorders>
              <w:top w:val="nil"/>
              <w:left w:val="nil"/>
              <w:bottom w:val="nil"/>
              <w:right w:val="nil"/>
            </w:tcBorders>
            <w:shd w:val="clear" w:color="auto" w:fill="auto"/>
            <w:noWrap/>
            <w:vAlign w:val="center"/>
            <w:hideMark/>
          </w:tcPr>
          <w:p w14:paraId="6C8A77E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0.36 ± 0.12</w:t>
            </w:r>
          </w:p>
        </w:tc>
        <w:tc>
          <w:tcPr>
            <w:tcW w:w="569" w:type="pct"/>
            <w:tcBorders>
              <w:top w:val="nil"/>
              <w:left w:val="nil"/>
              <w:bottom w:val="nil"/>
              <w:right w:val="nil"/>
            </w:tcBorders>
            <w:shd w:val="clear" w:color="auto" w:fill="auto"/>
            <w:noWrap/>
            <w:vAlign w:val="center"/>
            <w:hideMark/>
          </w:tcPr>
          <w:p w14:paraId="1726BF7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0.09</w:t>
            </w:r>
          </w:p>
        </w:tc>
      </w:tr>
      <w:tr w:rsidR="008B0AC6" w:rsidRPr="00FA7D47" w14:paraId="1CAEF8B1" w14:textId="77777777" w:rsidTr="0095549A">
        <w:trPr>
          <w:trHeight w:val="300"/>
        </w:trPr>
        <w:tc>
          <w:tcPr>
            <w:tcW w:w="1091" w:type="pct"/>
            <w:tcBorders>
              <w:top w:val="nil"/>
              <w:left w:val="nil"/>
              <w:bottom w:val="nil"/>
              <w:right w:val="nil"/>
            </w:tcBorders>
            <w:shd w:val="clear" w:color="auto" w:fill="auto"/>
            <w:vAlign w:val="center"/>
            <w:hideMark/>
          </w:tcPr>
          <w:p w14:paraId="78B3527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17:1</w:t>
            </w:r>
          </w:p>
        </w:tc>
        <w:tc>
          <w:tcPr>
            <w:tcW w:w="555" w:type="pct"/>
            <w:tcBorders>
              <w:top w:val="nil"/>
              <w:left w:val="nil"/>
              <w:bottom w:val="nil"/>
              <w:right w:val="nil"/>
            </w:tcBorders>
            <w:shd w:val="clear" w:color="auto" w:fill="auto"/>
            <w:noWrap/>
            <w:vAlign w:val="center"/>
            <w:hideMark/>
          </w:tcPr>
          <w:p w14:paraId="126FF5C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0.69 ± 0.21</w:t>
            </w:r>
          </w:p>
        </w:tc>
        <w:tc>
          <w:tcPr>
            <w:tcW w:w="555" w:type="pct"/>
            <w:tcBorders>
              <w:top w:val="nil"/>
              <w:left w:val="nil"/>
              <w:bottom w:val="nil"/>
              <w:right w:val="nil"/>
            </w:tcBorders>
            <w:shd w:val="clear" w:color="auto" w:fill="auto"/>
            <w:noWrap/>
            <w:vAlign w:val="center"/>
            <w:hideMark/>
          </w:tcPr>
          <w:p w14:paraId="6C33A21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0.54 ± 0.13</w:t>
            </w:r>
          </w:p>
        </w:tc>
        <w:tc>
          <w:tcPr>
            <w:tcW w:w="555" w:type="pct"/>
            <w:tcBorders>
              <w:top w:val="nil"/>
              <w:left w:val="nil"/>
              <w:bottom w:val="nil"/>
              <w:right w:val="nil"/>
            </w:tcBorders>
            <w:shd w:val="clear" w:color="auto" w:fill="auto"/>
            <w:noWrap/>
            <w:vAlign w:val="center"/>
            <w:hideMark/>
          </w:tcPr>
          <w:p w14:paraId="13DE0FF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0.58 ± 0.14</w:t>
            </w:r>
          </w:p>
        </w:tc>
        <w:tc>
          <w:tcPr>
            <w:tcW w:w="555" w:type="pct"/>
            <w:tcBorders>
              <w:top w:val="nil"/>
              <w:left w:val="nil"/>
              <w:bottom w:val="nil"/>
              <w:right w:val="nil"/>
            </w:tcBorders>
            <w:shd w:val="clear" w:color="auto" w:fill="auto"/>
            <w:noWrap/>
            <w:vAlign w:val="center"/>
            <w:hideMark/>
          </w:tcPr>
          <w:p w14:paraId="4916646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 ± 0.13</w:t>
            </w:r>
          </w:p>
        </w:tc>
        <w:tc>
          <w:tcPr>
            <w:tcW w:w="555" w:type="pct"/>
            <w:tcBorders>
              <w:top w:val="nil"/>
              <w:left w:val="nil"/>
              <w:bottom w:val="nil"/>
              <w:right w:val="nil"/>
            </w:tcBorders>
            <w:shd w:val="clear" w:color="auto" w:fill="auto"/>
            <w:noWrap/>
            <w:vAlign w:val="center"/>
            <w:hideMark/>
          </w:tcPr>
          <w:p w14:paraId="7B165A5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0.65 ± 0.14</w:t>
            </w:r>
          </w:p>
        </w:tc>
        <w:tc>
          <w:tcPr>
            <w:tcW w:w="564" w:type="pct"/>
            <w:tcBorders>
              <w:top w:val="nil"/>
              <w:left w:val="nil"/>
              <w:bottom w:val="nil"/>
              <w:right w:val="nil"/>
            </w:tcBorders>
            <w:shd w:val="clear" w:color="auto" w:fill="auto"/>
            <w:noWrap/>
            <w:vAlign w:val="center"/>
            <w:hideMark/>
          </w:tcPr>
          <w:p w14:paraId="2394D22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0.57 ± 0.02</w:t>
            </w:r>
          </w:p>
        </w:tc>
        <w:tc>
          <w:tcPr>
            <w:tcW w:w="569" w:type="pct"/>
            <w:tcBorders>
              <w:top w:val="nil"/>
              <w:left w:val="nil"/>
              <w:bottom w:val="nil"/>
              <w:right w:val="nil"/>
            </w:tcBorders>
            <w:shd w:val="clear" w:color="auto" w:fill="auto"/>
            <w:noWrap/>
            <w:vAlign w:val="center"/>
            <w:hideMark/>
          </w:tcPr>
          <w:p w14:paraId="1F4E5F6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0.71 ± 0.16</w:t>
            </w:r>
          </w:p>
        </w:tc>
      </w:tr>
      <w:tr w:rsidR="008B0AC6" w:rsidRPr="00FA7D47" w14:paraId="29636722" w14:textId="77777777" w:rsidTr="0095549A">
        <w:trPr>
          <w:trHeight w:val="300"/>
        </w:trPr>
        <w:tc>
          <w:tcPr>
            <w:tcW w:w="1091" w:type="pct"/>
            <w:tcBorders>
              <w:top w:val="nil"/>
              <w:left w:val="nil"/>
              <w:bottom w:val="nil"/>
              <w:right w:val="nil"/>
            </w:tcBorders>
            <w:shd w:val="clear" w:color="auto" w:fill="auto"/>
            <w:vAlign w:val="center"/>
            <w:hideMark/>
          </w:tcPr>
          <w:p w14:paraId="7F8764F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18:1 DMA</w:t>
            </w:r>
          </w:p>
        </w:tc>
        <w:tc>
          <w:tcPr>
            <w:tcW w:w="555" w:type="pct"/>
            <w:tcBorders>
              <w:top w:val="nil"/>
              <w:left w:val="nil"/>
              <w:bottom w:val="nil"/>
              <w:right w:val="nil"/>
            </w:tcBorders>
            <w:shd w:val="clear" w:color="auto" w:fill="auto"/>
            <w:noWrap/>
            <w:vAlign w:val="center"/>
            <w:hideMark/>
          </w:tcPr>
          <w:p w14:paraId="0838EFD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0.14 ± 0.14</w:t>
            </w:r>
          </w:p>
        </w:tc>
        <w:tc>
          <w:tcPr>
            <w:tcW w:w="555" w:type="pct"/>
            <w:tcBorders>
              <w:top w:val="nil"/>
              <w:left w:val="nil"/>
              <w:bottom w:val="nil"/>
              <w:right w:val="nil"/>
            </w:tcBorders>
            <w:shd w:val="clear" w:color="auto" w:fill="auto"/>
            <w:noWrap/>
            <w:vAlign w:val="center"/>
            <w:hideMark/>
          </w:tcPr>
          <w:p w14:paraId="0B56914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0.11 ± 0.07</w:t>
            </w:r>
          </w:p>
        </w:tc>
        <w:tc>
          <w:tcPr>
            <w:tcW w:w="555" w:type="pct"/>
            <w:tcBorders>
              <w:top w:val="nil"/>
              <w:left w:val="nil"/>
              <w:bottom w:val="nil"/>
              <w:right w:val="nil"/>
            </w:tcBorders>
            <w:shd w:val="clear" w:color="auto" w:fill="auto"/>
            <w:noWrap/>
            <w:vAlign w:val="center"/>
            <w:hideMark/>
          </w:tcPr>
          <w:p w14:paraId="1310402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0.09 ± 0.11</w:t>
            </w:r>
          </w:p>
        </w:tc>
        <w:tc>
          <w:tcPr>
            <w:tcW w:w="555" w:type="pct"/>
            <w:tcBorders>
              <w:top w:val="nil"/>
              <w:left w:val="nil"/>
              <w:bottom w:val="nil"/>
              <w:right w:val="nil"/>
            </w:tcBorders>
            <w:shd w:val="clear" w:color="auto" w:fill="auto"/>
            <w:noWrap/>
            <w:vAlign w:val="center"/>
            <w:hideMark/>
          </w:tcPr>
          <w:p w14:paraId="7179556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0.09</w:t>
            </w:r>
          </w:p>
        </w:tc>
        <w:tc>
          <w:tcPr>
            <w:tcW w:w="555" w:type="pct"/>
            <w:tcBorders>
              <w:top w:val="nil"/>
              <w:left w:val="nil"/>
              <w:bottom w:val="nil"/>
              <w:right w:val="nil"/>
            </w:tcBorders>
            <w:shd w:val="clear" w:color="auto" w:fill="auto"/>
            <w:noWrap/>
            <w:vAlign w:val="center"/>
            <w:hideMark/>
          </w:tcPr>
          <w:p w14:paraId="56CE56B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 ± 0.07</w:t>
            </w:r>
          </w:p>
        </w:tc>
        <w:tc>
          <w:tcPr>
            <w:tcW w:w="564" w:type="pct"/>
            <w:tcBorders>
              <w:top w:val="nil"/>
              <w:left w:val="nil"/>
              <w:bottom w:val="nil"/>
              <w:right w:val="nil"/>
            </w:tcBorders>
            <w:shd w:val="clear" w:color="auto" w:fill="auto"/>
            <w:noWrap/>
            <w:vAlign w:val="center"/>
            <w:hideMark/>
          </w:tcPr>
          <w:p w14:paraId="44E08AF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0.15 ± 0.06</w:t>
            </w:r>
          </w:p>
        </w:tc>
        <w:tc>
          <w:tcPr>
            <w:tcW w:w="569" w:type="pct"/>
            <w:tcBorders>
              <w:top w:val="nil"/>
              <w:left w:val="nil"/>
              <w:bottom w:val="nil"/>
              <w:right w:val="nil"/>
            </w:tcBorders>
            <w:shd w:val="clear" w:color="auto" w:fill="auto"/>
            <w:noWrap/>
            <w:vAlign w:val="center"/>
            <w:hideMark/>
          </w:tcPr>
          <w:p w14:paraId="753FBDD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1D9FAF22" w14:textId="77777777" w:rsidTr="0095549A">
        <w:trPr>
          <w:trHeight w:val="300"/>
        </w:trPr>
        <w:tc>
          <w:tcPr>
            <w:tcW w:w="1091" w:type="pct"/>
            <w:tcBorders>
              <w:top w:val="nil"/>
              <w:left w:val="nil"/>
              <w:bottom w:val="nil"/>
              <w:right w:val="nil"/>
            </w:tcBorders>
            <w:shd w:val="clear" w:color="auto" w:fill="auto"/>
            <w:vAlign w:val="center"/>
            <w:hideMark/>
          </w:tcPr>
          <w:p w14:paraId="65783E7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18:1</w:t>
            </w:r>
          </w:p>
        </w:tc>
        <w:tc>
          <w:tcPr>
            <w:tcW w:w="555" w:type="pct"/>
            <w:tcBorders>
              <w:top w:val="nil"/>
              <w:left w:val="nil"/>
              <w:bottom w:val="nil"/>
              <w:right w:val="nil"/>
            </w:tcBorders>
            <w:shd w:val="clear" w:color="auto" w:fill="auto"/>
            <w:noWrap/>
            <w:vAlign w:val="center"/>
            <w:hideMark/>
          </w:tcPr>
          <w:p w14:paraId="5101677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0.39 ± 0.15</w:t>
            </w:r>
          </w:p>
        </w:tc>
        <w:tc>
          <w:tcPr>
            <w:tcW w:w="555" w:type="pct"/>
            <w:tcBorders>
              <w:top w:val="nil"/>
              <w:left w:val="nil"/>
              <w:bottom w:val="nil"/>
              <w:right w:val="nil"/>
            </w:tcBorders>
            <w:shd w:val="clear" w:color="auto" w:fill="auto"/>
            <w:noWrap/>
            <w:vAlign w:val="center"/>
            <w:hideMark/>
          </w:tcPr>
          <w:p w14:paraId="3DEC4E2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0.08</w:t>
            </w:r>
          </w:p>
        </w:tc>
        <w:tc>
          <w:tcPr>
            <w:tcW w:w="555" w:type="pct"/>
            <w:tcBorders>
              <w:top w:val="nil"/>
              <w:left w:val="nil"/>
              <w:bottom w:val="nil"/>
              <w:right w:val="nil"/>
            </w:tcBorders>
            <w:shd w:val="clear" w:color="auto" w:fill="auto"/>
            <w:noWrap/>
            <w:vAlign w:val="center"/>
            <w:hideMark/>
          </w:tcPr>
          <w:p w14:paraId="2D7FE26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0.09</w:t>
            </w:r>
          </w:p>
        </w:tc>
        <w:tc>
          <w:tcPr>
            <w:tcW w:w="555" w:type="pct"/>
            <w:tcBorders>
              <w:top w:val="nil"/>
              <w:left w:val="nil"/>
              <w:bottom w:val="nil"/>
              <w:right w:val="nil"/>
            </w:tcBorders>
            <w:shd w:val="clear" w:color="auto" w:fill="auto"/>
            <w:noWrap/>
            <w:vAlign w:val="center"/>
            <w:hideMark/>
          </w:tcPr>
          <w:p w14:paraId="1E1E2D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0.35 ± 0.09</w:t>
            </w:r>
          </w:p>
        </w:tc>
        <w:tc>
          <w:tcPr>
            <w:tcW w:w="555" w:type="pct"/>
            <w:tcBorders>
              <w:top w:val="nil"/>
              <w:left w:val="nil"/>
              <w:bottom w:val="nil"/>
              <w:right w:val="nil"/>
            </w:tcBorders>
            <w:shd w:val="clear" w:color="auto" w:fill="auto"/>
            <w:noWrap/>
            <w:vAlign w:val="center"/>
            <w:hideMark/>
          </w:tcPr>
          <w:p w14:paraId="06C10FB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0.38 ± 0.09</w:t>
            </w:r>
          </w:p>
        </w:tc>
        <w:tc>
          <w:tcPr>
            <w:tcW w:w="564" w:type="pct"/>
            <w:tcBorders>
              <w:top w:val="nil"/>
              <w:left w:val="nil"/>
              <w:bottom w:val="nil"/>
              <w:right w:val="nil"/>
            </w:tcBorders>
            <w:shd w:val="clear" w:color="auto" w:fill="auto"/>
            <w:noWrap/>
            <w:vAlign w:val="center"/>
            <w:hideMark/>
          </w:tcPr>
          <w:p w14:paraId="378532B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0.36 ± 0.11</w:t>
            </w:r>
          </w:p>
        </w:tc>
        <w:tc>
          <w:tcPr>
            <w:tcW w:w="569" w:type="pct"/>
            <w:tcBorders>
              <w:top w:val="nil"/>
              <w:left w:val="nil"/>
              <w:bottom w:val="nil"/>
              <w:right w:val="nil"/>
            </w:tcBorders>
            <w:shd w:val="clear" w:color="auto" w:fill="auto"/>
            <w:noWrap/>
            <w:vAlign w:val="center"/>
            <w:hideMark/>
          </w:tcPr>
          <w:p w14:paraId="0BF6FEF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0.2</w:t>
            </w:r>
          </w:p>
        </w:tc>
      </w:tr>
      <w:tr w:rsidR="008B0AC6" w:rsidRPr="00FA7D47" w14:paraId="44F5282D" w14:textId="77777777" w:rsidTr="0095549A">
        <w:trPr>
          <w:trHeight w:val="300"/>
        </w:trPr>
        <w:tc>
          <w:tcPr>
            <w:tcW w:w="1091" w:type="pct"/>
            <w:tcBorders>
              <w:top w:val="nil"/>
              <w:left w:val="nil"/>
              <w:bottom w:val="nil"/>
              <w:right w:val="nil"/>
            </w:tcBorders>
            <w:shd w:val="clear" w:color="auto" w:fill="auto"/>
            <w:vAlign w:val="center"/>
            <w:hideMark/>
          </w:tcPr>
          <w:p w14:paraId="120E72B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18:1n-9</w:t>
            </w:r>
          </w:p>
        </w:tc>
        <w:tc>
          <w:tcPr>
            <w:tcW w:w="555" w:type="pct"/>
            <w:tcBorders>
              <w:top w:val="nil"/>
              <w:left w:val="nil"/>
              <w:bottom w:val="nil"/>
              <w:right w:val="nil"/>
            </w:tcBorders>
            <w:shd w:val="clear" w:color="auto" w:fill="auto"/>
            <w:noWrap/>
            <w:vAlign w:val="center"/>
            <w:hideMark/>
          </w:tcPr>
          <w:p w14:paraId="4F527A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15.23 ± 2.61</w:t>
            </w:r>
          </w:p>
        </w:tc>
        <w:tc>
          <w:tcPr>
            <w:tcW w:w="555" w:type="pct"/>
            <w:tcBorders>
              <w:top w:val="nil"/>
              <w:left w:val="nil"/>
              <w:bottom w:val="nil"/>
              <w:right w:val="nil"/>
            </w:tcBorders>
            <w:shd w:val="clear" w:color="auto" w:fill="auto"/>
            <w:noWrap/>
            <w:vAlign w:val="center"/>
            <w:hideMark/>
          </w:tcPr>
          <w:p w14:paraId="2A2F225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17.28 ± 2.17</w:t>
            </w:r>
          </w:p>
        </w:tc>
        <w:tc>
          <w:tcPr>
            <w:tcW w:w="555" w:type="pct"/>
            <w:tcBorders>
              <w:top w:val="nil"/>
              <w:left w:val="nil"/>
              <w:bottom w:val="nil"/>
              <w:right w:val="nil"/>
            </w:tcBorders>
            <w:shd w:val="clear" w:color="auto" w:fill="auto"/>
            <w:noWrap/>
            <w:vAlign w:val="center"/>
            <w:hideMark/>
          </w:tcPr>
          <w:p w14:paraId="6D45BB7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17.54 ± 3</w:t>
            </w:r>
          </w:p>
        </w:tc>
        <w:tc>
          <w:tcPr>
            <w:tcW w:w="555" w:type="pct"/>
            <w:tcBorders>
              <w:top w:val="nil"/>
              <w:left w:val="nil"/>
              <w:bottom w:val="nil"/>
              <w:right w:val="nil"/>
            </w:tcBorders>
            <w:shd w:val="clear" w:color="auto" w:fill="auto"/>
            <w:noWrap/>
            <w:vAlign w:val="center"/>
            <w:hideMark/>
          </w:tcPr>
          <w:p w14:paraId="2735F69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17.78 ± 3.68</w:t>
            </w:r>
          </w:p>
        </w:tc>
        <w:tc>
          <w:tcPr>
            <w:tcW w:w="555" w:type="pct"/>
            <w:tcBorders>
              <w:top w:val="nil"/>
              <w:left w:val="nil"/>
              <w:bottom w:val="nil"/>
              <w:right w:val="nil"/>
            </w:tcBorders>
            <w:shd w:val="clear" w:color="auto" w:fill="auto"/>
            <w:noWrap/>
            <w:vAlign w:val="center"/>
            <w:hideMark/>
          </w:tcPr>
          <w:p w14:paraId="5C40B17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15.4 ± 0.55</w:t>
            </w:r>
          </w:p>
        </w:tc>
        <w:tc>
          <w:tcPr>
            <w:tcW w:w="564" w:type="pct"/>
            <w:tcBorders>
              <w:top w:val="nil"/>
              <w:left w:val="nil"/>
              <w:bottom w:val="nil"/>
              <w:right w:val="nil"/>
            </w:tcBorders>
            <w:shd w:val="clear" w:color="auto" w:fill="auto"/>
            <w:noWrap/>
            <w:vAlign w:val="center"/>
            <w:hideMark/>
          </w:tcPr>
          <w:p w14:paraId="38E573E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15.98 ± 3.37</w:t>
            </w:r>
          </w:p>
        </w:tc>
        <w:tc>
          <w:tcPr>
            <w:tcW w:w="569" w:type="pct"/>
            <w:tcBorders>
              <w:top w:val="nil"/>
              <w:left w:val="nil"/>
              <w:bottom w:val="nil"/>
              <w:right w:val="nil"/>
            </w:tcBorders>
            <w:shd w:val="clear" w:color="auto" w:fill="auto"/>
            <w:noWrap/>
            <w:vAlign w:val="center"/>
            <w:hideMark/>
          </w:tcPr>
          <w:p w14:paraId="559B616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19.22 ± 1.57</w:t>
            </w:r>
          </w:p>
        </w:tc>
      </w:tr>
      <w:tr w:rsidR="008B0AC6" w:rsidRPr="00FA7D47" w14:paraId="4086F60C" w14:textId="77777777" w:rsidTr="0095549A">
        <w:trPr>
          <w:trHeight w:val="300"/>
        </w:trPr>
        <w:tc>
          <w:tcPr>
            <w:tcW w:w="1091" w:type="pct"/>
            <w:tcBorders>
              <w:top w:val="nil"/>
              <w:left w:val="nil"/>
              <w:bottom w:val="nil"/>
              <w:right w:val="nil"/>
            </w:tcBorders>
            <w:shd w:val="clear" w:color="auto" w:fill="auto"/>
            <w:vAlign w:val="center"/>
            <w:hideMark/>
          </w:tcPr>
          <w:p w14:paraId="0C132C2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18:1n-7</w:t>
            </w:r>
          </w:p>
        </w:tc>
        <w:tc>
          <w:tcPr>
            <w:tcW w:w="555" w:type="pct"/>
            <w:tcBorders>
              <w:top w:val="nil"/>
              <w:left w:val="nil"/>
              <w:bottom w:val="nil"/>
              <w:right w:val="nil"/>
            </w:tcBorders>
            <w:shd w:val="clear" w:color="auto" w:fill="auto"/>
            <w:noWrap/>
            <w:vAlign w:val="center"/>
            <w:hideMark/>
          </w:tcPr>
          <w:p w14:paraId="56928E6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6.47 ± 1.09</w:t>
            </w:r>
          </w:p>
        </w:tc>
        <w:tc>
          <w:tcPr>
            <w:tcW w:w="555" w:type="pct"/>
            <w:tcBorders>
              <w:top w:val="nil"/>
              <w:left w:val="nil"/>
              <w:bottom w:val="nil"/>
              <w:right w:val="nil"/>
            </w:tcBorders>
            <w:shd w:val="clear" w:color="auto" w:fill="auto"/>
            <w:noWrap/>
            <w:vAlign w:val="center"/>
            <w:hideMark/>
          </w:tcPr>
          <w:p w14:paraId="4F6E711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7.82 ± 1.56</w:t>
            </w:r>
          </w:p>
        </w:tc>
        <w:tc>
          <w:tcPr>
            <w:tcW w:w="555" w:type="pct"/>
            <w:tcBorders>
              <w:top w:val="nil"/>
              <w:left w:val="nil"/>
              <w:bottom w:val="nil"/>
              <w:right w:val="nil"/>
            </w:tcBorders>
            <w:shd w:val="clear" w:color="auto" w:fill="auto"/>
            <w:noWrap/>
            <w:vAlign w:val="center"/>
            <w:hideMark/>
          </w:tcPr>
          <w:p w14:paraId="5AF47CF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6.66 ± 1.03</w:t>
            </w:r>
          </w:p>
        </w:tc>
        <w:tc>
          <w:tcPr>
            <w:tcW w:w="555" w:type="pct"/>
            <w:tcBorders>
              <w:top w:val="nil"/>
              <w:left w:val="nil"/>
              <w:bottom w:val="nil"/>
              <w:right w:val="nil"/>
            </w:tcBorders>
            <w:shd w:val="clear" w:color="auto" w:fill="auto"/>
            <w:noWrap/>
            <w:vAlign w:val="center"/>
            <w:hideMark/>
          </w:tcPr>
          <w:p w14:paraId="706B80E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6.81 ± 0.6</w:t>
            </w:r>
          </w:p>
        </w:tc>
        <w:tc>
          <w:tcPr>
            <w:tcW w:w="555" w:type="pct"/>
            <w:tcBorders>
              <w:top w:val="nil"/>
              <w:left w:val="nil"/>
              <w:bottom w:val="nil"/>
              <w:right w:val="nil"/>
            </w:tcBorders>
            <w:shd w:val="clear" w:color="auto" w:fill="auto"/>
            <w:noWrap/>
            <w:vAlign w:val="center"/>
            <w:hideMark/>
          </w:tcPr>
          <w:p w14:paraId="673DD27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7.56 ± 1.21</w:t>
            </w:r>
          </w:p>
        </w:tc>
        <w:tc>
          <w:tcPr>
            <w:tcW w:w="564" w:type="pct"/>
            <w:tcBorders>
              <w:top w:val="nil"/>
              <w:left w:val="nil"/>
              <w:bottom w:val="nil"/>
              <w:right w:val="nil"/>
            </w:tcBorders>
            <w:shd w:val="clear" w:color="auto" w:fill="auto"/>
            <w:noWrap/>
            <w:vAlign w:val="center"/>
            <w:hideMark/>
          </w:tcPr>
          <w:p w14:paraId="49C045C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8.42 ± 0.9</w:t>
            </w:r>
          </w:p>
        </w:tc>
        <w:tc>
          <w:tcPr>
            <w:tcW w:w="569" w:type="pct"/>
            <w:tcBorders>
              <w:top w:val="nil"/>
              <w:left w:val="nil"/>
              <w:bottom w:val="nil"/>
              <w:right w:val="nil"/>
            </w:tcBorders>
            <w:shd w:val="clear" w:color="auto" w:fill="auto"/>
            <w:noWrap/>
            <w:vAlign w:val="center"/>
            <w:hideMark/>
          </w:tcPr>
          <w:p w14:paraId="704274C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6.23 ± 0.2</w:t>
            </w:r>
          </w:p>
        </w:tc>
      </w:tr>
      <w:tr w:rsidR="008B0AC6" w:rsidRPr="00FA7D47" w14:paraId="1181F4FF" w14:textId="77777777" w:rsidTr="0095549A">
        <w:trPr>
          <w:trHeight w:val="300"/>
        </w:trPr>
        <w:tc>
          <w:tcPr>
            <w:tcW w:w="1091" w:type="pct"/>
            <w:tcBorders>
              <w:top w:val="nil"/>
              <w:left w:val="nil"/>
              <w:bottom w:val="nil"/>
              <w:right w:val="nil"/>
            </w:tcBorders>
            <w:shd w:val="clear" w:color="auto" w:fill="auto"/>
            <w:vAlign w:val="center"/>
            <w:hideMark/>
          </w:tcPr>
          <w:p w14:paraId="1499F8A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18:1</w:t>
            </w:r>
          </w:p>
        </w:tc>
        <w:tc>
          <w:tcPr>
            <w:tcW w:w="555" w:type="pct"/>
            <w:tcBorders>
              <w:top w:val="nil"/>
              <w:left w:val="nil"/>
              <w:bottom w:val="nil"/>
              <w:right w:val="nil"/>
            </w:tcBorders>
            <w:shd w:val="clear" w:color="auto" w:fill="auto"/>
            <w:noWrap/>
            <w:vAlign w:val="center"/>
            <w:hideMark/>
          </w:tcPr>
          <w:p w14:paraId="71E53E1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0.53 ± 0.14</w:t>
            </w:r>
          </w:p>
        </w:tc>
        <w:tc>
          <w:tcPr>
            <w:tcW w:w="555" w:type="pct"/>
            <w:tcBorders>
              <w:top w:val="nil"/>
              <w:left w:val="nil"/>
              <w:bottom w:val="nil"/>
              <w:right w:val="nil"/>
            </w:tcBorders>
            <w:shd w:val="clear" w:color="auto" w:fill="auto"/>
            <w:noWrap/>
            <w:vAlign w:val="center"/>
            <w:hideMark/>
          </w:tcPr>
          <w:p w14:paraId="028CCCC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0.52 ± 0.12</w:t>
            </w:r>
          </w:p>
        </w:tc>
        <w:tc>
          <w:tcPr>
            <w:tcW w:w="555" w:type="pct"/>
            <w:tcBorders>
              <w:top w:val="nil"/>
              <w:left w:val="nil"/>
              <w:bottom w:val="nil"/>
              <w:right w:val="nil"/>
            </w:tcBorders>
            <w:shd w:val="clear" w:color="auto" w:fill="auto"/>
            <w:noWrap/>
            <w:vAlign w:val="center"/>
            <w:hideMark/>
          </w:tcPr>
          <w:p w14:paraId="6E97E97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0.49 ± 0.12</w:t>
            </w:r>
          </w:p>
        </w:tc>
        <w:tc>
          <w:tcPr>
            <w:tcW w:w="555" w:type="pct"/>
            <w:tcBorders>
              <w:top w:val="nil"/>
              <w:left w:val="nil"/>
              <w:bottom w:val="nil"/>
              <w:right w:val="nil"/>
            </w:tcBorders>
            <w:shd w:val="clear" w:color="auto" w:fill="auto"/>
            <w:noWrap/>
            <w:vAlign w:val="center"/>
            <w:hideMark/>
          </w:tcPr>
          <w:p w14:paraId="54E3926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0.57 ± 0.21</w:t>
            </w:r>
          </w:p>
        </w:tc>
        <w:tc>
          <w:tcPr>
            <w:tcW w:w="555" w:type="pct"/>
            <w:tcBorders>
              <w:top w:val="nil"/>
              <w:left w:val="nil"/>
              <w:bottom w:val="nil"/>
              <w:right w:val="nil"/>
            </w:tcBorders>
            <w:shd w:val="clear" w:color="auto" w:fill="auto"/>
            <w:noWrap/>
            <w:vAlign w:val="center"/>
            <w:hideMark/>
          </w:tcPr>
          <w:p w14:paraId="39738D9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0.59 ± 0.12</w:t>
            </w:r>
          </w:p>
        </w:tc>
        <w:tc>
          <w:tcPr>
            <w:tcW w:w="564" w:type="pct"/>
            <w:tcBorders>
              <w:top w:val="nil"/>
              <w:left w:val="nil"/>
              <w:bottom w:val="nil"/>
              <w:right w:val="nil"/>
            </w:tcBorders>
            <w:shd w:val="clear" w:color="auto" w:fill="auto"/>
            <w:noWrap/>
            <w:vAlign w:val="center"/>
            <w:hideMark/>
          </w:tcPr>
          <w:p w14:paraId="210BF1D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0.61 ± 0.11</w:t>
            </w:r>
          </w:p>
        </w:tc>
        <w:tc>
          <w:tcPr>
            <w:tcW w:w="569" w:type="pct"/>
            <w:tcBorders>
              <w:top w:val="nil"/>
              <w:left w:val="nil"/>
              <w:bottom w:val="nil"/>
              <w:right w:val="nil"/>
            </w:tcBorders>
            <w:shd w:val="clear" w:color="auto" w:fill="auto"/>
            <w:noWrap/>
            <w:vAlign w:val="center"/>
            <w:hideMark/>
          </w:tcPr>
          <w:p w14:paraId="62487A1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0.38 ± 0.14</w:t>
            </w:r>
          </w:p>
        </w:tc>
      </w:tr>
      <w:tr w:rsidR="008B0AC6" w:rsidRPr="00FA7D47" w14:paraId="008A8D18" w14:textId="77777777" w:rsidTr="0095549A">
        <w:trPr>
          <w:trHeight w:val="300"/>
        </w:trPr>
        <w:tc>
          <w:tcPr>
            <w:tcW w:w="1091" w:type="pct"/>
            <w:tcBorders>
              <w:top w:val="nil"/>
              <w:left w:val="nil"/>
              <w:bottom w:val="nil"/>
              <w:right w:val="nil"/>
            </w:tcBorders>
            <w:shd w:val="clear" w:color="auto" w:fill="auto"/>
            <w:vAlign w:val="center"/>
            <w:hideMark/>
          </w:tcPr>
          <w:p w14:paraId="41A0862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20:1n-11</w:t>
            </w:r>
          </w:p>
        </w:tc>
        <w:tc>
          <w:tcPr>
            <w:tcW w:w="555" w:type="pct"/>
            <w:tcBorders>
              <w:top w:val="nil"/>
              <w:left w:val="nil"/>
              <w:bottom w:val="nil"/>
              <w:right w:val="nil"/>
            </w:tcBorders>
            <w:shd w:val="clear" w:color="auto" w:fill="auto"/>
            <w:noWrap/>
            <w:vAlign w:val="center"/>
            <w:hideMark/>
          </w:tcPr>
          <w:p w14:paraId="46480DE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3.22 ± 1.08</w:t>
            </w:r>
          </w:p>
        </w:tc>
        <w:tc>
          <w:tcPr>
            <w:tcW w:w="555" w:type="pct"/>
            <w:tcBorders>
              <w:top w:val="nil"/>
              <w:left w:val="nil"/>
              <w:bottom w:val="nil"/>
              <w:right w:val="nil"/>
            </w:tcBorders>
            <w:shd w:val="clear" w:color="auto" w:fill="auto"/>
            <w:noWrap/>
            <w:vAlign w:val="center"/>
            <w:hideMark/>
          </w:tcPr>
          <w:p w14:paraId="554AB23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3.05 ± 0.7</w:t>
            </w:r>
          </w:p>
        </w:tc>
        <w:tc>
          <w:tcPr>
            <w:tcW w:w="555" w:type="pct"/>
            <w:tcBorders>
              <w:top w:val="nil"/>
              <w:left w:val="nil"/>
              <w:bottom w:val="nil"/>
              <w:right w:val="nil"/>
            </w:tcBorders>
            <w:shd w:val="clear" w:color="auto" w:fill="auto"/>
            <w:noWrap/>
            <w:vAlign w:val="center"/>
            <w:hideMark/>
          </w:tcPr>
          <w:p w14:paraId="2DA474A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2.55 ± 0.76</w:t>
            </w:r>
          </w:p>
        </w:tc>
        <w:tc>
          <w:tcPr>
            <w:tcW w:w="555" w:type="pct"/>
            <w:tcBorders>
              <w:top w:val="nil"/>
              <w:left w:val="nil"/>
              <w:bottom w:val="nil"/>
              <w:right w:val="nil"/>
            </w:tcBorders>
            <w:shd w:val="clear" w:color="auto" w:fill="auto"/>
            <w:noWrap/>
            <w:vAlign w:val="center"/>
            <w:hideMark/>
          </w:tcPr>
          <w:p w14:paraId="191CD24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3.04 ± 0.79</w:t>
            </w:r>
          </w:p>
        </w:tc>
        <w:tc>
          <w:tcPr>
            <w:tcW w:w="555" w:type="pct"/>
            <w:tcBorders>
              <w:top w:val="nil"/>
              <w:left w:val="nil"/>
              <w:bottom w:val="nil"/>
              <w:right w:val="nil"/>
            </w:tcBorders>
            <w:shd w:val="clear" w:color="auto" w:fill="auto"/>
            <w:noWrap/>
            <w:vAlign w:val="center"/>
            <w:hideMark/>
          </w:tcPr>
          <w:p w14:paraId="01BB1DC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3.55 ± 0.28</w:t>
            </w:r>
          </w:p>
        </w:tc>
        <w:tc>
          <w:tcPr>
            <w:tcW w:w="564" w:type="pct"/>
            <w:tcBorders>
              <w:top w:val="nil"/>
              <w:left w:val="nil"/>
              <w:bottom w:val="nil"/>
              <w:right w:val="nil"/>
            </w:tcBorders>
            <w:shd w:val="clear" w:color="auto" w:fill="auto"/>
            <w:noWrap/>
            <w:vAlign w:val="center"/>
            <w:hideMark/>
          </w:tcPr>
          <w:p w14:paraId="0271E8B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4.07 ± 0.91</w:t>
            </w:r>
          </w:p>
        </w:tc>
        <w:tc>
          <w:tcPr>
            <w:tcW w:w="569" w:type="pct"/>
            <w:tcBorders>
              <w:top w:val="nil"/>
              <w:left w:val="nil"/>
              <w:bottom w:val="nil"/>
              <w:right w:val="nil"/>
            </w:tcBorders>
            <w:shd w:val="clear" w:color="auto" w:fill="auto"/>
            <w:noWrap/>
            <w:vAlign w:val="center"/>
            <w:hideMark/>
          </w:tcPr>
          <w:p w14:paraId="66F92EF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0.93 ± 0.15</w:t>
            </w:r>
          </w:p>
        </w:tc>
      </w:tr>
      <w:tr w:rsidR="008B0AC6" w:rsidRPr="00FA7D47" w14:paraId="4C9ECD5E" w14:textId="77777777" w:rsidTr="0095549A">
        <w:trPr>
          <w:trHeight w:val="300"/>
        </w:trPr>
        <w:tc>
          <w:tcPr>
            <w:tcW w:w="1091" w:type="pct"/>
            <w:tcBorders>
              <w:top w:val="nil"/>
              <w:left w:val="nil"/>
              <w:bottom w:val="nil"/>
              <w:right w:val="nil"/>
            </w:tcBorders>
            <w:shd w:val="clear" w:color="auto" w:fill="auto"/>
            <w:vAlign w:val="center"/>
            <w:hideMark/>
          </w:tcPr>
          <w:p w14:paraId="5E5390B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20:1n-9</w:t>
            </w:r>
          </w:p>
        </w:tc>
        <w:tc>
          <w:tcPr>
            <w:tcW w:w="555" w:type="pct"/>
            <w:tcBorders>
              <w:top w:val="nil"/>
              <w:left w:val="nil"/>
              <w:bottom w:val="nil"/>
              <w:right w:val="nil"/>
            </w:tcBorders>
            <w:shd w:val="clear" w:color="auto" w:fill="auto"/>
            <w:noWrap/>
            <w:vAlign w:val="center"/>
            <w:hideMark/>
          </w:tcPr>
          <w:p w14:paraId="46E44CE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3.76 ± 1.57</w:t>
            </w:r>
          </w:p>
        </w:tc>
        <w:tc>
          <w:tcPr>
            <w:tcW w:w="555" w:type="pct"/>
            <w:tcBorders>
              <w:top w:val="nil"/>
              <w:left w:val="nil"/>
              <w:bottom w:val="nil"/>
              <w:right w:val="nil"/>
            </w:tcBorders>
            <w:shd w:val="clear" w:color="auto" w:fill="auto"/>
            <w:noWrap/>
            <w:vAlign w:val="center"/>
            <w:hideMark/>
          </w:tcPr>
          <w:p w14:paraId="3F67C9C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4.33 ± 1.05</w:t>
            </w:r>
          </w:p>
        </w:tc>
        <w:tc>
          <w:tcPr>
            <w:tcW w:w="555" w:type="pct"/>
            <w:tcBorders>
              <w:top w:val="nil"/>
              <w:left w:val="nil"/>
              <w:bottom w:val="nil"/>
              <w:right w:val="nil"/>
            </w:tcBorders>
            <w:shd w:val="clear" w:color="auto" w:fill="auto"/>
            <w:noWrap/>
            <w:vAlign w:val="center"/>
            <w:hideMark/>
          </w:tcPr>
          <w:p w14:paraId="0BB3F10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3.64 ± 1.12</w:t>
            </w:r>
          </w:p>
        </w:tc>
        <w:tc>
          <w:tcPr>
            <w:tcW w:w="555" w:type="pct"/>
            <w:tcBorders>
              <w:top w:val="nil"/>
              <w:left w:val="nil"/>
              <w:bottom w:val="nil"/>
              <w:right w:val="nil"/>
            </w:tcBorders>
            <w:shd w:val="clear" w:color="auto" w:fill="auto"/>
            <w:noWrap/>
            <w:vAlign w:val="center"/>
            <w:hideMark/>
          </w:tcPr>
          <w:p w14:paraId="1132029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3.9 ± 0.92</w:t>
            </w:r>
          </w:p>
        </w:tc>
        <w:tc>
          <w:tcPr>
            <w:tcW w:w="555" w:type="pct"/>
            <w:tcBorders>
              <w:top w:val="nil"/>
              <w:left w:val="nil"/>
              <w:bottom w:val="nil"/>
              <w:right w:val="nil"/>
            </w:tcBorders>
            <w:shd w:val="clear" w:color="auto" w:fill="auto"/>
            <w:noWrap/>
            <w:vAlign w:val="center"/>
            <w:hideMark/>
          </w:tcPr>
          <w:p w14:paraId="469B2AE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3.47 ± 1.08</w:t>
            </w:r>
          </w:p>
        </w:tc>
        <w:tc>
          <w:tcPr>
            <w:tcW w:w="564" w:type="pct"/>
            <w:tcBorders>
              <w:top w:val="nil"/>
              <w:left w:val="nil"/>
              <w:bottom w:val="nil"/>
              <w:right w:val="nil"/>
            </w:tcBorders>
            <w:shd w:val="clear" w:color="auto" w:fill="auto"/>
            <w:noWrap/>
            <w:vAlign w:val="center"/>
            <w:hideMark/>
          </w:tcPr>
          <w:p w14:paraId="49C9F95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3.68 ± 0.75</w:t>
            </w:r>
          </w:p>
        </w:tc>
        <w:tc>
          <w:tcPr>
            <w:tcW w:w="569" w:type="pct"/>
            <w:tcBorders>
              <w:top w:val="nil"/>
              <w:left w:val="nil"/>
              <w:bottom w:val="nil"/>
              <w:right w:val="nil"/>
            </w:tcBorders>
            <w:shd w:val="clear" w:color="auto" w:fill="auto"/>
            <w:noWrap/>
            <w:vAlign w:val="center"/>
            <w:hideMark/>
          </w:tcPr>
          <w:p w14:paraId="64708B5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1.26 ± 0.18</w:t>
            </w:r>
          </w:p>
        </w:tc>
      </w:tr>
      <w:tr w:rsidR="008B0AC6" w:rsidRPr="00FA7D47" w14:paraId="4FC5F465" w14:textId="77777777" w:rsidTr="0095549A">
        <w:trPr>
          <w:trHeight w:val="300"/>
        </w:trPr>
        <w:tc>
          <w:tcPr>
            <w:tcW w:w="1091" w:type="pct"/>
            <w:tcBorders>
              <w:top w:val="nil"/>
              <w:left w:val="nil"/>
              <w:bottom w:val="nil"/>
              <w:right w:val="nil"/>
            </w:tcBorders>
            <w:shd w:val="clear" w:color="auto" w:fill="auto"/>
            <w:vAlign w:val="center"/>
            <w:hideMark/>
          </w:tcPr>
          <w:p w14:paraId="0339688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20:1n-7</w:t>
            </w:r>
          </w:p>
        </w:tc>
        <w:tc>
          <w:tcPr>
            <w:tcW w:w="555" w:type="pct"/>
            <w:tcBorders>
              <w:top w:val="nil"/>
              <w:left w:val="nil"/>
              <w:bottom w:val="nil"/>
              <w:right w:val="nil"/>
            </w:tcBorders>
            <w:shd w:val="clear" w:color="auto" w:fill="auto"/>
            <w:noWrap/>
            <w:vAlign w:val="center"/>
            <w:hideMark/>
          </w:tcPr>
          <w:p w14:paraId="4C6C445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2.37 ± 1.27</w:t>
            </w:r>
          </w:p>
        </w:tc>
        <w:tc>
          <w:tcPr>
            <w:tcW w:w="555" w:type="pct"/>
            <w:tcBorders>
              <w:top w:val="nil"/>
              <w:left w:val="nil"/>
              <w:bottom w:val="nil"/>
              <w:right w:val="nil"/>
            </w:tcBorders>
            <w:shd w:val="clear" w:color="auto" w:fill="auto"/>
            <w:noWrap/>
            <w:vAlign w:val="center"/>
            <w:hideMark/>
          </w:tcPr>
          <w:p w14:paraId="7087492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3.2 ± 1.27</w:t>
            </w:r>
          </w:p>
        </w:tc>
        <w:tc>
          <w:tcPr>
            <w:tcW w:w="555" w:type="pct"/>
            <w:tcBorders>
              <w:top w:val="nil"/>
              <w:left w:val="nil"/>
              <w:bottom w:val="nil"/>
              <w:right w:val="nil"/>
            </w:tcBorders>
            <w:shd w:val="clear" w:color="auto" w:fill="auto"/>
            <w:noWrap/>
            <w:vAlign w:val="center"/>
            <w:hideMark/>
          </w:tcPr>
          <w:p w14:paraId="110F265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2.51 ± 0.72</w:t>
            </w:r>
          </w:p>
        </w:tc>
        <w:tc>
          <w:tcPr>
            <w:tcW w:w="555" w:type="pct"/>
            <w:tcBorders>
              <w:top w:val="nil"/>
              <w:left w:val="nil"/>
              <w:bottom w:val="nil"/>
              <w:right w:val="nil"/>
            </w:tcBorders>
            <w:shd w:val="clear" w:color="auto" w:fill="auto"/>
            <w:noWrap/>
            <w:vAlign w:val="center"/>
            <w:hideMark/>
          </w:tcPr>
          <w:p w14:paraId="0D3E3C6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2.74 ± 0.78</w:t>
            </w:r>
          </w:p>
        </w:tc>
        <w:tc>
          <w:tcPr>
            <w:tcW w:w="555" w:type="pct"/>
            <w:tcBorders>
              <w:top w:val="nil"/>
              <w:left w:val="nil"/>
              <w:bottom w:val="nil"/>
              <w:right w:val="nil"/>
            </w:tcBorders>
            <w:shd w:val="clear" w:color="auto" w:fill="auto"/>
            <w:noWrap/>
            <w:vAlign w:val="center"/>
            <w:hideMark/>
          </w:tcPr>
          <w:p w14:paraId="27A03E1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3.55 ± 0.94</w:t>
            </w:r>
          </w:p>
        </w:tc>
        <w:tc>
          <w:tcPr>
            <w:tcW w:w="564" w:type="pct"/>
            <w:tcBorders>
              <w:top w:val="nil"/>
              <w:left w:val="nil"/>
              <w:bottom w:val="nil"/>
              <w:right w:val="nil"/>
            </w:tcBorders>
            <w:shd w:val="clear" w:color="auto" w:fill="auto"/>
            <w:noWrap/>
            <w:vAlign w:val="center"/>
            <w:hideMark/>
          </w:tcPr>
          <w:p w14:paraId="497AF02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4.64 ± 1.23</w:t>
            </w:r>
          </w:p>
        </w:tc>
        <w:tc>
          <w:tcPr>
            <w:tcW w:w="569" w:type="pct"/>
            <w:tcBorders>
              <w:top w:val="nil"/>
              <w:left w:val="nil"/>
              <w:bottom w:val="nil"/>
              <w:right w:val="nil"/>
            </w:tcBorders>
            <w:shd w:val="clear" w:color="auto" w:fill="auto"/>
            <w:noWrap/>
            <w:vAlign w:val="center"/>
            <w:hideMark/>
          </w:tcPr>
          <w:p w14:paraId="0C5C661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2.62 ± 0.12</w:t>
            </w:r>
          </w:p>
        </w:tc>
      </w:tr>
      <w:tr w:rsidR="008B0AC6" w:rsidRPr="00FA7D47" w14:paraId="78E49D4E" w14:textId="77777777" w:rsidTr="0095549A">
        <w:trPr>
          <w:trHeight w:val="300"/>
        </w:trPr>
        <w:tc>
          <w:tcPr>
            <w:tcW w:w="1091" w:type="pct"/>
            <w:tcBorders>
              <w:top w:val="nil"/>
              <w:left w:val="nil"/>
              <w:bottom w:val="nil"/>
              <w:right w:val="nil"/>
            </w:tcBorders>
            <w:shd w:val="clear" w:color="auto" w:fill="auto"/>
            <w:vAlign w:val="center"/>
            <w:hideMark/>
          </w:tcPr>
          <w:p w14:paraId="783DB7A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20:1 NMID</w:t>
            </w:r>
          </w:p>
        </w:tc>
        <w:tc>
          <w:tcPr>
            <w:tcW w:w="555" w:type="pct"/>
            <w:tcBorders>
              <w:top w:val="nil"/>
              <w:left w:val="nil"/>
              <w:bottom w:val="nil"/>
              <w:right w:val="nil"/>
            </w:tcBorders>
            <w:shd w:val="clear" w:color="auto" w:fill="auto"/>
            <w:noWrap/>
            <w:vAlign w:val="center"/>
            <w:hideMark/>
          </w:tcPr>
          <w:p w14:paraId="72BC8B1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0.26 ± 0.1</w:t>
            </w:r>
          </w:p>
        </w:tc>
        <w:tc>
          <w:tcPr>
            <w:tcW w:w="555" w:type="pct"/>
            <w:tcBorders>
              <w:top w:val="nil"/>
              <w:left w:val="nil"/>
              <w:bottom w:val="nil"/>
              <w:right w:val="nil"/>
            </w:tcBorders>
            <w:shd w:val="clear" w:color="auto" w:fill="auto"/>
            <w:noWrap/>
            <w:vAlign w:val="center"/>
            <w:hideMark/>
          </w:tcPr>
          <w:p w14:paraId="4631CFF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0.11</w:t>
            </w:r>
          </w:p>
        </w:tc>
        <w:tc>
          <w:tcPr>
            <w:tcW w:w="555" w:type="pct"/>
            <w:tcBorders>
              <w:top w:val="nil"/>
              <w:left w:val="nil"/>
              <w:bottom w:val="nil"/>
              <w:right w:val="nil"/>
            </w:tcBorders>
            <w:shd w:val="clear" w:color="auto" w:fill="auto"/>
            <w:noWrap/>
            <w:vAlign w:val="center"/>
            <w:hideMark/>
          </w:tcPr>
          <w:p w14:paraId="00034CD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0.27 ± 0.08</w:t>
            </w:r>
          </w:p>
        </w:tc>
        <w:tc>
          <w:tcPr>
            <w:tcW w:w="555" w:type="pct"/>
            <w:tcBorders>
              <w:top w:val="nil"/>
              <w:left w:val="nil"/>
              <w:bottom w:val="nil"/>
              <w:right w:val="nil"/>
            </w:tcBorders>
            <w:shd w:val="clear" w:color="auto" w:fill="auto"/>
            <w:noWrap/>
            <w:vAlign w:val="center"/>
            <w:hideMark/>
          </w:tcPr>
          <w:p w14:paraId="19A8548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0.09</w:t>
            </w:r>
          </w:p>
        </w:tc>
        <w:tc>
          <w:tcPr>
            <w:tcW w:w="555" w:type="pct"/>
            <w:tcBorders>
              <w:top w:val="nil"/>
              <w:left w:val="nil"/>
              <w:bottom w:val="nil"/>
              <w:right w:val="nil"/>
            </w:tcBorders>
            <w:shd w:val="clear" w:color="auto" w:fill="auto"/>
            <w:noWrap/>
            <w:vAlign w:val="center"/>
            <w:hideMark/>
          </w:tcPr>
          <w:p w14:paraId="69BEEF1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0.37 ± 0.11</w:t>
            </w:r>
          </w:p>
        </w:tc>
        <w:tc>
          <w:tcPr>
            <w:tcW w:w="564" w:type="pct"/>
            <w:tcBorders>
              <w:top w:val="nil"/>
              <w:left w:val="nil"/>
              <w:bottom w:val="nil"/>
              <w:right w:val="nil"/>
            </w:tcBorders>
            <w:shd w:val="clear" w:color="auto" w:fill="auto"/>
            <w:noWrap/>
            <w:vAlign w:val="center"/>
            <w:hideMark/>
          </w:tcPr>
          <w:p w14:paraId="5CE75AA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0.41 ± 0.09</w:t>
            </w:r>
          </w:p>
        </w:tc>
        <w:tc>
          <w:tcPr>
            <w:tcW w:w="569" w:type="pct"/>
            <w:tcBorders>
              <w:top w:val="nil"/>
              <w:left w:val="nil"/>
              <w:bottom w:val="nil"/>
              <w:right w:val="nil"/>
            </w:tcBorders>
            <w:shd w:val="clear" w:color="auto" w:fill="auto"/>
            <w:noWrap/>
            <w:vAlign w:val="center"/>
            <w:hideMark/>
          </w:tcPr>
          <w:p w14:paraId="328D7C4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0.2</w:t>
            </w:r>
          </w:p>
        </w:tc>
      </w:tr>
      <w:tr w:rsidR="008B0AC6" w:rsidRPr="00FA7D47" w14:paraId="120C338C" w14:textId="77777777" w:rsidTr="0095549A">
        <w:trPr>
          <w:trHeight w:val="300"/>
        </w:trPr>
        <w:tc>
          <w:tcPr>
            <w:tcW w:w="1091" w:type="pct"/>
            <w:tcBorders>
              <w:top w:val="nil"/>
              <w:left w:val="nil"/>
              <w:bottom w:val="nil"/>
              <w:right w:val="nil"/>
            </w:tcBorders>
            <w:shd w:val="clear" w:color="auto" w:fill="auto"/>
            <w:vAlign w:val="center"/>
            <w:hideMark/>
          </w:tcPr>
          <w:p w14:paraId="7573B5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22:1n-11</w:t>
            </w:r>
          </w:p>
        </w:tc>
        <w:tc>
          <w:tcPr>
            <w:tcW w:w="555" w:type="pct"/>
            <w:tcBorders>
              <w:top w:val="nil"/>
              <w:left w:val="nil"/>
              <w:bottom w:val="nil"/>
              <w:right w:val="nil"/>
            </w:tcBorders>
            <w:shd w:val="clear" w:color="auto" w:fill="auto"/>
            <w:noWrap/>
            <w:vAlign w:val="center"/>
            <w:hideMark/>
          </w:tcPr>
          <w:p w14:paraId="73039BE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6.63 ± 4.24</w:t>
            </w:r>
          </w:p>
        </w:tc>
        <w:tc>
          <w:tcPr>
            <w:tcW w:w="555" w:type="pct"/>
            <w:tcBorders>
              <w:top w:val="nil"/>
              <w:left w:val="nil"/>
              <w:bottom w:val="nil"/>
              <w:right w:val="nil"/>
            </w:tcBorders>
            <w:shd w:val="clear" w:color="auto" w:fill="auto"/>
            <w:noWrap/>
            <w:vAlign w:val="center"/>
            <w:hideMark/>
          </w:tcPr>
          <w:p w14:paraId="6C815C5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4.77 ± 3.79</w:t>
            </w:r>
          </w:p>
        </w:tc>
        <w:tc>
          <w:tcPr>
            <w:tcW w:w="555" w:type="pct"/>
            <w:tcBorders>
              <w:top w:val="nil"/>
              <w:left w:val="nil"/>
              <w:bottom w:val="nil"/>
              <w:right w:val="nil"/>
            </w:tcBorders>
            <w:shd w:val="clear" w:color="auto" w:fill="auto"/>
            <w:noWrap/>
            <w:vAlign w:val="center"/>
            <w:hideMark/>
          </w:tcPr>
          <w:p w14:paraId="39BF501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4.24 ± 2.29</w:t>
            </w:r>
          </w:p>
        </w:tc>
        <w:tc>
          <w:tcPr>
            <w:tcW w:w="555" w:type="pct"/>
            <w:tcBorders>
              <w:top w:val="nil"/>
              <w:left w:val="nil"/>
              <w:bottom w:val="nil"/>
              <w:right w:val="nil"/>
            </w:tcBorders>
            <w:shd w:val="clear" w:color="auto" w:fill="auto"/>
            <w:noWrap/>
            <w:vAlign w:val="center"/>
            <w:hideMark/>
          </w:tcPr>
          <w:p w14:paraId="7B7052E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5 ± 1.76</w:t>
            </w:r>
          </w:p>
        </w:tc>
        <w:tc>
          <w:tcPr>
            <w:tcW w:w="555" w:type="pct"/>
            <w:tcBorders>
              <w:top w:val="nil"/>
              <w:left w:val="nil"/>
              <w:bottom w:val="nil"/>
              <w:right w:val="nil"/>
            </w:tcBorders>
            <w:shd w:val="clear" w:color="auto" w:fill="auto"/>
            <w:noWrap/>
            <w:vAlign w:val="center"/>
            <w:hideMark/>
          </w:tcPr>
          <w:p w14:paraId="1F294BE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4.87 ± 3.16</w:t>
            </w:r>
          </w:p>
        </w:tc>
        <w:tc>
          <w:tcPr>
            <w:tcW w:w="564" w:type="pct"/>
            <w:tcBorders>
              <w:top w:val="nil"/>
              <w:left w:val="nil"/>
              <w:bottom w:val="nil"/>
              <w:right w:val="nil"/>
            </w:tcBorders>
            <w:shd w:val="clear" w:color="auto" w:fill="auto"/>
            <w:noWrap/>
            <w:vAlign w:val="center"/>
            <w:hideMark/>
          </w:tcPr>
          <w:p w14:paraId="0E508FD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3.34 ± 2.27</w:t>
            </w:r>
          </w:p>
        </w:tc>
        <w:tc>
          <w:tcPr>
            <w:tcW w:w="569" w:type="pct"/>
            <w:tcBorders>
              <w:top w:val="nil"/>
              <w:left w:val="nil"/>
              <w:bottom w:val="nil"/>
              <w:right w:val="nil"/>
            </w:tcBorders>
            <w:shd w:val="clear" w:color="auto" w:fill="auto"/>
            <w:noWrap/>
            <w:vAlign w:val="center"/>
            <w:hideMark/>
          </w:tcPr>
          <w:p w14:paraId="43AAFF2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0.65 ± 0.18</w:t>
            </w:r>
          </w:p>
        </w:tc>
      </w:tr>
      <w:tr w:rsidR="008B0AC6" w:rsidRPr="00FA7D47" w14:paraId="1F0EB184" w14:textId="77777777" w:rsidTr="0095549A">
        <w:trPr>
          <w:trHeight w:val="300"/>
        </w:trPr>
        <w:tc>
          <w:tcPr>
            <w:tcW w:w="1091" w:type="pct"/>
            <w:tcBorders>
              <w:top w:val="nil"/>
              <w:left w:val="nil"/>
              <w:bottom w:val="nil"/>
              <w:right w:val="nil"/>
            </w:tcBorders>
            <w:shd w:val="clear" w:color="auto" w:fill="auto"/>
            <w:vAlign w:val="center"/>
            <w:hideMark/>
          </w:tcPr>
          <w:p w14:paraId="79223F4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22:1n-9cis</w:t>
            </w:r>
          </w:p>
        </w:tc>
        <w:tc>
          <w:tcPr>
            <w:tcW w:w="555" w:type="pct"/>
            <w:tcBorders>
              <w:top w:val="nil"/>
              <w:left w:val="nil"/>
              <w:bottom w:val="nil"/>
              <w:right w:val="nil"/>
            </w:tcBorders>
            <w:shd w:val="clear" w:color="auto" w:fill="auto"/>
            <w:noWrap/>
            <w:vAlign w:val="center"/>
            <w:hideMark/>
          </w:tcPr>
          <w:p w14:paraId="31E344B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 ± 0.47</w:t>
            </w:r>
          </w:p>
        </w:tc>
        <w:tc>
          <w:tcPr>
            <w:tcW w:w="555" w:type="pct"/>
            <w:tcBorders>
              <w:top w:val="nil"/>
              <w:left w:val="nil"/>
              <w:bottom w:val="nil"/>
              <w:right w:val="nil"/>
            </w:tcBorders>
            <w:shd w:val="clear" w:color="auto" w:fill="auto"/>
            <w:noWrap/>
            <w:vAlign w:val="center"/>
            <w:hideMark/>
          </w:tcPr>
          <w:p w14:paraId="76CFEEE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0.97 ± 0.36</w:t>
            </w:r>
          </w:p>
        </w:tc>
        <w:tc>
          <w:tcPr>
            <w:tcW w:w="555" w:type="pct"/>
            <w:tcBorders>
              <w:top w:val="nil"/>
              <w:left w:val="nil"/>
              <w:bottom w:val="nil"/>
              <w:right w:val="nil"/>
            </w:tcBorders>
            <w:shd w:val="clear" w:color="auto" w:fill="auto"/>
            <w:noWrap/>
            <w:vAlign w:val="center"/>
            <w:hideMark/>
          </w:tcPr>
          <w:p w14:paraId="220E011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0.73 ± 0.2</w:t>
            </w:r>
          </w:p>
        </w:tc>
        <w:tc>
          <w:tcPr>
            <w:tcW w:w="555" w:type="pct"/>
            <w:tcBorders>
              <w:top w:val="nil"/>
              <w:left w:val="nil"/>
              <w:bottom w:val="nil"/>
              <w:right w:val="nil"/>
            </w:tcBorders>
            <w:shd w:val="clear" w:color="auto" w:fill="auto"/>
            <w:noWrap/>
            <w:vAlign w:val="center"/>
            <w:hideMark/>
          </w:tcPr>
          <w:p w14:paraId="0E4DC20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0.85 ± 0.35</w:t>
            </w:r>
          </w:p>
        </w:tc>
        <w:tc>
          <w:tcPr>
            <w:tcW w:w="555" w:type="pct"/>
            <w:tcBorders>
              <w:top w:val="nil"/>
              <w:left w:val="nil"/>
              <w:bottom w:val="nil"/>
              <w:right w:val="nil"/>
            </w:tcBorders>
            <w:shd w:val="clear" w:color="auto" w:fill="auto"/>
            <w:noWrap/>
            <w:vAlign w:val="center"/>
            <w:hideMark/>
          </w:tcPr>
          <w:p w14:paraId="5819501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0.81 ± 0.33</w:t>
            </w:r>
          </w:p>
        </w:tc>
        <w:tc>
          <w:tcPr>
            <w:tcW w:w="564" w:type="pct"/>
            <w:tcBorders>
              <w:top w:val="nil"/>
              <w:left w:val="nil"/>
              <w:bottom w:val="nil"/>
              <w:right w:val="nil"/>
            </w:tcBorders>
            <w:shd w:val="clear" w:color="auto" w:fill="auto"/>
            <w:noWrap/>
            <w:vAlign w:val="center"/>
            <w:hideMark/>
          </w:tcPr>
          <w:p w14:paraId="5E239D5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0.71 ± 0.23</w:t>
            </w:r>
          </w:p>
        </w:tc>
        <w:tc>
          <w:tcPr>
            <w:tcW w:w="569" w:type="pct"/>
            <w:tcBorders>
              <w:top w:val="nil"/>
              <w:left w:val="nil"/>
              <w:bottom w:val="nil"/>
              <w:right w:val="nil"/>
            </w:tcBorders>
            <w:shd w:val="clear" w:color="auto" w:fill="auto"/>
            <w:noWrap/>
            <w:vAlign w:val="center"/>
            <w:hideMark/>
          </w:tcPr>
          <w:p w14:paraId="1757D18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0.52 ± 0.11</w:t>
            </w:r>
          </w:p>
        </w:tc>
      </w:tr>
      <w:tr w:rsidR="008B0AC6" w:rsidRPr="00FA7D47" w14:paraId="3C181448" w14:textId="77777777" w:rsidTr="0095549A">
        <w:trPr>
          <w:trHeight w:val="300"/>
        </w:trPr>
        <w:tc>
          <w:tcPr>
            <w:tcW w:w="1091" w:type="pct"/>
            <w:tcBorders>
              <w:top w:val="nil"/>
              <w:left w:val="nil"/>
              <w:bottom w:val="nil"/>
              <w:right w:val="nil"/>
            </w:tcBorders>
            <w:shd w:val="clear" w:color="auto" w:fill="auto"/>
            <w:vAlign w:val="center"/>
            <w:hideMark/>
          </w:tcPr>
          <w:p w14:paraId="11BCDDA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22:1 NMID</w:t>
            </w:r>
          </w:p>
        </w:tc>
        <w:tc>
          <w:tcPr>
            <w:tcW w:w="555" w:type="pct"/>
            <w:tcBorders>
              <w:top w:val="nil"/>
              <w:left w:val="nil"/>
              <w:bottom w:val="nil"/>
              <w:right w:val="nil"/>
            </w:tcBorders>
            <w:shd w:val="clear" w:color="auto" w:fill="auto"/>
            <w:noWrap/>
            <w:vAlign w:val="center"/>
            <w:hideMark/>
          </w:tcPr>
          <w:p w14:paraId="158F710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0.73 ± 0.25</w:t>
            </w:r>
          </w:p>
        </w:tc>
        <w:tc>
          <w:tcPr>
            <w:tcW w:w="555" w:type="pct"/>
            <w:tcBorders>
              <w:top w:val="nil"/>
              <w:left w:val="nil"/>
              <w:bottom w:val="nil"/>
              <w:right w:val="nil"/>
            </w:tcBorders>
            <w:shd w:val="clear" w:color="auto" w:fill="auto"/>
            <w:noWrap/>
            <w:vAlign w:val="center"/>
            <w:hideMark/>
          </w:tcPr>
          <w:p w14:paraId="3AF0304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0.92 ± 0.31</w:t>
            </w:r>
          </w:p>
        </w:tc>
        <w:tc>
          <w:tcPr>
            <w:tcW w:w="555" w:type="pct"/>
            <w:tcBorders>
              <w:top w:val="nil"/>
              <w:left w:val="nil"/>
              <w:bottom w:val="nil"/>
              <w:right w:val="nil"/>
            </w:tcBorders>
            <w:shd w:val="clear" w:color="auto" w:fill="auto"/>
            <w:noWrap/>
            <w:vAlign w:val="center"/>
            <w:hideMark/>
          </w:tcPr>
          <w:p w14:paraId="2B79BF2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0.78 ± 0.2</w:t>
            </w:r>
          </w:p>
        </w:tc>
        <w:tc>
          <w:tcPr>
            <w:tcW w:w="555" w:type="pct"/>
            <w:tcBorders>
              <w:top w:val="nil"/>
              <w:left w:val="nil"/>
              <w:bottom w:val="nil"/>
              <w:right w:val="nil"/>
            </w:tcBorders>
            <w:shd w:val="clear" w:color="auto" w:fill="auto"/>
            <w:noWrap/>
            <w:vAlign w:val="center"/>
            <w:hideMark/>
          </w:tcPr>
          <w:p w14:paraId="78A647E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0.86 ± 0.3</w:t>
            </w:r>
          </w:p>
        </w:tc>
        <w:tc>
          <w:tcPr>
            <w:tcW w:w="555" w:type="pct"/>
            <w:tcBorders>
              <w:top w:val="nil"/>
              <w:left w:val="nil"/>
              <w:bottom w:val="nil"/>
              <w:right w:val="nil"/>
            </w:tcBorders>
            <w:shd w:val="clear" w:color="auto" w:fill="auto"/>
            <w:noWrap/>
            <w:vAlign w:val="center"/>
            <w:hideMark/>
          </w:tcPr>
          <w:p w14:paraId="1E22415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0.99 ± 0.35</w:t>
            </w:r>
          </w:p>
        </w:tc>
        <w:tc>
          <w:tcPr>
            <w:tcW w:w="564" w:type="pct"/>
            <w:tcBorders>
              <w:top w:val="nil"/>
              <w:left w:val="nil"/>
              <w:bottom w:val="nil"/>
              <w:right w:val="nil"/>
            </w:tcBorders>
            <w:shd w:val="clear" w:color="auto" w:fill="auto"/>
            <w:noWrap/>
            <w:vAlign w:val="center"/>
            <w:hideMark/>
          </w:tcPr>
          <w:p w14:paraId="233266C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1.27 ± 0.37</w:t>
            </w:r>
          </w:p>
        </w:tc>
        <w:tc>
          <w:tcPr>
            <w:tcW w:w="569" w:type="pct"/>
            <w:tcBorders>
              <w:top w:val="nil"/>
              <w:left w:val="nil"/>
              <w:bottom w:val="nil"/>
              <w:right w:val="nil"/>
            </w:tcBorders>
            <w:shd w:val="clear" w:color="auto" w:fill="auto"/>
            <w:noWrap/>
            <w:vAlign w:val="center"/>
            <w:hideMark/>
          </w:tcPr>
          <w:p w14:paraId="5F9D998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5494E763" w14:textId="77777777" w:rsidTr="0095549A">
        <w:trPr>
          <w:trHeight w:val="300"/>
        </w:trPr>
        <w:tc>
          <w:tcPr>
            <w:tcW w:w="1091" w:type="pct"/>
            <w:tcBorders>
              <w:top w:val="nil"/>
              <w:left w:val="nil"/>
              <w:bottom w:val="nil"/>
              <w:right w:val="nil"/>
            </w:tcBorders>
            <w:shd w:val="clear" w:color="auto" w:fill="auto"/>
            <w:vAlign w:val="center"/>
            <w:hideMark/>
          </w:tcPr>
          <w:p w14:paraId="02CEDD2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24:1n-9</w:t>
            </w:r>
          </w:p>
        </w:tc>
        <w:tc>
          <w:tcPr>
            <w:tcW w:w="555" w:type="pct"/>
            <w:tcBorders>
              <w:top w:val="nil"/>
              <w:left w:val="nil"/>
              <w:bottom w:val="nil"/>
              <w:right w:val="nil"/>
            </w:tcBorders>
            <w:shd w:val="clear" w:color="auto" w:fill="auto"/>
            <w:noWrap/>
            <w:vAlign w:val="center"/>
            <w:hideMark/>
          </w:tcPr>
          <w:p w14:paraId="5506260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0.35 ± 0.11</w:t>
            </w:r>
          </w:p>
        </w:tc>
        <w:tc>
          <w:tcPr>
            <w:tcW w:w="555" w:type="pct"/>
            <w:tcBorders>
              <w:top w:val="nil"/>
              <w:left w:val="nil"/>
              <w:bottom w:val="nil"/>
              <w:right w:val="nil"/>
            </w:tcBorders>
            <w:shd w:val="clear" w:color="auto" w:fill="auto"/>
            <w:noWrap/>
            <w:vAlign w:val="center"/>
            <w:hideMark/>
          </w:tcPr>
          <w:p w14:paraId="67EEFCF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w:t>
            </w:r>
          </w:p>
        </w:tc>
        <w:tc>
          <w:tcPr>
            <w:tcW w:w="555" w:type="pct"/>
            <w:tcBorders>
              <w:top w:val="nil"/>
              <w:left w:val="nil"/>
              <w:bottom w:val="nil"/>
              <w:right w:val="nil"/>
            </w:tcBorders>
            <w:shd w:val="clear" w:color="auto" w:fill="auto"/>
            <w:noWrap/>
            <w:vAlign w:val="center"/>
            <w:hideMark/>
          </w:tcPr>
          <w:p w14:paraId="566AA52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0.34 ± 0.08</w:t>
            </w:r>
          </w:p>
        </w:tc>
        <w:tc>
          <w:tcPr>
            <w:tcW w:w="555" w:type="pct"/>
            <w:tcBorders>
              <w:top w:val="nil"/>
              <w:left w:val="nil"/>
              <w:bottom w:val="nil"/>
              <w:right w:val="nil"/>
            </w:tcBorders>
            <w:shd w:val="clear" w:color="auto" w:fill="auto"/>
            <w:noWrap/>
            <w:vAlign w:val="center"/>
            <w:hideMark/>
          </w:tcPr>
          <w:p w14:paraId="544FCAA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0.37 ± 0.09</w:t>
            </w:r>
          </w:p>
        </w:tc>
        <w:tc>
          <w:tcPr>
            <w:tcW w:w="555" w:type="pct"/>
            <w:tcBorders>
              <w:top w:val="nil"/>
              <w:left w:val="nil"/>
              <w:bottom w:val="nil"/>
              <w:right w:val="nil"/>
            </w:tcBorders>
            <w:shd w:val="clear" w:color="auto" w:fill="auto"/>
            <w:noWrap/>
            <w:vAlign w:val="center"/>
            <w:hideMark/>
          </w:tcPr>
          <w:p w14:paraId="141F171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0.12</w:t>
            </w:r>
          </w:p>
        </w:tc>
        <w:tc>
          <w:tcPr>
            <w:tcW w:w="564" w:type="pct"/>
            <w:tcBorders>
              <w:top w:val="nil"/>
              <w:left w:val="nil"/>
              <w:bottom w:val="nil"/>
              <w:right w:val="nil"/>
            </w:tcBorders>
            <w:shd w:val="clear" w:color="auto" w:fill="auto"/>
            <w:noWrap/>
            <w:vAlign w:val="center"/>
            <w:hideMark/>
          </w:tcPr>
          <w:p w14:paraId="07C5380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 ± 0.13</w:t>
            </w:r>
          </w:p>
        </w:tc>
        <w:tc>
          <w:tcPr>
            <w:tcW w:w="569" w:type="pct"/>
            <w:tcBorders>
              <w:top w:val="nil"/>
              <w:left w:val="nil"/>
              <w:bottom w:val="nil"/>
              <w:right w:val="nil"/>
            </w:tcBorders>
            <w:shd w:val="clear" w:color="auto" w:fill="auto"/>
            <w:noWrap/>
            <w:vAlign w:val="center"/>
            <w:hideMark/>
          </w:tcPr>
          <w:p w14:paraId="34023AC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0.01 ± 0.03</w:t>
            </w:r>
          </w:p>
        </w:tc>
      </w:tr>
      <w:tr w:rsidR="008B0AC6" w:rsidRPr="00FA7D47" w14:paraId="4373F0E8" w14:textId="77777777" w:rsidTr="0095549A">
        <w:trPr>
          <w:trHeight w:val="615"/>
        </w:trPr>
        <w:tc>
          <w:tcPr>
            <w:tcW w:w="1091" w:type="pct"/>
            <w:tcBorders>
              <w:top w:val="single" w:sz="4" w:space="0" w:color="auto"/>
              <w:left w:val="nil"/>
              <w:bottom w:val="single" w:sz="8" w:space="0" w:color="auto"/>
              <w:right w:val="nil"/>
            </w:tcBorders>
            <w:shd w:val="clear" w:color="auto" w:fill="auto"/>
            <w:vAlign w:val="center"/>
            <w:hideMark/>
          </w:tcPr>
          <w:p w14:paraId="6F7DA2AB"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total monounsaturated</w:t>
            </w:r>
          </w:p>
        </w:tc>
        <w:tc>
          <w:tcPr>
            <w:tcW w:w="555" w:type="pct"/>
            <w:tcBorders>
              <w:top w:val="single" w:sz="4" w:space="0" w:color="auto"/>
              <w:left w:val="nil"/>
              <w:bottom w:val="single" w:sz="8" w:space="0" w:color="auto"/>
              <w:right w:val="nil"/>
            </w:tcBorders>
            <w:shd w:val="clear" w:color="auto" w:fill="auto"/>
            <w:noWrap/>
            <w:vAlign w:val="center"/>
            <w:hideMark/>
          </w:tcPr>
          <w:p w14:paraId="41D674EE"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47.26 ± 6.69</w:t>
            </w:r>
          </w:p>
        </w:tc>
        <w:tc>
          <w:tcPr>
            <w:tcW w:w="555" w:type="pct"/>
            <w:tcBorders>
              <w:top w:val="single" w:sz="4" w:space="0" w:color="auto"/>
              <w:left w:val="nil"/>
              <w:bottom w:val="single" w:sz="8" w:space="0" w:color="auto"/>
              <w:right w:val="nil"/>
            </w:tcBorders>
            <w:shd w:val="clear" w:color="auto" w:fill="auto"/>
            <w:noWrap/>
            <w:vAlign w:val="center"/>
            <w:hideMark/>
          </w:tcPr>
          <w:p w14:paraId="5B509D36"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50.24 ± 2.5</w:t>
            </w:r>
          </w:p>
        </w:tc>
        <w:tc>
          <w:tcPr>
            <w:tcW w:w="555" w:type="pct"/>
            <w:tcBorders>
              <w:top w:val="single" w:sz="4" w:space="0" w:color="auto"/>
              <w:left w:val="nil"/>
              <w:bottom w:val="single" w:sz="8" w:space="0" w:color="auto"/>
              <w:right w:val="nil"/>
            </w:tcBorders>
            <w:shd w:val="clear" w:color="auto" w:fill="auto"/>
            <w:noWrap/>
            <w:vAlign w:val="center"/>
            <w:hideMark/>
          </w:tcPr>
          <w:p w14:paraId="3EABF6C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46.94 ± 4.1</w:t>
            </w:r>
          </w:p>
        </w:tc>
        <w:tc>
          <w:tcPr>
            <w:tcW w:w="555" w:type="pct"/>
            <w:tcBorders>
              <w:top w:val="single" w:sz="4" w:space="0" w:color="auto"/>
              <w:left w:val="nil"/>
              <w:bottom w:val="single" w:sz="8" w:space="0" w:color="auto"/>
              <w:right w:val="nil"/>
            </w:tcBorders>
            <w:shd w:val="clear" w:color="auto" w:fill="auto"/>
            <w:noWrap/>
            <w:vAlign w:val="center"/>
            <w:hideMark/>
          </w:tcPr>
          <w:p w14:paraId="66275283"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48.74 ± 3.04</w:t>
            </w:r>
          </w:p>
        </w:tc>
        <w:tc>
          <w:tcPr>
            <w:tcW w:w="555" w:type="pct"/>
            <w:tcBorders>
              <w:top w:val="single" w:sz="4" w:space="0" w:color="auto"/>
              <w:left w:val="nil"/>
              <w:bottom w:val="single" w:sz="8" w:space="0" w:color="auto"/>
              <w:right w:val="nil"/>
            </w:tcBorders>
            <w:shd w:val="clear" w:color="auto" w:fill="auto"/>
            <w:noWrap/>
            <w:vAlign w:val="center"/>
            <w:hideMark/>
          </w:tcPr>
          <w:p w14:paraId="0D954F1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48.6 ± 3.39</w:t>
            </w:r>
          </w:p>
        </w:tc>
        <w:tc>
          <w:tcPr>
            <w:tcW w:w="564" w:type="pct"/>
            <w:tcBorders>
              <w:top w:val="single" w:sz="4" w:space="0" w:color="auto"/>
              <w:left w:val="nil"/>
              <w:bottom w:val="single" w:sz="8" w:space="0" w:color="auto"/>
              <w:right w:val="nil"/>
            </w:tcBorders>
            <w:shd w:val="clear" w:color="auto" w:fill="auto"/>
            <w:noWrap/>
            <w:vAlign w:val="center"/>
            <w:hideMark/>
          </w:tcPr>
          <w:p w14:paraId="34082DF3"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49.44 ± 3.7</w:t>
            </w:r>
          </w:p>
        </w:tc>
        <w:tc>
          <w:tcPr>
            <w:tcW w:w="569" w:type="pct"/>
            <w:tcBorders>
              <w:top w:val="single" w:sz="4" w:space="0" w:color="auto"/>
              <w:left w:val="nil"/>
              <w:bottom w:val="single" w:sz="8" w:space="0" w:color="auto"/>
              <w:right w:val="nil"/>
            </w:tcBorders>
            <w:shd w:val="clear" w:color="auto" w:fill="auto"/>
            <w:noWrap/>
            <w:vAlign w:val="center"/>
            <w:hideMark/>
          </w:tcPr>
          <w:p w14:paraId="38D7A223"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43.8 ± 0.81</w:t>
            </w:r>
          </w:p>
        </w:tc>
      </w:tr>
      <w:tr w:rsidR="008B0AC6" w:rsidRPr="00FA7D47" w14:paraId="5576818D" w14:textId="77777777" w:rsidTr="0095549A">
        <w:trPr>
          <w:trHeight w:val="300"/>
        </w:trPr>
        <w:tc>
          <w:tcPr>
            <w:tcW w:w="1091" w:type="pct"/>
            <w:tcBorders>
              <w:top w:val="nil"/>
              <w:left w:val="nil"/>
              <w:bottom w:val="nil"/>
              <w:right w:val="nil"/>
            </w:tcBorders>
            <w:shd w:val="clear" w:color="auto" w:fill="auto"/>
            <w:vAlign w:val="center"/>
            <w:hideMark/>
          </w:tcPr>
          <w:p w14:paraId="51EDC61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18:2n-6</w:t>
            </w:r>
          </w:p>
        </w:tc>
        <w:tc>
          <w:tcPr>
            <w:tcW w:w="555" w:type="pct"/>
            <w:tcBorders>
              <w:top w:val="nil"/>
              <w:left w:val="nil"/>
              <w:bottom w:val="nil"/>
              <w:right w:val="nil"/>
            </w:tcBorders>
            <w:shd w:val="clear" w:color="auto" w:fill="auto"/>
            <w:noWrap/>
            <w:vAlign w:val="center"/>
            <w:hideMark/>
          </w:tcPr>
          <w:p w14:paraId="29D5BAC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2.31 ± 1.18</w:t>
            </w:r>
          </w:p>
        </w:tc>
        <w:tc>
          <w:tcPr>
            <w:tcW w:w="555" w:type="pct"/>
            <w:tcBorders>
              <w:top w:val="nil"/>
              <w:left w:val="nil"/>
              <w:bottom w:val="nil"/>
              <w:right w:val="nil"/>
            </w:tcBorders>
            <w:shd w:val="clear" w:color="auto" w:fill="auto"/>
            <w:noWrap/>
            <w:vAlign w:val="center"/>
            <w:hideMark/>
          </w:tcPr>
          <w:p w14:paraId="076B03E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2.59 ± 0.88</w:t>
            </w:r>
          </w:p>
        </w:tc>
        <w:tc>
          <w:tcPr>
            <w:tcW w:w="555" w:type="pct"/>
            <w:tcBorders>
              <w:top w:val="nil"/>
              <w:left w:val="nil"/>
              <w:bottom w:val="nil"/>
              <w:right w:val="nil"/>
            </w:tcBorders>
            <w:shd w:val="clear" w:color="auto" w:fill="auto"/>
            <w:noWrap/>
            <w:vAlign w:val="center"/>
            <w:hideMark/>
          </w:tcPr>
          <w:p w14:paraId="2F81F48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3.87 ± 2.26</w:t>
            </w:r>
          </w:p>
        </w:tc>
        <w:tc>
          <w:tcPr>
            <w:tcW w:w="555" w:type="pct"/>
            <w:tcBorders>
              <w:top w:val="nil"/>
              <w:left w:val="nil"/>
              <w:bottom w:val="nil"/>
              <w:right w:val="nil"/>
            </w:tcBorders>
            <w:shd w:val="clear" w:color="auto" w:fill="auto"/>
            <w:noWrap/>
            <w:vAlign w:val="center"/>
            <w:hideMark/>
          </w:tcPr>
          <w:p w14:paraId="278E0A8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3.38 ± 1.66</w:t>
            </w:r>
          </w:p>
        </w:tc>
        <w:tc>
          <w:tcPr>
            <w:tcW w:w="555" w:type="pct"/>
            <w:tcBorders>
              <w:top w:val="nil"/>
              <w:left w:val="nil"/>
              <w:bottom w:val="nil"/>
              <w:right w:val="nil"/>
            </w:tcBorders>
            <w:shd w:val="clear" w:color="auto" w:fill="auto"/>
            <w:noWrap/>
            <w:vAlign w:val="center"/>
            <w:hideMark/>
          </w:tcPr>
          <w:p w14:paraId="0F3694B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2.47 ± 0.88</w:t>
            </w:r>
          </w:p>
        </w:tc>
        <w:tc>
          <w:tcPr>
            <w:tcW w:w="564" w:type="pct"/>
            <w:tcBorders>
              <w:top w:val="nil"/>
              <w:left w:val="nil"/>
              <w:bottom w:val="nil"/>
              <w:right w:val="nil"/>
            </w:tcBorders>
            <w:shd w:val="clear" w:color="auto" w:fill="auto"/>
            <w:noWrap/>
            <w:vAlign w:val="center"/>
            <w:hideMark/>
          </w:tcPr>
          <w:p w14:paraId="3BF408B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2.6 ± 0.81</w:t>
            </w:r>
          </w:p>
        </w:tc>
        <w:tc>
          <w:tcPr>
            <w:tcW w:w="569" w:type="pct"/>
            <w:tcBorders>
              <w:top w:val="nil"/>
              <w:left w:val="nil"/>
              <w:bottom w:val="nil"/>
              <w:right w:val="nil"/>
            </w:tcBorders>
            <w:shd w:val="clear" w:color="auto" w:fill="auto"/>
            <w:noWrap/>
            <w:vAlign w:val="center"/>
            <w:hideMark/>
          </w:tcPr>
          <w:p w14:paraId="1C00602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0.84 ± 0.43</w:t>
            </w:r>
          </w:p>
        </w:tc>
      </w:tr>
      <w:tr w:rsidR="008B0AC6" w:rsidRPr="00FA7D47" w14:paraId="4402ABBE" w14:textId="77777777" w:rsidTr="0095549A">
        <w:trPr>
          <w:trHeight w:val="300"/>
        </w:trPr>
        <w:tc>
          <w:tcPr>
            <w:tcW w:w="1091" w:type="pct"/>
            <w:tcBorders>
              <w:top w:val="nil"/>
              <w:left w:val="nil"/>
              <w:bottom w:val="nil"/>
              <w:right w:val="nil"/>
            </w:tcBorders>
            <w:shd w:val="clear" w:color="auto" w:fill="auto"/>
            <w:vAlign w:val="center"/>
            <w:hideMark/>
          </w:tcPr>
          <w:p w14:paraId="3E54EAF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18:3n-6</w:t>
            </w:r>
          </w:p>
        </w:tc>
        <w:tc>
          <w:tcPr>
            <w:tcW w:w="555" w:type="pct"/>
            <w:tcBorders>
              <w:top w:val="nil"/>
              <w:left w:val="nil"/>
              <w:bottom w:val="nil"/>
              <w:right w:val="nil"/>
            </w:tcBorders>
            <w:shd w:val="clear" w:color="auto" w:fill="auto"/>
            <w:noWrap/>
            <w:vAlign w:val="center"/>
            <w:hideMark/>
          </w:tcPr>
          <w:p w14:paraId="5AC60EE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0.15 ± 0.04</w:t>
            </w:r>
          </w:p>
        </w:tc>
        <w:tc>
          <w:tcPr>
            <w:tcW w:w="555" w:type="pct"/>
            <w:tcBorders>
              <w:top w:val="nil"/>
              <w:left w:val="nil"/>
              <w:bottom w:val="nil"/>
              <w:right w:val="nil"/>
            </w:tcBorders>
            <w:shd w:val="clear" w:color="auto" w:fill="auto"/>
            <w:noWrap/>
            <w:vAlign w:val="center"/>
            <w:hideMark/>
          </w:tcPr>
          <w:p w14:paraId="7B363DE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0.13 ± 0.02</w:t>
            </w:r>
          </w:p>
        </w:tc>
        <w:tc>
          <w:tcPr>
            <w:tcW w:w="555" w:type="pct"/>
            <w:tcBorders>
              <w:top w:val="nil"/>
              <w:left w:val="nil"/>
              <w:bottom w:val="nil"/>
              <w:right w:val="nil"/>
            </w:tcBorders>
            <w:shd w:val="clear" w:color="auto" w:fill="auto"/>
            <w:noWrap/>
            <w:vAlign w:val="center"/>
            <w:hideMark/>
          </w:tcPr>
          <w:p w14:paraId="6AF0E70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0.13 ± 0.02</w:t>
            </w:r>
          </w:p>
        </w:tc>
        <w:tc>
          <w:tcPr>
            <w:tcW w:w="555" w:type="pct"/>
            <w:tcBorders>
              <w:top w:val="nil"/>
              <w:left w:val="nil"/>
              <w:bottom w:val="nil"/>
              <w:right w:val="nil"/>
            </w:tcBorders>
            <w:shd w:val="clear" w:color="auto" w:fill="auto"/>
            <w:noWrap/>
            <w:vAlign w:val="center"/>
            <w:hideMark/>
          </w:tcPr>
          <w:p w14:paraId="36DB24C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0.13 ± 0.03</w:t>
            </w:r>
          </w:p>
        </w:tc>
        <w:tc>
          <w:tcPr>
            <w:tcW w:w="555" w:type="pct"/>
            <w:tcBorders>
              <w:top w:val="nil"/>
              <w:left w:val="nil"/>
              <w:bottom w:val="nil"/>
              <w:right w:val="nil"/>
            </w:tcBorders>
            <w:shd w:val="clear" w:color="auto" w:fill="auto"/>
            <w:noWrap/>
            <w:vAlign w:val="center"/>
            <w:hideMark/>
          </w:tcPr>
          <w:p w14:paraId="101D985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0.16 ± 0.02</w:t>
            </w:r>
          </w:p>
        </w:tc>
        <w:tc>
          <w:tcPr>
            <w:tcW w:w="564" w:type="pct"/>
            <w:tcBorders>
              <w:top w:val="nil"/>
              <w:left w:val="nil"/>
              <w:bottom w:val="nil"/>
              <w:right w:val="nil"/>
            </w:tcBorders>
            <w:shd w:val="clear" w:color="auto" w:fill="auto"/>
            <w:noWrap/>
            <w:vAlign w:val="center"/>
            <w:hideMark/>
          </w:tcPr>
          <w:p w14:paraId="5A69289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0.01</w:t>
            </w:r>
          </w:p>
        </w:tc>
        <w:tc>
          <w:tcPr>
            <w:tcW w:w="569" w:type="pct"/>
            <w:tcBorders>
              <w:top w:val="nil"/>
              <w:left w:val="nil"/>
              <w:bottom w:val="nil"/>
              <w:right w:val="nil"/>
            </w:tcBorders>
            <w:shd w:val="clear" w:color="auto" w:fill="auto"/>
            <w:noWrap/>
            <w:vAlign w:val="center"/>
            <w:hideMark/>
          </w:tcPr>
          <w:p w14:paraId="0F47793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0.09 ± 0.01</w:t>
            </w:r>
          </w:p>
        </w:tc>
      </w:tr>
      <w:tr w:rsidR="008B0AC6" w:rsidRPr="00FA7D47" w14:paraId="5995EA9F" w14:textId="77777777" w:rsidTr="0095549A">
        <w:trPr>
          <w:trHeight w:val="300"/>
        </w:trPr>
        <w:tc>
          <w:tcPr>
            <w:tcW w:w="1091" w:type="pct"/>
            <w:tcBorders>
              <w:top w:val="nil"/>
              <w:left w:val="nil"/>
              <w:bottom w:val="nil"/>
              <w:right w:val="nil"/>
            </w:tcBorders>
            <w:shd w:val="clear" w:color="auto" w:fill="auto"/>
            <w:vAlign w:val="center"/>
            <w:hideMark/>
          </w:tcPr>
          <w:p w14:paraId="358373A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20:2n-6</w:t>
            </w:r>
          </w:p>
        </w:tc>
        <w:tc>
          <w:tcPr>
            <w:tcW w:w="555" w:type="pct"/>
            <w:tcBorders>
              <w:top w:val="nil"/>
              <w:left w:val="nil"/>
              <w:bottom w:val="nil"/>
              <w:right w:val="nil"/>
            </w:tcBorders>
            <w:shd w:val="clear" w:color="auto" w:fill="auto"/>
            <w:noWrap/>
            <w:vAlign w:val="center"/>
            <w:hideMark/>
          </w:tcPr>
          <w:p w14:paraId="0EF8F9D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1.18 ± 0.24</w:t>
            </w:r>
          </w:p>
        </w:tc>
        <w:tc>
          <w:tcPr>
            <w:tcW w:w="555" w:type="pct"/>
            <w:tcBorders>
              <w:top w:val="nil"/>
              <w:left w:val="nil"/>
              <w:bottom w:val="nil"/>
              <w:right w:val="nil"/>
            </w:tcBorders>
            <w:shd w:val="clear" w:color="auto" w:fill="auto"/>
            <w:noWrap/>
            <w:vAlign w:val="center"/>
            <w:hideMark/>
          </w:tcPr>
          <w:p w14:paraId="009609C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1.44 ± 0.57</w:t>
            </w:r>
          </w:p>
        </w:tc>
        <w:tc>
          <w:tcPr>
            <w:tcW w:w="555" w:type="pct"/>
            <w:tcBorders>
              <w:top w:val="nil"/>
              <w:left w:val="nil"/>
              <w:bottom w:val="nil"/>
              <w:right w:val="nil"/>
            </w:tcBorders>
            <w:shd w:val="clear" w:color="auto" w:fill="auto"/>
            <w:noWrap/>
            <w:vAlign w:val="center"/>
            <w:hideMark/>
          </w:tcPr>
          <w:p w14:paraId="1701A1C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1.15 ± 0.17</w:t>
            </w:r>
          </w:p>
        </w:tc>
        <w:tc>
          <w:tcPr>
            <w:tcW w:w="555" w:type="pct"/>
            <w:tcBorders>
              <w:top w:val="nil"/>
              <w:left w:val="nil"/>
              <w:bottom w:val="nil"/>
              <w:right w:val="nil"/>
            </w:tcBorders>
            <w:shd w:val="clear" w:color="auto" w:fill="auto"/>
            <w:noWrap/>
            <w:vAlign w:val="center"/>
            <w:hideMark/>
          </w:tcPr>
          <w:p w14:paraId="34A85FF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1.34 ± 0.32</w:t>
            </w:r>
          </w:p>
        </w:tc>
        <w:tc>
          <w:tcPr>
            <w:tcW w:w="555" w:type="pct"/>
            <w:tcBorders>
              <w:top w:val="nil"/>
              <w:left w:val="nil"/>
              <w:bottom w:val="nil"/>
              <w:right w:val="nil"/>
            </w:tcBorders>
            <w:shd w:val="clear" w:color="auto" w:fill="auto"/>
            <w:noWrap/>
            <w:vAlign w:val="center"/>
            <w:hideMark/>
          </w:tcPr>
          <w:p w14:paraId="3A76FBD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1.61 ± 0.28</w:t>
            </w:r>
          </w:p>
        </w:tc>
        <w:tc>
          <w:tcPr>
            <w:tcW w:w="564" w:type="pct"/>
            <w:tcBorders>
              <w:top w:val="nil"/>
              <w:left w:val="nil"/>
              <w:bottom w:val="nil"/>
              <w:right w:val="nil"/>
            </w:tcBorders>
            <w:shd w:val="clear" w:color="auto" w:fill="auto"/>
            <w:noWrap/>
            <w:vAlign w:val="center"/>
            <w:hideMark/>
          </w:tcPr>
          <w:p w14:paraId="01A8F6B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1.91 ± 0.42</w:t>
            </w:r>
          </w:p>
        </w:tc>
        <w:tc>
          <w:tcPr>
            <w:tcW w:w="569" w:type="pct"/>
            <w:tcBorders>
              <w:top w:val="nil"/>
              <w:left w:val="nil"/>
              <w:bottom w:val="nil"/>
              <w:right w:val="nil"/>
            </w:tcBorders>
            <w:shd w:val="clear" w:color="auto" w:fill="auto"/>
            <w:noWrap/>
            <w:vAlign w:val="center"/>
            <w:hideMark/>
          </w:tcPr>
          <w:p w14:paraId="4A0C6BF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0.07</w:t>
            </w:r>
          </w:p>
        </w:tc>
      </w:tr>
      <w:tr w:rsidR="008B0AC6" w:rsidRPr="00FA7D47" w14:paraId="177811AC" w14:textId="77777777" w:rsidTr="0095549A">
        <w:trPr>
          <w:trHeight w:val="300"/>
        </w:trPr>
        <w:tc>
          <w:tcPr>
            <w:tcW w:w="1091" w:type="pct"/>
            <w:tcBorders>
              <w:top w:val="nil"/>
              <w:left w:val="nil"/>
              <w:bottom w:val="nil"/>
              <w:right w:val="nil"/>
            </w:tcBorders>
            <w:shd w:val="clear" w:color="auto" w:fill="auto"/>
            <w:vAlign w:val="center"/>
            <w:hideMark/>
          </w:tcPr>
          <w:p w14:paraId="6756B48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20:3n-6</w:t>
            </w:r>
          </w:p>
        </w:tc>
        <w:tc>
          <w:tcPr>
            <w:tcW w:w="555" w:type="pct"/>
            <w:tcBorders>
              <w:top w:val="nil"/>
              <w:left w:val="nil"/>
              <w:bottom w:val="nil"/>
              <w:right w:val="nil"/>
            </w:tcBorders>
            <w:shd w:val="clear" w:color="auto" w:fill="auto"/>
            <w:noWrap/>
            <w:vAlign w:val="center"/>
            <w:hideMark/>
          </w:tcPr>
          <w:p w14:paraId="0459301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0.16 ± 0.02</w:t>
            </w:r>
          </w:p>
        </w:tc>
        <w:tc>
          <w:tcPr>
            <w:tcW w:w="555" w:type="pct"/>
            <w:tcBorders>
              <w:top w:val="nil"/>
              <w:left w:val="nil"/>
              <w:bottom w:val="nil"/>
              <w:right w:val="nil"/>
            </w:tcBorders>
            <w:shd w:val="clear" w:color="auto" w:fill="auto"/>
            <w:noWrap/>
            <w:vAlign w:val="center"/>
            <w:hideMark/>
          </w:tcPr>
          <w:p w14:paraId="6C966B9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 ± 0.05</w:t>
            </w:r>
          </w:p>
        </w:tc>
        <w:tc>
          <w:tcPr>
            <w:tcW w:w="555" w:type="pct"/>
            <w:tcBorders>
              <w:top w:val="nil"/>
              <w:left w:val="nil"/>
              <w:bottom w:val="nil"/>
              <w:right w:val="nil"/>
            </w:tcBorders>
            <w:shd w:val="clear" w:color="auto" w:fill="auto"/>
            <w:noWrap/>
            <w:vAlign w:val="center"/>
            <w:hideMark/>
          </w:tcPr>
          <w:p w14:paraId="61A9A6F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0.21 ± 0.03</w:t>
            </w:r>
          </w:p>
        </w:tc>
        <w:tc>
          <w:tcPr>
            <w:tcW w:w="555" w:type="pct"/>
            <w:tcBorders>
              <w:top w:val="nil"/>
              <w:left w:val="nil"/>
              <w:bottom w:val="nil"/>
              <w:right w:val="nil"/>
            </w:tcBorders>
            <w:shd w:val="clear" w:color="auto" w:fill="auto"/>
            <w:noWrap/>
            <w:vAlign w:val="center"/>
            <w:hideMark/>
          </w:tcPr>
          <w:p w14:paraId="447827E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0.19 ± 0.03</w:t>
            </w:r>
          </w:p>
        </w:tc>
        <w:tc>
          <w:tcPr>
            <w:tcW w:w="555" w:type="pct"/>
            <w:tcBorders>
              <w:top w:val="nil"/>
              <w:left w:val="nil"/>
              <w:bottom w:val="nil"/>
              <w:right w:val="nil"/>
            </w:tcBorders>
            <w:shd w:val="clear" w:color="auto" w:fill="auto"/>
            <w:noWrap/>
            <w:vAlign w:val="center"/>
            <w:hideMark/>
          </w:tcPr>
          <w:p w14:paraId="50A09E2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0.22 ± 0.05</w:t>
            </w:r>
          </w:p>
        </w:tc>
        <w:tc>
          <w:tcPr>
            <w:tcW w:w="564" w:type="pct"/>
            <w:tcBorders>
              <w:top w:val="nil"/>
              <w:left w:val="nil"/>
              <w:bottom w:val="nil"/>
              <w:right w:val="nil"/>
            </w:tcBorders>
            <w:shd w:val="clear" w:color="auto" w:fill="auto"/>
            <w:noWrap/>
            <w:vAlign w:val="center"/>
            <w:hideMark/>
          </w:tcPr>
          <w:p w14:paraId="3CDFAC4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0.28 ± 0.04</w:t>
            </w:r>
          </w:p>
        </w:tc>
        <w:tc>
          <w:tcPr>
            <w:tcW w:w="569" w:type="pct"/>
            <w:tcBorders>
              <w:top w:val="nil"/>
              <w:left w:val="nil"/>
              <w:bottom w:val="nil"/>
              <w:right w:val="nil"/>
            </w:tcBorders>
            <w:shd w:val="clear" w:color="auto" w:fill="auto"/>
            <w:noWrap/>
            <w:vAlign w:val="center"/>
            <w:hideMark/>
          </w:tcPr>
          <w:p w14:paraId="6BE0505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0.09 ± 0.01</w:t>
            </w:r>
          </w:p>
        </w:tc>
      </w:tr>
      <w:tr w:rsidR="008B0AC6" w:rsidRPr="00FA7D47" w14:paraId="1BE0B46C" w14:textId="77777777" w:rsidTr="0095549A">
        <w:trPr>
          <w:trHeight w:val="300"/>
        </w:trPr>
        <w:tc>
          <w:tcPr>
            <w:tcW w:w="1091" w:type="pct"/>
            <w:tcBorders>
              <w:top w:val="nil"/>
              <w:left w:val="nil"/>
              <w:bottom w:val="nil"/>
              <w:right w:val="nil"/>
            </w:tcBorders>
            <w:shd w:val="clear" w:color="auto" w:fill="auto"/>
            <w:vAlign w:val="center"/>
            <w:hideMark/>
          </w:tcPr>
          <w:p w14:paraId="744AC02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20:4n-6</w:t>
            </w:r>
          </w:p>
        </w:tc>
        <w:tc>
          <w:tcPr>
            <w:tcW w:w="555" w:type="pct"/>
            <w:tcBorders>
              <w:top w:val="nil"/>
              <w:left w:val="nil"/>
              <w:bottom w:val="nil"/>
              <w:right w:val="nil"/>
            </w:tcBorders>
            <w:shd w:val="clear" w:color="auto" w:fill="auto"/>
            <w:noWrap/>
            <w:vAlign w:val="center"/>
            <w:hideMark/>
          </w:tcPr>
          <w:p w14:paraId="72B9D19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3.22 ± 1.6</w:t>
            </w:r>
          </w:p>
        </w:tc>
        <w:tc>
          <w:tcPr>
            <w:tcW w:w="555" w:type="pct"/>
            <w:tcBorders>
              <w:top w:val="nil"/>
              <w:left w:val="nil"/>
              <w:bottom w:val="nil"/>
              <w:right w:val="nil"/>
            </w:tcBorders>
            <w:shd w:val="clear" w:color="auto" w:fill="auto"/>
            <w:noWrap/>
            <w:vAlign w:val="center"/>
            <w:hideMark/>
          </w:tcPr>
          <w:p w14:paraId="5DAA3D6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2.24 ± 0.52</w:t>
            </w:r>
          </w:p>
        </w:tc>
        <w:tc>
          <w:tcPr>
            <w:tcW w:w="555" w:type="pct"/>
            <w:tcBorders>
              <w:top w:val="nil"/>
              <w:left w:val="nil"/>
              <w:bottom w:val="nil"/>
              <w:right w:val="nil"/>
            </w:tcBorders>
            <w:shd w:val="clear" w:color="auto" w:fill="auto"/>
            <w:noWrap/>
            <w:vAlign w:val="center"/>
            <w:hideMark/>
          </w:tcPr>
          <w:p w14:paraId="6703B25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2.42 ± 0.89</w:t>
            </w:r>
          </w:p>
        </w:tc>
        <w:tc>
          <w:tcPr>
            <w:tcW w:w="555" w:type="pct"/>
            <w:tcBorders>
              <w:top w:val="nil"/>
              <w:left w:val="nil"/>
              <w:bottom w:val="nil"/>
              <w:right w:val="nil"/>
            </w:tcBorders>
            <w:shd w:val="clear" w:color="auto" w:fill="auto"/>
            <w:noWrap/>
            <w:vAlign w:val="center"/>
            <w:hideMark/>
          </w:tcPr>
          <w:p w14:paraId="13DDF72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2.59 ± 0.91</w:t>
            </w:r>
          </w:p>
        </w:tc>
        <w:tc>
          <w:tcPr>
            <w:tcW w:w="555" w:type="pct"/>
            <w:tcBorders>
              <w:top w:val="nil"/>
              <w:left w:val="nil"/>
              <w:bottom w:val="nil"/>
              <w:right w:val="nil"/>
            </w:tcBorders>
            <w:shd w:val="clear" w:color="auto" w:fill="auto"/>
            <w:noWrap/>
            <w:vAlign w:val="center"/>
            <w:hideMark/>
          </w:tcPr>
          <w:p w14:paraId="4560099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3.11 ± 0.65</w:t>
            </w:r>
          </w:p>
        </w:tc>
        <w:tc>
          <w:tcPr>
            <w:tcW w:w="564" w:type="pct"/>
            <w:tcBorders>
              <w:top w:val="nil"/>
              <w:left w:val="nil"/>
              <w:bottom w:val="nil"/>
              <w:right w:val="nil"/>
            </w:tcBorders>
            <w:shd w:val="clear" w:color="auto" w:fill="auto"/>
            <w:noWrap/>
            <w:vAlign w:val="center"/>
            <w:hideMark/>
          </w:tcPr>
          <w:p w14:paraId="105D691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3.31 ± 0.85</w:t>
            </w:r>
          </w:p>
        </w:tc>
        <w:tc>
          <w:tcPr>
            <w:tcW w:w="569" w:type="pct"/>
            <w:tcBorders>
              <w:top w:val="nil"/>
              <w:left w:val="nil"/>
              <w:bottom w:val="nil"/>
              <w:right w:val="nil"/>
            </w:tcBorders>
            <w:shd w:val="clear" w:color="auto" w:fill="auto"/>
            <w:noWrap/>
            <w:vAlign w:val="center"/>
            <w:hideMark/>
          </w:tcPr>
          <w:p w14:paraId="6A961CE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2.49 ± 0.57</w:t>
            </w:r>
          </w:p>
        </w:tc>
      </w:tr>
      <w:tr w:rsidR="008B0AC6" w:rsidRPr="00FA7D47" w14:paraId="59CA106B" w14:textId="77777777" w:rsidTr="0095549A">
        <w:trPr>
          <w:trHeight w:val="300"/>
        </w:trPr>
        <w:tc>
          <w:tcPr>
            <w:tcW w:w="1091" w:type="pct"/>
            <w:tcBorders>
              <w:top w:val="nil"/>
              <w:left w:val="nil"/>
              <w:bottom w:val="nil"/>
              <w:right w:val="nil"/>
            </w:tcBorders>
            <w:shd w:val="clear" w:color="auto" w:fill="auto"/>
            <w:vAlign w:val="center"/>
            <w:hideMark/>
          </w:tcPr>
          <w:p w14:paraId="1676648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22:4n-6</w:t>
            </w:r>
          </w:p>
        </w:tc>
        <w:tc>
          <w:tcPr>
            <w:tcW w:w="555" w:type="pct"/>
            <w:tcBorders>
              <w:top w:val="nil"/>
              <w:left w:val="nil"/>
              <w:bottom w:val="nil"/>
              <w:right w:val="nil"/>
            </w:tcBorders>
            <w:shd w:val="clear" w:color="auto" w:fill="auto"/>
            <w:noWrap/>
            <w:vAlign w:val="center"/>
            <w:hideMark/>
          </w:tcPr>
          <w:p w14:paraId="56FB925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0.75 ± 0.32</w:t>
            </w:r>
          </w:p>
        </w:tc>
        <w:tc>
          <w:tcPr>
            <w:tcW w:w="555" w:type="pct"/>
            <w:tcBorders>
              <w:top w:val="nil"/>
              <w:left w:val="nil"/>
              <w:bottom w:val="nil"/>
              <w:right w:val="nil"/>
            </w:tcBorders>
            <w:shd w:val="clear" w:color="auto" w:fill="auto"/>
            <w:noWrap/>
            <w:vAlign w:val="center"/>
            <w:hideMark/>
          </w:tcPr>
          <w:p w14:paraId="0C29104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0.57 ± 0.24</w:t>
            </w:r>
          </w:p>
        </w:tc>
        <w:tc>
          <w:tcPr>
            <w:tcW w:w="555" w:type="pct"/>
            <w:tcBorders>
              <w:top w:val="nil"/>
              <w:left w:val="nil"/>
              <w:bottom w:val="nil"/>
              <w:right w:val="nil"/>
            </w:tcBorders>
            <w:shd w:val="clear" w:color="auto" w:fill="auto"/>
            <w:noWrap/>
            <w:vAlign w:val="center"/>
            <w:hideMark/>
          </w:tcPr>
          <w:p w14:paraId="1E617DD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0.49 ± 0.23</w:t>
            </w:r>
          </w:p>
        </w:tc>
        <w:tc>
          <w:tcPr>
            <w:tcW w:w="555" w:type="pct"/>
            <w:tcBorders>
              <w:top w:val="nil"/>
              <w:left w:val="nil"/>
              <w:bottom w:val="nil"/>
              <w:right w:val="nil"/>
            </w:tcBorders>
            <w:shd w:val="clear" w:color="auto" w:fill="auto"/>
            <w:noWrap/>
            <w:vAlign w:val="center"/>
            <w:hideMark/>
          </w:tcPr>
          <w:p w14:paraId="1D26182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0.71 ± 0.37</w:t>
            </w:r>
          </w:p>
        </w:tc>
        <w:tc>
          <w:tcPr>
            <w:tcW w:w="555" w:type="pct"/>
            <w:tcBorders>
              <w:top w:val="nil"/>
              <w:left w:val="nil"/>
              <w:bottom w:val="nil"/>
              <w:right w:val="nil"/>
            </w:tcBorders>
            <w:shd w:val="clear" w:color="auto" w:fill="auto"/>
            <w:noWrap/>
            <w:vAlign w:val="center"/>
            <w:hideMark/>
          </w:tcPr>
          <w:p w14:paraId="5979184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0.77 ± 0.18</w:t>
            </w:r>
          </w:p>
        </w:tc>
        <w:tc>
          <w:tcPr>
            <w:tcW w:w="564" w:type="pct"/>
            <w:tcBorders>
              <w:top w:val="nil"/>
              <w:left w:val="nil"/>
              <w:bottom w:val="nil"/>
              <w:right w:val="nil"/>
            </w:tcBorders>
            <w:shd w:val="clear" w:color="auto" w:fill="auto"/>
            <w:noWrap/>
            <w:vAlign w:val="center"/>
            <w:hideMark/>
          </w:tcPr>
          <w:p w14:paraId="15A48D7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0.78 ± 0.13</w:t>
            </w:r>
          </w:p>
        </w:tc>
        <w:tc>
          <w:tcPr>
            <w:tcW w:w="569" w:type="pct"/>
            <w:tcBorders>
              <w:top w:val="nil"/>
              <w:left w:val="nil"/>
              <w:bottom w:val="nil"/>
              <w:right w:val="nil"/>
            </w:tcBorders>
            <w:shd w:val="clear" w:color="auto" w:fill="auto"/>
            <w:noWrap/>
            <w:vAlign w:val="center"/>
            <w:hideMark/>
          </w:tcPr>
          <w:p w14:paraId="64D4FBB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0.26 ± 0.1</w:t>
            </w:r>
          </w:p>
        </w:tc>
      </w:tr>
      <w:tr w:rsidR="008B0AC6" w:rsidRPr="00FA7D47" w14:paraId="6072ADD0" w14:textId="77777777" w:rsidTr="0095549A">
        <w:trPr>
          <w:trHeight w:val="300"/>
        </w:trPr>
        <w:tc>
          <w:tcPr>
            <w:tcW w:w="1091" w:type="pct"/>
            <w:tcBorders>
              <w:top w:val="nil"/>
              <w:left w:val="nil"/>
              <w:bottom w:val="single" w:sz="4" w:space="0" w:color="auto"/>
              <w:right w:val="nil"/>
            </w:tcBorders>
            <w:shd w:val="clear" w:color="auto" w:fill="auto"/>
            <w:vAlign w:val="center"/>
            <w:hideMark/>
          </w:tcPr>
          <w:p w14:paraId="37E4D0C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22:5n-6</w:t>
            </w:r>
          </w:p>
        </w:tc>
        <w:tc>
          <w:tcPr>
            <w:tcW w:w="555" w:type="pct"/>
            <w:tcBorders>
              <w:top w:val="nil"/>
              <w:left w:val="nil"/>
              <w:bottom w:val="single" w:sz="4" w:space="0" w:color="auto"/>
              <w:right w:val="nil"/>
            </w:tcBorders>
            <w:shd w:val="clear" w:color="auto" w:fill="auto"/>
            <w:noWrap/>
            <w:vAlign w:val="center"/>
            <w:hideMark/>
          </w:tcPr>
          <w:p w14:paraId="60296DE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0.58 ± 0.11</w:t>
            </w:r>
          </w:p>
        </w:tc>
        <w:tc>
          <w:tcPr>
            <w:tcW w:w="555" w:type="pct"/>
            <w:tcBorders>
              <w:top w:val="nil"/>
              <w:left w:val="nil"/>
              <w:bottom w:val="single" w:sz="4" w:space="0" w:color="auto"/>
              <w:right w:val="nil"/>
            </w:tcBorders>
            <w:shd w:val="clear" w:color="auto" w:fill="auto"/>
            <w:noWrap/>
            <w:vAlign w:val="center"/>
            <w:hideMark/>
          </w:tcPr>
          <w:p w14:paraId="306B19E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0.57 ± 0.11</w:t>
            </w:r>
          </w:p>
        </w:tc>
        <w:tc>
          <w:tcPr>
            <w:tcW w:w="555" w:type="pct"/>
            <w:tcBorders>
              <w:top w:val="nil"/>
              <w:left w:val="nil"/>
              <w:bottom w:val="single" w:sz="4" w:space="0" w:color="auto"/>
              <w:right w:val="nil"/>
            </w:tcBorders>
            <w:shd w:val="clear" w:color="auto" w:fill="auto"/>
            <w:noWrap/>
            <w:vAlign w:val="center"/>
            <w:hideMark/>
          </w:tcPr>
          <w:p w14:paraId="17CE8A7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0.58 ± 0.07</w:t>
            </w:r>
          </w:p>
        </w:tc>
        <w:tc>
          <w:tcPr>
            <w:tcW w:w="555" w:type="pct"/>
            <w:tcBorders>
              <w:top w:val="nil"/>
              <w:left w:val="nil"/>
              <w:bottom w:val="single" w:sz="4" w:space="0" w:color="auto"/>
              <w:right w:val="nil"/>
            </w:tcBorders>
            <w:shd w:val="clear" w:color="auto" w:fill="auto"/>
            <w:noWrap/>
            <w:vAlign w:val="center"/>
            <w:hideMark/>
          </w:tcPr>
          <w:p w14:paraId="69A2CA4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0.58 ± 0.04</w:t>
            </w:r>
          </w:p>
        </w:tc>
        <w:tc>
          <w:tcPr>
            <w:tcW w:w="555" w:type="pct"/>
            <w:tcBorders>
              <w:top w:val="nil"/>
              <w:left w:val="nil"/>
              <w:bottom w:val="single" w:sz="4" w:space="0" w:color="auto"/>
              <w:right w:val="nil"/>
            </w:tcBorders>
            <w:shd w:val="clear" w:color="auto" w:fill="auto"/>
            <w:noWrap/>
            <w:vAlign w:val="center"/>
            <w:hideMark/>
          </w:tcPr>
          <w:p w14:paraId="2535DCF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0.69 ± 0.1</w:t>
            </w:r>
          </w:p>
        </w:tc>
        <w:tc>
          <w:tcPr>
            <w:tcW w:w="564" w:type="pct"/>
            <w:tcBorders>
              <w:top w:val="nil"/>
              <w:left w:val="nil"/>
              <w:bottom w:val="single" w:sz="4" w:space="0" w:color="auto"/>
              <w:right w:val="nil"/>
            </w:tcBorders>
            <w:shd w:val="clear" w:color="auto" w:fill="auto"/>
            <w:noWrap/>
            <w:vAlign w:val="center"/>
            <w:hideMark/>
          </w:tcPr>
          <w:p w14:paraId="1E6B59F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0.73 ± 0.04</w:t>
            </w:r>
          </w:p>
        </w:tc>
        <w:tc>
          <w:tcPr>
            <w:tcW w:w="569" w:type="pct"/>
            <w:tcBorders>
              <w:top w:val="nil"/>
              <w:left w:val="nil"/>
              <w:bottom w:val="single" w:sz="4" w:space="0" w:color="auto"/>
              <w:right w:val="nil"/>
            </w:tcBorders>
            <w:shd w:val="clear" w:color="auto" w:fill="auto"/>
            <w:noWrap/>
            <w:vAlign w:val="center"/>
            <w:hideMark/>
          </w:tcPr>
          <w:p w14:paraId="1766DE8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0.59 ± 0.39</w:t>
            </w:r>
          </w:p>
        </w:tc>
      </w:tr>
      <w:tr w:rsidR="008B0AC6" w:rsidRPr="00FA7D47" w14:paraId="41355A33" w14:textId="77777777" w:rsidTr="0095549A">
        <w:trPr>
          <w:trHeight w:val="300"/>
        </w:trPr>
        <w:tc>
          <w:tcPr>
            <w:tcW w:w="1091" w:type="pct"/>
            <w:tcBorders>
              <w:top w:val="single" w:sz="4" w:space="0" w:color="auto"/>
              <w:left w:val="nil"/>
              <w:bottom w:val="single" w:sz="4" w:space="0" w:color="auto"/>
              <w:right w:val="nil"/>
            </w:tcBorders>
            <w:shd w:val="clear" w:color="auto" w:fill="auto"/>
            <w:vAlign w:val="center"/>
            <w:hideMark/>
          </w:tcPr>
          <w:p w14:paraId="2A82F22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total n6</w:t>
            </w:r>
          </w:p>
        </w:tc>
        <w:tc>
          <w:tcPr>
            <w:tcW w:w="555" w:type="pct"/>
            <w:tcBorders>
              <w:top w:val="single" w:sz="4" w:space="0" w:color="auto"/>
              <w:left w:val="nil"/>
              <w:bottom w:val="single" w:sz="4" w:space="0" w:color="auto"/>
              <w:right w:val="nil"/>
            </w:tcBorders>
            <w:shd w:val="clear" w:color="auto" w:fill="auto"/>
            <w:noWrap/>
            <w:vAlign w:val="center"/>
            <w:hideMark/>
          </w:tcPr>
          <w:p w14:paraId="7C91C4F2"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8.36 ± 1.83</w:t>
            </w:r>
          </w:p>
        </w:tc>
        <w:tc>
          <w:tcPr>
            <w:tcW w:w="555" w:type="pct"/>
            <w:tcBorders>
              <w:top w:val="single" w:sz="4" w:space="0" w:color="auto"/>
              <w:left w:val="nil"/>
              <w:bottom w:val="single" w:sz="4" w:space="0" w:color="auto"/>
              <w:right w:val="nil"/>
            </w:tcBorders>
            <w:shd w:val="clear" w:color="auto" w:fill="auto"/>
            <w:noWrap/>
            <w:vAlign w:val="center"/>
            <w:hideMark/>
          </w:tcPr>
          <w:p w14:paraId="7F3D69E0"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7.74 ± 1.45</w:t>
            </w:r>
          </w:p>
        </w:tc>
        <w:tc>
          <w:tcPr>
            <w:tcW w:w="555" w:type="pct"/>
            <w:tcBorders>
              <w:top w:val="single" w:sz="4" w:space="0" w:color="auto"/>
              <w:left w:val="nil"/>
              <w:bottom w:val="single" w:sz="4" w:space="0" w:color="auto"/>
              <w:right w:val="nil"/>
            </w:tcBorders>
            <w:shd w:val="clear" w:color="auto" w:fill="auto"/>
            <w:noWrap/>
            <w:vAlign w:val="center"/>
            <w:hideMark/>
          </w:tcPr>
          <w:p w14:paraId="7213C137"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8.85 ± 2.68</w:t>
            </w:r>
          </w:p>
        </w:tc>
        <w:tc>
          <w:tcPr>
            <w:tcW w:w="555" w:type="pct"/>
            <w:tcBorders>
              <w:top w:val="single" w:sz="4" w:space="0" w:color="auto"/>
              <w:left w:val="nil"/>
              <w:bottom w:val="single" w:sz="4" w:space="0" w:color="auto"/>
              <w:right w:val="nil"/>
            </w:tcBorders>
            <w:shd w:val="clear" w:color="auto" w:fill="auto"/>
            <w:noWrap/>
            <w:vAlign w:val="center"/>
            <w:hideMark/>
          </w:tcPr>
          <w:p w14:paraId="7AE84B25"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8.92 ± 1.56</w:t>
            </w:r>
          </w:p>
        </w:tc>
        <w:tc>
          <w:tcPr>
            <w:tcW w:w="555" w:type="pct"/>
            <w:tcBorders>
              <w:top w:val="single" w:sz="4" w:space="0" w:color="auto"/>
              <w:left w:val="nil"/>
              <w:bottom w:val="single" w:sz="4" w:space="0" w:color="auto"/>
              <w:right w:val="nil"/>
            </w:tcBorders>
            <w:shd w:val="clear" w:color="auto" w:fill="auto"/>
            <w:noWrap/>
            <w:vAlign w:val="center"/>
            <w:hideMark/>
          </w:tcPr>
          <w:p w14:paraId="3C97C77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9.03 ± 1.27</w:t>
            </w:r>
          </w:p>
        </w:tc>
        <w:tc>
          <w:tcPr>
            <w:tcW w:w="564" w:type="pct"/>
            <w:tcBorders>
              <w:top w:val="single" w:sz="4" w:space="0" w:color="auto"/>
              <w:left w:val="nil"/>
              <w:bottom w:val="single" w:sz="4" w:space="0" w:color="auto"/>
              <w:right w:val="nil"/>
            </w:tcBorders>
            <w:shd w:val="clear" w:color="auto" w:fill="auto"/>
            <w:noWrap/>
            <w:vAlign w:val="center"/>
            <w:hideMark/>
          </w:tcPr>
          <w:p w14:paraId="25CD331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9.73 ± 1.89</w:t>
            </w:r>
          </w:p>
        </w:tc>
        <w:tc>
          <w:tcPr>
            <w:tcW w:w="569" w:type="pct"/>
            <w:tcBorders>
              <w:top w:val="single" w:sz="4" w:space="0" w:color="auto"/>
              <w:left w:val="nil"/>
              <w:bottom w:val="single" w:sz="4" w:space="0" w:color="auto"/>
              <w:right w:val="nil"/>
            </w:tcBorders>
            <w:shd w:val="clear" w:color="auto" w:fill="auto"/>
            <w:noWrap/>
            <w:vAlign w:val="center"/>
            <w:hideMark/>
          </w:tcPr>
          <w:p w14:paraId="4C2EF9E3"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4.67 ± 1.14</w:t>
            </w:r>
          </w:p>
        </w:tc>
      </w:tr>
      <w:tr w:rsidR="008B0AC6" w:rsidRPr="00FA7D47" w14:paraId="7E75CD7F" w14:textId="77777777" w:rsidTr="0095549A">
        <w:trPr>
          <w:trHeight w:val="300"/>
        </w:trPr>
        <w:tc>
          <w:tcPr>
            <w:tcW w:w="1091" w:type="pct"/>
            <w:tcBorders>
              <w:top w:val="single" w:sz="4" w:space="0" w:color="auto"/>
              <w:left w:val="nil"/>
              <w:bottom w:val="nil"/>
              <w:right w:val="nil"/>
            </w:tcBorders>
            <w:shd w:val="clear" w:color="auto" w:fill="auto"/>
            <w:vAlign w:val="center"/>
            <w:hideMark/>
          </w:tcPr>
          <w:p w14:paraId="36D21D1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18:3n-3</w:t>
            </w:r>
          </w:p>
        </w:tc>
        <w:tc>
          <w:tcPr>
            <w:tcW w:w="555" w:type="pct"/>
            <w:tcBorders>
              <w:top w:val="single" w:sz="4" w:space="0" w:color="auto"/>
              <w:left w:val="nil"/>
              <w:bottom w:val="nil"/>
              <w:right w:val="nil"/>
            </w:tcBorders>
            <w:shd w:val="clear" w:color="auto" w:fill="auto"/>
            <w:noWrap/>
            <w:vAlign w:val="center"/>
            <w:hideMark/>
          </w:tcPr>
          <w:p w14:paraId="35B3990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0.75 ± 0.37</w:t>
            </w:r>
          </w:p>
        </w:tc>
        <w:tc>
          <w:tcPr>
            <w:tcW w:w="555" w:type="pct"/>
            <w:tcBorders>
              <w:top w:val="single" w:sz="4" w:space="0" w:color="auto"/>
              <w:left w:val="nil"/>
              <w:bottom w:val="nil"/>
              <w:right w:val="nil"/>
            </w:tcBorders>
            <w:shd w:val="clear" w:color="auto" w:fill="auto"/>
            <w:noWrap/>
            <w:vAlign w:val="center"/>
            <w:hideMark/>
          </w:tcPr>
          <w:p w14:paraId="46039EC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0.91 ± 0.19</w:t>
            </w:r>
          </w:p>
        </w:tc>
        <w:tc>
          <w:tcPr>
            <w:tcW w:w="555" w:type="pct"/>
            <w:tcBorders>
              <w:top w:val="single" w:sz="4" w:space="0" w:color="auto"/>
              <w:left w:val="nil"/>
              <w:bottom w:val="nil"/>
              <w:right w:val="nil"/>
            </w:tcBorders>
            <w:shd w:val="clear" w:color="auto" w:fill="auto"/>
            <w:noWrap/>
            <w:vAlign w:val="center"/>
            <w:hideMark/>
          </w:tcPr>
          <w:p w14:paraId="13EF195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1.23 ± 0.66</w:t>
            </w:r>
          </w:p>
        </w:tc>
        <w:tc>
          <w:tcPr>
            <w:tcW w:w="555" w:type="pct"/>
            <w:tcBorders>
              <w:top w:val="single" w:sz="4" w:space="0" w:color="auto"/>
              <w:left w:val="nil"/>
              <w:bottom w:val="nil"/>
              <w:right w:val="nil"/>
            </w:tcBorders>
            <w:shd w:val="clear" w:color="auto" w:fill="auto"/>
            <w:noWrap/>
            <w:vAlign w:val="center"/>
            <w:hideMark/>
          </w:tcPr>
          <w:p w14:paraId="56AB679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1.02 ± 0.45</w:t>
            </w:r>
          </w:p>
        </w:tc>
        <w:tc>
          <w:tcPr>
            <w:tcW w:w="555" w:type="pct"/>
            <w:tcBorders>
              <w:top w:val="single" w:sz="4" w:space="0" w:color="auto"/>
              <w:left w:val="nil"/>
              <w:bottom w:val="nil"/>
              <w:right w:val="nil"/>
            </w:tcBorders>
            <w:shd w:val="clear" w:color="auto" w:fill="auto"/>
            <w:noWrap/>
            <w:vAlign w:val="center"/>
            <w:hideMark/>
          </w:tcPr>
          <w:p w14:paraId="08B2991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0.79 ± 0.27</w:t>
            </w:r>
          </w:p>
        </w:tc>
        <w:tc>
          <w:tcPr>
            <w:tcW w:w="564" w:type="pct"/>
            <w:tcBorders>
              <w:top w:val="single" w:sz="4" w:space="0" w:color="auto"/>
              <w:left w:val="nil"/>
              <w:bottom w:val="nil"/>
              <w:right w:val="nil"/>
            </w:tcBorders>
            <w:shd w:val="clear" w:color="auto" w:fill="auto"/>
            <w:noWrap/>
            <w:vAlign w:val="center"/>
            <w:hideMark/>
          </w:tcPr>
          <w:p w14:paraId="46A739B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0.74 ± 0.17</w:t>
            </w:r>
          </w:p>
        </w:tc>
        <w:tc>
          <w:tcPr>
            <w:tcW w:w="569" w:type="pct"/>
            <w:tcBorders>
              <w:top w:val="single" w:sz="4" w:space="0" w:color="auto"/>
              <w:left w:val="nil"/>
              <w:bottom w:val="nil"/>
              <w:right w:val="nil"/>
            </w:tcBorders>
            <w:shd w:val="clear" w:color="auto" w:fill="auto"/>
            <w:noWrap/>
            <w:vAlign w:val="center"/>
            <w:hideMark/>
          </w:tcPr>
          <w:p w14:paraId="185E8DE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0.24 ± 0.08</w:t>
            </w:r>
          </w:p>
        </w:tc>
      </w:tr>
      <w:tr w:rsidR="008B0AC6" w:rsidRPr="00FA7D47" w14:paraId="36D1F268" w14:textId="77777777" w:rsidTr="0095549A">
        <w:trPr>
          <w:trHeight w:val="300"/>
        </w:trPr>
        <w:tc>
          <w:tcPr>
            <w:tcW w:w="1091" w:type="pct"/>
            <w:tcBorders>
              <w:top w:val="nil"/>
              <w:left w:val="nil"/>
              <w:bottom w:val="nil"/>
              <w:right w:val="nil"/>
            </w:tcBorders>
            <w:shd w:val="clear" w:color="auto" w:fill="auto"/>
            <w:vAlign w:val="center"/>
            <w:hideMark/>
          </w:tcPr>
          <w:p w14:paraId="08597C6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18:4n-3</w:t>
            </w:r>
          </w:p>
        </w:tc>
        <w:tc>
          <w:tcPr>
            <w:tcW w:w="555" w:type="pct"/>
            <w:tcBorders>
              <w:top w:val="nil"/>
              <w:left w:val="nil"/>
              <w:bottom w:val="nil"/>
              <w:right w:val="nil"/>
            </w:tcBorders>
            <w:shd w:val="clear" w:color="auto" w:fill="auto"/>
            <w:noWrap/>
            <w:vAlign w:val="center"/>
            <w:hideMark/>
          </w:tcPr>
          <w:p w14:paraId="6C0600E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0.37 ± 0.13</w:t>
            </w:r>
          </w:p>
        </w:tc>
        <w:tc>
          <w:tcPr>
            <w:tcW w:w="555" w:type="pct"/>
            <w:tcBorders>
              <w:top w:val="nil"/>
              <w:left w:val="nil"/>
              <w:bottom w:val="nil"/>
              <w:right w:val="nil"/>
            </w:tcBorders>
            <w:shd w:val="clear" w:color="auto" w:fill="auto"/>
            <w:noWrap/>
            <w:vAlign w:val="center"/>
            <w:hideMark/>
          </w:tcPr>
          <w:p w14:paraId="3D5CE84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0.53 ± 0.17</w:t>
            </w:r>
          </w:p>
        </w:tc>
        <w:tc>
          <w:tcPr>
            <w:tcW w:w="555" w:type="pct"/>
            <w:tcBorders>
              <w:top w:val="nil"/>
              <w:left w:val="nil"/>
              <w:bottom w:val="nil"/>
              <w:right w:val="nil"/>
            </w:tcBorders>
            <w:shd w:val="clear" w:color="auto" w:fill="auto"/>
            <w:noWrap/>
            <w:vAlign w:val="center"/>
            <w:hideMark/>
          </w:tcPr>
          <w:p w14:paraId="304776C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0.61 ± 0.22</w:t>
            </w:r>
          </w:p>
        </w:tc>
        <w:tc>
          <w:tcPr>
            <w:tcW w:w="555" w:type="pct"/>
            <w:tcBorders>
              <w:top w:val="nil"/>
              <w:left w:val="nil"/>
              <w:bottom w:val="nil"/>
              <w:right w:val="nil"/>
            </w:tcBorders>
            <w:shd w:val="clear" w:color="auto" w:fill="auto"/>
            <w:noWrap/>
            <w:vAlign w:val="center"/>
            <w:hideMark/>
          </w:tcPr>
          <w:p w14:paraId="40A5B19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0.43 ± 0.17</w:t>
            </w:r>
          </w:p>
        </w:tc>
        <w:tc>
          <w:tcPr>
            <w:tcW w:w="555" w:type="pct"/>
            <w:tcBorders>
              <w:top w:val="nil"/>
              <w:left w:val="nil"/>
              <w:bottom w:val="nil"/>
              <w:right w:val="nil"/>
            </w:tcBorders>
            <w:shd w:val="clear" w:color="auto" w:fill="auto"/>
            <w:noWrap/>
            <w:vAlign w:val="center"/>
            <w:hideMark/>
          </w:tcPr>
          <w:p w14:paraId="2F9A2E1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0.36 ± 0.08</w:t>
            </w:r>
          </w:p>
        </w:tc>
        <w:tc>
          <w:tcPr>
            <w:tcW w:w="564" w:type="pct"/>
            <w:tcBorders>
              <w:top w:val="nil"/>
              <w:left w:val="nil"/>
              <w:bottom w:val="nil"/>
              <w:right w:val="nil"/>
            </w:tcBorders>
            <w:shd w:val="clear" w:color="auto" w:fill="auto"/>
            <w:noWrap/>
            <w:vAlign w:val="center"/>
            <w:hideMark/>
          </w:tcPr>
          <w:p w14:paraId="48E7127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0.26 ± 0.14</w:t>
            </w:r>
          </w:p>
        </w:tc>
        <w:tc>
          <w:tcPr>
            <w:tcW w:w="569" w:type="pct"/>
            <w:tcBorders>
              <w:top w:val="nil"/>
              <w:left w:val="nil"/>
              <w:bottom w:val="nil"/>
              <w:right w:val="nil"/>
            </w:tcBorders>
            <w:shd w:val="clear" w:color="auto" w:fill="auto"/>
            <w:noWrap/>
            <w:vAlign w:val="center"/>
            <w:hideMark/>
          </w:tcPr>
          <w:p w14:paraId="63BBCDC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0.06</w:t>
            </w:r>
          </w:p>
        </w:tc>
      </w:tr>
      <w:tr w:rsidR="008B0AC6" w:rsidRPr="00FA7D47" w14:paraId="6878E86C" w14:textId="77777777" w:rsidTr="0095549A">
        <w:trPr>
          <w:trHeight w:val="300"/>
        </w:trPr>
        <w:tc>
          <w:tcPr>
            <w:tcW w:w="1091" w:type="pct"/>
            <w:tcBorders>
              <w:top w:val="nil"/>
              <w:left w:val="nil"/>
              <w:bottom w:val="nil"/>
              <w:right w:val="nil"/>
            </w:tcBorders>
            <w:shd w:val="clear" w:color="auto" w:fill="auto"/>
            <w:vAlign w:val="center"/>
            <w:hideMark/>
          </w:tcPr>
          <w:p w14:paraId="2F4D529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20:3n-3</w:t>
            </w:r>
          </w:p>
        </w:tc>
        <w:tc>
          <w:tcPr>
            <w:tcW w:w="555" w:type="pct"/>
            <w:tcBorders>
              <w:top w:val="nil"/>
              <w:left w:val="nil"/>
              <w:bottom w:val="nil"/>
              <w:right w:val="nil"/>
            </w:tcBorders>
            <w:shd w:val="clear" w:color="auto" w:fill="auto"/>
            <w:noWrap/>
            <w:vAlign w:val="center"/>
            <w:hideMark/>
          </w:tcPr>
          <w:p w14:paraId="4465C69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0.03</w:t>
            </w:r>
          </w:p>
        </w:tc>
        <w:tc>
          <w:tcPr>
            <w:tcW w:w="555" w:type="pct"/>
            <w:tcBorders>
              <w:top w:val="nil"/>
              <w:left w:val="nil"/>
              <w:bottom w:val="nil"/>
              <w:right w:val="nil"/>
            </w:tcBorders>
            <w:shd w:val="clear" w:color="auto" w:fill="auto"/>
            <w:noWrap/>
            <w:vAlign w:val="center"/>
            <w:hideMark/>
          </w:tcPr>
          <w:p w14:paraId="0F806BF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0.32 ± 0.06</w:t>
            </w:r>
          </w:p>
        </w:tc>
        <w:tc>
          <w:tcPr>
            <w:tcW w:w="555" w:type="pct"/>
            <w:tcBorders>
              <w:top w:val="nil"/>
              <w:left w:val="nil"/>
              <w:bottom w:val="nil"/>
              <w:right w:val="nil"/>
            </w:tcBorders>
            <w:shd w:val="clear" w:color="auto" w:fill="auto"/>
            <w:noWrap/>
            <w:vAlign w:val="center"/>
            <w:hideMark/>
          </w:tcPr>
          <w:p w14:paraId="4CBBC0A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0.28 ± 0.03</w:t>
            </w:r>
          </w:p>
        </w:tc>
        <w:tc>
          <w:tcPr>
            <w:tcW w:w="555" w:type="pct"/>
            <w:tcBorders>
              <w:top w:val="nil"/>
              <w:left w:val="nil"/>
              <w:bottom w:val="nil"/>
              <w:right w:val="nil"/>
            </w:tcBorders>
            <w:shd w:val="clear" w:color="auto" w:fill="auto"/>
            <w:noWrap/>
            <w:vAlign w:val="center"/>
            <w:hideMark/>
          </w:tcPr>
          <w:p w14:paraId="59DA5DD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0.29 ± 0.02</w:t>
            </w:r>
          </w:p>
        </w:tc>
        <w:tc>
          <w:tcPr>
            <w:tcW w:w="555" w:type="pct"/>
            <w:tcBorders>
              <w:top w:val="nil"/>
              <w:left w:val="nil"/>
              <w:bottom w:val="nil"/>
              <w:right w:val="nil"/>
            </w:tcBorders>
            <w:shd w:val="clear" w:color="auto" w:fill="auto"/>
            <w:noWrap/>
            <w:vAlign w:val="center"/>
            <w:hideMark/>
          </w:tcPr>
          <w:p w14:paraId="294E200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0.06</w:t>
            </w:r>
          </w:p>
        </w:tc>
        <w:tc>
          <w:tcPr>
            <w:tcW w:w="564" w:type="pct"/>
            <w:tcBorders>
              <w:top w:val="nil"/>
              <w:left w:val="nil"/>
              <w:bottom w:val="nil"/>
              <w:right w:val="nil"/>
            </w:tcBorders>
            <w:shd w:val="clear" w:color="auto" w:fill="auto"/>
            <w:noWrap/>
            <w:vAlign w:val="center"/>
            <w:hideMark/>
          </w:tcPr>
          <w:p w14:paraId="352E6A4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0.37 ± 0.05</w:t>
            </w:r>
          </w:p>
        </w:tc>
        <w:tc>
          <w:tcPr>
            <w:tcW w:w="569" w:type="pct"/>
            <w:tcBorders>
              <w:top w:val="nil"/>
              <w:left w:val="nil"/>
              <w:bottom w:val="nil"/>
              <w:right w:val="nil"/>
            </w:tcBorders>
            <w:shd w:val="clear" w:color="auto" w:fill="auto"/>
            <w:noWrap/>
            <w:vAlign w:val="center"/>
            <w:hideMark/>
          </w:tcPr>
          <w:p w14:paraId="50AF19A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0.09 ± 0.01</w:t>
            </w:r>
          </w:p>
        </w:tc>
      </w:tr>
      <w:tr w:rsidR="008B0AC6" w:rsidRPr="00FA7D47" w14:paraId="02FFD627" w14:textId="77777777" w:rsidTr="0095549A">
        <w:trPr>
          <w:trHeight w:val="300"/>
        </w:trPr>
        <w:tc>
          <w:tcPr>
            <w:tcW w:w="1091" w:type="pct"/>
            <w:tcBorders>
              <w:top w:val="nil"/>
              <w:left w:val="nil"/>
              <w:bottom w:val="nil"/>
              <w:right w:val="nil"/>
            </w:tcBorders>
            <w:shd w:val="clear" w:color="auto" w:fill="auto"/>
            <w:vAlign w:val="center"/>
            <w:hideMark/>
          </w:tcPr>
          <w:p w14:paraId="01796AA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20:4n-3</w:t>
            </w:r>
          </w:p>
        </w:tc>
        <w:tc>
          <w:tcPr>
            <w:tcW w:w="555" w:type="pct"/>
            <w:tcBorders>
              <w:top w:val="nil"/>
              <w:left w:val="nil"/>
              <w:bottom w:val="nil"/>
              <w:right w:val="nil"/>
            </w:tcBorders>
            <w:shd w:val="clear" w:color="auto" w:fill="auto"/>
            <w:noWrap/>
            <w:vAlign w:val="center"/>
            <w:hideMark/>
          </w:tcPr>
          <w:p w14:paraId="29FC4B7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0.05</w:t>
            </w:r>
          </w:p>
        </w:tc>
        <w:tc>
          <w:tcPr>
            <w:tcW w:w="555" w:type="pct"/>
            <w:tcBorders>
              <w:top w:val="nil"/>
              <w:left w:val="nil"/>
              <w:bottom w:val="nil"/>
              <w:right w:val="nil"/>
            </w:tcBorders>
            <w:shd w:val="clear" w:color="auto" w:fill="auto"/>
            <w:noWrap/>
            <w:vAlign w:val="center"/>
            <w:hideMark/>
          </w:tcPr>
          <w:p w14:paraId="4EE8488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 ± 0.08</w:t>
            </w:r>
          </w:p>
        </w:tc>
        <w:tc>
          <w:tcPr>
            <w:tcW w:w="555" w:type="pct"/>
            <w:tcBorders>
              <w:top w:val="nil"/>
              <w:left w:val="nil"/>
              <w:bottom w:val="nil"/>
              <w:right w:val="nil"/>
            </w:tcBorders>
            <w:shd w:val="clear" w:color="auto" w:fill="auto"/>
            <w:noWrap/>
            <w:vAlign w:val="center"/>
            <w:hideMark/>
          </w:tcPr>
          <w:p w14:paraId="4032899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0.44 ± 0.11</w:t>
            </w:r>
          </w:p>
        </w:tc>
        <w:tc>
          <w:tcPr>
            <w:tcW w:w="555" w:type="pct"/>
            <w:tcBorders>
              <w:top w:val="nil"/>
              <w:left w:val="nil"/>
              <w:bottom w:val="nil"/>
              <w:right w:val="nil"/>
            </w:tcBorders>
            <w:shd w:val="clear" w:color="auto" w:fill="auto"/>
            <w:noWrap/>
            <w:vAlign w:val="center"/>
            <w:hideMark/>
          </w:tcPr>
          <w:p w14:paraId="6DD6413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0.35 ± 0.09</w:t>
            </w:r>
          </w:p>
        </w:tc>
        <w:tc>
          <w:tcPr>
            <w:tcW w:w="555" w:type="pct"/>
            <w:tcBorders>
              <w:top w:val="nil"/>
              <w:left w:val="nil"/>
              <w:bottom w:val="nil"/>
              <w:right w:val="nil"/>
            </w:tcBorders>
            <w:shd w:val="clear" w:color="auto" w:fill="auto"/>
            <w:noWrap/>
            <w:vAlign w:val="center"/>
            <w:hideMark/>
          </w:tcPr>
          <w:p w14:paraId="4F9104D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0.34 ± 0.04</w:t>
            </w:r>
          </w:p>
        </w:tc>
        <w:tc>
          <w:tcPr>
            <w:tcW w:w="564" w:type="pct"/>
            <w:tcBorders>
              <w:top w:val="nil"/>
              <w:left w:val="nil"/>
              <w:bottom w:val="nil"/>
              <w:right w:val="nil"/>
            </w:tcBorders>
            <w:shd w:val="clear" w:color="auto" w:fill="auto"/>
            <w:noWrap/>
            <w:vAlign w:val="center"/>
            <w:hideMark/>
          </w:tcPr>
          <w:p w14:paraId="0973A3E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0.07</w:t>
            </w:r>
          </w:p>
        </w:tc>
        <w:tc>
          <w:tcPr>
            <w:tcW w:w="569" w:type="pct"/>
            <w:tcBorders>
              <w:top w:val="nil"/>
              <w:left w:val="nil"/>
              <w:bottom w:val="nil"/>
              <w:right w:val="nil"/>
            </w:tcBorders>
            <w:shd w:val="clear" w:color="auto" w:fill="auto"/>
            <w:noWrap/>
            <w:vAlign w:val="center"/>
            <w:hideMark/>
          </w:tcPr>
          <w:p w14:paraId="346432D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0.23 ± 0.05</w:t>
            </w:r>
          </w:p>
        </w:tc>
      </w:tr>
      <w:tr w:rsidR="008B0AC6" w:rsidRPr="00FA7D47" w14:paraId="7A1883A6" w14:textId="77777777" w:rsidTr="0095549A">
        <w:trPr>
          <w:trHeight w:val="300"/>
        </w:trPr>
        <w:tc>
          <w:tcPr>
            <w:tcW w:w="1091" w:type="pct"/>
            <w:tcBorders>
              <w:top w:val="nil"/>
              <w:left w:val="nil"/>
              <w:bottom w:val="nil"/>
              <w:right w:val="nil"/>
            </w:tcBorders>
            <w:shd w:val="clear" w:color="auto" w:fill="auto"/>
            <w:vAlign w:val="center"/>
            <w:hideMark/>
          </w:tcPr>
          <w:p w14:paraId="2BC73A6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20:5n-3</w:t>
            </w:r>
          </w:p>
        </w:tc>
        <w:tc>
          <w:tcPr>
            <w:tcW w:w="555" w:type="pct"/>
            <w:tcBorders>
              <w:top w:val="nil"/>
              <w:left w:val="nil"/>
              <w:bottom w:val="nil"/>
              <w:right w:val="nil"/>
            </w:tcBorders>
            <w:shd w:val="clear" w:color="auto" w:fill="auto"/>
            <w:noWrap/>
            <w:vAlign w:val="center"/>
            <w:hideMark/>
          </w:tcPr>
          <w:p w14:paraId="15198AD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7.94 ± 2.75</w:t>
            </w:r>
          </w:p>
        </w:tc>
        <w:tc>
          <w:tcPr>
            <w:tcW w:w="555" w:type="pct"/>
            <w:tcBorders>
              <w:top w:val="nil"/>
              <w:left w:val="nil"/>
              <w:bottom w:val="nil"/>
              <w:right w:val="nil"/>
            </w:tcBorders>
            <w:shd w:val="clear" w:color="auto" w:fill="auto"/>
            <w:noWrap/>
            <w:vAlign w:val="center"/>
            <w:hideMark/>
          </w:tcPr>
          <w:p w14:paraId="0FF14FA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6.63 ± 1.68</w:t>
            </w:r>
          </w:p>
        </w:tc>
        <w:tc>
          <w:tcPr>
            <w:tcW w:w="555" w:type="pct"/>
            <w:tcBorders>
              <w:top w:val="nil"/>
              <w:left w:val="nil"/>
              <w:bottom w:val="nil"/>
              <w:right w:val="nil"/>
            </w:tcBorders>
            <w:shd w:val="clear" w:color="auto" w:fill="auto"/>
            <w:noWrap/>
            <w:vAlign w:val="center"/>
            <w:hideMark/>
          </w:tcPr>
          <w:p w14:paraId="378872F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7.58 ± 0.7</w:t>
            </w:r>
          </w:p>
        </w:tc>
        <w:tc>
          <w:tcPr>
            <w:tcW w:w="555" w:type="pct"/>
            <w:tcBorders>
              <w:top w:val="nil"/>
              <w:left w:val="nil"/>
              <w:bottom w:val="nil"/>
              <w:right w:val="nil"/>
            </w:tcBorders>
            <w:shd w:val="clear" w:color="auto" w:fill="auto"/>
            <w:noWrap/>
            <w:vAlign w:val="center"/>
            <w:hideMark/>
          </w:tcPr>
          <w:p w14:paraId="08AF05F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6.64 ± 1.23</w:t>
            </w:r>
          </w:p>
        </w:tc>
        <w:tc>
          <w:tcPr>
            <w:tcW w:w="555" w:type="pct"/>
            <w:tcBorders>
              <w:top w:val="nil"/>
              <w:left w:val="nil"/>
              <w:bottom w:val="nil"/>
              <w:right w:val="nil"/>
            </w:tcBorders>
            <w:shd w:val="clear" w:color="auto" w:fill="auto"/>
            <w:noWrap/>
            <w:vAlign w:val="center"/>
            <w:hideMark/>
          </w:tcPr>
          <w:p w14:paraId="3D836F0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6.56 ± 0.93</w:t>
            </w:r>
          </w:p>
        </w:tc>
        <w:tc>
          <w:tcPr>
            <w:tcW w:w="564" w:type="pct"/>
            <w:tcBorders>
              <w:top w:val="nil"/>
              <w:left w:val="nil"/>
              <w:bottom w:val="nil"/>
              <w:right w:val="nil"/>
            </w:tcBorders>
            <w:shd w:val="clear" w:color="auto" w:fill="auto"/>
            <w:noWrap/>
            <w:vAlign w:val="center"/>
            <w:hideMark/>
          </w:tcPr>
          <w:p w14:paraId="7646304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5.99 ± 0.61</w:t>
            </w:r>
          </w:p>
        </w:tc>
        <w:tc>
          <w:tcPr>
            <w:tcW w:w="569" w:type="pct"/>
            <w:tcBorders>
              <w:top w:val="nil"/>
              <w:left w:val="nil"/>
              <w:bottom w:val="nil"/>
              <w:right w:val="nil"/>
            </w:tcBorders>
            <w:shd w:val="clear" w:color="auto" w:fill="auto"/>
            <w:noWrap/>
            <w:vAlign w:val="center"/>
            <w:hideMark/>
          </w:tcPr>
          <w:p w14:paraId="7DB73FD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13.46 ± 1.18</w:t>
            </w:r>
          </w:p>
        </w:tc>
      </w:tr>
      <w:tr w:rsidR="008B0AC6" w:rsidRPr="00FA7D47" w14:paraId="54E082BD" w14:textId="77777777" w:rsidTr="0095549A">
        <w:trPr>
          <w:trHeight w:val="300"/>
        </w:trPr>
        <w:tc>
          <w:tcPr>
            <w:tcW w:w="1091" w:type="pct"/>
            <w:tcBorders>
              <w:top w:val="nil"/>
              <w:left w:val="nil"/>
              <w:bottom w:val="nil"/>
              <w:right w:val="nil"/>
            </w:tcBorders>
            <w:shd w:val="clear" w:color="auto" w:fill="auto"/>
            <w:vAlign w:val="center"/>
            <w:hideMark/>
          </w:tcPr>
          <w:p w14:paraId="197F7D3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21:5n-3</w:t>
            </w:r>
          </w:p>
        </w:tc>
        <w:tc>
          <w:tcPr>
            <w:tcW w:w="555" w:type="pct"/>
            <w:tcBorders>
              <w:top w:val="nil"/>
              <w:left w:val="nil"/>
              <w:bottom w:val="nil"/>
              <w:right w:val="nil"/>
            </w:tcBorders>
            <w:shd w:val="clear" w:color="auto" w:fill="auto"/>
            <w:noWrap/>
            <w:vAlign w:val="center"/>
            <w:hideMark/>
          </w:tcPr>
          <w:p w14:paraId="4AF2FE2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 ± 0.04</w:t>
            </w:r>
          </w:p>
        </w:tc>
        <w:tc>
          <w:tcPr>
            <w:tcW w:w="555" w:type="pct"/>
            <w:tcBorders>
              <w:top w:val="nil"/>
              <w:left w:val="nil"/>
              <w:bottom w:val="nil"/>
              <w:right w:val="nil"/>
            </w:tcBorders>
            <w:shd w:val="clear" w:color="auto" w:fill="auto"/>
            <w:noWrap/>
            <w:vAlign w:val="center"/>
            <w:hideMark/>
          </w:tcPr>
          <w:p w14:paraId="670CAB8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0.24 ± 0.06</w:t>
            </w:r>
          </w:p>
        </w:tc>
        <w:tc>
          <w:tcPr>
            <w:tcW w:w="555" w:type="pct"/>
            <w:tcBorders>
              <w:top w:val="nil"/>
              <w:left w:val="nil"/>
              <w:bottom w:val="nil"/>
              <w:right w:val="nil"/>
            </w:tcBorders>
            <w:shd w:val="clear" w:color="auto" w:fill="auto"/>
            <w:noWrap/>
            <w:vAlign w:val="center"/>
            <w:hideMark/>
          </w:tcPr>
          <w:p w14:paraId="6C1C5A7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0.05</w:t>
            </w:r>
          </w:p>
        </w:tc>
        <w:tc>
          <w:tcPr>
            <w:tcW w:w="555" w:type="pct"/>
            <w:tcBorders>
              <w:top w:val="nil"/>
              <w:left w:val="nil"/>
              <w:bottom w:val="nil"/>
              <w:right w:val="nil"/>
            </w:tcBorders>
            <w:shd w:val="clear" w:color="auto" w:fill="auto"/>
            <w:noWrap/>
            <w:vAlign w:val="center"/>
            <w:hideMark/>
          </w:tcPr>
          <w:p w14:paraId="16C66E1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 ± 0.07</w:t>
            </w:r>
          </w:p>
        </w:tc>
        <w:tc>
          <w:tcPr>
            <w:tcW w:w="555" w:type="pct"/>
            <w:tcBorders>
              <w:top w:val="nil"/>
              <w:left w:val="nil"/>
              <w:bottom w:val="nil"/>
              <w:right w:val="nil"/>
            </w:tcBorders>
            <w:shd w:val="clear" w:color="auto" w:fill="auto"/>
            <w:noWrap/>
            <w:vAlign w:val="center"/>
            <w:hideMark/>
          </w:tcPr>
          <w:p w14:paraId="5579C49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0.19 ± 0.08</w:t>
            </w:r>
          </w:p>
        </w:tc>
        <w:tc>
          <w:tcPr>
            <w:tcW w:w="564" w:type="pct"/>
            <w:tcBorders>
              <w:top w:val="nil"/>
              <w:left w:val="nil"/>
              <w:bottom w:val="nil"/>
              <w:right w:val="nil"/>
            </w:tcBorders>
            <w:shd w:val="clear" w:color="auto" w:fill="auto"/>
            <w:noWrap/>
            <w:vAlign w:val="center"/>
            <w:hideMark/>
          </w:tcPr>
          <w:p w14:paraId="3B78A29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0.15 ± 0.14</w:t>
            </w:r>
          </w:p>
        </w:tc>
        <w:tc>
          <w:tcPr>
            <w:tcW w:w="569" w:type="pct"/>
            <w:tcBorders>
              <w:top w:val="nil"/>
              <w:left w:val="nil"/>
              <w:bottom w:val="nil"/>
              <w:right w:val="nil"/>
            </w:tcBorders>
            <w:shd w:val="clear" w:color="auto" w:fill="auto"/>
            <w:noWrap/>
            <w:vAlign w:val="center"/>
            <w:hideMark/>
          </w:tcPr>
          <w:p w14:paraId="1E022F6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0.11</w:t>
            </w:r>
          </w:p>
        </w:tc>
      </w:tr>
      <w:tr w:rsidR="008B0AC6" w:rsidRPr="00FA7D47" w14:paraId="70301BB1" w14:textId="77777777" w:rsidTr="0095549A">
        <w:trPr>
          <w:trHeight w:val="300"/>
        </w:trPr>
        <w:tc>
          <w:tcPr>
            <w:tcW w:w="1091" w:type="pct"/>
            <w:tcBorders>
              <w:top w:val="nil"/>
              <w:left w:val="nil"/>
              <w:bottom w:val="nil"/>
              <w:right w:val="nil"/>
            </w:tcBorders>
            <w:shd w:val="clear" w:color="auto" w:fill="auto"/>
            <w:vAlign w:val="center"/>
            <w:hideMark/>
          </w:tcPr>
          <w:p w14:paraId="4404791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22:5n-3</w:t>
            </w:r>
          </w:p>
        </w:tc>
        <w:tc>
          <w:tcPr>
            <w:tcW w:w="555" w:type="pct"/>
            <w:tcBorders>
              <w:top w:val="nil"/>
              <w:left w:val="nil"/>
              <w:bottom w:val="nil"/>
              <w:right w:val="nil"/>
            </w:tcBorders>
            <w:shd w:val="clear" w:color="auto" w:fill="auto"/>
            <w:noWrap/>
            <w:vAlign w:val="center"/>
            <w:hideMark/>
          </w:tcPr>
          <w:p w14:paraId="7AA5EE1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1.36 ± 0.45</w:t>
            </w:r>
          </w:p>
        </w:tc>
        <w:tc>
          <w:tcPr>
            <w:tcW w:w="555" w:type="pct"/>
            <w:tcBorders>
              <w:top w:val="nil"/>
              <w:left w:val="nil"/>
              <w:bottom w:val="nil"/>
              <w:right w:val="nil"/>
            </w:tcBorders>
            <w:shd w:val="clear" w:color="auto" w:fill="auto"/>
            <w:noWrap/>
            <w:vAlign w:val="center"/>
            <w:hideMark/>
          </w:tcPr>
          <w:p w14:paraId="4AAC1C4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1.12 ± 0.21</w:t>
            </w:r>
          </w:p>
        </w:tc>
        <w:tc>
          <w:tcPr>
            <w:tcW w:w="555" w:type="pct"/>
            <w:tcBorders>
              <w:top w:val="nil"/>
              <w:left w:val="nil"/>
              <w:bottom w:val="nil"/>
              <w:right w:val="nil"/>
            </w:tcBorders>
            <w:shd w:val="clear" w:color="auto" w:fill="auto"/>
            <w:noWrap/>
            <w:vAlign w:val="center"/>
            <w:hideMark/>
          </w:tcPr>
          <w:p w14:paraId="47C4EE7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1.19 ± 0.27</w:t>
            </w:r>
          </w:p>
        </w:tc>
        <w:tc>
          <w:tcPr>
            <w:tcW w:w="555" w:type="pct"/>
            <w:tcBorders>
              <w:top w:val="nil"/>
              <w:left w:val="nil"/>
              <w:bottom w:val="nil"/>
              <w:right w:val="nil"/>
            </w:tcBorders>
            <w:shd w:val="clear" w:color="auto" w:fill="auto"/>
            <w:noWrap/>
            <w:vAlign w:val="center"/>
            <w:hideMark/>
          </w:tcPr>
          <w:p w14:paraId="68FD009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1.18 ± 0.19</w:t>
            </w:r>
          </w:p>
        </w:tc>
        <w:tc>
          <w:tcPr>
            <w:tcW w:w="555" w:type="pct"/>
            <w:tcBorders>
              <w:top w:val="nil"/>
              <w:left w:val="nil"/>
              <w:bottom w:val="nil"/>
              <w:right w:val="nil"/>
            </w:tcBorders>
            <w:shd w:val="clear" w:color="auto" w:fill="auto"/>
            <w:noWrap/>
            <w:vAlign w:val="center"/>
            <w:hideMark/>
          </w:tcPr>
          <w:p w14:paraId="4D0C143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1.25 ± 0.16</w:t>
            </w:r>
          </w:p>
        </w:tc>
        <w:tc>
          <w:tcPr>
            <w:tcW w:w="564" w:type="pct"/>
            <w:tcBorders>
              <w:top w:val="nil"/>
              <w:left w:val="nil"/>
              <w:bottom w:val="nil"/>
              <w:right w:val="nil"/>
            </w:tcBorders>
            <w:shd w:val="clear" w:color="auto" w:fill="auto"/>
            <w:noWrap/>
            <w:vAlign w:val="center"/>
            <w:hideMark/>
          </w:tcPr>
          <w:p w14:paraId="636F814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1.15 ± 0.16</w:t>
            </w:r>
          </w:p>
        </w:tc>
        <w:tc>
          <w:tcPr>
            <w:tcW w:w="569" w:type="pct"/>
            <w:tcBorders>
              <w:top w:val="nil"/>
              <w:left w:val="nil"/>
              <w:bottom w:val="nil"/>
              <w:right w:val="nil"/>
            </w:tcBorders>
            <w:shd w:val="clear" w:color="auto" w:fill="auto"/>
            <w:noWrap/>
            <w:vAlign w:val="center"/>
            <w:hideMark/>
          </w:tcPr>
          <w:p w14:paraId="47BE723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1.2 ± 0.15</w:t>
            </w:r>
          </w:p>
        </w:tc>
      </w:tr>
      <w:tr w:rsidR="008B0AC6" w:rsidRPr="00FA7D47" w14:paraId="64F12647" w14:textId="77777777" w:rsidTr="0095549A">
        <w:trPr>
          <w:trHeight w:val="300"/>
        </w:trPr>
        <w:tc>
          <w:tcPr>
            <w:tcW w:w="1091" w:type="pct"/>
            <w:tcBorders>
              <w:top w:val="nil"/>
              <w:left w:val="nil"/>
              <w:bottom w:val="nil"/>
              <w:right w:val="nil"/>
            </w:tcBorders>
            <w:shd w:val="clear" w:color="auto" w:fill="auto"/>
            <w:vAlign w:val="center"/>
            <w:hideMark/>
          </w:tcPr>
          <w:p w14:paraId="00A3373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22:6n-3</w:t>
            </w:r>
          </w:p>
        </w:tc>
        <w:tc>
          <w:tcPr>
            <w:tcW w:w="555" w:type="pct"/>
            <w:tcBorders>
              <w:top w:val="nil"/>
              <w:left w:val="nil"/>
              <w:bottom w:val="nil"/>
              <w:right w:val="nil"/>
            </w:tcBorders>
            <w:shd w:val="clear" w:color="auto" w:fill="auto"/>
            <w:noWrap/>
            <w:vAlign w:val="center"/>
            <w:hideMark/>
          </w:tcPr>
          <w:p w14:paraId="108ABBDC"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7.3 ± 1.51</w:t>
            </w:r>
          </w:p>
        </w:tc>
        <w:tc>
          <w:tcPr>
            <w:tcW w:w="555" w:type="pct"/>
            <w:tcBorders>
              <w:top w:val="nil"/>
              <w:left w:val="nil"/>
              <w:bottom w:val="nil"/>
              <w:right w:val="nil"/>
            </w:tcBorders>
            <w:shd w:val="clear" w:color="auto" w:fill="auto"/>
            <w:noWrap/>
            <w:vAlign w:val="center"/>
            <w:hideMark/>
          </w:tcPr>
          <w:p w14:paraId="3555B03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7.07 ± 1.2</w:t>
            </w:r>
          </w:p>
        </w:tc>
        <w:tc>
          <w:tcPr>
            <w:tcW w:w="555" w:type="pct"/>
            <w:tcBorders>
              <w:top w:val="nil"/>
              <w:left w:val="nil"/>
              <w:bottom w:val="nil"/>
              <w:right w:val="nil"/>
            </w:tcBorders>
            <w:shd w:val="clear" w:color="auto" w:fill="auto"/>
            <w:noWrap/>
            <w:vAlign w:val="center"/>
            <w:hideMark/>
          </w:tcPr>
          <w:p w14:paraId="3355929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7.65 ± 0.65</w:t>
            </w:r>
          </w:p>
        </w:tc>
        <w:tc>
          <w:tcPr>
            <w:tcW w:w="555" w:type="pct"/>
            <w:tcBorders>
              <w:top w:val="nil"/>
              <w:left w:val="nil"/>
              <w:bottom w:val="nil"/>
              <w:right w:val="nil"/>
            </w:tcBorders>
            <w:shd w:val="clear" w:color="auto" w:fill="auto"/>
            <w:noWrap/>
            <w:vAlign w:val="center"/>
            <w:hideMark/>
          </w:tcPr>
          <w:p w14:paraId="74E5AF4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7.17 ± 0.76</w:t>
            </w:r>
          </w:p>
        </w:tc>
        <w:tc>
          <w:tcPr>
            <w:tcW w:w="555" w:type="pct"/>
            <w:tcBorders>
              <w:top w:val="nil"/>
              <w:left w:val="nil"/>
              <w:bottom w:val="nil"/>
              <w:right w:val="nil"/>
            </w:tcBorders>
            <w:shd w:val="clear" w:color="auto" w:fill="auto"/>
            <w:noWrap/>
            <w:vAlign w:val="center"/>
            <w:hideMark/>
          </w:tcPr>
          <w:p w14:paraId="2A8298D1"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7.22 ± 0.42</w:t>
            </w:r>
          </w:p>
        </w:tc>
        <w:tc>
          <w:tcPr>
            <w:tcW w:w="564" w:type="pct"/>
            <w:tcBorders>
              <w:top w:val="nil"/>
              <w:left w:val="nil"/>
              <w:bottom w:val="nil"/>
              <w:right w:val="nil"/>
            </w:tcBorders>
            <w:shd w:val="clear" w:color="auto" w:fill="auto"/>
            <w:noWrap/>
            <w:vAlign w:val="center"/>
            <w:hideMark/>
          </w:tcPr>
          <w:p w14:paraId="6F2D4D9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6.34 ± 0.44</w:t>
            </w:r>
          </w:p>
        </w:tc>
        <w:tc>
          <w:tcPr>
            <w:tcW w:w="569" w:type="pct"/>
            <w:tcBorders>
              <w:top w:val="nil"/>
              <w:left w:val="nil"/>
              <w:bottom w:val="nil"/>
              <w:right w:val="nil"/>
            </w:tcBorders>
            <w:shd w:val="clear" w:color="auto" w:fill="auto"/>
            <w:noWrap/>
            <w:vAlign w:val="center"/>
            <w:hideMark/>
          </w:tcPr>
          <w:p w14:paraId="38064E2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10.62 ± 0.47</w:t>
            </w:r>
          </w:p>
        </w:tc>
      </w:tr>
      <w:tr w:rsidR="008B0AC6" w:rsidRPr="00FA7D47" w14:paraId="6B894BF7" w14:textId="77777777" w:rsidTr="0095549A">
        <w:trPr>
          <w:trHeight w:val="315"/>
        </w:trPr>
        <w:tc>
          <w:tcPr>
            <w:tcW w:w="1091" w:type="pct"/>
            <w:tcBorders>
              <w:top w:val="single" w:sz="4" w:space="0" w:color="auto"/>
              <w:left w:val="nil"/>
              <w:bottom w:val="single" w:sz="8" w:space="0" w:color="auto"/>
              <w:right w:val="nil"/>
            </w:tcBorders>
            <w:shd w:val="clear" w:color="auto" w:fill="auto"/>
            <w:vAlign w:val="center"/>
            <w:hideMark/>
          </w:tcPr>
          <w:p w14:paraId="12565227"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total n3</w:t>
            </w:r>
          </w:p>
        </w:tc>
        <w:tc>
          <w:tcPr>
            <w:tcW w:w="555" w:type="pct"/>
            <w:tcBorders>
              <w:top w:val="single" w:sz="4" w:space="0" w:color="auto"/>
              <w:left w:val="nil"/>
              <w:bottom w:val="single" w:sz="8" w:space="0" w:color="auto"/>
              <w:right w:val="nil"/>
            </w:tcBorders>
            <w:shd w:val="clear" w:color="auto" w:fill="auto"/>
            <w:noWrap/>
            <w:vAlign w:val="center"/>
            <w:hideMark/>
          </w:tcPr>
          <w:p w14:paraId="149A6C46"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18.48 ± 4.22</w:t>
            </w:r>
          </w:p>
        </w:tc>
        <w:tc>
          <w:tcPr>
            <w:tcW w:w="555" w:type="pct"/>
            <w:tcBorders>
              <w:top w:val="single" w:sz="4" w:space="0" w:color="auto"/>
              <w:left w:val="nil"/>
              <w:bottom w:val="single" w:sz="8" w:space="0" w:color="auto"/>
              <w:right w:val="nil"/>
            </w:tcBorders>
            <w:shd w:val="clear" w:color="auto" w:fill="auto"/>
            <w:noWrap/>
            <w:vAlign w:val="center"/>
            <w:hideMark/>
          </w:tcPr>
          <w:p w14:paraId="03388590"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17.2 ± 2.78</w:t>
            </w:r>
          </w:p>
        </w:tc>
        <w:tc>
          <w:tcPr>
            <w:tcW w:w="555" w:type="pct"/>
            <w:tcBorders>
              <w:top w:val="single" w:sz="4" w:space="0" w:color="auto"/>
              <w:left w:val="nil"/>
              <w:bottom w:val="single" w:sz="8" w:space="0" w:color="auto"/>
              <w:right w:val="nil"/>
            </w:tcBorders>
            <w:shd w:val="clear" w:color="auto" w:fill="auto"/>
            <w:noWrap/>
            <w:vAlign w:val="center"/>
            <w:hideMark/>
          </w:tcPr>
          <w:p w14:paraId="2A68876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19.24 ± 0.85</w:t>
            </w:r>
          </w:p>
        </w:tc>
        <w:tc>
          <w:tcPr>
            <w:tcW w:w="555" w:type="pct"/>
            <w:tcBorders>
              <w:top w:val="single" w:sz="4" w:space="0" w:color="auto"/>
              <w:left w:val="nil"/>
              <w:bottom w:val="single" w:sz="8" w:space="0" w:color="auto"/>
              <w:right w:val="nil"/>
            </w:tcBorders>
            <w:shd w:val="clear" w:color="auto" w:fill="auto"/>
            <w:noWrap/>
            <w:vAlign w:val="center"/>
            <w:hideMark/>
          </w:tcPr>
          <w:p w14:paraId="071F6D10"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17.28 ± 1.73</w:t>
            </w:r>
          </w:p>
        </w:tc>
        <w:tc>
          <w:tcPr>
            <w:tcW w:w="555" w:type="pct"/>
            <w:tcBorders>
              <w:top w:val="single" w:sz="4" w:space="0" w:color="auto"/>
              <w:left w:val="nil"/>
              <w:bottom w:val="single" w:sz="8" w:space="0" w:color="auto"/>
              <w:right w:val="nil"/>
            </w:tcBorders>
            <w:shd w:val="clear" w:color="auto" w:fill="auto"/>
            <w:noWrap/>
            <w:vAlign w:val="center"/>
            <w:hideMark/>
          </w:tcPr>
          <w:p w14:paraId="5BA7C5D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17.04 ± 1.25</w:t>
            </w:r>
          </w:p>
        </w:tc>
        <w:tc>
          <w:tcPr>
            <w:tcW w:w="564" w:type="pct"/>
            <w:tcBorders>
              <w:top w:val="single" w:sz="4" w:space="0" w:color="auto"/>
              <w:left w:val="nil"/>
              <w:bottom w:val="single" w:sz="8" w:space="0" w:color="auto"/>
              <w:right w:val="nil"/>
            </w:tcBorders>
            <w:shd w:val="clear" w:color="auto" w:fill="auto"/>
            <w:noWrap/>
            <w:vAlign w:val="center"/>
            <w:hideMark/>
          </w:tcPr>
          <w:p w14:paraId="4E5DD0CD"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15.34 ± 1.35</w:t>
            </w:r>
          </w:p>
        </w:tc>
        <w:tc>
          <w:tcPr>
            <w:tcW w:w="569" w:type="pct"/>
            <w:tcBorders>
              <w:top w:val="single" w:sz="4" w:space="0" w:color="auto"/>
              <w:left w:val="nil"/>
              <w:bottom w:val="single" w:sz="8" w:space="0" w:color="auto"/>
              <w:right w:val="nil"/>
            </w:tcBorders>
            <w:shd w:val="clear" w:color="auto" w:fill="auto"/>
            <w:noWrap/>
            <w:vAlign w:val="center"/>
            <w:hideMark/>
          </w:tcPr>
          <w:p w14:paraId="00202071"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26.45 ± 1.34</w:t>
            </w:r>
          </w:p>
        </w:tc>
      </w:tr>
      <w:tr w:rsidR="008B0AC6" w:rsidRPr="00FA7D47" w14:paraId="78422519" w14:textId="77777777" w:rsidTr="0095549A">
        <w:trPr>
          <w:trHeight w:val="300"/>
        </w:trPr>
        <w:tc>
          <w:tcPr>
            <w:tcW w:w="1091" w:type="pct"/>
            <w:tcBorders>
              <w:top w:val="nil"/>
              <w:left w:val="nil"/>
              <w:bottom w:val="nil"/>
              <w:right w:val="nil"/>
            </w:tcBorders>
            <w:shd w:val="clear" w:color="auto" w:fill="auto"/>
            <w:vAlign w:val="center"/>
            <w:hideMark/>
          </w:tcPr>
          <w:p w14:paraId="0D34366D"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16:2</w:t>
            </w:r>
          </w:p>
        </w:tc>
        <w:tc>
          <w:tcPr>
            <w:tcW w:w="555" w:type="pct"/>
            <w:tcBorders>
              <w:top w:val="nil"/>
              <w:left w:val="nil"/>
              <w:bottom w:val="nil"/>
              <w:right w:val="nil"/>
            </w:tcBorders>
            <w:shd w:val="clear" w:color="auto" w:fill="auto"/>
            <w:noWrap/>
            <w:vAlign w:val="center"/>
            <w:hideMark/>
          </w:tcPr>
          <w:p w14:paraId="2718A07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0.02</w:t>
            </w:r>
          </w:p>
        </w:tc>
        <w:tc>
          <w:tcPr>
            <w:tcW w:w="555" w:type="pct"/>
            <w:tcBorders>
              <w:top w:val="nil"/>
              <w:left w:val="nil"/>
              <w:bottom w:val="nil"/>
              <w:right w:val="nil"/>
            </w:tcBorders>
            <w:shd w:val="clear" w:color="auto" w:fill="auto"/>
            <w:noWrap/>
            <w:vAlign w:val="center"/>
            <w:hideMark/>
          </w:tcPr>
          <w:p w14:paraId="76D160F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0.16 ± 0.04</w:t>
            </w:r>
          </w:p>
        </w:tc>
        <w:tc>
          <w:tcPr>
            <w:tcW w:w="555" w:type="pct"/>
            <w:tcBorders>
              <w:top w:val="nil"/>
              <w:left w:val="nil"/>
              <w:bottom w:val="nil"/>
              <w:right w:val="nil"/>
            </w:tcBorders>
            <w:shd w:val="clear" w:color="auto" w:fill="auto"/>
            <w:noWrap/>
            <w:vAlign w:val="center"/>
            <w:hideMark/>
          </w:tcPr>
          <w:p w14:paraId="59815B6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0.18 ± 0.05</w:t>
            </w:r>
          </w:p>
        </w:tc>
        <w:tc>
          <w:tcPr>
            <w:tcW w:w="555" w:type="pct"/>
            <w:tcBorders>
              <w:top w:val="nil"/>
              <w:left w:val="nil"/>
              <w:bottom w:val="nil"/>
              <w:right w:val="nil"/>
            </w:tcBorders>
            <w:shd w:val="clear" w:color="auto" w:fill="auto"/>
            <w:noWrap/>
            <w:vAlign w:val="center"/>
            <w:hideMark/>
          </w:tcPr>
          <w:p w14:paraId="529CC534"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0.14 ± 0.03</w:t>
            </w:r>
          </w:p>
        </w:tc>
        <w:tc>
          <w:tcPr>
            <w:tcW w:w="555" w:type="pct"/>
            <w:tcBorders>
              <w:top w:val="nil"/>
              <w:left w:val="nil"/>
              <w:bottom w:val="nil"/>
              <w:right w:val="nil"/>
            </w:tcBorders>
            <w:shd w:val="clear" w:color="auto" w:fill="auto"/>
            <w:noWrap/>
            <w:vAlign w:val="center"/>
            <w:hideMark/>
          </w:tcPr>
          <w:p w14:paraId="6346319B"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0.16 ± 0.09</w:t>
            </w:r>
          </w:p>
        </w:tc>
        <w:tc>
          <w:tcPr>
            <w:tcW w:w="564" w:type="pct"/>
            <w:tcBorders>
              <w:top w:val="nil"/>
              <w:left w:val="nil"/>
              <w:bottom w:val="nil"/>
              <w:right w:val="nil"/>
            </w:tcBorders>
            <w:shd w:val="clear" w:color="auto" w:fill="auto"/>
            <w:noWrap/>
            <w:vAlign w:val="center"/>
            <w:hideMark/>
          </w:tcPr>
          <w:p w14:paraId="16E9FFB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0.02</w:t>
            </w:r>
          </w:p>
        </w:tc>
        <w:tc>
          <w:tcPr>
            <w:tcW w:w="569" w:type="pct"/>
            <w:tcBorders>
              <w:top w:val="nil"/>
              <w:left w:val="nil"/>
              <w:bottom w:val="nil"/>
              <w:right w:val="nil"/>
            </w:tcBorders>
            <w:shd w:val="clear" w:color="auto" w:fill="auto"/>
            <w:noWrap/>
            <w:vAlign w:val="center"/>
            <w:hideMark/>
          </w:tcPr>
          <w:p w14:paraId="2A040BB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0.05 ± 0.01</w:t>
            </w:r>
          </w:p>
        </w:tc>
      </w:tr>
      <w:tr w:rsidR="008B0AC6" w:rsidRPr="00FA7D47" w14:paraId="3E77694A" w14:textId="77777777" w:rsidTr="0095549A">
        <w:trPr>
          <w:trHeight w:val="300"/>
        </w:trPr>
        <w:tc>
          <w:tcPr>
            <w:tcW w:w="1091" w:type="pct"/>
            <w:tcBorders>
              <w:top w:val="nil"/>
              <w:left w:val="nil"/>
              <w:bottom w:val="nil"/>
              <w:right w:val="nil"/>
            </w:tcBorders>
            <w:shd w:val="clear" w:color="auto" w:fill="auto"/>
            <w:vAlign w:val="center"/>
            <w:hideMark/>
          </w:tcPr>
          <w:p w14:paraId="1C96241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16:3</w:t>
            </w:r>
          </w:p>
        </w:tc>
        <w:tc>
          <w:tcPr>
            <w:tcW w:w="555" w:type="pct"/>
            <w:tcBorders>
              <w:top w:val="nil"/>
              <w:left w:val="nil"/>
              <w:bottom w:val="nil"/>
              <w:right w:val="nil"/>
            </w:tcBorders>
            <w:shd w:val="clear" w:color="auto" w:fill="auto"/>
            <w:noWrap/>
            <w:vAlign w:val="center"/>
            <w:hideMark/>
          </w:tcPr>
          <w:p w14:paraId="46F2A74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0.06 ± 0.04</w:t>
            </w:r>
          </w:p>
        </w:tc>
        <w:tc>
          <w:tcPr>
            <w:tcW w:w="555" w:type="pct"/>
            <w:tcBorders>
              <w:top w:val="nil"/>
              <w:left w:val="nil"/>
              <w:bottom w:val="nil"/>
              <w:right w:val="nil"/>
            </w:tcBorders>
            <w:shd w:val="clear" w:color="auto" w:fill="auto"/>
            <w:noWrap/>
            <w:vAlign w:val="center"/>
            <w:hideMark/>
          </w:tcPr>
          <w:p w14:paraId="6607EF03"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0.08 ± 0.06</w:t>
            </w:r>
          </w:p>
        </w:tc>
        <w:tc>
          <w:tcPr>
            <w:tcW w:w="555" w:type="pct"/>
            <w:tcBorders>
              <w:top w:val="nil"/>
              <w:left w:val="nil"/>
              <w:bottom w:val="nil"/>
              <w:right w:val="nil"/>
            </w:tcBorders>
            <w:shd w:val="clear" w:color="auto" w:fill="auto"/>
            <w:noWrap/>
            <w:vAlign w:val="center"/>
            <w:hideMark/>
          </w:tcPr>
          <w:p w14:paraId="596923F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0.11 ± 0.07</w:t>
            </w:r>
          </w:p>
        </w:tc>
        <w:tc>
          <w:tcPr>
            <w:tcW w:w="555" w:type="pct"/>
            <w:tcBorders>
              <w:top w:val="nil"/>
              <w:left w:val="nil"/>
              <w:bottom w:val="nil"/>
              <w:right w:val="nil"/>
            </w:tcBorders>
            <w:shd w:val="clear" w:color="auto" w:fill="auto"/>
            <w:noWrap/>
            <w:vAlign w:val="center"/>
            <w:hideMark/>
          </w:tcPr>
          <w:p w14:paraId="3195F82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0.07 ± 0.05</w:t>
            </w:r>
          </w:p>
        </w:tc>
        <w:tc>
          <w:tcPr>
            <w:tcW w:w="555" w:type="pct"/>
            <w:tcBorders>
              <w:top w:val="nil"/>
              <w:left w:val="nil"/>
              <w:bottom w:val="nil"/>
              <w:right w:val="nil"/>
            </w:tcBorders>
            <w:shd w:val="clear" w:color="auto" w:fill="auto"/>
            <w:noWrap/>
            <w:vAlign w:val="center"/>
            <w:hideMark/>
          </w:tcPr>
          <w:p w14:paraId="615DAAD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0.04 ± 0.05</w:t>
            </w:r>
          </w:p>
        </w:tc>
        <w:tc>
          <w:tcPr>
            <w:tcW w:w="564" w:type="pct"/>
            <w:tcBorders>
              <w:top w:val="nil"/>
              <w:left w:val="nil"/>
              <w:bottom w:val="nil"/>
              <w:right w:val="nil"/>
            </w:tcBorders>
            <w:shd w:val="clear" w:color="auto" w:fill="auto"/>
            <w:noWrap/>
            <w:vAlign w:val="center"/>
            <w:hideMark/>
          </w:tcPr>
          <w:p w14:paraId="616FB63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0.05 ± 0.05</w:t>
            </w:r>
          </w:p>
        </w:tc>
        <w:tc>
          <w:tcPr>
            <w:tcW w:w="569" w:type="pct"/>
            <w:tcBorders>
              <w:top w:val="nil"/>
              <w:left w:val="nil"/>
              <w:bottom w:val="nil"/>
              <w:right w:val="nil"/>
            </w:tcBorders>
            <w:shd w:val="clear" w:color="auto" w:fill="auto"/>
            <w:noWrap/>
            <w:vAlign w:val="center"/>
            <w:hideMark/>
          </w:tcPr>
          <w:p w14:paraId="15AD8FE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0.04 ± 0.01</w:t>
            </w:r>
          </w:p>
        </w:tc>
      </w:tr>
      <w:tr w:rsidR="008B0AC6" w:rsidRPr="00FA7D47" w14:paraId="2AC9F060" w14:textId="77777777" w:rsidTr="0095549A">
        <w:trPr>
          <w:trHeight w:val="300"/>
        </w:trPr>
        <w:tc>
          <w:tcPr>
            <w:tcW w:w="1091" w:type="pct"/>
            <w:tcBorders>
              <w:top w:val="nil"/>
              <w:left w:val="nil"/>
              <w:bottom w:val="nil"/>
              <w:right w:val="nil"/>
            </w:tcBorders>
            <w:shd w:val="clear" w:color="auto" w:fill="auto"/>
            <w:vAlign w:val="center"/>
            <w:hideMark/>
          </w:tcPr>
          <w:p w14:paraId="060F0ED5"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16:4</w:t>
            </w:r>
          </w:p>
        </w:tc>
        <w:tc>
          <w:tcPr>
            <w:tcW w:w="555" w:type="pct"/>
            <w:tcBorders>
              <w:top w:val="nil"/>
              <w:left w:val="nil"/>
              <w:bottom w:val="nil"/>
              <w:right w:val="nil"/>
            </w:tcBorders>
            <w:shd w:val="clear" w:color="auto" w:fill="auto"/>
            <w:noWrap/>
            <w:vAlign w:val="center"/>
            <w:hideMark/>
          </w:tcPr>
          <w:p w14:paraId="0AB8B7C8"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0.02</w:t>
            </w:r>
          </w:p>
        </w:tc>
        <w:tc>
          <w:tcPr>
            <w:tcW w:w="555" w:type="pct"/>
            <w:tcBorders>
              <w:top w:val="nil"/>
              <w:left w:val="nil"/>
              <w:bottom w:val="nil"/>
              <w:right w:val="nil"/>
            </w:tcBorders>
            <w:shd w:val="clear" w:color="auto" w:fill="auto"/>
            <w:noWrap/>
            <w:vAlign w:val="center"/>
            <w:hideMark/>
          </w:tcPr>
          <w:p w14:paraId="6B6F222F"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0.13 ± 0.02</w:t>
            </w:r>
          </w:p>
        </w:tc>
        <w:tc>
          <w:tcPr>
            <w:tcW w:w="555" w:type="pct"/>
            <w:tcBorders>
              <w:top w:val="nil"/>
              <w:left w:val="nil"/>
              <w:bottom w:val="nil"/>
              <w:right w:val="nil"/>
            </w:tcBorders>
            <w:shd w:val="clear" w:color="auto" w:fill="auto"/>
            <w:noWrap/>
            <w:vAlign w:val="center"/>
            <w:hideMark/>
          </w:tcPr>
          <w:p w14:paraId="217F5D9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0.15 ± 0.03</w:t>
            </w:r>
          </w:p>
        </w:tc>
        <w:tc>
          <w:tcPr>
            <w:tcW w:w="555" w:type="pct"/>
            <w:tcBorders>
              <w:top w:val="nil"/>
              <w:left w:val="nil"/>
              <w:bottom w:val="nil"/>
              <w:right w:val="nil"/>
            </w:tcBorders>
            <w:shd w:val="clear" w:color="auto" w:fill="auto"/>
            <w:noWrap/>
            <w:vAlign w:val="center"/>
            <w:hideMark/>
          </w:tcPr>
          <w:p w14:paraId="2E3513C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0.02</w:t>
            </w:r>
          </w:p>
        </w:tc>
        <w:tc>
          <w:tcPr>
            <w:tcW w:w="555" w:type="pct"/>
            <w:tcBorders>
              <w:top w:val="nil"/>
              <w:left w:val="nil"/>
              <w:bottom w:val="nil"/>
              <w:right w:val="nil"/>
            </w:tcBorders>
            <w:shd w:val="clear" w:color="auto" w:fill="auto"/>
            <w:noWrap/>
            <w:vAlign w:val="center"/>
            <w:hideMark/>
          </w:tcPr>
          <w:p w14:paraId="4544E1E2"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0.01</w:t>
            </w:r>
          </w:p>
        </w:tc>
        <w:tc>
          <w:tcPr>
            <w:tcW w:w="564" w:type="pct"/>
            <w:tcBorders>
              <w:top w:val="nil"/>
              <w:left w:val="nil"/>
              <w:bottom w:val="nil"/>
              <w:right w:val="nil"/>
            </w:tcBorders>
            <w:shd w:val="clear" w:color="auto" w:fill="auto"/>
            <w:noWrap/>
            <w:vAlign w:val="center"/>
            <w:hideMark/>
          </w:tcPr>
          <w:p w14:paraId="7E9A691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0.12 ± 0.01</w:t>
            </w:r>
          </w:p>
        </w:tc>
        <w:tc>
          <w:tcPr>
            <w:tcW w:w="569" w:type="pct"/>
            <w:tcBorders>
              <w:top w:val="nil"/>
              <w:left w:val="nil"/>
              <w:bottom w:val="nil"/>
              <w:right w:val="nil"/>
            </w:tcBorders>
            <w:shd w:val="clear" w:color="auto" w:fill="auto"/>
            <w:noWrap/>
            <w:vAlign w:val="center"/>
            <w:hideMark/>
          </w:tcPr>
          <w:p w14:paraId="04BEE7A9"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0.07 ± 0</w:t>
            </w:r>
          </w:p>
        </w:tc>
      </w:tr>
      <w:tr w:rsidR="008B0AC6" w:rsidRPr="00FA7D47" w14:paraId="269FB46D" w14:textId="77777777" w:rsidTr="0095549A">
        <w:trPr>
          <w:trHeight w:val="300"/>
        </w:trPr>
        <w:tc>
          <w:tcPr>
            <w:tcW w:w="1091" w:type="pct"/>
            <w:tcBorders>
              <w:top w:val="nil"/>
              <w:left w:val="nil"/>
              <w:bottom w:val="nil"/>
              <w:right w:val="nil"/>
            </w:tcBorders>
            <w:shd w:val="clear" w:color="auto" w:fill="auto"/>
            <w:noWrap/>
            <w:vAlign w:val="center"/>
            <w:hideMark/>
          </w:tcPr>
          <w:p w14:paraId="20174C4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22:2 NMID</w:t>
            </w:r>
          </w:p>
        </w:tc>
        <w:tc>
          <w:tcPr>
            <w:tcW w:w="555" w:type="pct"/>
            <w:tcBorders>
              <w:top w:val="nil"/>
              <w:left w:val="nil"/>
              <w:bottom w:val="nil"/>
              <w:right w:val="nil"/>
            </w:tcBorders>
            <w:shd w:val="clear" w:color="auto" w:fill="auto"/>
            <w:noWrap/>
            <w:vAlign w:val="center"/>
            <w:hideMark/>
          </w:tcPr>
          <w:p w14:paraId="38D5D22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0.24</w:t>
            </w:r>
          </w:p>
        </w:tc>
        <w:tc>
          <w:tcPr>
            <w:tcW w:w="555" w:type="pct"/>
            <w:tcBorders>
              <w:top w:val="nil"/>
              <w:left w:val="nil"/>
              <w:bottom w:val="nil"/>
              <w:right w:val="nil"/>
            </w:tcBorders>
            <w:shd w:val="clear" w:color="auto" w:fill="auto"/>
            <w:noWrap/>
            <w:vAlign w:val="center"/>
            <w:hideMark/>
          </w:tcPr>
          <w:p w14:paraId="7DEBE8E6"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0.25 ± 0.14</w:t>
            </w:r>
          </w:p>
        </w:tc>
        <w:tc>
          <w:tcPr>
            <w:tcW w:w="555" w:type="pct"/>
            <w:tcBorders>
              <w:top w:val="nil"/>
              <w:left w:val="nil"/>
              <w:bottom w:val="nil"/>
              <w:right w:val="nil"/>
            </w:tcBorders>
            <w:shd w:val="clear" w:color="auto" w:fill="auto"/>
            <w:noWrap/>
            <w:vAlign w:val="center"/>
            <w:hideMark/>
          </w:tcPr>
          <w:p w14:paraId="5E52AB6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0.2 ± 0.11</w:t>
            </w:r>
          </w:p>
        </w:tc>
        <w:tc>
          <w:tcPr>
            <w:tcW w:w="555" w:type="pct"/>
            <w:tcBorders>
              <w:top w:val="nil"/>
              <w:left w:val="nil"/>
              <w:bottom w:val="nil"/>
              <w:right w:val="nil"/>
            </w:tcBorders>
            <w:shd w:val="clear" w:color="auto" w:fill="auto"/>
            <w:noWrap/>
            <w:vAlign w:val="center"/>
            <w:hideMark/>
          </w:tcPr>
          <w:p w14:paraId="24856A67"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0.31 ± 0.19</w:t>
            </w:r>
          </w:p>
        </w:tc>
        <w:tc>
          <w:tcPr>
            <w:tcW w:w="555" w:type="pct"/>
            <w:tcBorders>
              <w:top w:val="nil"/>
              <w:left w:val="nil"/>
              <w:bottom w:val="nil"/>
              <w:right w:val="nil"/>
            </w:tcBorders>
            <w:shd w:val="clear" w:color="auto" w:fill="auto"/>
            <w:noWrap/>
            <w:vAlign w:val="center"/>
            <w:hideMark/>
          </w:tcPr>
          <w:p w14:paraId="2D4FB3CE"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0.33 ± 0.1</w:t>
            </w:r>
          </w:p>
        </w:tc>
        <w:tc>
          <w:tcPr>
            <w:tcW w:w="564" w:type="pct"/>
            <w:tcBorders>
              <w:top w:val="nil"/>
              <w:left w:val="nil"/>
              <w:bottom w:val="nil"/>
              <w:right w:val="nil"/>
            </w:tcBorders>
            <w:shd w:val="clear" w:color="auto" w:fill="auto"/>
            <w:noWrap/>
            <w:vAlign w:val="center"/>
            <w:hideMark/>
          </w:tcPr>
          <w:p w14:paraId="65B1BD20"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0.38 ± 0.09</w:t>
            </w:r>
          </w:p>
        </w:tc>
        <w:tc>
          <w:tcPr>
            <w:tcW w:w="569" w:type="pct"/>
            <w:tcBorders>
              <w:top w:val="nil"/>
              <w:left w:val="nil"/>
              <w:bottom w:val="nil"/>
              <w:right w:val="nil"/>
            </w:tcBorders>
            <w:shd w:val="clear" w:color="auto" w:fill="auto"/>
            <w:noWrap/>
            <w:vAlign w:val="center"/>
            <w:hideMark/>
          </w:tcPr>
          <w:p w14:paraId="6EB165EA" w14:textId="77777777" w:rsidR="00E5225F" w:rsidRPr="009819CE" w:rsidRDefault="00E5225F" w:rsidP="0095549A">
            <w:pPr>
              <w:spacing w:after="0" w:line="240" w:lineRule="auto"/>
              <w:jc w:val="center"/>
              <w:rPr>
                <w:rFonts w:cstheme="minorBidi"/>
                <w:color w:val="000000"/>
                <w:sz w:val="22"/>
                <w:szCs w:val="22"/>
              </w:rPr>
            </w:pPr>
            <w:r w:rsidRPr="009819CE">
              <w:rPr>
                <w:rFonts w:cstheme="minorBidi"/>
                <w:color w:val="000000"/>
                <w:sz w:val="22"/>
                <w:szCs w:val="22"/>
              </w:rPr>
              <w:t>0 ± 0</w:t>
            </w:r>
          </w:p>
        </w:tc>
      </w:tr>
      <w:tr w:rsidR="008B0AC6" w:rsidRPr="00FA7D47" w14:paraId="3EA7073D" w14:textId="77777777" w:rsidTr="0095549A">
        <w:trPr>
          <w:trHeight w:val="315"/>
        </w:trPr>
        <w:tc>
          <w:tcPr>
            <w:tcW w:w="1091" w:type="pct"/>
            <w:tcBorders>
              <w:top w:val="single" w:sz="4" w:space="0" w:color="auto"/>
              <w:left w:val="nil"/>
              <w:bottom w:val="single" w:sz="4" w:space="0" w:color="auto"/>
              <w:right w:val="nil"/>
            </w:tcBorders>
            <w:shd w:val="clear" w:color="auto" w:fill="auto"/>
            <w:vAlign w:val="center"/>
            <w:hideMark/>
          </w:tcPr>
          <w:p w14:paraId="57D97B2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total other</w:t>
            </w:r>
          </w:p>
        </w:tc>
        <w:tc>
          <w:tcPr>
            <w:tcW w:w="555" w:type="pct"/>
            <w:tcBorders>
              <w:top w:val="single" w:sz="4" w:space="0" w:color="auto"/>
              <w:left w:val="nil"/>
              <w:bottom w:val="single" w:sz="4" w:space="0" w:color="auto"/>
              <w:right w:val="nil"/>
            </w:tcBorders>
            <w:shd w:val="clear" w:color="auto" w:fill="auto"/>
            <w:noWrap/>
            <w:vAlign w:val="center"/>
            <w:hideMark/>
          </w:tcPr>
          <w:p w14:paraId="4D56AB43"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0.62 ± 0.22</w:t>
            </w:r>
          </w:p>
        </w:tc>
        <w:tc>
          <w:tcPr>
            <w:tcW w:w="555" w:type="pct"/>
            <w:tcBorders>
              <w:top w:val="single" w:sz="4" w:space="0" w:color="auto"/>
              <w:left w:val="nil"/>
              <w:bottom w:val="single" w:sz="4" w:space="0" w:color="auto"/>
              <w:right w:val="nil"/>
            </w:tcBorders>
            <w:shd w:val="clear" w:color="auto" w:fill="auto"/>
            <w:noWrap/>
            <w:vAlign w:val="center"/>
            <w:hideMark/>
          </w:tcPr>
          <w:p w14:paraId="10F4FB3D"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0.62 ± 0.18</w:t>
            </w:r>
          </w:p>
        </w:tc>
        <w:tc>
          <w:tcPr>
            <w:tcW w:w="555" w:type="pct"/>
            <w:tcBorders>
              <w:top w:val="single" w:sz="4" w:space="0" w:color="auto"/>
              <w:left w:val="nil"/>
              <w:bottom w:val="single" w:sz="4" w:space="0" w:color="auto"/>
              <w:right w:val="nil"/>
            </w:tcBorders>
            <w:shd w:val="clear" w:color="auto" w:fill="auto"/>
            <w:noWrap/>
            <w:vAlign w:val="center"/>
            <w:hideMark/>
          </w:tcPr>
          <w:p w14:paraId="21571B1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0.65 ± 0.09</w:t>
            </w:r>
          </w:p>
        </w:tc>
        <w:tc>
          <w:tcPr>
            <w:tcW w:w="555" w:type="pct"/>
            <w:tcBorders>
              <w:top w:val="single" w:sz="4" w:space="0" w:color="auto"/>
              <w:left w:val="nil"/>
              <w:bottom w:val="single" w:sz="4" w:space="0" w:color="auto"/>
              <w:right w:val="nil"/>
            </w:tcBorders>
            <w:shd w:val="clear" w:color="auto" w:fill="auto"/>
            <w:noWrap/>
            <w:vAlign w:val="center"/>
            <w:hideMark/>
          </w:tcPr>
          <w:p w14:paraId="25B72995"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0.65 ± 0.18</w:t>
            </w:r>
          </w:p>
        </w:tc>
        <w:tc>
          <w:tcPr>
            <w:tcW w:w="555" w:type="pct"/>
            <w:tcBorders>
              <w:top w:val="single" w:sz="4" w:space="0" w:color="auto"/>
              <w:left w:val="nil"/>
              <w:bottom w:val="single" w:sz="4" w:space="0" w:color="auto"/>
              <w:right w:val="nil"/>
            </w:tcBorders>
            <w:shd w:val="clear" w:color="auto" w:fill="auto"/>
            <w:noWrap/>
            <w:vAlign w:val="center"/>
            <w:hideMark/>
          </w:tcPr>
          <w:p w14:paraId="7EC30600"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0.66 ± 0.12</w:t>
            </w:r>
          </w:p>
        </w:tc>
        <w:tc>
          <w:tcPr>
            <w:tcW w:w="564" w:type="pct"/>
            <w:tcBorders>
              <w:top w:val="single" w:sz="4" w:space="0" w:color="auto"/>
              <w:left w:val="nil"/>
              <w:bottom w:val="single" w:sz="4" w:space="0" w:color="auto"/>
              <w:right w:val="nil"/>
            </w:tcBorders>
            <w:shd w:val="clear" w:color="auto" w:fill="auto"/>
            <w:noWrap/>
            <w:vAlign w:val="center"/>
            <w:hideMark/>
          </w:tcPr>
          <w:p w14:paraId="1ACA3C24"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0.67 ± 0.04</w:t>
            </w:r>
          </w:p>
        </w:tc>
        <w:tc>
          <w:tcPr>
            <w:tcW w:w="569" w:type="pct"/>
            <w:tcBorders>
              <w:top w:val="single" w:sz="4" w:space="0" w:color="auto"/>
              <w:left w:val="nil"/>
              <w:bottom w:val="single" w:sz="4" w:space="0" w:color="auto"/>
              <w:right w:val="nil"/>
            </w:tcBorders>
            <w:shd w:val="clear" w:color="auto" w:fill="auto"/>
            <w:noWrap/>
            <w:vAlign w:val="center"/>
            <w:hideMark/>
          </w:tcPr>
          <w:p w14:paraId="5B71FA95"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0.16 ± 0.01</w:t>
            </w:r>
          </w:p>
        </w:tc>
      </w:tr>
      <w:tr w:rsidR="008B0AC6" w:rsidRPr="00FA7D47" w14:paraId="7DFB4DCA" w14:textId="77777777" w:rsidTr="0095549A">
        <w:trPr>
          <w:trHeight w:val="315"/>
        </w:trPr>
        <w:tc>
          <w:tcPr>
            <w:tcW w:w="1091" w:type="pct"/>
            <w:tcBorders>
              <w:top w:val="single" w:sz="4" w:space="0" w:color="auto"/>
              <w:left w:val="nil"/>
              <w:bottom w:val="single" w:sz="8" w:space="0" w:color="auto"/>
              <w:right w:val="nil"/>
            </w:tcBorders>
            <w:shd w:val="clear" w:color="auto" w:fill="auto"/>
            <w:vAlign w:val="bottom"/>
          </w:tcPr>
          <w:p w14:paraId="28CD723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DHA/EPA</w:t>
            </w:r>
          </w:p>
        </w:tc>
        <w:tc>
          <w:tcPr>
            <w:tcW w:w="555" w:type="pct"/>
            <w:tcBorders>
              <w:top w:val="single" w:sz="4" w:space="0" w:color="auto"/>
              <w:left w:val="nil"/>
              <w:bottom w:val="single" w:sz="8" w:space="0" w:color="auto"/>
              <w:right w:val="nil"/>
            </w:tcBorders>
            <w:shd w:val="clear" w:color="auto" w:fill="auto"/>
            <w:noWrap/>
            <w:vAlign w:val="bottom"/>
          </w:tcPr>
          <w:p w14:paraId="6CA3BDFC"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0.99 ± 0.31</w:t>
            </w:r>
          </w:p>
        </w:tc>
        <w:tc>
          <w:tcPr>
            <w:tcW w:w="555" w:type="pct"/>
            <w:tcBorders>
              <w:top w:val="single" w:sz="4" w:space="0" w:color="auto"/>
              <w:left w:val="nil"/>
              <w:bottom w:val="single" w:sz="8" w:space="0" w:color="auto"/>
              <w:right w:val="nil"/>
            </w:tcBorders>
            <w:shd w:val="clear" w:color="auto" w:fill="auto"/>
            <w:noWrap/>
            <w:vAlign w:val="bottom"/>
          </w:tcPr>
          <w:p w14:paraId="60BC5F1C"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1.1 ± 0.23</w:t>
            </w:r>
          </w:p>
        </w:tc>
        <w:tc>
          <w:tcPr>
            <w:tcW w:w="555" w:type="pct"/>
            <w:tcBorders>
              <w:top w:val="single" w:sz="4" w:space="0" w:color="auto"/>
              <w:left w:val="nil"/>
              <w:bottom w:val="single" w:sz="8" w:space="0" w:color="auto"/>
              <w:right w:val="nil"/>
            </w:tcBorders>
            <w:shd w:val="clear" w:color="auto" w:fill="auto"/>
            <w:noWrap/>
            <w:vAlign w:val="bottom"/>
          </w:tcPr>
          <w:p w14:paraId="3599AB09"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1.02 ± 0.15</w:t>
            </w:r>
          </w:p>
        </w:tc>
        <w:tc>
          <w:tcPr>
            <w:tcW w:w="555" w:type="pct"/>
            <w:tcBorders>
              <w:top w:val="single" w:sz="4" w:space="0" w:color="auto"/>
              <w:left w:val="nil"/>
              <w:bottom w:val="single" w:sz="8" w:space="0" w:color="auto"/>
              <w:right w:val="nil"/>
            </w:tcBorders>
            <w:shd w:val="clear" w:color="auto" w:fill="auto"/>
            <w:noWrap/>
            <w:vAlign w:val="bottom"/>
          </w:tcPr>
          <w:p w14:paraId="63434764"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1.1 ± 0.13</w:t>
            </w:r>
          </w:p>
        </w:tc>
        <w:tc>
          <w:tcPr>
            <w:tcW w:w="555" w:type="pct"/>
            <w:tcBorders>
              <w:top w:val="single" w:sz="4" w:space="0" w:color="auto"/>
              <w:left w:val="nil"/>
              <w:bottom w:val="single" w:sz="8" w:space="0" w:color="auto"/>
              <w:right w:val="nil"/>
            </w:tcBorders>
            <w:shd w:val="clear" w:color="auto" w:fill="auto"/>
            <w:noWrap/>
            <w:vAlign w:val="bottom"/>
          </w:tcPr>
          <w:p w14:paraId="2716C057"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1.12 ± 0.15</w:t>
            </w:r>
          </w:p>
        </w:tc>
        <w:tc>
          <w:tcPr>
            <w:tcW w:w="564" w:type="pct"/>
            <w:tcBorders>
              <w:top w:val="single" w:sz="4" w:space="0" w:color="auto"/>
              <w:left w:val="nil"/>
              <w:bottom w:val="single" w:sz="8" w:space="0" w:color="auto"/>
              <w:right w:val="nil"/>
            </w:tcBorders>
            <w:shd w:val="clear" w:color="auto" w:fill="auto"/>
            <w:noWrap/>
            <w:vAlign w:val="bottom"/>
          </w:tcPr>
          <w:p w14:paraId="2EDD8A7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1.06 ± 0.11</w:t>
            </w:r>
          </w:p>
        </w:tc>
        <w:tc>
          <w:tcPr>
            <w:tcW w:w="569" w:type="pct"/>
            <w:tcBorders>
              <w:top w:val="single" w:sz="4" w:space="0" w:color="auto"/>
              <w:left w:val="nil"/>
              <w:bottom w:val="single" w:sz="8" w:space="0" w:color="auto"/>
              <w:right w:val="nil"/>
            </w:tcBorders>
            <w:shd w:val="clear" w:color="auto" w:fill="auto"/>
            <w:noWrap/>
            <w:vAlign w:val="bottom"/>
          </w:tcPr>
          <w:p w14:paraId="0416E92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0.79 ± 0.08</w:t>
            </w:r>
          </w:p>
        </w:tc>
      </w:tr>
      <w:tr w:rsidR="008B0AC6" w:rsidRPr="00FA7D47" w14:paraId="5CD1D8FD" w14:textId="77777777" w:rsidTr="0095549A">
        <w:trPr>
          <w:trHeight w:val="315"/>
        </w:trPr>
        <w:tc>
          <w:tcPr>
            <w:tcW w:w="1091" w:type="pct"/>
            <w:tcBorders>
              <w:top w:val="single" w:sz="4" w:space="0" w:color="auto"/>
              <w:left w:val="nil"/>
              <w:bottom w:val="single" w:sz="8" w:space="0" w:color="auto"/>
              <w:right w:val="nil"/>
            </w:tcBorders>
            <w:shd w:val="clear" w:color="auto" w:fill="auto"/>
            <w:vAlign w:val="bottom"/>
          </w:tcPr>
          <w:p w14:paraId="2CE4294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b/>
                <w:bCs/>
                <w:color w:val="000000"/>
                <w:sz w:val="22"/>
                <w:szCs w:val="22"/>
              </w:rPr>
              <w:t>n-3/n-6 PUFA</w:t>
            </w:r>
          </w:p>
        </w:tc>
        <w:tc>
          <w:tcPr>
            <w:tcW w:w="555" w:type="pct"/>
            <w:tcBorders>
              <w:top w:val="single" w:sz="4" w:space="0" w:color="auto"/>
              <w:left w:val="nil"/>
              <w:bottom w:val="single" w:sz="8" w:space="0" w:color="auto"/>
              <w:right w:val="nil"/>
            </w:tcBorders>
            <w:shd w:val="clear" w:color="auto" w:fill="auto"/>
            <w:noWrap/>
            <w:vAlign w:val="bottom"/>
          </w:tcPr>
          <w:p w14:paraId="481176F8"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2.23 ± 0.29</w:t>
            </w:r>
          </w:p>
        </w:tc>
        <w:tc>
          <w:tcPr>
            <w:tcW w:w="555" w:type="pct"/>
            <w:tcBorders>
              <w:top w:val="single" w:sz="4" w:space="0" w:color="auto"/>
              <w:left w:val="nil"/>
              <w:bottom w:val="single" w:sz="8" w:space="0" w:color="auto"/>
              <w:right w:val="nil"/>
            </w:tcBorders>
            <w:shd w:val="clear" w:color="auto" w:fill="auto"/>
            <w:noWrap/>
            <w:vAlign w:val="bottom"/>
          </w:tcPr>
          <w:p w14:paraId="610DD591"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2.32 ± 0.69</w:t>
            </w:r>
          </w:p>
        </w:tc>
        <w:tc>
          <w:tcPr>
            <w:tcW w:w="555" w:type="pct"/>
            <w:tcBorders>
              <w:top w:val="single" w:sz="4" w:space="0" w:color="auto"/>
              <w:left w:val="nil"/>
              <w:bottom w:val="single" w:sz="8" w:space="0" w:color="auto"/>
              <w:right w:val="nil"/>
            </w:tcBorders>
            <w:shd w:val="clear" w:color="auto" w:fill="auto"/>
            <w:noWrap/>
            <w:vAlign w:val="bottom"/>
          </w:tcPr>
          <w:p w14:paraId="6AC714D5"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2.34 ± 0.67</w:t>
            </w:r>
          </w:p>
        </w:tc>
        <w:tc>
          <w:tcPr>
            <w:tcW w:w="555" w:type="pct"/>
            <w:tcBorders>
              <w:top w:val="single" w:sz="4" w:space="0" w:color="auto"/>
              <w:left w:val="nil"/>
              <w:bottom w:val="single" w:sz="8" w:space="0" w:color="auto"/>
              <w:right w:val="nil"/>
            </w:tcBorders>
            <w:shd w:val="clear" w:color="auto" w:fill="auto"/>
            <w:noWrap/>
            <w:vAlign w:val="bottom"/>
          </w:tcPr>
          <w:p w14:paraId="72772490"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2 ± 0.47</w:t>
            </w:r>
          </w:p>
        </w:tc>
        <w:tc>
          <w:tcPr>
            <w:tcW w:w="555" w:type="pct"/>
            <w:tcBorders>
              <w:top w:val="single" w:sz="4" w:space="0" w:color="auto"/>
              <w:left w:val="nil"/>
              <w:bottom w:val="single" w:sz="8" w:space="0" w:color="auto"/>
              <w:right w:val="nil"/>
            </w:tcBorders>
            <w:shd w:val="clear" w:color="auto" w:fill="auto"/>
            <w:noWrap/>
            <w:vAlign w:val="bottom"/>
          </w:tcPr>
          <w:p w14:paraId="5FC2ABCF"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1.91 ± 0.23</w:t>
            </w:r>
          </w:p>
        </w:tc>
        <w:tc>
          <w:tcPr>
            <w:tcW w:w="564" w:type="pct"/>
            <w:tcBorders>
              <w:top w:val="single" w:sz="4" w:space="0" w:color="auto"/>
              <w:left w:val="nil"/>
              <w:bottom w:val="single" w:sz="8" w:space="0" w:color="auto"/>
              <w:right w:val="nil"/>
            </w:tcBorders>
            <w:shd w:val="clear" w:color="auto" w:fill="auto"/>
            <w:noWrap/>
            <w:vAlign w:val="bottom"/>
          </w:tcPr>
          <w:p w14:paraId="4A461C02"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1.63 ± 0.41</w:t>
            </w:r>
          </w:p>
        </w:tc>
        <w:tc>
          <w:tcPr>
            <w:tcW w:w="569" w:type="pct"/>
            <w:tcBorders>
              <w:top w:val="single" w:sz="4" w:space="0" w:color="auto"/>
              <w:left w:val="nil"/>
              <w:bottom w:val="single" w:sz="8" w:space="0" w:color="auto"/>
              <w:right w:val="nil"/>
            </w:tcBorders>
            <w:shd w:val="clear" w:color="auto" w:fill="auto"/>
            <w:noWrap/>
            <w:vAlign w:val="bottom"/>
          </w:tcPr>
          <w:p w14:paraId="7EAD6392" w14:textId="77777777" w:rsidR="00E5225F" w:rsidRPr="009819CE" w:rsidRDefault="00E5225F" w:rsidP="0095549A">
            <w:pPr>
              <w:spacing w:after="0" w:line="240" w:lineRule="auto"/>
              <w:jc w:val="center"/>
              <w:rPr>
                <w:rFonts w:cstheme="minorBidi"/>
                <w:b/>
                <w:bCs/>
                <w:color w:val="000000"/>
                <w:sz w:val="22"/>
                <w:szCs w:val="22"/>
              </w:rPr>
            </w:pPr>
            <w:r w:rsidRPr="009819CE">
              <w:rPr>
                <w:rFonts w:cstheme="minorBidi"/>
                <w:color w:val="000000"/>
                <w:sz w:val="22"/>
                <w:szCs w:val="22"/>
              </w:rPr>
              <w:t>5.93 ± 1.67</w:t>
            </w:r>
          </w:p>
        </w:tc>
      </w:tr>
    </w:tbl>
    <w:p w14:paraId="797E52F9" w14:textId="77777777" w:rsidR="00E5225F" w:rsidRPr="009819CE" w:rsidRDefault="00E5225F" w:rsidP="00E5225F">
      <w:pPr>
        <w:spacing w:after="0"/>
        <w:rPr>
          <w:rFonts w:eastAsia="Calibri" w:cstheme="minorBidi"/>
          <w:b/>
          <w:bCs/>
          <w:iCs/>
          <w:color w:val="000000"/>
          <w:sz w:val="22"/>
          <w:szCs w:val="18"/>
        </w:rPr>
        <w:sectPr w:rsidR="00E5225F" w:rsidRPr="009819CE" w:rsidSect="008B0AC6">
          <w:pgSz w:w="16838" w:h="11906" w:orient="landscape" w:code="9"/>
          <w:pgMar w:top="1440" w:right="1080" w:bottom="1440" w:left="1080" w:header="340" w:footer="340" w:gutter="0"/>
          <w:cols w:space="708"/>
          <w:docGrid w:linePitch="360"/>
        </w:sectPr>
      </w:pPr>
    </w:p>
    <w:p w14:paraId="22E85618" w14:textId="77777777" w:rsidR="00E5225F" w:rsidRPr="009819CE" w:rsidRDefault="00E5225F" w:rsidP="006A0363">
      <w:pPr>
        <w:ind w:left="20"/>
        <w:rPr>
          <w:rFonts w:cstheme="minorBidi"/>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6A0363" w:rsidRPr="00FA7D47" w14:paraId="4459EE4C" w14:textId="77777777" w:rsidTr="007D6607">
        <w:tc>
          <w:tcPr>
            <w:tcW w:w="9016" w:type="dxa"/>
          </w:tcPr>
          <w:p w14:paraId="7C9D9494" w14:textId="77777777" w:rsidR="006A0363" w:rsidRPr="009819CE" w:rsidRDefault="006A0363" w:rsidP="007D6607">
            <w:pPr>
              <w:rPr>
                <w:rFonts w:cstheme="minorBidi"/>
                <w:lang w:val="en-GB"/>
              </w:rPr>
            </w:pPr>
            <w:r w:rsidRPr="00FF34FE">
              <w:rPr>
                <w:rFonts w:cstheme="minorBidi"/>
                <w:noProof/>
              </w:rPr>
              <w:drawing>
                <wp:inline distT="0" distB="0" distL="0" distR="0" wp14:anchorId="1F3F64E0" wp14:editId="5E0DA5E3">
                  <wp:extent cx="5575110" cy="2787555"/>
                  <wp:effectExtent l="0" t="0" r="6985" b="0"/>
                  <wp:docPr id="1067914928"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14928" name="Picture 1" descr="A graph of different colored bars&#10;&#10;Description automatically generated"/>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576738" cy="2788369"/>
                          </a:xfrm>
                          <a:prstGeom prst="rect">
                            <a:avLst/>
                          </a:prstGeom>
                          <a:noFill/>
                          <a:ln>
                            <a:noFill/>
                          </a:ln>
                        </pic:spPr>
                      </pic:pic>
                    </a:graphicData>
                  </a:graphic>
                </wp:inline>
              </w:drawing>
            </w:r>
          </w:p>
        </w:tc>
      </w:tr>
      <w:tr w:rsidR="006A0363" w:rsidRPr="00FA7D47" w14:paraId="2CAB1BB1" w14:textId="77777777" w:rsidTr="007D6607">
        <w:tc>
          <w:tcPr>
            <w:tcW w:w="9016" w:type="dxa"/>
          </w:tcPr>
          <w:p w14:paraId="4917AF41" w14:textId="02DCF0F7" w:rsidR="006A0363" w:rsidRPr="009819CE" w:rsidRDefault="006A0363" w:rsidP="007D6607">
            <w:pPr>
              <w:spacing w:line="240" w:lineRule="auto"/>
              <w:rPr>
                <w:rFonts w:cstheme="minorBidi"/>
                <w:lang w:val="en-GB"/>
              </w:rPr>
            </w:pPr>
            <w:bookmarkStart w:id="359" w:name="_Ref141624042"/>
            <w:bookmarkStart w:id="360" w:name="_Toc204106748"/>
            <w:r w:rsidRPr="009819CE">
              <w:rPr>
                <w:rFonts w:cstheme="minorBidi"/>
                <w:b/>
                <w:bCs/>
                <w:lang w:val="en-GB"/>
              </w:rPr>
              <w:t xml:space="preserve">Figure </w:t>
            </w:r>
            <w:r w:rsidRPr="001F4A34">
              <w:rPr>
                <w:rFonts w:cstheme="minorBidi"/>
                <w:b/>
                <w:bCs/>
              </w:rPr>
              <w:fldChar w:fldCharType="begin"/>
            </w:r>
            <w:r w:rsidRPr="009819CE">
              <w:rPr>
                <w:rFonts w:cstheme="minorBidi"/>
                <w:b/>
                <w:bCs/>
                <w:lang w:val="en-GB"/>
              </w:rPr>
              <w:instrText xml:space="preserve"> STYLEREF 1 \s </w:instrText>
            </w:r>
            <w:r w:rsidRPr="001F4A34">
              <w:rPr>
                <w:rFonts w:cstheme="minorBidi"/>
                <w:b/>
                <w:bCs/>
              </w:rPr>
              <w:fldChar w:fldCharType="separate"/>
            </w:r>
            <w:r w:rsidR="008549FC">
              <w:rPr>
                <w:rFonts w:cstheme="minorBidi"/>
                <w:b/>
                <w:bCs/>
                <w:noProof/>
                <w:lang w:val="en-GB"/>
              </w:rPr>
              <w:t>4</w:t>
            </w:r>
            <w:r w:rsidRPr="001F4A34">
              <w:rPr>
                <w:rFonts w:cstheme="minorBidi"/>
                <w:b/>
                <w:bCs/>
              </w:rPr>
              <w:fldChar w:fldCharType="end"/>
            </w:r>
            <w:r w:rsidRPr="009819CE">
              <w:rPr>
                <w:rFonts w:cstheme="minorBidi"/>
                <w:b/>
                <w:bCs/>
                <w:lang w:val="en-GB"/>
              </w:rPr>
              <w:t>.</w:t>
            </w:r>
            <w:r w:rsidRPr="001F4A34">
              <w:rPr>
                <w:rFonts w:cstheme="minorBidi"/>
                <w:b/>
                <w:bCs/>
              </w:rPr>
              <w:fldChar w:fldCharType="begin"/>
            </w:r>
            <w:r w:rsidRPr="009819CE">
              <w:rPr>
                <w:rFonts w:cstheme="minorBidi"/>
                <w:b/>
                <w:bCs/>
                <w:lang w:val="en-GB"/>
              </w:rPr>
              <w:instrText xml:space="preserve"> SEQ Figure \* ARABIC \s 1 </w:instrText>
            </w:r>
            <w:r w:rsidRPr="001F4A34">
              <w:rPr>
                <w:rFonts w:cstheme="minorBidi"/>
                <w:b/>
                <w:bCs/>
              </w:rPr>
              <w:fldChar w:fldCharType="separate"/>
            </w:r>
            <w:r w:rsidR="008549FC">
              <w:rPr>
                <w:rFonts w:cstheme="minorBidi"/>
                <w:b/>
                <w:bCs/>
                <w:noProof/>
                <w:lang w:val="en-GB"/>
              </w:rPr>
              <w:t>10</w:t>
            </w:r>
            <w:r w:rsidRPr="001F4A34">
              <w:rPr>
                <w:rFonts w:cstheme="minorBidi"/>
                <w:b/>
                <w:bCs/>
              </w:rPr>
              <w:fldChar w:fldCharType="end"/>
            </w:r>
            <w:bookmarkEnd w:id="359"/>
            <w:r w:rsidRPr="009819CE">
              <w:rPr>
                <w:rFonts w:cstheme="minorBidi"/>
                <w:lang w:val="en-GB"/>
              </w:rPr>
              <w:t xml:space="preserve"> </w:t>
            </w:r>
            <w:r w:rsidRPr="009819CE">
              <w:rPr>
                <w:rFonts w:cstheme="minorBidi"/>
                <w:sz w:val="22"/>
                <w:szCs w:val="22"/>
                <w:lang w:val="en-GB"/>
              </w:rPr>
              <w:t xml:space="preserve">Barplot depicting the average FAMES (%) in total lipids found in the hepatopancreas of </w:t>
            </w:r>
            <w:r w:rsidR="00C31E47" w:rsidRPr="009819CE">
              <w:rPr>
                <w:rFonts w:cstheme="minorBidi"/>
                <w:i/>
                <w:iCs/>
                <w:sz w:val="22"/>
                <w:lang w:val="en-GB"/>
              </w:rPr>
              <w:t>Nephrops</w:t>
            </w:r>
            <w:r w:rsidRPr="009819CE">
              <w:rPr>
                <w:rFonts w:cstheme="minorBidi"/>
                <w:i/>
                <w:iCs/>
                <w:sz w:val="22"/>
                <w:lang w:val="en-GB"/>
              </w:rPr>
              <w:t xml:space="preserve"> </w:t>
            </w:r>
            <w:r w:rsidRPr="009819CE">
              <w:rPr>
                <w:rFonts w:cstheme="minorBidi"/>
                <w:sz w:val="22"/>
                <w:szCs w:val="22"/>
                <w:lang w:val="en-GB"/>
              </w:rPr>
              <w:t xml:space="preserve">at different stages of </w:t>
            </w:r>
            <w:r w:rsidR="009D03F4" w:rsidRPr="009819CE">
              <w:rPr>
                <w:rFonts w:cstheme="minorBidi"/>
                <w:i/>
                <w:iCs/>
                <w:sz w:val="22"/>
                <w:szCs w:val="22"/>
                <w:lang w:val="en-GB"/>
              </w:rPr>
              <w:t>Hematodinium</w:t>
            </w:r>
            <w:r w:rsidRPr="009819CE">
              <w:rPr>
                <w:rFonts w:cstheme="minorBidi"/>
                <w:sz w:val="22"/>
                <w:szCs w:val="22"/>
                <w:lang w:val="en-GB"/>
              </w:rPr>
              <w:t xml:space="preserve"> sp. infection (stage 0-4) as classified by the PM, along with the hepatopancreas of the host that sporulated and the released spores (macrospores).</w:t>
            </w:r>
            <w:bookmarkEnd w:id="360"/>
          </w:p>
        </w:tc>
      </w:tr>
    </w:tbl>
    <w:p w14:paraId="3B522F4A" w14:textId="77777777" w:rsidR="006A0363" w:rsidRPr="009819CE" w:rsidRDefault="006A0363" w:rsidP="006A0363">
      <w:pPr>
        <w:ind w:left="20"/>
        <w:rPr>
          <w:rFonts w:cstheme="minorBidi"/>
        </w:rPr>
      </w:pPr>
    </w:p>
    <w:p w14:paraId="5AED097D" w14:textId="77777777" w:rsidR="006A0363" w:rsidRPr="009819CE" w:rsidRDefault="006A0363" w:rsidP="006A0363">
      <w:pPr>
        <w:ind w:left="20"/>
        <w:rPr>
          <w:rFonts w:cstheme="minorBidi"/>
        </w:rPr>
      </w:pPr>
    </w:p>
    <w:p w14:paraId="5291F7EC" w14:textId="77777777" w:rsidR="006A0363" w:rsidRPr="009819CE" w:rsidRDefault="006A0363" w:rsidP="006A0363">
      <w:pPr>
        <w:pStyle w:val="Caption"/>
        <w:rPr>
          <w:rFonts w:asciiTheme="minorBidi" w:hAnsiTheme="minorBidi" w:cstheme="min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6A0363" w:rsidRPr="00FA7D47" w14:paraId="0325F5D5" w14:textId="77777777" w:rsidTr="007D6607">
        <w:tc>
          <w:tcPr>
            <w:tcW w:w="5000" w:type="pct"/>
          </w:tcPr>
          <w:p w14:paraId="44E0E7B5" w14:textId="3630381E" w:rsidR="006A0363" w:rsidRPr="009819CE" w:rsidRDefault="00A02A5C" w:rsidP="007D6607">
            <w:pPr>
              <w:rPr>
                <w:rFonts w:cstheme="minorBidi"/>
                <w:lang w:val="en-GB"/>
              </w:rPr>
            </w:pPr>
            <w:r>
              <w:rPr>
                <w:noProof/>
              </w:rPr>
              <w:drawing>
                <wp:inline distT="0" distB="0" distL="0" distR="0" wp14:anchorId="5D4B8352" wp14:editId="69424735">
                  <wp:extent cx="5645661" cy="6586396"/>
                  <wp:effectExtent l="0" t="0" r="0" b="5080"/>
                  <wp:docPr id="19349695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648506" cy="6589715"/>
                          </a:xfrm>
                          <a:prstGeom prst="rect">
                            <a:avLst/>
                          </a:prstGeom>
                          <a:noFill/>
                          <a:ln>
                            <a:noFill/>
                          </a:ln>
                        </pic:spPr>
                      </pic:pic>
                    </a:graphicData>
                  </a:graphic>
                </wp:inline>
              </w:drawing>
            </w:r>
          </w:p>
        </w:tc>
      </w:tr>
      <w:tr w:rsidR="006A0363" w:rsidRPr="00FA7D47" w14:paraId="61046312" w14:textId="77777777" w:rsidTr="007D6607">
        <w:tc>
          <w:tcPr>
            <w:tcW w:w="5000" w:type="pct"/>
          </w:tcPr>
          <w:p w14:paraId="62548F25" w14:textId="38B051D5" w:rsidR="006A0363" w:rsidRPr="009819CE" w:rsidRDefault="006A0363" w:rsidP="007D6607">
            <w:pPr>
              <w:keepNext/>
              <w:spacing w:line="240" w:lineRule="auto"/>
              <w:rPr>
                <w:rFonts w:cstheme="minorBidi"/>
                <w:sz w:val="22"/>
                <w:szCs w:val="22"/>
                <w:lang w:val="en-GB"/>
              </w:rPr>
            </w:pPr>
            <w:bookmarkStart w:id="361" w:name="_Ref136949738"/>
            <w:bookmarkStart w:id="362" w:name="_Toc204106749"/>
            <w:r w:rsidRPr="009819CE">
              <w:rPr>
                <w:rFonts w:cstheme="minorBidi"/>
                <w:b/>
                <w:bCs/>
                <w:sz w:val="22"/>
                <w:szCs w:val="22"/>
                <w:lang w:val="en-GB"/>
              </w:rPr>
              <w:t xml:space="preserve">Figure </w:t>
            </w:r>
            <w:r w:rsidRPr="001F4A34">
              <w:rPr>
                <w:rFonts w:cstheme="minorBidi"/>
                <w:b/>
                <w:bCs/>
                <w:sz w:val="22"/>
              </w:rPr>
              <w:fldChar w:fldCharType="begin"/>
            </w:r>
            <w:r w:rsidRPr="009819CE">
              <w:rPr>
                <w:rFonts w:cstheme="minorBidi"/>
                <w:b/>
                <w:bCs/>
                <w:sz w:val="22"/>
                <w:szCs w:val="22"/>
                <w:lang w:val="en-GB"/>
              </w:rPr>
              <w:instrText xml:space="preserve"> STYLEREF 1 \s </w:instrText>
            </w:r>
            <w:r w:rsidRPr="001F4A34">
              <w:rPr>
                <w:rFonts w:cstheme="minorBidi"/>
                <w:b/>
                <w:bCs/>
                <w:sz w:val="22"/>
              </w:rPr>
              <w:fldChar w:fldCharType="separate"/>
            </w:r>
            <w:r w:rsidR="008549FC">
              <w:rPr>
                <w:rFonts w:cstheme="minorBidi"/>
                <w:b/>
                <w:bCs/>
                <w:noProof/>
                <w:sz w:val="22"/>
                <w:szCs w:val="22"/>
                <w:lang w:val="en-GB"/>
              </w:rPr>
              <w:t>4</w:t>
            </w:r>
            <w:r w:rsidRPr="001F4A34">
              <w:rPr>
                <w:rFonts w:cstheme="minorBidi"/>
                <w:b/>
                <w:bCs/>
                <w:sz w:val="22"/>
              </w:rPr>
              <w:fldChar w:fldCharType="end"/>
            </w:r>
            <w:r w:rsidRPr="009819CE">
              <w:rPr>
                <w:rFonts w:cstheme="minorBidi"/>
                <w:b/>
                <w:bCs/>
                <w:sz w:val="22"/>
                <w:szCs w:val="22"/>
                <w:lang w:val="en-GB"/>
              </w:rPr>
              <w:t>.</w:t>
            </w:r>
            <w:r w:rsidRPr="001F4A34">
              <w:rPr>
                <w:rFonts w:cstheme="minorBidi"/>
                <w:b/>
                <w:bCs/>
                <w:sz w:val="22"/>
              </w:rPr>
              <w:fldChar w:fldCharType="begin"/>
            </w:r>
            <w:r w:rsidRPr="009819CE">
              <w:rPr>
                <w:rFonts w:cstheme="minorBidi"/>
                <w:b/>
                <w:bCs/>
                <w:sz w:val="22"/>
                <w:szCs w:val="22"/>
                <w:lang w:val="en-GB"/>
              </w:rPr>
              <w:instrText xml:space="preserve"> SEQ Figure \* ARABIC \s 1 </w:instrText>
            </w:r>
            <w:r w:rsidRPr="001F4A34">
              <w:rPr>
                <w:rFonts w:cstheme="minorBidi"/>
                <w:b/>
                <w:bCs/>
                <w:sz w:val="22"/>
              </w:rPr>
              <w:fldChar w:fldCharType="separate"/>
            </w:r>
            <w:r w:rsidR="008549FC">
              <w:rPr>
                <w:rFonts w:cstheme="minorBidi"/>
                <w:b/>
                <w:bCs/>
                <w:noProof/>
                <w:sz w:val="22"/>
                <w:szCs w:val="22"/>
                <w:lang w:val="en-GB"/>
              </w:rPr>
              <w:t>11</w:t>
            </w:r>
            <w:r w:rsidRPr="001F4A34">
              <w:rPr>
                <w:rFonts w:cstheme="minorBidi"/>
                <w:b/>
                <w:bCs/>
                <w:sz w:val="22"/>
              </w:rPr>
              <w:fldChar w:fldCharType="end"/>
            </w:r>
            <w:bookmarkEnd w:id="361"/>
            <w:r w:rsidRPr="009819CE">
              <w:rPr>
                <w:rFonts w:cstheme="minorBidi"/>
                <w:sz w:val="22"/>
                <w:szCs w:val="22"/>
                <w:lang w:val="en-GB"/>
              </w:rPr>
              <w:t xml:space="preserve"> </w:t>
            </w:r>
            <w:r w:rsidR="008B6016" w:rsidRPr="00FA7D47">
              <w:rPr>
                <w:rFonts w:cstheme="minorBidi"/>
                <w:lang w:val="en-GB"/>
              </w:rPr>
              <w:t>F</w:t>
            </w:r>
            <w:r w:rsidR="008B6016" w:rsidRPr="009819CE">
              <w:rPr>
                <w:rFonts w:cstheme="minorBidi"/>
                <w:lang w:val="en-GB"/>
              </w:rPr>
              <w:t xml:space="preserve">atty acid composition </w:t>
            </w:r>
            <w:r w:rsidRPr="009819CE">
              <w:rPr>
                <w:rFonts w:cstheme="minorBidi"/>
                <w:lang w:val="en-GB"/>
              </w:rPr>
              <w:t xml:space="preserve">(in total lipid) in </w:t>
            </w:r>
            <w:r w:rsidR="00C31E47" w:rsidRPr="009819CE">
              <w:rPr>
                <w:rFonts w:cstheme="minorBidi"/>
                <w:i/>
                <w:iCs/>
                <w:lang w:val="en-GB"/>
              </w:rPr>
              <w:t>Nephrops</w:t>
            </w:r>
            <w:r w:rsidRPr="009819CE">
              <w:rPr>
                <w:rFonts w:cstheme="minorBidi"/>
                <w:lang w:val="en-GB"/>
              </w:rPr>
              <w:t xml:space="preserve"> hepatopancreas at different stages of infection (stages 0-4) and after sporulation and in spores released from sporulated animals. Limit of detection: 0.16.</w:t>
            </w:r>
            <w:bookmarkEnd w:id="362"/>
          </w:p>
        </w:tc>
      </w:tr>
    </w:tbl>
    <w:p w14:paraId="20D3B83F" w14:textId="77777777" w:rsidR="00044DD0" w:rsidRPr="009819CE" w:rsidRDefault="00044DD0" w:rsidP="006A0363">
      <w:pPr>
        <w:rPr>
          <w:rFonts w:cstheme="minorBidi"/>
        </w:rPr>
        <w:sectPr w:rsidR="00044DD0" w:rsidRPr="009819CE" w:rsidSect="00B32276">
          <w:footerReference w:type="default" r:id="rId111"/>
          <w:pgSz w:w="11900" w:h="16840"/>
          <w:pgMar w:top="1440" w:right="1440" w:bottom="1440" w:left="1440" w:header="340" w:footer="397" w:gutter="0"/>
          <w:cols w:space="720"/>
          <w:docGrid w:linePitch="360"/>
        </w:sectPr>
      </w:pPr>
    </w:p>
    <w:p w14:paraId="08310DF6" w14:textId="77777777" w:rsidR="006A0363" w:rsidRPr="009819CE" w:rsidRDefault="006A0363" w:rsidP="00B3468E">
      <w:pPr>
        <w:pStyle w:val="Heading3"/>
        <w:rPr>
          <w:rFonts w:cstheme="minorBidi"/>
        </w:rPr>
      </w:pPr>
      <w:bookmarkStart w:id="363" w:name="_Toc204106678"/>
      <w:r w:rsidRPr="009819CE">
        <w:rPr>
          <w:rFonts w:cstheme="minorBidi"/>
        </w:rPr>
        <w:t>Lipid class</w:t>
      </w:r>
      <w:bookmarkEnd w:id="363"/>
    </w:p>
    <w:p w14:paraId="3E7D6346" w14:textId="268C695E" w:rsidR="00233E03" w:rsidRPr="009819CE" w:rsidRDefault="006A0363" w:rsidP="00233E03">
      <w:pPr>
        <w:rPr>
          <w:rFonts w:cstheme="minorBidi"/>
        </w:rPr>
      </w:pPr>
      <w:r w:rsidRPr="009819CE">
        <w:rPr>
          <w:rFonts w:cstheme="minorBidi"/>
        </w:rPr>
        <w:t xml:space="preserve">The lipid class profiles in all samples were dominated by </w:t>
      </w:r>
      <w:r w:rsidR="000D07C6" w:rsidRPr="009819CE">
        <w:rPr>
          <w:rFonts w:cstheme="minorBidi"/>
        </w:rPr>
        <w:t>triacylglycerol’s</w:t>
      </w:r>
      <w:r w:rsidRPr="009819CE">
        <w:rPr>
          <w:rFonts w:cstheme="minorBidi"/>
        </w:rPr>
        <w:t xml:space="preserve">  (~50% in hepatopancreas; ~33% in macrospores),  followed by </w:t>
      </w:r>
      <w:r w:rsidRPr="009819CE">
        <w:rPr>
          <w:rFonts w:cstheme="minorBidi"/>
          <w:color w:val="000000"/>
        </w:rPr>
        <w:t xml:space="preserve">phosphatidylcholine </w:t>
      </w:r>
      <w:r w:rsidRPr="009819CE">
        <w:rPr>
          <w:rFonts w:cstheme="minorBidi"/>
        </w:rPr>
        <w:t>(~11-15% in hepatopancreas; ~22% in macrospores),</w:t>
      </w:r>
      <w:r w:rsidR="001B472F" w:rsidRPr="009819CE">
        <w:rPr>
          <w:rFonts w:cstheme="minorBidi"/>
        </w:rPr>
        <w:t xml:space="preserve"> </w:t>
      </w:r>
      <w:r w:rsidRPr="009819CE">
        <w:rPr>
          <w:rFonts w:cstheme="minorBidi"/>
        </w:rPr>
        <w:t>wax/sterol esters (~4-10% in hepatopancreas; ~8% in macrospores),</w:t>
      </w:r>
      <w:r w:rsidR="00087936" w:rsidRPr="009819CE">
        <w:rPr>
          <w:rFonts w:cstheme="minorBidi"/>
        </w:rPr>
        <w:t xml:space="preserve"> </w:t>
      </w:r>
      <w:r w:rsidRPr="009819CE">
        <w:rPr>
          <w:rFonts w:cstheme="minorBidi"/>
        </w:rPr>
        <w:t>and cholesterol/sterol (~8-11% in hepatopancreas; ~6% in macrospores) (</w:t>
      </w:r>
      <w:r w:rsidRPr="009819CE">
        <w:rPr>
          <w:rFonts w:cstheme="minorBidi"/>
          <w:b/>
          <w:bCs/>
        </w:rPr>
        <w:fldChar w:fldCharType="begin"/>
      </w:r>
      <w:r w:rsidRPr="009819CE">
        <w:rPr>
          <w:rFonts w:cstheme="minorBidi"/>
          <w:b/>
          <w:bCs/>
        </w:rPr>
        <w:instrText xml:space="preserve"> REF _Ref137632792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4.12</w:t>
      </w:r>
      <w:r w:rsidRPr="009819CE">
        <w:rPr>
          <w:rFonts w:cstheme="minorBidi"/>
          <w:b/>
          <w:bCs/>
        </w:rPr>
        <w:fldChar w:fldCharType="end"/>
      </w:r>
      <w:r w:rsidRPr="009819CE">
        <w:rPr>
          <w:rFonts w:cstheme="minorBidi"/>
        </w:rPr>
        <w:t xml:space="preserve">). </w:t>
      </w:r>
      <w:bookmarkStart w:id="364" w:name="_Ref201491704"/>
    </w:p>
    <w:bookmarkEnd w:id="364"/>
    <w:p w14:paraId="3062BB3E" w14:textId="05A62D85" w:rsidR="006A0363" w:rsidRPr="009819CE" w:rsidRDefault="006A0363" w:rsidP="006A0363">
      <w:pPr>
        <w:rPr>
          <w:rFonts w:cstheme="minorBidi"/>
        </w:rPr>
      </w:pPr>
      <w:r w:rsidRPr="009819CE">
        <w:rPr>
          <w:rFonts w:cstheme="minorBidi"/>
        </w:rPr>
        <w:t>The lipid class profiles of macrospores showed high similarity to those of the host hepatopancreas. However, the levels of phosphatidylcholine in the macrospore (approximately 23%) were higher than in the hepatopancreas (around 12%). Nevertheless, this difference was not deemed statistically significant due to the considerable variability observed across the samples (</w:t>
      </w:r>
      <w:r w:rsidR="008E2AEF" w:rsidRPr="00FA7D47">
        <w:rPr>
          <w:rFonts w:cstheme="minorBidi"/>
        </w:rPr>
        <w:fldChar w:fldCharType="begin"/>
      </w:r>
      <w:r w:rsidR="008E2AEF" w:rsidRPr="00FA7D47">
        <w:rPr>
          <w:rFonts w:cstheme="minorBidi"/>
        </w:rPr>
        <w:instrText xml:space="preserve"> REF _Ref201493747 \h </w:instrText>
      </w:r>
      <w:r w:rsidR="008E2AEF" w:rsidRPr="00FA7D47">
        <w:rPr>
          <w:rFonts w:cstheme="minorBidi"/>
        </w:rPr>
      </w:r>
      <w:r w:rsidR="008E2AEF" w:rsidRPr="00FA7D47">
        <w:rPr>
          <w:rFonts w:cstheme="minorBidi"/>
        </w:rPr>
        <w:fldChar w:fldCharType="separate"/>
      </w:r>
      <w:r w:rsidR="008549FC" w:rsidRPr="009819CE">
        <w:rPr>
          <w:b/>
          <w:bCs/>
        </w:rPr>
        <w:t xml:space="preserve">Table </w:t>
      </w:r>
      <w:r w:rsidR="008549FC">
        <w:rPr>
          <w:b/>
          <w:bCs/>
          <w:noProof/>
        </w:rPr>
        <w:t>4</w:t>
      </w:r>
      <w:r w:rsidR="008549FC">
        <w:rPr>
          <w:b/>
          <w:bCs/>
        </w:rPr>
        <w:t>.</w:t>
      </w:r>
      <w:r w:rsidR="008549FC">
        <w:rPr>
          <w:b/>
          <w:bCs/>
          <w:noProof/>
        </w:rPr>
        <w:t>4</w:t>
      </w:r>
      <w:r w:rsidR="008E2AEF" w:rsidRPr="00FA7D47">
        <w:rPr>
          <w:rFonts w:cstheme="minorBidi"/>
        </w:rPr>
        <w:fldChar w:fldCharType="end"/>
      </w:r>
      <w:r w:rsidR="008E2AEF" w:rsidRPr="00FA7D47">
        <w:rPr>
          <w:rFonts w:cstheme="minorBidi"/>
        </w:rPr>
        <w:t>).</w:t>
      </w:r>
      <w:r w:rsidR="00950097">
        <w:rPr>
          <w:rFonts w:cstheme="minorBidi"/>
        </w:rPr>
        <w:t xml:space="preserve"> </w:t>
      </w:r>
      <w:r w:rsidRPr="009819CE">
        <w:rPr>
          <w:rFonts w:cstheme="minorBidi"/>
        </w:rPr>
        <w:t>However, significant differences</w:t>
      </w:r>
      <w:r w:rsidR="008E2AEF" w:rsidRPr="00FA7D47">
        <w:rPr>
          <w:rFonts w:cstheme="minorBidi"/>
        </w:rPr>
        <w:t xml:space="preserve"> were observed</w:t>
      </w:r>
      <w:r w:rsidRPr="009819CE">
        <w:rPr>
          <w:rFonts w:cstheme="minorBidi"/>
        </w:rPr>
        <w:t xml:space="preserve"> in the levels of two lipid classes between the macrospores and the host hepatopancreas, namely unknown polar lipids (t-test, p=0.01) which were significantly higher in the macrospores </w:t>
      </w:r>
      <w:r w:rsidR="000D02C4">
        <w:rPr>
          <w:rFonts w:cstheme="minorBidi"/>
        </w:rPr>
        <w:t>(</w:t>
      </w:r>
      <w:r w:rsidR="000D02C4" w:rsidRPr="003C55E4">
        <w:rPr>
          <w:rFonts w:cstheme="minorBidi"/>
          <w:b/>
          <w:bCs/>
        </w:rPr>
        <w:fldChar w:fldCharType="begin"/>
      </w:r>
      <w:r w:rsidR="000D02C4" w:rsidRPr="003C55E4">
        <w:rPr>
          <w:rFonts w:cstheme="minorBidi"/>
          <w:b/>
          <w:bCs/>
        </w:rPr>
        <w:instrText xml:space="preserve"> REF _Ref204062687 \h </w:instrText>
      </w:r>
      <w:r w:rsidR="000D02C4">
        <w:rPr>
          <w:rFonts w:cstheme="minorBidi"/>
          <w:b/>
          <w:bCs/>
        </w:rPr>
        <w:instrText xml:space="preserve"> \* MERGEFORMAT </w:instrText>
      </w:r>
      <w:r w:rsidR="000D02C4" w:rsidRPr="003C55E4">
        <w:rPr>
          <w:rFonts w:cstheme="minorBidi"/>
          <w:b/>
          <w:bCs/>
        </w:rPr>
      </w:r>
      <w:r w:rsidR="000D02C4" w:rsidRPr="003C55E4">
        <w:rPr>
          <w:rFonts w:cstheme="minorBidi"/>
          <w:b/>
          <w:bCs/>
        </w:rPr>
        <w:fldChar w:fldCharType="separate"/>
      </w:r>
      <w:r w:rsidR="008549FC" w:rsidRPr="003C55E4">
        <w:rPr>
          <w:b/>
          <w:bCs/>
        </w:rPr>
        <w:t xml:space="preserve">Table </w:t>
      </w:r>
      <w:r w:rsidR="008549FC">
        <w:rPr>
          <w:b/>
          <w:bCs/>
          <w:noProof/>
        </w:rPr>
        <w:t>4</w:t>
      </w:r>
      <w:r w:rsidR="008549FC" w:rsidRPr="003C55E4">
        <w:rPr>
          <w:b/>
          <w:bCs/>
          <w:noProof/>
        </w:rPr>
        <w:t>.</w:t>
      </w:r>
      <w:r w:rsidR="008549FC">
        <w:rPr>
          <w:b/>
          <w:bCs/>
          <w:noProof/>
        </w:rPr>
        <w:t>5</w:t>
      </w:r>
      <w:r w:rsidR="000D02C4" w:rsidRPr="003C55E4">
        <w:rPr>
          <w:rFonts w:cstheme="minorBidi"/>
          <w:b/>
          <w:bCs/>
        </w:rPr>
        <w:fldChar w:fldCharType="end"/>
      </w:r>
      <w:r w:rsidR="000D02C4">
        <w:rPr>
          <w:rFonts w:cstheme="minorBidi"/>
        </w:rPr>
        <w:t xml:space="preserve">) </w:t>
      </w:r>
      <w:r w:rsidRPr="009819CE">
        <w:rPr>
          <w:rFonts w:cstheme="minorBidi"/>
        </w:rPr>
        <w:t>and cholesterol/sterol (t-test, p=0.045) (</w:t>
      </w:r>
      <w:r w:rsidR="0018617C" w:rsidRPr="009819CE">
        <w:rPr>
          <w:rFonts w:cstheme="minorBidi"/>
        </w:rPr>
        <w:fldChar w:fldCharType="begin"/>
      </w:r>
      <w:r w:rsidR="0018617C" w:rsidRPr="009819CE">
        <w:rPr>
          <w:rFonts w:cstheme="minorBidi"/>
        </w:rPr>
        <w:instrText xml:space="preserve"> REF _Ref201493747 \h </w:instrText>
      </w:r>
      <w:r w:rsidR="0018617C" w:rsidRPr="009819CE">
        <w:rPr>
          <w:rFonts w:cstheme="minorBidi"/>
        </w:rPr>
      </w:r>
      <w:r w:rsidR="0018617C" w:rsidRPr="009819CE">
        <w:rPr>
          <w:rFonts w:cstheme="minorBidi"/>
        </w:rPr>
        <w:fldChar w:fldCharType="separate"/>
      </w:r>
      <w:r w:rsidR="008549FC" w:rsidRPr="009819CE">
        <w:rPr>
          <w:b/>
          <w:bCs/>
        </w:rPr>
        <w:t xml:space="preserve">Table </w:t>
      </w:r>
      <w:r w:rsidR="008549FC">
        <w:rPr>
          <w:b/>
          <w:bCs/>
          <w:noProof/>
        </w:rPr>
        <w:t>4</w:t>
      </w:r>
      <w:r w:rsidR="008549FC">
        <w:rPr>
          <w:b/>
          <w:bCs/>
        </w:rPr>
        <w:t>.</w:t>
      </w:r>
      <w:r w:rsidR="008549FC">
        <w:rPr>
          <w:b/>
          <w:bCs/>
          <w:noProof/>
        </w:rPr>
        <w:t>4</w:t>
      </w:r>
      <w:r w:rsidR="0018617C" w:rsidRPr="009819CE">
        <w:rPr>
          <w:rFonts w:cstheme="minorBidi"/>
        </w:rPr>
        <w:fldChar w:fldCharType="end"/>
      </w:r>
      <w:r w:rsidR="0018617C" w:rsidRPr="009819CE">
        <w:rPr>
          <w:rFonts w:cstheme="minorBidi"/>
        </w:rPr>
        <w:t xml:space="preserve"> and </w:t>
      </w:r>
      <w:r w:rsidRPr="009819CE">
        <w:rPr>
          <w:rFonts w:cstheme="minorBidi"/>
          <w:b/>
          <w:bCs/>
        </w:rPr>
        <w:fldChar w:fldCharType="begin"/>
      </w:r>
      <w:r w:rsidRPr="009819CE">
        <w:rPr>
          <w:rFonts w:cstheme="minorBidi"/>
          <w:b/>
          <w:bCs/>
        </w:rPr>
        <w:instrText xml:space="preserve"> REF _Ref137632792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4.12</w:t>
      </w:r>
      <w:r w:rsidRPr="009819CE">
        <w:rPr>
          <w:rFonts w:cstheme="minorBidi"/>
          <w:b/>
          <w:bCs/>
        </w:rPr>
        <w:fldChar w:fldCharType="end"/>
      </w:r>
      <w:r w:rsidRPr="009819CE">
        <w:rPr>
          <w:rFonts w:cstheme="minorBidi"/>
        </w:rPr>
        <w:t xml:space="preserve">), which was significantly lower in the macrospores. </w:t>
      </w:r>
    </w:p>
    <w:p w14:paraId="56B603A0" w14:textId="6D7A7FBC" w:rsidR="006A0363" w:rsidRPr="000D02C4" w:rsidRDefault="006A0363" w:rsidP="006A0363">
      <w:pPr>
        <w:rPr>
          <w:rFonts w:cstheme="minorBidi"/>
          <w:lang w:val="es-ES"/>
        </w:rPr>
      </w:pPr>
      <w:r w:rsidRPr="009819CE">
        <w:rPr>
          <w:rFonts w:cstheme="minorBidi"/>
        </w:rPr>
        <w:t>Similarly, when comparing macrospores to hepatopancreas with varying levels of infection across all infection stages (stage 0 – stage 4; PM), macrospores showed notably increased levels of unknown polar lipids (Anova, p=1.7</w:t>
      </w:r>
      <w:r w:rsidR="003C55E4">
        <w:rPr>
          <w:rFonts w:cstheme="minorBidi"/>
        </w:rPr>
        <w:t>5</w:t>
      </w:r>
      <w:r w:rsidRPr="009819CE">
        <w:rPr>
          <w:rFonts w:cstheme="minorBidi"/>
        </w:rPr>
        <w:t>E</w:t>
      </w:r>
      <w:r w:rsidRPr="009819CE">
        <w:rPr>
          <w:rFonts w:cstheme="minorBidi"/>
          <w:vertAlign w:val="superscript"/>
        </w:rPr>
        <w:t>-05</w:t>
      </w:r>
      <w:r w:rsidRPr="009819CE">
        <w:rPr>
          <w:rFonts w:cstheme="minorBidi"/>
        </w:rPr>
        <w:t>) (</w:t>
      </w:r>
      <w:r w:rsidRPr="009819CE">
        <w:rPr>
          <w:rFonts w:cstheme="minorBidi"/>
          <w:b/>
          <w:bCs/>
        </w:rPr>
        <w:fldChar w:fldCharType="begin"/>
      </w:r>
      <w:r w:rsidRPr="009819CE">
        <w:rPr>
          <w:rFonts w:cstheme="minorBidi"/>
          <w:b/>
          <w:bCs/>
        </w:rPr>
        <w:instrText xml:space="preserve"> REF _Ref137632792 \h  \* MERGEFORMAT </w:instrText>
      </w:r>
      <w:r w:rsidRPr="009819CE">
        <w:rPr>
          <w:rFonts w:cstheme="minorBidi"/>
          <w:b/>
          <w:bCs/>
        </w:rPr>
      </w:r>
      <w:r w:rsidRPr="009819CE">
        <w:rPr>
          <w:rFonts w:cstheme="minorBidi"/>
          <w:b/>
          <w:bCs/>
        </w:rPr>
        <w:fldChar w:fldCharType="separate"/>
      </w:r>
      <w:r w:rsidR="008549FC" w:rsidRPr="008549FC">
        <w:rPr>
          <w:rFonts w:cstheme="minorBidi"/>
          <w:b/>
          <w:bCs/>
        </w:rPr>
        <w:t>Figure 4.12</w:t>
      </w:r>
      <w:r w:rsidRPr="009819CE">
        <w:rPr>
          <w:rFonts w:cstheme="minorBidi"/>
          <w:b/>
          <w:bCs/>
        </w:rPr>
        <w:fldChar w:fldCharType="end"/>
      </w:r>
      <w:r w:rsidR="000D02C4">
        <w:rPr>
          <w:rFonts w:cstheme="minorBidi"/>
          <w:b/>
          <w:bCs/>
        </w:rPr>
        <w:t xml:space="preserve"> </w:t>
      </w:r>
      <w:r w:rsidR="000D02C4">
        <w:rPr>
          <w:rFonts w:cstheme="minorBidi"/>
        </w:rPr>
        <w:t xml:space="preserve">and </w:t>
      </w:r>
      <w:r w:rsidR="000D02C4" w:rsidRPr="003C55E4">
        <w:rPr>
          <w:rFonts w:cstheme="minorBidi"/>
          <w:b/>
          <w:bCs/>
        </w:rPr>
        <w:fldChar w:fldCharType="begin"/>
      </w:r>
      <w:r w:rsidR="000D02C4" w:rsidRPr="003C55E4">
        <w:rPr>
          <w:rFonts w:cstheme="minorBidi"/>
          <w:b/>
          <w:bCs/>
        </w:rPr>
        <w:instrText xml:space="preserve"> REF _Ref204062687 \h </w:instrText>
      </w:r>
      <w:r w:rsidR="000D02C4">
        <w:rPr>
          <w:rFonts w:cstheme="minorBidi"/>
          <w:b/>
          <w:bCs/>
        </w:rPr>
        <w:instrText xml:space="preserve"> \* MERGEFORMAT </w:instrText>
      </w:r>
      <w:r w:rsidR="000D02C4" w:rsidRPr="003C55E4">
        <w:rPr>
          <w:rFonts w:cstheme="minorBidi"/>
          <w:b/>
          <w:bCs/>
        </w:rPr>
      </w:r>
      <w:r w:rsidR="000D02C4" w:rsidRPr="003C55E4">
        <w:rPr>
          <w:rFonts w:cstheme="minorBidi"/>
          <w:b/>
          <w:bCs/>
        </w:rPr>
        <w:fldChar w:fldCharType="separate"/>
      </w:r>
      <w:r w:rsidR="008549FC" w:rsidRPr="003C55E4">
        <w:rPr>
          <w:b/>
          <w:bCs/>
        </w:rPr>
        <w:t xml:space="preserve">Table </w:t>
      </w:r>
      <w:r w:rsidR="008549FC">
        <w:rPr>
          <w:b/>
          <w:bCs/>
          <w:noProof/>
        </w:rPr>
        <w:t>4</w:t>
      </w:r>
      <w:r w:rsidR="008549FC" w:rsidRPr="003C55E4">
        <w:rPr>
          <w:b/>
          <w:bCs/>
          <w:noProof/>
        </w:rPr>
        <w:t>.</w:t>
      </w:r>
      <w:r w:rsidR="008549FC">
        <w:rPr>
          <w:b/>
          <w:bCs/>
          <w:noProof/>
        </w:rPr>
        <w:t>5</w:t>
      </w:r>
      <w:r w:rsidR="000D02C4" w:rsidRPr="003C55E4">
        <w:rPr>
          <w:rFonts w:cstheme="minorBidi"/>
          <w:b/>
          <w:bCs/>
        </w:rPr>
        <w:fldChar w:fldCharType="end"/>
      </w:r>
      <w:r w:rsidR="000D02C4">
        <w:rPr>
          <w:rFonts w:cstheme="minorBidi"/>
          <w:b/>
          <w:bCs/>
        </w:rPr>
        <w:t xml:space="preserve"> </w:t>
      </w:r>
      <w:r w:rsidRPr="009819CE">
        <w:rPr>
          <w:rFonts w:cstheme="minorBidi"/>
        </w:rPr>
        <w:t xml:space="preserve">). </w:t>
      </w:r>
      <w:r w:rsidR="000D02C4">
        <w:t xml:space="preserve">Additionally, phosphatidylglycerol levels were significantly lower in stage 3 of infection compared to the macrospore (ANOVA, </w:t>
      </w:r>
      <w:r w:rsidR="000D02C4">
        <w:rPr>
          <w:rStyle w:val="Emphasis"/>
          <w:rFonts w:eastAsiaTheme="majorEastAsia"/>
        </w:rPr>
        <w:t>p</w:t>
      </w:r>
      <w:r w:rsidR="000D02C4">
        <w:t xml:space="preserve"> = 0.0451).</w:t>
      </w:r>
    </w:p>
    <w:p w14:paraId="7367DE72" w14:textId="13774354" w:rsidR="00337EB7" w:rsidRPr="009819CE" w:rsidRDefault="006A0363" w:rsidP="006A0363">
      <w:pPr>
        <w:rPr>
          <w:rFonts w:cstheme="minorBidi"/>
        </w:rPr>
        <w:sectPr w:rsidR="00337EB7" w:rsidRPr="009819CE" w:rsidSect="000D0EBA">
          <w:headerReference w:type="default" r:id="rId112"/>
          <w:footerReference w:type="default" r:id="rId113"/>
          <w:pgSz w:w="11906" w:h="16838" w:code="9"/>
          <w:pgMar w:top="1440" w:right="1440" w:bottom="1440" w:left="1440" w:header="567" w:footer="567" w:gutter="0"/>
          <w:cols w:space="708"/>
          <w:docGrid w:linePitch="360"/>
        </w:sectPr>
      </w:pPr>
      <w:r w:rsidRPr="009819CE">
        <w:rPr>
          <w:rFonts w:cstheme="minorBidi"/>
        </w:rPr>
        <w:t xml:space="preserve">Within the hepatopancreas itself, there were no significant differences in the lipid class profile with respect to different </w:t>
      </w:r>
      <w:r w:rsidR="009D03F4" w:rsidRPr="009819CE">
        <w:rPr>
          <w:rFonts w:cstheme="minorBidi"/>
          <w:i/>
          <w:iCs/>
        </w:rPr>
        <w:t>Hematodinium</w:t>
      </w:r>
      <w:r w:rsidRPr="009819CE">
        <w:rPr>
          <w:rFonts w:cstheme="minorBidi"/>
        </w:rPr>
        <w:t xml:space="preserve"> sp. infection levels, except for the pigmented materials. Notably, stage 1 exhibited higher levels of pigmented material compared to stages 2, 3, and 4 (</w:t>
      </w:r>
      <w:r w:rsidR="003C55E4">
        <w:rPr>
          <w:rFonts w:cstheme="minorBidi"/>
        </w:rPr>
        <w:fldChar w:fldCharType="begin"/>
      </w:r>
      <w:r w:rsidR="003C55E4">
        <w:rPr>
          <w:rFonts w:cstheme="minorBidi"/>
        </w:rPr>
        <w:instrText xml:space="preserve"> REF _Ref201493747 \h </w:instrText>
      </w:r>
      <w:r w:rsidR="003C55E4">
        <w:rPr>
          <w:rFonts w:cstheme="minorBidi"/>
        </w:rPr>
      </w:r>
      <w:r w:rsidR="003C55E4">
        <w:rPr>
          <w:rFonts w:cstheme="minorBidi"/>
        </w:rPr>
        <w:fldChar w:fldCharType="separate"/>
      </w:r>
      <w:r w:rsidR="008549FC" w:rsidRPr="009819CE">
        <w:rPr>
          <w:b/>
          <w:bCs/>
        </w:rPr>
        <w:t xml:space="preserve">Table </w:t>
      </w:r>
      <w:r w:rsidR="008549FC">
        <w:rPr>
          <w:b/>
          <w:bCs/>
          <w:noProof/>
        </w:rPr>
        <w:t>4</w:t>
      </w:r>
      <w:r w:rsidR="008549FC">
        <w:rPr>
          <w:b/>
          <w:bCs/>
        </w:rPr>
        <w:t>.</w:t>
      </w:r>
      <w:r w:rsidR="008549FC">
        <w:rPr>
          <w:b/>
          <w:bCs/>
          <w:noProof/>
        </w:rPr>
        <w:t>4</w:t>
      </w:r>
      <w:r w:rsidR="003C55E4">
        <w:rPr>
          <w:rFonts w:cstheme="minorBidi"/>
        </w:rPr>
        <w:fldChar w:fldCharType="end"/>
      </w:r>
      <w:r w:rsidR="003C55E4">
        <w:rPr>
          <w:rFonts w:cstheme="minorBidi"/>
        </w:rPr>
        <w:t xml:space="preserve"> and </w:t>
      </w:r>
      <w:r w:rsidR="003C55E4" w:rsidRPr="003C55E4">
        <w:rPr>
          <w:rFonts w:cstheme="minorBidi"/>
          <w:b/>
          <w:bCs/>
        </w:rPr>
        <w:fldChar w:fldCharType="begin"/>
      </w:r>
      <w:r w:rsidR="003C55E4" w:rsidRPr="003C55E4">
        <w:rPr>
          <w:rFonts w:cstheme="minorBidi"/>
          <w:b/>
          <w:bCs/>
        </w:rPr>
        <w:instrText xml:space="preserve"> REF _Ref204062687 \h </w:instrText>
      </w:r>
      <w:r w:rsidR="003C55E4">
        <w:rPr>
          <w:rFonts w:cstheme="minorBidi"/>
          <w:b/>
          <w:bCs/>
        </w:rPr>
        <w:instrText xml:space="preserve"> \* MERGEFORMAT </w:instrText>
      </w:r>
      <w:r w:rsidR="003C55E4" w:rsidRPr="003C55E4">
        <w:rPr>
          <w:rFonts w:cstheme="minorBidi"/>
          <w:b/>
          <w:bCs/>
        </w:rPr>
      </w:r>
      <w:r w:rsidR="003C55E4" w:rsidRPr="003C55E4">
        <w:rPr>
          <w:rFonts w:cstheme="minorBidi"/>
          <w:b/>
          <w:bCs/>
        </w:rPr>
        <w:fldChar w:fldCharType="separate"/>
      </w:r>
      <w:r w:rsidR="008549FC" w:rsidRPr="003C55E4">
        <w:rPr>
          <w:b/>
          <w:bCs/>
        </w:rPr>
        <w:t xml:space="preserve">Table </w:t>
      </w:r>
      <w:r w:rsidR="008549FC">
        <w:rPr>
          <w:b/>
          <w:bCs/>
          <w:noProof/>
        </w:rPr>
        <w:t>4</w:t>
      </w:r>
      <w:r w:rsidR="008549FC" w:rsidRPr="003C55E4">
        <w:rPr>
          <w:b/>
          <w:bCs/>
          <w:noProof/>
        </w:rPr>
        <w:t>.</w:t>
      </w:r>
      <w:r w:rsidR="008549FC">
        <w:rPr>
          <w:b/>
          <w:bCs/>
          <w:noProof/>
        </w:rPr>
        <w:t>5</w:t>
      </w:r>
      <w:r w:rsidR="003C55E4" w:rsidRPr="003C55E4">
        <w:rPr>
          <w:rFonts w:cstheme="minorBidi"/>
          <w:b/>
          <w:bCs/>
        </w:rPr>
        <w:fldChar w:fldCharType="end"/>
      </w:r>
      <w:r w:rsidRPr="009819CE">
        <w:rPr>
          <w:rFonts w:cstheme="minorBidi"/>
        </w:rPr>
        <w:t>).</w:t>
      </w:r>
    </w:p>
    <w:p w14:paraId="72DDC2C3" w14:textId="3CE0E0AF" w:rsidR="003E2FDE" w:rsidRPr="001F4A34" w:rsidRDefault="00941E9B" w:rsidP="00BC67A2">
      <w:pPr>
        <w:pStyle w:val="Caption"/>
      </w:pPr>
      <w:bookmarkStart w:id="365" w:name="_Ref201493747"/>
      <w:bookmarkStart w:id="366" w:name="_Toc202273066"/>
      <w:bookmarkStart w:id="367" w:name="_Ref204062627"/>
      <w:bookmarkStart w:id="368" w:name="_Toc204106764"/>
      <w:r w:rsidRPr="009819CE">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4</w:t>
      </w:r>
      <w:r w:rsidR="0095522A">
        <w:rPr>
          <w:b/>
          <w:bCs/>
        </w:rPr>
        <w:fldChar w:fldCharType="end"/>
      </w:r>
      <w:bookmarkEnd w:id="365"/>
      <w:r w:rsidRPr="009819CE">
        <w:t xml:space="preserve"> </w:t>
      </w:r>
      <w:r w:rsidR="003E2FDE" w:rsidRPr="00FA7D47">
        <w:rPr>
          <w:rFonts w:cstheme="minorBidi"/>
          <w:color w:val="000000"/>
        </w:rPr>
        <w:t xml:space="preserve">Lipid class (% of total lipid) in oil extracted </w:t>
      </w:r>
      <w:r w:rsidR="003E2FDE" w:rsidRPr="00FA7D47">
        <w:t xml:space="preserve">from </w:t>
      </w:r>
      <w:r w:rsidR="003E2FDE" w:rsidRPr="00FA7D47">
        <w:rPr>
          <w:i/>
          <w:iCs w:val="0"/>
        </w:rPr>
        <w:t>N.norvegicus</w:t>
      </w:r>
      <w:r w:rsidR="003E2FDE" w:rsidRPr="00FA7D47">
        <w:t xml:space="preserve"> hepatopancreas and from </w:t>
      </w:r>
      <w:r w:rsidR="003E2FDE" w:rsidRPr="00FA7D47">
        <w:rPr>
          <w:i/>
          <w:iCs w:val="0"/>
        </w:rPr>
        <w:t>Hematodinium</w:t>
      </w:r>
      <w:r w:rsidR="003E2FDE" w:rsidRPr="00FA7D47">
        <w:t xml:space="preserve"> macrospores. Samples were obtained from the hepatopancreas of </w:t>
      </w:r>
      <w:r w:rsidR="003E2FDE" w:rsidRPr="00FA7D47">
        <w:rPr>
          <w:i/>
          <w:iCs w:val="0"/>
        </w:rPr>
        <w:t>N. norvegicus</w:t>
      </w:r>
      <w:r w:rsidR="003E2FDE" w:rsidRPr="00FA7D47">
        <w:t xml:space="preserve"> individuals showing varying levels of </w:t>
      </w:r>
      <w:r w:rsidR="003E2FDE" w:rsidRPr="00FA7D47">
        <w:rPr>
          <w:i/>
          <w:iCs w:val="0"/>
        </w:rPr>
        <w:t>Hematodinium</w:t>
      </w:r>
      <w:r w:rsidR="003E2FDE" w:rsidRPr="00FA7D47">
        <w:t xml:space="preserve"> sp. infection (stages S0–S4), classified according to the pleopod method (PM). These individuals had not reached sporulation (non-sporulated). Additional samples were collected from the hepatopancreas of three individuals that had undergone sporulation (sporulated group, n = 3, </w:t>
      </w:r>
      <w:r w:rsidR="003E2FDE" w:rsidRPr="00FA7D47">
        <w:rPr>
          <w:rFonts w:cstheme="minorBidi"/>
          <w:color w:val="000000"/>
        </w:rPr>
        <w:t>PM stage 3-4).</w:t>
      </w:r>
      <w:r w:rsidR="003E2FDE" w:rsidRPr="00FA7D47">
        <w:t xml:space="preserve"> During these sporulation events, </w:t>
      </w:r>
      <w:r w:rsidR="003E2FDE" w:rsidRPr="00FA7D47">
        <w:rPr>
          <w:i/>
          <w:iCs w:val="0"/>
        </w:rPr>
        <w:t>Hematodinium</w:t>
      </w:r>
      <w:r w:rsidR="003E2FDE" w:rsidRPr="00FA7D47">
        <w:t xml:space="preserve"> sp. macrospores were evacuated through the gills of the host and subsequently isolated and analysed. All </w:t>
      </w:r>
      <w:r w:rsidR="003E2FDE" w:rsidRPr="00FA7D47">
        <w:rPr>
          <w:i/>
          <w:iCs w:val="0"/>
        </w:rPr>
        <w:t>Nephrops</w:t>
      </w:r>
      <w:r w:rsidR="003E2FDE" w:rsidRPr="00FA7D47">
        <w:t xml:space="preserve"> were collected from the Clyde Sea area. </w:t>
      </w:r>
      <w:r w:rsidR="003E2FDE" w:rsidRPr="00FA7D47">
        <w:rPr>
          <w:rFonts w:cstheme="minorBidi"/>
          <w:color w:val="000000"/>
        </w:rPr>
        <w:t>SD=standard deviation; n.d=not detected.</w:t>
      </w:r>
      <w:bookmarkEnd w:id="366"/>
      <w:bookmarkEnd w:id="367"/>
      <w:bookmarkEnd w:id="368"/>
    </w:p>
    <w:tbl>
      <w:tblPr>
        <w:tblW w:w="5000" w:type="pct"/>
        <w:tblLayout w:type="fixed"/>
        <w:tblLook w:val="04A0" w:firstRow="1" w:lastRow="0" w:firstColumn="1" w:lastColumn="0" w:noHBand="0" w:noVBand="1"/>
      </w:tblPr>
      <w:tblGrid>
        <w:gridCol w:w="2975"/>
        <w:gridCol w:w="1568"/>
        <w:gridCol w:w="1561"/>
        <w:gridCol w:w="1558"/>
        <w:gridCol w:w="1558"/>
        <w:gridCol w:w="39"/>
        <w:gridCol w:w="1519"/>
        <w:gridCol w:w="50"/>
        <w:gridCol w:w="1569"/>
        <w:gridCol w:w="84"/>
        <w:gridCol w:w="1477"/>
      </w:tblGrid>
      <w:tr w:rsidR="00337EB7" w:rsidRPr="00FA7D47" w14:paraId="3A1D4A77" w14:textId="77777777" w:rsidTr="0095549A">
        <w:trPr>
          <w:trHeight w:val="285"/>
        </w:trPr>
        <w:tc>
          <w:tcPr>
            <w:tcW w:w="1066" w:type="pct"/>
            <w:vMerge w:val="restart"/>
            <w:tcBorders>
              <w:top w:val="single" w:sz="4" w:space="0" w:color="auto"/>
              <w:left w:val="nil"/>
              <w:bottom w:val="single" w:sz="8" w:space="0" w:color="000000"/>
              <w:right w:val="nil"/>
            </w:tcBorders>
            <w:shd w:val="clear" w:color="auto" w:fill="auto"/>
            <w:noWrap/>
            <w:vAlign w:val="center"/>
            <w:hideMark/>
          </w:tcPr>
          <w:p w14:paraId="35A30B86"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Lipid class composition (% total lipid)</w:t>
            </w:r>
          </w:p>
        </w:tc>
        <w:tc>
          <w:tcPr>
            <w:tcW w:w="559" w:type="pct"/>
            <w:tcBorders>
              <w:top w:val="single" w:sz="4" w:space="0" w:color="auto"/>
              <w:left w:val="nil"/>
              <w:bottom w:val="nil"/>
              <w:right w:val="nil"/>
            </w:tcBorders>
            <w:shd w:val="clear" w:color="auto" w:fill="auto"/>
            <w:noWrap/>
            <w:vAlign w:val="center"/>
            <w:hideMark/>
          </w:tcPr>
          <w:p w14:paraId="4AFDDBD6"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S0</w:t>
            </w:r>
          </w:p>
        </w:tc>
        <w:tc>
          <w:tcPr>
            <w:tcW w:w="559" w:type="pct"/>
            <w:tcBorders>
              <w:top w:val="single" w:sz="4" w:space="0" w:color="auto"/>
              <w:left w:val="nil"/>
              <w:bottom w:val="nil"/>
              <w:right w:val="nil"/>
            </w:tcBorders>
            <w:shd w:val="clear" w:color="auto" w:fill="auto"/>
            <w:noWrap/>
            <w:vAlign w:val="center"/>
            <w:hideMark/>
          </w:tcPr>
          <w:p w14:paraId="07E77783"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S1</w:t>
            </w:r>
          </w:p>
        </w:tc>
        <w:tc>
          <w:tcPr>
            <w:tcW w:w="558" w:type="pct"/>
            <w:tcBorders>
              <w:top w:val="single" w:sz="4" w:space="0" w:color="auto"/>
              <w:left w:val="nil"/>
              <w:bottom w:val="nil"/>
              <w:right w:val="nil"/>
            </w:tcBorders>
            <w:shd w:val="clear" w:color="auto" w:fill="auto"/>
            <w:noWrap/>
            <w:vAlign w:val="center"/>
            <w:hideMark/>
          </w:tcPr>
          <w:p w14:paraId="55E09D1A"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S2</w:t>
            </w:r>
          </w:p>
        </w:tc>
        <w:tc>
          <w:tcPr>
            <w:tcW w:w="558" w:type="pct"/>
            <w:tcBorders>
              <w:top w:val="single" w:sz="4" w:space="0" w:color="auto"/>
              <w:left w:val="nil"/>
              <w:bottom w:val="nil"/>
              <w:right w:val="nil"/>
            </w:tcBorders>
            <w:shd w:val="clear" w:color="auto" w:fill="auto"/>
            <w:noWrap/>
            <w:vAlign w:val="center"/>
            <w:hideMark/>
          </w:tcPr>
          <w:p w14:paraId="24F7D759"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S3</w:t>
            </w:r>
          </w:p>
        </w:tc>
        <w:tc>
          <w:tcPr>
            <w:tcW w:w="558" w:type="pct"/>
            <w:gridSpan w:val="2"/>
            <w:tcBorders>
              <w:top w:val="single" w:sz="4" w:space="0" w:color="auto"/>
              <w:left w:val="nil"/>
              <w:bottom w:val="nil"/>
              <w:right w:val="nil"/>
            </w:tcBorders>
            <w:shd w:val="clear" w:color="auto" w:fill="auto"/>
            <w:noWrap/>
            <w:vAlign w:val="center"/>
            <w:hideMark/>
          </w:tcPr>
          <w:p w14:paraId="530D3032"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S4</w:t>
            </w:r>
          </w:p>
        </w:tc>
        <w:tc>
          <w:tcPr>
            <w:tcW w:w="610" w:type="pct"/>
            <w:gridSpan w:val="3"/>
            <w:tcBorders>
              <w:top w:val="single" w:sz="4" w:space="0" w:color="auto"/>
              <w:left w:val="nil"/>
              <w:bottom w:val="nil"/>
              <w:right w:val="nil"/>
            </w:tcBorders>
            <w:shd w:val="clear" w:color="auto" w:fill="auto"/>
            <w:noWrap/>
            <w:vAlign w:val="center"/>
            <w:hideMark/>
          </w:tcPr>
          <w:p w14:paraId="3BFED737"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sporulated</w:t>
            </w:r>
          </w:p>
        </w:tc>
        <w:tc>
          <w:tcPr>
            <w:tcW w:w="532" w:type="pct"/>
            <w:tcBorders>
              <w:top w:val="single" w:sz="4" w:space="0" w:color="auto"/>
              <w:left w:val="nil"/>
              <w:bottom w:val="nil"/>
              <w:right w:val="nil"/>
            </w:tcBorders>
            <w:shd w:val="clear" w:color="auto" w:fill="auto"/>
            <w:noWrap/>
            <w:vAlign w:val="center"/>
            <w:hideMark/>
          </w:tcPr>
          <w:p w14:paraId="3A9325C8"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spore</w:t>
            </w:r>
          </w:p>
        </w:tc>
      </w:tr>
      <w:tr w:rsidR="00337EB7" w:rsidRPr="00FA7D47" w14:paraId="0A703CD0" w14:textId="77777777" w:rsidTr="0095549A">
        <w:trPr>
          <w:trHeight w:val="293"/>
        </w:trPr>
        <w:tc>
          <w:tcPr>
            <w:tcW w:w="1066" w:type="pct"/>
            <w:vMerge/>
            <w:tcBorders>
              <w:top w:val="single" w:sz="4" w:space="0" w:color="auto"/>
              <w:left w:val="nil"/>
              <w:bottom w:val="single" w:sz="8" w:space="0" w:color="000000"/>
              <w:right w:val="nil"/>
            </w:tcBorders>
            <w:vAlign w:val="center"/>
            <w:hideMark/>
          </w:tcPr>
          <w:p w14:paraId="10BE84C9" w14:textId="77777777" w:rsidR="00337EB7" w:rsidRPr="00FA7D47" w:rsidRDefault="00337EB7" w:rsidP="0095549A">
            <w:pPr>
              <w:spacing w:after="0" w:line="240" w:lineRule="auto"/>
              <w:jc w:val="left"/>
              <w:rPr>
                <w:rFonts w:cstheme="minorBidi"/>
                <w:b/>
                <w:bCs/>
                <w:color w:val="000000"/>
                <w:sz w:val="22"/>
              </w:rPr>
            </w:pPr>
          </w:p>
        </w:tc>
        <w:tc>
          <w:tcPr>
            <w:tcW w:w="559" w:type="pct"/>
            <w:tcBorders>
              <w:top w:val="nil"/>
              <w:left w:val="nil"/>
              <w:bottom w:val="single" w:sz="8" w:space="0" w:color="auto"/>
              <w:right w:val="nil"/>
            </w:tcBorders>
            <w:shd w:val="clear" w:color="auto" w:fill="auto"/>
            <w:noWrap/>
            <w:vAlign w:val="center"/>
            <w:hideMark/>
          </w:tcPr>
          <w:p w14:paraId="77F8C66B"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c>
          <w:tcPr>
            <w:tcW w:w="559" w:type="pct"/>
            <w:tcBorders>
              <w:top w:val="nil"/>
              <w:left w:val="nil"/>
              <w:bottom w:val="single" w:sz="8" w:space="0" w:color="auto"/>
              <w:right w:val="nil"/>
            </w:tcBorders>
            <w:shd w:val="clear" w:color="auto" w:fill="auto"/>
            <w:noWrap/>
            <w:vAlign w:val="center"/>
            <w:hideMark/>
          </w:tcPr>
          <w:p w14:paraId="1DE0E7F1"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c>
          <w:tcPr>
            <w:tcW w:w="558" w:type="pct"/>
            <w:tcBorders>
              <w:top w:val="nil"/>
              <w:left w:val="nil"/>
              <w:bottom w:val="single" w:sz="8" w:space="0" w:color="auto"/>
              <w:right w:val="nil"/>
            </w:tcBorders>
            <w:shd w:val="clear" w:color="auto" w:fill="auto"/>
            <w:noWrap/>
            <w:vAlign w:val="center"/>
            <w:hideMark/>
          </w:tcPr>
          <w:p w14:paraId="582EBFC6"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c>
          <w:tcPr>
            <w:tcW w:w="558" w:type="pct"/>
            <w:tcBorders>
              <w:top w:val="nil"/>
              <w:left w:val="nil"/>
              <w:bottom w:val="single" w:sz="8" w:space="0" w:color="auto"/>
              <w:right w:val="nil"/>
            </w:tcBorders>
            <w:shd w:val="clear" w:color="auto" w:fill="auto"/>
            <w:noWrap/>
            <w:vAlign w:val="center"/>
            <w:hideMark/>
          </w:tcPr>
          <w:p w14:paraId="147FE3C0"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c>
          <w:tcPr>
            <w:tcW w:w="558" w:type="pct"/>
            <w:gridSpan w:val="2"/>
            <w:tcBorders>
              <w:top w:val="nil"/>
              <w:left w:val="nil"/>
              <w:bottom w:val="single" w:sz="8" w:space="0" w:color="auto"/>
              <w:right w:val="nil"/>
            </w:tcBorders>
            <w:shd w:val="clear" w:color="auto" w:fill="auto"/>
            <w:noWrap/>
            <w:vAlign w:val="center"/>
            <w:hideMark/>
          </w:tcPr>
          <w:p w14:paraId="095107E8"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c>
          <w:tcPr>
            <w:tcW w:w="610" w:type="pct"/>
            <w:gridSpan w:val="3"/>
            <w:tcBorders>
              <w:top w:val="nil"/>
              <w:left w:val="nil"/>
              <w:bottom w:val="single" w:sz="8" w:space="0" w:color="auto"/>
              <w:right w:val="nil"/>
            </w:tcBorders>
            <w:shd w:val="clear" w:color="auto" w:fill="auto"/>
            <w:noWrap/>
            <w:vAlign w:val="center"/>
            <w:hideMark/>
          </w:tcPr>
          <w:p w14:paraId="04A909E1"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c>
          <w:tcPr>
            <w:tcW w:w="532" w:type="pct"/>
            <w:tcBorders>
              <w:top w:val="nil"/>
              <w:left w:val="nil"/>
              <w:bottom w:val="single" w:sz="8" w:space="0" w:color="auto"/>
              <w:right w:val="nil"/>
            </w:tcBorders>
            <w:shd w:val="clear" w:color="auto" w:fill="auto"/>
            <w:noWrap/>
            <w:vAlign w:val="center"/>
            <w:hideMark/>
          </w:tcPr>
          <w:p w14:paraId="63ECB1DC"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mean ± sd</w:t>
            </w:r>
          </w:p>
        </w:tc>
      </w:tr>
      <w:tr w:rsidR="00337EB7" w:rsidRPr="00FA7D47" w14:paraId="54104C7A" w14:textId="77777777" w:rsidTr="0095549A">
        <w:trPr>
          <w:trHeight w:val="285"/>
        </w:trPr>
        <w:tc>
          <w:tcPr>
            <w:tcW w:w="1066" w:type="pct"/>
            <w:tcBorders>
              <w:top w:val="nil"/>
              <w:left w:val="nil"/>
              <w:bottom w:val="nil"/>
              <w:right w:val="nil"/>
            </w:tcBorders>
            <w:shd w:val="clear" w:color="auto" w:fill="auto"/>
            <w:noWrap/>
            <w:vAlign w:val="center"/>
            <w:hideMark/>
          </w:tcPr>
          <w:p w14:paraId="0ED99CA8"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Lysophosphatidylcholine</w:t>
            </w:r>
          </w:p>
        </w:tc>
        <w:tc>
          <w:tcPr>
            <w:tcW w:w="562" w:type="pct"/>
            <w:tcBorders>
              <w:top w:val="nil"/>
              <w:left w:val="nil"/>
              <w:bottom w:val="nil"/>
              <w:right w:val="nil"/>
            </w:tcBorders>
            <w:shd w:val="clear" w:color="auto" w:fill="auto"/>
            <w:noWrap/>
            <w:vAlign w:val="center"/>
            <w:hideMark/>
          </w:tcPr>
          <w:p w14:paraId="4D5B892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0.03 ± 0.08</w:t>
            </w:r>
          </w:p>
        </w:tc>
        <w:tc>
          <w:tcPr>
            <w:tcW w:w="556" w:type="pct"/>
            <w:tcBorders>
              <w:top w:val="nil"/>
              <w:left w:val="nil"/>
              <w:bottom w:val="nil"/>
              <w:right w:val="nil"/>
            </w:tcBorders>
            <w:shd w:val="clear" w:color="auto" w:fill="auto"/>
            <w:noWrap/>
            <w:vAlign w:val="center"/>
            <w:hideMark/>
          </w:tcPr>
          <w:p w14:paraId="4BA8CEB8"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0.04 ± 0.13</w:t>
            </w:r>
          </w:p>
        </w:tc>
        <w:tc>
          <w:tcPr>
            <w:tcW w:w="558" w:type="pct"/>
            <w:tcBorders>
              <w:top w:val="nil"/>
              <w:left w:val="nil"/>
              <w:bottom w:val="nil"/>
              <w:right w:val="nil"/>
            </w:tcBorders>
            <w:shd w:val="clear" w:color="auto" w:fill="auto"/>
            <w:noWrap/>
            <w:vAlign w:val="center"/>
            <w:hideMark/>
          </w:tcPr>
          <w:p w14:paraId="260F3BD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0.27 ± 0.34</w:t>
            </w:r>
          </w:p>
        </w:tc>
        <w:tc>
          <w:tcPr>
            <w:tcW w:w="572" w:type="pct"/>
            <w:gridSpan w:val="2"/>
            <w:tcBorders>
              <w:top w:val="nil"/>
              <w:left w:val="nil"/>
              <w:bottom w:val="nil"/>
              <w:right w:val="nil"/>
            </w:tcBorders>
            <w:shd w:val="clear" w:color="auto" w:fill="auto"/>
            <w:noWrap/>
            <w:vAlign w:val="center"/>
            <w:hideMark/>
          </w:tcPr>
          <w:p w14:paraId="31787104"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0.19 ± 0.31</w:t>
            </w:r>
          </w:p>
        </w:tc>
        <w:tc>
          <w:tcPr>
            <w:tcW w:w="562" w:type="pct"/>
            <w:gridSpan w:val="2"/>
            <w:tcBorders>
              <w:top w:val="nil"/>
              <w:left w:val="nil"/>
              <w:bottom w:val="nil"/>
              <w:right w:val="nil"/>
            </w:tcBorders>
            <w:shd w:val="clear" w:color="auto" w:fill="auto"/>
            <w:noWrap/>
            <w:vAlign w:val="center"/>
            <w:hideMark/>
          </w:tcPr>
          <w:p w14:paraId="7494773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0.05 ± 0.09</w:t>
            </w:r>
          </w:p>
        </w:tc>
        <w:tc>
          <w:tcPr>
            <w:tcW w:w="562" w:type="pct"/>
            <w:tcBorders>
              <w:top w:val="nil"/>
              <w:left w:val="nil"/>
              <w:bottom w:val="nil"/>
              <w:right w:val="nil"/>
            </w:tcBorders>
            <w:shd w:val="clear" w:color="auto" w:fill="auto"/>
            <w:noWrap/>
            <w:vAlign w:val="center"/>
            <w:hideMark/>
          </w:tcPr>
          <w:p w14:paraId="7EAEBE9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0.53 ± 0.92</w:t>
            </w:r>
          </w:p>
        </w:tc>
        <w:tc>
          <w:tcPr>
            <w:tcW w:w="562" w:type="pct"/>
            <w:gridSpan w:val="2"/>
            <w:tcBorders>
              <w:top w:val="nil"/>
              <w:left w:val="nil"/>
              <w:bottom w:val="nil"/>
              <w:right w:val="nil"/>
            </w:tcBorders>
            <w:shd w:val="clear" w:color="auto" w:fill="auto"/>
            <w:noWrap/>
            <w:vAlign w:val="center"/>
            <w:hideMark/>
          </w:tcPr>
          <w:p w14:paraId="10D19A1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0.4 ± 0.44</w:t>
            </w:r>
          </w:p>
        </w:tc>
      </w:tr>
      <w:tr w:rsidR="00337EB7" w:rsidRPr="00FA7D47" w14:paraId="11EF84CA" w14:textId="77777777" w:rsidTr="0095549A">
        <w:trPr>
          <w:trHeight w:val="285"/>
        </w:trPr>
        <w:tc>
          <w:tcPr>
            <w:tcW w:w="1066" w:type="pct"/>
            <w:tcBorders>
              <w:top w:val="nil"/>
              <w:left w:val="nil"/>
              <w:bottom w:val="nil"/>
              <w:right w:val="nil"/>
            </w:tcBorders>
            <w:shd w:val="clear" w:color="auto" w:fill="auto"/>
            <w:noWrap/>
            <w:vAlign w:val="center"/>
            <w:hideMark/>
          </w:tcPr>
          <w:p w14:paraId="1052B70B"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Sphingomyelin</w:t>
            </w:r>
          </w:p>
        </w:tc>
        <w:tc>
          <w:tcPr>
            <w:tcW w:w="562" w:type="pct"/>
            <w:tcBorders>
              <w:top w:val="nil"/>
              <w:left w:val="nil"/>
              <w:bottom w:val="nil"/>
              <w:right w:val="nil"/>
            </w:tcBorders>
            <w:shd w:val="clear" w:color="auto" w:fill="auto"/>
            <w:noWrap/>
            <w:vAlign w:val="center"/>
            <w:hideMark/>
          </w:tcPr>
          <w:p w14:paraId="5044E8DA"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0.41 ± 0.48</w:t>
            </w:r>
          </w:p>
        </w:tc>
        <w:tc>
          <w:tcPr>
            <w:tcW w:w="556" w:type="pct"/>
            <w:tcBorders>
              <w:top w:val="nil"/>
              <w:left w:val="nil"/>
              <w:bottom w:val="nil"/>
              <w:right w:val="nil"/>
            </w:tcBorders>
            <w:shd w:val="clear" w:color="auto" w:fill="auto"/>
            <w:noWrap/>
            <w:vAlign w:val="center"/>
            <w:hideMark/>
          </w:tcPr>
          <w:p w14:paraId="7EA5D473"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0.34 ± 0.41</w:t>
            </w:r>
          </w:p>
        </w:tc>
        <w:tc>
          <w:tcPr>
            <w:tcW w:w="558" w:type="pct"/>
            <w:tcBorders>
              <w:top w:val="nil"/>
              <w:left w:val="nil"/>
              <w:bottom w:val="nil"/>
              <w:right w:val="nil"/>
            </w:tcBorders>
            <w:shd w:val="clear" w:color="auto" w:fill="auto"/>
            <w:noWrap/>
            <w:vAlign w:val="center"/>
            <w:hideMark/>
          </w:tcPr>
          <w:p w14:paraId="3AD43724"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0.52 ± 0.64</w:t>
            </w:r>
          </w:p>
        </w:tc>
        <w:tc>
          <w:tcPr>
            <w:tcW w:w="572" w:type="pct"/>
            <w:gridSpan w:val="2"/>
            <w:tcBorders>
              <w:top w:val="nil"/>
              <w:left w:val="nil"/>
              <w:bottom w:val="nil"/>
              <w:right w:val="nil"/>
            </w:tcBorders>
            <w:shd w:val="clear" w:color="auto" w:fill="auto"/>
            <w:noWrap/>
            <w:vAlign w:val="center"/>
            <w:hideMark/>
          </w:tcPr>
          <w:p w14:paraId="7A54213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0.33 ± 0.24</w:t>
            </w:r>
          </w:p>
        </w:tc>
        <w:tc>
          <w:tcPr>
            <w:tcW w:w="562" w:type="pct"/>
            <w:gridSpan w:val="2"/>
            <w:tcBorders>
              <w:top w:val="nil"/>
              <w:left w:val="nil"/>
              <w:bottom w:val="nil"/>
              <w:right w:val="nil"/>
            </w:tcBorders>
            <w:shd w:val="clear" w:color="auto" w:fill="auto"/>
            <w:noWrap/>
            <w:vAlign w:val="center"/>
            <w:hideMark/>
          </w:tcPr>
          <w:p w14:paraId="088A28B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0.32 ± 0.47</w:t>
            </w:r>
          </w:p>
        </w:tc>
        <w:tc>
          <w:tcPr>
            <w:tcW w:w="562" w:type="pct"/>
            <w:tcBorders>
              <w:top w:val="nil"/>
              <w:left w:val="nil"/>
              <w:bottom w:val="nil"/>
              <w:right w:val="nil"/>
            </w:tcBorders>
            <w:shd w:val="clear" w:color="auto" w:fill="auto"/>
            <w:noWrap/>
            <w:vAlign w:val="center"/>
            <w:hideMark/>
          </w:tcPr>
          <w:p w14:paraId="37490578"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0.43 ± 0.4</w:t>
            </w:r>
          </w:p>
        </w:tc>
        <w:tc>
          <w:tcPr>
            <w:tcW w:w="562" w:type="pct"/>
            <w:gridSpan w:val="2"/>
            <w:tcBorders>
              <w:top w:val="nil"/>
              <w:left w:val="nil"/>
              <w:bottom w:val="nil"/>
              <w:right w:val="nil"/>
            </w:tcBorders>
            <w:shd w:val="clear" w:color="auto" w:fill="auto"/>
            <w:noWrap/>
            <w:vAlign w:val="center"/>
            <w:hideMark/>
          </w:tcPr>
          <w:p w14:paraId="07639248"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1.53 ± 0.23</w:t>
            </w:r>
          </w:p>
        </w:tc>
      </w:tr>
      <w:tr w:rsidR="00337EB7" w:rsidRPr="00FA7D47" w14:paraId="63B7CE9A" w14:textId="77777777" w:rsidTr="0095549A">
        <w:trPr>
          <w:trHeight w:val="285"/>
        </w:trPr>
        <w:tc>
          <w:tcPr>
            <w:tcW w:w="1066" w:type="pct"/>
            <w:tcBorders>
              <w:top w:val="nil"/>
              <w:left w:val="nil"/>
              <w:bottom w:val="nil"/>
              <w:right w:val="nil"/>
            </w:tcBorders>
            <w:shd w:val="clear" w:color="auto" w:fill="auto"/>
            <w:noWrap/>
            <w:vAlign w:val="center"/>
            <w:hideMark/>
          </w:tcPr>
          <w:p w14:paraId="2CC5E870" w14:textId="3E55F764"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Phosphatidylcholine</w:t>
            </w:r>
          </w:p>
        </w:tc>
        <w:tc>
          <w:tcPr>
            <w:tcW w:w="562" w:type="pct"/>
            <w:tcBorders>
              <w:top w:val="nil"/>
              <w:left w:val="nil"/>
              <w:bottom w:val="nil"/>
              <w:right w:val="nil"/>
            </w:tcBorders>
            <w:shd w:val="clear" w:color="auto" w:fill="auto"/>
            <w:noWrap/>
            <w:vAlign w:val="center"/>
            <w:hideMark/>
          </w:tcPr>
          <w:p w14:paraId="3F72ED3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15.39 ± 6.08</w:t>
            </w:r>
          </w:p>
        </w:tc>
        <w:tc>
          <w:tcPr>
            <w:tcW w:w="556" w:type="pct"/>
            <w:tcBorders>
              <w:top w:val="nil"/>
              <w:left w:val="nil"/>
              <w:bottom w:val="nil"/>
              <w:right w:val="nil"/>
            </w:tcBorders>
            <w:shd w:val="clear" w:color="auto" w:fill="auto"/>
            <w:noWrap/>
            <w:vAlign w:val="center"/>
            <w:hideMark/>
          </w:tcPr>
          <w:p w14:paraId="37038A0F"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10.34 ± 6.3</w:t>
            </w:r>
          </w:p>
        </w:tc>
        <w:tc>
          <w:tcPr>
            <w:tcW w:w="558" w:type="pct"/>
            <w:tcBorders>
              <w:top w:val="nil"/>
              <w:left w:val="nil"/>
              <w:bottom w:val="nil"/>
              <w:right w:val="nil"/>
            </w:tcBorders>
            <w:shd w:val="clear" w:color="auto" w:fill="auto"/>
            <w:noWrap/>
            <w:vAlign w:val="center"/>
            <w:hideMark/>
          </w:tcPr>
          <w:p w14:paraId="1DD43FF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11.35 ± 8.27</w:t>
            </w:r>
          </w:p>
        </w:tc>
        <w:tc>
          <w:tcPr>
            <w:tcW w:w="572" w:type="pct"/>
            <w:gridSpan w:val="2"/>
            <w:tcBorders>
              <w:top w:val="nil"/>
              <w:left w:val="nil"/>
              <w:bottom w:val="nil"/>
              <w:right w:val="nil"/>
            </w:tcBorders>
            <w:shd w:val="clear" w:color="auto" w:fill="auto"/>
            <w:noWrap/>
            <w:vAlign w:val="center"/>
            <w:hideMark/>
          </w:tcPr>
          <w:p w14:paraId="72A58F8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11.91 ± 4.64</w:t>
            </w:r>
          </w:p>
        </w:tc>
        <w:tc>
          <w:tcPr>
            <w:tcW w:w="562" w:type="pct"/>
            <w:gridSpan w:val="2"/>
            <w:tcBorders>
              <w:top w:val="nil"/>
              <w:left w:val="nil"/>
              <w:bottom w:val="nil"/>
              <w:right w:val="nil"/>
            </w:tcBorders>
            <w:shd w:val="clear" w:color="auto" w:fill="auto"/>
            <w:noWrap/>
            <w:vAlign w:val="center"/>
            <w:hideMark/>
          </w:tcPr>
          <w:p w14:paraId="5480613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12.6 ± 3.44</w:t>
            </w:r>
          </w:p>
        </w:tc>
        <w:tc>
          <w:tcPr>
            <w:tcW w:w="562" w:type="pct"/>
            <w:tcBorders>
              <w:top w:val="nil"/>
              <w:left w:val="nil"/>
              <w:bottom w:val="nil"/>
              <w:right w:val="nil"/>
            </w:tcBorders>
            <w:shd w:val="clear" w:color="auto" w:fill="auto"/>
            <w:noWrap/>
            <w:vAlign w:val="center"/>
            <w:hideMark/>
          </w:tcPr>
          <w:p w14:paraId="5C1DA0B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11.78 ± 6.45</w:t>
            </w:r>
          </w:p>
        </w:tc>
        <w:tc>
          <w:tcPr>
            <w:tcW w:w="562" w:type="pct"/>
            <w:gridSpan w:val="2"/>
            <w:tcBorders>
              <w:top w:val="nil"/>
              <w:left w:val="nil"/>
              <w:bottom w:val="nil"/>
              <w:right w:val="nil"/>
            </w:tcBorders>
            <w:shd w:val="clear" w:color="auto" w:fill="auto"/>
            <w:noWrap/>
            <w:vAlign w:val="center"/>
            <w:hideMark/>
          </w:tcPr>
          <w:p w14:paraId="77AA84DB"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22.8 ± 1.81</w:t>
            </w:r>
          </w:p>
        </w:tc>
      </w:tr>
      <w:tr w:rsidR="00337EB7" w:rsidRPr="00FA7D47" w14:paraId="192DA729" w14:textId="77777777" w:rsidTr="0095549A">
        <w:trPr>
          <w:trHeight w:val="285"/>
        </w:trPr>
        <w:tc>
          <w:tcPr>
            <w:tcW w:w="1066" w:type="pct"/>
            <w:tcBorders>
              <w:top w:val="nil"/>
              <w:left w:val="nil"/>
              <w:bottom w:val="nil"/>
              <w:right w:val="nil"/>
            </w:tcBorders>
            <w:shd w:val="clear" w:color="auto" w:fill="auto"/>
            <w:noWrap/>
            <w:vAlign w:val="center"/>
            <w:hideMark/>
          </w:tcPr>
          <w:p w14:paraId="1D7DCC54"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Phosphatidylserine</w:t>
            </w:r>
          </w:p>
        </w:tc>
        <w:tc>
          <w:tcPr>
            <w:tcW w:w="562" w:type="pct"/>
            <w:tcBorders>
              <w:top w:val="nil"/>
              <w:left w:val="nil"/>
              <w:bottom w:val="nil"/>
              <w:right w:val="nil"/>
            </w:tcBorders>
            <w:shd w:val="clear" w:color="auto" w:fill="auto"/>
            <w:noWrap/>
            <w:vAlign w:val="center"/>
            <w:hideMark/>
          </w:tcPr>
          <w:p w14:paraId="7E1478F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1.57 ± 1.87</w:t>
            </w:r>
          </w:p>
        </w:tc>
        <w:tc>
          <w:tcPr>
            <w:tcW w:w="556" w:type="pct"/>
            <w:tcBorders>
              <w:top w:val="nil"/>
              <w:left w:val="nil"/>
              <w:bottom w:val="nil"/>
              <w:right w:val="nil"/>
            </w:tcBorders>
            <w:shd w:val="clear" w:color="auto" w:fill="auto"/>
            <w:noWrap/>
            <w:vAlign w:val="center"/>
            <w:hideMark/>
          </w:tcPr>
          <w:p w14:paraId="7270D23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1.05 ± 0.93</w:t>
            </w:r>
          </w:p>
        </w:tc>
        <w:tc>
          <w:tcPr>
            <w:tcW w:w="558" w:type="pct"/>
            <w:tcBorders>
              <w:top w:val="nil"/>
              <w:left w:val="nil"/>
              <w:bottom w:val="nil"/>
              <w:right w:val="nil"/>
            </w:tcBorders>
            <w:shd w:val="clear" w:color="auto" w:fill="auto"/>
            <w:noWrap/>
            <w:vAlign w:val="center"/>
            <w:hideMark/>
          </w:tcPr>
          <w:p w14:paraId="6D3DCDB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1.5 ± 1.75</w:t>
            </w:r>
          </w:p>
        </w:tc>
        <w:tc>
          <w:tcPr>
            <w:tcW w:w="572" w:type="pct"/>
            <w:gridSpan w:val="2"/>
            <w:tcBorders>
              <w:top w:val="nil"/>
              <w:left w:val="nil"/>
              <w:bottom w:val="nil"/>
              <w:right w:val="nil"/>
            </w:tcBorders>
            <w:shd w:val="clear" w:color="auto" w:fill="auto"/>
            <w:noWrap/>
            <w:vAlign w:val="center"/>
            <w:hideMark/>
          </w:tcPr>
          <w:p w14:paraId="7709CCC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1.2 ± 0.9</w:t>
            </w:r>
          </w:p>
        </w:tc>
        <w:tc>
          <w:tcPr>
            <w:tcW w:w="562" w:type="pct"/>
            <w:gridSpan w:val="2"/>
            <w:tcBorders>
              <w:top w:val="nil"/>
              <w:left w:val="nil"/>
              <w:bottom w:val="nil"/>
              <w:right w:val="nil"/>
            </w:tcBorders>
            <w:shd w:val="clear" w:color="auto" w:fill="auto"/>
            <w:noWrap/>
            <w:vAlign w:val="center"/>
            <w:hideMark/>
          </w:tcPr>
          <w:p w14:paraId="4E02E74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1.39 ± 0.98</w:t>
            </w:r>
          </w:p>
        </w:tc>
        <w:tc>
          <w:tcPr>
            <w:tcW w:w="562" w:type="pct"/>
            <w:tcBorders>
              <w:top w:val="nil"/>
              <w:left w:val="nil"/>
              <w:bottom w:val="nil"/>
              <w:right w:val="nil"/>
            </w:tcBorders>
            <w:shd w:val="clear" w:color="auto" w:fill="auto"/>
            <w:noWrap/>
            <w:vAlign w:val="center"/>
            <w:hideMark/>
          </w:tcPr>
          <w:p w14:paraId="606EA28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1.38 ± 1.43</w:t>
            </w:r>
          </w:p>
        </w:tc>
        <w:tc>
          <w:tcPr>
            <w:tcW w:w="562" w:type="pct"/>
            <w:gridSpan w:val="2"/>
            <w:tcBorders>
              <w:top w:val="nil"/>
              <w:left w:val="nil"/>
              <w:bottom w:val="nil"/>
              <w:right w:val="nil"/>
            </w:tcBorders>
            <w:shd w:val="clear" w:color="auto" w:fill="auto"/>
            <w:noWrap/>
            <w:vAlign w:val="center"/>
            <w:hideMark/>
          </w:tcPr>
          <w:p w14:paraId="0F5DB67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1.07 ± 0.06</w:t>
            </w:r>
          </w:p>
        </w:tc>
      </w:tr>
      <w:tr w:rsidR="00337EB7" w:rsidRPr="00FA7D47" w14:paraId="70B5B525" w14:textId="77777777" w:rsidTr="0095549A">
        <w:trPr>
          <w:trHeight w:val="285"/>
        </w:trPr>
        <w:tc>
          <w:tcPr>
            <w:tcW w:w="1066" w:type="pct"/>
            <w:tcBorders>
              <w:top w:val="nil"/>
              <w:left w:val="nil"/>
              <w:bottom w:val="nil"/>
              <w:right w:val="nil"/>
            </w:tcBorders>
            <w:shd w:val="clear" w:color="auto" w:fill="auto"/>
            <w:noWrap/>
            <w:vAlign w:val="center"/>
            <w:hideMark/>
          </w:tcPr>
          <w:p w14:paraId="07727EA7"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Phosphatidylinositol</w:t>
            </w:r>
          </w:p>
        </w:tc>
        <w:tc>
          <w:tcPr>
            <w:tcW w:w="562" w:type="pct"/>
            <w:tcBorders>
              <w:top w:val="nil"/>
              <w:left w:val="nil"/>
              <w:bottom w:val="nil"/>
              <w:right w:val="nil"/>
            </w:tcBorders>
            <w:shd w:val="clear" w:color="auto" w:fill="auto"/>
            <w:noWrap/>
            <w:vAlign w:val="center"/>
            <w:hideMark/>
          </w:tcPr>
          <w:p w14:paraId="4E718D5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3.75 ± 2.44</w:t>
            </w:r>
          </w:p>
        </w:tc>
        <w:tc>
          <w:tcPr>
            <w:tcW w:w="556" w:type="pct"/>
            <w:tcBorders>
              <w:top w:val="nil"/>
              <w:left w:val="nil"/>
              <w:bottom w:val="nil"/>
              <w:right w:val="nil"/>
            </w:tcBorders>
            <w:shd w:val="clear" w:color="auto" w:fill="auto"/>
            <w:noWrap/>
            <w:vAlign w:val="center"/>
            <w:hideMark/>
          </w:tcPr>
          <w:p w14:paraId="7547C65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2.53 ± 1.51</w:t>
            </w:r>
          </w:p>
        </w:tc>
        <w:tc>
          <w:tcPr>
            <w:tcW w:w="558" w:type="pct"/>
            <w:tcBorders>
              <w:top w:val="nil"/>
              <w:left w:val="nil"/>
              <w:bottom w:val="nil"/>
              <w:right w:val="nil"/>
            </w:tcBorders>
            <w:shd w:val="clear" w:color="auto" w:fill="auto"/>
            <w:noWrap/>
            <w:vAlign w:val="center"/>
            <w:hideMark/>
          </w:tcPr>
          <w:p w14:paraId="5D9147A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2.64 ± 2.41</w:t>
            </w:r>
          </w:p>
        </w:tc>
        <w:tc>
          <w:tcPr>
            <w:tcW w:w="572" w:type="pct"/>
            <w:gridSpan w:val="2"/>
            <w:tcBorders>
              <w:top w:val="nil"/>
              <w:left w:val="nil"/>
              <w:bottom w:val="nil"/>
              <w:right w:val="nil"/>
            </w:tcBorders>
            <w:shd w:val="clear" w:color="auto" w:fill="auto"/>
            <w:noWrap/>
            <w:vAlign w:val="center"/>
            <w:hideMark/>
          </w:tcPr>
          <w:p w14:paraId="2977C81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2.4 ± 1.17</w:t>
            </w:r>
          </w:p>
        </w:tc>
        <w:tc>
          <w:tcPr>
            <w:tcW w:w="562" w:type="pct"/>
            <w:gridSpan w:val="2"/>
            <w:tcBorders>
              <w:top w:val="nil"/>
              <w:left w:val="nil"/>
              <w:bottom w:val="nil"/>
              <w:right w:val="nil"/>
            </w:tcBorders>
            <w:shd w:val="clear" w:color="auto" w:fill="auto"/>
            <w:noWrap/>
            <w:vAlign w:val="center"/>
            <w:hideMark/>
          </w:tcPr>
          <w:p w14:paraId="7343C0B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2.84 ± 0.97</w:t>
            </w:r>
          </w:p>
        </w:tc>
        <w:tc>
          <w:tcPr>
            <w:tcW w:w="562" w:type="pct"/>
            <w:tcBorders>
              <w:top w:val="nil"/>
              <w:left w:val="nil"/>
              <w:bottom w:val="nil"/>
              <w:right w:val="nil"/>
            </w:tcBorders>
            <w:shd w:val="clear" w:color="auto" w:fill="auto"/>
            <w:noWrap/>
            <w:vAlign w:val="center"/>
            <w:hideMark/>
          </w:tcPr>
          <w:p w14:paraId="09452CB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2.82 ± 1.8</w:t>
            </w:r>
          </w:p>
        </w:tc>
        <w:tc>
          <w:tcPr>
            <w:tcW w:w="562" w:type="pct"/>
            <w:gridSpan w:val="2"/>
            <w:tcBorders>
              <w:top w:val="nil"/>
              <w:left w:val="nil"/>
              <w:bottom w:val="nil"/>
              <w:right w:val="nil"/>
            </w:tcBorders>
            <w:shd w:val="clear" w:color="auto" w:fill="auto"/>
            <w:noWrap/>
            <w:vAlign w:val="center"/>
            <w:hideMark/>
          </w:tcPr>
          <w:p w14:paraId="3DD0075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3.5 ± 0.72</w:t>
            </w:r>
          </w:p>
        </w:tc>
      </w:tr>
      <w:tr w:rsidR="00337EB7" w:rsidRPr="00FA7D47" w14:paraId="63F15B92" w14:textId="77777777" w:rsidTr="0095549A">
        <w:trPr>
          <w:trHeight w:val="540"/>
        </w:trPr>
        <w:tc>
          <w:tcPr>
            <w:tcW w:w="1066" w:type="pct"/>
            <w:tcBorders>
              <w:top w:val="nil"/>
              <w:left w:val="nil"/>
              <w:bottom w:val="nil"/>
              <w:right w:val="nil"/>
            </w:tcBorders>
            <w:shd w:val="clear" w:color="auto" w:fill="auto"/>
            <w:vAlign w:val="center"/>
            <w:hideMark/>
          </w:tcPr>
          <w:p w14:paraId="05F33CEA"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Phosphatidic acid/ Phosphatidylglycerol/ cardiolipin</w:t>
            </w:r>
          </w:p>
        </w:tc>
        <w:tc>
          <w:tcPr>
            <w:tcW w:w="562" w:type="pct"/>
            <w:tcBorders>
              <w:top w:val="nil"/>
              <w:left w:val="nil"/>
              <w:bottom w:val="nil"/>
              <w:right w:val="nil"/>
            </w:tcBorders>
            <w:shd w:val="clear" w:color="auto" w:fill="auto"/>
            <w:noWrap/>
            <w:vAlign w:val="center"/>
            <w:hideMark/>
          </w:tcPr>
          <w:p w14:paraId="5F7482D8"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1.17 ± 1.76</w:t>
            </w:r>
          </w:p>
        </w:tc>
        <w:tc>
          <w:tcPr>
            <w:tcW w:w="556" w:type="pct"/>
            <w:tcBorders>
              <w:top w:val="nil"/>
              <w:left w:val="nil"/>
              <w:bottom w:val="nil"/>
              <w:right w:val="nil"/>
            </w:tcBorders>
            <w:shd w:val="clear" w:color="auto" w:fill="auto"/>
            <w:noWrap/>
            <w:vAlign w:val="center"/>
            <w:hideMark/>
          </w:tcPr>
          <w:p w14:paraId="13CC8E4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0.89 ± 0.83</w:t>
            </w:r>
          </w:p>
        </w:tc>
        <w:tc>
          <w:tcPr>
            <w:tcW w:w="558" w:type="pct"/>
            <w:tcBorders>
              <w:top w:val="nil"/>
              <w:left w:val="nil"/>
              <w:bottom w:val="nil"/>
              <w:right w:val="nil"/>
            </w:tcBorders>
            <w:shd w:val="clear" w:color="auto" w:fill="auto"/>
            <w:noWrap/>
            <w:vAlign w:val="center"/>
            <w:hideMark/>
          </w:tcPr>
          <w:p w14:paraId="297A4222"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1.19 ± 1.4</w:t>
            </w:r>
          </w:p>
        </w:tc>
        <w:tc>
          <w:tcPr>
            <w:tcW w:w="572" w:type="pct"/>
            <w:gridSpan w:val="2"/>
            <w:tcBorders>
              <w:top w:val="nil"/>
              <w:left w:val="nil"/>
              <w:bottom w:val="nil"/>
              <w:right w:val="nil"/>
            </w:tcBorders>
            <w:shd w:val="clear" w:color="auto" w:fill="auto"/>
            <w:noWrap/>
            <w:vAlign w:val="center"/>
            <w:hideMark/>
          </w:tcPr>
          <w:p w14:paraId="5247E91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0.69 ± 1</w:t>
            </w:r>
          </w:p>
        </w:tc>
        <w:tc>
          <w:tcPr>
            <w:tcW w:w="562" w:type="pct"/>
            <w:gridSpan w:val="2"/>
            <w:tcBorders>
              <w:top w:val="nil"/>
              <w:left w:val="nil"/>
              <w:bottom w:val="nil"/>
              <w:right w:val="nil"/>
            </w:tcBorders>
            <w:shd w:val="clear" w:color="auto" w:fill="auto"/>
            <w:noWrap/>
            <w:vAlign w:val="center"/>
            <w:hideMark/>
          </w:tcPr>
          <w:p w14:paraId="2BC70AC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0.85 ± 0.84</w:t>
            </w:r>
          </w:p>
        </w:tc>
        <w:tc>
          <w:tcPr>
            <w:tcW w:w="562" w:type="pct"/>
            <w:tcBorders>
              <w:top w:val="nil"/>
              <w:left w:val="nil"/>
              <w:bottom w:val="nil"/>
              <w:right w:val="nil"/>
            </w:tcBorders>
            <w:shd w:val="clear" w:color="auto" w:fill="auto"/>
            <w:noWrap/>
            <w:vAlign w:val="center"/>
            <w:hideMark/>
          </w:tcPr>
          <w:p w14:paraId="0DF536D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1.9 ± 1.22</w:t>
            </w:r>
          </w:p>
        </w:tc>
        <w:tc>
          <w:tcPr>
            <w:tcW w:w="562" w:type="pct"/>
            <w:gridSpan w:val="2"/>
            <w:tcBorders>
              <w:top w:val="nil"/>
              <w:left w:val="nil"/>
              <w:bottom w:val="nil"/>
              <w:right w:val="nil"/>
            </w:tcBorders>
            <w:shd w:val="clear" w:color="auto" w:fill="auto"/>
            <w:noWrap/>
            <w:vAlign w:val="center"/>
            <w:hideMark/>
          </w:tcPr>
          <w:p w14:paraId="1345483F"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4.1 ± 0.66</w:t>
            </w:r>
          </w:p>
        </w:tc>
      </w:tr>
      <w:tr w:rsidR="00337EB7" w:rsidRPr="00FA7D47" w14:paraId="22F915D8" w14:textId="77777777" w:rsidTr="0095549A">
        <w:trPr>
          <w:trHeight w:val="285"/>
        </w:trPr>
        <w:tc>
          <w:tcPr>
            <w:tcW w:w="1066" w:type="pct"/>
            <w:tcBorders>
              <w:top w:val="nil"/>
              <w:left w:val="nil"/>
              <w:bottom w:val="nil"/>
              <w:right w:val="nil"/>
            </w:tcBorders>
            <w:shd w:val="clear" w:color="auto" w:fill="auto"/>
            <w:noWrap/>
            <w:vAlign w:val="center"/>
            <w:hideMark/>
          </w:tcPr>
          <w:p w14:paraId="3D52E334"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Phosphatidylethanolamine</w:t>
            </w:r>
          </w:p>
        </w:tc>
        <w:tc>
          <w:tcPr>
            <w:tcW w:w="562" w:type="pct"/>
            <w:tcBorders>
              <w:top w:val="nil"/>
              <w:left w:val="nil"/>
              <w:bottom w:val="nil"/>
              <w:right w:val="nil"/>
            </w:tcBorders>
            <w:shd w:val="clear" w:color="auto" w:fill="auto"/>
            <w:noWrap/>
            <w:vAlign w:val="center"/>
            <w:hideMark/>
          </w:tcPr>
          <w:p w14:paraId="2FE322B3"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9.01 ± 4.87</w:t>
            </w:r>
          </w:p>
        </w:tc>
        <w:tc>
          <w:tcPr>
            <w:tcW w:w="556" w:type="pct"/>
            <w:tcBorders>
              <w:top w:val="nil"/>
              <w:left w:val="nil"/>
              <w:bottom w:val="nil"/>
              <w:right w:val="nil"/>
            </w:tcBorders>
            <w:shd w:val="clear" w:color="auto" w:fill="auto"/>
            <w:noWrap/>
            <w:vAlign w:val="center"/>
            <w:hideMark/>
          </w:tcPr>
          <w:p w14:paraId="37B6FA94"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4.02 ± 2.57</w:t>
            </w:r>
          </w:p>
        </w:tc>
        <w:tc>
          <w:tcPr>
            <w:tcW w:w="558" w:type="pct"/>
            <w:tcBorders>
              <w:top w:val="nil"/>
              <w:left w:val="nil"/>
              <w:bottom w:val="nil"/>
              <w:right w:val="nil"/>
            </w:tcBorders>
            <w:shd w:val="clear" w:color="auto" w:fill="auto"/>
            <w:noWrap/>
            <w:vAlign w:val="center"/>
            <w:hideMark/>
          </w:tcPr>
          <w:p w14:paraId="01B7D98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6.22 ± 4.18</w:t>
            </w:r>
          </w:p>
        </w:tc>
        <w:tc>
          <w:tcPr>
            <w:tcW w:w="572" w:type="pct"/>
            <w:gridSpan w:val="2"/>
            <w:tcBorders>
              <w:top w:val="nil"/>
              <w:left w:val="nil"/>
              <w:bottom w:val="nil"/>
              <w:right w:val="nil"/>
            </w:tcBorders>
            <w:shd w:val="clear" w:color="auto" w:fill="auto"/>
            <w:noWrap/>
            <w:vAlign w:val="center"/>
            <w:hideMark/>
          </w:tcPr>
          <w:p w14:paraId="0521011D"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7.53 ± 3.3</w:t>
            </w:r>
          </w:p>
        </w:tc>
        <w:tc>
          <w:tcPr>
            <w:tcW w:w="562" w:type="pct"/>
            <w:gridSpan w:val="2"/>
            <w:tcBorders>
              <w:top w:val="nil"/>
              <w:left w:val="nil"/>
              <w:bottom w:val="nil"/>
              <w:right w:val="nil"/>
            </w:tcBorders>
            <w:shd w:val="clear" w:color="auto" w:fill="auto"/>
            <w:noWrap/>
            <w:vAlign w:val="center"/>
            <w:hideMark/>
          </w:tcPr>
          <w:p w14:paraId="5E346CAF"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7.59 ± 1.8</w:t>
            </w:r>
          </w:p>
        </w:tc>
        <w:tc>
          <w:tcPr>
            <w:tcW w:w="562" w:type="pct"/>
            <w:tcBorders>
              <w:top w:val="nil"/>
              <w:left w:val="nil"/>
              <w:bottom w:val="nil"/>
              <w:right w:val="nil"/>
            </w:tcBorders>
            <w:shd w:val="clear" w:color="auto" w:fill="auto"/>
            <w:noWrap/>
            <w:vAlign w:val="center"/>
            <w:hideMark/>
          </w:tcPr>
          <w:p w14:paraId="1C3A5A6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7.7 ± 3.79</w:t>
            </w:r>
          </w:p>
        </w:tc>
        <w:tc>
          <w:tcPr>
            <w:tcW w:w="562" w:type="pct"/>
            <w:gridSpan w:val="2"/>
            <w:tcBorders>
              <w:top w:val="nil"/>
              <w:left w:val="nil"/>
              <w:bottom w:val="nil"/>
              <w:right w:val="nil"/>
            </w:tcBorders>
            <w:shd w:val="clear" w:color="auto" w:fill="auto"/>
            <w:noWrap/>
            <w:vAlign w:val="center"/>
            <w:hideMark/>
          </w:tcPr>
          <w:p w14:paraId="05AB982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6.3 ± 0.4</w:t>
            </w:r>
          </w:p>
        </w:tc>
      </w:tr>
      <w:tr w:rsidR="00337EB7" w:rsidRPr="00FA7D47" w14:paraId="7F7609C4" w14:textId="77777777" w:rsidTr="0095549A">
        <w:trPr>
          <w:trHeight w:val="285"/>
        </w:trPr>
        <w:tc>
          <w:tcPr>
            <w:tcW w:w="1066" w:type="pct"/>
            <w:tcBorders>
              <w:top w:val="nil"/>
              <w:left w:val="nil"/>
              <w:bottom w:val="nil"/>
              <w:right w:val="nil"/>
            </w:tcBorders>
            <w:shd w:val="clear" w:color="auto" w:fill="auto"/>
            <w:noWrap/>
            <w:vAlign w:val="center"/>
            <w:hideMark/>
          </w:tcPr>
          <w:p w14:paraId="48C7B4BE"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Pigmented material</w:t>
            </w:r>
          </w:p>
        </w:tc>
        <w:tc>
          <w:tcPr>
            <w:tcW w:w="562" w:type="pct"/>
            <w:tcBorders>
              <w:top w:val="nil"/>
              <w:left w:val="nil"/>
              <w:bottom w:val="nil"/>
              <w:right w:val="nil"/>
            </w:tcBorders>
            <w:shd w:val="clear" w:color="auto" w:fill="auto"/>
            <w:noWrap/>
            <w:vAlign w:val="center"/>
            <w:hideMark/>
          </w:tcPr>
          <w:p w14:paraId="306DBC7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1.21 ± 1.06</w:t>
            </w:r>
          </w:p>
        </w:tc>
        <w:tc>
          <w:tcPr>
            <w:tcW w:w="556" w:type="pct"/>
            <w:tcBorders>
              <w:top w:val="nil"/>
              <w:left w:val="nil"/>
              <w:bottom w:val="nil"/>
              <w:right w:val="nil"/>
            </w:tcBorders>
            <w:shd w:val="clear" w:color="auto" w:fill="auto"/>
            <w:noWrap/>
            <w:vAlign w:val="center"/>
            <w:hideMark/>
          </w:tcPr>
          <w:p w14:paraId="7CE4A44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2.39 ± 1.41</w:t>
            </w:r>
          </w:p>
        </w:tc>
        <w:tc>
          <w:tcPr>
            <w:tcW w:w="558" w:type="pct"/>
            <w:tcBorders>
              <w:top w:val="nil"/>
              <w:left w:val="nil"/>
              <w:bottom w:val="nil"/>
              <w:right w:val="nil"/>
            </w:tcBorders>
            <w:shd w:val="clear" w:color="auto" w:fill="auto"/>
            <w:noWrap/>
            <w:vAlign w:val="center"/>
            <w:hideMark/>
          </w:tcPr>
          <w:p w14:paraId="6A7E4F3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0.86 ± 0.29</w:t>
            </w:r>
          </w:p>
        </w:tc>
        <w:tc>
          <w:tcPr>
            <w:tcW w:w="572" w:type="pct"/>
            <w:gridSpan w:val="2"/>
            <w:tcBorders>
              <w:top w:val="nil"/>
              <w:left w:val="nil"/>
              <w:bottom w:val="nil"/>
              <w:right w:val="nil"/>
            </w:tcBorders>
            <w:shd w:val="clear" w:color="auto" w:fill="auto"/>
            <w:noWrap/>
            <w:vAlign w:val="center"/>
            <w:hideMark/>
          </w:tcPr>
          <w:p w14:paraId="0AB0F52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0.62 ± 0.26</w:t>
            </w:r>
          </w:p>
        </w:tc>
        <w:tc>
          <w:tcPr>
            <w:tcW w:w="562" w:type="pct"/>
            <w:gridSpan w:val="2"/>
            <w:tcBorders>
              <w:top w:val="nil"/>
              <w:left w:val="nil"/>
              <w:bottom w:val="nil"/>
              <w:right w:val="nil"/>
            </w:tcBorders>
            <w:shd w:val="clear" w:color="auto" w:fill="auto"/>
            <w:noWrap/>
            <w:vAlign w:val="center"/>
            <w:hideMark/>
          </w:tcPr>
          <w:p w14:paraId="41B89CC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0.7 ± 0.27</w:t>
            </w:r>
          </w:p>
        </w:tc>
        <w:tc>
          <w:tcPr>
            <w:tcW w:w="562" w:type="pct"/>
            <w:tcBorders>
              <w:top w:val="nil"/>
              <w:left w:val="nil"/>
              <w:bottom w:val="nil"/>
              <w:right w:val="nil"/>
            </w:tcBorders>
            <w:shd w:val="clear" w:color="auto" w:fill="auto"/>
            <w:noWrap/>
            <w:vAlign w:val="center"/>
            <w:hideMark/>
          </w:tcPr>
          <w:p w14:paraId="6264259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0.81 ± 0.33</w:t>
            </w:r>
          </w:p>
        </w:tc>
        <w:tc>
          <w:tcPr>
            <w:tcW w:w="562" w:type="pct"/>
            <w:gridSpan w:val="2"/>
            <w:tcBorders>
              <w:top w:val="nil"/>
              <w:left w:val="nil"/>
              <w:bottom w:val="nil"/>
              <w:right w:val="nil"/>
            </w:tcBorders>
            <w:shd w:val="clear" w:color="auto" w:fill="auto"/>
            <w:noWrap/>
            <w:vAlign w:val="center"/>
            <w:hideMark/>
          </w:tcPr>
          <w:p w14:paraId="3702BF6A"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1.33 ± 0.29</w:t>
            </w:r>
          </w:p>
        </w:tc>
      </w:tr>
      <w:tr w:rsidR="00337EB7" w:rsidRPr="00FA7D47" w14:paraId="73E98C36" w14:textId="77777777" w:rsidTr="0095549A">
        <w:trPr>
          <w:trHeight w:val="285"/>
        </w:trPr>
        <w:tc>
          <w:tcPr>
            <w:tcW w:w="1066" w:type="pct"/>
            <w:tcBorders>
              <w:top w:val="nil"/>
              <w:left w:val="nil"/>
              <w:bottom w:val="nil"/>
              <w:right w:val="nil"/>
            </w:tcBorders>
            <w:shd w:val="clear" w:color="auto" w:fill="auto"/>
            <w:noWrap/>
            <w:vAlign w:val="center"/>
            <w:hideMark/>
          </w:tcPr>
          <w:p w14:paraId="6E61903F"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Unknown polar lipid*</w:t>
            </w:r>
          </w:p>
        </w:tc>
        <w:tc>
          <w:tcPr>
            <w:tcW w:w="562" w:type="pct"/>
            <w:tcBorders>
              <w:top w:val="nil"/>
              <w:left w:val="nil"/>
              <w:bottom w:val="nil"/>
              <w:right w:val="nil"/>
            </w:tcBorders>
            <w:shd w:val="clear" w:color="auto" w:fill="auto"/>
            <w:noWrap/>
            <w:vAlign w:val="center"/>
            <w:hideMark/>
          </w:tcPr>
          <w:p w14:paraId="2FE7BE6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0.18 ± 0.47</w:t>
            </w:r>
          </w:p>
        </w:tc>
        <w:tc>
          <w:tcPr>
            <w:tcW w:w="556" w:type="pct"/>
            <w:tcBorders>
              <w:top w:val="nil"/>
              <w:left w:val="nil"/>
              <w:bottom w:val="nil"/>
              <w:right w:val="nil"/>
            </w:tcBorders>
            <w:shd w:val="clear" w:color="auto" w:fill="auto"/>
            <w:noWrap/>
            <w:vAlign w:val="center"/>
            <w:hideMark/>
          </w:tcPr>
          <w:p w14:paraId="687FE5C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0.49 ± 1.17</w:t>
            </w:r>
          </w:p>
        </w:tc>
        <w:tc>
          <w:tcPr>
            <w:tcW w:w="558" w:type="pct"/>
            <w:tcBorders>
              <w:top w:val="nil"/>
              <w:left w:val="nil"/>
              <w:bottom w:val="nil"/>
              <w:right w:val="nil"/>
            </w:tcBorders>
            <w:shd w:val="clear" w:color="auto" w:fill="auto"/>
            <w:noWrap/>
            <w:vAlign w:val="center"/>
            <w:hideMark/>
          </w:tcPr>
          <w:p w14:paraId="0D9E1EB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0.11 ± 0.27</w:t>
            </w:r>
          </w:p>
        </w:tc>
        <w:tc>
          <w:tcPr>
            <w:tcW w:w="572" w:type="pct"/>
            <w:gridSpan w:val="2"/>
            <w:tcBorders>
              <w:top w:val="nil"/>
              <w:left w:val="nil"/>
              <w:bottom w:val="nil"/>
              <w:right w:val="nil"/>
            </w:tcBorders>
            <w:shd w:val="clear" w:color="auto" w:fill="auto"/>
            <w:noWrap/>
            <w:vAlign w:val="center"/>
            <w:hideMark/>
          </w:tcPr>
          <w:p w14:paraId="060E1BA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0.11 ± 0.35</w:t>
            </w:r>
          </w:p>
        </w:tc>
        <w:tc>
          <w:tcPr>
            <w:tcW w:w="562" w:type="pct"/>
            <w:gridSpan w:val="2"/>
            <w:tcBorders>
              <w:top w:val="nil"/>
              <w:left w:val="nil"/>
              <w:bottom w:val="nil"/>
              <w:right w:val="nil"/>
            </w:tcBorders>
            <w:shd w:val="clear" w:color="auto" w:fill="auto"/>
            <w:noWrap/>
            <w:vAlign w:val="center"/>
            <w:hideMark/>
          </w:tcPr>
          <w:p w14:paraId="66473A64"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tcBorders>
              <w:top w:val="nil"/>
              <w:left w:val="nil"/>
              <w:bottom w:val="nil"/>
              <w:right w:val="nil"/>
            </w:tcBorders>
            <w:shd w:val="clear" w:color="auto" w:fill="auto"/>
            <w:noWrap/>
            <w:vAlign w:val="center"/>
            <w:hideMark/>
          </w:tcPr>
          <w:p w14:paraId="55980A0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gridSpan w:val="2"/>
            <w:tcBorders>
              <w:top w:val="nil"/>
              <w:left w:val="nil"/>
              <w:bottom w:val="nil"/>
              <w:right w:val="nil"/>
            </w:tcBorders>
            <w:shd w:val="clear" w:color="auto" w:fill="auto"/>
            <w:noWrap/>
            <w:vAlign w:val="center"/>
            <w:hideMark/>
          </w:tcPr>
          <w:p w14:paraId="44C5D0D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2.9 ± 0.7</w:t>
            </w:r>
          </w:p>
        </w:tc>
      </w:tr>
      <w:tr w:rsidR="00337EB7" w:rsidRPr="00FA7D47" w14:paraId="3E0EFBC9" w14:textId="77777777" w:rsidTr="0095549A">
        <w:trPr>
          <w:trHeight w:val="285"/>
        </w:trPr>
        <w:tc>
          <w:tcPr>
            <w:tcW w:w="1066" w:type="pct"/>
            <w:tcBorders>
              <w:top w:val="nil"/>
              <w:left w:val="nil"/>
              <w:bottom w:val="nil"/>
              <w:right w:val="nil"/>
            </w:tcBorders>
            <w:shd w:val="clear" w:color="auto" w:fill="auto"/>
            <w:noWrap/>
            <w:vAlign w:val="center"/>
            <w:hideMark/>
          </w:tcPr>
          <w:p w14:paraId="61B4F817"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Unknown glycolipid</w:t>
            </w:r>
          </w:p>
        </w:tc>
        <w:tc>
          <w:tcPr>
            <w:tcW w:w="562" w:type="pct"/>
            <w:tcBorders>
              <w:top w:val="nil"/>
              <w:left w:val="nil"/>
              <w:bottom w:val="nil"/>
              <w:right w:val="nil"/>
            </w:tcBorders>
            <w:shd w:val="clear" w:color="auto" w:fill="auto"/>
            <w:noWrap/>
            <w:vAlign w:val="center"/>
            <w:hideMark/>
          </w:tcPr>
          <w:p w14:paraId="769E699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56" w:type="pct"/>
            <w:tcBorders>
              <w:top w:val="nil"/>
              <w:left w:val="nil"/>
              <w:bottom w:val="nil"/>
              <w:right w:val="nil"/>
            </w:tcBorders>
            <w:shd w:val="clear" w:color="auto" w:fill="auto"/>
            <w:noWrap/>
            <w:vAlign w:val="center"/>
            <w:hideMark/>
          </w:tcPr>
          <w:p w14:paraId="36459A8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0.21 ± 0.63</w:t>
            </w:r>
          </w:p>
        </w:tc>
        <w:tc>
          <w:tcPr>
            <w:tcW w:w="558" w:type="pct"/>
            <w:tcBorders>
              <w:top w:val="nil"/>
              <w:left w:val="nil"/>
              <w:bottom w:val="nil"/>
              <w:right w:val="nil"/>
            </w:tcBorders>
            <w:shd w:val="clear" w:color="auto" w:fill="auto"/>
            <w:noWrap/>
            <w:vAlign w:val="center"/>
            <w:hideMark/>
          </w:tcPr>
          <w:p w14:paraId="2745EA6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72" w:type="pct"/>
            <w:gridSpan w:val="2"/>
            <w:tcBorders>
              <w:top w:val="nil"/>
              <w:left w:val="nil"/>
              <w:bottom w:val="nil"/>
              <w:right w:val="nil"/>
            </w:tcBorders>
            <w:shd w:val="clear" w:color="auto" w:fill="auto"/>
            <w:noWrap/>
            <w:vAlign w:val="center"/>
            <w:hideMark/>
          </w:tcPr>
          <w:p w14:paraId="403E8EEB"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gridSpan w:val="2"/>
            <w:tcBorders>
              <w:top w:val="nil"/>
              <w:left w:val="nil"/>
              <w:bottom w:val="nil"/>
              <w:right w:val="nil"/>
            </w:tcBorders>
            <w:shd w:val="clear" w:color="auto" w:fill="auto"/>
            <w:noWrap/>
            <w:vAlign w:val="center"/>
            <w:hideMark/>
          </w:tcPr>
          <w:p w14:paraId="3AFD9FD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tcBorders>
              <w:top w:val="nil"/>
              <w:left w:val="nil"/>
              <w:bottom w:val="nil"/>
              <w:right w:val="nil"/>
            </w:tcBorders>
            <w:shd w:val="clear" w:color="auto" w:fill="auto"/>
            <w:noWrap/>
            <w:vAlign w:val="center"/>
            <w:hideMark/>
          </w:tcPr>
          <w:p w14:paraId="2EEAE0F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gridSpan w:val="2"/>
            <w:tcBorders>
              <w:top w:val="nil"/>
              <w:left w:val="nil"/>
              <w:bottom w:val="nil"/>
              <w:right w:val="nil"/>
            </w:tcBorders>
            <w:shd w:val="clear" w:color="auto" w:fill="auto"/>
            <w:noWrap/>
            <w:vAlign w:val="center"/>
            <w:hideMark/>
          </w:tcPr>
          <w:p w14:paraId="03C52AF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r>
      <w:tr w:rsidR="00337EB7" w:rsidRPr="00FA7D47" w14:paraId="18393867" w14:textId="77777777" w:rsidTr="0095549A">
        <w:trPr>
          <w:trHeight w:val="293"/>
        </w:trPr>
        <w:tc>
          <w:tcPr>
            <w:tcW w:w="1066" w:type="pct"/>
            <w:tcBorders>
              <w:top w:val="single" w:sz="4" w:space="0" w:color="auto"/>
              <w:left w:val="nil"/>
              <w:bottom w:val="single" w:sz="8" w:space="0" w:color="auto"/>
              <w:right w:val="nil"/>
            </w:tcBorders>
            <w:shd w:val="clear" w:color="auto" w:fill="auto"/>
            <w:noWrap/>
            <w:vAlign w:val="center"/>
            <w:hideMark/>
          </w:tcPr>
          <w:p w14:paraId="5FDE199F"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Total polar lipids</w:t>
            </w:r>
          </w:p>
        </w:tc>
        <w:tc>
          <w:tcPr>
            <w:tcW w:w="562" w:type="pct"/>
            <w:tcBorders>
              <w:top w:val="single" w:sz="4" w:space="0" w:color="auto"/>
              <w:left w:val="nil"/>
              <w:bottom w:val="single" w:sz="8" w:space="0" w:color="auto"/>
              <w:right w:val="nil"/>
            </w:tcBorders>
            <w:shd w:val="clear" w:color="auto" w:fill="auto"/>
            <w:noWrap/>
            <w:vAlign w:val="center"/>
            <w:hideMark/>
          </w:tcPr>
          <w:p w14:paraId="6689CD2A"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32.74 ± 16.58</w:t>
            </w:r>
          </w:p>
        </w:tc>
        <w:tc>
          <w:tcPr>
            <w:tcW w:w="556" w:type="pct"/>
            <w:tcBorders>
              <w:top w:val="single" w:sz="4" w:space="0" w:color="auto"/>
              <w:left w:val="nil"/>
              <w:bottom w:val="single" w:sz="8" w:space="0" w:color="auto"/>
              <w:right w:val="nil"/>
            </w:tcBorders>
            <w:shd w:val="clear" w:color="auto" w:fill="auto"/>
            <w:noWrap/>
            <w:vAlign w:val="center"/>
            <w:hideMark/>
          </w:tcPr>
          <w:p w14:paraId="4F90AD62"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22.3 ± 10.77</w:t>
            </w:r>
          </w:p>
        </w:tc>
        <w:tc>
          <w:tcPr>
            <w:tcW w:w="558" w:type="pct"/>
            <w:tcBorders>
              <w:top w:val="single" w:sz="4" w:space="0" w:color="auto"/>
              <w:left w:val="nil"/>
              <w:bottom w:val="single" w:sz="8" w:space="0" w:color="auto"/>
              <w:right w:val="nil"/>
            </w:tcBorders>
            <w:shd w:val="clear" w:color="auto" w:fill="auto"/>
            <w:noWrap/>
            <w:vAlign w:val="center"/>
            <w:hideMark/>
          </w:tcPr>
          <w:p w14:paraId="7C585C5E"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24.65 ± 18.9</w:t>
            </w:r>
          </w:p>
        </w:tc>
        <w:tc>
          <w:tcPr>
            <w:tcW w:w="572" w:type="pct"/>
            <w:gridSpan w:val="2"/>
            <w:tcBorders>
              <w:top w:val="single" w:sz="4" w:space="0" w:color="auto"/>
              <w:left w:val="nil"/>
              <w:bottom w:val="single" w:sz="8" w:space="0" w:color="auto"/>
              <w:right w:val="nil"/>
            </w:tcBorders>
            <w:shd w:val="clear" w:color="auto" w:fill="auto"/>
            <w:noWrap/>
            <w:vAlign w:val="center"/>
            <w:hideMark/>
          </w:tcPr>
          <w:p w14:paraId="64DC8532"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24.98 ± 10.31</w:t>
            </w:r>
          </w:p>
        </w:tc>
        <w:tc>
          <w:tcPr>
            <w:tcW w:w="562" w:type="pct"/>
            <w:gridSpan w:val="2"/>
            <w:tcBorders>
              <w:top w:val="single" w:sz="4" w:space="0" w:color="auto"/>
              <w:left w:val="nil"/>
              <w:bottom w:val="single" w:sz="8" w:space="0" w:color="auto"/>
              <w:right w:val="nil"/>
            </w:tcBorders>
            <w:shd w:val="clear" w:color="auto" w:fill="auto"/>
            <w:noWrap/>
            <w:vAlign w:val="center"/>
            <w:hideMark/>
          </w:tcPr>
          <w:p w14:paraId="7AEEC386"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26.34 ± 8.26</w:t>
            </w:r>
          </w:p>
        </w:tc>
        <w:tc>
          <w:tcPr>
            <w:tcW w:w="562" w:type="pct"/>
            <w:tcBorders>
              <w:top w:val="single" w:sz="4" w:space="0" w:color="auto"/>
              <w:left w:val="nil"/>
              <w:bottom w:val="single" w:sz="8" w:space="0" w:color="auto"/>
              <w:right w:val="nil"/>
            </w:tcBorders>
            <w:shd w:val="clear" w:color="auto" w:fill="auto"/>
            <w:noWrap/>
            <w:vAlign w:val="center"/>
            <w:hideMark/>
          </w:tcPr>
          <w:p w14:paraId="34CFEF41"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27.36 ± 14.47</w:t>
            </w:r>
          </w:p>
        </w:tc>
        <w:tc>
          <w:tcPr>
            <w:tcW w:w="562" w:type="pct"/>
            <w:gridSpan w:val="2"/>
            <w:tcBorders>
              <w:top w:val="single" w:sz="4" w:space="0" w:color="auto"/>
              <w:left w:val="nil"/>
              <w:bottom w:val="single" w:sz="8" w:space="0" w:color="auto"/>
              <w:right w:val="nil"/>
            </w:tcBorders>
            <w:shd w:val="clear" w:color="auto" w:fill="auto"/>
            <w:noWrap/>
            <w:vAlign w:val="center"/>
            <w:hideMark/>
          </w:tcPr>
          <w:p w14:paraId="281A68F5"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43.93 ± 3.46</w:t>
            </w:r>
          </w:p>
        </w:tc>
      </w:tr>
      <w:tr w:rsidR="00337EB7" w:rsidRPr="00FA7D47" w14:paraId="73621C4A" w14:textId="77777777" w:rsidTr="0095549A">
        <w:trPr>
          <w:trHeight w:val="285"/>
        </w:trPr>
        <w:tc>
          <w:tcPr>
            <w:tcW w:w="1066" w:type="pct"/>
            <w:tcBorders>
              <w:top w:val="nil"/>
              <w:left w:val="nil"/>
              <w:bottom w:val="nil"/>
              <w:right w:val="nil"/>
            </w:tcBorders>
            <w:shd w:val="clear" w:color="auto" w:fill="auto"/>
            <w:noWrap/>
            <w:vAlign w:val="center"/>
            <w:hideMark/>
          </w:tcPr>
          <w:p w14:paraId="66358023"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Diacylglycerol</w:t>
            </w:r>
          </w:p>
        </w:tc>
        <w:tc>
          <w:tcPr>
            <w:tcW w:w="562" w:type="pct"/>
            <w:tcBorders>
              <w:top w:val="nil"/>
              <w:left w:val="nil"/>
              <w:bottom w:val="nil"/>
              <w:right w:val="nil"/>
            </w:tcBorders>
            <w:shd w:val="clear" w:color="auto" w:fill="auto"/>
            <w:noWrap/>
            <w:vAlign w:val="center"/>
            <w:hideMark/>
          </w:tcPr>
          <w:p w14:paraId="2D81ABD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1.25 ± 1.62</w:t>
            </w:r>
          </w:p>
        </w:tc>
        <w:tc>
          <w:tcPr>
            <w:tcW w:w="556" w:type="pct"/>
            <w:tcBorders>
              <w:top w:val="nil"/>
              <w:left w:val="nil"/>
              <w:bottom w:val="nil"/>
              <w:right w:val="nil"/>
            </w:tcBorders>
            <w:shd w:val="clear" w:color="auto" w:fill="auto"/>
            <w:noWrap/>
            <w:vAlign w:val="center"/>
            <w:hideMark/>
          </w:tcPr>
          <w:p w14:paraId="62A9100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3.19 ± 1.95</w:t>
            </w:r>
          </w:p>
        </w:tc>
        <w:tc>
          <w:tcPr>
            <w:tcW w:w="558" w:type="pct"/>
            <w:tcBorders>
              <w:top w:val="nil"/>
              <w:left w:val="nil"/>
              <w:bottom w:val="nil"/>
              <w:right w:val="nil"/>
            </w:tcBorders>
            <w:shd w:val="clear" w:color="auto" w:fill="auto"/>
            <w:noWrap/>
            <w:vAlign w:val="center"/>
            <w:hideMark/>
          </w:tcPr>
          <w:p w14:paraId="0AD8784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2.78 ± 1.98</w:t>
            </w:r>
          </w:p>
        </w:tc>
        <w:tc>
          <w:tcPr>
            <w:tcW w:w="572" w:type="pct"/>
            <w:gridSpan w:val="2"/>
            <w:tcBorders>
              <w:top w:val="nil"/>
              <w:left w:val="nil"/>
              <w:bottom w:val="nil"/>
              <w:right w:val="nil"/>
            </w:tcBorders>
            <w:shd w:val="clear" w:color="auto" w:fill="auto"/>
            <w:noWrap/>
            <w:vAlign w:val="center"/>
            <w:hideMark/>
          </w:tcPr>
          <w:p w14:paraId="2D8AAA7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1.62 ± 1.1</w:t>
            </w:r>
          </w:p>
        </w:tc>
        <w:tc>
          <w:tcPr>
            <w:tcW w:w="562" w:type="pct"/>
            <w:gridSpan w:val="2"/>
            <w:tcBorders>
              <w:top w:val="nil"/>
              <w:left w:val="nil"/>
              <w:bottom w:val="nil"/>
              <w:right w:val="nil"/>
            </w:tcBorders>
            <w:shd w:val="clear" w:color="auto" w:fill="auto"/>
            <w:noWrap/>
            <w:vAlign w:val="center"/>
            <w:hideMark/>
          </w:tcPr>
          <w:p w14:paraId="3BBB327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1.35 ± 0.73</w:t>
            </w:r>
          </w:p>
        </w:tc>
        <w:tc>
          <w:tcPr>
            <w:tcW w:w="562" w:type="pct"/>
            <w:tcBorders>
              <w:top w:val="nil"/>
              <w:left w:val="nil"/>
              <w:bottom w:val="nil"/>
              <w:right w:val="nil"/>
            </w:tcBorders>
            <w:shd w:val="clear" w:color="auto" w:fill="auto"/>
            <w:noWrap/>
            <w:vAlign w:val="center"/>
            <w:hideMark/>
          </w:tcPr>
          <w:p w14:paraId="178BA36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2.9 ± 4.03</w:t>
            </w:r>
          </w:p>
        </w:tc>
        <w:tc>
          <w:tcPr>
            <w:tcW w:w="562" w:type="pct"/>
            <w:gridSpan w:val="2"/>
            <w:tcBorders>
              <w:top w:val="nil"/>
              <w:left w:val="nil"/>
              <w:bottom w:val="nil"/>
              <w:right w:val="nil"/>
            </w:tcBorders>
            <w:shd w:val="clear" w:color="auto" w:fill="auto"/>
            <w:noWrap/>
            <w:vAlign w:val="center"/>
            <w:hideMark/>
          </w:tcPr>
          <w:p w14:paraId="630935C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4.87 ± 0.93</w:t>
            </w:r>
          </w:p>
        </w:tc>
      </w:tr>
      <w:tr w:rsidR="00337EB7" w:rsidRPr="00FA7D47" w14:paraId="720E1110" w14:textId="77777777" w:rsidTr="0095549A">
        <w:trPr>
          <w:trHeight w:val="285"/>
        </w:trPr>
        <w:tc>
          <w:tcPr>
            <w:tcW w:w="1066" w:type="pct"/>
            <w:tcBorders>
              <w:top w:val="nil"/>
              <w:left w:val="nil"/>
              <w:bottom w:val="nil"/>
              <w:right w:val="nil"/>
            </w:tcBorders>
            <w:shd w:val="clear" w:color="auto" w:fill="auto"/>
            <w:noWrap/>
            <w:vAlign w:val="center"/>
            <w:hideMark/>
          </w:tcPr>
          <w:p w14:paraId="15E437C6"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Cholesterol/sterols</w:t>
            </w:r>
          </w:p>
        </w:tc>
        <w:tc>
          <w:tcPr>
            <w:tcW w:w="562" w:type="pct"/>
            <w:tcBorders>
              <w:top w:val="nil"/>
              <w:left w:val="nil"/>
              <w:bottom w:val="nil"/>
              <w:right w:val="nil"/>
            </w:tcBorders>
            <w:shd w:val="clear" w:color="auto" w:fill="auto"/>
            <w:noWrap/>
            <w:vAlign w:val="center"/>
            <w:hideMark/>
          </w:tcPr>
          <w:p w14:paraId="6F3C683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9 ± 3.35</w:t>
            </w:r>
          </w:p>
        </w:tc>
        <w:tc>
          <w:tcPr>
            <w:tcW w:w="556" w:type="pct"/>
            <w:tcBorders>
              <w:top w:val="nil"/>
              <w:left w:val="nil"/>
              <w:bottom w:val="nil"/>
              <w:right w:val="nil"/>
            </w:tcBorders>
            <w:shd w:val="clear" w:color="auto" w:fill="auto"/>
            <w:noWrap/>
            <w:vAlign w:val="center"/>
            <w:hideMark/>
          </w:tcPr>
          <w:p w14:paraId="7B7601A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8.86 ± 3.3</w:t>
            </w:r>
          </w:p>
        </w:tc>
        <w:tc>
          <w:tcPr>
            <w:tcW w:w="558" w:type="pct"/>
            <w:tcBorders>
              <w:top w:val="nil"/>
              <w:left w:val="nil"/>
              <w:bottom w:val="nil"/>
              <w:right w:val="nil"/>
            </w:tcBorders>
            <w:shd w:val="clear" w:color="auto" w:fill="auto"/>
            <w:noWrap/>
            <w:vAlign w:val="center"/>
            <w:hideMark/>
          </w:tcPr>
          <w:p w14:paraId="792A6C8F"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9.14 ± 3.52</w:t>
            </w:r>
          </w:p>
        </w:tc>
        <w:tc>
          <w:tcPr>
            <w:tcW w:w="572" w:type="pct"/>
            <w:gridSpan w:val="2"/>
            <w:tcBorders>
              <w:top w:val="nil"/>
              <w:left w:val="nil"/>
              <w:bottom w:val="nil"/>
              <w:right w:val="nil"/>
            </w:tcBorders>
            <w:shd w:val="clear" w:color="auto" w:fill="auto"/>
            <w:noWrap/>
            <w:vAlign w:val="center"/>
            <w:hideMark/>
          </w:tcPr>
          <w:p w14:paraId="6B93A4C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8.37 ± 2.12</w:t>
            </w:r>
          </w:p>
        </w:tc>
        <w:tc>
          <w:tcPr>
            <w:tcW w:w="562" w:type="pct"/>
            <w:gridSpan w:val="2"/>
            <w:tcBorders>
              <w:top w:val="nil"/>
              <w:left w:val="nil"/>
              <w:bottom w:val="nil"/>
              <w:right w:val="nil"/>
            </w:tcBorders>
            <w:shd w:val="clear" w:color="auto" w:fill="auto"/>
            <w:noWrap/>
            <w:vAlign w:val="center"/>
            <w:hideMark/>
          </w:tcPr>
          <w:p w14:paraId="1A24753B"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8.55 ± 1.93</w:t>
            </w:r>
          </w:p>
        </w:tc>
        <w:tc>
          <w:tcPr>
            <w:tcW w:w="562" w:type="pct"/>
            <w:tcBorders>
              <w:top w:val="nil"/>
              <w:left w:val="nil"/>
              <w:bottom w:val="nil"/>
              <w:right w:val="nil"/>
            </w:tcBorders>
            <w:shd w:val="clear" w:color="auto" w:fill="auto"/>
            <w:noWrap/>
            <w:vAlign w:val="center"/>
            <w:hideMark/>
          </w:tcPr>
          <w:p w14:paraId="03B2085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10.58 ± 2.17</w:t>
            </w:r>
          </w:p>
        </w:tc>
        <w:tc>
          <w:tcPr>
            <w:tcW w:w="562" w:type="pct"/>
            <w:gridSpan w:val="2"/>
            <w:tcBorders>
              <w:top w:val="nil"/>
              <w:left w:val="nil"/>
              <w:bottom w:val="nil"/>
              <w:right w:val="nil"/>
            </w:tcBorders>
            <w:shd w:val="clear" w:color="auto" w:fill="auto"/>
            <w:noWrap/>
            <w:vAlign w:val="center"/>
            <w:hideMark/>
          </w:tcPr>
          <w:p w14:paraId="5FF5C18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6.2 ± 0.62</w:t>
            </w:r>
          </w:p>
        </w:tc>
      </w:tr>
      <w:tr w:rsidR="00337EB7" w:rsidRPr="00FA7D47" w14:paraId="52D107CC" w14:textId="77777777" w:rsidTr="0095549A">
        <w:trPr>
          <w:trHeight w:val="285"/>
        </w:trPr>
        <w:tc>
          <w:tcPr>
            <w:tcW w:w="1066" w:type="pct"/>
            <w:tcBorders>
              <w:top w:val="nil"/>
              <w:left w:val="nil"/>
              <w:bottom w:val="nil"/>
              <w:right w:val="nil"/>
            </w:tcBorders>
            <w:shd w:val="clear" w:color="auto" w:fill="auto"/>
            <w:noWrap/>
            <w:vAlign w:val="center"/>
            <w:hideMark/>
          </w:tcPr>
          <w:p w14:paraId="20B1756C"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Free fatty acids</w:t>
            </w:r>
          </w:p>
        </w:tc>
        <w:tc>
          <w:tcPr>
            <w:tcW w:w="562" w:type="pct"/>
            <w:tcBorders>
              <w:top w:val="nil"/>
              <w:left w:val="nil"/>
              <w:bottom w:val="nil"/>
              <w:right w:val="nil"/>
            </w:tcBorders>
            <w:shd w:val="clear" w:color="auto" w:fill="auto"/>
            <w:noWrap/>
            <w:vAlign w:val="center"/>
            <w:hideMark/>
          </w:tcPr>
          <w:p w14:paraId="52F2653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2 ± 2.68</w:t>
            </w:r>
          </w:p>
        </w:tc>
        <w:tc>
          <w:tcPr>
            <w:tcW w:w="556" w:type="pct"/>
            <w:tcBorders>
              <w:top w:val="nil"/>
              <w:left w:val="nil"/>
              <w:bottom w:val="nil"/>
              <w:right w:val="nil"/>
            </w:tcBorders>
            <w:shd w:val="clear" w:color="auto" w:fill="auto"/>
            <w:noWrap/>
            <w:vAlign w:val="center"/>
            <w:hideMark/>
          </w:tcPr>
          <w:p w14:paraId="38218C34"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6.08 ± 7.24</w:t>
            </w:r>
          </w:p>
        </w:tc>
        <w:tc>
          <w:tcPr>
            <w:tcW w:w="558" w:type="pct"/>
            <w:tcBorders>
              <w:top w:val="nil"/>
              <w:left w:val="nil"/>
              <w:bottom w:val="nil"/>
              <w:right w:val="nil"/>
            </w:tcBorders>
            <w:shd w:val="clear" w:color="auto" w:fill="auto"/>
            <w:noWrap/>
            <w:vAlign w:val="center"/>
            <w:hideMark/>
          </w:tcPr>
          <w:p w14:paraId="7A0C7A9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4.32 ± 2.3</w:t>
            </w:r>
          </w:p>
        </w:tc>
        <w:tc>
          <w:tcPr>
            <w:tcW w:w="572" w:type="pct"/>
            <w:gridSpan w:val="2"/>
            <w:tcBorders>
              <w:top w:val="nil"/>
              <w:left w:val="nil"/>
              <w:bottom w:val="nil"/>
              <w:right w:val="nil"/>
            </w:tcBorders>
            <w:shd w:val="clear" w:color="auto" w:fill="auto"/>
            <w:noWrap/>
            <w:vAlign w:val="center"/>
            <w:hideMark/>
          </w:tcPr>
          <w:p w14:paraId="4BC7A23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4.29 ± 3.79</w:t>
            </w:r>
          </w:p>
        </w:tc>
        <w:tc>
          <w:tcPr>
            <w:tcW w:w="562" w:type="pct"/>
            <w:gridSpan w:val="2"/>
            <w:tcBorders>
              <w:top w:val="nil"/>
              <w:left w:val="nil"/>
              <w:bottom w:val="nil"/>
              <w:right w:val="nil"/>
            </w:tcBorders>
            <w:shd w:val="clear" w:color="auto" w:fill="auto"/>
            <w:noWrap/>
            <w:vAlign w:val="center"/>
            <w:hideMark/>
          </w:tcPr>
          <w:p w14:paraId="44A6C3AA"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3.36 ± 2.33</w:t>
            </w:r>
          </w:p>
        </w:tc>
        <w:tc>
          <w:tcPr>
            <w:tcW w:w="562" w:type="pct"/>
            <w:tcBorders>
              <w:top w:val="nil"/>
              <w:left w:val="nil"/>
              <w:bottom w:val="nil"/>
              <w:right w:val="nil"/>
            </w:tcBorders>
            <w:shd w:val="clear" w:color="auto" w:fill="auto"/>
            <w:noWrap/>
            <w:vAlign w:val="center"/>
            <w:hideMark/>
          </w:tcPr>
          <w:p w14:paraId="4CAD26A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4.55 ± 6.99</w:t>
            </w:r>
          </w:p>
        </w:tc>
        <w:tc>
          <w:tcPr>
            <w:tcW w:w="562" w:type="pct"/>
            <w:gridSpan w:val="2"/>
            <w:tcBorders>
              <w:top w:val="nil"/>
              <w:left w:val="nil"/>
              <w:bottom w:val="nil"/>
              <w:right w:val="nil"/>
            </w:tcBorders>
            <w:shd w:val="clear" w:color="auto" w:fill="auto"/>
            <w:noWrap/>
            <w:vAlign w:val="center"/>
            <w:hideMark/>
          </w:tcPr>
          <w:p w14:paraId="29AFA81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3.07 ± 2.89</w:t>
            </w:r>
          </w:p>
        </w:tc>
      </w:tr>
      <w:tr w:rsidR="00337EB7" w:rsidRPr="00FA7D47" w14:paraId="3EF0B34C" w14:textId="77777777" w:rsidTr="0095549A">
        <w:trPr>
          <w:trHeight w:val="285"/>
        </w:trPr>
        <w:tc>
          <w:tcPr>
            <w:tcW w:w="1066" w:type="pct"/>
            <w:tcBorders>
              <w:top w:val="nil"/>
              <w:left w:val="nil"/>
              <w:bottom w:val="nil"/>
              <w:right w:val="nil"/>
            </w:tcBorders>
            <w:shd w:val="clear" w:color="auto" w:fill="auto"/>
            <w:noWrap/>
            <w:vAlign w:val="center"/>
            <w:hideMark/>
          </w:tcPr>
          <w:p w14:paraId="3824FDD8"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Unknown neutral lipid</w:t>
            </w:r>
          </w:p>
        </w:tc>
        <w:tc>
          <w:tcPr>
            <w:tcW w:w="562" w:type="pct"/>
            <w:tcBorders>
              <w:top w:val="nil"/>
              <w:left w:val="nil"/>
              <w:bottom w:val="nil"/>
              <w:right w:val="nil"/>
            </w:tcBorders>
            <w:shd w:val="clear" w:color="auto" w:fill="auto"/>
            <w:noWrap/>
            <w:vAlign w:val="center"/>
            <w:hideMark/>
          </w:tcPr>
          <w:p w14:paraId="7E2B0E0C"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56" w:type="pct"/>
            <w:tcBorders>
              <w:top w:val="nil"/>
              <w:left w:val="nil"/>
              <w:bottom w:val="nil"/>
              <w:right w:val="nil"/>
            </w:tcBorders>
            <w:shd w:val="clear" w:color="auto" w:fill="auto"/>
            <w:noWrap/>
            <w:vAlign w:val="center"/>
            <w:hideMark/>
          </w:tcPr>
          <w:p w14:paraId="54C6E69B"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58" w:type="pct"/>
            <w:tcBorders>
              <w:top w:val="nil"/>
              <w:left w:val="nil"/>
              <w:bottom w:val="nil"/>
              <w:right w:val="nil"/>
            </w:tcBorders>
            <w:shd w:val="clear" w:color="auto" w:fill="auto"/>
            <w:noWrap/>
            <w:vAlign w:val="center"/>
            <w:hideMark/>
          </w:tcPr>
          <w:p w14:paraId="6D89B913"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72" w:type="pct"/>
            <w:gridSpan w:val="2"/>
            <w:tcBorders>
              <w:top w:val="nil"/>
              <w:left w:val="nil"/>
              <w:bottom w:val="nil"/>
              <w:right w:val="nil"/>
            </w:tcBorders>
            <w:shd w:val="clear" w:color="auto" w:fill="auto"/>
            <w:noWrap/>
            <w:vAlign w:val="center"/>
            <w:hideMark/>
          </w:tcPr>
          <w:p w14:paraId="578DF5E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0.04 ± 0.13</w:t>
            </w:r>
          </w:p>
        </w:tc>
        <w:tc>
          <w:tcPr>
            <w:tcW w:w="562" w:type="pct"/>
            <w:gridSpan w:val="2"/>
            <w:tcBorders>
              <w:top w:val="nil"/>
              <w:left w:val="nil"/>
              <w:bottom w:val="nil"/>
              <w:right w:val="nil"/>
            </w:tcBorders>
            <w:shd w:val="clear" w:color="auto" w:fill="auto"/>
            <w:noWrap/>
            <w:vAlign w:val="center"/>
            <w:hideMark/>
          </w:tcPr>
          <w:p w14:paraId="7C1F7D4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tcBorders>
              <w:top w:val="nil"/>
              <w:left w:val="nil"/>
              <w:bottom w:val="nil"/>
              <w:right w:val="nil"/>
            </w:tcBorders>
            <w:shd w:val="clear" w:color="auto" w:fill="auto"/>
            <w:noWrap/>
            <w:vAlign w:val="center"/>
            <w:hideMark/>
          </w:tcPr>
          <w:p w14:paraId="5F14F463"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c>
          <w:tcPr>
            <w:tcW w:w="562" w:type="pct"/>
            <w:gridSpan w:val="2"/>
            <w:tcBorders>
              <w:top w:val="nil"/>
              <w:left w:val="nil"/>
              <w:bottom w:val="nil"/>
              <w:right w:val="nil"/>
            </w:tcBorders>
            <w:shd w:val="clear" w:color="auto" w:fill="auto"/>
            <w:noWrap/>
            <w:vAlign w:val="center"/>
            <w:hideMark/>
          </w:tcPr>
          <w:p w14:paraId="41F068C9"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0 ± 0</w:t>
            </w:r>
          </w:p>
        </w:tc>
      </w:tr>
      <w:tr w:rsidR="00337EB7" w:rsidRPr="00FA7D47" w14:paraId="6C3B8E0C" w14:textId="77777777" w:rsidTr="0095549A">
        <w:trPr>
          <w:trHeight w:val="285"/>
        </w:trPr>
        <w:tc>
          <w:tcPr>
            <w:tcW w:w="1066" w:type="pct"/>
            <w:tcBorders>
              <w:top w:val="nil"/>
              <w:left w:val="nil"/>
              <w:bottom w:val="nil"/>
              <w:right w:val="nil"/>
            </w:tcBorders>
            <w:shd w:val="clear" w:color="auto" w:fill="auto"/>
            <w:noWrap/>
            <w:vAlign w:val="center"/>
            <w:hideMark/>
          </w:tcPr>
          <w:p w14:paraId="331B4101"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Triacylglycerols</w:t>
            </w:r>
          </w:p>
        </w:tc>
        <w:tc>
          <w:tcPr>
            <w:tcW w:w="562" w:type="pct"/>
            <w:tcBorders>
              <w:top w:val="nil"/>
              <w:left w:val="nil"/>
              <w:bottom w:val="nil"/>
              <w:right w:val="nil"/>
            </w:tcBorders>
            <w:shd w:val="clear" w:color="auto" w:fill="auto"/>
            <w:noWrap/>
            <w:vAlign w:val="center"/>
            <w:hideMark/>
          </w:tcPr>
          <w:p w14:paraId="3799876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50.28 ± 19.38</w:t>
            </w:r>
          </w:p>
        </w:tc>
        <w:tc>
          <w:tcPr>
            <w:tcW w:w="556" w:type="pct"/>
            <w:tcBorders>
              <w:top w:val="nil"/>
              <w:left w:val="nil"/>
              <w:bottom w:val="nil"/>
              <w:right w:val="nil"/>
            </w:tcBorders>
            <w:shd w:val="clear" w:color="auto" w:fill="auto"/>
            <w:noWrap/>
            <w:vAlign w:val="center"/>
            <w:hideMark/>
          </w:tcPr>
          <w:p w14:paraId="17EC2B33"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54.83 ± 11.56</w:t>
            </w:r>
          </w:p>
        </w:tc>
        <w:tc>
          <w:tcPr>
            <w:tcW w:w="558" w:type="pct"/>
            <w:tcBorders>
              <w:top w:val="nil"/>
              <w:left w:val="nil"/>
              <w:bottom w:val="nil"/>
              <w:right w:val="nil"/>
            </w:tcBorders>
            <w:shd w:val="clear" w:color="auto" w:fill="auto"/>
            <w:noWrap/>
            <w:vAlign w:val="center"/>
            <w:hideMark/>
          </w:tcPr>
          <w:p w14:paraId="5A42008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53.27 ± 23.9</w:t>
            </w:r>
          </w:p>
        </w:tc>
        <w:tc>
          <w:tcPr>
            <w:tcW w:w="572" w:type="pct"/>
            <w:gridSpan w:val="2"/>
            <w:tcBorders>
              <w:top w:val="nil"/>
              <w:left w:val="nil"/>
              <w:bottom w:val="nil"/>
              <w:right w:val="nil"/>
            </w:tcBorders>
            <w:shd w:val="clear" w:color="auto" w:fill="auto"/>
            <w:noWrap/>
            <w:vAlign w:val="center"/>
            <w:hideMark/>
          </w:tcPr>
          <w:p w14:paraId="311AC29D"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52.13 ± 15.97</w:t>
            </w:r>
          </w:p>
        </w:tc>
        <w:tc>
          <w:tcPr>
            <w:tcW w:w="562" w:type="pct"/>
            <w:gridSpan w:val="2"/>
            <w:tcBorders>
              <w:top w:val="nil"/>
              <w:left w:val="nil"/>
              <w:bottom w:val="nil"/>
              <w:right w:val="nil"/>
            </w:tcBorders>
            <w:shd w:val="clear" w:color="auto" w:fill="auto"/>
            <w:noWrap/>
            <w:vAlign w:val="center"/>
            <w:hideMark/>
          </w:tcPr>
          <w:p w14:paraId="6AA8C1C5"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52.66 ± 10.88</w:t>
            </w:r>
          </w:p>
        </w:tc>
        <w:tc>
          <w:tcPr>
            <w:tcW w:w="562" w:type="pct"/>
            <w:tcBorders>
              <w:top w:val="nil"/>
              <w:left w:val="nil"/>
              <w:bottom w:val="nil"/>
              <w:right w:val="nil"/>
            </w:tcBorders>
            <w:shd w:val="clear" w:color="auto" w:fill="auto"/>
            <w:noWrap/>
            <w:vAlign w:val="center"/>
            <w:hideMark/>
          </w:tcPr>
          <w:p w14:paraId="671EA05E"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45.03 ± 15.47</w:t>
            </w:r>
          </w:p>
        </w:tc>
        <w:tc>
          <w:tcPr>
            <w:tcW w:w="562" w:type="pct"/>
            <w:gridSpan w:val="2"/>
            <w:tcBorders>
              <w:top w:val="nil"/>
              <w:left w:val="nil"/>
              <w:bottom w:val="nil"/>
              <w:right w:val="nil"/>
            </w:tcBorders>
            <w:shd w:val="clear" w:color="auto" w:fill="auto"/>
            <w:noWrap/>
            <w:vAlign w:val="center"/>
            <w:hideMark/>
          </w:tcPr>
          <w:p w14:paraId="1CFB356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33.9 ± 5.16</w:t>
            </w:r>
          </w:p>
        </w:tc>
      </w:tr>
      <w:tr w:rsidR="00337EB7" w:rsidRPr="00FA7D47" w14:paraId="44FAC4F4" w14:textId="77777777" w:rsidTr="0095549A">
        <w:trPr>
          <w:trHeight w:val="285"/>
        </w:trPr>
        <w:tc>
          <w:tcPr>
            <w:tcW w:w="1066" w:type="pct"/>
            <w:tcBorders>
              <w:top w:val="nil"/>
              <w:left w:val="nil"/>
              <w:bottom w:val="nil"/>
              <w:right w:val="nil"/>
            </w:tcBorders>
            <w:shd w:val="clear" w:color="auto" w:fill="auto"/>
            <w:noWrap/>
            <w:vAlign w:val="center"/>
            <w:hideMark/>
          </w:tcPr>
          <w:p w14:paraId="43C54AF6" w14:textId="77777777" w:rsidR="00337EB7" w:rsidRPr="009819CE" w:rsidRDefault="00337EB7" w:rsidP="0095549A">
            <w:pPr>
              <w:spacing w:after="0" w:line="240" w:lineRule="auto"/>
              <w:jc w:val="center"/>
              <w:rPr>
                <w:rFonts w:cstheme="minorBidi"/>
                <w:color w:val="000000"/>
                <w:sz w:val="22"/>
              </w:rPr>
            </w:pPr>
            <w:r w:rsidRPr="009819CE">
              <w:rPr>
                <w:rFonts w:cstheme="minorBidi"/>
                <w:color w:val="000000"/>
                <w:sz w:val="22"/>
              </w:rPr>
              <w:t>Wax/Sterol esters</w:t>
            </w:r>
          </w:p>
        </w:tc>
        <w:tc>
          <w:tcPr>
            <w:tcW w:w="562" w:type="pct"/>
            <w:tcBorders>
              <w:top w:val="nil"/>
              <w:left w:val="nil"/>
              <w:bottom w:val="nil"/>
              <w:right w:val="nil"/>
            </w:tcBorders>
            <w:shd w:val="clear" w:color="auto" w:fill="auto"/>
            <w:noWrap/>
            <w:vAlign w:val="center"/>
            <w:hideMark/>
          </w:tcPr>
          <w:p w14:paraId="02D988BA"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4.72 ± 1.12</w:t>
            </w:r>
          </w:p>
        </w:tc>
        <w:tc>
          <w:tcPr>
            <w:tcW w:w="556" w:type="pct"/>
            <w:tcBorders>
              <w:top w:val="nil"/>
              <w:left w:val="nil"/>
              <w:bottom w:val="nil"/>
              <w:right w:val="nil"/>
            </w:tcBorders>
            <w:shd w:val="clear" w:color="auto" w:fill="auto"/>
            <w:noWrap/>
            <w:vAlign w:val="center"/>
            <w:hideMark/>
          </w:tcPr>
          <w:p w14:paraId="6E5EF460"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5.22 ± 2.33</w:t>
            </w:r>
          </w:p>
        </w:tc>
        <w:tc>
          <w:tcPr>
            <w:tcW w:w="558" w:type="pct"/>
            <w:tcBorders>
              <w:top w:val="nil"/>
              <w:left w:val="nil"/>
              <w:bottom w:val="nil"/>
              <w:right w:val="nil"/>
            </w:tcBorders>
            <w:shd w:val="clear" w:color="auto" w:fill="auto"/>
            <w:noWrap/>
            <w:vAlign w:val="center"/>
            <w:hideMark/>
          </w:tcPr>
          <w:p w14:paraId="4BD1F88B"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5.84 ± 2.54</w:t>
            </w:r>
          </w:p>
        </w:tc>
        <w:tc>
          <w:tcPr>
            <w:tcW w:w="572" w:type="pct"/>
            <w:gridSpan w:val="2"/>
            <w:tcBorders>
              <w:top w:val="nil"/>
              <w:left w:val="nil"/>
              <w:bottom w:val="nil"/>
              <w:right w:val="nil"/>
            </w:tcBorders>
            <w:shd w:val="clear" w:color="auto" w:fill="auto"/>
            <w:noWrap/>
            <w:vAlign w:val="center"/>
            <w:hideMark/>
          </w:tcPr>
          <w:p w14:paraId="5138CC0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8.56 ± 3.17</w:t>
            </w:r>
          </w:p>
        </w:tc>
        <w:tc>
          <w:tcPr>
            <w:tcW w:w="562" w:type="pct"/>
            <w:gridSpan w:val="2"/>
            <w:tcBorders>
              <w:top w:val="nil"/>
              <w:left w:val="nil"/>
              <w:bottom w:val="nil"/>
              <w:right w:val="nil"/>
            </w:tcBorders>
            <w:shd w:val="clear" w:color="auto" w:fill="auto"/>
            <w:noWrap/>
            <w:vAlign w:val="center"/>
            <w:hideMark/>
          </w:tcPr>
          <w:p w14:paraId="0AF81917"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7.74 ± 3.5</w:t>
            </w:r>
          </w:p>
        </w:tc>
        <w:tc>
          <w:tcPr>
            <w:tcW w:w="562" w:type="pct"/>
            <w:tcBorders>
              <w:top w:val="nil"/>
              <w:left w:val="nil"/>
              <w:bottom w:val="nil"/>
              <w:right w:val="nil"/>
            </w:tcBorders>
            <w:shd w:val="clear" w:color="auto" w:fill="auto"/>
            <w:noWrap/>
            <w:vAlign w:val="center"/>
            <w:hideMark/>
          </w:tcPr>
          <w:p w14:paraId="6AE73416"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9.58 ± 1.64</w:t>
            </w:r>
          </w:p>
        </w:tc>
        <w:tc>
          <w:tcPr>
            <w:tcW w:w="562" w:type="pct"/>
            <w:gridSpan w:val="2"/>
            <w:tcBorders>
              <w:top w:val="nil"/>
              <w:left w:val="nil"/>
              <w:bottom w:val="nil"/>
              <w:right w:val="nil"/>
            </w:tcBorders>
            <w:shd w:val="clear" w:color="auto" w:fill="auto"/>
            <w:noWrap/>
            <w:vAlign w:val="center"/>
            <w:hideMark/>
          </w:tcPr>
          <w:p w14:paraId="42C61AB1" w14:textId="77777777" w:rsidR="00337EB7" w:rsidRPr="009819CE" w:rsidRDefault="00337EB7" w:rsidP="0095549A">
            <w:pPr>
              <w:spacing w:after="0" w:line="240" w:lineRule="auto"/>
              <w:jc w:val="left"/>
              <w:rPr>
                <w:rFonts w:cstheme="minorBidi"/>
                <w:color w:val="000000"/>
                <w:sz w:val="22"/>
              </w:rPr>
            </w:pPr>
            <w:r w:rsidRPr="009819CE">
              <w:rPr>
                <w:rFonts w:cstheme="minorBidi"/>
                <w:color w:val="000000"/>
                <w:sz w:val="22"/>
              </w:rPr>
              <w:t>8.03 ± 2.04</w:t>
            </w:r>
          </w:p>
        </w:tc>
      </w:tr>
      <w:tr w:rsidR="00337EB7" w:rsidRPr="00FA7D47" w14:paraId="48CBBC95" w14:textId="77777777" w:rsidTr="0095549A">
        <w:trPr>
          <w:trHeight w:val="293"/>
        </w:trPr>
        <w:tc>
          <w:tcPr>
            <w:tcW w:w="1066" w:type="pct"/>
            <w:tcBorders>
              <w:top w:val="single" w:sz="4" w:space="0" w:color="auto"/>
              <w:left w:val="nil"/>
              <w:bottom w:val="single" w:sz="4" w:space="0" w:color="auto"/>
              <w:right w:val="nil"/>
            </w:tcBorders>
            <w:shd w:val="clear" w:color="auto" w:fill="auto"/>
            <w:noWrap/>
            <w:vAlign w:val="center"/>
            <w:hideMark/>
          </w:tcPr>
          <w:p w14:paraId="63629782" w14:textId="77777777" w:rsidR="00337EB7" w:rsidRPr="009819CE" w:rsidRDefault="00337EB7" w:rsidP="0095549A">
            <w:pPr>
              <w:spacing w:after="0" w:line="240" w:lineRule="auto"/>
              <w:jc w:val="center"/>
              <w:rPr>
                <w:rFonts w:cstheme="minorBidi"/>
                <w:b/>
                <w:bCs/>
                <w:color w:val="000000"/>
                <w:sz w:val="22"/>
              </w:rPr>
            </w:pPr>
            <w:r w:rsidRPr="009819CE">
              <w:rPr>
                <w:rFonts w:cstheme="minorBidi"/>
                <w:b/>
                <w:bCs/>
                <w:color w:val="000000"/>
                <w:sz w:val="22"/>
              </w:rPr>
              <w:t>Total Neutral lipids</w:t>
            </w:r>
          </w:p>
        </w:tc>
        <w:tc>
          <w:tcPr>
            <w:tcW w:w="562" w:type="pct"/>
            <w:tcBorders>
              <w:top w:val="single" w:sz="4" w:space="0" w:color="auto"/>
              <w:left w:val="nil"/>
              <w:bottom w:val="single" w:sz="4" w:space="0" w:color="auto"/>
              <w:right w:val="nil"/>
            </w:tcBorders>
            <w:shd w:val="clear" w:color="auto" w:fill="auto"/>
            <w:noWrap/>
            <w:vAlign w:val="center"/>
            <w:hideMark/>
          </w:tcPr>
          <w:p w14:paraId="585B5262"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67.26 ± 16.58</w:t>
            </w:r>
          </w:p>
        </w:tc>
        <w:tc>
          <w:tcPr>
            <w:tcW w:w="556" w:type="pct"/>
            <w:tcBorders>
              <w:top w:val="single" w:sz="4" w:space="0" w:color="auto"/>
              <w:left w:val="nil"/>
              <w:bottom w:val="single" w:sz="4" w:space="0" w:color="auto"/>
              <w:right w:val="nil"/>
            </w:tcBorders>
            <w:shd w:val="clear" w:color="auto" w:fill="auto"/>
            <w:noWrap/>
            <w:vAlign w:val="center"/>
            <w:hideMark/>
          </w:tcPr>
          <w:p w14:paraId="4274529E"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78.18 ± 9.93</w:t>
            </w:r>
          </w:p>
        </w:tc>
        <w:tc>
          <w:tcPr>
            <w:tcW w:w="558" w:type="pct"/>
            <w:tcBorders>
              <w:top w:val="single" w:sz="4" w:space="0" w:color="auto"/>
              <w:left w:val="nil"/>
              <w:bottom w:val="single" w:sz="4" w:space="0" w:color="auto"/>
              <w:right w:val="nil"/>
            </w:tcBorders>
            <w:shd w:val="clear" w:color="auto" w:fill="auto"/>
            <w:noWrap/>
            <w:vAlign w:val="center"/>
            <w:hideMark/>
          </w:tcPr>
          <w:p w14:paraId="03924926"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75.35 ± 18.9</w:t>
            </w:r>
          </w:p>
        </w:tc>
        <w:tc>
          <w:tcPr>
            <w:tcW w:w="572" w:type="pct"/>
            <w:gridSpan w:val="2"/>
            <w:tcBorders>
              <w:top w:val="single" w:sz="4" w:space="0" w:color="auto"/>
              <w:left w:val="nil"/>
              <w:bottom w:val="single" w:sz="4" w:space="0" w:color="auto"/>
              <w:right w:val="nil"/>
            </w:tcBorders>
            <w:shd w:val="clear" w:color="auto" w:fill="auto"/>
            <w:noWrap/>
            <w:vAlign w:val="center"/>
            <w:hideMark/>
          </w:tcPr>
          <w:p w14:paraId="1E0CF0CD"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75.02 ± 10.31</w:t>
            </w:r>
          </w:p>
        </w:tc>
        <w:tc>
          <w:tcPr>
            <w:tcW w:w="562" w:type="pct"/>
            <w:gridSpan w:val="2"/>
            <w:tcBorders>
              <w:top w:val="single" w:sz="4" w:space="0" w:color="auto"/>
              <w:left w:val="nil"/>
              <w:bottom w:val="single" w:sz="4" w:space="0" w:color="auto"/>
              <w:right w:val="nil"/>
            </w:tcBorders>
            <w:shd w:val="clear" w:color="auto" w:fill="auto"/>
            <w:noWrap/>
            <w:vAlign w:val="center"/>
            <w:hideMark/>
          </w:tcPr>
          <w:p w14:paraId="717EB293"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73.66 ± 8.26</w:t>
            </w:r>
          </w:p>
        </w:tc>
        <w:tc>
          <w:tcPr>
            <w:tcW w:w="562" w:type="pct"/>
            <w:tcBorders>
              <w:top w:val="single" w:sz="4" w:space="0" w:color="auto"/>
              <w:left w:val="nil"/>
              <w:bottom w:val="single" w:sz="4" w:space="0" w:color="auto"/>
              <w:right w:val="nil"/>
            </w:tcBorders>
            <w:shd w:val="clear" w:color="auto" w:fill="auto"/>
            <w:noWrap/>
            <w:vAlign w:val="center"/>
            <w:hideMark/>
          </w:tcPr>
          <w:p w14:paraId="2495A3E5"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72.64 ± 14.47</w:t>
            </w:r>
          </w:p>
        </w:tc>
        <w:tc>
          <w:tcPr>
            <w:tcW w:w="562" w:type="pct"/>
            <w:gridSpan w:val="2"/>
            <w:tcBorders>
              <w:top w:val="single" w:sz="4" w:space="0" w:color="auto"/>
              <w:left w:val="nil"/>
              <w:bottom w:val="single" w:sz="4" w:space="0" w:color="auto"/>
              <w:right w:val="nil"/>
            </w:tcBorders>
            <w:shd w:val="clear" w:color="auto" w:fill="auto"/>
            <w:noWrap/>
            <w:vAlign w:val="center"/>
            <w:hideMark/>
          </w:tcPr>
          <w:p w14:paraId="1BBD50A6" w14:textId="77777777" w:rsidR="00337EB7" w:rsidRPr="009819CE" w:rsidRDefault="00337EB7" w:rsidP="0095549A">
            <w:pPr>
              <w:spacing w:after="0" w:line="240" w:lineRule="auto"/>
              <w:jc w:val="left"/>
              <w:rPr>
                <w:rFonts w:cstheme="minorBidi"/>
                <w:b/>
                <w:bCs/>
                <w:color w:val="000000"/>
                <w:sz w:val="22"/>
              </w:rPr>
            </w:pPr>
            <w:r w:rsidRPr="009819CE">
              <w:rPr>
                <w:rFonts w:cstheme="minorBidi"/>
                <w:b/>
                <w:bCs/>
                <w:color w:val="000000"/>
                <w:sz w:val="22"/>
              </w:rPr>
              <w:t>56.07 ± 3.46</w:t>
            </w:r>
          </w:p>
        </w:tc>
      </w:tr>
    </w:tbl>
    <w:p w14:paraId="21A20332" w14:textId="77777777" w:rsidR="00BC67A2" w:rsidRPr="00FA7D47" w:rsidRDefault="00BC67A2" w:rsidP="006A0363">
      <w:pPr>
        <w:rPr>
          <w:rFonts w:cstheme="minorBidi"/>
        </w:rPr>
        <w:sectPr w:rsidR="00BC67A2" w:rsidRPr="00FA7D47" w:rsidSect="009E090D">
          <w:footerReference w:type="default" r:id="rId114"/>
          <w:pgSz w:w="16838" w:h="11906" w:orient="landscape" w:code="9"/>
          <w:pgMar w:top="1440" w:right="1440" w:bottom="1440" w:left="1440" w:header="567" w:footer="567" w:gutter="0"/>
          <w:cols w:space="708"/>
          <w:docGrid w:linePitch="360"/>
        </w:sectPr>
      </w:pPr>
    </w:p>
    <w:p w14:paraId="1FB6039E" w14:textId="7C000458" w:rsidR="006A0363" w:rsidRPr="009819CE" w:rsidRDefault="006A0363" w:rsidP="006A0363">
      <w:pPr>
        <w:rPr>
          <w:rFonts w:cstheme="min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6A0363" w:rsidRPr="00FA7D47" w14:paraId="0EF3DD23" w14:textId="77777777" w:rsidTr="007D6607">
        <w:tc>
          <w:tcPr>
            <w:tcW w:w="5000" w:type="pct"/>
          </w:tcPr>
          <w:p w14:paraId="63E979D5" w14:textId="77777777" w:rsidR="006A0363" w:rsidRPr="009819CE" w:rsidRDefault="006A0363" w:rsidP="007D6607">
            <w:pPr>
              <w:rPr>
                <w:rFonts w:cstheme="minorBidi"/>
                <w:lang w:val="en-GB"/>
              </w:rPr>
            </w:pPr>
            <w:r w:rsidRPr="00FF34FE">
              <w:rPr>
                <w:rFonts w:cstheme="minorBidi"/>
                <w:noProof/>
              </w:rPr>
              <w:drawing>
                <wp:anchor distT="0" distB="0" distL="114300" distR="114300" simplePos="0" relativeHeight="251710464" behindDoc="0" locked="0" layoutInCell="1" allowOverlap="1" wp14:anchorId="3D680B24" wp14:editId="09BF905F">
                  <wp:simplePos x="0" y="0"/>
                  <wp:positionH relativeFrom="margin">
                    <wp:align>center</wp:align>
                  </wp:positionH>
                  <wp:positionV relativeFrom="margin">
                    <wp:align>center</wp:align>
                  </wp:positionV>
                  <wp:extent cx="7923530" cy="3657600"/>
                  <wp:effectExtent l="0" t="0" r="1270" b="0"/>
                  <wp:wrapSquare wrapText="bothSides"/>
                  <wp:docPr id="936508582" name="Picture 1" descr="A graph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08582" name="Picture 1" descr="A graph of different colored squares&#10;&#10;Description automatically generated with medium confidence"/>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792353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A0363" w:rsidRPr="00FA7D47" w14:paraId="47A1DBE4" w14:textId="77777777" w:rsidTr="007D6607">
        <w:tc>
          <w:tcPr>
            <w:tcW w:w="5000" w:type="pct"/>
          </w:tcPr>
          <w:p w14:paraId="3C774BC0" w14:textId="03093365" w:rsidR="006A0363" w:rsidRPr="009819CE" w:rsidRDefault="006A0363" w:rsidP="007D6607">
            <w:pPr>
              <w:spacing w:line="240" w:lineRule="auto"/>
              <w:rPr>
                <w:rFonts w:cstheme="minorBidi"/>
                <w:lang w:val="en-GB"/>
              </w:rPr>
            </w:pPr>
            <w:bookmarkStart w:id="369" w:name="_Ref137632792"/>
            <w:bookmarkStart w:id="370" w:name="_Toc204106750"/>
            <w:r w:rsidRPr="009819CE">
              <w:rPr>
                <w:rFonts w:cstheme="minorBidi"/>
                <w:b/>
                <w:bCs/>
                <w:sz w:val="22"/>
                <w:szCs w:val="22"/>
                <w:lang w:val="en-GB"/>
              </w:rPr>
              <w:t xml:space="preserve">Figure </w:t>
            </w:r>
            <w:r w:rsidRPr="001F4A34">
              <w:rPr>
                <w:rFonts w:cstheme="minorBidi"/>
                <w:b/>
                <w:bCs/>
                <w:sz w:val="22"/>
              </w:rPr>
              <w:fldChar w:fldCharType="begin"/>
            </w:r>
            <w:r w:rsidRPr="009819CE">
              <w:rPr>
                <w:rFonts w:cstheme="minorBidi"/>
                <w:b/>
                <w:bCs/>
                <w:sz w:val="22"/>
                <w:szCs w:val="22"/>
                <w:lang w:val="en-GB"/>
              </w:rPr>
              <w:instrText xml:space="preserve"> STYLEREF 1 \s </w:instrText>
            </w:r>
            <w:r w:rsidRPr="001F4A34">
              <w:rPr>
                <w:rFonts w:cstheme="minorBidi"/>
                <w:b/>
                <w:bCs/>
                <w:sz w:val="22"/>
              </w:rPr>
              <w:fldChar w:fldCharType="separate"/>
            </w:r>
            <w:r w:rsidR="008549FC">
              <w:rPr>
                <w:rFonts w:cstheme="minorBidi"/>
                <w:b/>
                <w:bCs/>
                <w:noProof/>
                <w:sz w:val="22"/>
                <w:szCs w:val="22"/>
                <w:lang w:val="en-GB"/>
              </w:rPr>
              <w:t>4</w:t>
            </w:r>
            <w:r w:rsidRPr="001F4A34">
              <w:rPr>
                <w:rFonts w:cstheme="minorBidi"/>
                <w:b/>
                <w:bCs/>
                <w:sz w:val="22"/>
              </w:rPr>
              <w:fldChar w:fldCharType="end"/>
            </w:r>
            <w:r w:rsidRPr="009819CE">
              <w:rPr>
                <w:rFonts w:cstheme="minorBidi"/>
                <w:b/>
                <w:bCs/>
                <w:sz w:val="22"/>
                <w:szCs w:val="22"/>
                <w:lang w:val="en-GB"/>
              </w:rPr>
              <w:t>.</w:t>
            </w:r>
            <w:r w:rsidRPr="001F4A34">
              <w:rPr>
                <w:rFonts w:cstheme="minorBidi"/>
                <w:b/>
                <w:bCs/>
                <w:sz w:val="22"/>
              </w:rPr>
              <w:fldChar w:fldCharType="begin"/>
            </w:r>
            <w:r w:rsidRPr="009819CE">
              <w:rPr>
                <w:rFonts w:cstheme="minorBidi"/>
                <w:b/>
                <w:bCs/>
                <w:sz w:val="22"/>
                <w:szCs w:val="22"/>
                <w:lang w:val="en-GB"/>
              </w:rPr>
              <w:instrText xml:space="preserve"> SEQ Figure \* ARABIC \s 1 </w:instrText>
            </w:r>
            <w:r w:rsidRPr="001F4A34">
              <w:rPr>
                <w:rFonts w:cstheme="minorBidi"/>
                <w:b/>
                <w:bCs/>
                <w:sz w:val="22"/>
              </w:rPr>
              <w:fldChar w:fldCharType="separate"/>
            </w:r>
            <w:r w:rsidR="008549FC">
              <w:rPr>
                <w:rFonts w:cstheme="minorBidi"/>
                <w:b/>
                <w:bCs/>
                <w:noProof/>
                <w:sz w:val="22"/>
                <w:szCs w:val="22"/>
                <w:lang w:val="en-GB"/>
              </w:rPr>
              <w:t>12</w:t>
            </w:r>
            <w:r w:rsidRPr="001F4A34">
              <w:rPr>
                <w:rFonts w:cstheme="minorBidi"/>
                <w:b/>
                <w:bCs/>
                <w:sz w:val="22"/>
              </w:rPr>
              <w:fldChar w:fldCharType="end"/>
            </w:r>
            <w:bookmarkEnd w:id="369"/>
            <w:r w:rsidRPr="009819CE">
              <w:rPr>
                <w:rFonts w:cstheme="minorBidi"/>
                <w:sz w:val="22"/>
                <w:szCs w:val="22"/>
                <w:lang w:val="en-GB"/>
              </w:rPr>
              <w:t xml:space="preserve"> Barplot depicting the </w:t>
            </w:r>
            <w:r w:rsidR="00D1679F">
              <w:rPr>
                <w:rFonts w:cstheme="minorBidi"/>
                <w:sz w:val="22"/>
                <w:szCs w:val="22"/>
                <w:lang w:val="en-GB"/>
              </w:rPr>
              <w:t>mean</w:t>
            </w:r>
            <w:r w:rsidR="00D1679F" w:rsidRPr="009819CE">
              <w:rPr>
                <w:rFonts w:cstheme="minorBidi"/>
                <w:sz w:val="22"/>
                <w:szCs w:val="22"/>
                <w:lang w:val="en-GB"/>
              </w:rPr>
              <w:t xml:space="preserve"> </w:t>
            </w:r>
            <w:r w:rsidRPr="009819CE">
              <w:rPr>
                <w:rFonts w:cstheme="minorBidi"/>
                <w:sz w:val="22"/>
                <w:szCs w:val="22"/>
                <w:lang w:val="en-GB"/>
              </w:rPr>
              <w:t xml:space="preserve">lipid classes (%) in total lipids found in the hepatopancreas with different levels of </w:t>
            </w:r>
            <w:r w:rsidR="009D03F4" w:rsidRPr="009819CE">
              <w:rPr>
                <w:rFonts w:cstheme="minorBidi"/>
                <w:i/>
                <w:iCs/>
                <w:sz w:val="22"/>
                <w:szCs w:val="22"/>
                <w:lang w:val="en-GB"/>
              </w:rPr>
              <w:t>Hematodinium</w:t>
            </w:r>
            <w:r w:rsidRPr="009819CE">
              <w:rPr>
                <w:rFonts w:cstheme="minorBidi"/>
                <w:sz w:val="22"/>
                <w:szCs w:val="22"/>
                <w:lang w:val="en-GB"/>
              </w:rPr>
              <w:t xml:space="preserve"> sp. infection (stage 0-4) as classified by the PM, along with the hepatopancreas of the host that sporulated and the released spores (macrospores).</w:t>
            </w:r>
            <w:bookmarkEnd w:id="370"/>
          </w:p>
        </w:tc>
      </w:tr>
    </w:tbl>
    <w:p w14:paraId="30FA6A0B" w14:textId="77777777" w:rsidR="0095522A" w:rsidRDefault="0095522A" w:rsidP="006A0363">
      <w:pPr>
        <w:rPr>
          <w:rFonts w:cstheme="minorBidi"/>
        </w:rPr>
        <w:sectPr w:rsidR="0095522A" w:rsidSect="009E090D">
          <w:pgSz w:w="16838" w:h="11906" w:orient="landscape" w:code="9"/>
          <w:pgMar w:top="1440" w:right="1440" w:bottom="1440" w:left="1440" w:header="567" w:footer="567" w:gutter="0"/>
          <w:cols w:space="708"/>
          <w:docGrid w:linePitch="360"/>
        </w:sectPr>
      </w:pPr>
    </w:p>
    <w:p w14:paraId="58453776" w14:textId="359E79DC" w:rsidR="0095522A" w:rsidRPr="003C55E4" w:rsidRDefault="0095522A" w:rsidP="0095522A">
      <w:pPr>
        <w:pStyle w:val="Caption"/>
        <w:rPr>
          <w:b/>
          <w:bCs/>
        </w:rPr>
      </w:pPr>
      <w:bookmarkStart w:id="371" w:name="_Ref204062687"/>
      <w:bookmarkStart w:id="372" w:name="_Toc204106765"/>
      <w:r w:rsidRPr="003C55E4">
        <w:rPr>
          <w:b/>
          <w:bCs/>
        </w:rPr>
        <w:t xml:space="preserve">Table </w:t>
      </w:r>
      <w:r w:rsidRPr="003C55E4">
        <w:rPr>
          <w:b/>
          <w:bCs/>
        </w:rPr>
        <w:fldChar w:fldCharType="begin"/>
      </w:r>
      <w:r w:rsidRPr="003C55E4">
        <w:rPr>
          <w:b/>
          <w:bCs/>
        </w:rPr>
        <w:instrText xml:space="preserve"> STYLEREF 1 \s </w:instrText>
      </w:r>
      <w:r w:rsidRPr="003C55E4">
        <w:rPr>
          <w:b/>
          <w:bCs/>
        </w:rPr>
        <w:fldChar w:fldCharType="separate"/>
      </w:r>
      <w:r w:rsidR="008549FC">
        <w:rPr>
          <w:b/>
          <w:bCs/>
          <w:noProof/>
        </w:rPr>
        <w:t>4</w:t>
      </w:r>
      <w:r w:rsidRPr="003C55E4">
        <w:rPr>
          <w:b/>
          <w:bCs/>
        </w:rPr>
        <w:fldChar w:fldCharType="end"/>
      </w:r>
      <w:r w:rsidRPr="003C55E4">
        <w:rPr>
          <w:b/>
          <w:bCs/>
        </w:rPr>
        <w:t>.</w:t>
      </w:r>
      <w:r w:rsidRPr="003C55E4">
        <w:rPr>
          <w:b/>
          <w:bCs/>
        </w:rPr>
        <w:fldChar w:fldCharType="begin"/>
      </w:r>
      <w:r w:rsidRPr="003C55E4">
        <w:rPr>
          <w:b/>
          <w:bCs/>
        </w:rPr>
        <w:instrText xml:space="preserve"> SEQ Table \* ARABIC \s 1 </w:instrText>
      </w:r>
      <w:r w:rsidRPr="003C55E4">
        <w:rPr>
          <w:b/>
          <w:bCs/>
        </w:rPr>
        <w:fldChar w:fldCharType="separate"/>
      </w:r>
      <w:r w:rsidR="008549FC">
        <w:rPr>
          <w:b/>
          <w:bCs/>
          <w:noProof/>
        </w:rPr>
        <w:t>5</w:t>
      </w:r>
      <w:r w:rsidRPr="003C55E4">
        <w:rPr>
          <w:b/>
          <w:bCs/>
        </w:rPr>
        <w:fldChar w:fldCharType="end"/>
      </w:r>
      <w:bookmarkEnd w:id="371"/>
      <w:r w:rsidRPr="003C55E4">
        <w:rPr>
          <w:b/>
          <w:bCs/>
        </w:rPr>
        <w:t xml:space="preserve">  </w:t>
      </w:r>
      <w:r w:rsidR="000D02C4" w:rsidRPr="009819CE">
        <w:rPr>
          <w:rFonts w:cstheme="minorBidi"/>
          <w:color w:val="000000"/>
        </w:rPr>
        <w:t xml:space="preserve">Anova comparison of </w:t>
      </w:r>
      <w:r w:rsidR="000D02C4">
        <w:rPr>
          <w:rFonts w:cstheme="minorBidi"/>
          <w:color w:val="000000"/>
        </w:rPr>
        <w:t>lipid class</w:t>
      </w:r>
      <w:r w:rsidR="000D02C4" w:rsidRPr="009819CE">
        <w:rPr>
          <w:rFonts w:cstheme="minorBidi"/>
          <w:color w:val="000000"/>
        </w:rPr>
        <w:t xml:space="preserve"> composition of macrospores compared to host hepatopancreas and the hepatopancreas of </w:t>
      </w:r>
      <w:r w:rsidR="000D02C4" w:rsidRPr="009819CE">
        <w:rPr>
          <w:rFonts w:cstheme="minorBidi"/>
          <w:i/>
          <w:color w:val="000000"/>
        </w:rPr>
        <w:t>Nephrops</w:t>
      </w:r>
      <w:r w:rsidR="000D02C4" w:rsidRPr="009819CE">
        <w:rPr>
          <w:rFonts w:cstheme="minorBidi"/>
          <w:color w:val="000000"/>
        </w:rPr>
        <w:t xml:space="preserve"> with different levels of </w:t>
      </w:r>
      <w:r w:rsidR="000D02C4" w:rsidRPr="009819CE">
        <w:rPr>
          <w:rFonts w:cstheme="minorBidi"/>
          <w:i/>
          <w:color w:val="000000"/>
        </w:rPr>
        <w:t>Hematodinium</w:t>
      </w:r>
      <w:r w:rsidR="000D02C4" w:rsidRPr="009819CE">
        <w:rPr>
          <w:rFonts w:cstheme="minorBidi"/>
          <w:color w:val="000000"/>
        </w:rPr>
        <w:t xml:space="preserve"> sp. infection according to the pleopod method</w:t>
      </w:r>
      <w:r w:rsidR="000D02C4">
        <w:rPr>
          <w:rFonts w:cstheme="minorBidi"/>
          <w:color w:val="000000"/>
        </w:rPr>
        <w:t>.</w:t>
      </w:r>
      <w:bookmarkEnd w:id="372"/>
    </w:p>
    <w:tbl>
      <w:tblPr>
        <w:tblW w:w="9380" w:type="dxa"/>
        <w:tblLook w:val="04A0" w:firstRow="1" w:lastRow="0" w:firstColumn="1" w:lastColumn="0" w:noHBand="0" w:noVBand="1"/>
      </w:tblPr>
      <w:tblGrid>
        <w:gridCol w:w="2880"/>
        <w:gridCol w:w="1820"/>
        <w:gridCol w:w="1960"/>
        <w:gridCol w:w="1220"/>
        <w:gridCol w:w="1500"/>
      </w:tblGrid>
      <w:tr w:rsidR="0095522A" w:rsidRPr="0095522A" w14:paraId="27E50300" w14:textId="77777777" w:rsidTr="0095522A">
        <w:trPr>
          <w:trHeight w:val="290"/>
        </w:trPr>
        <w:tc>
          <w:tcPr>
            <w:tcW w:w="2880" w:type="dxa"/>
            <w:tcBorders>
              <w:top w:val="nil"/>
              <w:left w:val="nil"/>
              <w:bottom w:val="nil"/>
              <w:right w:val="nil"/>
            </w:tcBorders>
            <w:shd w:val="clear" w:color="auto" w:fill="auto"/>
            <w:noWrap/>
            <w:vAlign w:val="bottom"/>
            <w:hideMark/>
          </w:tcPr>
          <w:p w14:paraId="1AA9517E" w14:textId="77777777" w:rsidR="0095522A" w:rsidRPr="0095522A" w:rsidRDefault="0095522A" w:rsidP="0095522A">
            <w:pPr>
              <w:spacing w:before="0" w:after="0" w:line="240" w:lineRule="auto"/>
              <w:jc w:val="center"/>
              <w:rPr>
                <w:rFonts w:ascii="Arial" w:hAnsi="Arial" w:cs="Arial"/>
                <w:b/>
                <w:bCs/>
                <w:color w:val="000000"/>
                <w:sz w:val="22"/>
                <w:szCs w:val="22"/>
              </w:rPr>
            </w:pPr>
            <w:r w:rsidRPr="0095522A">
              <w:rPr>
                <w:rFonts w:ascii="Arial" w:hAnsi="Arial" w:cs="Arial"/>
                <w:b/>
                <w:bCs/>
                <w:color w:val="000000"/>
                <w:sz w:val="22"/>
                <w:szCs w:val="22"/>
              </w:rPr>
              <w:t>Lipid class</w:t>
            </w:r>
          </w:p>
        </w:tc>
        <w:tc>
          <w:tcPr>
            <w:tcW w:w="1820" w:type="dxa"/>
            <w:tcBorders>
              <w:top w:val="nil"/>
              <w:left w:val="nil"/>
              <w:bottom w:val="nil"/>
              <w:right w:val="nil"/>
            </w:tcBorders>
            <w:shd w:val="clear" w:color="auto" w:fill="auto"/>
            <w:noWrap/>
            <w:vAlign w:val="bottom"/>
            <w:hideMark/>
          </w:tcPr>
          <w:p w14:paraId="6CA817D3" w14:textId="77777777" w:rsidR="0095522A" w:rsidRPr="0095522A" w:rsidRDefault="0095522A" w:rsidP="0095522A">
            <w:pPr>
              <w:spacing w:before="0" w:after="0" w:line="240" w:lineRule="auto"/>
              <w:jc w:val="center"/>
              <w:rPr>
                <w:rFonts w:ascii="Arial" w:hAnsi="Arial" w:cs="Arial"/>
                <w:b/>
                <w:bCs/>
                <w:color w:val="000000"/>
                <w:sz w:val="22"/>
                <w:szCs w:val="22"/>
              </w:rPr>
            </w:pPr>
            <w:r w:rsidRPr="0095522A">
              <w:rPr>
                <w:rFonts w:ascii="Arial" w:hAnsi="Arial" w:cs="Arial"/>
                <w:b/>
                <w:bCs/>
                <w:color w:val="000000"/>
                <w:sz w:val="22"/>
                <w:szCs w:val="22"/>
              </w:rPr>
              <w:t>comparison</w:t>
            </w:r>
          </w:p>
        </w:tc>
        <w:tc>
          <w:tcPr>
            <w:tcW w:w="1960" w:type="dxa"/>
            <w:tcBorders>
              <w:top w:val="nil"/>
              <w:left w:val="nil"/>
              <w:bottom w:val="nil"/>
              <w:right w:val="nil"/>
            </w:tcBorders>
            <w:shd w:val="clear" w:color="auto" w:fill="auto"/>
            <w:noWrap/>
            <w:vAlign w:val="bottom"/>
            <w:hideMark/>
          </w:tcPr>
          <w:p w14:paraId="07A6FDAE" w14:textId="77777777" w:rsidR="0095522A" w:rsidRPr="0095522A" w:rsidRDefault="0095522A" w:rsidP="0095522A">
            <w:pPr>
              <w:spacing w:before="0" w:after="0" w:line="240" w:lineRule="auto"/>
              <w:jc w:val="center"/>
              <w:rPr>
                <w:rFonts w:ascii="Arial" w:hAnsi="Arial" w:cs="Arial"/>
                <w:b/>
                <w:bCs/>
                <w:color w:val="000000"/>
                <w:sz w:val="22"/>
                <w:szCs w:val="22"/>
              </w:rPr>
            </w:pPr>
            <w:r w:rsidRPr="0095522A">
              <w:rPr>
                <w:rFonts w:ascii="Arial" w:hAnsi="Arial" w:cs="Arial"/>
                <w:b/>
                <w:bCs/>
                <w:color w:val="000000"/>
                <w:sz w:val="22"/>
                <w:szCs w:val="22"/>
              </w:rPr>
              <w:t>test</w:t>
            </w:r>
          </w:p>
        </w:tc>
        <w:tc>
          <w:tcPr>
            <w:tcW w:w="1220" w:type="dxa"/>
            <w:tcBorders>
              <w:top w:val="nil"/>
              <w:left w:val="nil"/>
              <w:bottom w:val="nil"/>
              <w:right w:val="nil"/>
            </w:tcBorders>
            <w:shd w:val="clear" w:color="auto" w:fill="auto"/>
            <w:noWrap/>
            <w:vAlign w:val="bottom"/>
            <w:hideMark/>
          </w:tcPr>
          <w:p w14:paraId="2C5EB1C9" w14:textId="49327D36" w:rsidR="0095522A" w:rsidRPr="0095522A" w:rsidRDefault="0095522A" w:rsidP="0095522A">
            <w:pPr>
              <w:spacing w:before="0" w:after="0" w:line="240" w:lineRule="auto"/>
              <w:jc w:val="center"/>
              <w:rPr>
                <w:rFonts w:ascii="Arial" w:hAnsi="Arial" w:cs="Arial"/>
                <w:b/>
                <w:bCs/>
                <w:color w:val="000000"/>
                <w:sz w:val="22"/>
                <w:szCs w:val="22"/>
              </w:rPr>
            </w:pPr>
            <w:r w:rsidRPr="0095522A">
              <w:rPr>
                <w:rFonts w:ascii="Arial" w:hAnsi="Arial" w:cs="Arial"/>
                <w:b/>
                <w:bCs/>
                <w:color w:val="000000"/>
                <w:sz w:val="22"/>
                <w:szCs w:val="22"/>
              </w:rPr>
              <w:t>p value adj</w:t>
            </w:r>
            <w:r>
              <w:rPr>
                <w:rFonts w:ascii="Arial" w:hAnsi="Arial" w:cs="Arial"/>
                <w:b/>
                <w:bCs/>
                <w:color w:val="000000"/>
                <w:sz w:val="22"/>
                <w:szCs w:val="22"/>
              </w:rPr>
              <w:t>usted</w:t>
            </w:r>
          </w:p>
        </w:tc>
        <w:tc>
          <w:tcPr>
            <w:tcW w:w="1500" w:type="dxa"/>
            <w:tcBorders>
              <w:top w:val="nil"/>
              <w:left w:val="nil"/>
              <w:bottom w:val="nil"/>
              <w:right w:val="nil"/>
            </w:tcBorders>
            <w:shd w:val="clear" w:color="auto" w:fill="auto"/>
            <w:noWrap/>
            <w:vAlign w:val="bottom"/>
            <w:hideMark/>
          </w:tcPr>
          <w:p w14:paraId="47D740FD" w14:textId="77777777" w:rsidR="0095522A" w:rsidRPr="0095522A" w:rsidRDefault="0095522A" w:rsidP="0095522A">
            <w:pPr>
              <w:spacing w:before="0" w:after="0" w:line="240" w:lineRule="auto"/>
              <w:jc w:val="center"/>
              <w:rPr>
                <w:rFonts w:ascii="Arial" w:hAnsi="Arial" w:cs="Arial"/>
                <w:b/>
                <w:bCs/>
                <w:color w:val="000000"/>
                <w:sz w:val="22"/>
                <w:szCs w:val="22"/>
              </w:rPr>
            </w:pPr>
            <w:r w:rsidRPr="0095522A">
              <w:rPr>
                <w:rFonts w:ascii="Arial" w:hAnsi="Arial" w:cs="Arial"/>
                <w:b/>
                <w:bCs/>
                <w:color w:val="000000"/>
                <w:sz w:val="22"/>
                <w:szCs w:val="22"/>
              </w:rPr>
              <w:t>anova p value</w:t>
            </w:r>
          </w:p>
        </w:tc>
      </w:tr>
      <w:tr w:rsidR="0095522A" w:rsidRPr="0095522A" w14:paraId="24BC982E" w14:textId="77777777" w:rsidTr="0095522A">
        <w:trPr>
          <w:trHeight w:val="290"/>
        </w:trPr>
        <w:tc>
          <w:tcPr>
            <w:tcW w:w="2880" w:type="dxa"/>
            <w:tcBorders>
              <w:top w:val="nil"/>
              <w:left w:val="nil"/>
              <w:bottom w:val="nil"/>
              <w:right w:val="nil"/>
            </w:tcBorders>
            <w:shd w:val="clear" w:color="auto" w:fill="auto"/>
            <w:noWrap/>
            <w:vAlign w:val="bottom"/>
            <w:hideMark/>
          </w:tcPr>
          <w:p w14:paraId="17B0EFB8"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Phosphatidylglycerol</w:t>
            </w:r>
          </w:p>
        </w:tc>
        <w:tc>
          <w:tcPr>
            <w:tcW w:w="1820" w:type="dxa"/>
            <w:tcBorders>
              <w:top w:val="nil"/>
              <w:left w:val="nil"/>
              <w:bottom w:val="nil"/>
              <w:right w:val="nil"/>
            </w:tcBorders>
            <w:shd w:val="clear" w:color="auto" w:fill="auto"/>
            <w:noWrap/>
            <w:vAlign w:val="bottom"/>
            <w:hideMark/>
          </w:tcPr>
          <w:p w14:paraId="79E91BB7"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spore-S3</w:t>
            </w:r>
          </w:p>
        </w:tc>
        <w:tc>
          <w:tcPr>
            <w:tcW w:w="1960" w:type="dxa"/>
            <w:tcBorders>
              <w:top w:val="nil"/>
              <w:left w:val="nil"/>
              <w:bottom w:val="nil"/>
              <w:right w:val="nil"/>
            </w:tcBorders>
            <w:shd w:val="clear" w:color="auto" w:fill="auto"/>
            <w:noWrap/>
            <w:vAlign w:val="bottom"/>
            <w:hideMark/>
          </w:tcPr>
          <w:p w14:paraId="7ED92C52"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6C8634E8"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1.83E-02</w:t>
            </w:r>
          </w:p>
        </w:tc>
        <w:tc>
          <w:tcPr>
            <w:tcW w:w="1500" w:type="dxa"/>
            <w:tcBorders>
              <w:top w:val="nil"/>
              <w:left w:val="nil"/>
              <w:bottom w:val="nil"/>
              <w:right w:val="nil"/>
            </w:tcBorders>
            <w:shd w:val="clear" w:color="auto" w:fill="auto"/>
            <w:noWrap/>
            <w:vAlign w:val="bottom"/>
            <w:hideMark/>
          </w:tcPr>
          <w:p w14:paraId="73A89081"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4.51E-02</w:t>
            </w:r>
          </w:p>
        </w:tc>
      </w:tr>
      <w:tr w:rsidR="0095522A" w:rsidRPr="0095522A" w14:paraId="73457F64" w14:textId="77777777" w:rsidTr="0095522A">
        <w:trPr>
          <w:trHeight w:val="290"/>
        </w:trPr>
        <w:tc>
          <w:tcPr>
            <w:tcW w:w="2880" w:type="dxa"/>
            <w:tcBorders>
              <w:top w:val="nil"/>
              <w:left w:val="nil"/>
              <w:bottom w:val="nil"/>
              <w:right w:val="nil"/>
            </w:tcBorders>
            <w:shd w:val="clear" w:color="auto" w:fill="auto"/>
            <w:noWrap/>
            <w:vAlign w:val="bottom"/>
            <w:hideMark/>
          </w:tcPr>
          <w:p w14:paraId="7226E52A"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pigment</w:t>
            </w:r>
          </w:p>
        </w:tc>
        <w:tc>
          <w:tcPr>
            <w:tcW w:w="1820" w:type="dxa"/>
            <w:tcBorders>
              <w:top w:val="nil"/>
              <w:left w:val="nil"/>
              <w:bottom w:val="nil"/>
              <w:right w:val="nil"/>
            </w:tcBorders>
            <w:shd w:val="clear" w:color="auto" w:fill="auto"/>
            <w:noWrap/>
            <w:vAlign w:val="bottom"/>
            <w:hideMark/>
          </w:tcPr>
          <w:p w14:paraId="59326EE6"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S1-S3</w:t>
            </w:r>
          </w:p>
        </w:tc>
        <w:tc>
          <w:tcPr>
            <w:tcW w:w="1960" w:type="dxa"/>
            <w:tcBorders>
              <w:top w:val="nil"/>
              <w:left w:val="nil"/>
              <w:bottom w:val="nil"/>
              <w:right w:val="nil"/>
            </w:tcBorders>
            <w:shd w:val="clear" w:color="auto" w:fill="auto"/>
            <w:noWrap/>
            <w:vAlign w:val="bottom"/>
            <w:hideMark/>
          </w:tcPr>
          <w:p w14:paraId="7ED54418"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56A2450D"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9.62E-05</w:t>
            </w:r>
          </w:p>
        </w:tc>
        <w:tc>
          <w:tcPr>
            <w:tcW w:w="1500" w:type="dxa"/>
            <w:tcBorders>
              <w:top w:val="nil"/>
              <w:left w:val="nil"/>
              <w:bottom w:val="nil"/>
              <w:right w:val="nil"/>
            </w:tcBorders>
            <w:shd w:val="clear" w:color="auto" w:fill="auto"/>
            <w:noWrap/>
            <w:vAlign w:val="bottom"/>
            <w:hideMark/>
          </w:tcPr>
          <w:p w14:paraId="2A3FF923"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1.90E-04</w:t>
            </w:r>
          </w:p>
        </w:tc>
      </w:tr>
      <w:tr w:rsidR="0095522A" w:rsidRPr="0095522A" w14:paraId="4BB6354A" w14:textId="77777777" w:rsidTr="0095522A">
        <w:trPr>
          <w:trHeight w:val="290"/>
        </w:trPr>
        <w:tc>
          <w:tcPr>
            <w:tcW w:w="2880" w:type="dxa"/>
            <w:tcBorders>
              <w:top w:val="nil"/>
              <w:left w:val="nil"/>
              <w:bottom w:val="nil"/>
              <w:right w:val="nil"/>
            </w:tcBorders>
            <w:shd w:val="clear" w:color="auto" w:fill="auto"/>
            <w:noWrap/>
            <w:vAlign w:val="bottom"/>
            <w:hideMark/>
          </w:tcPr>
          <w:p w14:paraId="4C350AB3"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pigment</w:t>
            </w:r>
          </w:p>
        </w:tc>
        <w:tc>
          <w:tcPr>
            <w:tcW w:w="1820" w:type="dxa"/>
            <w:tcBorders>
              <w:top w:val="nil"/>
              <w:left w:val="nil"/>
              <w:bottom w:val="nil"/>
              <w:right w:val="nil"/>
            </w:tcBorders>
            <w:shd w:val="clear" w:color="auto" w:fill="auto"/>
            <w:noWrap/>
            <w:vAlign w:val="bottom"/>
            <w:hideMark/>
          </w:tcPr>
          <w:p w14:paraId="29E85A1B"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S1-S4</w:t>
            </w:r>
          </w:p>
        </w:tc>
        <w:tc>
          <w:tcPr>
            <w:tcW w:w="1960" w:type="dxa"/>
            <w:tcBorders>
              <w:top w:val="nil"/>
              <w:left w:val="nil"/>
              <w:bottom w:val="nil"/>
              <w:right w:val="nil"/>
            </w:tcBorders>
            <w:shd w:val="clear" w:color="auto" w:fill="auto"/>
            <w:noWrap/>
            <w:vAlign w:val="bottom"/>
            <w:hideMark/>
          </w:tcPr>
          <w:p w14:paraId="51D598EC"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0A586AC8"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6.78E-04</w:t>
            </w:r>
          </w:p>
        </w:tc>
        <w:tc>
          <w:tcPr>
            <w:tcW w:w="1500" w:type="dxa"/>
            <w:tcBorders>
              <w:top w:val="nil"/>
              <w:left w:val="nil"/>
              <w:bottom w:val="nil"/>
              <w:right w:val="nil"/>
            </w:tcBorders>
            <w:shd w:val="clear" w:color="auto" w:fill="auto"/>
            <w:noWrap/>
            <w:vAlign w:val="bottom"/>
            <w:hideMark/>
          </w:tcPr>
          <w:p w14:paraId="7D053459"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1.90E-04</w:t>
            </w:r>
          </w:p>
        </w:tc>
      </w:tr>
      <w:tr w:rsidR="0095522A" w:rsidRPr="0095522A" w14:paraId="59874004" w14:textId="77777777" w:rsidTr="0095522A">
        <w:trPr>
          <w:trHeight w:val="290"/>
        </w:trPr>
        <w:tc>
          <w:tcPr>
            <w:tcW w:w="2880" w:type="dxa"/>
            <w:tcBorders>
              <w:top w:val="nil"/>
              <w:left w:val="nil"/>
              <w:bottom w:val="nil"/>
              <w:right w:val="nil"/>
            </w:tcBorders>
            <w:shd w:val="clear" w:color="auto" w:fill="auto"/>
            <w:noWrap/>
            <w:vAlign w:val="bottom"/>
            <w:hideMark/>
          </w:tcPr>
          <w:p w14:paraId="28273492"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pigment</w:t>
            </w:r>
          </w:p>
        </w:tc>
        <w:tc>
          <w:tcPr>
            <w:tcW w:w="1820" w:type="dxa"/>
            <w:tcBorders>
              <w:top w:val="nil"/>
              <w:left w:val="nil"/>
              <w:bottom w:val="nil"/>
              <w:right w:val="nil"/>
            </w:tcBorders>
            <w:shd w:val="clear" w:color="auto" w:fill="auto"/>
            <w:noWrap/>
            <w:vAlign w:val="bottom"/>
            <w:hideMark/>
          </w:tcPr>
          <w:p w14:paraId="031892F8"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S1-S2</w:t>
            </w:r>
          </w:p>
        </w:tc>
        <w:tc>
          <w:tcPr>
            <w:tcW w:w="1960" w:type="dxa"/>
            <w:tcBorders>
              <w:top w:val="nil"/>
              <w:left w:val="nil"/>
              <w:bottom w:val="nil"/>
              <w:right w:val="nil"/>
            </w:tcBorders>
            <w:shd w:val="clear" w:color="auto" w:fill="auto"/>
            <w:noWrap/>
            <w:vAlign w:val="bottom"/>
            <w:hideMark/>
          </w:tcPr>
          <w:p w14:paraId="60CAE3F9"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6298A3EB"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1.11E-02</w:t>
            </w:r>
          </w:p>
        </w:tc>
        <w:tc>
          <w:tcPr>
            <w:tcW w:w="1500" w:type="dxa"/>
            <w:tcBorders>
              <w:top w:val="nil"/>
              <w:left w:val="nil"/>
              <w:bottom w:val="nil"/>
              <w:right w:val="nil"/>
            </w:tcBorders>
            <w:shd w:val="clear" w:color="auto" w:fill="auto"/>
            <w:noWrap/>
            <w:vAlign w:val="bottom"/>
            <w:hideMark/>
          </w:tcPr>
          <w:p w14:paraId="14D564C3"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1.90E-04</w:t>
            </w:r>
          </w:p>
        </w:tc>
      </w:tr>
      <w:tr w:rsidR="0095522A" w:rsidRPr="0095522A" w14:paraId="580C2B00" w14:textId="77777777" w:rsidTr="0095522A">
        <w:trPr>
          <w:trHeight w:val="290"/>
        </w:trPr>
        <w:tc>
          <w:tcPr>
            <w:tcW w:w="2880" w:type="dxa"/>
            <w:tcBorders>
              <w:top w:val="nil"/>
              <w:left w:val="nil"/>
              <w:bottom w:val="nil"/>
              <w:right w:val="nil"/>
            </w:tcBorders>
            <w:shd w:val="clear" w:color="auto" w:fill="auto"/>
            <w:noWrap/>
            <w:vAlign w:val="bottom"/>
            <w:hideMark/>
          </w:tcPr>
          <w:p w14:paraId="34AFB59E"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unknown polar lipid</w:t>
            </w:r>
          </w:p>
        </w:tc>
        <w:tc>
          <w:tcPr>
            <w:tcW w:w="1820" w:type="dxa"/>
            <w:tcBorders>
              <w:top w:val="nil"/>
              <w:left w:val="nil"/>
              <w:bottom w:val="nil"/>
              <w:right w:val="nil"/>
            </w:tcBorders>
            <w:shd w:val="clear" w:color="auto" w:fill="auto"/>
            <w:noWrap/>
            <w:vAlign w:val="bottom"/>
            <w:hideMark/>
          </w:tcPr>
          <w:p w14:paraId="53D731E8"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spore-sporulated</w:t>
            </w:r>
          </w:p>
        </w:tc>
        <w:tc>
          <w:tcPr>
            <w:tcW w:w="1960" w:type="dxa"/>
            <w:tcBorders>
              <w:top w:val="nil"/>
              <w:left w:val="nil"/>
              <w:bottom w:val="nil"/>
              <w:right w:val="nil"/>
            </w:tcBorders>
            <w:shd w:val="clear" w:color="auto" w:fill="auto"/>
            <w:noWrap/>
            <w:vAlign w:val="bottom"/>
            <w:hideMark/>
          </w:tcPr>
          <w:p w14:paraId="01A28460" w14:textId="77777777" w:rsidR="0095522A" w:rsidRPr="0095522A" w:rsidRDefault="0095522A" w:rsidP="0095522A">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52BD0A5A"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1.25E-04</w:t>
            </w:r>
          </w:p>
        </w:tc>
        <w:tc>
          <w:tcPr>
            <w:tcW w:w="1500" w:type="dxa"/>
            <w:tcBorders>
              <w:top w:val="nil"/>
              <w:left w:val="nil"/>
              <w:bottom w:val="nil"/>
              <w:right w:val="nil"/>
            </w:tcBorders>
            <w:shd w:val="clear" w:color="auto" w:fill="auto"/>
            <w:noWrap/>
            <w:vAlign w:val="bottom"/>
            <w:hideMark/>
          </w:tcPr>
          <w:p w14:paraId="3942F05E" w14:textId="77777777" w:rsidR="0095522A" w:rsidRPr="0095522A" w:rsidRDefault="0095522A" w:rsidP="0095522A">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1.75E-05</w:t>
            </w:r>
          </w:p>
        </w:tc>
      </w:tr>
      <w:tr w:rsidR="00691334" w:rsidRPr="0095522A" w14:paraId="065B0EA9" w14:textId="77777777" w:rsidTr="0095522A">
        <w:trPr>
          <w:trHeight w:val="290"/>
        </w:trPr>
        <w:tc>
          <w:tcPr>
            <w:tcW w:w="2880" w:type="dxa"/>
            <w:tcBorders>
              <w:top w:val="nil"/>
              <w:left w:val="nil"/>
              <w:bottom w:val="nil"/>
              <w:right w:val="nil"/>
            </w:tcBorders>
            <w:shd w:val="clear" w:color="auto" w:fill="auto"/>
            <w:noWrap/>
            <w:vAlign w:val="bottom"/>
            <w:hideMark/>
          </w:tcPr>
          <w:p w14:paraId="65DA8B92"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unknown polar lipid</w:t>
            </w:r>
          </w:p>
        </w:tc>
        <w:tc>
          <w:tcPr>
            <w:tcW w:w="1820" w:type="dxa"/>
            <w:tcBorders>
              <w:top w:val="nil"/>
              <w:left w:val="nil"/>
              <w:bottom w:val="nil"/>
              <w:right w:val="nil"/>
            </w:tcBorders>
            <w:shd w:val="clear" w:color="auto" w:fill="auto"/>
            <w:noWrap/>
            <w:vAlign w:val="bottom"/>
            <w:hideMark/>
          </w:tcPr>
          <w:p w14:paraId="0C294173"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spore-S0</w:t>
            </w:r>
          </w:p>
        </w:tc>
        <w:tc>
          <w:tcPr>
            <w:tcW w:w="1960" w:type="dxa"/>
            <w:tcBorders>
              <w:top w:val="nil"/>
              <w:left w:val="nil"/>
              <w:bottom w:val="nil"/>
              <w:right w:val="nil"/>
            </w:tcBorders>
            <w:shd w:val="clear" w:color="auto" w:fill="auto"/>
            <w:noWrap/>
            <w:vAlign w:val="bottom"/>
            <w:hideMark/>
          </w:tcPr>
          <w:p w14:paraId="25C0915A"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6794E27D"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3.83E-05</w:t>
            </w:r>
          </w:p>
        </w:tc>
        <w:tc>
          <w:tcPr>
            <w:tcW w:w="1500" w:type="dxa"/>
            <w:tcBorders>
              <w:top w:val="nil"/>
              <w:left w:val="nil"/>
              <w:bottom w:val="nil"/>
              <w:right w:val="nil"/>
            </w:tcBorders>
            <w:shd w:val="clear" w:color="auto" w:fill="auto"/>
            <w:noWrap/>
            <w:vAlign w:val="bottom"/>
            <w:hideMark/>
          </w:tcPr>
          <w:p w14:paraId="55C1C979"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1.75E-05</w:t>
            </w:r>
          </w:p>
        </w:tc>
      </w:tr>
      <w:tr w:rsidR="00691334" w:rsidRPr="0095522A" w14:paraId="2DEF5926" w14:textId="77777777" w:rsidTr="0095522A">
        <w:trPr>
          <w:trHeight w:val="290"/>
        </w:trPr>
        <w:tc>
          <w:tcPr>
            <w:tcW w:w="2880" w:type="dxa"/>
            <w:tcBorders>
              <w:top w:val="nil"/>
              <w:left w:val="nil"/>
              <w:bottom w:val="nil"/>
              <w:right w:val="nil"/>
            </w:tcBorders>
            <w:shd w:val="clear" w:color="auto" w:fill="auto"/>
            <w:noWrap/>
            <w:vAlign w:val="bottom"/>
            <w:hideMark/>
          </w:tcPr>
          <w:p w14:paraId="6E4E2BDA"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unknown polar lipid</w:t>
            </w:r>
          </w:p>
        </w:tc>
        <w:tc>
          <w:tcPr>
            <w:tcW w:w="1820" w:type="dxa"/>
            <w:tcBorders>
              <w:top w:val="nil"/>
              <w:left w:val="nil"/>
              <w:bottom w:val="nil"/>
              <w:right w:val="nil"/>
            </w:tcBorders>
            <w:shd w:val="clear" w:color="auto" w:fill="auto"/>
            <w:noWrap/>
            <w:vAlign w:val="bottom"/>
            <w:hideMark/>
          </w:tcPr>
          <w:p w14:paraId="47F54ED1"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spore-S1</w:t>
            </w:r>
          </w:p>
        </w:tc>
        <w:tc>
          <w:tcPr>
            <w:tcW w:w="1960" w:type="dxa"/>
            <w:tcBorders>
              <w:top w:val="nil"/>
              <w:left w:val="nil"/>
              <w:bottom w:val="nil"/>
              <w:right w:val="nil"/>
            </w:tcBorders>
            <w:shd w:val="clear" w:color="auto" w:fill="auto"/>
            <w:noWrap/>
            <w:vAlign w:val="bottom"/>
            <w:hideMark/>
          </w:tcPr>
          <w:p w14:paraId="28DD953F"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57B36C40"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1.28E-04</w:t>
            </w:r>
          </w:p>
        </w:tc>
        <w:tc>
          <w:tcPr>
            <w:tcW w:w="1500" w:type="dxa"/>
            <w:tcBorders>
              <w:top w:val="nil"/>
              <w:left w:val="nil"/>
              <w:bottom w:val="nil"/>
              <w:right w:val="nil"/>
            </w:tcBorders>
            <w:shd w:val="clear" w:color="auto" w:fill="auto"/>
            <w:noWrap/>
            <w:vAlign w:val="bottom"/>
            <w:hideMark/>
          </w:tcPr>
          <w:p w14:paraId="194CAF57"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1.75E-05</w:t>
            </w:r>
          </w:p>
        </w:tc>
      </w:tr>
      <w:tr w:rsidR="00691334" w:rsidRPr="0095522A" w14:paraId="1CFABCFD" w14:textId="77777777" w:rsidTr="0095522A">
        <w:trPr>
          <w:trHeight w:val="290"/>
        </w:trPr>
        <w:tc>
          <w:tcPr>
            <w:tcW w:w="2880" w:type="dxa"/>
            <w:tcBorders>
              <w:top w:val="nil"/>
              <w:left w:val="nil"/>
              <w:bottom w:val="nil"/>
              <w:right w:val="nil"/>
            </w:tcBorders>
            <w:shd w:val="clear" w:color="auto" w:fill="auto"/>
            <w:noWrap/>
            <w:vAlign w:val="bottom"/>
            <w:hideMark/>
          </w:tcPr>
          <w:p w14:paraId="523BD7A7"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unknown polar lipid</w:t>
            </w:r>
          </w:p>
        </w:tc>
        <w:tc>
          <w:tcPr>
            <w:tcW w:w="1820" w:type="dxa"/>
            <w:tcBorders>
              <w:top w:val="nil"/>
              <w:left w:val="nil"/>
              <w:bottom w:val="nil"/>
              <w:right w:val="nil"/>
            </w:tcBorders>
            <w:shd w:val="clear" w:color="auto" w:fill="auto"/>
            <w:noWrap/>
            <w:vAlign w:val="bottom"/>
            <w:hideMark/>
          </w:tcPr>
          <w:p w14:paraId="5CCCFB22"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spore-S2</w:t>
            </w:r>
          </w:p>
        </w:tc>
        <w:tc>
          <w:tcPr>
            <w:tcW w:w="1960" w:type="dxa"/>
            <w:tcBorders>
              <w:top w:val="nil"/>
              <w:left w:val="nil"/>
              <w:bottom w:val="nil"/>
              <w:right w:val="nil"/>
            </w:tcBorders>
            <w:shd w:val="clear" w:color="auto" w:fill="auto"/>
            <w:noWrap/>
            <w:vAlign w:val="bottom"/>
            <w:hideMark/>
          </w:tcPr>
          <w:p w14:paraId="3ECB1C8C"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1112EE7E"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4.54E-05</w:t>
            </w:r>
          </w:p>
        </w:tc>
        <w:tc>
          <w:tcPr>
            <w:tcW w:w="1500" w:type="dxa"/>
            <w:tcBorders>
              <w:top w:val="nil"/>
              <w:left w:val="nil"/>
              <w:bottom w:val="nil"/>
              <w:right w:val="nil"/>
            </w:tcBorders>
            <w:shd w:val="clear" w:color="auto" w:fill="auto"/>
            <w:noWrap/>
            <w:vAlign w:val="bottom"/>
            <w:hideMark/>
          </w:tcPr>
          <w:p w14:paraId="1E542421"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1.75E-05</w:t>
            </w:r>
          </w:p>
        </w:tc>
      </w:tr>
      <w:tr w:rsidR="00691334" w:rsidRPr="0095522A" w14:paraId="7EA21C33" w14:textId="77777777" w:rsidTr="0095522A">
        <w:trPr>
          <w:trHeight w:val="290"/>
        </w:trPr>
        <w:tc>
          <w:tcPr>
            <w:tcW w:w="2880" w:type="dxa"/>
            <w:tcBorders>
              <w:top w:val="nil"/>
              <w:left w:val="nil"/>
              <w:bottom w:val="nil"/>
              <w:right w:val="nil"/>
            </w:tcBorders>
            <w:shd w:val="clear" w:color="auto" w:fill="auto"/>
            <w:noWrap/>
            <w:vAlign w:val="bottom"/>
            <w:hideMark/>
          </w:tcPr>
          <w:p w14:paraId="5A30F5D3"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unknown polar lipid</w:t>
            </w:r>
          </w:p>
        </w:tc>
        <w:tc>
          <w:tcPr>
            <w:tcW w:w="1820" w:type="dxa"/>
            <w:tcBorders>
              <w:top w:val="nil"/>
              <w:left w:val="nil"/>
              <w:bottom w:val="nil"/>
              <w:right w:val="nil"/>
            </w:tcBorders>
            <w:shd w:val="clear" w:color="auto" w:fill="auto"/>
            <w:noWrap/>
            <w:vAlign w:val="bottom"/>
            <w:hideMark/>
          </w:tcPr>
          <w:p w14:paraId="2353772C"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spore-S3</w:t>
            </w:r>
          </w:p>
        </w:tc>
        <w:tc>
          <w:tcPr>
            <w:tcW w:w="1960" w:type="dxa"/>
            <w:tcBorders>
              <w:top w:val="nil"/>
              <w:left w:val="nil"/>
              <w:bottom w:val="nil"/>
              <w:right w:val="nil"/>
            </w:tcBorders>
            <w:shd w:val="clear" w:color="auto" w:fill="auto"/>
            <w:noWrap/>
            <w:vAlign w:val="bottom"/>
            <w:hideMark/>
          </w:tcPr>
          <w:p w14:paraId="540F8C74"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738C2431"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8.52E-06</w:t>
            </w:r>
          </w:p>
        </w:tc>
        <w:tc>
          <w:tcPr>
            <w:tcW w:w="1500" w:type="dxa"/>
            <w:tcBorders>
              <w:top w:val="nil"/>
              <w:left w:val="nil"/>
              <w:bottom w:val="nil"/>
              <w:right w:val="nil"/>
            </w:tcBorders>
            <w:shd w:val="clear" w:color="auto" w:fill="auto"/>
            <w:noWrap/>
            <w:vAlign w:val="bottom"/>
            <w:hideMark/>
          </w:tcPr>
          <w:p w14:paraId="625554C6"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1.75E-05</w:t>
            </w:r>
          </w:p>
        </w:tc>
      </w:tr>
      <w:tr w:rsidR="00691334" w:rsidRPr="0095522A" w14:paraId="636C8643" w14:textId="77777777" w:rsidTr="0095522A">
        <w:trPr>
          <w:trHeight w:val="290"/>
        </w:trPr>
        <w:tc>
          <w:tcPr>
            <w:tcW w:w="2880" w:type="dxa"/>
            <w:tcBorders>
              <w:top w:val="nil"/>
              <w:left w:val="nil"/>
              <w:bottom w:val="nil"/>
              <w:right w:val="nil"/>
            </w:tcBorders>
            <w:shd w:val="clear" w:color="auto" w:fill="auto"/>
            <w:noWrap/>
            <w:vAlign w:val="bottom"/>
            <w:hideMark/>
          </w:tcPr>
          <w:p w14:paraId="2C20BC6D"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unknown polar lipid</w:t>
            </w:r>
          </w:p>
        </w:tc>
        <w:tc>
          <w:tcPr>
            <w:tcW w:w="1820" w:type="dxa"/>
            <w:tcBorders>
              <w:top w:val="nil"/>
              <w:left w:val="nil"/>
              <w:bottom w:val="nil"/>
              <w:right w:val="nil"/>
            </w:tcBorders>
            <w:shd w:val="clear" w:color="auto" w:fill="auto"/>
            <w:noWrap/>
            <w:vAlign w:val="bottom"/>
            <w:hideMark/>
          </w:tcPr>
          <w:p w14:paraId="7EE96AA6"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spore-S4</w:t>
            </w:r>
          </w:p>
        </w:tc>
        <w:tc>
          <w:tcPr>
            <w:tcW w:w="1960" w:type="dxa"/>
            <w:tcBorders>
              <w:top w:val="nil"/>
              <w:left w:val="nil"/>
              <w:bottom w:val="nil"/>
              <w:right w:val="nil"/>
            </w:tcBorders>
            <w:shd w:val="clear" w:color="auto" w:fill="auto"/>
            <w:noWrap/>
            <w:vAlign w:val="bottom"/>
            <w:hideMark/>
          </w:tcPr>
          <w:p w14:paraId="5BAD6654" w14:textId="77777777" w:rsidR="00691334" w:rsidRPr="0095522A" w:rsidRDefault="00691334" w:rsidP="00691334">
            <w:pPr>
              <w:spacing w:before="0" w:after="0" w:line="240" w:lineRule="auto"/>
              <w:jc w:val="left"/>
              <w:rPr>
                <w:rFonts w:ascii="Arial" w:hAnsi="Arial" w:cs="Arial"/>
                <w:color w:val="000000"/>
                <w:sz w:val="22"/>
                <w:szCs w:val="22"/>
              </w:rPr>
            </w:pPr>
            <w:r w:rsidRPr="0095522A">
              <w:rPr>
                <w:rFonts w:ascii="Arial" w:hAnsi="Arial" w:cs="Arial"/>
                <w:color w:val="000000"/>
                <w:sz w:val="22"/>
                <w:szCs w:val="22"/>
              </w:rPr>
              <w:t>ANOVA + TukeyHSD</w:t>
            </w:r>
          </w:p>
        </w:tc>
        <w:tc>
          <w:tcPr>
            <w:tcW w:w="1220" w:type="dxa"/>
            <w:tcBorders>
              <w:top w:val="nil"/>
              <w:left w:val="nil"/>
              <w:bottom w:val="nil"/>
              <w:right w:val="nil"/>
            </w:tcBorders>
            <w:shd w:val="clear" w:color="auto" w:fill="auto"/>
            <w:noWrap/>
            <w:vAlign w:val="bottom"/>
            <w:hideMark/>
          </w:tcPr>
          <w:p w14:paraId="263B8074"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4.25E-06</w:t>
            </w:r>
          </w:p>
        </w:tc>
        <w:tc>
          <w:tcPr>
            <w:tcW w:w="1500" w:type="dxa"/>
            <w:tcBorders>
              <w:top w:val="nil"/>
              <w:left w:val="nil"/>
              <w:bottom w:val="nil"/>
              <w:right w:val="nil"/>
            </w:tcBorders>
            <w:shd w:val="clear" w:color="auto" w:fill="auto"/>
            <w:noWrap/>
            <w:vAlign w:val="bottom"/>
            <w:hideMark/>
          </w:tcPr>
          <w:p w14:paraId="53BBB71C" w14:textId="77777777" w:rsidR="00691334" w:rsidRPr="0095522A" w:rsidRDefault="00691334" w:rsidP="00691334">
            <w:pPr>
              <w:spacing w:before="0" w:after="0" w:line="240" w:lineRule="auto"/>
              <w:jc w:val="right"/>
              <w:rPr>
                <w:rFonts w:ascii="Arial" w:hAnsi="Arial" w:cs="Arial"/>
                <w:color w:val="000000"/>
                <w:sz w:val="22"/>
                <w:szCs w:val="22"/>
              </w:rPr>
            </w:pPr>
            <w:r w:rsidRPr="0095522A">
              <w:rPr>
                <w:rFonts w:ascii="Arial" w:hAnsi="Arial" w:cs="Arial"/>
                <w:color w:val="000000"/>
                <w:sz w:val="22"/>
                <w:szCs w:val="22"/>
              </w:rPr>
              <w:t>1.75E-05</w:t>
            </w:r>
          </w:p>
        </w:tc>
      </w:tr>
    </w:tbl>
    <w:p w14:paraId="56407360" w14:textId="77777777" w:rsidR="009E090D" w:rsidRPr="009819CE" w:rsidRDefault="009E090D" w:rsidP="006A0363">
      <w:pPr>
        <w:rPr>
          <w:rFonts w:cstheme="minorBidi"/>
        </w:rPr>
        <w:sectPr w:rsidR="009E090D" w:rsidRPr="009819CE" w:rsidSect="0095522A">
          <w:pgSz w:w="11906" w:h="16838" w:code="9"/>
          <w:pgMar w:top="1440" w:right="1440" w:bottom="1440" w:left="1440" w:header="567" w:footer="567" w:gutter="0"/>
          <w:cols w:space="708"/>
          <w:docGrid w:linePitch="360"/>
        </w:sectPr>
      </w:pPr>
    </w:p>
    <w:p w14:paraId="1903E85F" w14:textId="77777777" w:rsidR="006A0363" w:rsidRPr="009819CE" w:rsidRDefault="006A0363" w:rsidP="00B3468E">
      <w:pPr>
        <w:pStyle w:val="Heading3"/>
        <w:rPr>
          <w:rFonts w:cstheme="minorBidi"/>
        </w:rPr>
      </w:pPr>
      <w:bookmarkStart w:id="373" w:name="_Toc204106679"/>
      <w:r w:rsidRPr="009819CE">
        <w:rPr>
          <w:rFonts w:cstheme="minorBidi"/>
        </w:rPr>
        <w:t>Fatty acid composition according to lipid class composition</w:t>
      </w:r>
      <w:bookmarkEnd w:id="373"/>
    </w:p>
    <w:p w14:paraId="45F64540" w14:textId="081D1120" w:rsidR="006A0363" w:rsidRPr="009819CE" w:rsidRDefault="006A0363" w:rsidP="006A0363">
      <w:pPr>
        <w:rPr>
          <w:rFonts w:cstheme="minorBidi"/>
        </w:rPr>
      </w:pPr>
      <w:r w:rsidRPr="009819CE">
        <w:rPr>
          <w:rFonts w:cstheme="minorBidi"/>
        </w:rPr>
        <w:t>The lipid analysis revealed that both the polar (</w:t>
      </w:r>
      <w:r w:rsidRPr="009819CE">
        <w:rPr>
          <w:rFonts w:cstheme="minorBidi"/>
        </w:rPr>
        <w:fldChar w:fldCharType="begin"/>
      </w:r>
      <w:r w:rsidRPr="009819CE">
        <w:rPr>
          <w:rFonts w:cstheme="minorBidi"/>
        </w:rPr>
        <w:instrText xml:space="preserve"> REF _Ref141625971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8549FC">
        <w:rPr>
          <w:rFonts w:cstheme="minorBidi"/>
          <w:b/>
          <w:bCs/>
        </w:rPr>
        <w:t>Figure 4.13</w:t>
      </w:r>
      <w:r w:rsidRPr="009819CE">
        <w:rPr>
          <w:rFonts w:cstheme="minorBidi"/>
        </w:rPr>
        <w:fldChar w:fldCharType="end"/>
      </w:r>
      <w:r w:rsidRPr="009819CE">
        <w:rPr>
          <w:rFonts w:cstheme="minorBidi"/>
        </w:rPr>
        <w:t>) and neutral fractions (</w:t>
      </w:r>
      <w:r w:rsidRPr="009819CE">
        <w:rPr>
          <w:rFonts w:cstheme="minorBidi"/>
        </w:rPr>
        <w:fldChar w:fldCharType="begin"/>
      </w:r>
      <w:r w:rsidRPr="009819CE">
        <w:rPr>
          <w:rFonts w:cstheme="minorBidi"/>
        </w:rPr>
        <w:instrText xml:space="preserve"> REF _Ref141625996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8549FC">
        <w:rPr>
          <w:rFonts w:cstheme="minorBidi"/>
          <w:b/>
          <w:bCs/>
        </w:rPr>
        <w:t>Figure 4.15</w:t>
      </w:r>
      <w:r w:rsidRPr="009819CE">
        <w:rPr>
          <w:rFonts w:cstheme="minorBidi"/>
        </w:rPr>
        <w:fldChar w:fldCharType="end"/>
      </w:r>
      <w:r w:rsidRPr="009819CE">
        <w:rPr>
          <w:rFonts w:cstheme="minorBidi"/>
        </w:rPr>
        <w:t xml:space="preserve">) of the total lipids were predominantly composed of monounsaturated fatty acids (~25-42% in polar; ~51-56% in neutral), followed by saturated (~24-32% in polar; ~27-29% in neutral), </w:t>
      </w:r>
      <w:r w:rsidR="00F8397B" w:rsidRPr="009819CE">
        <w:rPr>
          <w:rFonts w:cstheme="minorBidi"/>
        </w:rPr>
        <w:t>(n-3) PUFAs</w:t>
      </w:r>
      <w:r w:rsidRPr="009819CE">
        <w:rPr>
          <w:rFonts w:cstheme="minorBidi"/>
        </w:rPr>
        <w:t xml:space="preserve"> (~19-29% in polar; ~8-13% in neutral),  and </w:t>
      </w:r>
      <w:r w:rsidR="00F8397B" w:rsidRPr="009819CE">
        <w:rPr>
          <w:rFonts w:cstheme="minorBidi"/>
        </w:rPr>
        <w:t>(n-6) PUFAs</w:t>
      </w:r>
      <w:r w:rsidRPr="009819CE">
        <w:rPr>
          <w:rFonts w:cstheme="minorBidi"/>
        </w:rPr>
        <w:t xml:space="preserve">  (~7-11% in polar; ~4-8% in neutral). Notably, in the polar fraction, the macrospores showed an increase in total </w:t>
      </w:r>
      <w:r w:rsidR="00F8397B" w:rsidRPr="009819CE">
        <w:rPr>
          <w:rFonts w:cstheme="minorBidi"/>
        </w:rPr>
        <w:t>(n-3) PUFAs</w:t>
      </w:r>
      <w:r w:rsidRPr="009819CE">
        <w:rPr>
          <w:rFonts w:cstheme="minorBidi"/>
        </w:rPr>
        <w:t xml:space="preserve"> (~40%) compared to the host hepatopancreas and the hepatopancreas with varying levels of </w:t>
      </w:r>
      <w:r w:rsidR="009D03F4" w:rsidRPr="009819CE">
        <w:rPr>
          <w:rFonts w:cstheme="minorBidi"/>
          <w:i/>
        </w:rPr>
        <w:t>Hematodinium</w:t>
      </w:r>
      <w:r w:rsidRPr="009819CE">
        <w:rPr>
          <w:rFonts w:cstheme="minorBidi"/>
        </w:rPr>
        <w:t xml:space="preserve"> sp. infection (stage 0-4).</w:t>
      </w:r>
    </w:p>
    <w:p w14:paraId="13CB7FB2" w14:textId="05468A13" w:rsidR="006A0363" w:rsidRPr="009819CE" w:rsidRDefault="006A0363" w:rsidP="006A0363">
      <w:pPr>
        <w:rPr>
          <w:rFonts w:cstheme="minorBidi"/>
        </w:rPr>
      </w:pPr>
      <w:r w:rsidRPr="009819CE">
        <w:rPr>
          <w:rFonts w:cstheme="minorBidi"/>
        </w:rPr>
        <w:t>The polar fraction of the total lipids exhibited a profile similar to that of the overall lipid composition, with notable dominance of palmitic acid (16:0), oleic acid (18:1n-9), EPA (20:5n-3), and DHA (22:6n-3) (</w:t>
      </w:r>
      <w:r w:rsidRPr="009819CE">
        <w:rPr>
          <w:rFonts w:cstheme="minorBidi"/>
        </w:rPr>
        <w:fldChar w:fldCharType="begin"/>
      </w:r>
      <w:r w:rsidRPr="009819CE">
        <w:rPr>
          <w:rFonts w:cstheme="minorBidi"/>
        </w:rPr>
        <w:instrText xml:space="preserve"> REF _Ref138093507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8549FC">
        <w:rPr>
          <w:rFonts w:cstheme="minorBidi"/>
          <w:b/>
          <w:bCs/>
        </w:rPr>
        <w:t>Figure 4.14</w:t>
      </w:r>
      <w:r w:rsidRPr="009819CE">
        <w:rPr>
          <w:rFonts w:cstheme="minorBidi"/>
        </w:rPr>
        <w:fldChar w:fldCharType="end"/>
      </w:r>
      <w:r w:rsidRPr="009819CE">
        <w:rPr>
          <w:rFonts w:cstheme="minorBidi"/>
        </w:rPr>
        <w:t>). Similarly, the neutral fraction was also characterized by high levels of palmitic and oleic acids, alongside EPA (20:5n-3) and palmitoleic acid (16:1n-7) and vaccenic acid (18:1n-7) (</w:t>
      </w:r>
      <w:r w:rsidRPr="009819CE">
        <w:rPr>
          <w:rFonts w:cstheme="minorBidi"/>
        </w:rPr>
        <w:fldChar w:fldCharType="begin"/>
      </w:r>
      <w:r w:rsidRPr="009819CE">
        <w:rPr>
          <w:rFonts w:cstheme="minorBidi"/>
        </w:rPr>
        <w:instrText xml:space="preserve"> REF _Ref137628008 \h </w:instrText>
      </w:r>
      <w:r w:rsidR="00711741" w:rsidRPr="009819CE">
        <w:rPr>
          <w:rFonts w:cstheme="minorBidi"/>
        </w:rPr>
        <w:instrText xml:space="preserve"> \* MERGEFORMAT </w:instrText>
      </w:r>
      <w:r w:rsidRPr="009819CE">
        <w:rPr>
          <w:rFonts w:cstheme="minorBidi"/>
        </w:rPr>
      </w:r>
      <w:r w:rsidRPr="009819CE">
        <w:rPr>
          <w:rFonts w:cstheme="minorBidi"/>
        </w:rPr>
        <w:fldChar w:fldCharType="separate"/>
      </w:r>
      <w:r w:rsidR="008549FC" w:rsidRPr="008549FC">
        <w:rPr>
          <w:rFonts w:cstheme="minorBidi"/>
          <w:b/>
          <w:bCs/>
        </w:rPr>
        <w:t>Figure 4.16</w:t>
      </w:r>
      <w:r w:rsidRPr="009819CE">
        <w:rPr>
          <w:rFonts w:cstheme="minorBidi"/>
        </w:rPr>
        <w:fldChar w:fldCharType="end"/>
      </w:r>
      <w:r w:rsidRPr="009819CE">
        <w:rPr>
          <w:rFonts w:cstheme="minorBidi"/>
        </w:rPr>
        <w:t xml:space="preserve">). </w:t>
      </w:r>
      <w:r w:rsidR="00727314" w:rsidRPr="00FA7D47">
        <w:t xml:space="preserve">For detailed fatty acid composition, refer to </w:t>
      </w:r>
      <w:r w:rsidR="00727314" w:rsidRPr="00FA7D47">
        <w:rPr>
          <w:rFonts w:cstheme="minorBidi"/>
        </w:rPr>
        <w:fldChar w:fldCharType="begin"/>
      </w:r>
      <w:r w:rsidR="00727314" w:rsidRPr="00FA7D47">
        <w:rPr>
          <w:rFonts w:cstheme="minorBidi"/>
        </w:rPr>
        <w:instrText xml:space="preserve"> REF _Ref201493829 \h </w:instrText>
      </w:r>
      <w:r w:rsidR="00727314" w:rsidRPr="00FA7D47">
        <w:rPr>
          <w:rFonts w:cstheme="minorBidi"/>
        </w:rPr>
      </w:r>
      <w:r w:rsidR="00727314" w:rsidRPr="00FA7D47">
        <w:rPr>
          <w:rFonts w:cstheme="minorBidi"/>
        </w:rPr>
        <w:fldChar w:fldCharType="separate"/>
      </w:r>
      <w:r w:rsidR="008549FC" w:rsidRPr="009819CE">
        <w:rPr>
          <w:b/>
          <w:bCs/>
        </w:rPr>
        <w:t xml:space="preserve">Table </w:t>
      </w:r>
      <w:r w:rsidR="008549FC">
        <w:rPr>
          <w:b/>
          <w:bCs/>
          <w:noProof/>
        </w:rPr>
        <w:t>4</w:t>
      </w:r>
      <w:r w:rsidR="008549FC">
        <w:rPr>
          <w:b/>
          <w:bCs/>
        </w:rPr>
        <w:t>.</w:t>
      </w:r>
      <w:r w:rsidR="008549FC">
        <w:rPr>
          <w:b/>
          <w:bCs/>
          <w:noProof/>
        </w:rPr>
        <w:t>6</w:t>
      </w:r>
      <w:r w:rsidR="00727314" w:rsidRPr="00FA7D47">
        <w:rPr>
          <w:rFonts w:cstheme="minorBidi"/>
        </w:rPr>
        <w:fldChar w:fldCharType="end"/>
      </w:r>
      <w:r w:rsidR="00727314" w:rsidRPr="00FA7D47">
        <w:rPr>
          <w:rFonts w:cstheme="minorBidi"/>
        </w:rPr>
        <w:t xml:space="preserve"> </w:t>
      </w:r>
      <w:r w:rsidR="00727314" w:rsidRPr="00FA7D47">
        <w:t xml:space="preserve">for the polar lipid fraction and </w:t>
      </w:r>
      <w:r w:rsidR="00727314" w:rsidRPr="00FA7D47">
        <w:rPr>
          <w:rFonts w:cstheme="minorBidi"/>
        </w:rPr>
        <w:fldChar w:fldCharType="begin"/>
      </w:r>
      <w:r w:rsidR="00727314" w:rsidRPr="00FA7D47">
        <w:rPr>
          <w:rFonts w:cstheme="minorBidi"/>
        </w:rPr>
        <w:instrText xml:space="preserve"> REF _Ref201493891 \h </w:instrText>
      </w:r>
      <w:r w:rsidR="00727314" w:rsidRPr="00FA7D47">
        <w:rPr>
          <w:rFonts w:cstheme="minorBidi"/>
        </w:rPr>
      </w:r>
      <w:r w:rsidR="00727314" w:rsidRPr="00FA7D47">
        <w:rPr>
          <w:rFonts w:cstheme="minorBidi"/>
        </w:rPr>
        <w:fldChar w:fldCharType="separate"/>
      </w:r>
      <w:r w:rsidR="008549FC" w:rsidRPr="009819CE">
        <w:rPr>
          <w:b/>
          <w:bCs/>
        </w:rPr>
        <w:t xml:space="preserve">Table </w:t>
      </w:r>
      <w:r w:rsidR="008549FC">
        <w:rPr>
          <w:b/>
          <w:bCs/>
          <w:noProof/>
        </w:rPr>
        <w:t>4</w:t>
      </w:r>
      <w:r w:rsidR="008549FC">
        <w:rPr>
          <w:b/>
          <w:bCs/>
        </w:rPr>
        <w:t>.</w:t>
      </w:r>
      <w:r w:rsidR="008549FC">
        <w:rPr>
          <w:b/>
          <w:bCs/>
          <w:noProof/>
        </w:rPr>
        <w:t>7</w:t>
      </w:r>
      <w:r w:rsidR="00727314" w:rsidRPr="00FA7D47">
        <w:rPr>
          <w:rFonts w:cstheme="minorBidi"/>
        </w:rPr>
        <w:fldChar w:fldCharType="end"/>
      </w:r>
      <w:r w:rsidR="00727314" w:rsidRPr="00FA7D47">
        <w:rPr>
          <w:rFonts w:cstheme="minorBidi"/>
        </w:rPr>
        <w:t xml:space="preserve"> </w:t>
      </w:r>
      <w:r w:rsidR="00727314" w:rsidRPr="00FA7D47">
        <w:t>for the neutral lipid fraction</w:t>
      </w:r>
      <w:r w:rsidR="00727314" w:rsidRPr="00FA7D47">
        <w:rPr>
          <w:rFonts w:cstheme="minorBidi"/>
        </w:rPr>
        <w:t xml:space="preserve">. </w:t>
      </w:r>
      <w:r w:rsidRPr="009819CE">
        <w:rPr>
          <w:rFonts w:cstheme="minorBidi"/>
        </w:rPr>
        <w:t xml:space="preserve">Overall, a remarkable similarity was observed across all samples in both the polar and neutral fractions. However, </w:t>
      </w:r>
      <w:r w:rsidR="00146158" w:rsidRPr="00FA7D47">
        <w:rPr>
          <w:rFonts w:cstheme="minorBidi"/>
        </w:rPr>
        <w:t>the</w:t>
      </w:r>
      <w:r w:rsidRPr="009819CE">
        <w:rPr>
          <w:rFonts w:cstheme="minorBidi"/>
        </w:rPr>
        <w:t xml:space="preserve"> analysis also revealed several significant differences in both the polar and neutral fractions in specific major fatty acid components.</w:t>
      </w:r>
    </w:p>
    <w:p w14:paraId="00EE822B" w14:textId="5D98867B" w:rsidR="006A0363" w:rsidRPr="009819CE" w:rsidRDefault="006A0363" w:rsidP="006A0363">
      <w:pPr>
        <w:rPr>
          <w:rFonts w:cstheme="minorBidi"/>
        </w:rPr>
      </w:pPr>
      <w:r w:rsidRPr="009819CE">
        <w:rPr>
          <w:rFonts w:cstheme="minorBidi"/>
          <w:b/>
          <w:bCs/>
        </w:rPr>
        <w:t>Polar fraction</w:t>
      </w:r>
      <w:r w:rsidRPr="009819CE">
        <w:rPr>
          <w:rFonts w:cstheme="minorBidi"/>
        </w:rPr>
        <w:t xml:space="preserve">- The macrospores displayed consistent and significant differences in comparison to both the sporulated host hepatopancreas and the hepatopancreas of infected </w:t>
      </w:r>
      <w:r w:rsidR="00C31E47" w:rsidRPr="009819CE">
        <w:rPr>
          <w:rFonts w:cstheme="minorBidi"/>
          <w:i/>
          <w:iCs/>
        </w:rPr>
        <w:t>Nephrops</w:t>
      </w:r>
      <w:r w:rsidRPr="009819CE">
        <w:rPr>
          <w:rFonts w:cstheme="minorBidi"/>
        </w:rPr>
        <w:t xml:space="preserve"> at various stages of </w:t>
      </w:r>
      <w:r w:rsidR="009D03F4" w:rsidRPr="009819CE">
        <w:rPr>
          <w:rFonts w:cstheme="minorBidi"/>
          <w:i/>
          <w:iCs/>
        </w:rPr>
        <w:t>Hematodinium</w:t>
      </w:r>
      <w:r w:rsidRPr="009819CE">
        <w:rPr>
          <w:rFonts w:cstheme="minorBidi"/>
        </w:rPr>
        <w:t xml:space="preserve"> sp</w:t>
      </w:r>
      <w:r w:rsidR="00727767" w:rsidRPr="009819CE">
        <w:rPr>
          <w:rFonts w:cstheme="minorBidi"/>
        </w:rPr>
        <w:t>.</w:t>
      </w:r>
      <w:r w:rsidRPr="009819CE">
        <w:rPr>
          <w:rFonts w:cstheme="minorBidi"/>
        </w:rPr>
        <w:t xml:space="preserve"> infection (stage 0-4)</w:t>
      </w:r>
      <w:r w:rsidR="00D51703" w:rsidRPr="009819CE">
        <w:rPr>
          <w:rFonts w:cstheme="minorBidi"/>
        </w:rPr>
        <w:t xml:space="preserve"> (</w:t>
      </w:r>
      <w:r w:rsidR="00D51703" w:rsidRPr="009819CE">
        <w:rPr>
          <w:rFonts w:cstheme="minorBidi"/>
        </w:rPr>
        <w:fldChar w:fldCharType="begin"/>
      </w:r>
      <w:r w:rsidR="00D51703" w:rsidRPr="009819CE">
        <w:rPr>
          <w:rFonts w:cstheme="minorBidi"/>
        </w:rPr>
        <w:instrText xml:space="preserve"> REF _Ref201493829 \h </w:instrText>
      </w:r>
      <w:r w:rsidR="00D51703" w:rsidRPr="009819CE">
        <w:rPr>
          <w:rFonts w:cstheme="minorBidi"/>
        </w:rPr>
      </w:r>
      <w:r w:rsidR="00D51703" w:rsidRPr="009819CE">
        <w:rPr>
          <w:rFonts w:cstheme="minorBidi"/>
        </w:rPr>
        <w:fldChar w:fldCharType="separate"/>
      </w:r>
      <w:r w:rsidR="008549FC" w:rsidRPr="009819CE">
        <w:rPr>
          <w:b/>
          <w:bCs/>
        </w:rPr>
        <w:t xml:space="preserve">Table </w:t>
      </w:r>
      <w:r w:rsidR="008549FC">
        <w:rPr>
          <w:b/>
          <w:bCs/>
          <w:noProof/>
        </w:rPr>
        <w:t>4</w:t>
      </w:r>
      <w:r w:rsidR="008549FC">
        <w:rPr>
          <w:b/>
          <w:bCs/>
        </w:rPr>
        <w:t>.</w:t>
      </w:r>
      <w:r w:rsidR="008549FC">
        <w:rPr>
          <w:b/>
          <w:bCs/>
          <w:noProof/>
        </w:rPr>
        <w:t>6</w:t>
      </w:r>
      <w:r w:rsidR="00D51703" w:rsidRPr="009819CE">
        <w:rPr>
          <w:rFonts w:cstheme="minorBidi"/>
        </w:rPr>
        <w:fldChar w:fldCharType="end"/>
      </w:r>
      <w:r w:rsidR="00D51703" w:rsidRPr="009819CE">
        <w:rPr>
          <w:rFonts w:cstheme="minorBidi"/>
        </w:rPr>
        <w:t>)</w:t>
      </w:r>
      <w:r w:rsidRPr="009819CE">
        <w:rPr>
          <w:rFonts w:cstheme="minorBidi"/>
        </w:rPr>
        <w:t xml:space="preserve">. Specifically, the levels of </w:t>
      </w:r>
      <w:r w:rsidR="00A97250" w:rsidRPr="009819CE">
        <w:rPr>
          <w:rFonts w:cstheme="minorBidi"/>
        </w:rPr>
        <w:t>(n3) PUFA</w:t>
      </w:r>
      <w:r w:rsidRPr="009819CE">
        <w:rPr>
          <w:rFonts w:cstheme="minorBidi"/>
        </w:rPr>
        <w:t xml:space="preserve">, such as docosahexaenoic acid (DHA, 22:6n-3), were significantly higher in macrospores. Moreover, eicosapentaenoic acid (EPA, 20:5n-3) also showed higher levels in macrospores, though significant differences were only observed between the macrospores and hepatopancreas at stage 1 of </w:t>
      </w:r>
      <w:r w:rsidR="009D03F4" w:rsidRPr="009819CE">
        <w:rPr>
          <w:rFonts w:cstheme="minorBidi"/>
          <w:i/>
        </w:rPr>
        <w:t>Hematodinium</w:t>
      </w:r>
      <w:r w:rsidRPr="009819CE">
        <w:rPr>
          <w:rFonts w:cstheme="minorBidi"/>
        </w:rPr>
        <w:t xml:space="preserve"> </w:t>
      </w:r>
      <w:r w:rsidR="005B4D60" w:rsidRPr="009819CE">
        <w:rPr>
          <w:rFonts w:cstheme="minorBidi"/>
        </w:rPr>
        <w:t xml:space="preserve">sp. </w:t>
      </w:r>
      <w:r w:rsidRPr="009819CE">
        <w:rPr>
          <w:rFonts w:cstheme="minorBidi"/>
        </w:rPr>
        <w:t>infection.</w:t>
      </w:r>
    </w:p>
    <w:p w14:paraId="59046F6E" w14:textId="0A20AF9A" w:rsidR="006A0363" w:rsidRPr="009819CE" w:rsidRDefault="006A0363" w:rsidP="006A0363">
      <w:pPr>
        <w:rPr>
          <w:rFonts w:cstheme="minorBidi"/>
        </w:rPr>
      </w:pPr>
      <w:r w:rsidRPr="009819CE">
        <w:rPr>
          <w:rFonts w:cstheme="minorBidi"/>
        </w:rPr>
        <w:t xml:space="preserve">Regarding </w:t>
      </w:r>
      <w:r w:rsidR="0064687A" w:rsidRPr="009819CE">
        <w:rPr>
          <w:rFonts w:cstheme="minorBidi"/>
        </w:rPr>
        <w:t>(n-</w:t>
      </w:r>
      <w:r w:rsidRPr="009819CE">
        <w:rPr>
          <w:rFonts w:cstheme="minorBidi"/>
        </w:rPr>
        <w:t>6</w:t>
      </w:r>
      <w:r w:rsidR="0064687A" w:rsidRPr="009819CE">
        <w:rPr>
          <w:rFonts w:cstheme="minorBidi"/>
        </w:rPr>
        <w:t>)</w:t>
      </w:r>
      <w:r w:rsidRPr="009819CE">
        <w:rPr>
          <w:rFonts w:cstheme="minorBidi"/>
        </w:rPr>
        <w:t xml:space="preserve"> fatty acid</w:t>
      </w:r>
      <w:r w:rsidR="0064687A" w:rsidRPr="009819CE">
        <w:rPr>
          <w:rFonts w:cstheme="minorBidi"/>
        </w:rPr>
        <w:t>s</w:t>
      </w:r>
      <w:r w:rsidRPr="009819CE">
        <w:rPr>
          <w:rFonts w:cstheme="minorBidi"/>
        </w:rPr>
        <w:t xml:space="preserve">, eicosadienoic acid (EDA, 20:2n-6), was significantly lower in macrospores compared to the host hepatopancreas and hepatopancreas with different levels of </w:t>
      </w:r>
      <w:r w:rsidR="009D03F4" w:rsidRPr="009819CE">
        <w:rPr>
          <w:rFonts w:cstheme="minorBidi"/>
          <w:i/>
        </w:rPr>
        <w:t>Hematodinium</w:t>
      </w:r>
      <w:r w:rsidRPr="009819CE">
        <w:rPr>
          <w:rFonts w:cstheme="minorBidi"/>
        </w:rPr>
        <w:t xml:space="preserve"> </w:t>
      </w:r>
      <w:r w:rsidR="00B707F6" w:rsidRPr="009819CE">
        <w:rPr>
          <w:rFonts w:cstheme="minorBidi"/>
        </w:rPr>
        <w:t xml:space="preserve">sp. </w:t>
      </w:r>
      <w:r w:rsidRPr="009819CE">
        <w:rPr>
          <w:rFonts w:cstheme="minorBidi"/>
        </w:rPr>
        <w:t>infection, except for PM stage 2 where no significant differences were found.</w:t>
      </w:r>
    </w:p>
    <w:p w14:paraId="1A33B791" w14:textId="77777777" w:rsidR="006A0363" w:rsidRPr="009819CE" w:rsidRDefault="006A0363" w:rsidP="000A597A">
      <w:r w:rsidRPr="009819CE">
        <w:t>Furthermore, monounsaturated Anteiso 17:0 was significantly higher in macrospores, while gondoic acid (20:1n-9) was significantly lower. Additionally, saturated stearic acid (18:0) was also found to be significantly lower in macrospores.</w:t>
      </w:r>
    </w:p>
    <w:p w14:paraId="4D15E421" w14:textId="52EF372D" w:rsidR="006A0363" w:rsidRPr="000A597A" w:rsidRDefault="006A0363" w:rsidP="000A597A">
      <w:pPr>
        <w:rPr>
          <w:b/>
        </w:rPr>
      </w:pPr>
      <w:r w:rsidRPr="009819CE">
        <w:t xml:space="preserve">Moreover, the total </w:t>
      </w:r>
      <w:r w:rsidR="00A97250" w:rsidRPr="009819CE">
        <w:t>(n6) PUFA</w:t>
      </w:r>
      <w:r w:rsidRPr="009819CE">
        <w:t xml:space="preserve"> and arachidonic acid (A</w:t>
      </w:r>
      <w:r w:rsidR="00AB4490" w:rsidRPr="009819CE">
        <w:t>RA</w:t>
      </w:r>
      <w:r w:rsidRPr="009819CE">
        <w:t>, 20:4n-6) were significantly lower in the macrospores when compared to the host hepatopancreas (</w:t>
      </w:r>
      <w:r w:rsidR="008F528B">
        <w:fldChar w:fldCharType="begin"/>
      </w:r>
      <w:r w:rsidR="008F528B">
        <w:instrText xml:space="preserve"> REF _Ref204026081 \h </w:instrText>
      </w:r>
      <w:r w:rsidR="008F528B">
        <w:fldChar w:fldCharType="separate"/>
      </w:r>
      <w:r w:rsidR="008549FC" w:rsidRPr="005E2068">
        <w:rPr>
          <w:b/>
          <w:bCs/>
        </w:rPr>
        <w:t xml:space="preserve">Table </w:t>
      </w:r>
      <w:r w:rsidR="008549FC">
        <w:rPr>
          <w:b/>
          <w:bCs/>
          <w:noProof/>
        </w:rPr>
        <w:t>4</w:t>
      </w:r>
      <w:r w:rsidR="008549FC">
        <w:rPr>
          <w:b/>
          <w:bCs/>
        </w:rPr>
        <w:t>.</w:t>
      </w:r>
      <w:r w:rsidR="008549FC">
        <w:rPr>
          <w:b/>
          <w:bCs/>
          <w:noProof/>
        </w:rPr>
        <w:t>8</w:t>
      </w:r>
      <w:r w:rsidR="008F528B">
        <w:fldChar w:fldCharType="end"/>
      </w:r>
      <w:r w:rsidRPr="001F4A34">
        <w:rPr>
          <w:highlight w:val="yellow"/>
        </w:rPr>
        <w:t>).</w:t>
      </w:r>
    </w:p>
    <w:p w14:paraId="1AC32B89" w14:textId="756B3DFB" w:rsidR="00156AD6" w:rsidRPr="000A597A" w:rsidRDefault="00E8494B" w:rsidP="000A597A">
      <w:pPr>
        <w:rPr>
          <w:b/>
          <w:bCs/>
        </w:rPr>
      </w:pPr>
      <w:r w:rsidRPr="009819CE">
        <w:t>Additionally, I found that palmitoleic acid</w:t>
      </w:r>
      <w:r w:rsidR="006162E5">
        <w:t xml:space="preserve"> </w:t>
      </w:r>
      <w:r w:rsidR="006162E5" w:rsidRPr="009819CE">
        <w:rPr>
          <w:rFonts w:cstheme="minorBidi"/>
        </w:rPr>
        <w:t xml:space="preserve">(16:1n-7) </w:t>
      </w:r>
      <w:r w:rsidRPr="009819CE">
        <w:t xml:space="preserve">was significantly lower in </w:t>
      </w:r>
      <w:r w:rsidRPr="009819CE">
        <w:rPr>
          <w:i/>
        </w:rPr>
        <w:t>Hematodinium</w:t>
      </w:r>
      <w:r w:rsidRPr="009819CE">
        <w:t xml:space="preserve">-infected hepatopancreas in stage 3 compared to stage 2 </w:t>
      </w:r>
      <w:r w:rsidRPr="001F4A34">
        <w:rPr>
          <w:highlight w:val="yellow"/>
        </w:rPr>
        <w:t>(</w:t>
      </w:r>
      <w:r w:rsidR="00F07F00">
        <w:rPr>
          <w:highlight w:val="yellow"/>
        </w:rPr>
        <w:fldChar w:fldCharType="begin"/>
      </w:r>
      <w:r w:rsidR="00F07F00">
        <w:rPr>
          <w:highlight w:val="yellow"/>
        </w:rPr>
        <w:instrText xml:space="preserve"> REF _Ref204026171 \h </w:instrText>
      </w:r>
      <w:r w:rsidR="00F07F00">
        <w:rPr>
          <w:highlight w:val="yellow"/>
        </w:rPr>
      </w:r>
      <w:r w:rsidR="00F07F00">
        <w:rPr>
          <w:highlight w:val="yellow"/>
        </w:rPr>
        <w:fldChar w:fldCharType="separate"/>
      </w:r>
      <w:r w:rsidR="008549FC" w:rsidRPr="005E2068">
        <w:rPr>
          <w:b/>
          <w:bCs/>
        </w:rPr>
        <w:t xml:space="preserve">Table </w:t>
      </w:r>
      <w:r w:rsidR="008549FC">
        <w:rPr>
          <w:b/>
          <w:bCs/>
          <w:noProof/>
        </w:rPr>
        <w:t>4</w:t>
      </w:r>
      <w:r w:rsidR="008549FC">
        <w:rPr>
          <w:b/>
          <w:bCs/>
        </w:rPr>
        <w:t>.</w:t>
      </w:r>
      <w:r w:rsidR="008549FC">
        <w:rPr>
          <w:b/>
          <w:bCs/>
          <w:noProof/>
        </w:rPr>
        <w:t>9</w:t>
      </w:r>
      <w:r w:rsidR="00F07F00">
        <w:rPr>
          <w:highlight w:val="yellow"/>
        </w:rPr>
        <w:fldChar w:fldCharType="end"/>
      </w:r>
      <w:r w:rsidRPr="001F4A34">
        <w:rPr>
          <w:highlight w:val="yellow"/>
        </w:rPr>
        <w:t>).</w:t>
      </w:r>
    </w:p>
    <w:p w14:paraId="17A6895E" w14:textId="77777777" w:rsidR="000A597A" w:rsidRDefault="000A597A" w:rsidP="006A0363">
      <w:pPr>
        <w:rPr>
          <w:rFonts w:cstheme="minorBidi"/>
        </w:rPr>
      </w:pPr>
    </w:p>
    <w:p w14:paraId="37C31947" w14:textId="0CEFF80A" w:rsidR="000A597A" w:rsidRDefault="000A597A" w:rsidP="006A0363">
      <w:pPr>
        <w:rPr>
          <w:rFonts w:cstheme="minorBidi"/>
        </w:rPr>
        <w:sectPr w:rsidR="000A597A" w:rsidSect="009E090D">
          <w:pgSz w:w="11906" w:h="16838" w:code="9"/>
          <w:pgMar w:top="1440" w:right="1440" w:bottom="1440" w:left="1440" w:header="567" w:footer="567" w:gutter="0"/>
          <w:cols w:space="708"/>
          <w:docGrid w:linePitch="360"/>
        </w:sectPr>
      </w:pPr>
    </w:p>
    <w:p w14:paraId="75CB026E" w14:textId="1318E2ED" w:rsidR="004D2ED9" w:rsidRPr="00FA7D47" w:rsidRDefault="00B62E25" w:rsidP="004D2ED9">
      <w:pPr>
        <w:pStyle w:val="Caption"/>
      </w:pPr>
      <w:bookmarkStart w:id="374" w:name="_Ref201493829"/>
      <w:bookmarkStart w:id="375" w:name="_Toc202273067"/>
      <w:bookmarkStart w:id="376" w:name="_Toc204106766"/>
      <w:r w:rsidRPr="009819CE">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6</w:t>
      </w:r>
      <w:r w:rsidR="0095522A">
        <w:rPr>
          <w:b/>
          <w:bCs/>
        </w:rPr>
        <w:fldChar w:fldCharType="end"/>
      </w:r>
      <w:bookmarkEnd w:id="374"/>
      <w:r w:rsidRPr="009819CE">
        <w:t xml:space="preserve"> </w:t>
      </w:r>
      <w:r w:rsidR="004D2ED9" w:rsidRPr="00FA7D47">
        <w:t xml:space="preserve">Fatty acid composition according to the polar fraction of the total lipids (% of total fatty acids) in oil extracted from </w:t>
      </w:r>
      <w:r w:rsidR="004D2ED9" w:rsidRPr="00FA7D47">
        <w:rPr>
          <w:i/>
          <w:iCs w:val="0"/>
        </w:rPr>
        <w:t>N.norvegicus</w:t>
      </w:r>
      <w:r w:rsidR="004D2ED9" w:rsidRPr="00FA7D47">
        <w:t xml:space="preserve"> hepatopancreas and from </w:t>
      </w:r>
      <w:r w:rsidR="004D2ED9" w:rsidRPr="00FA7D47">
        <w:rPr>
          <w:i/>
          <w:iCs w:val="0"/>
        </w:rPr>
        <w:t>Hematodinium</w:t>
      </w:r>
      <w:r w:rsidR="004D2ED9" w:rsidRPr="00FA7D47">
        <w:t xml:space="preserve"> macrospores. Samples were obtained from the hepatopancreas of </w:t>
      </w:r>
      <w:r w:rsidR="004D2ED9" w:rsidRPr="00FA7D47">
        <w:rPr>
          <w:i/>
          <w:iCs w:val="0"/>
        </w:rPr>
        <w:t>N. norvegicus</w:t>
      </w:r>
      <w:r w:rsidR="004D2ED9" w:rsidRPr="00FA7D47">
        <w:t xml:space="preserve"> individuals showing varying levels of </w:t>
      </w:r>
      <w:r w:rsidR="004D2ED9" w:rsidRPr="00FA7D47">
        <w:rPr>
          <w:i/>
          <w:iCs w:val="0"/>
        </w:rPr>
        <w:t>Hematodinium</w:t>
      </w:r>
      <w:r w:rsidR="004D2ED9" w:rsidRPr="00FA7D47">
        <w:t xml:space="preserve"> sp. infection (stages S0–S4), classified according to the pleopod method (PM). These individuals had not reached sporulation (non-sporulated). Additional samples were collected from the hepatopancreas of three individuals that had undergone sporulation (sporulated group, n = 3, </w:t>
      </w:r>
      <w:r w:rsidR="004D2ED9" w:rsidRPr="00FA7D47">
        <w:rPr>
          <w:rFonts w:cstheme="minorBidi"/>
          <w:color w:val="000000"/>
        </w:rPr>
        <w:t>PM stage 3-4).</w:t>
      </w:r>
      <w:r w:rsidR="004D2ED9" w:rsidRPr="00FA7D47">
        <w:t xml:space="preserve"> During these sporulation events, </w:t>
      </w:r>
      <w:r w:rsidR="004D2ED9" w:rsidRPr="00FA7D47">
        <w:rPr>
          <w:i/>
          <w:iCs w:val="0"/>
        </w:rPr>
        <w:t>Hematodinium</w:t>
      </w:r>
      <w:r w:rsidR="004D2ED9" w:rsidRPr="00FA7D47">
        <w:t xml:space="preserve"> sp. macrospores were evacuated through the gills of the host and subsequently isolated and analysed. All </w:t>
      </w:r>
      <w:r w:rsidR="004D2ED9" w:rsidRPr="00FA7D47">
        <w:rPr>
          <w:i/>
          <w:iCs w:val="0"/>
        </w:rPr>
        <w:t>Nephrops</w:t>
      </w:r>
      <w:r w:rsidR="004D2ED9" w:rsidRPr="00FA7D47">
        <w:t xml:space="preserve"> were collected from the Clyde Sea area. </w:t>
      </w:r>
      <w:r w:rsidR="004D2ED9" w:rsidRPr="00FA7D47">
        <w:rPr>
          <w:rFonts w:cstheme="minorBidi"/>
          <w:color w:val="000000"/>
        </w:rPr>
        <w:t>SD=standard deviation; n.d=not detected.</w:t>
      </w:r>
      <w:bookmarkEnd w:id="375"/>
      <w:bookmarkEnd w:id="376"/>
      <w:r w:rsidR="004D2ED9" w:rsidRPr="00FA7D47">
        <w:rPr>
          <w:rFonts w:cstheme="minorBidi"/>
          <w:color w:val="000000"/>
        </w:rPr>
        <w:t xml:space="preserve">  </w:t>
      </w:r>
    </w:p>
    <w:p w14:paraId="22EBACB2" w14:textId="0052B622" w:rsidR="007053B4" w:rsidRPr="009819CE" w:rsidRDefault="007053B4" w:rsidP="00B62E25">
      <w:pPr>
        <w:pStyle w:val="Caption"/>
        <w:rPr>
          <w:rFonts w:cstheme="minorBidi"/>
          <w:iCs w:val="0"/>
          <w:color w:val="000000"/>
        </w:rPr>
      </w:pPr>
    </w:p>
    <w:tbl>
      <w:tblPr>
        <w:tblW w:w="5000" w:type="pct"/>
        <w:tblLook w:val="04A0" w:firstRow="1" w:lastRow="0" w:firstColumn="1" w:lastColumn="0" w:noHBand="0" w:noVBand="1"/>
      </w:tblPr>
      <w:tblGrid>
        <w:gridCol w:w="3646"/>
        <w:gridCol w:w="1438"/>
        <w:gridCol w:w="1561"/>
        <w:gridCol w:w="1438"/>
        <w:gridCol w:w="1438"/>
        <w:gridCol w:w="1438"/>
        <w:gridCol w:w="1438"/>
        <w:gridCol w:w="1561"/>
      </w:tblGrid>
      <w:tr w:rsidR="007053B4" w:rsidRPr="00FA7D47" w14:paraId="1683B3B6" w14:textId="77777777" w:rsidTr="0095549A">
        <w:trPr>
          <w:trHeight w:val="300"/>
        </w:trPr>
        <w:tc>
          <w:tcPr>
            <w:tcW w:w="1307" w:type="pct"/>
            <w:vMerge w:val="restart"/>
            <w:tcBorders>
              <w:top w:val="single" w:sz="4" w:space="0" w:color="auto"/>
              <w:left w:val="nil"/>
              <w:bottom w:val="single" w:sz="8" w:space="0" w:color="000000"/>
              <w:right w:val="nil"/>
            </w:tcBorders>
            <w:shd w:val="clear" w:color="auto" w:fill="auto"/>
            <w:vAlign w:val="bottom"/>
            <w:hideMark/>
          </w:tcPr>
          <w:p w14:paraId="464CE881"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Polar fraction of the total lipids</w:t>
            </w:r>
          </w:p>
        </w:tc>
        <w:tc>
          <w:tcPr>
            <w:tcW w:w="515" w:type="pct"/>
            <w:tcBorders>
              <w:top w:val="single" w:sz="4" w:space="0" w:color="auto"/>
              <w:left w:val="nil"/>
              <w:bottom w:val="nil"/>
              <w:right w:val="nil"/>
            </w:tcBorders>
            <w:shd w:val="clear" w:color="auto" w:fill="auto"/>
            <w:noWrap/>
            <w:vAlign w:val="bottom"/>
            <w:hideMark/>
          </w:tcPr>
          <w:p w14:paraId="0F806D6A"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S0</w:t>
            </w:r>
          </w:p>
        </w:tc>
        <w:tc>
          <w:tcPr>
            <w:tcW w:w="559" w:type="pct"/>
            <w:tcBorders>
              <w:top w:val="single" w:sz="4" w:space="0" w:color="auto"/>
              <w:left w:val="nil"/>
              <w:bottom w:val="nil"/>
              <w:right w:val="nil"/>
            </w:tcBorders>
            <w:shd w:val="clear" w:color="auto" w:fill="auto"/>
            <w:noWrap/>
            <w:vAlign w:val="bottom"/>
            <w:hideMark/>
          </w:tcPr>
          <w:p w14:paraId="4CF23919"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S1</w:t>
            </w:r>
          </w:p>
        </w:tc>
        <w:tc>
          <w:tcPr>
            <w:tcW w:w="515" w:type="pct"/>
            <w:tcBorders>
              <w:top w:val="single" w:sz="4" w:space="0" w:color="auto"/>
              <w:left w:val="nil"/>
              <w:bottom w:val="nil"/>
              <w:right w:val="nil"/>
            </w:tcBorders>
            <w:shd w:val="clear" w:color="auto" w:fill="auto"/>
            <w:noWrap/>
            <w:vAlign w:val="bottom"/>
            <w:hideMark/>
          </w:tcPr>
          <w:p w14:paraId="038559C4"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S2</w:t>
            </w:r>
          </w:p>
        </w:tc>
        <w:tc>
          <w:tcPr>
            <w:tcW w:w="515" w:type="pct"/>
            <w:tcBorders>
              <w:top w:val="single" w:sz="4" w:space="0" w:color="auto"/>
              <w:left w:val="nil"/>
              <w:bottom w:val="nil"/>
              <w:right w:val="nil"/>
            </w:tcBorders>
            <w:shd w:val="clear" w:color="auto" w:fill="auto"/>
            <w:noWrap/>
            <w:vAlign w:val="bottom"/>
            <w:hideMark/>
          </w:tcPr>
          <w:p w14:paraId="2DD153F9"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S3</w:t>
            </w:r>
          </w:p>
        </w:tc>
        <w:tc>
          <w:tcPr>
            <w:tcW w:w="515" w:type="pct"/>
            <w:tcBorders>
              <w:top w:val="single" w:sz="4" w:space="0" w:color="auto"/>
              <w:left w:val="nil"/>
              <w:bottom w:val="nil"/>
              <w:right w:val="nil"/>
            </w:tcBorders>
            <w:shd w:val="clear" w:color="auto" w:fill="auto"/>
            <w:noWrap/>
            <w:vAlign w:val="bottom"/>
            <w:hideMark/>
          </w:tcPr>
          <w:p w14:paraId="528F51E5"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S4</w:t>
            </w:r>
          </w:p>
        </w:tc>
        <w:tc>
          <w:tcPr>
            <w:tcW w:w="515" w:type="pct"/>
            <w:tcBorders>
              <w:top w:val="single" w:sz="4" w:space="0" w:color="auto"/>
              <w:left w:val="nil"/>
              <w:bottom w:val="nil"/>
              <w:right w:val="nil"/>
            </w:tcBorders>
            <w:shd w:val="clear" w:color="auto" w:fill="auto"/>
            <w:noWrap/>
            <w:vAlign w:val="bottom"/>
            <w:hideMark/>
          </w:tcPr>
          <w:p w14:paraId="5F45A13F"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sporulated</w:t>
            </w:r>
          </w:p>
        </w:tc>
        <w:tc>
          <w:tcPr>
            <w:tcW w:w="559" w:type="pct"/>
            <w:tcBorders>
              <w:top w:val="single" w:sz="4" w:space="0" w:color="auto"/>
              <w:left w:val="nil"/>
              <w:bottom w:val="nil"/>
              <w:right w:val="nil"/>
            </w:tcBorders>
            <w:shd w:val="clear" w:color="auto" w:fill="auto"/>
            <w:noWrap/>
            <w:vAlign w:val="bottom"/>
            <w:hideMark/>
          </w:tcPr>
          <w:p w14:paraId="0D47CCAD"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spore</w:t>
            </w:r>
          </w:p>
        </w:tc>
      </w:tr>
      <w:tr w:rsidR="007053B4" w:rsidRPr="00FA7D47" w14:paraId="1B0FF2AF" w14:textId="77777777" w:rsidTr="0095549A">
        <w:trPr>
          <w:trHeight w:val="315"/>
        </w:trPr>
        <w:tc>
          <w:tcPr>
            <w:tcW w:w="1307" w:type="pct"/>
            <w:vMerge/>
            <w:tcBorders>
              <w:top w:val="single" w:sz="4" w:space="0" w:color="auto"/>
              <w:left w:val="nil"/>
              <w:bottom w:val="single" w:sz="8" w:space="0" w:color="000000"/>
              <w:right w:val="nil"/>
            </w:tcBorders>
            <w:vAlign w:val="center"/>
            <w:hideMark/>
          </w:tcPr>
          <w:p w14:paraId="5591FCB2" w14:textId="77777777" w:rsidR="007053B4" w:rsidRPr="00FA7D47" w:rsidRDefault="007053B4" w:rsidP="0095549A">
            <w:pPr>
              <w:spacing w:after="0" w:line="240" w:lineRule="auto"/>
              <w:jc w:val="left"/>
              <w:rPr>
                <w:rFonts w:cstheme="minorBidi"/>
                <w:b/>
                <w:bCs/>
                <w:color w:val="000000"/>
                <w:sz w:val="22"/>
              </w:rPr>
            </w:pPr>
          </w:p>
        </w:tc>
        <w:tc>
          <w:tcPr>
            <w:tcW w:w="515" w:type="pct"/>
            <w:tcBorders>
              <w:top w:val="nil"/>
              <w:left w:val="nil"/>
              <w:bottom w:val="single" w:sz="8" w:space="0" w:color="auto"/>
              <w:right w:val="nil"/>
            </w:tcBorders>
            <w:shd w:val="clear" w:color="auto" w:fill="auto"/>
            <w:noWrap/>
            <w:vAlign w:val="bottom"/>
            <w:hideMark/>
          </w:tcPr>
          <w:p w14:paraId="5C981F9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c>
          <w:tcPr>
            <w:tcW w:w="559" w:type="pct"/>
            <w:tcBorders>
              <w:top w:val="nil"/>
              <w:left w:val="nil"/>
              <w:bottom w:val="single" w:sz="8" w:space="0" w:color="auto"/>
              <w:right w:val="nil"/>
            </w:tcBorders>
            <w:shd w:val="clear" w:color="auto" w:fill="auto"/>
            <w:noWrap/>
            <w:vAlign w:val="bottom"/>
            <w:hideMark/>
          </w:tcPr>
          <w:p w14:paraId="5301B9E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c>
          <w:tcPr>
            <w:tcW w:w="515" w:type="pct"/>
            <w:tcBorders>
              <w:top w:val="nil"/>
              <w:left w:val="nil"/>
              <w:bottom w:val="single" w:sz="8" w:space="0" w:color="auto"/>
              <w:right w:val="nil"/>
            </w:tcBorders>
            <w:shd w:val="clear" w:color="auto" w:fill="auto"/>
            <w:noWrap/>
            <w:vAlign w:val="bottom"/>
            <w:hideMark/>
          </w:tcPr>
          <w:p w14:paraId="0445B40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c>
          <w:tcPr>
            <w:tcW w:w="515" w:type="pct"/>
            <w:tcBorders>
              <w:top w:val="nil"/>
              <w:left w:val="nil"/>
              <w:bottom w:val="single" w:sz="8" w:space="0" w:color="auto"/>
              <w:right w:val="nil"/>
            </w:tcBorders>
            <w:shd w:val="clear" w:color="auto" w:fill="auto"/>
            <w:noWrap/>
            <w:vAlign w:val="bottom"/>
            <w:hideMark/>
          </w:tcPr>
          <w:p w14:paraId="0118339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c>
          <w:tcPr>
            <w:tcW w:w="515" w:type="pct"/>
            <w:tcBorders>
              <w:top w:val="nil"/>
              <w:left w:val="nil"/>
              <w:bottom w:val="single" w:sz="8" w:space="0" w:color="auto"/>
              <w:right w:val="nil"/>
            </w:tcBorders>
            <w:shd w:val="clear" w:color="auto" w:fill="auto"/>
            <w:noWrap/>
            <w:vAlign w:val="bottom"/>
            <w:hideMark/>
          </w:tcPr>
          <w:p w14:paraId="18808A9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c>
          <w:tcPr>
            <w:tcW w:w="515" w:type="pct"/>
            <w:tcBorders>
              <w:top w:val="nil"/>
              <w:left w:val="nil"/>
              <w:bottom w:val="single" w:sz="8" w:space="0" w:color="auto"/>
              <w:right w:val="nil"/>
            </w:tcBorders>
            <w:shd w:val="clear" w:color="auto" w:fill="auto"/>
            <w:noWrap/>
            <w:vAlign w:val="bottom"/>
            <w:hideMark/>
          </w:tcPr>
          <w:p w14:paraId="16518F1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c>
          <w:tcPr>
            <w:tcW w:w="559" w:type="pct"/>
            <w:tcBorders>
              <w:top w:val="nil"/>
              <w:left w:val="nil"/>
              <w:bottom w:val="single" w:sz="8" w:space="0" w:color="auto"/>
              <w:right w:val="nil"/>
            </w:tcBorders>
            <w:shd w:val="clear" w:color="auto" w:fill="auto"/>
            <w:noWrap/>
            <w:vAlign w:val="bottom"/>
            <w:hideMark/>
          </w:tcPr>
          <w:p w14:paraId="51EA0D6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mean ± sd</w:t>
            </w:r>
          </w:p>
        </w:tc>
      </w:tr>
      <w:tr w:rsidR="007053B4" w:rsidRPr="00FA7D47" w14:paraId="15D9506C" w14:textId="77777777" w:rsidTr="0095549A">
        <w:trPr>
          <w:trHeight w:val="300"/>
        </w:trPr>
        <w:tc>
          <w:tcPr>
            <w:tcW w:w="1307" w:type="pct"/>
            <w:tcBorders>
              <w:top w:val="nil"/>
              <w:left w:val="nil"/>
              <w:bottom w:val="nil"/>
              <w:right w:val="nil"/>
            </w:tcBorders>
            <w:shd w:val="clear" w:color="auto" w:fill="auto"/>
            <w:vAlign w:val="bottom"/>
            <w:hideMark/>
          </w:tcPr>
          <w:p w14:paraId="4DDDD46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14:0</w:t>
            </w:r>
          </w:p>
        </w:tc>
        <w:tc>
          <w:tcPr>
            <w:tcW w:w="515" w:type="pct"/>
            <w:tcBorders>
              <w:top w:val="nil"/>
              <w:left w:val="nil"/>
              <w:bottom w:val="nil"/>
              <w:right w:val="nil"/>
            </w:tcBorders>
            <w:shd w:val="clear" w:color="auto" w:fill="auto"/>
            <w:noWrap/>
            <w:vAlign w:val="bottom"/>
            <w:hideMark/>
          </w:tcPr>
          <w:p w14:paraId="522B43E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0.53 ± 0.56</w:t>
            </w:r>
          </w:p>
        </w:tc>
        <w:tc>
          <w:tcPr>
            <w:tcW w:w="559" w:type="pct"/>
            <w:tcBorders>
              <w:top w:val="nil"/>
              <w:left w:val="nil"/>
              <w:bottom w:val="nil"/>
              <w:right w:val="nil"/>
            </w:tcBorders>
            <w:shd w:val="clear" w:color="auto" w:fill="auto"/>
            <w:noWrap/>
            <w:vAlign w:val="bottom"/>
            <w:hideMark/>
          </w:tcPr>
          <w:p w14:paraId="60D984E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0.53 ± 0.56</w:t>
            </w:r>
          </w:p>
        </w:tc>
        <w:tc>
          <w:tcPr>
            <w:tcW w:w="515" w:type="pct"/>
            <w:tcBorders>
              <w:top w:val="nil"/>
              <w:left w:val="nil"/>
              <w:bottom w:val="nil"/>
              <w:right w:val="nil"/>
            </w:tcBorders>
            <w:shd w:val="clear" w:color="auto" w:fill="auto"/>
            <w:noWrap/>
            <w:vAlign w:val="bottom"/>
            <w:hideMark/>
          </w:tcPr>
          <w:p w14:paraId="13CC9FC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0.59 ± 0.38</w:t>
            </w:r>
          </w:p>
        </w:tc>
        <w:tc>
          <w:tcPr>
            <w:tcW w:w="515" w:type="pct"/>
            <w:tcBorders>
              <w:top w:val="nil"/>
              <w:left w:val="nil"/>
              <w:bottom w:val="nil"/>
              <w:right w:val="nil"/>
            </w:tcBorders>
            <w:shd w:val="clear" w:color="auto" w:fill="auto"/>
            <w:noWrap/>
            <w:vAlign w:val="bottom"/>
            <w:hideMark/>
          </w:tcPr>
          <w:p w14:paraId="2C19A96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0.37 ± 0.42</w:t>
            </w:r>
          </w:p>
        </w:tc>
        <w:tc>
          <w:tcPr>
            <w:tcW w:w="515" w:type="pct"/>
            <w:tcBorders>
              <w:top w:val="nil"/>
              <w:left w:val="nil"/>
              <w:bottom w:val="nil"/>
              <w:right w:val="nil"/>
            </w:tcBorders>
            <w:shd w:val="clear" w:color="auto" w:fill="auto"/>
            <w:noWrap/>
            <w:vAlign w:val="bottom"/>
            <w:hideMark/>
          </w:tcPr>
          <w:p w14:paraId="6F84725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0.38 ± 0.33</w:t>
            </w:r>
          </w:p>
        </w:tc>
        <w:tc>
          <w:tcPr>
            <w:tcW w:w="515" w:type="pct"/>
            <w:tcBorders>
              <w:top w:val="nil"/>
              <w:left w:val="nil"/>
              <w:bottom w:val="nil"/>
              <w:right w:val="nil"/>
            </w:tcBorders>
            <w:shd w:val="clear" w:color="auto" w:fill="auto"/>
            <w:noWrap/>
            <w:vAlign w:val="bottom"/>
            <w:hideMark/>
          </w:tcPr>
          <w:p w14:paraId="4722531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0.65 ± 0.29</w:t>
            </w:r>
          </w:p>
        </w:tc>
        <w:tc>
          <w:tcPr>
            <w:tcW w:w="559" w:type="pct"/>
            <w:tcBorders>
              <w:top w:val="nil"/>
              <w:left w:val="nil"/>
              <w:bottom w:val="nil"/>
              <w:right w:val="nil"/>
            </w:tcBorders>
            <w:shd w:val="clear" w:color="auto" w:fill="auto"/>
            <w:noWrap/>
            <w:vAlign w:val="bottom"/>
            <w:hideMark/>
          </w:tcPr>
          <w:p w14:paraId="0ADB305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1.74 ± 0.7</w:t>
            </w:r>
          </w:p>
        </w:tc>
      </w:tr>
      <w:tr w:rsidR="007053B4" w:rsidRPr="00FA7D47" w14:paraId="4D868BD8" w14:textId="77777777" w:rsidTr="0095549A">
        <w:trPr>
          <w:trHeight w:val="300"/>
        </w:trPr>
        <w:tc>
          <w:tcPr>
            <w:tcW w:w="1307" w:type="pct"/>
            <w:tcBorders>
              <w:top w:val="nil"/>
              <w:left w:val="nil"/>
              <w:bottom w:val="nil"/>
              <w:right w:val="nil"/>
            </w:tcBorders>
            <w:shd w:val="clear" w:color="auto" w:fill="auto"/>
            <w:vAlign w:val="bottom"/>
            <w:hideMark/>
          </w:tcPr>
          <w:p w14:paraId="4CEEED2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iso 15:0</w:t>
            </w:r>
          </w:p>
        </w:tc>
        <w:tc>
          <w:tcPr>
            <w:tcW w:w="515" w:type="pct"/>
            <w:tcBorders>
              <w:top w:val="nil"/>
              <w:left w:val="nil"/>
              <w:bottom w:val="nil"/>
              <w:right w:val="nil"/>
            </w:tcBorders>
            <w:shd w:val="clear" w:color="auto" w:fill="auto"/>
            <w:noWrap/>
            <w:vAlign w:val="bottom"/>
            <w:hideMark/>
          </w:tcPr>
          <w:p w14:paraId="050D4B5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0.16 ± 0.14</w:t>
            </w:r>
          </w:p>
        </w:tc>
        <w:tc>
          <w:tcPr>
            <w:tcW w:w="559" w:type="pct"/>
            <w:tcBorders>
              <w:top w:val="nil"/>
              <w:left w:val="nil"/>
              <w:bottom w:val="nil"/>
              <w:right w:val="nil"/>
            </w:tcBorders>
            <w:shd w:val="clear" w:color="auto" w:fill="auto"/>
            <w:noWrap/>
            <w:vAlign w:val="bottom"/>
            <w:hideMark/>
          </w:tcPr>
          <w:p w14:paraId="6A10DFD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0.16 ± 0.14</w:t>
            </w:r>
          </w:p>
        </w:tc>
        <w:tc>
          <w:tcPr>
            <w:tcW w:w="515" w:type="pct"/>
            <w:tcBorders>
              <w:top w:val="nil"/>
              <w:left w:val="nil"/>
              <w:bottom w:val="nil"/>
              <w:right w:val="nil"/>
            </w:tcBorders>
            <w:shd w:val="clear" w:color="auto" w:fill="auto"/>
            <w:noWrap/>
            <w:vAlign w:val="bottom"/>
            <w:hideMark/>
          </w:tcPr>
          <w:p w14:paraId="2468FA2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0.35 ± 0.2</w:t>
            </w:r>
          </w:p>
        </w:tc>
        <w:tc>
          <w:tcPr>
            <w:tcW w:w="515" w:type="pct"/>
            <w:tcBorders>
              <w:top w:val="nil"/>
              <w:left w:val="nil"/>
              <w:bottom w:val="nil"/>
              <w:right w:val="nil"/>
            </w:tcBorders>
            <w:shd w:val="clear" w:color="auto" w:fill="auto"/>
            <w:noWrap/>
            <w:vAlign w:val="bottom"/>
            <w:hideMark/>
          </w:tcPr>
          <w:p w14:paraId="6A516DF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0.14 ± 0.18</w:t>
            </w:r>
          </w:p>
        </w:tc>
        <w:tc>
          <w:tcPr>
            <w:tcW w:w="515" w:type="pct"/>
            <w:tcBorders>
              <w:top w:val="nil"/>
              <w:left w:val="nil"/>
              <w:bottom w:val="nil"/>
              <w:right w:val="nil"/>
            </w:tcBorders>
            <w:shd w:val="clear" w:color="auto" w:fill="auto"/>
            <w:noWrap/>
            <w:vAlign w:val="bottom"/>
            <w:hideMark/>
          </w:tcPr>
          <w:p w14:paraId="50F4F86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0.22 ± 0.14</w:t>
            </w:r>
          </w:p>
        </w:tc>
        <w:tc>
          <w:tcPr>
            <w:tcW w:w="515" w:type="pct"/>
            <w:tcBorders>
              <w:top w:val="nil"/>
              <w:left w:val="nil"/>
              <w:bottom w:val="nil"/>
              <w:right w:val="nil"/>
            </w:tcBorders>
            <w:shd w:val="clear" w:color="auto" w:fill="auto"/>
            <w:noWrap/>
            <w:vAlign w:val="bottom"/>
            <w:hideMark/>
          </w:tcPr>
          <w:p w14:paraId="60EB109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0.34 ± 0.22</w:t>
            </w:r>
          </w:p>
        </w:tc>
        <w:tc>
          <w:tcPr>
            <w:tcW w:w="559" w:type="pct"/>
            <w:tcBorders>
              <w:top w:val="nil"/>
              <w:left w:val="nil"/>
              <w:bottom w:val="nil"/>
              <w:right w:val="nil"/>
            </w:tcBorders>
            <w:shd w:val="clear" w:color="auto" w:fill="auto"/>
            <w:noWrap/>
            <w:vAlign w:val="bottom"/>
            <w:hideMark/>
          </w:tcPr>
          <w:p w14:paraId="34E8440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0.67 ± 0.31</w:t>
            </w:r>
          </w:p>
        </w:tc>
      </w:tr>
      <w:tr w:rsidR="007053B4" w:rsidRPr="00FA7D47" w14:paraId="73ED5C30" w14:textId="77777777" w:rsidTr="0095549A">
        <w:trPr>
          <w:trHeight w:val="300"/>
        </w:trPr>
        <w:tc>
          <w:tcPr>
            <w:tcW w:w="1307" w:type="pct"/>
            <w:tcBorders>
              <w:top w:val="nil"/>
              <w:left w:val="nil"/>
              <w:bottom w:val="nil"/>
              <w:right w:val="nil"/>
            </w:tcBorders>
            <w:shd w:val="clear" w:color="auto" w:fill="auto"/>
            <w:vAlign w:val="bottom"/>
            <w:hideMark/>
          </w:tcPr>
          <w:p w14:paraId="3DAFCC5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Anteiso 15:0</w:t>
            </w:r>
          </w:p>
        </w:tc>
        <w:tc>
          <w:tcPr>
            <w:tcW w:w="515" w:type="pct"/>
            <w:tcBorders>
              <w:top w:val="nil"/>
              <w:left w:val="nil"/>
              <w:bottom w:val="nil"/>
              <w:right w:val="nil"/>
            </w:tcBorders>
            <w:shd w:val="clear" w:color="auto" w:fill="auto"/>
            <w:noWrap/>
            <w:vAlign w:val="bottom"/>
            <w:hideMark/>
          </w:tcPr>
          <w:p w14:paraId="1C3FDF0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 ± 0.07</w:t>
            </w:r>
          </w:p>
        </w:tc>
        <w:tc>
          <w:tcPr>
            <w:tcW w:w="559" w:type="pct"/>
            <w:tcBorders>
              <w:top w:val="nil"/>
              <w:left w:val="nil"/>
              <w:bottom w:val="nil"/>
              <w:right w:val="nil"/>
            </w:tcBorders>
            <w:shd w:val="clear" w:color="auto" w:fill="auto"/>
            <w:noWrap/>
            <w:vAlign w:val="bottom"/>
            <w:hideMark/>
          </w:tcPr>
          <w:p w14:paraId="595C082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 ± 0.07</w:t>
            </w:r>
          </w:p>
        </w:tc>
        <w:tc>
          <w:tcPr>
            <w:tcW w:w="515" w:type="pct"/>
            <w:tcBorders>
              <w:top w:val="nil"/>
              <w:left w:val="nil"/>
              <w:bottom w:val="nil"/>
              <w:right w:val="nil"/>
            </w:tcBorders>
            <w:shd w:val="clear" w:color="auto" w:fill="auto"/>
            <w:noWrap/>
            <w:vAlign w:val="bottom"/>
            <w:hideMark/>
          </w:tcPr>
          <w:p w14:paraId="3AB2911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0.24 ± 0.21</w:t>
            </w:r>
          </w:p>
        </w:tc>
        <w:tc>
          <w:tcPr>
            <w:tcW w:w="515" w:type="pct"/>
            <w:tcBorders>
              <w:top w:val="nil"/>
              <w:left w:val="nil"/>
              <w:bottom w:val="nil"/>
              <w:right w:val="nil"/>
            </w:tcBorders>
            <w:shd w:val="clear" w:color="auto" w:fill="auto"/>
            <w:noWrap/>
            <w:vAlign w:val="bottom"/>
            <w:hideMark/>
          </w:tcPr>
          <w:p w14:paraId="6F7625E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0.08 ± 0.09</w:t>
            </w:r>
          </w:p>
        </w:tc>
        <w:tc>
          <w:tcPr>
            <w:tcW w:w="515" w:type="pct"/>
            <w:tcBorders>
              <w:top w:val="nil"/>
              <w:left w:val="nil"/>
              <w:bottom w:val="nil"/>
              <w:right w:val="nil"/>
            </w:tcBorders>
            <w:shd w:val="clear" w:color="auto" w:fill="auto"/>
            <w:noWrap/>
            <w:vAlign w:val="bottom"/>
            <w:hideMark/>
          </w:tcPr>
          <w:p w14:paraId="22981DD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0.14 ± 0.07</w:t>
            </w:r>
          </w:p>
        </w:tc>
        <w:tc>
          <w:tcPr>
            <w:tcW w:w="515" w:type="pct"/>
            <w:tcBorders>
              <w:top w:val="nil"/>
              <w:left w:val="nil"/>
              <w:bottom w:val="nil"/>
              <w:right w:val="nil"/>
            </w:tcBorders>
            <w:shd w:val="clear" w:color="auto" w:fill="auto"/>
            <w:noWrap/>
            <w:vAlign w:val="bottom"/>
            <w:hideMark/>
          </w:tcPr>
          <w:p w14:paraId="40BE0A7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0.27 ± 0.13</w:t>
            </w:r>
          </w:p>
        </w:tc>
        <w:tc>
          <w:tcPr>
            <w:tcW w:w="559" w:type="pct"/>
            <w:tcBorders>
              <w:top w:val="nil"/>
              <w:left w:val="nil"/>
              <w:bottom w:val="nil"/>
              <w:right w:val="nil"/>
            </w:tcBorders>
            <w:shd w:val="clear" w:color="auto" w:fill="auto"/>
            <w:noWrap/>
            <w:vAlign w:val="bottom"/>
            <w:hideMark/>
          </w:tcPr>
          <w:p w14:paraId="55A3472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0.59 ± 0.22</w:t>
            </w:r>
          </w:p>
        </w:tc>
      </w:tr>
      <w:tr w:rsidR="007053B4" w:rsidRPr="00FA7D47" w14:paraId="7EEB5672" w14:textId="77777777" w:rsidTr="0095549A">
        <w:trPr>
          <w:trHeight w:val="300"/>
        </w:trPr>
        <w:tc>
          <w:tcPr>
            <w:tcW w:w="1307" w:type="pct"/>
            <w:tcBorders>
              <w:top w:val="nil"/>
              <w:left w:val="nil"/>
              <w:bottom w:val="nil"/>
              <w:right w:val="nil"/>
            </w:tcBorders>
            <w:shd w:val="clear" w:color="auto" w:fill="auto"/>
            <w:vAlign w:val="bottom"/>
            <w:hideMark/>
          </w:tcPr>
          <w:p w14:paraId="73F6800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15:0</w:t>
            </w:r>
          </w:p>
        </w:tc>
        <w:tc>
          <w:tcPr>
            <w:tcW w:w="515" w:type="pct"/>
            <w:tcBorders>
              <w:top w:val="nil"/>
              <w:left w:val="nil"/>
              <w:bottom w:val="nil"/>
              <w:right w:val="nil"/>
            </w:tcBorders>
            <w:shd w:val="clear" w:color="auto" w:fill="auto"/>
            <w:noWrap/>
            <w:vAlign w:val="bottom"/>
            <w:hideMark/>
          </w:tcPr>
          <w:p w14:paraId="529B015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0.47 ± 0.4</w:t>
            </w:r>
          </w:p>
        </w:tc>
        <w:tc>
          <w:tcPr>
            <w:tcW w:w="559" w:type="pct"/>
            <w:tcBorders>
              <w:top w:val="nil"/>
              <w:left w:val="nil"/>
              <w:bottom w:val="nil"/>
              <w:right w:val="nil"/>
            </w:tcBorders>
            <w:shd w:val="clear" w:color="auto" w:fill="auto"/>
            <w:noWrap/>
            <w:vAlign w:val="bottom"/>
            <w:hideMark/>
          </w:tcPr>
          <w:p w14:paraId="1F8F03E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0.47 ± 0.4</w:t>
            </w:r>
          </w:p>
        </w:tc>
        <w:tc>
          <w:tcPr>
            <w:tcW w:w="515" w:type="pct"/>
            <w:tcBorders>
              <w:top w:val="nil"/>
              <w:left w:val="nil"/>
              <w:bottom w:val="nil"/>
              <w:right w:val="nil"/>
            </w:tcBorders>
            <w:shd w:val="clear" w:color="auto" w:fill="auto"/>
            <w:noWrap/>
            <w:vAlign w:val="bottom"/>
            <w:hideMark/>
          </w:tcPr>
          <w:p w14:paraId="4C958F9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0.74 ± 0.27</w:t>
            </w:r>
          </w:p>
        </w:tc>
        <w:tc>
          <w:tcPr>
            <w:tcW w:w="515" w:type="pct"/>
            <w:tcBorders>
              <w:top w:val="nil"/>
              <w:left w:val="nil"/>
              <w:bottom w:val="nil"/>
              <w:right w:val="nil"/>
            </w:tcBorders>
            <w:shd w:val="clear" w:color="auto" w:fill="auto"/>
            <w:noWrap/>
            <w:vAlign w:val="bottom"/>
            <w:hideMark/>
          </w:tcPr>
          <w:p w14:paraId="20B218B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0.36 ± 0.44</w:t>
            </w:r>
          </w:p>
        </w:tc>
        <w:tc>
          <w:tcPr>
            <w:tcW w:w="515" w:type="pct"/>
            <w:tcBorders>
              <w:top w:val="nil"/>
              <w:left w:val="nil"/>
              <w:bottom w:val="nil"/>
              <w:right w:val="nil"/>
            </w:tcBorders>
            <w:shd w:val="clear" w:color="auto" w:fill="auto"/>
            <w:noWrap/>
            <w:vAlign w:val="bottom"/>
            <w:hideMark/>
          </w:tcPr>
          <w:p w14:paraId="6B6B69F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 ± 0.33</w:t>
            </w:r>
          </w:p>
        </w:tc>
        <w:tc>
          <w:tcPr>
            <w:tcW w:w="515" w:type="pct"/>
            <w:tcBorders>
              <w:top w:val="nil"/>
              <w:left w:val="nil"/>
              <w:bottom w:val="nil"/>
              <w:right w:val="nil"/>
            </w:tcBorders>
            <w:shd w:val="clear" w:color="auto" w:fill="auto"/>
            <w:noWrap/>
            <w:vAlign w:val="bottom"/>
            <w:hideMark/>
          </w:tcPr>
          <w:p w14:paraId="12CE079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0.73 ± 0.29</w:t>
            </w:r>
          </w:p>
        </w:tc>
        <w:tc>
          <w:tcPr>
            <w:tcW w:w="559" w:type="pct"/>
            <w:tcBorders>
              <w:top w:val="nil"/>
              <w:left w:val="nil"/>
              <w:bottom w:val="nil"/>
              <w:right w:val="nil"/>
            </w:tcBorders>
            <w:shd w:val="clear" w:color="auto" w:fill="auto"/>
            <w:noWrap/>
            <w:vAlign w:val="bottom"/>
            <w:hideMark/>
          </w:tcPr>
          <w:p w14:paraId="05072A3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0.77 ± 0.19</w:t>
            </w:r>
          </w:p>
        </w:tc>
      </w:tr>
      <w:tr w:rsidR="007053B4" w:rsidRPr="00FA7D47" w14:paraId="63F1731D" w14:textId="77777777" w:rsidTr="0095549A">
        <w:trPr>
          <w:trHeight w:val="300"/>
        </w:trPr>
        <w:tc>
          <w:tcPr>
            <w:tcW w:w="1307" w:type="pct"/>
            <w:tcBorders>
              <w:top w:val="nil"/>
              <w:left w:val="nil"/>
              <w:bottom w:val="nil"/>
              <w:right w:val="nil"/>
            </w:tcBorders>
            <w:shd w:val="clear" w:color="auto" w:fill="auto"/>
            <w:vAlign w:val="bottom"/>
            <w:hideMark/>
          </w:tcPr>
          <w:p w14:paraId="256044C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iso 16:0</w:t>
            </w:r>
          </w:p>
        </w:tc>
        <w:tc>
          <w:tcPr>
            <w:tcW w:w="515" w:type="pct"/>
            <w:tcBorders>
              <w:top w:val="nil"/>
              <w:left w:val="nil"/>
              <w:bottom w:val="nil"/>
              <w:right w:val="nil"/>
            </w:tcBorders>
            <w:shd w:val="clear" w:color="auto" w:fill="auto"/>
            <w:noWrap/>
            <w:vAlign w:val="bottom"/>
            <w:hideMark/>
          </w:tcPr>
          <w:p w14:paraId="793B7FC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0.32 ± 0.16</w:t>
            </w:r>
          </w:p>
        </w:tc>
        <w:tc>
          <w:tcPr>
            <w:tcW w:w="559" w:type="pct"/>
            <w:tcBorders>
              <w:top w:val="nil"/>
              <w:left w:val="nil"/>
              <w:bottom w:val="nil"/>
              <w:right w:val="nil"/>
            </w:tcBorders>
            <w:shd w:val="clear" w:color="auto" w:fill="auto"/>
            <w:noWrap/>
            <w:vAlign w:val="bottom"/>
            <w:hideMark/>
          </w:tcPr>
          <w:p w14:paraId="7AA0D37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0.32 ± 0.16</w:t>
            </w:r>
          </w:p>
        </w:tc>
        <w:tc>
          <w:tcPr>
            <w:tcW w:w="515" w:type="pct"/>
            <w:tcBorders>
              <w:top w:val="nil"/>
              <w:left w:val="nil"/>
              <w:bottom w:val="nil"/>
              <w:right w:val="nil"/>
            </w:tcBorders>
            <w:shd w:val="clear" w:color="auto" w:fill="auto"/>
            <w:noWrap/>
            <w:vAlign w:val="bottom"/>
            <w:hideMark/>
          </w:tcPr>
          <w:p w14:paraId="06DCAF6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0.56 ± 0.23</w:t>
            </w:r>
          </w:p>
        </w:tc>
        <w:tc>
          <w:tcPr>
            <w:tcW w:w="515" w:type="pct"/>
            <w:tcBorders>
              <w:top w:val="nil"/>
              <w:left w:val="nil"/>
              <w:bottom w:val="nil"/>
              <w:right w:val="nil"/>
            </w:tcBorders>
            <w:shd w:val="clear" w:color="auto" w:fill="auto"/>
            <w:noWrap/>
            <w:vAlign w:val="bottom"/>
            <w:hideMark/>
          </w:tcPr>
          <w:p w14:paraId="5B42E1E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0.22</w:t>
            </w:r>
          </w:p>
        </w:tc>
        <w:tc>
          <w:tcPr>
            <w:tcW w:w="515" w:type="pct"/>
            <w:tcBorders>
              <w:top w:val="nil"/>
              <w:left w:val="nil"/>
              <w:bottom w:val="nil"/>
              <w:right w:val="nil"/>
            </w:tcBorders>
            <w:shd w:val="clear" w:color="auto" w:fill="auto"/>
            <w:noWrap/>
            <w:vAlign w:val="bottom"/>
            <w:hideMark/>
          </w:tcPr>
          <w:p w14:paraId="2FE15E0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0.39 ± 0.16</w:t>
            </w:r>
          </w:p>
        </w:tc>
        <w:tc>
          <w:tcPr>
            <w:tcW w:w="515" w:type="pct"/>
            <w:tcBorders>
              <w:top w:val="nil"/>
              <w:left w:val="nil"/>
              <w:bottom w:val="nil"/>
              <w:right w:val="nil"/>
            </w:tcBorders>
            <w:shd w:val="clear" w:color="auto" w:fill="auto"/>
            <w:noWrap/>
            <w:vAlign w:val="bottom"/>
            <w:hideMark/>
          </w:tcPr>
          <w:p w14:paraId="73E1A0E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0.45 ± 0.23</w:t>
            </w:r>
          </w:p>
        </w:tc>
        <w:tc>
          <w:tcPr>
            <w:tcW w:w="559" w:type="pct"/>
            <w:tcBorders>
              <w:top w:val="nil"/>
              <w:left w:val="nil"/>
              <w:bottom w:val="nil"/>
              <w:right w:val="nil"/>
            </w:tcBorders>
            <w:shd w:val="clear" w:color="auto" w:fill="auto"/>
            <w:noWrap/>
            <w:vAlign w:val="bottom"/>
            <w:hideMark/>
          </w:tcPr>
          <w:p w14:paraId="31E61CF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0.49 ± 0.17</w:t>
            </w:r>
          </w:p>
        </w:tc>
      </w:tr>
      <w:tr w:rsidR="007053B4" w:rsidRPr="00FA7D47" w14:paraId="05B5D658" w14:textId="77777777" w:rsidTr="0095549A">
        <w:trPr>
          <w:trHeight w:val="300"/>
        </w:trPr>
        <w:tc>
          <w:tcPr>
            <w:tcW w:w="1307" w:type="pct"/>
            <w:tcBorders>
              <w:top w:val="nil"/>
              <w:left w:val="nil"/>
              <w:bottom w:val="nil"/>
              <w:right w:val="nil"/>
            </w:tcBorders>
            <w:shd w:val="clear" w:color="auto" w:fill="auto"/>
            <w:vAlign w:val="bottom"/>
            <w:hideMark/>
          </w:tcPr>
          <w:p w14:paraId="40D9FB6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16:0 DMA</w:t>
            </w:r>
          </w:p>
        </w:tc>
        <w:tc>
          <w:tcPr>
            <w:tcW w:w="515" w:type="pct"/>
            <w:tcBorders>
              <w:top w:val="nil"/>
              <w:left w:val="nil"/>
              <w:bottom w:val="nil"/>
              <w:right w:val="nil"/>
            </w:tcBorders>
            <w:shd w:val="clear" w:color="auto" w:fill="auto"/>
            <w:noWrap/>
            <w:vAlign w:val="bottom"/>
            <w:hideMark/>
          </w:tcPr>
          <w:p w14:paraId="058E460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0.53 ± 0.31</w:t>
            </w:r>
          </w:p>
        </w:tc>
        <w:tc>
          <w:tcPr>
            <w:tcW w:w="559" w:type="pct"/>
            <w:tcBorders>
              <w:top w:val="nil"/>
              <w:left w:val="nil"/>
              <w:bottom w:val="nil"/>
              <w:right w:val="nil"/>
            </w:tcBorders>
            <w:shd w:val="clear" w:color="auto" w:fill="auto"/>
            <w:noWrap/>
            <w:vAlign w:val="bottom"/>
            <w:hideMark/>
          </w:tcPr>
          <w:p w14:paraId="3E22644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0.53 ± 0.31</w:t>
            </w:r>
          </w:p>
        </w:tc>
        <w:tc>
          <w:tcPr>
            <w:tcW w:w="515" w:type="pct"/>
            <w:tcBorders>
              <w:top w:val="nil"/>
              <w:left w:val="nil"/>
              <w:bottom w:val="nil"/>
              <w:right w:val="nil"/>
            </w:tcBorders>
            <w:shd w:val="clear" w:color="auto" w:fill="auto"/>
            <w:noWrap/>
            <w:vAlign w:val="bottom"/>
            <w:hideMark/>
          </w:tcPr>
          <w:p w14:paraId="486E8FF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 ± 0.43</w:t>
            </w:r>
          </w:p>
        </w:tc>
        <w:tc>
          <w:tcPr>
            <w:tcW w:w="515" w:type="pct"/>
            <w:tcBorders>
              <w:top w:val="nil"/>
              <w:left w:val="nil"/>
              <w:bottom w:val="nil"/>
              <w:right w:val="nil"/>
            </w:tcBorders>
            <w:shd w:val="clear" w:color="auto" w:fill="auto"/>
            <w:noWrap/>
            <w:vAlign w:val="bottom"/>
            <w:hideMark/>
          </w:tcPr>
          <w:p w14:paraId="54953D0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0.2</w:t>
            </w:r>
          </w:p>
        </w:tc>
        <w:tc>
          <w:tcPr>
            <w:tcW w:w="515" w:type="pct"/>
            <w:tcBorders>
              <w:top w:val="nil"/>
              <w:left w:val="nil"/>
              <w:bottom w:val="nil"/>
              <w:right w:val="nil"/>
            </w:tcBorders>
            <w:shd w:val="clear" w:color="auto" w:fill="auto"/>
            <w:noWrap/>
            <w:vAlign w:val="bottom"/>
            <w:hideMark/>
          </w:tcPr>
          <w:p w14:paraId="7C53615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 ± 0.27</w:t>
            </w:r>
          </w:p>
        </w:tc>
        <w:tc>
          <w:tcPr>
            <w:tcW w:w="515" w:type="pct"/>
            <w:tcBorders>
              <w:top w:val="nil"/>
              <w:left w:val="nil"/>
              <w:bottom w:val="nil"/>
              <w:right w:val="nil"/>
            </w:tcBorders>
            <w:shd w:val="clear" w:color="auto" w:fill="auto"/>
            <w:noWrap/>
            <w:vAlign w:val="bottom"/>
            <w:hideMark/>
          </w:tcPr>
          <w:p w14:paraId="25CAA6C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 ± 0.42</w:t>
            </w:r>
          </w:p>
        </w:tc>
        <w:tc>
          <w:tcPr>
            <w:tcW w:w="559" w:type="pct"/>
            <w:tcBorders>
              <w:top w:val="nil"/>
              <w:left w:val="nil"/>
              <w:bottom w:val="nil"/>
              <w:right w:val="nil"/>
            </w:tcBorders>
            <w:shd w:val="clear" w:color="auto" w:fill="auto"/>
            <w:noWrap/>
            <w:vAlign w:val="bottom"/>
            <w:hideMark/>
          </w:tcPr>
          <w:p w14:paraId="6A6D7F3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3B308390" w14:textId="77777777" w:rsidTr="0095549A">
        <w:trPr>
          <w:trHeight w:val="300"/>
        </w:trPr>
        <w:tc>
          <w:tcPr>
            <w:tcW w:w="1307" w:type="pct"/>
            <w:tcBorders>
              <w:top w:val="nil"/>
              <w:left w:val="nil"/>
              <w:bottom w:val="nil"/>
              <w:right w:val="nil"/>
            </w:tcBorders>
            <w:shd w:val="clear" w:color="auto" w:fill="auto"/>
            <w:vAlign w:val="bottom"/>
            <w:hideMark/>
          </w:tcPr>
          <w:p w14:paraId="2BECA96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Anteiso 16:0</w:t>
            </w:r>
          </w:p>
        </w:tc>
        <w:tc>
          <w:tcPr>
            <w:tcW w:w="515" w:type="pct"/>
            <w:tcBorders>
              <w:top w:val="nil"/>
              <w:left w:val="nil"/>
              <w:bottom w:val="nil"/>
              <w:right w:val="nil"/>
            </w:tcBorders>
            <w:shd w:val="clear" w:color="auto" w:fill="auto"/>
            <w:noWrap/>
            <w:vAlign w:val="bottom"/>
            <w:hideMark/>
          </w:tcPr>
          <w:p w14:paraId="312B166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0.28 ± 0.11</w:t>
            </w:r>
          </w:p>
        </w:tc>
        <w:tc>
          <w:tcPr>
            <w:tcW w:w="559" w:type="pct"/>
            <w:tcBorders>
              <w:top w:val="nil"/>
              <w:left w:val="nil"/>
              <w:bottom w:val="nil"/>
              <w:right w:val="nil"/>
            </w:tcBorders>
            <w:shd w:val="clear" w:color="auto" w:fill="auto"/>
            <w:noWrap/>
            <w:vAlign w:val="bottom"/>
            <w:hideMark/>
          </w:tcPr>
          <w:p w14:paraId="5D0651C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0.28 ± 0.11</w:t>
            </w:r>
          </w:p>
        </w:tc>
        <w:tc>
          <w:tcPr>
            <w:tcW w:w="515" w:type="pct"/>
            <w:tcBorders>
              <w:top w:val="nil"/>
              <w:left w:val="nil"/>
              <w:bottom w:val="nil"/>
              <w:right w:val="nil"/>
            </w:tcBorders>
            <w:shd w:val="clear" w:color="auto" w:fill="auto"/>
            <w:noWrap/>
            <w:vAlign w:val="bottom"/>
            <w:hideMark/>
          </w:tcPr>
          <w:p w14:paraId="567CA85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0.39 ± 0.44</w:t>
            </w:r>
          </w:p>
        </w:tc>
        <w:tc>
          <w:tcPr>
            <w:tcW w:w="515" w:type="pct"/>
            <w:tcBorders>
              <w:top w:val="nil"/>
              <w:left w:val="nil"/>
              <w:bottom w:val="nil"/>
              <w:right w:val="nil"/>
            </w:tcBorders>
            <w:shd w:val="clear" w:color="auto" w:fill="auto"/>
            <w:noWrap/>
            <w:vAlign w:val="bottom"/>
            <w:hideMark/>
          </w:tcPr>
          <w:p w14:paraId="075227E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 ± 0.28</w:t>
            </w:r>
          </w:p>
        </w:tc>
        <w:tc>
          <w:tcPr>
            <w:tcW w:w="515" w:type="pct"/>
            <w:tcBorders>
              <w:top w:val="nil"/>
              <w:left w:val="nil"/>
              <w:bottom w:val="nil"/>
              <w:right w:val="nil"/>
            </w:tcBorders>
            <w:shd w:val="clear" w:color="auto" w:fill="auto"/>
            <w:noWrap/>
            <w:vAlign w:val="bottom"/>
            <w:hideMark/>
          </w:tcPr>
          <w:p w14:paraId="75D0D7A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0.31 ± 0.29</w:t>
            </w:r>
          </w:p>
        </w:tc>
        <w:tc>
          <w:tcPr>
            <w:tcW w:w="515" w:type="pct"/>
            <w:tcBorders>
              <w:top w:val="nil"/>
              <w:left w:val="nil"/>
              <w:bottom w:val="nil"/>
              <w:right w:val="nil"/>
            </w:tcBorders>
            <w:shd w:val="clear" w:color="auto" w:fill="auto"/>
            <w:noWrap/>
            <w:vAlign w:val="bottom"/>
            <w:hideMark/>
          </w:tcPr>
          <w:p w14:paraId="67ECFCC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0.61 ± 0.54</w:t>
            </w:r>
          </w:p>
        </w:tc>
        <w:tc>
          <w:tcPr>
            <w:tcW w:w="559" w:type="pct"/>
            <w:tcBorders>
              <w:top w:val="nil"/>
              <w:left w:val="nil"/>
              <w:bottom w:val="nil"/>
              <w:right w:val="nil"/>
            </w:tcBorders>
            <w:shd w:val="clear" w:color="auto" w:fill="auto"/>
            <w:noWrap/>
            <w:vAlign w:val="bottom"/>
            <w:hideMark/>
          </w:tcPr>
          <w:p w14:paraId="09A933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0.15 ± 0.02</w:t>
            </w:r>
          </w:p>
        </w:tc>
      </w:tr>
      <w:tr w:rsidR="007053B4" w:rsidRPr="00FA7D47" w14:paraId="43BAED61" w14:textId="77777777" w:rsidTr="0095549A">
        <w:trPr>
          <w:trHeight w:val="300"/>
        </w:trPr>
        <w:tc>
          <w:tcPr>
            <w:tcW w:w="1307" w:type="pct"/>
            <w:tcBorders>
              <w:top w:val="nil"/>
              <w:left w:val="nil"/>
              <w:bottom w:val="nil"/>
              <w:right w:val="nil"/>
            </w:tcBorders>
            <w:shd w:val="clear" w:color="auto" w:fill="auto"/>
            <w:vAlign w:val="bottom"/>
            <w:hideMark/>
          </w:tcPr>
          <w:p w14:paraId="4F33EDA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16:0</w:t>
            </w:r>
          </w:p>
        </w:tc>
        <w:tc>
          <w:tcPr>
            <w:tcW w:w="515" w:type="pct"/>
            <w:tcBorders>
              <w:top w:val="nil"/>
              <w:left w:val="nil"/>
              <w:bottom w:val="nil"/>
              <w:right w:val="nil"/>
            </w:tcBorders>
            <w:shd w:val="clear" w:color="auto" w:fill="auto"/>
            <w:noWrap/>
            <w:vAlign w:val="bottom"/>
            <w:hideMark/>
          </w:tcPr>
          <w:p w14:paraId="162FE37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15.62 ± 4.99</w:t>
            </w:r>
          </w:p>
        </w:tc>
        <w:tc>
          <w:tcPr>
            <w:tcW w:w="559" w:type="pct"/>
            <w:tcBorders>
              <w:top w:val="nil"/>
              <w:left w:val="nil"/>
              <w:bottom w:val="nil"/>
              <w:right w:val="nil"/>
            </w:tcBorders>
            <w:shd w:val="clear" w:color="auto" w:fill="auto"/>
            <w:noWrap/>
            <w:vAlign w:val="bottom"/>
            <w:hideMark/>
          </w:tcPr>
          <w:p w14:paraId="463581D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15.62 ± 4.99</w:t>
            </w:r>
          </w:p>
        </w:tc>
        <w:tc>
          <w:tcPr>
            <w:tcW w:w="515" w:type="pct"/>
            <w:tcBorders>
              <w:top w:val="nil"/>
              <w:left w:val="nil"/>
              <w:bottom w:val="nil"/>
              <w:right w:val="nil"/>
            </w:tcBorders>
            <w:shd w:val="clear" w:color="auto" w:fill="auto"/>
            <w:noWrap/>
            <w:vAlign w:val="bottom"/>
            <w:hideMark/>
          </w:tcPr>
          <w:p w14:paraId="0DC26DB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13.76 ± 3.9</w:t>
            </w:r>
          </w:p>
        </w:tc>
        <w:tc>
          <w:tcPr>
            <w:tcW w:w="515" w:type="pct"/>
            <w:tcBorders>
              <w:top w:val="nil"/>
              <w:left w:val="nil"/>
              <w:bottom w:val="nil"/>
              <w:right w:val="nil"/>
            </w:tcBorders>
            <w:shd w:val="clear" w:color="auto" w:fill="auto"/>
            <w:noWrap/>
            <w:vAlign w:val="bottom"/>
            <w:hideMark/>
          </w:tcPr>
          <w:p w14:paraId="76F70AA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11.4 ± 5.44</w:t>
            </w:r>
          </w:p>
        </w:tc>
        <w:tc>
          <w:tcPr>
            <w:tcW w:w="515" w:type="pct"/>
            <w:tcBorders>
              <w:top w:val="nil"/>
              <w:left w:val="nil"/>
              <w:bottom w:val="nil"/>
              <w:right w:val="nil"/>
            </w:tcBorders>
            <w:shd w:val="clear" w:color="auto" w:fill="auto"/>
            <w:noWrap/>
            <w:vAlign w:val="bottom"/>
            <w:hideMark/>
          </w:tcPr>
          <w:p w14:paraId="7E614D7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9.39 ± 5.6</w:t>
            </w:r>
          </w:p>
        </w:tc>
        <w:tc>
          <w:tcPr>
            <w:tcW w:w="515" w:type="pct"/>
            <w:tcBorders>
              <w:top w:val="nil"/>
              <w:left w:val="nil"/>
              <w:bottom w:val="nil"/>
              <w:right w:val="nil"/>
            </w:tcBorders>
            <w:shd w:val="clear" w:color="auto" w:fill="auto"/>
            <w:noWrap/>
            <w:vAlign w:val="bottom"/>
            <w:hideMark/>
          </w:tcPr>
          <w:p w14:paraId="75E6888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9.98 ± 7.84</w:t>
            </w:r>
          </w:p>
        </w:tc>
        <w:tc>
          <w:tcPr>
            <w:tcW w:w="559" w:type="pct"/>
            <w:tcBorders>
              <w:top w:val="nil"/>
              <w:left w:val="nil"/>
              <w:bottom w:val="nil"/>
              <w:right w:val="nil"/>
            </w:tcBorders>
            <w:shd w:val="clear" w:color="auto" w:fill="auto"/>
            <w:noWrap/>
            <w:vAlign w:val="bottom"/>
            <w:hideMark/>
          </w:tcPr>
          <w:p w14:paraId="281188D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12.76 ± 10.08</w:t>
            </w:r>
          </w:p>
        </w:tc>
      </w:tr>
      <w:tr w:rsidR="007053B4" w:rsidRPr="00FA7D47" w14:paraId="36E1B80E" w14:textId="77777777" w:rsidTr="0095549A">
        <w:trPr>
          <w:trHeight w:val="300"/>
        </w:trPr>
        <w:tc>
          <w:tcPr>
            <w:tcW w:w="1307" w:type="pct"/>
            <w:tcBorders>
              <w:top w:val="nil"/>
              <w:left w:val="nil"/>
              <w:bottom w:val="nil"/>
              <w:right w:val="nil"/>
            </w:tcBorders>
            <w:shd w:val="clear" w:color="auto" w:fill="auto"/>
            <w:vAlign w:val="bottom"/>
            <w:hideMark/>
          </w:tcPr>
          <w:p w14:paraId="75317D3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iso 17:0</w:t>
            </w:r>
          </w:p>
        </w:tc>
        <w:tc>
          <w:tcPr>
            <w:tcW w:w="515" w:type="pct"/>
            <w:tcBorders>
              <w:top w:val="nil"/>
              <w:left w:val="nil"/>
              <w:bottom w:val="nil"/>
              <w:right w:val="nil"/>
            </w:tcBorders>
            <w:shd w:val="clear" w:color="auto" w:fill="auto"/>
            <w:noWrap/>
            <w:vAlign w:val="bottom"/>
            <w:hideMark/>
          </w:tcPr>
          <w:p w14:paraId="069CFB0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1.06 ± 0.18</w:t>
            </w:r>
          </w:p>
        </w:tc>
        <w:tc>
          <w:tcPr>
            <w:tcW w:w="559" w:type="pct"/>
            <w:tcBorders>
              <w:top w:val="nil"/>
              <w:left w:val="nil"/>
              <w:bottom w:val="nil"/>
              <w:right w:val="nil"/>
            </w:tcBorders>
            <w:shd w:val="clear" w:color="auto" w:fill="auto"/>
            <w:noWrap/>
            <w:vAlign w:val="bottom"/>
            <w:hideMark/>
          </w:tcPr>
          <w:p w14:paraId="4F55F10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1.06 ± 0.18</w:t>
            </w:r>
          </w:p>
        </w:tc>
        <w:tc>
          <w:tcPr>
            <w:tcW w:w="515" w:type="pct"/>
            <w:tcBorders>
              <w:top w:val="nil"/>
              <w:left w:val="nil"/>
              <w:bottom w:val="nil"/>
              <w:right w:val="nil"/>
            </w:tcBorders>
            <w:shd w:val="clear" w:color="auto" w:fill="auto"/>
            <w:noWrap/>
            <w:vAlign w:val="bottom"/>
            <w:hideMark/>
          </w:tcPr>
          <w:p w14:paraId="2F0BDAE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1.42 ± 0.48</w:t>
            </w:r>
          </w:p>
        </w:tc>
        <w:tc>
          <w:tcPr>
            <w:tcW w:w="515" w:type="pct"/>
            <w:tcBorders>
              <w:top w:val="nil"/>
              <w:left w:val="nil"/>
              <w:bottom w:val="nil"/>
              <w:right w:val="nil"/>
            </w:tcBorders>
            <w:shd w:val="clear" w:color="auto" w:fill="auto"/>
            <w:noWrap/>
            <w:vAlign w:val="bottom"/>
            <w:hideMark/>
          </w:tcPr>
          <w:p w14:paraId="74D9AF7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0.86 ± 0.24</w:t>
            </w:r>
          </w:p>
        </w:tc>
        <w:tc>
          <w:tcPr>
            <w:tcW w:w="515" w:type="pct"/>
            <w:tcBorders>
              <w:top w:val="nil"/>
              <w:left w:val="nil"/>
              <w:bottom w:val="nil"/>
              <w:right w:val="nil"/>
            </w:tcBorders>
            <w:shd w:val="clear" w:color="auto" w:fill="auto"/>
            <w:noWrap/>
            <w:vAlign w:val="bottom"/>
            <w:hideMark/>
          </w:tcPr>
          <w:p w14:paraId="5E2CBF5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1.11 ± 0.28</w:t>
            </w:r>
          </w:p>
        </w:tc>
        <w:tc>
          <w:tcPr>
            <w:tcW w:w="515" w:type="pct"/>
            <w:tcBorders>
              <w:top w:val="nil"/>
              <w:left w:val="nil"/>
              <w:bottom w:val="nil"/>
              <w:right w:val="nil"/>
            </w:tcBorders>
            <w:shd w:val="clear" w:color="auto" w:fill="auto"/>
            <w:noWrap/>
            <w:vAlign w:val="bottom"/>
            <w:hideMark/>
          </w:tcPr>
          <w:p w14:paraId="75B4800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1.13 ± 0.44</w:t>
            </w:r>
          </w:p>
        </w:tc>
        <w:tc>
          <w:tcPr>
            <w:tcW w:w="559" w:type="pct"/>
            <w:tcBorders>
              <w:top w:val="nil"/>
              <w:left w:val="nil"/>
              <w:bottom w:val="nil"/>
              <w:right w:val="nil"/>
            </w:tcBorders>
            <w:shd w:val="clear" w:color="auto" w:fill="auto"/>
            <w:noWrap/>
            <w:vAlign w:val="bottom"/>
            <w:hideMark/>
          </w:tcPr>
          <w:p w14:paraId="28A0AB8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0.88 ± 0.26</w:t>
            </w:r>
          </w:p>
        </w:tc>
      </w:tr>
      <w:tr w:rsidR="007053B4" w:rsidRPr="00FA7D47" w14:paraId="4446A805" w14:textId="77777777" w:rsidTr="0095549A">
        <w:trPr>
          <w:trHeight w:val="300"/>
        </w:trPr>
        <w:tc>
          <w:tcPr>
            <w:tcW w:w="1307" w:type="pct"/>
            <w:tcBorders>
              <w:top w:val="nil"/>
              <w:left w:val="nil"/>
              <w:bottom w:val="nil"/>
              <w:right w:val="nil"/>
            </w:tcBorders>
            <w:shd w:val="clear" w:color="auto" w:fill="auto"/>
            <w:vAlign w:val="bottom"/>
            <w:hideMark/>
          </w:tcPr>
          <w:p w14:paraId="0C5ED2A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Anteiso 17:0</w:t>
            </w:r>
          </w:p>
        </w:tc>
        <w:tc>
          <w:tcPr>
            <w:tcW w:w="515" w:type="pct"/>
            <w:tcBorders>
              <w:top w:val="nil"/>
              <w:left w:val="nil"/>
              <w:bottom w:val="nil"/>
              <w:right w:val="nil"/>
            </w:tcBorders>
            <w:shd w:val="clear" w:color="auto" w:fill="auto"/>
            <w:noWrap/>
            <w:vAlign w:val="bottom"/>
            <w:hideMark/>
          </w:tcPr>
          <w:p w14:paraId="2CC3CA7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0.84 ± 0.2</w:t>
            </w:r>
          </w:p>
        </w:tc>
        <w:tc>
          <w:tcPr>
            <w:tcW w:w="559" w:type="pct"/>
            <w:tcBorders>
              <w:top w:val="nil"/>
              <w:left w:val="nil"/>
              <w:bottom w:val="nil"/>
              <w:right w:val="nil"/>
            </w:tcBorders>
            <w:shd w:val="clear" w:color="auto" w:fill="auto"/>
            <w:noWrap/>
            <w:vAlign w:val="bottom"/>
            <w:hideMark/>
          </w:tcPr>
          <w:p w14:paraId="6E3A74B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0.84 ± 0.2</w:t>
            </w:r>
          </w:p>
        </w:tc>
        <w:tc>
          <w:tcPr>
            <w:tcW w:w="515" w:type="pct"/>
            <w:tcBorders>
              <w:top w:val="nil"/>
              <w:left w:val="nil"/>
              <w:bottom w:val="nil"/>
              <w:right w:val="nil"/>
            </w:tcBorders>
            <w:shd w:val="clear" w:color="auto" w:fill="auto"/>
            <w:noWrap/>
            <w:vAlign w:val="bottom"/>
            <w:hideMark/>
          </w:tcPr>
          <w:p w14:paraId="539B9F1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1.25 ± 0.7</w:t>
            </w:r>
          </w:p>
        </w:tc>
        <w:tc>
          <w:tcPr>
            <w:tcW w:w="515" w:type="pct"/>
            <w:tcBorders>
              <w:top w:val="nil"/>
              <w:left w:val="nil"/>
              <w:bottom w:val="nil"/>
              <w:right w:val="nil"/>
            </w:tcBorders>
            <w:shd w:val="clear" w:color="auto" w:fill="auto"/>
            <w:noWrap/>
            <w:vAlign w:val="bottom"/>
            <w:hideMark/>
          </w:tcPr>
          <w:p w14:paraId="1433FC4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0.77 ± 0.23</w:t>
            </w:r>
          </w:p>
        </w:tc>
        <w:tc>
          <w:tcPr>
            <w:tcW w:w="515" w:type="pct"/>
            <w:tcBorders>
              <w:top w:val="nil"/>
              <w:left w:val="nil"/>
              <w:bottom w:val="nil"/>
              <w:right w:val="nil"/>
            </w:tcBorders>
            <w:shd w:val="clear" w:color="auto" w:fill="auto"/>
            <w:noWrap/>
            <w:vAlign w:val="bottom"/>
            <w:hideMark/>
          </w:tcPr>
          <w:p w14:paraId="2961A9A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1.02 ± 0.26</w:t>
            </w:r>
          </w:p>
        </w:tc>
        <w:tc>
          <w:tcPr>
            <w:tcW w:w="515" w:type="pct"/>
            <w:tcBorders>
              <w:top w:val="nil"/>
              <w:left w:val="nil"/>
              <w:bottom w:val="nil"/>
              <w:right w:val="nil"/>
            </w:tcBorders>
            <w:shd w:val="clear" w:color="auto" w:fill="auto"/>
            <w:noWrap/>
            <w:vAlign w:val="bottom"/>
            <w:hideMark/>
          </w:tcPr>
          <w:p w14:paraId="22B6233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1.04 ± 0.36</w:t>
            </w:r>
          </w:p>
        </w:tc>
        <w:tc>
          <w:tcPr>
            <w:tcW w:w="559" w:type="pct"/>
            <w:tcBorders>
              <w:top w:val="nil"/>
              <w:left w:val="nil"/>
              <w:bottom w:val="nil"/>
              <w:right w:val="nil"/>
            </w:tcBorders>
            <w:shd w:val="clear" w:color="auto" w:fill="auto"/>
            <w:noWrap/>
            <w:vAlign w:val="bottom"/>
            <w:hideMark/>
          </w:tcPr>
          <w:p w14:paraId="4070D92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3.13 ± 0.39</w:t>
            </w:r>
          </w:p>
        </w:tc>
      </w:tr>
      <w:tr w:rsidR="007053B4" w:rsidRPr="00FA7D47" w14:paraId="22A169D5" w14:textId="77777777" w:rsidTr="0095549A">
        <w:trPr>
          <w:trHeight w:val="300"/>
        </w:trPr>
        <w:tc>
          <w:tcPr>
            <w:tcW w:w="1307" w:type="pct"/>
            <w:tcBorders>
              <w:top w:val="nil"/>
              <w:left w:val="nil"/>
              <w:bottom w:val="nil"/>
              <w:right w:val="nil"/>
            </w:tcBorders>
            <w:shd w:val="clear" w:color="auto" w:fill="auto"/>
            <w:vAlign w:val="bottom"/>
            <w:hideMark/>
          </w:tcPr>
          <w:p w14:paraId="65A8AA4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17:0</w:t>
            </w:r>
          </w:p>
        </w:tc>
        <w:tc>
          <w:tcPr>
            <w:tcW w:w="515" w:type="pct"/>
            <w:tcBorders>
              <w:top w:val="nil"/>
              <w:left w:val="nil"/>
              <w:bottom w:val="nil"/>
              <w:right w:val="nil"/>
            </w:tcBorders>
            <w:shd w:val="clear" w:color="auto" w:fill="auto"/>
            <w:noWrap/>
            <w:vAlign w:val="bottom"/>
            <w:hideMark/>
          </w:tcPr>
          <w:p w14:paraId="12990CD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1.11 ± 0.17</w:t>
            </w:r>
          </w:p>
        </w:tc>
        <w:tc>
          <w:tcPr>
            <w:tcW w:w="559" w:type="pct"/>
            <w:tcBorders>
              <w:top w:val="nil"/>
              <w:left w:val="nil"/>
              <w:bottom w:val="nil"/>
              <w:right w:val="nil"/>
            </w:tcBorders>
            <w:shd w:val="clear" w:color="auto" w:fill="auto"/>
            <w:noWrap/>
            <w:vAlign w:val="bottom"/>
            <w:hideMark/>
          </w:tcPr>
          <w:p w14:paraId="148E133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1.11 ± 0.17</w:t>
            </w:r>
          </w:p>
        </w:tc>
        <w:tc>
          <w:tcPr>
            <w:tcW w:w="515" w:type="pct"/>
            <w:tcBorders>
              <w:top w:val="nil"/>
              <w:left w:val="nil"/>
              <w:bottom w:val="nil"/>
              <w:right w:val="nil"/>
            </w:tcBorders>
            <w:shd w:val="clear" w:color="auto" w:fill="auto"/>
            <w:noWrap/>
            <w:vAlign w:val="bottom"/>
            <w:hideMark/>
          </w:tcPr>
          <w:p w14:paraId="2983AB3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1.03 ± 0.63</w:t>
            </w:r>
          </w:p>
        </w:tc>
        <w:tc>
          <w:tcPr>
            <w:tcW w:w="515" w:type="pct"/>
            <w:tcBorders>
              <w:top w:val="nil"/>
              <w:left w:val="nil"/>
              <w:bottom w:val="nil"/>
              <w:right w:val="nil"/>
            </w:tcBorders>
            <w:shd w:val="clear" w:color="auto" w:fill="auto"/>
            <w:noWrap/>
            <w:vAlign w:val="bottom"/>
            <w:hideMark/>
          </w:tcPr>
          <w:p w14:paraId="3B4BA04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1.03 ± 0.17</w:t>
            </w:r>
          </w:p>
        </w:tc>
        <w:tc>
          <w:tcPr>
            <w:tcW w:w="515" w:type="pct"/>
            <w:tcBorders>
              <w:top w:val="nil"/>
              <w:left w:val="nil"/>
              <w:bottom w:val="nil"/>
              <w:right w:val="nil"/>
            </w:tcBorders>
            <w:shd w:val="clear" w:color="auto" w:fill="auto"/>
            <w:noWrap/>
            <w:vAlign w:val="bottom"/>
            <w:hideMark/>
          </w:tcPr>
          <w:p w14:paraId="5F510BC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1.16 ± 0.47</w:t>
            </w:r>
          </w:p>
        </w:tc>
        <w:tc>
          <w:tcPr>
            <w:tcW w:w="515" w:type="pct"/>
            <w:tcBorders>
              <w:top w:val="nil"/>
              <w:left w:val="nil"/>
              <w:bottom w:val="nil"/>
              <w:right w:val="nil"/>
            </w:tcBorders>
            <w:shd w:val="clear" w:color="auto" w:fill="auto"/>
            <w:noWrap/>
            <w:vAlign w:val="bottom"/>
            <w:hideMark/>
          </w:tcPr>
          <w:p w14:paraId="433DA36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1.35 ± 0.2</w:t>
            </w:r>
          </w:p>
        </w:tc>
        <w:tc>
          <w:tcPr>
            <w:tcW w:w="559" w:type="pct"/>
            <w:tcBorders>
              <w:top w:val="nil"/>
              <w:left w:val="nil"/>
              <w:bottom w:val="nil"/>
              <w:right w:val="nil"/>
            </w:tcBorders>
            <w:shd w:val="clear" w:color="auto" w:fill="auto"/>
            <w:noWrap/>
            <w:vAlign w:val="bottom"/>
            <w:hideMark/>
          </w:tcPr>
          <w:p w14:paraId="2EB2F65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 ± 0.11</w:t>
            </w:r>
          </w:p>
        </w:tc>
      </w:tr>
      <w:tr w:rsidR="007053B4" w:rsidRPr="00FA7D47" w14:paraId="1CE47DBD" w14:textId="77777777" w:rsidTr="0095549A">
        <w:trPr>
          <w:trHeight w:val="300"/>
        </w:trPr>
        <w:tc>
          <w:tcPr>
            <w:tcW w:w="1307" w:type="pct"/>
            <w:tcBorders>
              <w:top w:val="nil"/>
              <w:left w:val="nil"/>
              <w:bottom w:val="nil"/>
              <w:right w:val="nil"/>
            </w:tcBorders>
            <w:shd w:val="clear" w:color="auto" w:fill="auto"/>
            <w:vAlign w:val="bottom"/>
            <w:hideMark/>
          </w:tcPr>
          <w:p w14:paraId="2565DE6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iso 18:0</w:t>
            </w:r>
          </w:p>
        </w:tc>
        <w:tc>
          <w:tcPr>
            <w:tcW w:w="515" w:type="pct"/>
            <w:tcBorders>
              <w:top w:val="nil"/>
              <w:left w:val="nil"/>
              <w:bottom w:val="nil"/>
              <w:right w:val="nil"/>
            </w:tcBorders>
            <w:shd w:val="clear" w:color="auto" w:fill="auto"/>
            <w:noWrap/>
            <w:vAlign w:val="bottom"/>
            <w:hideMark/>
          </w:tcPr>
          <w:p w14:paraId="50110C7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 ± 0.12</w:t>
            </w:r>
          </w:p>
        </w:tc>
        <w:tc>
          <w:tcPr>
            <w:tcW w:w="559" w:type="pct"/>
            <w:tcBorders>
              <w:top w:val="nil"/>
              <w:left w:val="nil"/>
              <w:bottom w:val="nil"/>
              <w:right w:val="nil"/>
            </w:tcBorders>
            <w:shd w:val="clear" w:color="auto" w:fill="auto"/>
            <w:noWrap/>
            <w:vAlign w:val="bottom"/>
            <w:hideMark/>
          </w:tcPr>
          <w:p w14:paraId="3917701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 ± 0.12</w:t>
            </w:r>
          </w:p>
        </w:tc>
        <w:tc>
          <w:tcPr>
            <w:tcW w:w="515" w:type="pct"/>
            <w:tcBorders>
              <w:top w:val="nil"/>
              <w:left w:val="nil"/>
              <w:bottom w:val="nil"/>
              <w:right w:val="nil"/>
            </w:tcBorders>
            <w:shd w:val="clear" w:color="auto" w:fill="auto"/>
            <w:noWrap/>
            <w:vAlign w:val="bottom"/>
            <w:hideMark/>
          </w:tcPr>
          <w:p w14:paraId="53350EA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 ± 0.2</w:t>
            </w:r>
          </w:p>
        </w:tc>
        <w:tc>
          <w:tcPr>
            <w:tcW w:w="515" w:type="pct"/>
            <w:tcBorders>
              <w:top w:val="nil"/>
              <w:left w:val="nil"/>
              <w:bottom w:val="nil"/>
              <w:right w:val="nil"/>
            </w:tcBorders>
            <w:shd w:val="clear" w:color="auto" w:fill="auto"/>
            <w:noWrap/>
            <w:vAlign w:val="bottom"/>
            <w:hideMark/>
          </w:tcPr>
          <w:p w14:paraId="3580221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0.78 ± 0.15</w:t>
            </w:r>
          </w:p>
        </w:tc>
        <w:tc>
          <w:tcPr>
            <w:tcW w:w="515" w:type="pct"/>
            <w:tcBorders>
              <w:top w:val="nil"/>
              <w:left w:val="nil"/>
              <w:bottom w:val="nil"/>
              <w:right w:val="nil"/>
            </w:tcBorders>
            <w:shd w:val="clear" w:color="auto" w:fill="auto"/>
            <w:noWrap/>
            <w:vAlign w:val="bottom"/>
            <w:hideMark/>
          </w:tcPr>
          <w:p w14:paraId="0FA99FA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0.84 ± 0.15</w:t>
            </w:r>
          </w:p>
        </w:tc>
        <w:tc>
          <w:tcPr>
            <w:tcW w:w="515" w:type="pct"/>
            <w:tcBorders>
              <w:top w:val="nil"/>
              <w:left w:val="nil"/>
              <w:bottom w:val="nil"/>
              <w:right w:val="nil"/>
            </w:tcBorders>
            <w:shd w:val="clear" w:color="auto" w:fill="auto"/>
            <w:noWrap/>
            <w:vAlign w:val="bottom"/>
            <w:hideMark/>
          </w:tcPr>
          <w:p w14:paraId="795DCF4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0.92 ± 0.23</w:t>
            </w:r>
          </w:p>
        </w:tc>
        <w:tc>
          <w:tcPr>
            <w:tcW w:w="559" w:type="pct"/>
            <w:tcBorders>
              <w:top w:val="nil"/>
              <w:left w:val="nil"/>
              <w:bottom w:val="nil"/>
              <w:right w:val="nil"/>
            </w:tcBorders>
            <w:shd w:val="clear" w:color="auto" w:fill="auto"/>
            <w:noWrap/>
            <w:vAlign w:val="bottom"/>
            <w:hideMark/>
          </w:tcPr>
          <w:p w14:paraId="1EE6F22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1.12 ± 0.31</w:t>
            </w:r>
          </w:p>
        </w:tc>
      </w:tr>
      <w:tr w:rsidR="007053B4" w:rsidRPr="00FA7D47" w14:paraId="21042929" w14:textId="77777777" w:rsidTr="0095549A">
        <w:trPr>
          <w:trHeight w:val="300"/>
        </w:trPr>
        <w:tc>
          <w:tcPr>
            <w:tcW w:w="1307" w:type="pct"/>
            <w:tcBorders>
              <w:top w:val="nil"/>
              <w:left w:val="nil"/>
              <w:bottom w:val="nil"/>
              <w:right w:val="nil"/>
            </w:tcBorders>
            <w:shd w:val="clear" w:color="auto" w:fill="auto"/>
            <w:vAlign w:val="bottom"/>
            <w:hideMark/>
          </w:tcPr>
          <w:p w14:paraId="04B87EA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Anteiso 18:0</w:t>
            </w:r>
          </w:p>
        </w:tc>
        <w:tc>
          <w:tcPr>
            <w:tcW w:w="515" w:type="pct"/>
            <w:tcBorders>
              <w:top w:val="nil"/>
              <w:left w:val="nil"/>
              <w:bottom w:val="nil"/>
              <w:right w:val="nil"/>
            </w:tcBorders>
            <w:shd w:val="clear" w:color="auto" w:fill="auto"/>
            <w:noWrap/>
            <w:vAlign w:val="bottom"/>
            <w:hideMark/>
          </w:tcPr>
          <w:p w14:paraId="34DF689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0.35 ± 0.22</w:t>
            </w:r>
          </w:p>
        </w:tc>
        <w:tc>
          <w:tcPr>
            <w:tcW w:w="559" w:type="pct"/>
            <w:tcBorders>
              <w:top w:val="nil"/>
              <w:left w:val="nil"/>
              <w:bottom w:val="nil"/>
              <w:right w:val="nil"/>
            </w:tcBorders>
            <w:shd w:val="clear" w:color="auto" w:fill="auto"/>
            <w:noWrap/>
            <w:vAlign w:val="bottom"/>
            <w:hideMark/>
          </w:tcPr>
          <w:p w14:paraId="79BD45B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0.35 ± 0.22</w:t>
            </w:r>
          </w:p>
        </w:tc>
        <w:tc>
          <w:tcPr>
            <w:tcW w:w="515" w:type="pct"/>
            <w:tcBorders>
              <w:top w:val="nil"/>
              <w:left w:val="nil"/>
              <w:bottom w:val="nil"/>
              <w:right w:val="nil"/>
            </w:tcBorders>
            <w:shd w:val="clear" w:color="auto" w:fill="auto"/>
            <w:noWrap/>
            <w:vAlign w:val="bottom"/>
            <w:hideMark/>
          </w:tcPr>
          <w:p w14:paraId="6D28994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0.37 ± 0.07</w:t>
            </w:r>
          </w:p>
        </w:tc>
        <w:tc>
          <w:tcPr>
            <w:tcW w:w="515" w:type="pct"/>
            <w:tcBorders>
              <w:top w:val="nil"/>
              <w:left w:val="nil"/>
              <w:bottom w:val="nil"/>
              <w:right w:val="nil"/>
            </w:tcBorders>
            <w:shd w:val="clear" w:color="auto" w:fill="auto"/>
            <w:noWrap/>
            <w:vAlign w:val="bottom"/>
            <w:hideMark/>
          </w:tcPr>
          <w:p w14:paraId="498C44B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0.17</w:t>
            </w:r>
          </w:p>
        </w:tc>
        <w:tc>
          <w:tcPr>
            <w:tcW w:w="515" w:type="pct"/>
            <w:tcBorders>
              <w:top w:val="nil"/>
              <w:left w:val="nil"/>
              <w:bottom w:val="nil"/>
              <w:right w:val="nil"/>
            </w:tcBorders>
            <w:shd w:val="clear" w:color="auto" w:fill="auto"/>
            <w:noWrap/>
            <w:vAlign w:val="bottom"/>
            <w:hideMark/>
          </w:tcPr>
          <w:p w14:paraId="253585F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0.33 ± 0.07</w:t>
            </w:r>
          </w:p>
        </w:tc>
        <w:tc>
          <w:tcPr>
            <w:tcW w:w="515" w:type="pct"/>
            <w:tcBorders>
              <w:top w:val="nil"/>
              <w:left w:val="nil"/>
              <w:bottom w:val="nil"/>
              <w:right w:val="nil"/>
            </w:tcBorders>
            <w:shd w:val="clear" w:color="auto" w:fill="auto"/>
            <w:noWrap/>
            <w:vAlign w:val="bottom"/>
            <w:hideMark/>
          </w:tcPr>
          <w:p w14:paraId="1161FC6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0.34 ± 0.04</w:t>
            </w:r>
          </w:p>
        </w:tc>
        <w:tc>
          <w:tcPr>
            <w:tcW w:w="559" w:type="pct"/>
            <w:tcBorders>
              <w:top w:val="nil"/>
              <w:left w:val="nil"/>
              <w:bottom w:val="nil"/>
              <w:right w:val="nil"/>
            </w:tcBorders>
            <w:shd w:val="clear" w:color="auto" w:fill="auto"/>
            <w:noWrap/>
            <w:vAlign w:val="bottom"/>
            <w:hideMark/>
          </w:tcPr>
          <w:p w14:paraId="771CA57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311C96FD" w14:textId="77777777" w:rsidTr="0095549A">
        <w:trPr>
          <w:trHeight w:val="300"/>
        </w:trPr>
        <w:tc>
          <w:tcPr>
            <w:tcW w:w="1307" w:type="pct"/>
            <w:tcBorders>
              <w:top w:val="nil"/>
              <w:left w:val="nil"/>
              <w:bottom w:val="nil"/>
              <w:right w:val="nil"/>
            </w:tcBorders>
            <w:shd w:val="clear" w:color="auto" w:fill="auto"/>
            <w:vAlign w:val="bottom"/>
            <w:hideMark/>
          </w:tcPr>
          <w:p w14:paraId="37ABD17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18:0 DMA</w:t>
            </w:r>
          </w:p>
        </w:tc>
        <w:tc>
          <w:tcPr>
            <w:tcW w:w="515" w:type="pct"/>
            <w:tcBorders>
              <w:top w:val="nil"/>
              <w:left w:val="nil"/>
              <w:bottom w:val="nil"/>
              <w:right w:val="nil"/>
            </w:tcBorders>
            <w:shd w:val="clear" w:color="auto" w:fill="auto"/>
            <w:noWrap/>
            <w:vAlign w:val="bottom"/>
            <w:hideMark/>
          </w:tcPr>
          <w:p w14:paraId="558F148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 ± 0.32</w:t>
            </w:r>
          </w:p>
        </w:tc>
        <w:tc>
          <w:tcPr>
            <w:tcW w:w="559" w:type="pct"/>
            <w:tcBorders>
              <w:top w:val="nil"/>
              <w:left w:val="nil"/>
              <w:bottom w:val="nil"/>
              <w:right w:val="nil"/>
            </w:tcBorders>
            <w:shd w:val="clear" w:color="auto" w:fill="auto"/>
            <w:noWrap/>
            <w:vAlign w:val="bottom"/>
            <w:hideMark/>
          </w:tcPr>
          <w:p w14:paraId="6D133A2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 ± 0.32</w:t>
            </w:r>
          </w:p>
        </w:tc>
        <w:tc>
          <w:tcPr>
            <w:tcW w:w="515" w:type="pct"/>
            <w:tcBorders>
              <w:top w:val="nil"/>
              <w:left w:val="nil"/>
              <w:bottom w:val="nil"/>
              <w:right w:val="nil"/>
            </w:tcBorders>
            <w:shd w:val="clear" w:color="auto" w:fill="auto"/>
            <w:noWrap/>
            <w:vAlign w:val="bottom"/>
            <w:hideMark/>
          </w:tcPr>
          <w:p w14:paraId="15AB1CC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0.66 ± 0.47</w:t>
            </w:r>
          </w:p>
        </w:tc>
        <w:tc>
          <w:tcPr>
            <w:tcW w:w="515" w:type="pct"/>
            <w:tcBorders>
              <w:top w:val="nil"/>
              <w:left w:val="nil"/>
              <w:bottom w:val="nil"/>
              <w:right w:val="nil"/>
            </w:tcBorders>
            <w:shd w:val="clear" w:color="auto" w:fill="auto"/>
            <w:noWrap/>
            <w:vAlign w:val="bottom"/>
            <w:hideMark/>
          </w:tcPr>
          <w:p w14:paraId="607C992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 ± 0.18</w:t>
            </w:r>
          </w:p>
        </w:tc>
        <w:tc>
          <w:tcPr>
            <w:tcW w:w="515" w:type="pct"/>
            <w:tcBorders>
              <w:top w:val="nil"/>
              <w:left w:val="nil"/>
              <w:bottom w:val="nil"/>
              <w:right w:val="nil"/>
            </w:tcBorders>
            <w:shd w:val="clear" w:color="auto" w:fill="auto"/>
            <w:noWrap/>
            <w:vAlign w:val="bottom"/>
            <w:hideMark/>
          </w:tcPr>
          <w:p w14:paraId="270C14E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0.72 ± 0.26</w:t>
            </w:r>
          </w:p>
        </w:tc>
        <w:tc>
          <w:tcPr>
            <w:tcW w:w="515" w:type="pct"/>
            <w:tcBorders>
              <w:top w:val="nil"/>
              <w:left w:val="nil"/>
              <w:bottom w:val="nil"/>
              <w:right w:val="nil"/>
            </w:tcBorders>
            <w:shd w:val="clear" w:color="auto" w:fill="auto"/>
            <w:noWrap/>
            <w:vAlign w:val="bottom"/>
            <w:hideMark/>
          </w:tcPr>
          <w:p w14:paraId="1589DFE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0.57 ± 0.49</w:t>
            </w:r>
          </w:p>
        </w:tc>
        <w:tc>
          <w:tcPr>
            <w:tcW w:w="559" w:type="pct"/>
            <w:tcBorders>
              <w:top w:val="nil"/>
              <w:left w:val="nil"/>
              <w:bottom w:val="nil"/>
              <w:right w:val="nil"/>
            </w:tcBorders>
            <w:shd w:val="clear" w:color="auto" w:fill="auto"/>
            <w:noWrap/>
            <w:vAlign w:val="bottom"/>
            <w:hideMark/>
          </w:tcPr>
          <w:p w14:paraId="65600E9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00B0BFF6" w14:textId="77777777" w:rsidTr="0095549A">
        <w:trPr>
          <w:trHeight w:val="300"/>
        </w:trPr>
        <w:tc>
          <w:tcPr>
            <w:tcW w:w="1307" w:type="pct"/>
            <w:tcBorders>
              <w:top w:val="nil"/>
              <w:left w:val="nil"/>
              <w:bottom w:val="nil"/>
              <w:right w:val="nil"/>
            </w:tcBorders>
            <w:shd w:val="clear" w:color="auto" w:fill="auto"/>
            <w:vAlign w:val="bottom"/>
            <w:hideMark/>
          </w:tcPr>
          <w:p w14:paraId="30D9437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18:0</w:t>
            </w:r>
          </w:p>
        </w:tc>
        <w:tc>
          <w:tcPr>
            <w:tcW w:w="515" w:type="pct"/>
            <w:tcBorders>
              <w:top w:val="nil"/>
              <w:left w:val="nil"/>
              <w:bottom w:val="nil"/>
              <w:right w:val="nil"/>
            </w:tcBorders>
            <w:shd w:val="clear" w:color="auto" w:fill="auto"/>
            <w:noWrap/>
            <w:vAlign w:val="bottom"/>
            <w:hideMark/>
          </w:tcPr>
          <w:p w14:paraId="19FE517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7.17 ± 1.35</w:t>
            </w:r>
          </w:p>
        </w:tc>
        <w:tc>
          <w:tcPr>
            <w:tcW w:w="559" w:type="pct"/>
            <w:tcBorders>
              <w:top w:val="nil"/>
              <w:left w:val="nil"/>
              <w:bottom w:val="nil"/>
              <w:right w:val="nil"/>
            </w:tcBorders>
            <w:shd w:val="clear" w:color="auto" w:fill="auto"/>
            <w:noWrap/>
            <w:vAlign w:val="bottom"/>
            <w:hideMark/>
          </w:tcPr>
          <w:p w14:paraId="4C87701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7.17 ± 1.35</w:t>
            </w:r>
          </w:p>
        </w:tc>
        <w:tc>
          <w:tcPr>
            <w:tcW w:w="515" w:type="pct"/>
            <w:tcBorders>
              <w:top w:val="nil"/>
              <w:left w:val="nil"/>
              <w:bottom w:val="nil"/>
              <w:right w:val="nil"/>
            </w:tcBorders>
            <w:shd w:val="clear" w:color="auto" w:fill="auto"/>
            <w:noWrap/>
            <w:vAlign w:val="bottom"/>
            <w:hideMark/>
          </w:tcPr>
          <w:p w14:paraId="02E4B90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5.98 ± 1.03</w:t>
            </w:r>
          </w:p>
        </w:tc>
        <w:tc>
          <w:tcPr>
            <w:tcW w:w="515" w:type="pct"/>
            <w:tcBorders>
              <w:top w:val="nil"/>
              <w:left w:val="nil"/>
              <w:bottom w:val="nil"/>
              <w:right w:val="nil"/>
            </w:tcBorders>
            <w:shd w:val="clear" w:color="auto" w:fill="auto"/>
            <w:noWrap/>
            <w:vAlign w:val="bottom"/>
            <w:hideMark/>
          </w:tcPr>
          <w:p w14:paraId="1B9A95F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7.13 ± 1.17</w:t>
            </w:r>
          </w:p>
        </w:tc>
        <w:tc>
          <w:tcPr>
            <w:tcW w:w="515" w:type="pct"/>
            <w:tcBorders>
              <w:top w:val="nil"/>
              <w:left w:val="nil"/>
              <w:bottom w:val="nil"/>
              <w:right w:val="nil"/>
            </w:tcBorders>
            <w:shd w:val="clear" w:color="auto" w:fill="auto"/>
            <w:noWrap/>
            <w:vAlign w:val="bottom"/>
            <w:hideMark/>
          </w:tcPr>
          <w:p w14:paraId="1476D69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6.66 ± 0.87</w:t>
            </w:r>
          </w:p>
        </w:tc>
        <w:tc>
          <w:tcPr>
            <w:tcW w:w="515" w:type="pct"/>
            <w:tcBorders>
              <w:top w:val="nil"/>
              <w:left w:val="nil"/>
              <w:bottom w:val="nil"/>
              <w:right w:val="nil"/>
            </w:tcBorders>
            <w:shd w:val="clear" w:color="auto" w:fill="auto"/>
            <w:noWrap/>
            <w:vAlign w:val="bottom"/>
            <w:hideMark/>
          </w:tcPr>
          <w:p w14:paraId="2E13CE8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7.31 ± 1.26</w:t>
            </w:r>
          </w:p>
        </w:tc>
        <w:tc>
          <w:tcPr>
            <w:tcW w:w="559" w:type="pct"/>
            <w:tcBorders>
              <w:top w:val="nil"/>
              <w:left w:val="nil"/>
              <w:bottom w:val="nil"/>
              <w:right w:val="nil"/>
            </w:tcBorders>
            <w:shd w:val="clear" w:color="auto" w:fill="auto"/>
            <w:noWrap/>
            <w:vAlign w:val="bottom"/>
            <w:hideMark/>
          </w:tcPr>
          <w:p w14:paraId="48E7D3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1.28 ± 0.17</w:t>
            </w:r>
          </w:p>
        </w:tc>
      </w:tr>
      <w:tr w:rsidR="007053B4" w:rsidRPr="00FA7D47" w14:paraId="41FA4FA7" w14:textId="77777777" w:rsidTr="0095549A">
        <w:trPr>
          <w:trHeight w:val="300"/>
        </w:trPr>
        <w:tc>
          <w:tcPr>
            <w:tcW w:w="1307" w:type="pct"/>
            <w:tcBorders>
              <w:top w:val="nil"/>
              <w:left w:val="nil"/>
              <w:bottom w:val="nil"/>
              <w:right w:val="nil"/>
            </w:tcBorders>
            <w:shd w:val="clear" w:color="auto" w:fill="auto"/>
            <w:vAlign w:val="bottom"/>
            <w:hideMark/>
          </w:tcPr>
          <w:p w14:paraId="17C0FC9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iso 19:0</w:t>
            </w:r>
          </w:p>
        </w:tc>
        <w:tc>
          <w:tcPr>
            <w:tcW w:w="515" w:type="pct"/>
            <w:tcBorders>
              <w:top w:val="nil"/>
              <w:left w:val="nil"/>
              <w:bottom w:val="nil"/>
              <w:right w:val="nil"/>
            </w:tcBorders>
            <w:shd w:val="clear" w:color="auto" w:fill="auto"/>
            <w:noWrap/>
            <w:vAlign w:val="bottom"/>
            <w:hideMark/>
          </w:tcPr>
          <w:p w14:paraId="61A7C80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0.14 ± 0.12</w:t>
            </w:r>
          </w:p>
        </w:tc>
        <w:tc>
          <w:tcPr>
            <w:tcW w:w="559" w:type="pct"/>
            <w:tcBorders>
              <w:top w:val="nil"/>
              <w:left w:val="nil"/>
              <w:bottom w:val="nil"/>
              <w:right w:val="nil"/>
            </w:tcBorders>
            <w:shd w:val="clear" w:color="auto" w:fill="auto"/>
            <w:noWrap/>
            <w:vAlign w:val="bottom"/>
            <w:hideMark/>
          </w:tcPr>
          <w:p w14:paraId="7CB0EA2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0.14 ± 0.12</w:t>
            </w:r>
          </w:p>
        </w:tc>
        <w:tc>
          <w:tcPr>
            <w:tcW w:w="515" w:type="pct"/>
            <w:tcBorders>
              <w:top w:val="nil"/>
              <w:left w:val="nil"/>
              <w:bottom w:val="nil"/>
              <w:right w:val="nil"/>
            </w:tcBorders>
            <w:shd w:val="clear" w:color="auto" w:fill="auto"/>
            <w:noWrap/>
            <w:vAlign w:val="bottom"/>
            <w:hideMark/>
          </w:tcPr>
          <w:p w14:paraId="2A14A2A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0.16 ± 0.11</w:t>
            </w:r>
          </w:p>
        </w:tc>
        <w:tc>
          <w:tcPr>
            <w:tcW w:w="515" w:type="pct"/>
            <w:tcBorders>
              <w:top w:val="nil"/>
              <w:left w:val="nil"/>
              <w:bottom w:val="nil"/>
              <w:right w:val="nil"/>
            </w:tcBorders>
            <w:shd w:val="clear" w:color="auto" w:fill="auto"/>
            <w:noWrap/>
            <w:vAlign w:val="bottom"/>
            <w:hideMark/>
          </w:tcPr>
          <w:p w14:paraId="74B0C67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0.13 ± 0.09</w:t>
            </w:r>
          </w:p>
        </w:tc>
        <w:tc>
          <w:tcPr>
            <w:tcW w:w="515" w:type="pct"/>
            <w:tcBorders>
              <w:top w:val="nil"/>
              <w:left w:val="nil"/>
              <w:bottom w:val="nil"/>
              <w:right w:val="nil"/>
            </w:tcBorders>
            <w:shd w:val="clear" w:color="auto" w:fill="auto"/>
            <w:noWrap/>
            <w:vAlign w:val="bottom"/>
            <w:hideMark/>
          </w:tcPr>
          <w:p w14:paraId="3CBBCA3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0.13 ± 0.06</w:t>
            </w:r>
          </w:p>
        </w:tc>
        <w:tc>
          <w:tcPr>
            <w:tcW w:w="515" w:type="pct"/>
            <w:tcBorders>
              <w:top w:val="nil"/>
              <w:left w:val="nil"/>
              <w:bottom w:val="nil"/>
              <w:right w:val="nil"/>
            </w:tcBorders>
            <w:shd w:val="clear" w:color="auto" w:fill="auto"/>
            <w:noWrap/>
            <w:vAlign w:val="bottom"/>
            <w:hideMark/>
          </w:tcPr>
          <w:p w14:paraId="0B49259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0.15 ± 0.04</w:t>
            </w:r>
          </w:p>
        </w:tc>
        <w:tc>
          <w:tcPr>
            <w:tcW w:w="559" w:type="pct"/>
            <w:tcBorders>
              <w:top w:val="nil"/>
              <w:left w:val="nil"/>
              <w:bottom w:val="nil"/>
              <w:right w:val="nil"/>
            </w:tcBorders>
            <w:shd w:val="clear" w:color="auto" w:fill="auto"/>
            <w:noWrap/>
            <w:vAlign w:val="bottom"/>
            <w:hideMark/>
          </w:tcPr>
          <w:p w14:paraId="1034505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0EFF45FD" w14:textId="77777777" w:rsidTr="0095549A">
        <w:trPr>
          <w:trHeight w:val="300"/>
        </w:trPr>
        <w:tc>
          <w:tcPr>
            <w:tcW w:w="1307" w:type="pct"/>
            <w:tcBorders>
              <w:top w:val="nil"/>
              <w:left w:val="nil"/>
              <w:bottom w:val="nil"/>
              <w:right w:val="nil"/>
            </w:tcBorders>
            <w:shd w:val="clear" w:color="auto" w:fill="auto"/>
            <w:vAlign w:val="bottom"/>
            <w:hideMark/>
          </w:tcPr>
          <w:p w14:paraId="3ACE88C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19:0</w:t>
            </w:r>
          </w:p>
        </w:tc>
        <w:tc>
          <w:tcPr>
            <w:tcW w:w="515" w:type="pct"/>
            <w:tcBorders>
              <w:top w:val="nil"/>
              <w:left w:val="nil"/>
              <w:bottom w:val="nil"/>
              <w:right w:val="nil"/>
            </w:tcBorders>
            <w:shd w:val="clear" w:color="auto" w:fill="auto"/>
            <w:noWrap/>
            <w:vAlign w:val="bottom"/>
            <w:hideMark/>
          </w:tcPr>
          <w:p w14:paraId="2062A66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0.22 ± 0.2</w:t>
            </w:r>
          </w:p>
        </w:tc>
        <w:tc>
          <w:tcPr>
            <w:tcW w:w="559" w:type="pct"/>
            <w:tcBorders>
              <w:top w:val="nil"/>
              <w:left w:val="nil"/>
              <w:bottom w:val="nil"/>
              <w:right w:val="nil"/>
            </w:tcBorders>
            <w:shd w:val="clear" w:color="auto" w:fill="auto"/>
            <w:noWrap/>
            <w:vAlign w:val="bottom"/>
            <w:hideMark/>
          </w:tcPr>
          <w:p w14:paraId="0396319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0.22 ± 0.2</w:t>
            </w:r>
          </w:p>
        </w:tc>
        <w:tc>
          <w:tcPr>
            <w:tcW w:w="515" w:type="pct"/>
            <w:tcBorders>
              <w:top w:val="nil"/>
              <w:left w:val="nil"/>
              <w:bottom w:val="nil"/>
              <w:right w:val="nil"/>
            </w:tcBorders>
            <w:shd w:val="clear" w:color="auto" w:fill="auto"/>
            <w:noWrap/>
            <w:vAlign w:val="bottom"/>
            <w:hideMark/>
          </w:tcPr>
          <w:p w14:paraId="33F8E02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0.23 ± 0.14</w:t>
            </w:r>
          </w:p>
        </w:tc>
        <w:tc>
          <w:tcPr>
            <w:tcW w:w="515" w:type="pct"/>
            <w:tcBorders>
              <w:top w:val="nil"/>
              <w:left w:val="nil"/>
              <w:bottom w:val="nil"/>
              <w:right w:val="nil"/>
            </w:tcBorders>
            <w:shd w:val="clear" w:color="auto" w:fill="auto"/>
            <w:noWrap/>
            <w:vAlign w:val="bottom"/>
            <w:hideMark/>
          </w:tcPr>
          <w:p w14:paraId="6DBBBC1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0.24 ± 0.04</w:t>
            </w:r>
          </w:p>
        </w:tc>
        <w:tc>
          <w:tcPr>
            <w:tcW w:w="515" w:type="pct"/>
            <w:tcBorders>
              <w:top w:val="nil"/>
              <w:left w:val="nil"/>
              <w:bottom w:val="nil"/>
              <w:right w:val="nil"/>
            </w:tcBorders>
            <w:shd w:val="clear" w:color="auto" w:fill="auto"/>
            <w:noWrap/>
            <w:vAlign w:val="bottom"/>
            <w:hideMark/>
          </w:tcPr>
          <w:p w14:paraId="562A9CB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0.12</w:t>
            </w:r>
          </w:p>
        </w:tc>
        <w:tc>
          <w:tcPr>
            <w:tcW w:w="515" w:type="pct"/>
            <w:tcBorders>
              <w:top w:val="nil"/>
              <w:left w:val="nil"/>
              <w:bottom w:val="nil"/>
              <w:right w:val="nil"/>
            </w:tcBorders>
            <w:shd w:val="clear" w:color="auto" w:fill="auto"/>
            <w:noWrap/>
            <w:vAlign w:val="bottom"/>
            <w:hideMark/>
          </w:tcPr>
          <w:p w14:paraId="3BCBB9E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0.27 ± 0.06</w:t>
            </w:r>
          </w:p>
        </w:tc>
        <w:tc>
          <w:tcPr>
            <w:tcW w:w="559" w:type="pct"/>
            <w:tcBorders>
              <w:top w:val="nil"/>
              <w:left w:val="nil"/>
              <w:bottom w:val="nil"/>
              <w:right w:val="nil"/>
            </w:tcBorders>
            <w:shd w:val="clear" w:color="auto" w:fill="auto"/>
            <w:noWrap/>
            <w:vAlign w:val="bottom"/>
            <w:hideMark/>
          </w:tcPr>
          <w:p w14:paraId="11A8ACF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0.09 ± 0.08</w:t>
            </w:r>
          </w:p>
        </w:tc>
      </w:tr>
      <w:tr w:rsidR="007053B4" w:rsidRPr="00FA7D47" w14:paraId="0DBC14D7" w14:textId="77777777" w:rsidTr="0095549A">
        <w:trPr>
          <w:trHeight w:val="300"/>
        </w:trPr>
        <w:tc>
          <w:tcPr>
            <w:tcW w:w="1307" w:type="pct"/>
            <w:tcBorders>
              <w:top w:val="nil"/>
              <w:left w:val="nil"/>
              <w:bottom w:val="nil"/>
              <w:right w:val="nil"/>
            </w:tcBorders>
            <w:shd w:val="clear" w:color="auto" w:fill="auto"/>
            <w:vAlign w:val="bottom"/>
            <w:hideMark/>
          </w:tcPr>
          <w:p w14:paraId="722CA35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20:0 DMA</w:t>
            </w:r>
          </w:p>
        </w:tc>
        <w:tc>
          <w:tcPr>
            <w:tcW w:w="515" w:type="pct"/>
            <w:tcBorders>
              <w:top w:val="nil"/>
              <w:left w:val="nil"/>
              <w:bottom w:val="nil"/>
              <w:right w:val="nil"/>
            </w:tcBorders>
            <w:shd w:val="clear" w:color="auto" w:fill="auto"/>
            <w:noWrap/>
            <w:vAlign w:val="bottom"/>
            <w:hideMark/>
          </w:tcPr>
          <w:p w14:paraId="358450A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0.09 ± 0.08</w:t>
            </w:r>
          </w:p>
        </w:tc>
        <w:tc>
          <w:tcPr>
            <w:tcW w:w="559" w:type="pct"/>
            <w:tcBorders>
              <w:top w:val="nil"/>
              <w:left w:val="nil"/>
              <w:bottom w:val="nil"/>
              <w:right w:val="nil"/>
            </w:tcBorders>
            <w:shd w:val="clear" w:color="auto" w:fill="auto"/>
            <w:noWrap/>
            <w:vAlign w:val="bottom"/>
            <w:hideMark/>
          </w:tcPr>
          <w:p w14:paraId="3016C1C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0.09 ± 0.08</w:t>
            </w:r>
          </w:p>
        </w:tc>
        <w:tc>
          <w:tcPr>
            <w:tcW w:w="515" w:type="pct"/>
            <w:tcBorders>
              <w:top w:val="nil"/>
              <w:left w:val="nil"/>
              <w:bottom w:val="nil"/>
              <w:right w:val="nil"/>
            </w:tcBorders>
            <w:shd w:val="clear" w:color="auto" w:fill="auto"/>
            <w:noWrap/>
            <w:vAlign w:val="bottom"/>
            <w:hideMark/>
          </w:tcPr>
          <w:p w14:paraId="7413CD9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 ± 0.19</w:t>
            </w:r>
          </w:p>
        </w:tc>
        <w:tc>
          <w:tcPr>
            <w:tcW w:w="515" w:type="pct"/>
            <w:tcBorders>
              <w:top w:val="nil"/>
              <w:left w:val="nil"/>
              <w:bottom w:val="nil"/>
              <w:right w:val="nil"/>
            </w:tcBorders>
            <w:shd w:val="clear" w:color="auto" w:fill="auto"/>
            <w:noWrap/>
            <w:vAlign w:val="bottom"/>
            <w:hideMark/>
          </w:tcPr>
          <w:p w14:paraId="36C3412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0.05 ± 0.09</w:t>
            </w:r>
          </w:p>
        </w:tc>
        <w:tc>
          <w:tcPr>
            <w:tcW w:w="515" w:type="pct"/>
            <w:tcBorders>
              <w:top w:val="nil"/>
              <w:left w:val="nil"/>
              <w:bottom w:val="nil"/>
              <w:right w:val="nil"/>
            </w:tcBorders>
            <w:shd w:val="clear" w:color="auto" w:fill="auto"/>
            <w:noWrap/>
            <w:vAlign w:val="bottom"/>
            <w:hideMark/>
          </w:tcPr>
          <w:p w14:paraId="7BA7FF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0.19 ± 0.1</w:t>
            </w:r>
          </w:p>
        </w:tc>
        <w:tc>
          <w:tcPr>
            <w:tcW w:w="515" w:type="pct"/>
            <w:tcBorders>
              <w:top w:val="nil"/>
              <w:left w:val="nil"/>
              <w:bottom w:val="nil"/>
              <w:right w:val="nil"/>
            </w:tcBorders>
            <w:shd w:val="clear" w:color="auto" w:fill="auto"/>
            <w:noWrap/>
            <w:vAlign w:val="bottom"/>
            <w:hideMark/>
          </w:tcPr>
          <w:p w14:paraId="7708E07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0.08 ± 0.14</w:t>
            </w:r>
          </w:p>
        </w:tc>
        <w:tc>
          <w:tcPr>
            <w:tcW w:w="559" w:type="pct"/>
            <w:tcBorders>
              <w:top w:val="nil"/>
              <w:left w:val="nil"/>
              <w:bottom w:val="nil"/>
              <w:right w:val="nil"/>
            </w:tcBorders>
            <w:shd w:val="clear" w:color="auto" w:fill="auto"/>
            <w:noWrap/>
            <w:vAlign w:val="bottom"/>
            <w:hideMark/>
          </w:tcPr>
          <w:p w14:paraId="2A9769A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04FBAE23" w14:textId="77777777" w:rsidTr="0095549A">
        <w:trPr>
          <w:trHeight w:val="300"/>
        </w:trPr>
        <w:tc>
          <w:tcPr>
            <w:tcW w:w="1307" w:type="pct"/>
            <w:tcBorders>
              <w:top w:val="nil"/>
              <w:left w:val="nil"/>
              <w:bottom w:val="nil"/>
              <w:right w:val="nil"/>
            </w:tcBorders>
            <w:shd w:val="clear" w:color="auto" w:fill="auto"/>
            <w:vAlign w:val="bottom"/>
            <w:hideMark/>
          </w:tcPr>
          <w:p w14:paraId="03783D4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20:0</w:t>
            </w:r>
          </w:p>
        </w:tc>
        <w:tc>
          <w:tcPr>
            <w:tcW w:w="515" w:type="pct"/>
            <w:tcBorders>
              <w:top w:val="nil"/>
              <w:left w:val="nil"/>
              <w:bottom w:val="nil"/>
              <w:right w:val="nil"/>
            </w:tcBorders>
            <w:shd w:val="clear" w:color="auto" w:fill="auto"/>
            <w:noWrap/>
            <w:vAlign w:val="bottom"/>
            <w:hideMark/>
          </w:tcPr>
          <w:p w14:paraId="36D4412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0.43 ± 0.07</w:t>
            </w:r>
          </w:p>
        </w:tc>
        <w:tc>
          <w:tcPr>
            <w:tcW w:w="559" w:type="pct"/>
            <w:tcBorders>
              <w:top w:val="nil"/>
              <w:left w:val="nil"/>
              <w:bottom w:val="nil"/>
              <w:right w:val="nil"/>
            </w:tcBorders>
            <w:shd w:val="clear" w:color="auto" w:fill="auto"/>
            <w:noWrap/>
            <w:vAlign w:val="bottom"/>
            <w:hideMark/>
          </w:tcPr>
          <w:p w14:paraId="07D39BD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0.43 ± 0.07</w:t>
            </w:r>
          </w:p>
        </w:tc>
        <w:tc>
          <w:tcPr>
            <w:tcW w:w="515" w:type="pct"/>
            <w:tcBorders>
              <w:top w:val="nil"/>
              <w:left w:val="nil"/>
              <w:bottom w:val="nil"/>
              <w:right w:val="nil"/>
            </w:tcBorders>
            <w:shd w:val="clear" w:color="auto" w:fill="auto"/>
            <w:noWrap/>
            <w:vAlign w:val="bottom"/>
            <w:hideMark/>
          </w:tcPr>
          <w:p w14:paraId="5C0EE69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0.32 ± 0.08</w:t>
            </w:r>
          </w:p>
        </w:tc>
        <w:tc>
          <w:tcPr>
            <w:tcW w:w="515" w:type="pct"/>
            <w:tcBorders>
              <w:top w:val="nil"/>
              <w:left w:val="nil"/>
              <w:bottom w:val="nil"/>
              <w:right w:val="nil"/>
            </w:tcBorders>
            <w:shd w:val="clear" w:color="auto" w:fill="auto"/>
            <w:noWrap/>
            <w:vAlign w:val="bottom"/>
            <w:hideMark/>
          </w:tcPr>
          <w:p w14:paraId="42B20ED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0.38 ± 0.07</w:t>
            </w:r>
          </w:p>
        </w:tc>
        <w:tc>
          <w:tcPr>
            <w:tcW w:w="515" w:type="pct"/>
            <w:tcBorders>
              <w:top w:val="nil"/>
              <w:left w:val="nil"/>
              <w:bottom w:val="nil"/>
              <w:right w:val="nil"/>
            </w:tcBorders>
            <w:shd w:val="clear" w:color="auto" w:fill="auto"/>
            <w:noWrap/>
            <w:vAlign w:val="bottom"/>
            <w:hideMark/>
          </w:tcPr>
          <w:p w14:paraId="43F141D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0.38 ± 0.12</w:t>
            </w:r>
          </w:p>
        </w:tc>
        <w:tc>
          <w:tcPr>
            <w:tcW w:w="515" w:type="pct"/>
            <w:tcBorders>
              <w:top w:val="nil"/>
              <w:left w:val="nil"/>
              <w:bottom w:val="nil"/>
              <w:right w:val="nil"/>
            </w:tcBorders>
            <w:shd w:val="clear" w:color="auto" w:fill="auto"/>
            <w:noWrap/>
            <w:vAlign w:val="bottom"/>
            <w:hideMark/>
          </w:tcPr>
          <w:p w14:paraId="19771A1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0.03</w:t>
            </w:r>
          </w:p>
        </w:tc>
        <w:tc>
          <w:tcPr>
            <w:tcW w:w="559" w:type="pct"/>
            <w:tcBorders>
              <w:top w:val="nil"/>
              <w:left w:val="nil"/>
              <w:bottom w:val="nil"/>
              <w:right w:val="nil"/>
            </w:tcBorders>
            <w:shd w:val="clear" w:color="auto" w:fill="auto"/>
            <w:noWrap/>
            <w:vAlign w:val="bottom"/>
            <w:hideMark/>
          </w:tcPr>
          <w:p w14:paraId="092FAC8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0.02</w:t>
            </w:r>
          </w:p>
        </w:tc>
      </w:tr>
      <w:tr w:rsidR="007053B4" w:rsidRPr="00FA7D47" w14:paraId="5B671152" w14:textId="77777777" w:rsidTr="0095549A">
        <w:trPr>
          <w:trHeight w:val="300"/>
        </w:trPr>
        <w:tc>
          <w:tcPr>
            <w:tcW w:w="1307" w:type="pct"/>
            <w:tcBorders>
              <w:top w:val="nil"/>
              <w:left w:val="nil"/>
              <w:bottom w:val="nil"/>
              <w:right w:val="nil"/>
            </w:tcBorders>
            <w:shd w:val="clear" w:color="auto" w:fill="auto"/>
            <w:vAlign w:val="bottom"/>
            <w:hideMark/>
          </w:tcPr>
          <w:p w14:paraId="4654336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22:0</w:t>
            </w:r>
          </w:p>
        </w:tc>
        <w:tc>
          <w:tcPr>
            <w:tcW w:w="515" w:type="pct"/>
            <w:tcBorders>
              <w:top w:val="nil"/>
              <w:left w:val="nil"/>
              <w:bottom w:val="nil"/>
              <w:right w:val="nil"/>
            </w:tcBorders>
            <w:shd w:val="clear" w:color="auto" w:fill="auto"/>
            <w:noWrap/>
            <w:vAlign w:val="bottom"/>
            <w:hideMark/>
          </w:tcPr>
          <w:p w14:paraId="2745DE1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0.36 ± 0.12</w:t>
            </w:r>
          </w:p>
        </w:tc>
        <w:tc>
          <w:tcPr>
            <w:tcW w:w="559" w:type="pct"/>
            <w:tcBorders>
              <w:top w:val="nil"/>
              <w:left w:val="nil"/>
              <w:bottom w:val="nil"/>
              <w:right w:val="nil"/>
            </w:tcBorders>
            <w:shd w:val="clear" w:color="auto" w:fill="auto"/>
            <w:noWrap/>
            <w:vAlign w:val="bottom"/>
            <w:hideMark/>
          </w:tcPr>
          <w:p w14:paraId="3E6553F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0.36 ± 0.12</w:t>
            </w:r>
          </w:p>
        </w:tc>
        <w:tc>
          <w:tcPr>
            <w:tcW w:w="515" w:type="pct"/>
            <w:tcBorders>
              <w:top w:val="nil"/>
              <w:left w:val="nil"/>
              <w:bottom w:val="nil"/>
              <w:right w:val="nil"/>
            </w:tcBorders>
            <w:shd w:val="clear" w:color="auto" w:fill="auto"/>
            <w:noWrap/>
            <w:vAlign w:val="bottom"/>
            <w:hideMark/>
          </w:tcPr>
          <w:p w14:paraId="50524AF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0.31 ± 0.21</w:t>
            </w:r>
          </w:p>
        </w:tc>
        <w:tc>
          <w:tcPr>
            <w:tcW w:w="515" w:type="pct"/>
            <w:tcBorders>
              <w:top w:val="nil"/>
              <w:left w:val="nil"/>
              <w:bottom w:val="nil"/>
              <w:right w:val="nil"/>
            </w:tcBorders>
            <w:shd w:val="clear" w:color="auto" w:fill="auto"/>
            <w:noWrap/>
            <w:vAlign w:val="bottom"/>
            <w:hideMark/>
          </w:tcPr>
          <w:p w14:paraId="0013070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0.21</w:t>
            </w:r>
          </w:p>
        </w:tc>
        <w:tc>
          <w:tcPr>
            <w:tcW w:w="515" w:type="pct"/>
            <w:tcBorders>
              <w:top w:val="nil"/>
              <w:left w:val="nil"/>
              <w:bottom w:val="nil"/>
              <w:right w:val="nil"/>
            </w:tcBorders>
            <w:shd w:val="clear" w:color="auto" w:fill="auto"/>
            <w:noWrap/>
            <w:vAlign w:val="bottom"/>
            <w:hideMark/>
          </w:tcPr>
          <w:p w14:paraId="75025A5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0.43 ± 0.06</w:t>
            </w:r>
          </w:p>
        </w:tc>
        <w:tc>
          <w:tcPr>
            <w:tcW w:w="515" w:type="pct"/>
            <w:tcBorders>
              <w:top w:val="nil"/>
              <w:left w:val="nil"/>
              <w:bottom w:val="nil"/>
              <w:right w:val="nil"/>
            </w:tcBorders>
            <w:shd w:val="clear" w:color="auto" w:fill="auto"/>
            <w:noWrap/>
            <w:vAlign w:val="bottom"/>
            <w:hideMark/>
          </w:tcPr>
          <w:p w14:paraId="76505C3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0.32 ± 0.16</w:t>
            </w:r>
          </w:p>
        </w:tc>
        <w:tc>
          <w:tcPr>
            <w:tcW w:w="559" w:type="pct"/>
            <w:tcBorders>
              <w:top w:val="nil"/>
              <w:left w:val="nil"/>
              <w:bottom w:val="nil"/>
              <w:right w:val="nil"/>
            </w:tcBorders>
            <w:shd w:val="clear" w:color="auto" w:fill="auto"/>
            <w:noWrap/>
            <w:vAlign w:val="bottom"/>
            <w:hideMark/>
          </w:tcPr>
          <w:p w14:paraId="03EDF89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0.06</w:t>
            </w:r>
          </w:p>
        </w:tc>
      </w:tr>
      <w:tr w:rsidR="007053B4" w:rsidRPr="00FA7D47" w14:paraId="64778108" w14:textId="77777777" w:rsidTr="0095549A">
        <w:trPr>
          <w:trHeight w:val="300"/>
        </w:trPr>
        <w:tc>
          <w:tcPr>
            <w:tcW w:w="1307" w:type="pct"/>
            <w:tcBorders>
              <w:top w:val="nil"/>
              <w:left w:val="nil"/>
              <w:bottom w:val="nil"/>
              <w:right w:val="nil"/>
            </w:tcBorders>
            <w:shd w:val="clear" w:color="auto" w:fill="auto"/>
            <w:vAlign w:val="bottom"/>
            <w:hideMark/>
          </w:tcPr>
          <w:p w14:paraId="1C106DC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24:0</w:t>
            </w:r>
          </w:p>
        </w:tc>
        <w:tc>
          <w:tcPr>
            <w:tcW w:w="515" w:type="pct"/>
            <w:tcBorders>
              <w:top w:val="nil"/>
              <w:left w:val="nil"/>
              <w:bottom w:val="nil"/>
              <w:right w:val="nil"/>
            </w:tcBorders>
            <w:shd w:val="clear" w:color="auto" w:fill="auto"/>
            <w:noWrap/>
            <w:vAlign w:val="bottom"/>
            <w:hideMark/>
          </w:tcPr>
          <w:p w14:paraId="3D502FD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0.05 ± 0.09</w:t>
            </w:r>
          </w:p>
        </w:tc>
        <w:tc>
          <w:tcPr>
            <w:tcW w:w="559" w:type="pct"/>
            <w:tcBorders>
              <w:top w:val="nil"/>
              <w:left w:val="nil"/>
              <w:bottom w:val="nil"/>
              <w:right w:val="nil"/>
            </w:tcBorders>
            <w:shd w:val="clear" w:color="auto" w:fill="auto"/>
            <w:noWrap/>
            <w:vAlign w:val="bottom"/>
            <w:hideMark/>
          </w:tcPr>
          <w:p w14:paraId="48489FC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0.05 ± 0.09</w:t>
            </w:r>
          </w:p>
        </w:tc>
        <w:tc>
          <w:tcPr>
            <w:tcW w:w="515" w:type="pct"/>
            <w:tcBorders>
              <w:top w:val="nil"/>
              <w:left w:val="nil"/>
              <w:bottom w:val="nil"/>
              <w:right w:val="nil"/>
            </w:tcBorders>
            <w:shd w:val="clear" w:color="auto" w:fill="auto"/>
            <w:noWrap/>
            <w:vAlign w:val="bottom"/>
            <w:hideMark/>
          </w:tcPr>
          <w:p w14:paraId="2525759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0.12 ± 0.2</w:t>
            </w:r>
          </w:p>
        </w:tc>
        <w:tc>
          <w:tcPr>
            <w:tcW w:w="515" w:type="pct"/>
            <w:tcBorders>
              <w:top w:val="nil"/>
              <w:left w:val="nil"/>
              <w:bottom w:val="nil"/>
              <w:right w:val="nil"/>
            </w:tcBorders>
            <w:shd w:val="clear" w:color="auto" w:fill="auto"/>
            <w:noWrap/>
            <w:vAlign w:val="bottom"/>
            <w:hideMark/>
          </w:tcPr>
          <w:p w14:paraId="291E2BA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0.05</w:t>
            </w:r>
          </w:p>
        </w:tc>
        <w:tc>
          <w:tcPr>
            <w:tcW w:w="515" w:type="pct"/>
            <w:tcBorders>
              <w:top w:val="nil"/>
              <w:left w:val="nil"/>
              <w:bottom w:val="nil"/>
              <w:right w:val="nil"/>
            </w:tcBorders>
            <w:shd w:val="clear" w:color="auto" w:fill="auto"/>
            <w:noWrap/>
            <w:vAlign w:val="bottom"/>
            <w:hideMark/>
          </w:tcPr>
          <w:p w14:paraId="057E80A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0.06</w:t>
            </w:r>
          </w:p>
        </w:tc>
        <w:tc>
          <w:tcPr>
            <w:tcW w:w="515" w:type="pct"/>
            <w:tcBorders>
              <w:top w:val="nil"/>
              <w:left w:val="nil"/>
              <w:bottom w:val="nil"/>
              <w:right w:val="nil"/>
            </w:tcBorders>
            <w:shd w:val="clear" w:color="auto" w:fill="auto"/>
            <w:noWrap/>
            <w:vAlign w:val="bottom"/>
            <w:hideMark/>
          </w:tcPr>
          <w:p w14:paraId="611AB40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c>
          <w:tcPr>
            <w:tcW w:w="559" w:type="pct"/>
            <w:tcBorders>
              <w:top w:val="nil"/>
              <w:left w:val="nil"/>
              <w:bottom w:val="nil"/>
              <w:right w:val="nil"/>
            </w:tcBorders>
            <w:shd w:val="clear" w:color="auto" w:fill="auto"/>
            <w:noWrap/>
            <w:vAlign w:val="bottom"/>
            <w:hideMark/>
          </w:tcPr>
          <w:p w14:paraId="587A3CB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13650CAE" w14:textId="77777777" w:rsidTr="0095549A">
        <w:trPr>
          <w:trHeight w:val="315"/>
        </w:trPr>
        <w:tc>
          <w:tcPr>
            <w:tcW w:w="1307" w:type="pct"/>
            <w:tcBorders>
              <w:top w:val="single" w:sz="4" w:space="0" w:color="auto"/>
              <w:left w:val="nil"/>
              <w:bottom w:val="single" w:sz="8" w:space="0" w:color="auto"/>
              <w:right w:val="nil"/>
            </w:tcBorders>
            <w:shd w:val="clear" w:color="auto" w:fill="auto"/>
            <w:vAlign w:val="bottom"/>
            <w:hideMark/>
          </w:tcPr>
          <w:p w14:paraId="579E0039"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total saturated</w:t>
            </w:r>
          </w:p>
        </w:tc>
        <w:tc>
          <w:tcPr>
            <w:tcW w:w="515" w:type="pct"/>
            <w:tcBorders>
              <w:top w:val="single" w:sz="4" w:space="0" w:color="auto"/>
              <w:left w:val="nil"/>
              <w:bottom w:val="single" w:sz="8" w:space="0" w:color="auto"/>
              <w:right w:val="nil"/>
            </w:tcBorders>
            <w:shd w:val="clear" w:color="auto" w:fill="auto"/>
            <w:noWrap/>
            <w:vAlign w:val="bottom"/>
            <w:hideMark/>
          </w:tcPr>
          <w:p w14:paraId="637B6F42"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31.5 ± 4.58</w:t>
            </w:r>
          </w:p>
        </w:tc>
        <w:tc>
          <w:tcPr>
            <w:tcW w:w="559" w:type="pct"/>
            <w:tcBorders>
              <w:top w:val="single" w:sz="4" w:space="0" w:color="auto"/>
              <w:left w:val="nil"/>
              <w:bottom w:val="single" w:sz="8" w:space="0" w:color="auto"/>
              <w:right w:val="nil"/>
            </w:tcBorders>
            <w:shd w:val="clear" w:color="auto" w:fill="auto"/>
            <w:noWrap/>
            <w:vAlign w:val="bottom"/>
            <w:hideMark/>
          </w:tcPr>
          <w:p w14:paraId="11682E0A"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31.5 ± 4.58</w:t>
            </w:r>
          </w:p>
        </w:tc>
        <w:tc>
          <w:tcPr>
            <w:tcW w:w="515" w:type="pct"/>
            <w:tcBorders>
              <w:top w:val="single" w:sz="4" w:space="0" w:color="auto"/>
              <w:left w:val="nil"/>
              <w:bottom w:val="single" w:sz="8" w:space="0" w:color="auto"/>
              <w:right w:val="nil"/>
            </w:tcBorders>
            <w:shd w:val="clear" w:color="auto" w:fill="auto"/>
            <w:noWrap/>
            <w:vAlign w:val="bottom"/>
            <w:hideMark/>
          </w:tcPr>
          <w:p w14:paraId="64BB0129"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30.17 ± 3.43</w:t>
            </w:r>
          </w:p>
        </w:tc>
        <w:tc>
          <w:tcPr>
            <w:tcW w:w="515" w:type="pct"/>
            <w:tcBorders>
              <w:top w:val="single" w:sz="4" w:space="0" w:color="auto"/>
              <w:left w:val="nil"/>
              <w:bottom w:val="single" w:sz="8" w:space="0" w:color="auto"/>
              <w:right w:val="nil"/>
            </w:tcBorders>
            <w:shd w:val="clear" w:color="auto" w:fill="auto"/>
            <w:noWrap/>
            <w:vAlign w:val="bottom"/>
            <w:hideMark/>
          </w:tcPr>
          <w:p w14:paraId="75285F54"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25.41 ± 5.74</w:t>
            </w:r>
          </w:p>
        </w:tc>
        <w:tc>
          <w:tcPr>
            <w:tcW w:w="515" w:type="pct"/>
            <w:tcBorders>
              <w:top w:val="single" w:sz="4" w:space="0" w:color="auto"/>
              <w:left w:val="nil"/>
              <w:bottom w:val="single" w:sz="8" w:space="0" w:color="auto"/>
              <w:right w:val="nil"/>
            </w:tcBorders>
            <w:shd w:val="clear" w:color="auto" w:fill="auto"/>
            <w:noWrap/>
            <w:vAlign w:val="bottom"/>
            <w:hideMark/>
          </w:tcPr>
          <w:p w14:paraId="28DE06C3"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25.22 ± 4.16</w:t>
            </w:r>
          </w:p>
        </w:tc>
        <w:tc>
          <w:tcPr>
            <w:tcW w:w="515" w:type="pct"/>
            <w:tcBorders>
              <w:top w:val="single" w:sz="4" w:space="0" w:color="auto"/>
              <w:left w:val="nil"/>
              <w:bottom w:val="single" w:sz="8" w:space="0" w:color="auto"/>
              <w:right w:val="nil"/>
            </w:tcBorders>
            <w:shd w:val="clear" w:color="auto" w:fill="auto"/>
            <w:noWrap/>
            <w:vAlign w:val="bottom"/>
            <w:hideMark/>
          </w:tcPr>
          <w:p w14:paraId="68B63A62"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27.5 ± 6.22</w:t>
            </w:r>
          </w:p>
        </w:tc>
        <w:tc>
          <w:tcPr>
            <w:tcW w:w="559" w:type="pct"/>
            <w:tcBorders>
              <w:top w:val="single" w:sz="4" w:space="0" w:color="auto"/>
              <w:left w:val="nil"/>
              <w:bottom w:val="single" w:sz="8" w:space="0" w:color="auto"/>
              <w:right w:val="nil"/>
            </w:tcBorders>
            <w:shd w:val="clear" w:color="auto" w:fill="auto"/>
            <w:noWrap/>
            <w:vAlign w:val="bottom"/>
            <w:hideMark/>
          </w:tcPr>
          <w:p w14:paraId="31EAAFBF"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24.48 ± 8.34</w:t>
            </w:r>
          </w:p>
        </w:tc>
      </w:tr>
      <w:tr w:rsidR="007053B4" w:rsidRPr="00FA7D47" w14:paraId="50A782E3" w14:textId="77777777" w:rsidTr="0095549A">
        <w:trPr>
          <w:trHeight w:val="300"/>
        </w:trPr>
        <w:tc>
          <w:tcPr>
            <w:tcW w:w="1307" w:type="pct"/>
            <w:tcBorders>
              <w:top w:val="nil"/>
              <w:left w:val="nil"/>
              <w:bottom w:val="nil"/>
              <w:right w:val="nil"/>
            </w:tcBorders>
            <w:shd w:val="clear" w:color="auto" w:fill="auto"/>
            <w:vAlign w:val="bottom"/>
            <w:hideMark/>
          </w:tcPr>
          <w:p w14:paraId="26A41DF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16:1n-9</w:t>
            </w:r>
          </w:p>
        </w:tc>
        <w:tc>
          <w:tcPr>
            <w:tcW w:w="515" w:type="pct"/>
            <w:tcBorders>
              <w:top w:val="nil"/>
              <w:left w:val="nil"/>
              <w:bottom w:val="nil"/>
              <w:right w:val="nil"/>
            </w:tcBorders>
            <w:shd w:val="clear" w:color="auto" w:fill="auto"/>
            <w:noWrap/>
            <w:vAlign w:val="bottom"/>
            <w:hideMark/>
          </w:tcPr>
          <w:p w14:paraId="011E73C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0.14</w:t>
            </w:r>
          </w:p>
        </w:tc>
        <w:tc>
          <w:tcPr>
            <w:tcW w:w="559" w:type="pct"/>
            <w:tcBorders>
              <w:top w:val="nil"/>
              <w:left w:val="nil"/>
              <w:bottom w:val="nil"/>
              <w:right w:val="nil"/>
            </w:tcBorders>
            <w:shd w:val="clear" w:color="auto" w:fill="auto"/>
            <w:noWrap/>
            <w:vAlign w:val="bottom"/>
            <w:hideMark/>
          </w:tcPr>
          <w:p w14:paraId="084BA9F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0.14</w:t>
            </w:r>
          </w:p>
        </w:tc>
        <w:tc>
          <w:tcPr>
            <w:tcW w:w="515" w:type="pct"/>
            <w:tcBorders>
              <w:top w:val="nil"/>
              <w:left w:val="nil"/>
              <w:bottom w:val="nil"/>
              <w:right w:val="nil"/>
            </w:tcBorders>
            <w:shd w:val="clear" w:color="auto" w:fill="auto"/>
            <w:noWrap/>
            <w:vAlign w:val="bottom"/>
            <w:hideMark/>
          </w:tcPr>
          <w:p w14:paraId="59C3AC4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0.61 ± 0.34</w:t>
            </w:r>
          </w:p>
        </w:tc>
        <w:tc>
          <w:tcPr>
            <w:tcW w:w="515" w:type="pct"/>
            <w:tcBorders>
              <w:top w:val="nil"/>
              <w:left w:val="nil"/>
              <w:bottom w:val="nil"/>
              <w:right w:val="nil"/>
            </w:tcBorders>
            <w:shd w:val="clear" w:color="auto" w:fill="auto"/>
            <w:noWrap/>
            <w:vAlign w:val="bottom"/>
            <w:hideMark/>
          </w:tcPr>
          <w:p w14:paraId="42B47BA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0.21</w:t>
            </w:r>
          </w:p>
        </w:tc>
        <w:tc>
          <w:tcPr>
            <w:tcW w:w="515" w:type="pct"/>
            <w:tcBorders>
              <w:top w:val="nil"/>
              <w:left w:val="nil"/>
              <w:bottom w:val="nil"/>
              <w:right w:val="nil"/>
            </w:tcBorders>
            <w:shd w:val="clear" w:color="auto" w:fill="auto"/>
            <w:noWrap/>
            <w:vAlign w:val="bottom"/>
            <w:hideMark/>
          </w:tcPr>
          <w:p w14:paraId="20F816F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0.41 ± 0.39</w:t>
            </w:r>
          </w:p>
        </w:tc>
        <w:tc>
          <w:tcPr>
            <w:tcW w:w="515" w:type="pct"/>
            <w:tcBorders>
              <w:top w:val="nil"/>
              <w:left w:val="nil"/>
              <w:bottom w:val="nil"/>
              <w:right w:val="nil"/>
            </w:tcBorders>
            <w:shd w:val="clear" w:color="auto" w:fill="auto"/>
            <w:noWrap/>
            <w:vAlign w:val="bottom"/>
            <w:hideMark/>
          </w:tcPr>
          <w:p w14:paraId="68952FF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 ± 0.19</w:t>
            </w:r>
          </w:p>
        </w:tc>
        <w:tc>
          <w:tcPr>
            <w:tcW w:w="559" w:type="pct"/>
            <w:tcBorders>
              <w:top w:val="nil"/>
              <w:left w:val="nil"/>
              <w:bottom w:val="nil"/>
              <w:right w:val="nil"/>
            </w:tcBorders>
            <w:shd w:val="clear" w:color="auto" w:fill="auto"/>
            <w:noWrap/>
            <w:vAlign w:val="bottom"/>
            <w:hideMark/>
          </w:tcPr>
          <w:p w14:paraId="3E5EA9D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0.25 ± 0.07</w:t>
            </w:r>
          </w:p>
        </w:tc>
      </w:tr>
      <w:tr w:rsidR="007053B4" w:rsidRPr="00FA7D47" w14:paraId="003C5CE9" w14:textId="77777777" w:rsidTr="0095549A">
        <w:trPr>
          <w:trHeight w:val="300"/>
        </w:trPr>
        <w:tc>
          <w:tcPr>
            <w:tcW w:w="1307" w:type="pct"/>
            <w:tcBorders>
              <w:top w:val="nil"/>
              <w:left w:val="nil"/>
              <w:bottom w:val="nil"/>
              <w:right w:val="nil"/>
            </w:tcBorders>
            <w:shd w:val="clear" w:color="auto" w:fill="auto"/>
            <w:vAlign w:val="bottom"/>
            <w:hideMark/>
          </w:tcPr>
          <w:p w14:paraId="4555251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16:1n-7</w:t>
            </w:r>
          </w:p>
        </w:tc>
        <w:tc>
          <w:tcPr>
            <w:tcW w:w="515" w:type="pct"/>
            <w:tcBorders>
              <w:top w:val="nil"/>
              <w:left w:val="nil"/>
              <w:bottom w:val="nil"/>
              <w:right w:val="nil"/>
            </w:tcBorders>
            <w:shd w:val="clear" w:color="auto" w:fill="auto"/>
            <w:noWrap/>
            <w:vAlign w:val="bottom"/>
            <w:hideMark/>
          </w:tcPr>
          <w:p w14:paraId="6E7DC3E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3.86 ± 1.77</w:t>
            </w:r>
          </w:p>
        </w:tc>
        <w:tc>
          <w:tcPr>
            <w:tcW w:w="559" w:type="pct"/>
            <w:tcBorders>
              <w:top w:val="nil"/>
              <w:left w:val="nil"/>
              <w:bottom w:val="nil"/>
              <w:right w:val="nil"/>
            </w:tcBorders>
            <w:shd w:val="clear" w:color="auto" w:fill="auto"/>
            <w:noWrap/>
            <w:vAlign w:val="bottom"/>
            <w:hideMark/>
          </w:tcPr>
          <w:p w14:paraId="69D0F36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3.86 ± 1.77</w:t>
            </w:r>
          </w:p>
        </w:tc>
        <w:tc>
          <w:tcPr>
            <w:tcW w:w="515" w:type="pct"/>
            <w:tcBorders>
              <w:top w:val="nil"/>
              <w:left w:val="nil"/>
              <w:bottom w:val="nil"/>
              <w:right w:val="nil"/>
            </w:tcBorders>
            <w:shd w:val="clear" w:color="auto" w:fill="auto"/>
            <w:noWrap/>
            <w:vAlign w:val="bottom"/>
            <w:hideMark/>
          </w:tcPr>
          <w:p w14:paraId="101737C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4.85 ± 0.5</w:t>
            </w:r>
          </w:p>
        </w:tc>
        <w:tc>
          <w:tcPr>
            <w:tcW w:w="515" w:type="pct"/>
            <w:tcBorders>
              <w:top w:val="nil"/>
              <w:left w:val="nil"/>
              <w:bottom w:val="nil"/>
              <w:right w:val="nil"/>
            </w:tcBorders>
            <w:shd w:val="clear" w:color="auto" w:fill="auto"/>
            <w:noWrap/>
            <w:vAlign w:val="bottom"/>
            <w:hideMark/>
          </w:tcPr>
          <w:p w14:paraId="65C4647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2.08 ± 1.25</w:t>
            </w:r>
          </w:p>
        </w:tc>
        <w:tc>
          <w:tcPr>
            <w:tcW w:w="515" w:type="pct"/>
            <w:tcBorders>
              <w:top w:val="nil"/>
              <w:left w:val="nil"/>
              <w:bottom w:val="nil"/>
              <w:right w:val="nil"/>
            </w:tcBorders>
            <w:shd w:val="clear" w:color="auto" w:fill="auto"/>
            <w:noWrap/>
            <w:vAlign w:val="bottom"/>
            <w:hideMark/>
          </w:tcPr>
          <w:p w14:paraId="3A4F6E3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3.6 ± 1.17</w:t>
            </w:r>
          </w:p>
        </w:tc>
        <w:tc>
          <w:tcPr>
            <w:tcW w:w="515" w:type="pct"/>
            <w:tcBorders>
              <w:top w:val="nil"/>
              <w:left w:val="nil"/>
              <w:bottom w:val="nil"/>
              <w:right w:val="nil"/>
            </w:tcBorders>
            <w:shd w:val="clear" w:color="auto" w:fill="auto"/>
            <w:noWrap/>
            <w:vAlign w:val="bottom"/>
            <w:hideMark/>
          </w:tcPr>
          <w:p w14:paraId="1444224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3.5 ± 0.77</w:t>
            </w:r>
          </w:p>
        </w:tc>
        <w:tc>
          <w:tcPr>
            <w:tcW w:w="559" w:type="pct"/>
            <w:tcBorders>
              <w:top w:val="nil"/>
              <w:left w:val="nil"/>
              <w:bottom w:val="nil"/>
              <w:right w:val="nil"/>
            </w:tcBorders>
            <w:shd w:val="clear" w:color="auto" w:fill="auto"/>
            <w:noWrap/>
            <w:vAlign w:val="bottom"/>
            <w:hideMark/>
          </w:tcPr>
          <w:p w14:paraId="14E3BFA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5.3 ± 0.87</w:t>
            </w:r>
          </w:p>
        </w:tc>
      </w:tr>
      <w:tr w:rsidR="007053B4" w:rsidRPr="00FA7D47" w14:paraId="21BCA0F5" w14:textId="77777777" w:rsidTr="0095549A">
        <w:trPr>
          <w:trHeight w:val="300"/>
        </w:trPr>
        <w:tc>
          <w:tcPr>
            <w:tcW w:w="1307" w:type="pct"/>
            <w:tcBorders>
              <w:top w:val="nil"/>
              <w:left w:val="nil"/>
              <w:bottom w:val="nil"/>
              <w:right w:val="nil"/>
            </w:tcBorders>
            <w:shd w:val="clear" w:color="auto" w:fill="auto"/>
            <w:vAlign w:val="bottom"/>
            <w:hideMark/>
          </w:tcPr>
          <w:p w14:paraId="26C5180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16:1</w:t>
            </w:r>
          </w:p>
        </w:tc>
        <w:tc>
          <w:tcPr>
            <w:tcW w:w="515" w:type="pct"/>
            <w:tcBorders>
              <w:top w:val="nil"/>
              <w:left w:val="nil"/>
              <w:bottom w:val="nil"/>
              <w:right w:val="nil"/>
            </w:tcBorders>
            <w:shd w:val="clear" w:color="auto" w:fill="auto"/>
            <w:noWrap/>
            <w:vAlign w:val="bottom"/>
            <w:hideMark/>
          </w:tcPr>
          <w:p w14:paraId="7238C0E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0.15 ± 0.11</w:t>
            </w:r>
          </w:p>
        </w:tc>
        <w:tc>
          <w:tcPr>
            <w:tcW w:w="559" w:type="pct"/>
            <w:tcBorders>
              <w:top w:val="nil"/>
              <w:left w:val="nil"/>
              <w:bottom w:val="nil"/>
              <w:right w:val="nil"/>
            </w:tcBorders>
            <w:shd w:val="clear" w:color="auto" w:fill="auto"/>
            <w:noWrap/>
            <w:vAlign w:val="bottom"/>
            <w:hideMark/>
          </w:tcPr>
          <w:p w14:paraId="064C604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0.15 ± 0.11</w:t>
            </w:r>
          </w:p>
        </w:tc>
        <w:tc>
          <w:tcPr>
            <w:tcW w:w="515" w:type="pct"/>
            <w:tcBorders>
              <w:top w:val="nil"/>
              <w:left w:val="nil"/>
              <w:bottom w:val="nil"/>
              <w:right w:val="nil"/>
            </w:tcBorders>
            <w:shd w:val="clear" w:color="auto" w:fill="auto"/>
            <w:noWrap/>
            <w:vAlign w:val="bottom"/>
            <w:hideMark/>
          </w:tcPr>
          <w:p w14:paraId="3B15D32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 ± 0.08</w:t>
            </w:r>
          </w:p>
        </w:tc>
        <w:tc>
          <w:tcPr>
            <w:tcW w:w="515" w:type="pct"/>
            <w:tcBorders>
              <w:top w:val="nil"/>
              <w:left w:val="nil"/>
              <w:bottom w:val="nil"/>
              <w:right w:val="nil"/>
            </w:tcBorders>
            <w:shd w:val="clear" w:color="auto" w:fill="auto"/>
            <w:noWrap/>
            <w:vAlign w:val="bottom"/>
            <w:hideMark/>
          </w:tcPr>
          <w:p w14:paraId="4F52D08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 ± 0.12</w:t>
            </w:r>
          </w:p>
        </w:tc>
        <w:tc>
          <w:tcPr>
            <w:tcW w:w="515" w:type="pct"/>
            <w:tcBorders>
              <w:top w:val="nil"/>
              <w:left w:val="nil"/>
              <w:bottom w:val="nil"/>
              <w:right w:val="nil"/>
            </w:tcBorders>
            <w:shd w:val="clear" w:color="auto" w:fill="auto"/>
            <w:noWrap/>
            <w:vAlign w:val="bottom"/>
            <w:hideMark/>
          </w:tcPr>
          <w:p w14:paraId="3716452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0.07</w:t>
            </w:r>
          </w:p>
        </w:tc>
        <w:tc>
          <w:tcPr>
            <w:tcW w:w="515" w:type="pct"/>
            <w:tcBorders>
              <w:top w:val="nil"/>
              <w:left w:val="nil"/>
              <w:bottom w:val="nil"/>
              <w:right w:val="nil"/>
            </w:tcBorders>
            <w:shd w:val="clear" w:color="auto" w:fill="auto"/>
            <w:noWrap/>
            <w:vAlign w:val="bottom"/>
            <w:hideMark/>
          </w:tcPr>
          <w:p w14:paraId="6C66A90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0.28 ± 0.17</w:t>
            </w:r>
          </w:p>
        </w:tc>
        <w:tc>
          <w:tcPr>
            <w:tcW w:w="559" w:type="pct"/>
            <w:tcBorders>
              <w:top w:val="nil"/>
              <w:left w:val="nil"/>
              <w:bottom w:val="nil"/>
              <w:right w:val="nil"/>
            </w:tcBorders>
            <w:shd w:val="clear" w:color="auto" w:fill="auto"/>
            <w:noWrap/>
            <w:vAlign w:val="bottom"/>
            <w:hideMark/>
          </w:tcPr>
          <w:p w14:paraId="39703C0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0.08</w:t>
            </w:r>
          </w:p>
        </w:tc>
      </w:tr>
      <w:tr w:rsidR="007053B4" w:rsidRPr="00FA7D47" w14:paraId="5C23C83C" w14:textId="77777777" w:rsidTr="0095549A">
        <w:trPr>
          <w:trHeight w:val="300"/>
        </w:trPr>
        <w:tc>
          <w:tcPr>
            <w:tcW w:w="1307" w:type="pct"/>
            <w:tcBorders>
              <w:top w:val="nil"/>
              <w:left w:val="nil"/>
              <w:bottom w:val="nil"/>
              <w:right w:val="nil"/>
            </w:tcBorders>
            <w:shd w:val="clear" w:color="auto" w:fill="auto"/>
            <w:vAlign w:val="bottom"/>
            <w:hideMark/>
          </w:tcPr>
          <w:p w14:paraId="5C778F8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17:1</w:t>
            </w:r>
          </w:p>
        </w:tc>
        <w:tc>
          <w:tcPr>
            <w:tcW w:w="515" w:type="pct"/>
            <w:tcBorders>
              <w:top w:val="nil"/>
              <w:left w:val="nil"/>
              <w:bottom w:val="nil"/>
              <w:right w:val="nil"/>
            </w:tcBorders>
            <w:shd w:val="clear" w:color="auto" w:fill="auto"/>
            <w:noWrap/>
            <w:vAlign w:val="bottom"/>
            <w:hideMark/>
          </w:tcPr>
          <w:p w14:paraId="71C8F9B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 ± 0.17</w:t>
            </w:r>
          </w:p>
        </w:tc>
        <w:tc>
          <w:tcPr>
            <w:tcW w:w="559" w:type="pct"/>
            <w:tcBorders>
              <w:top w:val="nil"/>
              <w:left w:val="nil"/>
              <w:bottom w:val="nil"/>
              <w:right w:val="nil"/>
            </w:tcBorders>
            <w:shd w:val="clear" w:color="auto" w:fill="auto"/>
            <w:noWrap/>
            <w:vAlign w:val="bottom"/>
            <w:hideMark/>
          </w:tcPr>
          <w:p w14:paraId="461FCD1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 ± 0.17</w:t>
            </w:r>
          </w:p>
        </w:tc>
        <w:tc>
          <w:tcPr>
            <w:tcW w:w="515" w:type="pct"/>
            <w:tcBorders>
              <w:top w:val="nil"/>
              <w:left w:val="nil"/>
              <w:bottom w:val="nil"/>
              <w:right w:val="nil"/>
            </w:tcBorders>
            <w:shd w:val="clear" w:color="auto" w:fill="auto"/>
            <w:noWrap/>
            <w:vAlign w:val="bottom"/>
            <w:hideMark/>
          </w:tcPr>
          <w:p w14:paraId="4D0D059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0.99 ± 0.22</w:t>
            </w:r>
          </w:p>
        </w:tc>
        <w:tc>
          <w:tcPr>
            <w:tcW w:w="515" w:type="pct"/>
            <w:tcBorders>
              <w:top w:val="nil"/>
              <w:left w:val="nil"/>
              <w:bottom w:val="nil"/>
              <w:right w:val="nil"/>
            </w:tcBorders>
            <w:shd w:val="clear" w:color="auto" w:fill="auto"/>
            <w:noWrap/>
            <w:vAlign w:val="bottom"/>
            <w:hideMark/>
          </w:tcPr>
          <w:p w14:paraId="079C37D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0.73 ± 0.28</w:t>
            </w:r>
          </w:p>
        </w:tc>
        <w:tc>
          <w:tcPr>
            <w:tcW w:w="515" w:type="pct"/>
            <w:tcBorders>
              <w:top w:val="nil"/>
              <w:left w:val="nil"/>
              <w:bottom w:val="nil"/>
              <w:right w:val="nil"/>
            </w:tcBorders>
            <w:shd w:val="clear" w:color="auto" w:fill="auto"/>
            <w:noWrap/>
            <w:vAlign w:val="bottom"/>
            <w:hideMark/>
          </w:tcPr>
          <w:p w14:paraId="0F16FF9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0.85 ± 0.29</w:t>
            </w:r>
          </w:p>
        </w:tc>
        <w:tc>
          <w:tcPr>
            <w:tcW w:w="515" w:type="pct"/>
            <w:tcBorders>
              <w:top w:val="nil"/>
              <w:left w:val="nil"/>
              <w:bottom w:val="nil"/>
              <w:right w:val="nil"/>
            </w:tcBorders>
            <w:shd w:val="clear" w:color="auto" w:fill="auto"/>
            <w:noWrap/>
            <w:vAlign w:val="bottom"/>
            <w:hideMark/>
          </w:tcPr>
          <w:p w14:paraId="0058C89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 ± 0.21</w:t>
            </w:r>
          </w:p>
        </w:tc>
        <w:tc>
          <w:tcPr>
            <w:tcW w:w="559" w:type="pct"/>
            <w:tcBorders>
              <w:top w:val="nil"/>
              <w:left w:val="nil"/>
              <w:bottom w:val="nil"/>
              <w:right w:val="nil"/>
            </w:tcBorders>
            <w:shd w:val="clear" w:color="auto" w:fill="auto"/>
            <w:noWrap/>
            <w:vAlign w:val="bottom"/>
            <w:hideMark/>
          </w:tcPr>
          <w:p w14:paraId="6914C05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 ± 0.26</w:t>
            </w:r>
          </w:p>
        </w:tc>
      </w:tr>
      <w:tr w:rsidR="007053B4" w:rsidRPr="00FA7D47" w14:paraId="5E3459F3" w14:textId="77777777" w:rsidTr="0095549A">
        <w:trPr>
          <w:trHeight w:val="300"/>
        </w:trPr>
        <w:tc>
          <w:tcPr>
            <w:tcW w:w="1307" w:type="pct"/>
            <w:tcBorders>
              <w:top w:val="nil"/>
              <w:left w:val="nil"/>
              <w:bottom w:val="nil"/>
              <w:right w:val="nil"/>
            </w:tcBorders>
            <w:shd w:val="clear" w:color="auto" w:fill="auto"/>
            <w:vAlign w:val="bottom"/>
            <w:hideMark/>
          </w:tcPr>
          <w:p w14:paraId="63C58CF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18:1 DMA</w:t>
            </w:r>
          </w:p>
        </w:tc>
        <w:tc>
          <w:tcPr>
            <w:tcW w:w="515" w:type="pct"/>
            <w:tcBorders>
              <w:top w:val="nil"/>
              <w:left w:val="nil"/>
              <w:bottom w:val="nil"/>
              <w:right w:val="nil"/>
            </w:tcBorders>
            <w:shd w:val="clear" w:color="auto" w:fill="auto"/>
            <w:noWrap/>
            <w:vAlign w:val="bottom"/>
            <w:hideMark/>
          </w:tcPr>
          <w:p w14:paraId="2CBE0AD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0.12 ± 0.18</w:t>
            </w:r>
          </w:p>
        </w:tc>
        <w:tc>
          <w:tcPr>
            <w:tcW w:w="559" w:type="pct"/>
            <w:tcBorders>
              <w:top w:val="nil"/>
              <w:left w:val="nil"/>
              <w:bottom w:val="nil"/>
              <w:right w:val="nil"/>
            </w:tcBorders>
            <w:shd w:val="clear" w:color="auto" w:fill="auto"/>
            <w:noWrap/>
            <w:vAlign w:val="bottom"/>
            <w:hideMark/>
          </w:tcPr>
          <w:p w14:paraId="11B3BB6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0.12 ± 0.18</w:t>
            </w:r>
          </w:p>
        </w:tc>
        <w:tc>
          <w:tcPr>
            <w:tcW w:w="515" w:type="pct"/>
            <w:tcBorders>
              <w:top w:val="nil"/>
              <w:left w:val="nil"/>
              <w:bottom w:val="nil"/>
              <w:right w:val="nil"/>
            </w:tcBorders>
            <w:shd w:val="clear" w:color="auto" w:fill="auto"/>
            <w:noWrap/>
            <w:vAlign w:val="bottom"/>
            <w:hideMark/>
          </w:tcPr>
          <w:p w14:paraId="3728D5E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0.19</w:t>
            </w:r>
          </w:p>
        </w:tc>
        <w:tc>
          <w:tcPr>
            <w:tcW w:w="515" w:type="pct"/>
            <w:tcBorders>
              <w:top w:val="nil"/>
              <w:left w:val="nil"/>
              <w:bottom w:val="nil"/>
              <w:right w:val="nil"/>
            </w:tcBorders>
            <w:shd w:val="clear" w:color="auto" w:fill="auto"/>
            <w:noWrap/>
            <w:vAlign w:val="bottom"/>
            <w:hideMark/>
          </w:tcPr>
          <w:p w14:paraId="34A1D77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0.08 ± 0.14</w:t>
            </w:r>
          </w:p>
        </w:tc>
        <w:tc>
          <w:tcPr>
            <w:tcW w:w="515" w:type="pct"/>
            <w:tcBorders>
              <w:top w:val="nil"/>
              <w:left w:val="nil"/>
              <w:bottom w:val="nil"/>
              <w:right w:val="nil"/>
            </w:tcBorders>
            <w:shd w:val="clear" w:color="auto" w:fill="auto"/>
            <w:noWrap/>
            <w:vAlign w:val="bottom"/>
            <w:hideMark/>
          </w:tcPr>
          <w:p w14:paraId="3FD3584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0.22 ± 0.08</w:t>
            </w:r>
          </w:p>
        </w:tc>
        <w:tc>
          <w:tcPr>
            <w:tcW w:w="515" w:type="pct"/>
            <w:tcBorders>
              <w:top w:val="nil"/>
              <w:left w:val="nil"/>
              <w:bottom w:val="nil"/>
              <w:right w:val="nil"/>
            </w:tcBorders>
            <w:shd w:val="clear" w:color="auto" w:fill="auto"/>
            <w:noWrap/>
            <w:vAlign w:val="bottom"/>
            <w:hideMark/>
          </w:tcPr>
          <w:p w14:paraId="29ED8AA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0.09 ± 0.16</w:t>
            </w:r>
          </w:p>
        </w:tc>
        <w:tc>
          <w:tcPr>
            <w:tcW w:w="559" w:type="pct"/>
            <w:tcBorders>
              <w:top w:val="nil"/>
              <w:left w:val="nil"/>
              <w:bottom w:val="nil"/>
              <w:right w:val="nil"/>
            </w:tcBorders>
            <w:shd w:val="clear" w:color="auto" w:fill="auto"/>
            <w:noWrap/>
            <w:vAlign w:val="bottom"/>
            <w:hideMark/>
          </w:tcPr>
          <w:p w14:paraId="18ED2F1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20AFBE63" w14:textId="77777777" w:rsidTr="0095549A">
        <w:trPr>
          <w:trHeight w:val="300"/>
        </w:trPr>
        <w:tc>
          <w:tcPr>
            <w:tcW w:w="1307" w:type="pct"/>
            <w:tcBorders>
              <w:top w:val="nil"/>
              <w:left w:val="nil"/>
              <w:bottom w:val="nil"/>
              <w:right w:val="nil"/>
            </w:tcBorders>
            <w:shd w:val="clear" w:color="auto" w:fill="auto"/>
            <w:vAlign w:val="bottom"/>
            <w:hideMark/>
          </w:tcPr>
          <w:p w14:paraId="196B9BE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18:1</w:t>
            </w:r>
          </w:p>
        </w:tc>
        <w:tc>
          <w:tcPr>
            <w:tcW w:w="515" w:type="pct"/>
            <w:tcBorders>
              <w:top w:val="nil"/>
              <w:left w:val="nil"/>
              <w:bottom w:val="nil"/>
              <w:right w:val="nil"/>
            </w:tcBorders>
            <w:shd w:val="clear" w:color="auto" w:fill="auto"/>
            <w:noWrap/>
            <w:vAlign w:val="bottom"/>
            <w:hideMark/>
          </w:tcPr>
          <w:p w14:paraId="504840C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0.41 ± 0.05</w:t>
            </w:r>
          </w:p>
        </w:tc>
        <w:tc>
          <w:tcPr>
            <w:tcW w:w="559" w:type="pct"/>
            <w:tcBorders>
              <w:top w:val="nil"/>
              <w:left w:val="nil"/>
              <w:bottom w:val="nil"/>
              <w:right w:val="nil"/>
            </w:tcBorders>
            <w:shd w:val="clear" w:color="auto" w:fill="auto"/>
            <w:noWrap/>
            <w:vAlign w:val="bottom"/>
            <w:hideMark/>
          </w:tcPr>
          <w:p w14:paraId="7EEA396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0.41 ± 0.05</w:t>
            </w:r>
          </w:p>
        </w:tc>
        <w:tc>
          <w:tcPr>
            <w:tcW w:w="515" w:type="pct"/>
            <w:tcBorders>
              <w:top w:val="nil"/>
              <w:left w:val="nil"/>
              <w:bottom w:val="nil"/>
              <w:right w:val="nil"/>
            </w:tcBorders>
            <w:shd w:val="clear" w:color="auto" w:fill="auto"/>
            <w:noWrap/>
            <w:vAlign w:val="bottom"/>
            <w:hideMark/>
          </w:tcPr>
          <w:p w14:paraId="7AA840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0.37 ± 0.22</w:t>
            </w:r>
          </w:p>
        </w:tc>
        <w:tc>
          <w:tcPr>
            <w:tcW w:w="515" w:type="pct"/>
            <w:tcBorders>
              <w:top w:val="nil"/>
              <w:left w:val="nil"/>
              <w:bottom w:val="nil"/>
              <w:right w:val="nil"/>
            </w:tcBorders>
            <w:shd w:val="clear" w:color="auto" w:fill="auto"/>
            <w:noWrap/>
            <w:vAlign w:val="bottom"/>
            <w:hideMark/>
          </w:tcPr>
          <w:p w14:paraId="23C682E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0.26 ± 0.2</w:t>
            </w:r>
          </w:p>
        </w:tc>
        <w:tc>
          <w:tcPr>
            <w:tcW w:w="515" w:type="pct"/>
            <w:tcBorders>
              <w:top w:val="nil"/>
              <w:left w:val="nil"/>
              <w:bottom w:val="nil"/>
              <w:right w:val="nil"/>
            </w:tcBorders>
            <w:shd w:val="clear" w:color="auto" w:fill="auto"/>
            <w:noWrap/>
            <w:vAlign w:val="bottom"/>
            <w:hideMark/>
          </w:tcPr>
          <w:p w14:paraId="1199494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0.31 ± 0.07</w:t>
            </w:r>
          </w:p>
        </w:tc>
        <w:tc>
          <w:tcPr>
            <w:tcW w:w="515" w:type="pct"/>
            <w:tcBorders>
              <w:top w:val="nil"/>
              <w:left w:val="nil"/>
              <w:bottom w:val="nil"/>
              <w:right w:val="nil"/>
            </w:tcBorders>
            <w:shd w:val="clear" w:color="auto" w:fill="auto"/>
            <w:noWrap/>
            <w:vAlign w:val="bottom"/>
            <w:hideMark/>
          </w:tcPr>
          <w:p w14:paraId="409C6BA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0.07</w:t>
            </w:r>
          </w:p>
        </w:tc>
        <w:tc>
          <w:tcPr>
            <w:tcW w:w="559" w:type="pct"/>
            <w:tcBorders>
              <w:top w:val="nil"/>
              <w:left w:val="nil"/>
              <w:bottom w:val="nil"/>
              <w:right w:val="nil"/>
            </w:tcBorders>
            <w:shd w:val="clear" w:color="auto" w:fill="auto"/>
            <w:noWrap/>
            <w:vAlign w:val="bottom"/>
            <w:hideMark/>
          </w:tcPr>
          <w:p w14:paraId="4BDAB71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 ± 0.07</w:t>
            </w:r>
          </w:p>
        </w:tc>
      </w:tr>
      <w:tr w:rsidR="007053B4" w:rsidRPr="00FA7D47" w14:paraId="19DD4C79" w14:textId="77777777" w:rsidTr="0095549A">
        <w:trPr>
          <w:trHeight w:val="300"/>
        </w:trPr>
        <w:tc>
          <w:tcPr>
            <w:tcW w:w="1307" w:type="pct"/>
            <w:tcBorders>
              <w:top w:val="nil"/>
              <w:left w:val="nil"/>
              <w:bottom w:val="nil"/>
              <w:right w:val="nil"/>
            </w:tcBorders>
            <w:shd w:val="clear" w:color="auto" w:fill="auto"/>
            <w:vAlign w:val="bottom"/>
            <w:hideMark/>
          </w:tcPr>
          <w:p w14:paraId="1127903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18:1n-9</w:t>
            </w:r>
          </w:p>
        </w:tc>
        <w:tc>
          <w:tcPr>
            <w:tcW w:w="515" w:type="pct"/>
            <w:tcBorders>
              <w:top w:val="nil"/>
              <w:left w:val="nil"/>
              <w:bottom w:val="nil"/>
              <w:right w:val="nil"/>
            </w:tcBorders>
            <w:shd w:val="clear" w:color="auto" w:fill="auto"/>
            <w:noWrap/>
            <w:vAlign w:val="bottom"/>
            <w:hideMark/>
          </w:tcPr>
          <w:p w14:paraId="35D3726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17.52 ± 3.26</w:t>
            </w:r>
          </w:p>
        </w:tc>
        <w:tc>
          <w:tcPr>
            <w:tcW w:w="559" w:type="pct"/>
            <w:tcBorders>
              <w:top w:val="nil"/>
              <w:left w:val="nil"/>
              <w:bottom w:val="nil"/>
              <w:right w:val="nil"/>
            </w:tcBorders>
            <w:shd w:val="clear" w:color="auto" w:fill="auto"/>
            <w:noWrap/>
            <w:vAlign w:val="bottom"/>
            <w:hideMark/>
          </w:tcPr>
          <w:p w14:paraId="0BD9BC8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17.52 ± 3.26</w:t>
            </w:r>
          </w:p>
        </w:tc>
        <w:tc>
          <w:tcPr>
            <w:tcW w:w="515" w:type="pct"/>
            <w:tcBorders>
              <w:top w:val="nil"/>
              <w:left w:val="nil"/>
              <w:bottom w:val="nil"/>
              <w:right w:val="nil"/>
            </w:tcBorders>
            <w:shd w:val="clear" w:color="auto" w:fill="auto"/>
            <w:noWrap/>
            <w:vAlign w:val="bottom"/>
            <w:hideMark/>
          </w:tcPr>
          <w:p w14:paraId="3B2172D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12.66 ± 7.36</w:t>
            </w:r>
          </w:p>
        </w:tc>
        <w:tc>
          <w:tcPr>
            <w:tcW w:w="515" w:type="pct"/>
            <w:tcBorders>
              <w:top w:val="nil"/>
              <w:left w:val="nil"/>
              <w:bottom w:val="nil"/>
              <w:right w:val="nil"/>
            </w:tcBorders>
            <w:shd w:val="clear" w:color="auto" w:fill="auto"/>
            <w:noWrap/>
            <w:vAlign w:val="bottom"/>
            <w:hideMark/>
          </w:tcPr>
          <w:p w14:paraId="0D3F4AA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17.94 ± 3.82</w:t>
            </w:r>
          </w:p>
        </w:tc>
        <w:tc>
          <w:tcPr>
            <w:tcW w:w="515" w:type="pct"/>
            <w:tcBorders>
              <w:top w:val="nil"/>
              <w:left w:val="nil"/>
              <w:bottom w:val="nil"/>
              <w:right w:val="nil"/>
            </w:tcBorders>
            <w:shd w:val="clear" w:color="auto" w:fill="auto"/>
            <w:noWrap/>
            <w:vAlign w:val="bottom"/>
            <w:hideMark/>
          </w:tcPr>
          <w:p w14:paraId="501F59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14.17 ± 2.69</w:t>
            </w:r>
          </w:p>
        </w:tc>
        <w:tc>
          <w:tcPr>
            <w:tcW w:w="515" w:type="pct"/>
            <w:tcBorders>
              <w:top w:val="nil"/>
              <w:left w:val="nil"/>
              <w:bottom w:val="nil"/>
              <w:right w:val="nil"/>
            </w:tcBorders>
            <w:shd w:val="clear" w:color="auto" w:fill="auto"/>
            <w:noWrap/>
            <w:vAlign w:val="bottom"/>
            <w:hideMark/>
          </w:tcPr>
          <w:p w14:paraId="5DC05BD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14.11 ± 1.74</w:t>
            </w:r>
          </w:p>
        </w:tc>
        <w:tc>
          <w:tcPr>
            <w:tcW w:w="559" w:type="pct"/>
            <w:tcBorders>
              <w:top w:val="nil"/>
              <w:left w:val="nil"/>
              <w:bottom w:val="nil"/>
              <w:right w:val="nil"/>
            </w:tcBorders>
            <w:shd w:val="clear" w:color="auto" w:fill="auto"/>
            <w:noWrap/>
            <w:vAlign w:val="bottom"/>
            <w:hideMark/>
          </w:tcPr>
          <w:p w14:paraId="378F91E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14.16 ± 1.47</w:t>
            </w:r>
          </w:p>
        </w:tc>
      </w:tr>
      <w:tr w:rsidR="007053B4" w:rsidRPr="00FA7D47" w14:paraId="429C512F" w14:textId="77777777" w:rsidTr="0095549A">
        <w:trPr>
          <w:trHeight w:val="300"/>
        </w:trPr>
        <w:tc>
          <w:tcPr>
            <w:tcW w:w="1307" w:type="pct"/>
            <w:tcBorders>
              <w:top w:val="nil"/>
              <w:left w:val="nil"/>
              <w:bottom w:val="nil"/>
              <w:right w:val="nil"/>
            </w:tcBorders>
            <w:shd w:val="clear" w:color="auto" w:fill="auto"/>
            <w:vAlign w:val="bottom"/>
            <w:hideMark/>
          </w:tcPr>
          <w:p w14:paraId="59CB739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18:1n-7</w:t>
            </w:r>
          </w:p>
        </w:tc>
        <w:tc>
          <w:tcPr>
            <w:tcW w:w="515" w:type="pct"/>
            <w:tcBorders>
              <w:top w:val="nil"/>
              <w:left w:val="nil"/>
              <w:bottom w:val="nil"/>
              <w:right w:val="nil"/>
            </w:tcBorders>
            <w:shd w:val="clear" w:color="auto" w:fill="auto"/>
            <w:noWrap/>
            <w:vAlign w:val="bottom"/>
            <w:hideMark/>
          </w:tcPr>
          <w:p w14:paraId="6D1EDD3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7.72 ± 1.4</w:t>
            </w:r>
          </w:p>
        </w:tc>
        <w:tc>
          <w:tcPr>
            <w:tcW w:w="559" w:type="pct"/>
            <w:tcBorders>
              <w:top w:val="nil"/>
              <w:left w:val="nil"/>
              <w:bottom w:val="nil"/>
              <w:right w:val="nil"/>
            </w:tcBorders>
            <w:shd w:val="clear" w:color="auto" w:fill="auto"/>
            <w:noWrap/>
            <w:vAlign w:val="bottom"/>
            <w:hideMark/>
          </w:tcPr>
          <w:p w14:paraId="541A8ED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7.72 ± 1.4</w:t>
            </w:r>
          </w:p>
        </w:tc>
        <w:tc>
          <w:tcPr>
            <w:tcW w:w="515" w:type="pct"/>
            <w:tcBorders>
              <w:top w:val="nil"/>
              <w:left w:val="nil"/>
              <w:bottom w:val="nil"/>
              <w:right w:val="nil"/>
            </w:tcBorders>
            <w:shd w:val="clear" w:color="auto" w:fill="auto"/>
            <w:noWrap/>
            <w:vAlign w:val="bottom"/>
            <w:hideMark/>
          </w:tcPr>
          <w:p w14:paraId="19E740C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7.59 ± 1.06</w:t>
            </w:r>
          </w:p>
        </w:tc>
        <w:tc>
          <w:tcPr>
            <w:tcW w:w="515" w:type="pct"/>
            <w:tcBorders>
              <w:top w:val="nil"/>
              <w:left w:val="nil"/>
              <w:bottom w:val="nil"/>
              <w:right w:val="nil"/>
            </w:tcBorders>
            <w:shd w:val="clear" w:color="auto" w:fill="auto"/>
            <w:noWrap/>
            <w:vAlign w:val="bottom"/>
            <w:hideMark/>
          </w:tcPr>
          <w:p w14:paraId="57ADB8C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7.41 ± 1.38</w:t>
            </w:r>
          </w:p>
        </w:tc>
        <w:tc>
          <w:tcPr>
            <w:tcW w:w="515" w:type="pct"/>
            <w:tcBorders>
              <w:top w:val="nil"/>
              <w:left w:val="nil"/>
              <w:bottom w:val="nil"/>
              <w:right w:val="nil"/>
            </w:tcBorders>
            <w:shd w:val="clear" w:color="auto" w:fill="auto"/>
            <w:noWrap/>
            <w:vAlign w:val="bottom"/>
            <w:hideMark/>
          </w:tcPr>
          <w:p w14:paraId="3E95E4D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7.22 ± 0.62</w:t>
            </w:r>
          </w:p>
        </w:tc>
        <w:tc>
          <w:tcPr>
            <w:tcW w:w="515" w:type="pct"/>
            <w:tcBorders>
              <w:top w:val="nil"/>
              <w:left w:val="nil"/>
              <w:bottom w:val="nil"/>
              <w:right w:val="nil"/>
            </w:tcBorders>
            <w:shd w:val="clear" w:color="auto" w:fill="auto"/>
            <w:noWrap/>
            <w:vAlign w:val="bottom"/>
            <w:hideMark/>
          </w:tcPr>
          <w:p w14:paraId="1778B0F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8.73 ± 0.74</w:t>
            </w:r>
          </w:p>
        </w:tc>
        <w:tc>
          <w:tcPr>
            <w:tcW w:w="559" w:type="pct"/>
            <w:tcBorders>
              <w:top w:val="nil"/>
              <w:left w:val="nil"/>
              <w:bottom w:val="nil"/>
              <w:right w:val="nil"/>
            </w:tcBorders>
            <w:shd w:val="clear" w:color="auto" w:fill="auto"/>
            <w:noWrap/>
            <w:vAlign w:val="bottom"/>
            <w:hideMark/>
          </w:tcPr>
          <w:p w14:paraId="0C2A020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5.97 ± 0.94</w:t>
            </w:r>
          </w:p>
        </w:tc>
      </w:tr>
      <w:tr w:rsidR="007053B4" w:rsidRPr="00FA7D47" w14:paraId="2F6C90CA" w14:textId="77777777" w:rsidTr="0095549A">
        <w:trPr>
          <w:trHeight w:val="300"/>
        </w:trPr>
        <w:tc>
          <w:tcPr>
            <w:tcW w:w="1307" w:type="pct"/>
            <w:tcBorders>
              <w:top w:val="nil"/>
              <w:left w:val="nil"/>
              <w:bottom w:val="nil"/>
              <w:right w:val="nil"/>
            </w:tcBorders>
            <w:shd w:val="clear" w:color="auto" w:fill="auto"/>
            <w:vAlign w:val="bottom"/>
            <w:hideMark/>
          </w:tcPr>
          <w:p w14:paraId="01E349F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18:1</w:t>
            </w:r>
          </w:p>
        </w:tc>
        <w:tc>
          <w:tcPr>
            <w:tcW w:w="515" w:type="pct"/>
            <w:tcBorders>
              <w:top w:val="nil"/>
              <w:left w:val="nil"/>
              <w:bottom w:val="nil"/>
              <w:right w:val="nil"/>
            </w:tcBorders>
            <w:shd w:val="clear" w:color="auto" w:fill="auto"/>
            <w:noWrap/>
            <w:vAlign w:val="bottom"/>
            <w:hideMark/>
          </w:tcPr>
          <w:p w14:paraId="07999D6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0.64 ± 0.18</w:t>
            </w:r>
          </w:p>
        </w:tc>
        <w:tc>
          <w:tcPr>
            <w:tcW w:w="559" w:type="pct"/>
            <w:tcBorders>
              <w:top w:val="nil"/>
              <w:left w:val="nil"/>
              <w:bottom w:val="nil"/>
              <w:right w:val="nil"/>
            </w:tcBorders>
            <w:shd w:val="clear" w:color="auto" w:fill="auto"/>
            <w:noWrap/>
            <w:vAlign w:val="bottom"/>
            <w:hideMark/>
          </w:tcPr>
          <w:p w14:paraId="2B37C73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0.64 ± 0.18</w:t>
            </w:r>
          </w:p>
        </w:tc>
        <w:tc>
          <w:tcPr>
            <w:tcW w:w="515" w:type="pct"/>
            <w:tcBorders>
              <w:top w:val="nil"/>
              <w:left w:val="nil"/>
              <w:bottom w:val="nil"/>
              <w:right w:val="nil"/>
            </w:tcBorders>
            <w:shd w:val="clear" w:color="auto" w:fill="auto"/>
            <w:noWrap/>
            <w:vAlign w:val="bottom"/>
            <w:hideMark/>
          </w:tcPr>
          <w:p w14:paraId="15E186A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0.53 ± 0.3</w:t>
            </w:r>
          </w:p>
        </w:tc>
        <w:tc>
          <w:tcPr>
            <w:tcW w:w="515" w:type="pct"/>
            <w:tcBorders>
              <w:top w:val="nil"/>
              <w:left w:val="nil"/>
              <w:bottom w:val="nil"/>
              <w:right w:val="nil"/>
            </w:tcBorders>
            <w:shd w:val="clear" w:color="auto" w:fill="auto"/>
            <w:noWrap/>
            <w:vAlign w:val="bottom"/>
            <w:hideMark/>
          </w:tcPr>
          <w:p w14:paraId="07F843F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0.62 ± 0.19</w:t>
            </w:r>
          </w:p>
        </w:tc>
        <w:tc>
          <w:tcPr>
            <w:tcW w:w="515" w:type="pct"/>
            <w:tcBorders>
              <w:top w:val="nil"/>
              <w:left w:val="nil"/>
              <w:bottom w:val="nil"/>
              <w:right w:val="nil"/>
            </w:tcBorders>
            <w:shd w:val="clear" w:color="auto" w:fill="auto"/>
            <w:noWrap/>
            <w:vAlign w:val="bottom"/>
            <w:hideMark/>
          </w:tcPr>
          <w:p w14:paraId="5A5379B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 ± 0.12</w:t>
            </w:r>
          </w:p>
        </w:tc>
        <w:tc>
          <w:tcPr>
            <w:tcW w:w="515" w:type="pct"/>
            <w:tcBorders>
              <w:top w:val="nil"/>
              <w:left w:val="nil"/>
              <w:bottom w:val="nil"/>
              <w:right w:val="nil"/>
            </w:tcBorders>
            <w:shd w:val="clear" w:color="auto" w:fill="auto"/>
            <w:noWrap/>
            <w:vAlign w:val="bottom"/>
            <w:hideMark/>
          </w:tcPr>
          <w:p w14:paraId="4F72092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0.69 ± 0.18</w:t>
            </w:r>
          </w:p>
        </w:tc>
        <w:tc>
          <w:tcPr>
            <w:tcW w:w="559" w:type="pct"/>
            <w:tcBorders>
              <w:top w:val="nil"/>
              <w:left w:val="nil"/>
              <w:bottom w:val="nil"/>
              <w:right w:val="nil"/>
            </w:tcBorders>
            <w:shd w:val="clear" w:color="auto" w:fill="auto"/>
            <w:noWrap/>
            <w:vAlign w:val="bottom"/>
            <w:hideMark/>
          </w:tcPr>
          <w:p w14:paraId="64D7372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0.52 ± 0.08</w:t>
            </w:r>
          </w:p>
        </w:tc>
      </w:tr>
      <w:tr w:rsidR="007053B4" w:rsidRPr="00FA7D47" w14:paraId="3431E40E" w14:textId="77777777" w:rsidTr="0095549A">
        <w:trPr>
          <w:trHeight w:val="300"/>
        </w:trPr>
        <w:tc>
          <w:tcPr>
            <w:tcW w:w="1307" w:type="pct"/>
            <w:tcBorders>
              <w:top w:val="nil"/>
              <w:left w:val="nil"/>
              <w:bottom w:val="nil"/>
              <w:right w:val="nil"/>
            </w:tcBorders>
            <w:shd w:val="clear" w:color="auto" w:fill="auto"/>
            <w:vAlign w:val="bottom"/>
            <w:hideMark/>
          </w:tcPr>
          <w:p w14:paraId="72FB6E3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20:1n-11</w:t>
            </w:r>
          </w:p>
        </w:tc>
        <w:tc>
          <w:tcPr>
            <w:tcW w:w="515" w:type="pct"/>
            <w:tcBorders>
              <w:top w:val="nil"/>
              <w:left w:val="nil"/>
              <w:bottom w:val="nil"/>
              <w:right w:val="nil"/>
            </w:tcBorders>
            <w:shd w:val="clear" w:color="auto" w:fill="auto"/>
            <w:noWrap/>
            <w:vAlign w:val="bottom"/>
            <w:hideMark/>
          </w:tcPr>
          <w:p w14:paraId="32C1511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2.09 ± 0.47</w:t>
            </w:r>
          </w:p>
        </w:tc>
        <w:tc>
          <w:tcPr>
            <w:tcW w:w="559" w:type="pct"/>
            <w:tcBorders>
              <w:top w:val="nil"/>
              <w:left w:val="nil"/>
              <w:bottom w:val="nil"/>
              <w:right w:val="nil"/>
            </w:tcBorders>
            <w:shd w:val="clear" w:color="auto" w:fill="auto"/>
            <w:noWrap/>
            <w:vAlign w:val="bottom"/>
            <w:hideMark/>
          </w:tcPr>
          <w:p w14:paraId="3D4F952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2.09 ± 0.47</w:t>
            </w:r>
          </w:p>
        </w:tc>
        <w:tc>
          <w:tcPr>
            <w:tcW w:w="515" w:type="pct"/>
            <w:tcBorders>
              <w:top w:val="nil"/>
              <w:left w:val="nil"/>
              <w:bottom w:val="nil"/>
              <w:right w:val="nil"/>
            </w:tcBorders>
            <w:shd w:val="clear" w:color="auto" w:fill="auto"/>
            <w:noWrap/>
            <w:vAlign w:val="bottom"/>
            <w:hideMark/>
          </w:tcPr>
          <w:p w14:paraId="3118BCF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1.66 ± 0.28</w:t>
            </w:r>
          </w:p>
        </w:tc>
        <w:tc>
          <w:tcPr>
            <w:tcW w:w="515" w:type="pct"/>
            <w:tcBorders>
              <w:top w:val="nil"/>
              <w:left w:val="nil"/>
              <w:bottom w:val="nil"/>
              <w:right w:val="nil"/>
            </w:tcBorders>
            <w:shd w:val="clear" w:color="auto" w:fill="auto"/>
            <w:noWrap/>
            <w:vAlign w:val="bottom"/>
            <w:hideMark/>
          </w:tcPr>
          <w:p w14:paraId="1D15855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1.67 ± 0.58</w:t>
            </w:r>
          </w:p>
        </w:tc>
        <w:tc>
          <w:tcPr>
            <w:tcW w:w="515" w:type="pct"/>
            <w:tcBorders>
              <w:top w:val="nil"/>
              <w:left w:val="nil"/>
              <w:bottom w:val="nil"/>
              <w:right w:val="nil"/>
            </w:tcBorders>
            <w:shd w:val="clear" w:color="auto" w:fill="auto"/>
            <w:noWrap/>
            <w:vAlign w:val="bottom"/>
            <w:hideMark/>
          </w:tcPr>
          <w:p w14:paraId="5DA8B33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1.87 ± 0.46</w:t>
            </w:r>
          </w:p>
        </w:tc>
        <w:tc>
          <w:tcPr>
            <w:tcW w:w="515" w:type="pct"/>
            <w:tcBorders>
              <w:top w:val="nil"/>
              <w:left w:val="nil"/>
              <w:bottom w:val="nil"/>
              <w:right w:val="nil"/>
            </w:tcBorders>
            <w:shd w:val="clear" w:color="auto" w:fill="auto"/>
            <w:noWrap/>
            <w:vAlign w:val="bottom"/>
            <w:hideMark/>
          </w:tcPr>
          <w:p w14:paraId="2BEF4A2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1.52 ± 0.77</w:t>
            </w:r>
          </w:p>
        </w:tc>
        <w:tc>
          <w:tcPr>
            <w:tcW w:w="559" w:type="pct"/>
            <w:tcBorders>
              <w:top w:val="nil"/>
              <w:left w:val="nil"/>
              <w:bottom w:val="nil"/>
              <w:right w:val="nil"/>
            </w:tcBorders>
            <w:shd w:val="clear" w:color="auto" w:fill="auto"/>
            <w:noWrap/>
            <w:vAlign w:val="bottom"/>
            <w:hideMark/>
          </w:tcPr>
          <w:p w14:paraId="15FD5EF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0.04</w:t>
            </w:r>
          </w:p>
        </w:tc>
      </w:tr>
      <w:tr w:rsidR="007053B4" w:rsidRPr="00FA7D47" w14:paraId="41A7D3A7" w14:textId="77777777" w:rsidTr="0095549A">
        <w:trPr>
          <w:trHeight w:val="300"/>
        </w:trPr>
        <w:tc>
          <w:tcPr>
            <w:tcW w:w="1307" w:type="pct"/>
            <w:tcBorders>
              <w:top w:val="nil"/>
              <w:left w:val="nil"/>
              <w:bottom w:val="nil"/>
              <w:right w:val="nil"/>
            </w:tcBorders>
            <w:shd w:val="clear" w:color="auto" w:fill="auto"/>
            <w:vAlign w:val="bottom"/>
            <w:hideMark/>
          </w:tcPr>
          <w:p w14:paraId="7906C63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20:1n-9</w:t>
            </w:r>
          </w:p>
        </w:tc>
        <w:tc>
          <w:tcPr>
            <w:tcW w:w="515" w:type="pct"/>
            <w:tcBorders>
              <w:top w:val="nil"/>
              <w:left w:val="nil"/>
              <w:bottom w:val="nil"/>
              <w:right w:val="nil"/>
            </w:tcBorders>
            <w:shd w:val="clear" w:color="auto" w:fill="auto"/>
            <w:noWrap/>
            <w:vAlign w:val="bottom"/>
            <w:hideMark/>
          </w:tcPr>
          <w:p w14:paraId="13F064F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2.98 ± 0.27</w:t>
            </w:r>
          </w:p>
        </w:tc>
        <w:tc>
          <w:tcPr>
            <w:tcW w:w="559" w:type="pct"/>
            <w:tcBorders>
              <w:top w:val="nil"/>
              <w:left w:val="nil"/>
              <w:bottom w:val="nil"/>
              <w:right w:val="nil"/>
            </w:tcBorders>
            <w:shd w:val="clear" w:color="auto" w:fill="auto"/>
            <w:noWrap/>
            <w:vAlign w:val="bottom"/>
            <w:hideMark/>
          </w:tcPr>
          <w:p w14:paraId="085CFD0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2.98 ± 0.27</w:t>
            </w:r>
          </w:p>
        </w:tc>
        <w:tc>
          <w:tcPr>
            <w:tcW w:w="515" w:type="pct"/>
            <w:tcBorders>
              <w:top w:val="nil"/>
              <w:left w:val="nil"/>
              <w:bottom w:val="nil"/>
              <w:right w:val="nil"/>
            </w:tcBorders>
            <w:shd w:val="clear" w:color="auto" w:fill="auto"/>
            <w:noWrap/>
            <w:vAlign w:val="bottom"/>
            <w:hideMark/>
          </w:tcPr>
          <w:p w14:paraId="7263544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1.75 ± 0.7</w:t>
            </w:r>
          </w:p>
        </w:tc>
        <w:tc>
          <w:tcPr>
            <w:tcW w:w="515" w:type="pct"/>
            <w:tcBorders>
              <w:top w:val="nil"/>
              <w:left w:val="nil"/>
              <w:bottom w:val="nil"/>
              <w:right w:val="nil"/>
            </w:tcBorders>
            <w:shd w:val="clear" w:color="auto" w:fill="auto"/>
            <w:noWrap/>
            <w:vAlign w:val="bottom"/>
            <w:hideMark/>
          </w:tcPr>
          <w:p w14:paraId="67A4E8C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2.7 ± 1.13</w:t>
            </w:r>
          </w:p>
        </w:tc>
        <w:tc>
          <w:tcPr>
            <w:tcW w:w="515" w:type="pct"/>
            <w:tcBorders>
              <w:top w:val="nil"/>
              <w:left w:val="nil"/>
              <w:bottom w:val="nil"/>
              <w:right w:val="nil"/>
            </w:tcBorders>
            <w:shd w:val="clear" w:color="auto" w:fill="auto"/>
            <w:noWrap/>
            <w:vAlign w:val="bottom"/>
            <w:hideMark/>
          </w:tcPr>
          <w:p w14:paraId="3C82208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2.12 ± 1.24</w:t>
            </w:r>
          </w:p>
        </w:tc>
        <w:tc>
          <w:tcPr>
            <w:tcW w:w="515" w:type="pct"/>
            <w:tcBorders>
              <w:top w:val="nil"/>
              <w:left w:val="nil"/>
              <w:bottom w:val="nil"/>
              <w:right w:val="nil"/>
            </w:tcBorders>
            <w:shd w:val="clear" w:color="auto" w:fill="auto"/>
            <w:noWrap/>
            <w:vAlign w:val="bottom"/>
            <w:hideMark/>
          </w:tcPr>
          <w:p w14:paraId="6726FB3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 ± 0.49</w:t>
            </w:r>
          </w:p>
        </w:tc>
        <w:tc>
          <w:tcPr>
            <w:tcW w:w="559" w:type="pct"/>
            <w:tcBorders>
              <w:top w:val="nil"/>
              <w:left w:val="nil"/>
              <w:bottom w:val="nil"/>
              <w:right w:val="nil"/>
            </w:tcBorders>
            <w:shd w:val="clear" w:color="auto" w:fill="auto"/>
            <w:noWrap/>
            <w:vAlign w:val="bottom"/>
            <w:hideMark/>
          </w:tcPr>
          <w:p w14:paraId="5D813A5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0.41 ± 0.09</w:t>
            </w:r>
          </w:p>
        </w:tc>
      </w:tr>
      <w:tr w:rsidR="007053B4" w:rsidRPr="00FA7D47" w14:paraId="166FF14E" w14:textId="77777777" w:rsidTr="0095549A">
        <w:trPr>
          <w:trHeight w:val="300"/>
        </w:trPr>
        <w:tc>
          <w:tcPr>
            <w:tcW w:w="1307" w:type="pct"/>
            <w:tcBorders>
              <w:top w:val="nil"/>
              <w:left w:val="nil"/>
              <w:bottom w:val="nil"/>
              <w:right w:val="nil"/>
            </w:tcBorders>
            <w:shd w:val="clear" w:color="auto" w:fill="auto"/>
            <w:vAlign w:val="bottom"/>
            <w:hideMark/>
          </w:tcPr>
          <w:p w14:paraId="5E6F826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20:1n-7</w:t>
            </w:r>
          </w:p>
        </w:tc>
        <w:tc>
          <w:tcPr>
            <w:tcW w:w="515" w:type="pct"/>
            <w:tcBorders>
              <w:top w:val="nil"/>
              <w:left w:val="nil"/>
              <w:bottom w:val="nil"/>
              <w:right w:val="nil"/>
            </w:tcBorders>
            <w:shd w:val="clear" w:color="auto" w:fill="auto"/>
            <w:noWrap/>
            <w:vAlign w:val="bottom"/>
            <w:hideMark/>
          </w:tcPr>
          <w:p w14:paraId="76EAE0B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1.89 ± 0.54</w:t>
            </w:r>
          </w:p>
        </w:tc>
        <w:tc>
          <w:tcPr>
            <w:tcW w:w="559" w:type="pct"/>
            <w:tcBorders>
              <w:top w:val="nil"/>
              <w:left w:val="nil"/>
              <w:bottom w:val="nil"/>
              <w:right w:val="nil"/>
            </w:tcBorders>
            <w:shd w:val="clear" w:color="auto" w:fill="auto"/>
            <w:noWrap/>
            <w:vAlign w:val="bottom"/>
            <w:hideMark/>
          </w:tcPr>
          <w:p w14:paraId="2BBACB6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1.89 ± 0.54</w:t>
            </w:r>
          </w:p>
        </w:tc>
        <w:tc>
          <w:tcPr>
            <w:tcW w:w="515" w:type="pct"/>
            <w:tcBorders>
              <w:top w:val="nil"/>
              <w:left w:val="nil"/>
              <w:bottom w:val="nil"/>
              <w:right w:val="nil"/>
            </w:tcBorders>
            <w:shd w:val="clear" w:color="auto" w:fill="auto"/>
            <w:noWrap/>
            <w:vAlign w:val="bottom"/>
            <w:hideMark/>
          </w:tcPr>
          <w:p w14:paraId="3819236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1.81 ± 0.51</w:t>
            </w:r>
          </w:p>
        </w:tc>
        <w:tc>
          <w:tcPr>
            <w:tcW w:w="515" w:type="pct"/>
            <w:tcBorders>
              <w:top w:val="nil"/>
              <w:left w:val="nil"/>
              <w:bottom w:val="nil"/>
              <w:right w:val="nil"/>
            </w:tcBorders>
            <w:shd w:val="clear" w:color="auto" w:fill="auto"/>
            <w:noWrap/>
            <w:vAlign w:val="bottom"/>
            <w:hideMark/>
          </w:tcPr>
          <w:p w14:paraId="3770E89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1.29 ± 0.52</w:t>
            </w:r>
          </w:p>
        </w:tc>
        <w:tc>
          <w:tcPr>
            <w:tcW w:w="515" w:type="pct"/>
            <w:tcBorders>
              <w:top w:val="nil"/>
              <w:left w:val="nil"/>
              <w:bottom w:val="nil"/>
              <w:right w:val="nil"/>
            </w:tcBorders>
            <w:shd w:val="clear" w:color="auto" w:fill="auto"/>
            <w:noWrap/>
            <w:vAlign w:val="bottom"/>
            <w:hideMark/>
          </w:tcPr>
          <w:p w14:paraId="0198849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1.7 ± 0.18</w:t>
            </w:r>
          </w:p>
        </w:tc>
        <w:tc>
          <w:tcPr>
            <w:tcW w:w="515" w:type="pct"/>
            <w:tcBorders>
              <w:top w:val="nil"/>
              <w:left w:val="nil"/>
              <w:bottom w:val="nil"/>
              <w:right w:val="nil"/>
            </w:tcBorders>
            <w:shd w:val="clear" w:color="auto" w:fill="auto"/>
            <w:noWrap/>
            <w:vAlign w:val="bottom"/>
            <w:hideMark/>
          </w:tcPr>
          <w:p w14:paraId="532429A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1.64 ± 0.24</w:t>
            </w:r>
          </w:p>
        </w:tc>
        <w:tc>
          <w:tcPr>
            <w:tcW w:w="559" w:type="pct"/>
            <w:tcBorders>
              <w:top w:val="nil"/>
              <w:left w:val="nil"/>
              <w:bottom w:val="nil"/>
              <w:right w:val="nil"/>
            </w:tcBorders>
            <w:shd w:val="clear" w:color="auto" w:fill="auto"/>
            <w:noWrap/>
            <w:vAlign w:val="bottom"/>
            <w:hideMark/>
          </w:tcPr>
          <w:p w14:paraId="2D5E51A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1.98 ± 0.42</w:t>
            </w:r>
          </w:p>
        </w:tc>
      </w:tr>
      <w:tr w:rsidR="007053B4" w:rsidRPr="00FA7D47" w14:paraId="53726466" w14:textId="77777777" w:rsidTr="0095549A">
        <w:trPr>
          <w:trHeight w:val="300"/>
        </w:trPr>
        <w:tc>
          <w:tcPr>
            <w:tcW w:w="1307" w:type="pct"/>
            <w:tcBorders>
              <w:top w:val="nil"/>
              <w:left w:val="nil"/>
              <w:bottom w:val="nil"/>
              <w:right w:val="nil"/>
            </w:tcBorders>
            <w:shd w:val="clear" w:color="auto" w:fill="auto"/>
            <w:vAlign w:val="bottom"/>
            <w:hideMark/>
          </w:tcPr>
          <w:p w14:paraId="5F88EB3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20:1 NMID</w:t>
            </w:r>
          </w:p>
        </w:tc>
        <w:tc>
          <w:tcPr>
            <w:tcW w:w="515" w:type="pct"/>
            <w:tcBorders>
              <w:top w:val="nil"/>
              <w:left w:val="nil"/>
              <w:bottom w:val="nil"/>
              <w:right w:val="nil"/>
            </w:tcBorders>
            <w:shd w:val="clear" w:color="auto" w:fill="auto"/>
            <w:noWrap/>
            <w:vAlign w:val="bottom"/>
            <w:hideMark/>
          </w:tcPr>
          <w:p w14:paraId="22B396F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0.04</w:t>
            </w:r>
          </w:p>
        </w:tc>
        <w:tc>
          <w:tcPr>
            <w:tcW w:w="559" w:type="pct"/>
            <w:tcBorders>
              <w:top w:val="nil"/>
              <w:left w:val="nil"/>
              <w:bottom w:val="nil"/>
              <w:right w:val="nil"/>
            </w:tcBorders>
            <w:shd w:val="clear" w:color="auto" w:fill="auto"/>
            <w:noWrap/>
            <w:vAlign w:val="bottom"/>
            <w:hideMark/>
          </w:tcPr>
          <w:p w14:paraId="5EB22A6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0.04</w:t>
            </w:r>
          </w:p>
        </w:tc>
        <w:tc>
          <w:tcPr>
            <w:tcW w:w="515" w:type="pct"/>
            <w:tcBorders>
              <w:top w:val="nil"/>
              <w:left w:val="nil"/>
              <w:bottom w:val="nil"/>
              <w:right w:val="nil"/>
            </w:tcBorders>
            <w:shd w:val="clear" w:color="auto" w:fill="auto"/>
            <w:noWrap/>
            <w:vAlign w:val="bottom"/>
            <w:hideMark/>
          </w:tcPr>
          <w:p w14:paraId="7410F07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0.11 ± 0.11</w:t>
            </w:r>
          </w:p>
        </w:tc>
        <w:tc>
          <w:tcPr>
            <w:tcW w:w="515" w:type="pct"/>
            <w:tcBorders>
              <w:top w:val="nil"/>
              <w:left w:val="nil"/>
              <w:bottom w:val="nil"/>
              <w:right w:val="nil"/>
            </w:tcBorders>
            <w:shd w:val="clear" w:color="auto" w:fill="auto"/>
            <w:noWrap/>
            <w:vAlign w:val="bottom"/>
            <w:hideMark/>
          </w:tcPr>
          <w:p w14:paraId="48E57FD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0.08 ± 0.1</w:t>
            </w:r>
          </w:p>
        </w:tc>
        <w:tc>
          <w:tcPr>
            <w:tcW w:w="515" w:type="pct"/>
            <w:tcBorders>
              <w:top w:val="nil"/>
              <w:left w:val="nil"/>
              <w:bottom w:val="nil"/>
              <w:right w:val="nil"/>
            </w:tcBorders>
            <w:shd w:val="clear" w:color="auto" w:fill="auto"/>
            <w:noWrap/>
            <w:vAlign w:val="bottom"/>
            <w:hideMark/>
          </w:tcPr>
          <w:p w14:paraId="27660B9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0.04</w:t>
            </w:r>
          </w:p>
        </w:tc>
        <w:tc>
          <w:tcPr>
            <w:tcW w:w="515" w:type="pct"/>
            <w:tcBorders>
              <w:top w:val="nil"/>
              <w:left w:val="nil"/>
              <w:bottom w:val="nil"/>
              <w:right w:val="nil"/>
            </w:tcBorders>
            <w:shd w:val="clear" w:color="auto" w:fill="auto"/>
            <w:noWrap/>
            <w:vAlign w:val="bottom"/>
            <w:hideMark/>
          </w:tcPr>
          <w:p w14:paraId="10D740F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0.05</w:t>
            </w:r>
          </w:p>
        </w:tc>
        <w:tc>
          <w:tcPr>
            <w:tcW w:w="559" w:type="pct"/>
            <w:tcBorders>
              <w:top w:val="nil"/>
              <w:left w:val="nil"/>
              <w:bottom w:val="nil"/>
              <w:right w:val="nil"/>
            </w:tcBorders>
            <w:shd w:val="clear" w:color="auto" w:fill="auto"/>
            <w:noWrap/>
            <w:vAlign w:val="bottom"/>
            <w:hideMark/>
          </w:tcPr>
          <w:p w14:paraId="2CE4753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02DA492A" w14:textId="77777777" w:rsidTr="0095549A">
        <w:trPr>
          <w:trHeight w:val="300"/>
        </w:trPr>
        <w:tc>
          <w:tcPr>
            <w:tcW w:w="1307" w:type="pct"/>
            <w:tcBorders>
              <w:top w:val="nil"/>
              <w:left w:val="nil"/>
              <w:bottom w:val="nil"/>
              <w:right w:val="nil"/>
            </w:tcBorders>
            <w:shd w:val="clear" w:color="auto" w:fill="auto"/>
            <w:vAlign w:val="bottom"/>
            <w:hideMark/>
          </w:tcPr>
          <w:p w14:paraId="6682829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22:1n-11</w:t>
            </w:r>
          </w:p>
        </w:tc>
        <w:tc>
          <w:tcPr>
            <w:tcW w:w="515" w:type="pct"/>
            <w:tcBorders>
              <w:top w:val="nil"/>
              <w:left w:val="nil"/>
              <w:bottom w:val="nil"/>
              <w:right w:val="nil"/>
            </w:tcBorders>
            <w:shd w:val="clear" w:color="auto" w:fill="auto"/>
            <w:noWrap/>
            <w:vAlign w:val="bottom"/>
            <w:hideMark/>
          </w:tcPr>
          <w:p w14:paraId="37D86CB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1.99 ± 1.93</w:t>
            </w:r>
          </w:p>
        </w:tc>
        <w:tc>
          <w:tcPr>
            <w:tcW w:w="559" w:type="pct"/>
            <w:tcBorders>
              <w:top w:val="nil"/>
              <w:left w:val="nil"/>
              <w:bottom w:val="nil"/>
              <w:right w:val="nil"/>
            </w:tcBorders>
            <w:shd w:val="clear" w:color="auto" w:fill="auto"/>
            <w:noWrap/>
            <w:vAlign w:val="bottom"/>
            <w:hideMark/>
          </w:tcPr>
          <w:p w14:paraId="04CE7E9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1.99 ± 1.93</w:t>
            </w:r>
          </w:p>
        </w:tc>
        <w:tc>
          <w:tcPr>
            <w:tcW w:w="515" w:type="pct"/>
            <w:tcBorders>
              <w:top w:val="nil"/>
              <w:left w:val="nil"/>
              <w:bottom w:val="nil"/>
              <w:right w:val="nil"/>
            </w:tcBorders>
            <w:shd w:val="clear" w:color="auto" w:fill="auto"/>
            <w:noWrap/>
            <w:vAlign w:val="bottom"/>
            <w:hideMark/>
          </w:tcPr>
          <w:p w14:paraId="00DC55B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0.91 ± 0.5</w:t>
            </w:r>
          </w:p>
        </w:tc>
        <w:tc>
          <w:tcPr>
            <w:tcW w:w="515" w:type="pct"/>
            <w:tcBorders>
              <w:top w:val="nil"/>
              <w:left w:val="nil"/>
              <w:bottom w:val="nil"/>
              <w:right w:val="nil"/>
            </w:tcBorders>
            <w:shd w:val="clear" w:color="auto" w:fill="auto"/>
            <w:noWrap/>
            <w:vAlign w:val="bottom"/>
            <w:hideMark/>
          </w:tcPr>
          <w:p w14:paraId="1FD0C03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0.86 ± 0.46</w:t>
            </w:r>
          </w:p>
        </w:tc>
        <w:tc>
          <w:tcPr>
            <w:tcW w:w="515" w:type="pct"/>
            <w:tcBorders>
              <w:top w:val="nil"/>
              <w:left w:val="nil"/>
              <w:bottom w:val="nil"/>
              <w:right w:val="nil"/>
            </w:tcBorders>
            <w:shd w:val="clear" w:color="auto" w:fill="auto"/>
            <w:noWrap/>
            <w:vAlign w:val="bottom"/>
            <w:hideMark/>
          </w:tcPr>
          <w:p w14:paraId="266AF86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1.11 ± 1.15</w:t>
            </w:r>
          </w:p>
        </w:tc>
        <w:tc>
          <w:tcPr>
            <w:tcW w:w="515" w:type="pct"/>
            <w:tcBorders>
              <w:top w:val="nil"/>
              <w:left w:val="nil"/>
              <w:bottom w:val="nil"/>
              <w:right w:val="nil"/>
            </w:tcBorders>
            <w:shd w:val="clear" w:color="auto" w:fill="auto"/>
            <w:noWrap/>
            <w:vAlign w:val="bottom"/>
            <w:hideMark/>
          </w:tcPr>
          <w:p w14:paraId="70C8D83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0.49 ± 0.19</w:t>
            </w:r>
          </w:p>
        </w:tc>
        <w:tc>
          <w:tcPr>
            <w:tcW w:w="559" w:type="pct"/>
            <w:tcBorders>
              <w:top w:val="nil"/>
              <w:left w:val="nil"/>
              <w:bottom w:val="nil"/>
              <w:right w:val="nil"/>
            </w:tcBorders>
            <w:shd w:val="clear" w:color="auto" w:fill="auto"/>
            <w:noWrap/>
            <w:vAlign w:val="bottom"/>
            <w:hideMark/>
          </w:tcPr>
          <w:p w14:paraId="641B355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29CBD747" w14:textId="77777777" w:rsidTr="0095549A">
        <w:trPr>
          <w:trHeight w:val="300"/>
        </w:trPr>
        <w:tc>
          <w:tcPr>
            <w:tcW w:w="1307" w:type="pct"/>
            <w:tcBorders>
              <w:top w:val="nil"/>
              <w:left w:val="nil"/>
              <w:bottom w:val="nil"/>
              <w:right w:val="nil"/>
            </w:tcBorders>
            <w:shd w:val="clear" w:color="auto" w:fill="auto"/>
            <w:vAlign w:val="bottom"/>
            <w:hideMark/>
          </w:tcPr>
          <w:p w14:paraId="0B357BB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22:1n-9cis</w:t>
            </w:r>
          </w:p>
        </w:tc>
        <w:tc>
          <w:tcPr>
            <w:tcW w:w="515" w:type="pct"/>
            <w:tcBorders>
              <w:top w:val="nil"/>
              <w:left w:val="nil"/>
              <w:bottom w:val="nil"/>
              <w:right w:val="nil"/>
            </w:tcBorders>
            <w:shd w:val="clear" w:color="auto" w:fill="auto"/>
            <w:noWrap/>
            <w:vAlign w:val="bottom"/>
            <w:hideMark/>
          </w:tcPr>
          <w:p w14:paraId="1DD802D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0.19</w:t>
            </w:r>
          </w:p>
        </w:tc>
        <w:tc>
          <w:tcPr>
            <w:tcW w:w="559" w:type="pct"/>
            <w:tcBorders>
              <w:top w:val="nil"/>
              <w:left w:val="nil"/>
              <w:bottom w:val="nil"/>
              <w:right w:val="nil"/>
            </w:tcBorders>
            <w:shd w:val="clear" w:color="auto" w:fill="auto"/>
            <w:noWrap/>
            <w:vAlign w:val="bottom"/>
            <w:hideMark/>
          </w:tcPr>
          <w:p w14:paraId="02F09C2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0.19</w:t>
            </w:r>
          </w:p>
        </w:tc>
        <w:tc>
          <w:tcPr>
            <w:tcW w:w="515" w:type="pct"/>
            <w:tcBorders>
              <w:top w:val="nil"/>
              <w:left w:val="nil"/>
              <w:bottom w:val="nil"/>
              <w:right w:val="nil"/>
            </w:tcBorders>
            <w:shd w:val="clear" w:color="auto" w:fill="auto"/>
            <w:noWrap/>
            <w:vAlign w:val="bottom"/>
            <w:hideMark/>
          </w:tcPr>
          <w:p w14:paraId="63A444E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0.1</w:t>
            </w:r>
          </w:p>
        </w:tc>
        <w:tc>
          <w:tcPr>
            <w:tcW w:w="515" w:type="pct"/>
            <w:tcBorders>
              <w:top w:val="nil"/>
              <w:left w:val="nil"/>
              <w:bottom w:val="nil"/>
              <w:right w:val="nil"/>
            </w:tcBorders>
            <w:shd w:val="clear" w:color="auto" w:fill="auto"/>
            <w:noWrap/>
            <w:vAlign w:val="bottom"/>
            <w:hideMark/>
          </w:tcPr>
          <w:p w14:paraId="2FF405E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0.27 ± 0.03</w:t>
            </w:r>
          </w:p>
        </w:tc>
        <w:tc>
          <w:tcPr>
            <w:tcW w:w="515" w:type="pct"/>
            <w:tcBorders>
              <w:top w:val="nil"/>
              <w:left w:val="nil"/>
              <w:bottom w:val="nil"/>
              <w:right w:val="nil"/>
            </w:tcBorders>
            <w:shd w:val="clear" w:color="auto" w:fill="auto"/>
            <w:noWrap/>
            <w:vAlign w:val="bottom"/>
            <w:hideMark/>
          </w:tcPr>
          <w:p w14:paraId="3F928B7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 ± 0.08</w:t>
            </w:r>
          </w:p>
        </w:tc>
        <w:tc>
          <w:tcPr>
            <w:tcW w:w="515" w:type="pct"/>
            <w:tcBorders>
              <w:top w:val="nil"/>
              <w:left w:val="nil"/>
              <w:bottom w:val="nil"/>
              <w:right w:val="nil"/>
            </w:tcBorders>
            <w:shd w:val="clear" w:color="auto" w:fill="auto"/>
            <w:noWrap/>
            <w:vAlign w:val="bottom"/>
            <w:hideMark/>
          </w:tcPr>
          <w:p w14:paraId="73FE12D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 ± 0.06</w:t>
            </w:r>
          </w:p>
        </w:tc>
        <w:tc>
          <w:tcPr>
            <w:tcW w:w="559" w:type="pct"/>
            <w:tcBorders>
              <w:top w:val="nil"/>
              <w:left w:val="nil"/>
              <w:bottom w:val="nil"/>
              <w:right w:val="nil"/>
            </w:tcBorders>
            <w:shd w:val="clear" w:color="auto" w:fill="auto"/>
            <w:noWrap/>
            <w:vAlign w:val="bottom"/>
            <w:hideMark/>
          </w:tcPr>
          <w:p w14:paraId="75250F6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 ± 0.1</w:t>
            </w:r>
          </w:p>
        </w:tc>
      </w:tr>
      <w:tr w:rsidR="007053B4" w:rsidRPr="00FA7D47" w14:paraId="29B77559" w14:textId="77777777" w:rsidTr="0095549A">
        <w:trPr>
          <w:trHeight w:val="300"/>
        </w:trPr>
        <w:tc>
          <w:tcPr>
            <w:tcW w:w="1307" w:type="pct"/>
            <w:tcBorders>
              <w:top w:val="nil"/>
              <w:left w:val="nil"/>
              <w:bottom w:val="nil"/>
              <w:right w:val="nil"/>
            </w:tcBorders>
            <w:shd w:val="clear" w:color="auto" w:fill="auto"/>
            <w:vAlign w:val="bottom"/>
            <w:hideMark/>
          </w:tcPr>
          <w:p w14:paraId="0C0E8CF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22:1 NMID</w:t>
            </w:r>
          </w:p>
        </w:tc>
        <w:tc>
          <w:tcPr>
            <w:tcW w:w="515" w:type="pct"/>
            <w:tcBorders>
              <w:top w:val="nil"/>
              <w:left w:val="nil"/>
              <w:bottom w:val="nil"/>
              <w:right w:val="nil"/>
            </w:tcBorders>
            <w:shd w:val="clear" w:color="auto" w:fill="auto"/>
            <w:noWrap/>
            <w:vAlign w:val="bottom"/>
            <w:hideMark/>
          </w:tcPr>
          <w:p w14:paraId="2541E4B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0.55 ± 0.24</w:t>
            </w:r>
          </w:p>
        </w:tc>
        <w:tc>
          <w:tcPr>
            <w:tcW w:w="559" w:type="pct"/>
            <w:tcBorders>
              <w:top w:val="nil"/>
              <w:left w:val="nil"/>
              <w:bottom w:val="nil"/>
              <w:right w:val="nil"/>
            </w:tcBorders>
            <w:shd w:val="clear" w:color="auto" w:fill="auto"/>
            <w:noWrap/>
            <w:vAlign w:val="bottom"/>
            <w:hideMark/>
          </w:tcPr>
          <w:p w14:paraId="6BEF772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0.55 ± 0.24</w:t>
            </w:r>
          </w:p>
        </w:tc>
        <w:tc>
          <w:tcPr>
            <w:tcW w:w="515" w:type="pct"/>
            <w:tcBorders>
              <w:top w:val="nil"/>
              <w:left w:val="nil"/>
              <w:bottom w:val="nil"/>
              <w:right w:val="nil"/>
            </w:tcBorders>
            <w:shd w:val="clear" w:color="auto" w:fill="auto"/>
            <w:noWrap/>
            <w:vAlign w:val="bottom"/>
            <w:hideMark/>
          </w:tcPr>
          <w:p w14:paraId="5CB9E72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0.41 ± 0.13</w:t>
            </w:r>
          </w:p>
        </w:tc>
        <w:tc>
          <w:tcPr>
            <w:tcW w:w="515" w:type="pct"/>
            <w:tcBorders>
              <w:top w:val="nil"/>
              <w:left w:val="nil"/>
              <w:bottom w:val="nil"/>
              <w:right w:val="nil"/>
            </w:tcBorders>
            <w:shd w:val="clear" w:color="auto" w:fill="auto"/>
            <w:noWrap/>
            <w:vAlign w:val="bottom"/>
            <w:hideMark/>
          </w:tcPr>
          <w:p w14:paraId="62E4DB6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0.36 ± 0.27</w:t>
            </w:r>
          </w:p>
        </w:tc>
        <w:tc>
          <w:tcPr>
            <w:tcW w:w="515" w:type="pct"/>
            <w:tcBorders>
              <w:top w:val="nil"/>
              <w:left w:val="nil"/>
              <w:bottom w:val="nil"/>
              <w:right w:val="nil"/>
            </w:tcBorders>
            <w:shd w:val="clear" w:color="auto" w:fill="auto"/>
            <w:noWrap/>
            <w:vAlign w:val="bottom"/>
            <w:hideMark/>
          </w:tcPr>
          <w:p w14:paraId="00C1759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0.42 ± 0.04</w:t>
            </w:r>
          </w:p>
        </w:tc>
        <w:tc>
          <w:tcPr>
            <w:tcW w:w="515" w:type="pct"/>
            <w:tcBorders>
              <w:top w:val="nil"/>
              <w:left w:val="nil"/>
              <w:bottom w:val="nil"/>
              <w:right w:val="nil"/>
            </w:tcBorders>
            <w:shd w:val="clear" w:color="auto" w:fill="auto"/>
            <w:noWrap/>
            <w:vAlign w:val="bottom"/>
            <w:hideMark/>
          </w:tcPr>
          <w:p w14:paraId="18C877F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 ± 0.17</w:t>
            </w:r>
          </w:p>
        </w:tc>
        <w:tc>
          <w:tcPr>
            <w:tcW w:w="559" w:type="pct"/>
            <w:tcBorders>
              <w:top w:val="nil"/>
              <w:left w:val="nil"/>
              <w:bottom w:val="nil"/>
              <w:right w:val="nil"/>
            </w:tcBorders>
            <w:shd w:val="clear" w:color="auto" w:fill="auto"/>
            <w:noWrap/>
            <w:vAlign w:val="bottom"/>
            <w:hideMark/>
          </w:tcPr>
          <w:p w14:paraId="5DAF50B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0.31 ± 0.27</w:t>
            </w:r>
          </w:p>
        </w:tc>
      </w:tr>
      <w:tr w:rsidR="007053B4" w:rsidRPr="00FA7D47" w14:paraId="29B1A8C9" w14:textId="77777777" w:rsidTr="0095549A">
        <w:trPr>
          <w:trHeight w:val="300"/>
        </w:trPr>
        <w:tc>
          <w:tcPr>
            <w:tcW w:w="1307" w:type="pct"/>
            <w:tcBorders>
              <w:top w:val="nil"/>
              <w:left w:val="nil"/>
              <w:bottom w:val="nil"/>
              <w:right w:val="nil"/>
            </w:tcBorders>
            <w:shd w:val="clear" w:color="auto" w:fill="auto"/>
            <w:vAlign w:val="bottom"/>
            <w:hideMark/>
          </w:tcPr>
          <w:p w14:paraId="7E1DADC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24:1n-9</w:t>
            </w:r>
          </w:p>
        </w:tc>
        <w:tc>
          <w:tcPr>
            <w:tcW w:w="515" w:type="pct"/>
            <w:tcBorders>
              <w:top w:val="nil"/>
              <w:left w:val="nil"/>
              <w:bottom w:val="nil"/>
              <w:right w:val="nil"/>
            </w:tcBorders>
            <w:shd w:val="clear" w:color="auto" w:fill="auto"/>
            <w:noWrap/>
            <w:vAlign w:val="bottom"/>
            <w:hideMark/>
          </w:tcPr>
          <w:p w14:paraId="53A15C7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0.26 ± 0.23</w:t>
            </w:r>
          </w:p>
        </w:tc>
        <w:tc>
          <w:tcPr>
            <w:tcW w:w="559" w:type="pct"/>
            <w:tcBorders>
              <w:top w:val="nil"/>
              <w:left w:val="nil"/>
              <w:bottom w:val="nil"/>
              <w:right w:val="nil"/>
            </w:tcBorders>
            <w:shd w:val="clear" w:color="auto" w:fill="auto"/>
            <w:noWrap/>
            <w:vAlign w:val="bottom"/>
            <w:hideMark/>
          </w:tcPr>
          <w:p w14:paraId="7065876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0.26 ± 0.23</w:t>
            </w:r>
          </w:p>
        </w:tc>
        <w:tc>
          <w:tcPr>
            <w:tcW w:w="515" w:type="pct"/>
            <w:tcBorders>
              <w:top w:val="nil"/>
              <w:left w:val="nil"/>
              <w:bottom w:val="nil"/>
              <w:right w:val="nil"/>
            </w:tcBorders>
            <w:shd w:val="clear" w:color="auto" w:fill="auto"/>
            <w:noWrap/>
            <w:vAlign w:val="bottom"/>
            <w:hideMark/>
          </w:tcPr>
          <w:p w14:paraId="0208D83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 ± 0.2</w:t>
            </w:r>
          </w:p>
        </w:tc>
        <w:tc>
          <w:tcPr>
            <w:tcW w:w="515" w:type="pct"/>
            <w:tcBorders>
              <w:top w:val="nil"/>
              <w:left w:val="nil"/>
              <w:bottom w:val="nil"/>
              <w:right w:val="nil"/>
            </w:tcBorders>
            <w:shd w:val="clear" w:color="auto" w:fill="auto"/>
            <w:noWrap/>
            <w:vAlign w:val="bottom"/>
            <w:hideMark/>
          </w:tcPr>
          <w:p w14:paraId="285B35E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0.07 ± 0.08</w:t>
            </w:r>
          </w:p>
        </w:tc>
        <w:tc>
          <w:tcPr>
            <w:tcW w:w="515" w:type="pct"/>
            <w:tcBorders>
              <w:top w:val="nil"/>
              <w:left w:val="nil"/>
              <w:bottom w:val="nil"/>
              <w:right w:val="nil"/>
            </w:tcBorders>
            <w:shd w:val="clear" w:color="auto" w:fill="auto"/>
            <w:noWrap/>
            <w:vAlign w:val="bottom"/>
            <w:hideMark/>
          </w:tcPr>
          <w:p w14:paraId="4E2FD82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0.08 ± 0.12</w:t>
            </w:r>
          </w:p>
        </w:tc>
        <w:tc>
          <w:tcPr>
            <w:tcW w:w="515" w:type="pct"/>
            <w:tcBorders>
              <w:top w:val="nil"/>
              <w:left w:val="nil"/>
              <w:bottom w:val="nil"/>
              <w:right w:val="nil"/>
            </w:tcBorders>
            <w:shd w:val="clear" w:color="auto" w:fill="auto"/>
            <w:noWrap/>
            <w:vAlign w:val="bottom"/>
            <w:hideMark/>
          </w:tcPr>
          <w:p w14:paraId="1C843CF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c>
          <w:tcPr>
            <w:tcW w:w="559" w:type="pct"/>
            <w:tcBorders>
              <w:top w:val="nil"/>
              <w:left w:val="nil"/>
              <w:bottom w:val="nil"/>
              <w:right w:val="nil"/>
            </w:tcBorders>
            <w:shd w:val="clear" w:color="auto" w:fill="auto"/>
            <w:noWrap/>
            <w:vAlign w:val="bottom"/>
            <w:hideMark/>
          </w:tcPr>
          <w:p w14:paraId="18239F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5D3E0B6D" w14:textId="77777777" w:rsidTr="0095549A">
        <w:trPr>
          <w:trHeight w:val="615"/>
        </w:trPr>
        <w:tc>
          <w:tcPr>
            <w:tcW w:w="1307" w:type="pct"/>
            <w:tcBorders>
              <w:top w:val="single" w:sz="4" w:space="0" w:color="auto"/>
              <w:left w:val="nil"/>
              <w:bottom w:val="single" w:sz="8" w:space="0" w:color="auto"/>
              <w:right w:val="nil"/>
            </w:tcBorders>
            <w:shd w:val="clear" w:color="auto" w:fill="auto"/>
            <w:vAlign w:val="bottom"/>
            <w:hideMark/>
          </w:tcPr>
          <w:p w14:paraId="1FA4E0F1"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total monounsaturated</w:t>
            </w:r>
          </w:p>
        </w:tc>
        <w:tc>
          <w:tcPr>
            <w:tcW w:w="515" w:type="pct"/>
            <w:tcBorders>
              <w:top w:val="single" w:sz="4" w:space="0" w:color="auto"/>
              <w:left w:val="nil"/>
              <w:bottom w:val="single" w:sz="8" w:space="0" w:color="auto"/>
              <w:right w:val="nil"/>
            </w:tcBorders>
            <w:shd w:val="clear" w:color="auto" w:fill="auto"/>
            <w:noWrap/>
            <w:vAlign w:val="bottom"/>
            <w:hideMark/>
          </w:tcPr>
          <w:p w14:paraId="135640B1"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41.55 ± 4.32</w:t>
            </w:r>
          </w:p>
        </w:tc>
        <w:tc>
          <w:tcPr>
            <w:tcW w:w="559" w:type="pct"/>
            <w:tcBorders>
              <w:top w:val="single" w:sz="4" w:space="0" w:color="auto"/>
              <w:left w:val="nil"/>
              <w:bottom w:val="single" w:sz="8" w:space="0" w:color="auto"/>
              <w:right w:val="nil"/>
            </w:tcBorders>
            <w:shd w:val="clear" w:color="auto" w:fill="auto"/>
            <w:noWrap/>
            <w:vAlign w:val="bottom"/>
            <w:hideMark/>
          </w:tcPr>
          <w:p w14:paraId="6EFC702F"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41.55 ± 4.32</w:t>
            </w:r>
          </w:p>
        </w:tc>
        <w:tc>
          <w:tcPr>
            <w:tcW w:w="515" w:type="pct"/>
            <w:tcBorders>
              <w:top w:val="single" w:sz="4" w:space="0" w:color="auto"/>
              <w:left w:val="nil"/>
              <w:bottom w:val="single" w:sz="8" w:space="0" w:color="auto"/>
              <w:right w:val="nil"/>
            </w:tcBorders>
            <w:shd w:val="clear" w:color="auto" w:fill="auto"/>
            <w:noWrap/>
            <w:vAlign w:val="bottom"/>
            <w:hideMark/>
          </w:tcPr>
          <w:p w14:paraId="6568A984"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35.05 ± 7.34</w:t>
            </w:r>
          </w:p>
        </w:tc>
        <w:tc>
          <w:tcPr>
            <w:tcW w:w="515" w:type="pct"/>
            <w:tcBorders>
              <w:top w:val="single" w:sz="4" w:space="0" w:color="auto"/>
              <w:left w:val="nil"/>
              <w:bottom w:val="single" w:sz="8" w:space="0" w:color="auto"/>
              <w:right w:val="nil"/>
            </w:tcBorders>
            <w:shd w:val="clear" w:color="auto" w:fill="auto"/>
            <w:noWrap/>
            <w:vAlign w:val="bottom"/>
            <w:hideMark/>
          </w:tcPr>
          <w:p w14:paraId="7B3C2343"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36.71 ± 5.89</w:t>
            </w:r>
          </w:p>
        </w:tc>
        <w:tc>
          <w:tcPr>
            <w:tcW w:w="515" w:type="pct"/>
            <w:tcBorders>
              <w:top w:val="single" w:sz="4" w:space="0" w:color="auto"/>
              <w:left w:val="nil"/>
              <w:bottom w:val="single" w:sz="8" w:space="0" w:color="auto"/>
              <w:right w:val="nil"/>
            </w:tcBorders>
            <w:shd w:val="clear" w:color="auto" w:fill="auto"/>
            <w:noWrap/>
            <w:vAlign w:val="bottom"/>
            <w:hideMark/>
          </w:tcPr>
          <w:p w14:paraId="4D21BA46"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35.38 ± 5.03</w:t>
            </w:r>
          </w:p>
        </w:tc>
        <w:tc>
          <w:tcPr>
            <w:tcW w:w="515" w:type="pct"/>
            <w:tcBorders>
              <w:top w:val="single" w:sz="4" w:space="0" w:color="auto"/>
              <w:left w:val="nil"/>
              <w:bottom w:val="single" w:sz="8" w:space="0" w:color="auto"/>
              <w:right w:val="nil"/>
            </w:tcBorders>
            <w:shd w:val="clear" w:color="auto" w:fill="auto"/>
            <w:noWrap/>
            <w:vAlign w:val="bottom"/>
            <w:hideMark/>
          </w:tcPr>
          <w:p w14:paraId="21F3EFDD"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35.43 ± 1.74</w:t>
            </w:r>
          </w:p>
        </w:tc>
        <w:tc>
          <w:tcPr>
            <w:tcW w:w="559" w:type="pct"/>
            <w:tcBorders>
              <w:top w:val="single" w:sz="4" w:space="0" w:color="auto"/>
              <w:left w:val="nil"/>
              <w:bottom w:val="single" w:sz="8" w:space="0" w:color="auto"/>
              <w:right w:val="nil"/>
            </w:tcBorders>
            <w:shd w:val="clear" w:color="auto" w:fill="auto"/>
            <w:noWrap/>
            <w:vAlign w:val="bottom"/>
            <w:hideMark/>
          </w:tcPr>
          <w:p w14:paraId="2645C25C"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29.88 ± 2.96</w:t>
            </w:r>
          </w:p>
        </w:tc>
      </w:tr>
      <w:tr w:rsidR="007053B4" w:rsidRPr="00FA7D47" w14:paraId="5F9B4D3E" w14:textId="77777777" w:rsidTr="0095549A">
        <w:trPr>
          <w:trHeight w:val="300"/>
        </w:trPr>
        <w:tc>
          <w:tcPr>
            <w:tcW w:w="1307" w:type="pct"/>
            <w:tcBorders>
              <w:top w:val="nil"/>
              <w:left w:val="nil"/>
              <w:bottom w:val="nil"/>
              <w:right w:val="nil"/>
            </w:tcBorders>
            <w:shd w:val="clear" w:color="auto" w:fill="auto"/>
            <w:vAlign w:val="bottom"/>
            <w:hideMark/>
          </w:tcPr>
          <w:p w14:paraId="304943C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18:2n-6</w:t>
            </w:r>
          </w:p>
        </w:tc>
        <w:tc>
          <w:tcPr>
            <w:tcW w:w="515" w:type="pct"/>
            <w:tcBorders>
              <w:top w:val="nil"/>
              <w:left w:val="nil"/>
              <w:bottom w:val="nil"/>
              <w:right w:val="nil"/>
            </w:tcBorders>
            <w:shd w:val="clear" w:color="auto" w:fill="auto"/>
            <w:noWrap/>
            <w:vAlign w:val="bottom"/>
            <w:hideMark/>
          </w:tcPr>
          <w:p w14:paraId="05BA8B8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0.86 ± 0.18</w:t>
            </w:r>
          </w:p>
        </w:tc>
        <w:tc>
          <w:tcPr>
            <w:tcW w:w="559" w:type="pct"/>
            <w:tcBorders>
              <w:top w:val="nil"/>
              <w:left w:val="nil"/>
              <w:bottom w:val="nil"/>
              <w:right w:val="nil"/>
            </w:tcBorders>
            <w:shd w:val="clear" w:color="auto" w:fill="auto"/>
            <w:noWrap/>
            <w:vAlign w:val="bottom"/>
            <w:hideMark/>
          </w:tcPr>
          <w:p w14:paraId="608695A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0.86 ± 0.18</w:t>
            </w:r>
          </w:p>
        </w:tc>
        <w:tc>
          <w:tcPr>
            <w:tcW w:w="515" w:type="pct"/>
            <w:tcBorders>
              <w:top w:val="nil"/>
              <w:left w:val="nil"/>
              <w:bottom w:val="nil"/>
              <w:right w:val="nil"/>
            </w:tcBorders>
            <w:shd w:val="clear" w:color="auto" w:fill="auto"/>
            <w:noWrap/>
            <w:vAlign w:val="bottom"/>
            <w:hideMark/>
          </w:tcPr>
          <w:p w14:paraId="2627ED9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1.14 ± 0.25</w:t>
            </w:r>
          </w:p>
        </w:tc>
        <w:tc>
          <w:tcPr>
            <w:tcW w:w="515" w:type="pct"/>
            <w:tcBorders>
              <w:top w:val="nil"/>
              <w:left w:val="nil"/>
              <w:bottom w:val="nil"/>
              <w:right w:val="nil"/>
            </w:tcBorders>
            <w:shd w:val="clear" w:color="auto" w:fill="auto"/>
            <w:noWrap/>
            <w:vAlign w:val="bottom"/>
            <w:hideMark/>
          </w:tcPr>
          <w:p w14:paraId="64D20C4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1.42 ± 1.25</w:t>
            </w:r>
          </w:p>
        </w:tc>
        <w:tc>
          <w:tcPr>
            <w:tcW w:w="515" w:type="pct"/>
            <w:tcBorders>
              <w:top w:val="nil"/>
              <w:left w:val="nil"/>
              <w:bottom w:val="nil"/>
              <w:right w:val="nil"/>
            </w:tcBorders>
            <w:shd w:val="clear" w:color="auto" w:fill="auto"/>
            <w:noWrap/>
            <w:vAlign w:val="bottom"/>
            <w:hideMark/>
          </w:tcPr>
          <w:p w14:paraId="692EAF0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0.77 ± 0.4</w:t>
            </w:r>
          </w:p>
        </w:tc>
        <w:tc>
          <w:tcPr>
            <w:tcW w:w="515" w:type="pct"/>
            <w:tcBorders>
              <w:top w:val="nil"/>
              <w:left w:val="nil"/>
              <w:bottom w:val="nil"/>
              <w:right w:val="nil"/>
            </w:tcBorders>
            <w:shd w:val="clear" w:color="auto" w:fill="auto"/>
            <w:noWrap/>
            <w:vAlign w:val="bottom"/>
            <w:hideMark/>
          </w:tcPr>
          <w:p w14:paraId="3EFD7D3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 ± 1.12</w:t>
            </w:r>
          </w:p>
        </w:tc>
        <w:tc>
          <w:tcPr>
            <w:tcW w:w="559" w:type="pct"/>
            <w:tcBorders>
              <w:top w:val="nil"/>
              <w:left w:val="nil"/>
              <w:bottom w:val="nil"/>
              <w:right w:val="nil"/>
            </w:tcBorders>
            <w:shd w:val="clear" w:color="auto" w:fill="auto"/>
            <w:noWrap/>
            <w:vAlign w:val="bottom"/>
            <w:hideMark/>
          </w:tcPr>
          <w:p w14:paraId="1DB90FA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0.61 ± 0.34</w:t>
            </w:r>
          </w:p>
        </w:tc>
      </w:tr>
      <w:tr w:rsidR="007053B4" w:rsidRPr="00FA7D47" w14:paraId="081DC7E7" w14:textId="77777777" w:rsidTr="0095549A">
        <w:trPr>
          <w:trHeight w:val="300"/>
        </w:trPr>
        <w:tc>
          <w:tcPr>
            <w:tcW w:w="1307" w:type="pct"/>
            <w:tcBorders>
              <w:top w:val="nil"/>
              <w:left w:val="nil"/>
              <w:bottom w:val="nil"/>
              <w:right w:val="nil"/>
            </w:tcBorders>
            <w:shd w:val="clear" w:color="auto" w:fill="auto"/>
            <w:vAlign w:val="bottom"/>
            <w:hideMark/>
          </w:tcPr>
          <w:p w14:paraId="63EF24D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18:3n-6</w:t>
            </w:r>
          </w:p>
        </w:tc>
        <w:tc>
          <w:tcPr>
            <w:tcW w:w="515" w:type="pct"/>
            <w:tcBorders>
              <w:top w:val="nil"/>
              <w:left w:val="nil"/>
              <w:bottom w:val="nil"/>
              <w:right w:val="nil"/>
            </w:tcBorders>
            <w:shd w:val="clear" w:color="auto" w:fill="auto"/>
            <w:noWrap/>
            <w:vAlign w:val="bottom"/>
            <w:hideMark/>
          </w:tcPr>
          <w:p w14:paraId="6865BD8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0.15</w:t>
            </w:r>
          </w:p>
        </w:tc>
        <w:tc>
          <w:tcPr>
            <w:tcW w:w="559" w:type="pct"/>
            <w:tcBorders>
              <w:top w:val="nil"/>
              <w:left w:val="nil"/>
              <w:bottom w:val="nil"/>
              <w:right w:val="nil"/>
            </w:tcBorders>
            <w:shd w:val="clear" w:color="auto" w:fill="auto"/>
            <w:noWrap/>
            <w:vAlign w:val="bottom"/>
            <w:hideMark/>
          </w:tcPr>
          <w:p w14:paraId="2224A0F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0.15</w:t>
            </w:r>
          </w:p>
        </w:tc>
        <w:tc>
          <w:tcPr>
            <w:tcW w:w="515" w:type="pct"/>
            <w:tcBorders>
              <w:top w:val="nil"/>
              <w:left w:val="nil"/>
              <w:bottom w:val="nil"/>
              <w:right w:val="nil"/>
            </w:tcBorders>
            <w:shd w:val="clear" w:color="auto" w:fill="auto"/>
            <w:noWrap/>
            <w:vAlign w:val="bottom"/>
            <w:hideMark/>
          </w:tcPr>
          <w:p w14:paraId="723FCAB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0.16 ± 0.12</w:t>
            </w:r>
          </w:p>
        </w:tc>
        <w:tc>
          <w:tcPr>
            <w:tcW w:w="515" w:type="pct"/>
            <w:tcBorders>
              <w:top w:val="nil"/>
              <w:left w:val="nil"/>
              <w:bottom w:val="nil"/>
              <w:right w:val="nil"/>
            </w:tcBorders>
            <w:shd w:val="clear" w:color="auto" w:fill="auto"/>
            <w:noWrap/>
            <w:vAlign w:val="bottom"/>
            <w:hideMark/>
          </w:tcPr>
          <w:p w14:paraId="144FD38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0.14</w:t>
            </w:r>
          </w:p>
        </w:tc>
        <w:tc>
          <w:tcPr>
            <w:tcW w:w="515" w:type="pct"/>
            <w:tcBorders>
              <w:top w:val="nil"/>
              <w:left w:val="nil"/>
              <w:bottom w:val="nil"/>
              <w:right w:val="nil"/>
            </w:tcBorders>
            <w:shd w:val="clear" w:color="auto" w:fill="auto"/>
            <w:noWrap/>
            <w:vAlign w:val="bottom"/>
            <w:hideMark/>
          </w:tcPr>
          <w:p w14:paraId="557292D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0.16 ± 0.09</w:t>
            </w:r>
          </w:p>
        </w:tc>
        <w:tc>
          <w:tcPr>
            <w:tcW w:w="515" w:type="pct"/>
            <w:tcBorders>
              <w:top w:val="nil"/>
              <w:left w:val="nil"/>
              <w:bottom w:val="nil"/>
              <w:right w:val="nil"/>
            </w:tcBorders>
            <w:shd w:val="clear" w:color="auto" w:fill="auto"/>
            <w:noWrap/>
            <w:vAlign w:val="bottom"/>
            <w:hideMark/>
          </w:tcPr>
          <w:p w14:paraId="277765A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w:t>
            </w:r>
          </w:p>
        </w:tc>
        <w:tc>
          <w:tcPr>
            <w:tcW w:w="559" w:type="pct"/>
            <w:tcBorders>
              <w:top w:val="nil"/>
              <w:left w:val="nil"/>
              <w:bottom w:val="nil"/>
              <w:right w:val="nil"/>
            </w:tcBorders>
            <w:shd w:val="clear" w:color="auto" w:fill="auto"/>
            <w:noWrap/>
            <w:vAlign w:val="bottom"/>
            <w:hideMark/>
          </w:tcPr>
          <w:p w14:paraId="2A833F3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0.09 ± 0.08</w:t>
            </w:r>
          </w:p>
        </w:tc>
      </w:tr>
      <w:tr w:rsidR="007053B4" w:rsidRPr="00FA7D47" w14:paraId="6417CD75" w14:textId="77777777" w:rsidTr="0095549A">
        <w:trPr>
          <w:trHeight w:val="300"/>
        </w:trPr>
        <w:tc>
          <w:tcPr>
            <w:tcW w:w="1307" w:type="pct"/>
            <w:tcBorders>
              <w:top w:val="nil"/>
              <w:left w:val="nil"/>
              <w:bottom w:val="nil"/>
              <w:right w:val="nil"/>
            </w:tcBorders>
            <w:shd w:val="clear" w:color="auto" w:fill="auto"/>
            <w:vAlign w:val="bottom"/>
            <w:hideMark/>
          </w:tcPr>
          <w:p w14:paraId="798A99F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20:2n-6</w:t>
            </w:r>
          </w:p>
        </w:tc>
        <w:tc>
          <w:tcPr>
            <w:tcW w:w="515" w:type="pct"/>
            <w:tcBorders>
              <w:top w:val="nil"/>
              <w:left w:val="nil"/>
              <w:bottom w:val="nil"/>
              <w:right w:val="nil"/>
            </w:tcBorders>
            <w:shd w:val="clear" w:color="auto" w:fill="auto"/>
            <w:noWrap/>
            <w:vAlign w:val="bottom"/>
            <w:hideMark/>
          </w:tcPr>
          <w:p w14:paraId="5542A48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0.98 ± 0.33</w:t>
            </w:r>
          </w:p>
        </w:tc>
        <w:tc>
          <w:tcPr>
            <w:tcW w:w="559" w:type="pct"/>
            <w:tcBorders>
              <w:top w:val="nil"/>
              <w:left w:val="nil"/>
              <w:bottom w:val="nil"/>
              <w:right w:val="nil"/>
            </w:tcBorders>
            <w:shd w:val="clear" w:color="auto" w:fill="auto"/>
            <w:noWrap/>
            <w:vAlign w:val="bottom"/>
            <w:hideMark/>
          </w:tcPr>
          <w:p w14:paraId="78ADACD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0.98 ± 0.33</w:t>
            </w:r>
          </w:p>
        </w:tc>
        <w:tc>
          <w:tcPr>
            <w:tcW w:w="515" w:type="pct"/>
            <w:tcBorders>
              <w:top w:val="nil"/>
              <w:left w:val="nil"/>
              <w:bottom w:val="nil"/>
              <w:right w:val="nil"/>
            </w:tcBorders>
            <w:shd w:val="clear" w:color="auto" w:fill="auto"/>
            <w:noWrap/>
            <w:vAlign w:val="bottom"/>
            <w:hideMark/>
          </w:tcPr>
          <w:p w14:paraId="39CBEAD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0.94 ± 0.54</w:t>
            </w:r>
          </w:p>
        </w:tc>
        <w:tc>
          <w:tcPr>
            <w:tcW w:w="515" w:type="pct"/>
            <w:tcBorders>
              <w:top w:val="nil"/>
              <w:left w:val="nil"/>
              <w:bottom w:val="nil"/>
              <w:right w:val="nil"/>
            </w:tcBorders>
            <w:shd w:val="clear" w:color="auto" w:fill="auto"/>
            <w:noWrap/>
            <w:vAlign w:val="bottom"/>
            <w:hideMark/>
          </w:tcPr>
          <w:p w14:paraId="5EFC884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1.05 ± 0.42</w:t>
            </w:r>
          </w:p>
        </w:tc>
        <w:tc>
          <w:tcPr>
            <w:tcW w:w="515" w:type="pct"/>
            <w:tcBorders>
              <w:top w:val="nil"/>
              <w:left w:val="nil"/>
              <w:bottom w:val="nil"/>
              <w:right w:val="nil"/>
            </w:tcBorders>
            <w:shd w:val="clear" w:color="auto" w:fill="auto"/>
            <w:noWrap/>
            <w:vAlign w:val="bottom"/>
            <w:hideMark/>
          </w:tcPr>
          <w:p w14:paraId="1904EDA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1.13 ± 0.28</w:t>
            </w:r>
          </w:p>
        </w:tc>
        <w:tc>
          <w:tcPr>
            <w:tcW w:w="515" w:type="pct"/>
            <w:tcBorders>
              <w:top w:val="nil"/>
              <w:left w:val="nil"/>
              <w:bottom w:val="nil"/>
              <w:right w:val="nil"/>
            </w:tcBorders>
            <w:shd w:val="clear" w:color="auto" w:fill="auto"/>
            <w:noWrap/>
            <w:vAlign w:val="bottom"/>
            <w:hideMark/>
          </w:tcPr>
          <w:p w14:paraId="6D1DDBA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1.41 ± 0.36</w:t>
            </w:r>
          </w:p>
        </w:tc>
        <w:tc>
          <w:tcPr>
            <w:tcW w:w="559" w:type="pct"/>
            <w:tcBorders>
              <w:top w:val="nil"/>
              <w:left w:val="nil"/>
              <w:bottom w:val="nil"/>
              <w:right w:val="nil"/>
            </w:tcBorders>
            <w:shd w:val="clear" w:color="auto" w:fill="auto"/>
            <w:noWrap/>
            <w:vAlign w:val="bottom"/>
            <w:hideMark/>
          </w:tcPr>
          <w:p w14:paraId="2D81B55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0.21 ± 0.07</w:t>
            </w:r>
          </w:p>
        </w:tc>
      </w:tr>
      <w:tr w:rsidR="007053B4" w:rsidRPr="00FA7D47" w14:paraId="1F7623CE" w14:textId="77777777" w:rsidTr="0095549A">
        <w:trPr>
          <w:trHeight w:val="300"/>
        </w:trPr>
        <w:tc>
          <w:tcPr>
            <w:tcW w:w="1307" w:type="pct"/>
            <w:tcBorders>
              <w:top w:val="nil"/>
              <w:left w:val="nil"/>
              <w:bottom w:val="nil"/>
              <w:right w:val="nil"/>
            </w:tcBorders>
            <w:shd w:val="clear" w:color="auto" w:fill="auto"/>
            <w:vAlign w:val="bottom"/>
            <w:hideMark/>
          </w:tcPr>
          <w:p w14:paraId="0031FA7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20:3n-6</w:t>
            </w:r>
          </w:p>
        </w:tc>
        <w:tc>
          <w:tcPr>
            <w:tcW w:w="515" w:type="pct"/>
            <w:tcBorders>
              <w:top w:val="nil"/>
              <w:left w:val="nil"/>
              <w:bottom w:val="nil"/>
              <w:right w:val="nil"/>
            </w:tcBorders>
            <w:shd w:val="clear" w:color="auto" w:fill="auto"/>
            <w:noWrap/>
            <w:vAlign w:val="bottom"/>
            <w:hideMark/>
          </w:tcPr>
          <w:p w14:paraId="18617AF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0.19 ± 0.08</w:t>
            </w:r>
          </w:p>
        </w:tc>
        <w:tc>
          <w:tcPr>
            <w:tcW w:w="559" w:type="pct"/>
            <w:tcBorders>
              <w:top w:val="nil"/>
              <w:left w:val="nil"/>
              <w:bottom w:val="nil"/>
              <w:right w:val="nil"/>
            </w:tcBorders>
            <w:shd w:val="clear" w:color="auto" w:fill="auto"/>
            <w:noWrap/>
            <w:vAlign w:val="bottom"/>
            <w:hideMark/>
          </w:tcPr>
          <w:p w14:paraId="6EB7659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0.19 ± 0.08</w:t>
            </w:r>
          </w:p>
        </w:tc>
        <w:tc>
          <w:tcPr>
            <w:tcW w:w="515" w:type="pct"/>
            <w:tcBorders>
              <w:top w:val="nil"/>
              <w:left w:val="nil"/>
              <w:bottom w:val="nil"/>
              <w:right w:val="nil"/>
            </w:tcBorders>
            <w:shd w:val="clear" w:color="auto" w:fill="auto"/>
            <w:noWrap/>
            <w:vAlign w:val="bottom"/>
            <w:hideMark/>
          </w:tcPr>
          <w:p w14:paraId="0CC156D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0.32 ± 0.28</w:t>
            </w:r>
          </w:p>
        </w:tc>
        <w:tc>
          <w:tcPr>
            <w:tcW w:w="515" w:type="pct"/>
            <w:tcBorders>
              <w:top w:val="nil"/>
              <w:left w:val="nil"/>
              <w:bottom w:val="nil"/>
              <w:right w:val="nil"/>
            </w:tcBorders>
            <w:shd w:val="clear" w:color="auto" w:fill="auto"/>
            <w:noWrap/>
            <w:vAlign w:val="bottom"/>
            <w:hideMark/>
          </w:tcPr>
          <w:p w14:paraId="702D1AE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0.44 ± 0.34</w:t>
            </w:r>
          </w:p>
        </w:tc>
        <w:tc>
          <w:tcPr>
            <w:tcW w:w="515" w:type="pct"/>
            <w:tcBorders>
              <w:top w:val="nil"/>
              <w:left w:val="nil"/>
              <w:bottom w:val="nil"/>
              <w:right w:val="nil"/>
            </w:tcBorders>
            <w:shd w:val="clear" w:color="auto" w:fill="auto"/>
            <w:noWrap/>
            <w:vAlign w:val="bottom"/>
            <w:hideMark/>
          </w:tcPr>
          <w:p w14:paraId="0D6DA42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0.03</w:t>
            </w:r>
          </w:p>
        </w:tc>
        <w:tc>
          <w:tcPr>
            <w:tcW w:w="515" w:type="pct"/>
            <w:tcBorders>
              <w:top w:val="nil"/>
              <w:left w:val="nil"/>
              <w:bottom w:val="nil"/>
              <w:right w:val="nil"/>
            </w:tcBorders>
            <w:shd w:val="clear" w:color="auto" w:fill="auto"/>
            <w:noWrap/>
            <w:vAlign w:val="bottom"/>
            <w:hideMark/>
          </w:tcPr>
          <w:p w14:paraId="423F217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0.32 ± 0.06</w:t>
            </w:r>
          </w:p>
        </w:tc>
        <w:tc>
          <w:tcPr>
            <w:tcW w:w="559" w:type="pct"/>
            <w:tcBorders>
              <w:top w:val="nil"/>
              <w:left w:val="nil"/>
              <w:bottom w:val="nil"/>
              <w:right w:val="nil"/>
            </w:tcBorders>
            <w:shd w:val="clear" w:color="auto" w:fill="auto"/>
            <w:noWrap/>
            <w:vAlign w:val="bottom"/>
            <w:hideMark/>
          </w:tcPr>
          <w:p w14:paraId="0AF2CB8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54457AA0" w14:textId="77777777" w:rsidTr="0095549A">
        <w:trPr>
          <w:trHeight w:val="300"/>
        </w:trPr>
        <w:tc>
          <w:tcPr>
            <w:tcW w:w="1307" w:type="pct"/>
            <w:tcBorders>
              <w:top w:val="nil"/>
              <w:left w:val="nil"/>
              <w:bottom w:val="nil"/>
              <w:right w:val="nil"/>
            </w:tcBorders>
            <w:shd w:val="clear" w:color="auto" w:fill="auto"/>
            <w:vAlign w:val="bottom"/>
            <w:hideMark/>
          </w:tcPr>
          <w:p w14:paraId="124846B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20:4n-6</w:t>
            </w:r>
          </w:p>
        </w:tc>
        <w:tc>
          <w:tcPr>
            <w:tcW w:w="515" w:type="pct"/>
            <w:tcBorders>
              <w:top w:val="nil"/>
              <w:left w:val="nil"/>
              <w:bottom w:val="nil"/>
              <w:right w:val="nil"/>
            </w:tcBorders>
            <w:shd w:val="clear" w:color="auto" w:fill="auto"/>
            <w:noWrap/>
            <w:vAlign w:val="bottom"/>
            <w:hideMark/>
          </w:tcPr>
          <w:p w14:paraId="79CCB84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4.18 ± 1.36</w:t>
            </w:r>
          </w:p>
        </w:tc>
        <w:tc>
          <w:tcPr>
            <w:tcW w:w="559" w:type="pct"/>
            <w:tcBorders>
              <w:top w:val="nil"/>
              <w:left w:val="nil"/>
              <w:bottom w:val="nil"/>
              <w:right w:val="nil"/>
            </w:tcBorders>
            <w:shd w:val="clear" w:color="auto" w:fill="auto"/>
            <w:noWrap/>
            <w:vAlign w:val="bottom"/>
            <w:hideMark/>
          </w:tcPr>
          <w:p w14:paraId="3DC5B28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4.18 ± 1.36</w:t>
            </w:r>
          </w:p>
        </w:tc>
        <w:tc>
          <w:tcPr>
            <w:tcW w:w="515" w:type="pct"/>
            <w:tcBorders>
              <w:top w:val="nil"/>
              <w:left w:val="nil"/>
              <w:bottom w:val="nil"/>
              <w:right w:val="nil"/>
            </w:tcBorders>
            <w:shd w:val="clear" w:color="auto" w:fill="auto"/>
            <w:noWrap/>
            <w:vAlign w:val="bottom"/>
            <w:hideMark/>
          </w:tcPr>
          <w:p w14:paraId="645E333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5.37 ± 2.08</w:t>
            </w:r>
          </w:p>
        </w:tc>
        <w:tc>
          <w:tcPr>
            <w:tcW w:w="515" w:type="pct"/>
            <w:tcBorders>
              <w:top w:val="nil"/>
              <w:left w:val="nil"/>
              <w:bottom w:val="nil"/>
              <w:right w:val="nil"/>
            </w:tcBorders>
            <w:shd w:val="clear" w:color="auto" w:fill="auto"/>
            <w:noWrap/>
            <w:vAlign w:val="bottom"/>
            <w:hideMark/>
          </w:tcPr>
          <w:p w14:paraId="0CDFA6D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4.95 ± 0.95</w:t>
            </w:r>
          </w:p>
        </w:tc>
        <w:tc>
          <w:tcPr>
            <w:tcW w:w="515" w:type="pct"/>
            <w:tcBorders>
              <w:top w:val="nil"/>
              <w:left w:val="nil"/>
              <w:bottom w:val="nil"/>
              <w:right w:val="nil"/>
            </w:tcBorders>
            <w:shd w:val="clear" w:color="auto" w:fill="auto"/>
            <w:noWrap/>
            <w:vAlign w:val="bottom"/>
            <w:hideMark/>
          </w:tcPr>
          <w:p w14:paraId="7B10421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6.11 ± 1.18</w:t>
            </w:r>
          </w:p>
        </w:tc>
        <w:tc>
          <w:tcPr>
            <w:tcW w:w="515" w:type="pct"/>
            <w:tcBorders>
              <w:top w:val="nil"/>
              <w:left w:val="nil"/>
              <w:bottom w:val="nil"/>
              <w:right w:val="nil"/>
            </w:tcBorders>
            <w:shd w:val="clear" w:color="auto" w:fill="auto"/>
            <w:noWrap/>
            <w:vAlign w:val="bottom"/>
            <w:hideMark/>
          </w:tcPr>
          <w:p w14:paraId="39C58C0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6.47 ± 2.15</w:t>
            </w:r>
          </w:p>
        </w:tc>
        <w:tc>
          <w:tcPr>
            <w:tcW w:w="559" w:type="pct"/>
            <w:tcBorders>
              <w:top w:val="nil"/>
              <w:left w:val="nil"/>
              <w:bottom w:val="nil"/>
              <w:right w:val="nil"/>
            </w:tcBorders>
            <w:shd w:val="clear" w:color="auto" w:fill="auto"/>
            <w:noWrap/>
            <w:vAlign w:val="bottom"/>
            <w:hideMark/>
          </w:tcPr>
          <w:p w14:paraId="6A9AEB6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2.78 ± 0.63</w:t>
            </w:r>
          </w:p>
        </w:tc>
      </w:tr>
      <w:tr w:rsidR="007053B4" w:rsidRPr="00FA7D47" w14:paraId="3729EC2D" w14:textId="77777777" w:rsidTr="0095549A">
        <w:trPr>
          <w:trHeight w:val="300"/>
        </w:trPr>
        <w:tc>
          <w:tcPr>
            <w:tcW w:w="1307" w:type="pct"/>
            <w:tcBorders>
              <w:top w:val="nil"/>
              <w:left w:val="nil"/>
              <w:bottom w:val="nil"/>
              <w:right w:val="nil"/>
            </w:tcBorders>
            <w:shd w:val="clear" w:color="auto" w:fill="auto"/>
            <w:vAlign w:val="bottom"/>
            <w:hideMark/>
          </w:tcPr>
          <w:p w14:paraId="087E2C6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22:4n-6</w:t>
            </w:r>
          </w:p>
        </w:tc>
        <w:tc>
          <w:tcPr>
            <w:tcW w:w="515" w:type="pct"/>
            <w:tcBorders>
              <w:top w:val="nil"/>
              <w:left w:val="nil"/>
              <w:bottom w:val="nil"/>
              <w:right w:val="nil"/>
            </w:tcBorders>
            <w:shd w:val="clear" w:color="auto" w:fill="auto"/>
            <w:noWrap/>
            <w:vAlign w:val="bottom"/>
            <w:hideMark/>
          </w:tcPr>
          <w:p w14:paraId="6B7A7B4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0.67 ± 0.29</w:t>
            </w:r>
          </w:p>
        </w:tc>
        <w:tc>
          <w:tcPr>
            <w:tcW w:w="559" w:type="pct"/>
            <w:tcBorders>
              <w:top w:val="nil"/>
              <w:left w:val="nil"/>
              <w:bottom w:val="nil"/>
              <w:right w:val="nil"/>
            </w:tcBorders>
            <w:shd w:val="clear" w:color="auto" w:fill="auto"/>
            <w:noWrap/>
            <w:vAlign w:val="bottom"/>
            <w:hideMark/>
          </w:tcPr>
          <w:p w14:paraId="54D8496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0.67 ± 0.29</w:t>
            </w:r>
          </w:p>
        </w:tc>
        <w:tc>
          <w:tcPr>
            <w:tcW w:w="515" w:type="pct"/>
            <w:tcBorders>
              <w:top w:val="nil"/>
              <w:left w:val="nil"/>
              <w:bottom w:val="nil"/>
              <w:right w:val="nil"/>
            </w:tcBorders>
            <w:shd w:val="clear" w:color="auto" w:fill="auto"/>
            <w:noWrap/>
            <w:vAlign w:val="bottom"/>
            <w:hideMark/>
          </w:tcPr>
          <w:p w14:paraId="0884E2F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0.72 ± 0.3</w:t>
            </w:r>
          </w:p>
        </w:tc>
        <w:tc>
          <w:tcPr>
            <w:tcW w:w="515" w:type="pct"/>
            <w:tcBorders>
              <w:top w:val="nil"/>
              <w:left w:val="nil"/>
              <w:bottom w:val="nil"/>
              <w:right w:val="nil"/>
            </w:tcBorders>
            <w:shd w:val="clear" w:color="auto" w:fill="auto"/>
            <w:noWrap/>
            <w:vAlign w:val="bottom"/>
            <w:hideMark/>
          </w:tcPr>
          <w:p w14:paraId="6D02E7F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0.75 ± 0.3</w:t>
            </w:r>
          </w:p>
        </w:tc>
        <w:tc>
          <w:tcPr>
            <w:tcW w:w="515" w:type="pct"/>
            <w:tcBorders>
              <w:top w:val="nil"/>
              <w:left w:val="nil"/>
              <w:bottom w:val="nil"/>
              <w:right w:val="nil"/>
            </w:tcBorders>
            <w:shd w:val="clear" w:color="auto" w:fill="auto"/>
            <w:noWrap/>
            <w:vAlign w:val="bottom"/>
            <w:hideMark/>
          </w:tcPr>
          <w:p w14:paraId="2389628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 ± 0.16</w:t>
            </w:r>
          </w:p>
        </w:tc>
        <w:tc>
          <w:tcPr>
            <w:tcW w:w="515" w:type="pct"/>
            <w:tcBorders>
              <w:top w:val="nil"/>
              <w:left w:val="nil"/>
              <w:bottom w:val="nil"/>
              <w:right w:val="nil"/>
            </w:tcBorders>
            <w:shd w:val="clear" w:color="auto" w:fill="auto"/>
            <w:noWrap/>
            <w:vAlign w:val="bottom"/>
            <w:hideMark/>
          </w:tcPr>
          <w:p w14:paraId="68954AE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0.71 ± 0.22</w:t>
            </w:r>
          </w:p>
        </w:tc>
        <w:tc>
          <w:tcPr>
            <w:tcW w:w="559" w:type="pct"/>
            <w:tcBorders>
              <w:top w:val="nil"/>
              <w:left w:val="nil"/>
              <w:bottom w:val="nil"/>
              <w:right w:val="nil"/>
            </w:tcBorders>
            <w:shd w:val="clear" w:color="auto" w:fill="auto"/>
            <w:noWrap/>
            <w:vAlign w:val="bottom"/>
            <w:hideMark/>
          </w:tcPr>
          <w:p w14:paraId="4268524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0.27 ± 0.11</w:t>
            </w:r>
          </w:p>
        </w:tc>
      </w:tr>
      <w:tr w:rsidR="007053B4" w:rsidRPr="00FA7D47" w14:paraId="18BA82C8" w14:textId="77777777" w:rsidTr="0095549A">
        <w:trPr>
          <w:trHeight w:val="300"/>
        </w:trPr>
        <w:tc>
          <w:tcPr>
            <w:tcW w:w="1307" w:type="pct"/>
            <w:tcBorders>
              <w:top w:val="nil"/>
              <w:left w:val="nil"/>
              <w:bottom w:val="nil"/>
              <w:right w:val="nil"/>
            </w:tcBorders>
            <w:shd w:val="clear" w:color="auto" w:fill="auto"/>
            <w:vAlign w:val="bottom"/>
            <w:hideMark/>
          </w:tcPr>
          <w:p w14:paraId="5E56478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22:5n-6</w:t>
            </w:r>
          </w:p>
        </w:tc>
        <w:tc>
          <w:tcPr>
            <w:tcW w:w="515" w:type="pct"/>
            <w:tcBorders>
              <w:top w:val="nil"/>
              <w:left w:val="nil"/>
              <w:bottom w:val="nil"/>
              <w:right w:val="nil"/>
            </w:tcBorders>
            <w:shd w:val="clear" w:color="auto" w:fill="auto"/>
            <w:noWrap/>
            <w:vAlign w:val="bottom"/>
            <w:hideMark/>
          </w:tcPr>
          <w:p w14:paraId="2F02BCF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0.42 ± 0.08</w:t>
            </w:r>
          </w:p>
        </w:tc>
        <w:tc>
          <w:tcPr>
            <w:tcW w:w="559" w:type="pct"/>
            <w:tcBorders>
              <w:top w:val="nil"/>
              <w:left w:val="nil"/>
              <w:bottom w:val="nil"/>
              <w:right w:val="nil"/>
            </w:tcBorders>
            <w:shd w:val="clear" w:color="auto" w:fill="auto"/>
            <w:noWrap/>
            <w:vAlign w:val="bottom"/>
            <w:hideMark/>
          </w:tcPr>
          <w:p w14:paraId="17182F0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0.42 ± 0.08</w:t>
            </w:r>
          </w:p>
        </w:tc>
        <w:tc>
          <w:tcPr>
            <w:tcW w:w="515" w:type="pct"/>
            <w:tcBorders>
              <w:top w:val="nil"/>
              <w:left w:val="nil"/>
              <w:bottom w:val="nil"/>
              <w:right w:val="nil"/>
            </w:tcBorders>
            <w:shd w:val="clear" w:color="auto" w:fill="auto"/>
            <w:noWrap/>
            <w:vAlign w:val="bottom"/>
            <w:hideMark/>
          </w:tcPr>
          <w:p w14:paraId="15D16E4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0.51 ± 0.16</w:t>
            </w:r>
          </w:p>
        </w:tc>
        <w:tc>
          <w:tcPr>
            <w:tcW w:w="515" w:type="pct"/>
            <w:tcBorders>
              <w:top w:val="nil"/>
              <w:left w:val="nil"/>
              <w:bottom w:val="nil"/>
              <w:right w:val="nil"/>
            </w:tcBorders>
            <w:shd w:val="clear" w:color="auto" w:fill="auto"/>
            <w:noWrap/>
            <w:vAlign w:val="bottom"/>
            <w:hideMark/>
          </w:tcPr>
          <w:p w14:paraId="1E802C8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0.51 ± 0.11</w:t>
            </w:r>
          </w:p>
        </w:tc>
        <w:tc>
          <w:tcPr>
            <w:tcW w:w="515" w:type="pct"/>
            <w:tcBorders>
              <w:top w:val="nil"/>
              <w:left w:val="nil"/>
              <w:bottom w:val="nil"/>
              <w:right w:val="nil"/>
            </w:tcBorders>
            <w:shd w:val="clear" w:color="auto" w:fill="auto"/>
            <w:noWrap/>
            <w:vAlign w:val="bottom"/>
            <w:hideMark/>
          </w:tcPr>
          <w:p w14:paraId="3638FA4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0.56 ± 0.06</w:t>
            </w:r>
          </w:p>
        </w:tc>
        <w:tc>
          <w:tcPr>
            <w:tcW w:w="515" w:type="pct"/>
            <w:tcBorders>
              <w:top w:val="nil"/>
              <w:left w:val="nil"/>
              <w:bottom w:val="nil"/>
              <w:right w:val="nil"/>
            </w:tcBorders>
            <w:shd w:val="clear" w:color="auto" w:fill="auto"/>
            <w:noWrap/>
            <w:vAlign w:val="bottom"/>
            <w:hideMark/>
          </w:tcPr>
          <w:p w14:paraId="42E566D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0.57 ± 0.09</w:t>
            </w:r>
          </w:p>
        </w:tc>
        <w:tc>
          <w:tcPr>
            <w:tcW w:w="559" w:type="pct"/>
            <w:tcBorders>
              <w:top w:val="nil"/>
              <w:left w:val="nil"/>
              <w:bottom w:val="nil"/>
              <w:right w:val="nil"/>
            </w:tcBorders>
            <w:shd w:val="clear" w:color="auto" w:fill="auto"/>
            <w:noWrap/>
            <w:vAlign w:val="bottom"/>
            <w:hideMark/>
          </w:tcPr>
          <w:p w14:paraId="75A6BD5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0.68 ± 0.09</w:t>
            </w:r>
          </w:p>
        </w:tc>
      </w:tr>
      <w:tr w:rsidR="007053B4" w:rsidRPr="00FA7D47" w14:paraId="2C625D42" w14:textId="77777777" w:rsidTr="0095549A">
        <w:trPr>
          <w:trHeight w:val="315"/>
        </w:trPr>
        <w:tc>
          <w:tcPr>
            <w:tcW w:w="1307" w:type="pct"/>
            <w:tcBorders>
              <w:top w:val="single" w:sz="4" w:space="0" w:color="auto"/>
              <w:left w:val="nil"/>
              <w:bottom w:val="single" w:sz="8" w:space="0" w:color="auto"/>
              <w:right w:val="nil"/>
            </w:tcBorders>
            <w:shd w:val="clear" w:color="auto" w:fill="auto"/>
            <w:vAlign w:val="bottom"/>
            <w:hideMark/>
          </w:tcPr>
          <w:p w14:paraId="4637F3EB"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total n6</w:t>
            </w:r>
          </w:p>
        </w:tc>
        <w:tc>
          <w:tcPr>
            <w:tcW w:w="515" w:type="pct"/>
            <w:tcBorders>
              <w:top w:val="single" w:sz="4" w:space="0" w:color="auto"/>
              <w:left w:val="nil"/>
              <w:bottom w:val="single" w:sz="8" w:space="0" w:color="auto"/>
              <w:right w:val="nil"/>
            </w:tcBorders>
            <w:shd w:val="clear" w:color="auto" w:fill="auto"/>
            <w:noWrap/>
            <w:vAlign w:val="bottom"/>
            <w:hideMark/>
          </w:tcPr>
          <w:p w14:paraId="6B95603A"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7.46 ± 2.11</w:t>
            </w:r>
          </w:p>
        </w:tc>
        <w:tc>
          <w:tcPr>
            <w:tcW w:w="559" w:type="pct"/>
            <w:tcBorders>
              <w:top w:val="single" w:sz="4" w:space="0" w:color="auto"/>
              <w:left w:val="nil"/>
              <w:bottom w:val="single" w:sz="8" w:space="0" w:color="auto"/>
              <w:right w:val="nil"/>
            </w:tcBorders>
            <w:shd w:val="clear" w:color="auto" w:fill="auto"/>
            <w:noWrap/>
            <w:vAlign w:val="bottom"/>
            <w:hideMark/>
          </w:tcPr>
          <w:p w14:paraId="5C997373"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7.46 ± 2.11</w:t>
            </w:r>
          </w:p>
        </w:tc>
        <w:tc>
          <w:tcPr>
            <w:tcW w:w="515" w:type="pct"/>
            <w:tcBorders>
              <w:top w:val="single" w:sz="4" w:space="0" w:color="auto"/>
              <w:left w:val="nil"/>
              <w:bottom w:val="single" w:sz="8" w:space="0" w:color="auto"/>
              <w:right w:val="nil"/>
            </w:tcBorders>
            <w:shd w:val="clear" w:color="auto" w:fill="auto"/>
            <w:noWrap/>
            <w:vAlign w:val="bottom"/>
            <w:hideMark/>
          </w:tcPr>
          <w:p w14:paraId="05EEEFA7"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9.16 ± 3.23</w:t>
            </w:r>
          </w:p>
        </w:tc>
        <w:tc>
          <w:tcPr>
            <w:tcW w:w="515" w:type="pct"/>
            <w:tcBorders>
              <w:top w:val="single" w:sz="4" w:space="0" w:color="auto"/>
              <w:left w:val="nil"/>
              <w:bottom w:val="single" w:sz="8" w:space="0" w:color="auto"/>
              <w:right w:val="nil"/>
            </w:tcBorders>
            <w:shd w:val="clear" w:color="auto" w:fill="auto"/>
            <w:noWrap/>
            <w:vAlign w:val="bottom"/>
            <w:hideMark/>
          </w:tcPr>
          <w:p w14:paraId="3A6C8A39"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9.3 ± 2.74</w:t>
            </w:r>
          </w:p>
        </w:tc>
        <w:tc>
          <w:tcPr>
            <w:tcW w:w="515" w:type="pct"/>
            <w:tcBorders>
              <w:top w:val="single" w:sz="4" w:space="0" w:color="auto"/>
              <w:left w:val="nil"/>
              <w:bottom w:val="single" w:sz="8" w:space="0" w:color="auto"/>
              <w:right w:val="nil"/>
            </w:tcBorders>
            <w:shd w:val="clear" w:color="auto" w:fill="auto"/>
            <w:noWrap/>
            <w:vAlign w:val="bottom"/>
            <w:hideMark/>
          </w:tcPr>
          <w:p w14:paraId="70FF7B27"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9.49 ± 1.54</w:t>
            </w:r>
          </w:p>
        </w:tc>
        <w:tc>
          <w:tcPr>
            <w:tcW w:w="515" w:type="pct"/>
            <w:tcBorders>
              <w:top w:val="single" w:sz="4" w:space="0" w:color="auto"/>
              <w:left w:val="nil"/>
              <w:bottom w:val="single" w:sz="8" w:space="0" w:color="auto"/>
              <w:right w:val="nil"/>
            </w:tcBorders>
            <w:shd w:val="clear" w:color="auto" w:fill="auto"/>
            <w:noWrap/>
            <w:vAlign w:val="bottom"/>
            <w:hideMark/>
          </w:tcPr>
          <w:p w14:paraId="14248E31"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11.17 ± 3.88</w:t>
            </w:r>
          </w:p>
        </w:tc>
        <w:tc>
          <w:tcPr>
            <w:tcW w:w="559" w:type="pct"/>
            <w:tcBorders>
              <w:top w:val="single" w:sz="4" w:space="0" w:color="auto"/>
              <w:left w:val="nil"/>
              <w:bottom w:val="single" w:sz="8" w:space="0" w:color="auto"/>
              <w:right w:val="nil"/>
            </w:tcBorders>
            <w:shd w:val="clear" w:color="auto" w:fill="auto"/>
            <w:noWrap/>
            <w:vAlign w:val="bottom"/>
            <w:hideMark/>
          </w:tcPr>
          <w:p w14:paraId="596FAD90"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4.64 ± 1.2</w:t>
            </w:r>
          </w:p>
        </w:tc>
      </w:tr>
      <w:tr w:rsidR="007053B4" w:rsidRPr="00FA7D47" w14:paraId="218FDAF8" w14:textId="77777777" w:rsidTr="0095549A">
        <w:trPr>
          <w:trHeight w:val="300"/>
        </w:trPr>
        <w:tc>
          <w:tcPr>
            <w:tcW w:w="1307" w:type="pct"/>
            <w:tcBorders>
              <w:top w:val="nil"/>
              <w:left w:val="nil"/>
              <w:bottom w:val="nil"/>
              <w:right w:val="nil"/>
            </w:tcBorders>
            <w:shd w:val="clear" w:color="auto" w:fill="auto"/>
            <w:vAlign w:val="bottom"/>
            <w:hideMark/>
          </w:tcPr>
          <w:p w14:paraId="54A06EB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18:3n-3</w:t>
            </w:r>
          </w:p>
        </w:tc>
        <w:tc>
          <w:tcPr>
            <w:tcW w:w="515" w:type="pct"/>
            <w:tcBorders>
              <w:top w:val="nil"/>
              <w:left w:val="nil"/>
              <w:bottom w:val="nil"/>
              <w:right w:val="nil"/>
            </w:tcBorders>
            <w:shd w:val="clear" w:color="auto" w:fill="auto"/>
            <w:noWrap/>
            <w:vAlign w:val="bottom"/>
            <w:hideMark/>
          </w:tcPr>
          <w:p w14:paraId="29C33B3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0.34 ± 0.07</w:t>
            </w:r>
          </w:p>
        </w:tc>
        <w:tc>
          <w:tcPr>
            <w:tcW w:w="559" w:type="pct"/>
            <w:tcBorders>
              <w:top w:val="nil"/>
              <w:left w:val="nil"/>
              <w:bottom w:val="nil"/>
              <w:right w:val="nil"/>
            </w:tcBorders>
            <w:shd w:val="clear" w:color="auto" w:fill="auto"/>
            <w:noWrap/>
            <w:vAlign w:val="bottom"/>
            <w:hideMark/>
          </w:tcPr>
          <w:p w14:paraId="41C4832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0.34 ± 0.07</w:t>
            </w:r>
          </w:p>
        </w:tc>
        <w:tc>
          <w:tcPr>
            <w:tcW w:w="515" w:type="pct"/>
            <w:tcBorders>
              <w:top w:val="nil"/>
              <w:left w:val="nil"/>
              <w:bottom w:val="nil"/>
              <w:right w:val="nil"/>
            </w:tcBorders>
            <w:shd w:val="clear" w:color="auto" w:fill="auto"/>
            <w:noWrap/>
            <w:vAlign w:val="bottom"/>
            <w:hideMark/>
          </w:tcPr>
          <w:p w14:paraId="2AE9446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0.37 ± 0.12</w:t>
            </w:r>
          </w:p>
        </w:tc>
        <w:tc>
          <w:tcPr>
            <w:tcW w:w="515" w:type="pct"/>
            <w:tcBorders>
              <w:top w:val="nil"/>
              <w:left w:val="nil"/>
              <w:bottom w:val="nil"/>
              <w:right w:val="nil"/>
            </w:tcBorders>
            <w:shd w:val="clear" w:color="auto" w:fill="auto"/>
            <w:noWrap/>
            <w:vAlign w:val="bottom"/>
            <w:hideMark/>
          </w:tcPr>
          <w:p w14:paraId="51F1918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0.47 ± 0.26</w:t>
            </w:r>
          </w:p>
        </w:tc>
        <w:tc>
          <w:tcPr>
            <w:tcW w:w="515" w:type="pct"/>
            <w:tcBorders>
              <w:top w:val="nil"/>
              <w:left w:val="nil"/>
              <w:bottom w:val="nil"/>
              <w:right w:val="nil"/>
            </w:tcBorders>
            <w:shd w:val="clear" w:color="auto" w:fill="auto"/>
            <w:noWrap/>
            <w:vAlign w:val="bottom"/>
            <w:hideMark/>
          </w:tcPr>
          <w:p w14:paraId="3B68189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0.38 ± 0.04</w:t>
            </w:r>
          </w:p>
        </w:tc>
        <w:tc>
          <w:tcPr>
            <w:tcW w:w="515" w:type="pct"/>
            <w:tcBorders>
              <w:top w:val="nil"/>
              <w:left w:val="nil"/>
              <w:bottom w:val="nil"/>
              <w:right w:val="nil"/>
            </w:tcBorders>
            <w:shd w:val="clear" w:color="auto" w:fill="auto"/>
            <w:noWrap/>
            <w:vAlign w:val="bottom"/>
            <w:hideMark/>
          </w:tcPr>
          <w:p w14:paraId="238550E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0.48 ± 0.17</w:t>
            </w:r>
          </w:p>
        </w:tc>
        <w:tc>
          <w:tcPr>
            <w:tcW w:w="559" w:type="pct"/>
            <w:tcBorders>
              <w:top w:val="nil"/>
              <w:left w:val="nil"/>
              <w:bottom w:val="nil"/>
              <w:right w:val="nil"/>
            </w:tcBorders>
            <w:shd w:val="clear" w:color="auto" w:fill="auto"/>
            <w:noWrap/>
            <w:vAlign w:val="bottom"/>
            <w:hideMark/>
          </w:tcPr>
          <w:p w14:paraId="4C7E3A5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 ± 0.06</w:t>
            </w:r>
          </w:p>
        </w:tc>
      </w:tr>
      <w:tr w:rsidR="007053B4" w:rsidRPr="00FA7D47" w14:paraId="026D0F16" w14:textId="77777777" w:rsidTr="0095549A">
        <w:trPr>
          <w:trHeight w:val="300"/>
        </w:trPr>
        <w:tc>
          <w:tcPr>
            <w:tcW w:w="1307" w:type="pct"/>
            <w:tcBorders>
              <w:top w:val="nil"/>
              <w:left w:val="nil"/>
              <w:bottom w:val="nil"/>
              <w:right w:val="nil"/>
            </w:tcBorders>
            <w:shd w:val="clear" w:color="auto" w:fill="auto"/>
            <w:vAlign w:val="bottom"/>
            <w:hideMark/>
          </w:tcPr>
          <w:p w14:paraId="26D00FA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18:4n-3</w:t>
            </w:r>
          </w:p>
        </w:tc>
        <w:tc>
          <w:tcPr>
            <w:tcW w:w="515" w:type="pct"/>
            <w:tcBorders>
              <w:top w:val="nil"/>
              <w:left w:val="nil"/>
              <w:bottom w:val="nil"/>
              <w:right w:val="nil"/>
            </w:tcBorders>
            <w:shd w:val="clear" w:color="auto" w:fill="auto"/>
            <w:noWrap/>
            <w:vAlign w:val="bottom"/>
            <w:hideMark/>
          </w:tcPr>
          <w:p w14:paraId="16F5059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0.16</w:t>
            </w:r>
          </w:p>
        </w:tc>
        <w:tc>
          <w:tcPr>
            <w:tcW w:w="559" w:type="pct"/>
            <w:tcBorders>
              <w:top w:val="nil"/>
              <w:left w:val="nil"/>
              <w:bottom w:val="nil"/>
              <w:right w:val="nil"/>
            </w:tcBorders>
            <w:shd w:val="clear" w:color="auto" w:fill="auto"/>
            <w:noWrap/>
            <w:vAlign w:val="bottom"/>
            <w:hideMark/>
          </w:tcPr>
          <w:p w14:paraId="50E3FA6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0.18 ± 0.16</w:t>
            </w:r>
          </w:p>
        </w:tc>
        <w:tc>
          <w:tcPr>
            <w:tcW w:w="515" w:type="pct"/>
            <w:tcBorders>
              <w:top w:val="nil"/>
              <w:left w:val="nil"/>
              <w:bottom w:val="nil"/>
              <w:right w:val="nil"/>
            </w:tcBorders>
            <w:shd w:val="clear" w:color="auto" w:fill="auto"/>
            <w:noWrap/>
            <w:vAlign w:val="bottom"/>
            <w:hideMark/>
          </w:tcPr>
          <w:p w14:paraId="5509E9A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0.23 ± 0.13</w:t>
            </w:r>
          </w:p>
        </w:tc>
        <w:tc>
          <w:tcPr>
            <w:tcW w:w="515" w:type="pct"/>
            <w:tcBorders>
              <w:top w:val="nil"/>
              <w:left w:val="nil"/>
              <w:bottom w:val="nil"/>
              <w:right w:val="nil"/>
            </w:tcBorders>
            <w:shd w:val="clear" w:color="auto" w:fill="auto"/>
            <w:noWrap/>
            <w:vAlign w:val="bottom"/>
            <w:hideMark/>
          </w:tcPr>
          <w:p w14:paraId="78559A4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0.25 ± 0.17</w:t>
            </w:r>
          </w:p>
        </w:tc>
        <w:tc>
          <w:tcPr>
            <w:tcW w:w="515" w:type="pct"/>
            <w:tcBorders>
              <w:top w:val="nil"/>
              <w:left w:val="nil"/>
              <w:bottom w:val="nil"/>
              <w:right w:val="nil"/>
            </w:tcBorders>
            <w:shd w:val="clear" w:color="auto" w:fill="auto"/>
            <w:noWrap/>
            <w:vAlign w:val="bottom"/>
            <w:hideMark/>
          </w:tcPr>
          <w:p w14:paraId="070BDA1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0.19 ± 0.13</w:t>
            </w:r>
          </w:p>
        </w:tc>
        <w:tc>
          <w:tcPr>
            <w:tcW w:w="515" w:type="pct"/>
            <w:tcBorders>
              <w:top w:val="nil"/>
              <w:left w:val="nil"/>
              <w:bottom w:val="nil"/>
              <w:right w:val="nil"/>
            </w:tcBorders>
            <w:shd w:val="clear" w:color="auto" w:fill="auto"/>
            <w:noWrap/>
            <w:vAlign w:val="bottom"/>
            <w:hideMark/>
          </w:tcPr>
          <w:p w14:paraId="6CB9EDB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0.16 ± 0.08</w:t>
            </w:r>
          </w:p>
        </w:tc>
        <w:tc>
          <w:tcPr>
            <w:tcW w:w="559" w:type="pct"/>
            <w:tcBorders>
              <w:top w:val="nil"/>
              <w:left w:val="nil"/>
              <w:bottom w:val="nil"/>
              <w:right w:val="nil"/>
            </w:tcBorders>
            <w:shd w:val="clear" w:color="auto" w:fill="auto"/>
            <w:noWrap/>
            <w:vAlign w:val="bottom"/>
            <w:hideMark/>
          </w:tcPr>
          <w:p w14:paraId="33E20F2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0.11 ± 0.1</w:t>
            </w:r>
          </w:p>
        </w:tc>
      </w:tr>
      <w:tr w:rsidR="007053B4" w:rsidRPr="00FA7D47" w14:paraId="4448CFEC" w14:textId="77777777" w:rsidTr="0095549A">
        <w:trPr>
          <w:trHeight w:val="300"/>
        </w:trPr>
        <w:tc>
          <w:tcPr>
            <w:tcW w:w="1307" w:type="pct"/>
            <w:tcBorders>
              <w:top w:val="nil"/>
              <w:left w:val="nil"/>
              <w:bottom w:val="nil"/>
              <w:right w:val="nil"/>
            </w:tcBorders>
            <w:shd w:val="clear" w:color="auto" w:fill="auto"/>
            <w:vAlign w:val="bottom"/>
            <w:hideMark/>
          </w:tcPr>
          <w:p w14:paraId="2CE87B6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20:3n-3</w:t>
            </w:r>
          </w:p>
        </w:tc>
        <w:tc>
          <w:tcPr>
            <w:tcW w:w="515" w:type="pct"/>
            <w:tcBorders>
              <w:top w:val="nil"/>
              <w:left w:val="nil"/>
              <w:bottom w:val="nil"/>
              <w:right w:val="nil"/>
            </w:tcBorders>
            <w:shd w:val="clear" w:color="auto" w:fill="auto"/>
            <w:noWrap/>
            <w:vAlign w:val="bottom"/>
            <w:hideMark/>
          </w:tcPr>
          <w:p w14:paraId="6DD247E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0.24 ± 0.05</w:t>
            </w:r>
          </w:p>
        </w:tc>
        <w:tc>
          <w:tcPr>
            <w:tcW w:w="559" w:type="pct"/>
            <w:tcBorders>
              <w:top w:val="nil"/>
              <w:left w:val="nil"/>
              <w:bottom w:val="nil"/>
              <w:right w:val="nil"/>
            </w:tcBorders>
            <w:shd w:val="clear" w:color="auto" w:fill="auto"/>
            <w:noWrap/>
            <w:vAlign w:val="bottom"/>
            <w:hideMark/>
          </w:tcPr>
          <w:p w14:paraId="371C551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0.24 ± 0.05</w:t>
            </w:r>
          </w:p>
        </w:tc>
        <w:tc>
          <w:tcPr>
            <w:tcW w:w="515" w:type="pct"/>
            <w:tcBorders>
              <w:top w:val="nil"/>
              <w:left w:val="nil"/>
              <w:bottom w:val="nil"/>
              <w:right w:val="nil"/>
            </w:tcBorders>
            <w:shd w:val="clear" w:color="auto" w:fill="auto"/>
            <w:noWrap/>
            <w:vAlign w:val="bottom"/>
            <w:hideMark/>
          </w:tcPr>
          <w:p w14:paraId="54F8F87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0.09</w:t>
            </w:r>
          </w:p>
        </w:tc>
        <w:tc>
          <w:tcPr>
            <w:tcW w:w="515" w:type="pct"/>
            <w:tcBorders>
              <w:top w:val="nil"/>
              <w:left w:val="nil"/>
              <w:bottom w:val="nil"/>
              <w:right w:val="nil"/>
            </w:tcBorders>
            <w:shd w:val="clear" w:color="auto" w:fill="auto"/>
            <w:noWrap/>
            <w:vAlign w:val="bottom"/>
            <w:hideMark/>
          </w:tcPr>
          <w:p w14:paraId="6E6003E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0.23 ± 0.02</w:t>
            </w:r>
          </w:p>
        </w:tc>
        <w:tc>
          <w:tcPr>
            <w:tcW w:w="515" w:type="pct"/>
            <w:tcBorders>
              <w:top w:val="nil"/>
              <w:left w:val="nil"/>
              <w:bottom w:val="nil"/>
              <w:right w:val="nil"/>
            </w:tcBorders>
            <w:shd w:val="clear" w:color="auto" w:fill="auto"/>
            <w:noWrap/>
            <w:vAlign w:val="bottom"/>
            <w:hideMark/>
          </w:tcPr>
          <w:p w14:paraId="7481C01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0.23 ± 0.04</w:t>
            </w:r>
          </w:p>
        </w:tc>
        <w:tc>
          <w:tcPr>
            <w:tcW w:w="515" w:type="pct"/>
            <w:tcBorders>
              <w:top w:val="nil"/>
              <w:left w:val="nil"/>
              <w:bottom w:val="nil"/>
              <w:right w:val="nil"/>
            </w:tcBorders>
            <w:shd w:val="clear" w:color="auto" w:fill="auto"/>
            <w:noWrap/>
            <w:vAlign w:val="bottom"/>
            <w:hideMark/>
          </w:tcPr>
          <w:p w14:paraId="30B39EE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0.27 ± 0.05</w:t>
            </w:r>
          </w:p>
        </w:tc>
        <w:tc>
          <w:tcPr>
            <w:tcW w:w="559" w:type="pct"/>
            <w:tcBorders>
              <w:top w:val="nil"/>
              <w:left w:val="nil"/>
              <w:bottom w:val="nil"/>
              <w:right w:val="nil"/>
            </w:tcBorders>
            <w:shd w:val="clear" w:color="auto" w:fill="auto"/>
            <w:noWrap/>
            <w:vAlign w:val="bottom"/>
            <w:hideMark/>
          </w:tcPr>
          <w:p w14:paraId="75E3EEB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3F88FB85" w14:textId="77777777" w:rsidTr="0095549A">
        <w:trPr>
          <w:trHeight w:val="300"/>
        </w:trPr>
        <w:tc>
          <w:tcPr>
            <w:tcW w:w="1307" w:type="pct"/>
            <w:tcBorders>
              <w:top w:val="nil"/>
              <w:left w:val="nil"/>
              <w:bottom w:val="nil"/>
              <w:right w:val="nil"/>
            </w:tcBorders>
            <w:shd w:val="clear" w:color="auto" w:fill="auto"/>
            <w:vAlign w:val="bottom"/>
            <w:hideMark/>
          </w:tcPr>
          <w:p w14:paraId="385D5F7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20:4n-3</w:t>
            </w:r>
          </w:p>
        </w:tc>
        <w:tc>
          <w:tcPr>
            <w:tcW w:w="515" w:type="pct"/>
            <w:tcBorders>
              <w:top w:val="nil"/>
              <w:left w:val="nil"/>
              <w:bottom w:val="nil"/>
              <w:right w:val="nil"/>
            </w:tcBorders>
            <w:shd w:val="clear" w:color="auto" w:fill="auto"/>
            <w:noWrap/>
            <w:vAlign w:val="bottom"/>
            <w:hideMark/>
          </w:tcPr>
          <w:p w14:paraId="7124EE3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0.28 ± 0.09</w:t>
            </w:r>
          </w:p>
        </w:tc>
        <w:tc>
          <w:tcPr>
            <w:tcW w:w="559" w:type="pct"/>
            <w:tcBorders>
              <w:top w:val="nil"/>
              <w:left w:val="nil"/>
              <w:bottom w:val="nil"/>
              <w:right w:val="nil"/>
            </w:tcBorders>
            <w:shd w:val="clear" w:color="auto" w:fill="auto"/>
            <w:noWrap/>
            <w:vAlign w:val="bottom"/>
            <w:hideMark/>
          </w:tcPr>
          <w:p w14:paraId="30D3897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0.28 ± 0.09</w:t>
            </w:r>
          </w:p>
        </w:tc>
        <w:tc>
          <w:tcPr>
            <w:tcW w:w="515" w:type="pct"/>
            <w:tcBorders>
              <w:top w:val="nil"/>
              <w:left w:val="nil"/>
              <w:bottom w:val="nil"/>
              <w:right w:val="nil"/>
            </w:tcBorders>
            <w:shd w:val="clear" w:color="auto" w:fill="auto"/>
            <w:noWrap/>
            <w:vAlign w:val="bottom"/>
            <w:hideMark/>
          </w:tcPr>
          <w:p w14:paraId="3E4DCA8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0.04</w:t>
            </w:r>
          </w:p>
        </w:tc>
        <w:tc>
          <w:tcPr>
            <w:tcW w:w="515" w:type="pct"/>
            <w:tcBorders>
              <w:top w:val="nil"/>
              <w:left w:val="nil"/>
              <w:bottom w:val="nil"/>
              <w:right w:val="nil"/>
            </w:tcBorders>
            <w:shd w:val="clear" w:color="auto" w:fill="auto"/>
            <w:noWrap/>
            <w:vAlign w:val="bottom"/>
            <w:hideMark/>
          </w:tcPr>
          <w:p w14:paraId="495FD2F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0.41 ± 0.03</w:t>
            </w:r>
          </w:p>
        </w:tc>
        <w:tc>
          <w:tcPr>
            <w:tcW w:w="515" w:type="pct"/>
            <w:tcBorders>
              <w:top w:val="nil"/>
              <w:left w:val="nil"/>
              <w:bottom w:val="nil"/>
              <w:right w:val="nil"/>
            </w:tcBorders>
            <w:shd w:val="clear" w:color="auto" w:fill="auto"/>
            <w:noWrap/>
            <w:vAlign w:val="bottom"/>
            <w:hideMark/>
          </w:tcPr>
          <w:p w14:paraId="7C2D4ED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0.3 ± 0.06</w:t>
            </w:r>
          </w:p>
        </w:tc>
        <w:tc>
          <w:tcPr>
            <w:tcW w:w="515" w:type="pct"/>
            <w:tcBorders>
              <w:top w:val="nil"/>
              <w:left w:val="nil"/>
              <w:bottom w:val="nil"/>
              <w:right w:val="nil"/>
            </w:tcBorders>
            <w:shd w:val="clear" w:color="auto" w:fill="auto"/>
            <w:noWrap/>
            <w:vAlign w:val="bottom"/>
            <w:hideMark/>
          </w:tcPr>
          <w:p w14:paraId="713619F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0.29 ± 0.01</w:t>
            </w:r>
          </w:p>
        </w:tc>
        <w:tc>
          <w:tcPr>
            <w:tcW w:w="559" w:type="pct"/>
            <w:tcBorders>
              <w:top w:val="nil"/>
              <w:left w:val="nil"/>
              <w:bottom w:val="nil"/>
              <w:right w:val="nil"/>
            </w:tcBorders>
            <w:shd w:val="clear" w:color="auto" w:fill="auto"/>
            <w:noWrap/>
            <w:vAlign w:val="bottom"/>
            <w:hideMark/>
          </w:tcPr>
          <w:p w14:paraId="438E275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 ± 0.03</w:t>
            </w:r>
          </w:p>
        </w:tc>
      </w:tr>
      <w:tr w:rsidR="007053B4" w:rsidRPr="00FA7D47" w14:paraId="031A428B" w14:textId="77777777" w:rsidTr="0095549A">
        <w:trPr>
          <w:trHeight w:val="300"/>
        </w:trPr>
        <w:tc>
          <w:tcPr>
            <w:tcW w:w="1307" w:type="pct"/>
            <w:tcBorders>
              <w:top w:val="nil"/>
              <w:left w:val="nil"/>
              <w:bottom w:val="nil"/>
              <w:right w:val="nil"/>
            </w:tcBorders>
            <w:shd w:val="clear" w:color="auto" w:fill="auto"/>
            <w:vAlign w:val="bottom"/>
            <w:hideMark/>
          </w:tcPr>
          <w:p w14:paraId="0525E3E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20:5n-3</w:t>
            </w:r>
          </w:p>
        </w:tc>
        <w:tc>
          <w:tcPr>
            <w:tcW w:w="515" w:type="pct"/>
            <w:tcBorders>
              <w:top w:val="nil"/>
              <w:left w:val="nil"/>
              <w:bottom w:val="nil"/>
              <w:right w:val="nil"/>
            </w:tcBorders>
            <w:shd w:val="clear" w:color="auto" w:fill="auto"/>
            <w:noWrap/>
            <w:vAlign w:val="bottom"/>
            <w:hideMark/>
          </w:tcPr>
          <w:p w14:paraId="19A4CC7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8.91 ± 6.52</w:t>
            </w:r>
          </w:p>
        </w:tc>
        <w:tc>
          <w:tcPr>
            <w:tcW w:w="559" w:type="pct"/>
            <w:tcBorders>
              <w:top w:val="nil"/>
              <w:left w:val="nil"/>
              <w:bottom w:val="nil"/>
              <w:right w:val="nil"/>
            </w:tcBorders>
            <w:shd w:val="clear" w:color="auto" w:fill="auto"/>
            <w:noWrap/>
            <w:vAlign w:val="bottom"/>
            <w:hideMark/>
          </w:tcPr>
          <w:p w14:paraId="6243D56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8.91 ± 6.52</w:t>
            </w:r>
          </w:p>
        </w:tc>
        <w:tc>
          <w:tcPr>
            <w:tcW w:w="515" w:type="pct"/>
            <w:tcBorders>
              <w:top w:val="nil"/>
              <w:left w:val="nil"/>
              <w:bottom w:val="nil"/>
              <w:right w:val="nil"/>
            </w:tcBorders>
            <w:shd w:val="clear" w:color="auto" w:fill="auto"/>
            <w:noWrap/>
            <w:vAlign w:val="bottom"/>
            <w:hideMark/>
          </w:tcPr>
          <w:p w14:paraId="5F5DCB4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13.38 ± 1.66</w:t>
            </w:r>
          </w:p>
        </w:tc>
        <w:tc>
          <w:tcPr>
            <w:tcW w:w="515" w:type="pct"/>
            <w:tcBorders>
              <w:top w:val="nil"/>
              <w:left w:val="nil"/>
              <w:bottom w:val="nil"/>
              <w:right w:val="nil"/>
            </w:tcBorders>
            <w:shd w:val="clear" w:color="auto" w:fill="auto"/>
            <w:noWrap/>
            <w:vAlign w:val="bottom"/>
            <w:hideMark/>
          </w:tcPr>
          <w:p w14:paraId="2C4BF88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15.1 ± 2.7</w:t>
            </w:r>
          </w:p>
        </w:tc>
        <w:tc>
          <w:tcPr>
            <w:tcW w:w="515" w:type="pct"/>
            <w:tcBorders>
              <w:top w:val="nil"/>
              <w:left w:val="nil"/>
              <w:bottom w:val="nil"/>
              <w:right w:val="nil"/>
            </w:tcBorders>
            <w:shd w:val="clear" w:color="auto" w:fill="auto"/>
            <w:noWrap/>
            <w:vAlign w:val="bottom"/>
            <w:hideMark/>
          </w:tcPr>
          <w:p w14:paraId="7989FA1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15.51 ± 1.76</w:t>
            </w:r>
          </w:p>
        </w:tc>
        <w:tc>
          <w:tcPr>
            <w:tcW w:w="515" w:type="pct"/>
            <w:tcBorders>
              <w:top w:val="nil"/>
              <w:left w:val="nil"/>
              <w:bottom w:val="nil"/>
              <w:right w:val="nil"/>
            </w:tcBorders>
            <w:shd w:val="clear" w:color="auto" w:fill="auto"/>
            <w:noWrap/>
            <w:vAlign w:val="bottom"/>
            <w:hideMark/>
          </w:tcPr>
          <w:p w14:paraId="3D4BC37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14.5 ± 0.43</w:t>
            </w:r>
          </w:p>
        </w:tc>
        <w:tc>
          <w:tcPr>
            <w:tcW w:w="559" w:type="pct"/>
            <w:tcBorders>
              <w:top w:val="nil"/>
              <w:left w:val="nil"/>
              <w:bottom w:val="nil"/>
              <w:right w:val="nil"/>
            </w:tcBorders>
            <w:shd w:val="clear" w:color="auto" w:fill="auto"/>
            <w:noWrap/>
            <w:vAlign w:val="bottom"/>
            <w:hideMark/>
          </w:tcPr>
          <w:p w14:paraId="1E96327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19.14 ± 2.85</w:t>
            </w:r>
          </w:p>
        </w:tc>
      </w:tr>
      <w:tr w:rsidR="007053B4" w:rsidRPr="00FA7D47" w14:paraId="429C4DEB" w14:textId="77777777" w:rsidTr="0095549A">
        <w:trPr>
          <w:trHeight w:val="300"/>
        </w:trPr>
        <w:tc>
          <w:tcPr>
            <w:tcW w:w="1307" w:type="pct"/>
            <w:tcBorders>
              <w:top w:val="nil"/>
              <w:left w:val="nil"/>
              <w:bottom w:val="nil"/>
              <w:right w:val="nil"/>
            </w:tcBorders>
            <w:shd w:val="clear" w:color="auto" w:fill="auto"/>
            <w:vAlign w:val="bottom"/>
            <w:hideMark/>
          </w:tcPr>
          <w:p w14:paraId="21777D0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21:5n-3</w:t>
            </w:r>
          </w:p>
        </w:tc>
        <w:tc>
          <w:tcPr>
            <w:tcW w:w="515" w:type="pct"/>
            <w:tcBorders>
              <w:top w:val="nil"/>
              <w:left w:val="nil"/>
              <w:bottom w:val="nil"/>
              <w:right w:val="nil"/>
            </w:tcBorders>
            <w:shd w:val="clear" w:color="auto" w:fill="auto"/>
            <w:noWrap/>
            <w:vAlign w:val="bottom"/>
            <w:hideMark/>
          </w:tcPr>
          <w:p w14:paraId="000447A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0.15 ± 0.1</w:t>
            </w:r>
          </w:p>
        </w:tc>
        <w:tc>
          <w:tcPr>
            <w:tcW w:w="559" w:type="pct"/>
            <w:tcBorders>
              <w:top w:val="nil"/>
              <w:left w:val="nil"/>
              <w:bottom w:val="nil"/>
              <w:right w:val="nil"/>
            </w:tcBorders>
            <w:shd w:val="clear" w:color="auto" w:fill="auto"/>
            <w:noWrap/>
            <w:vAlign w:val="bottom"/>
            <w:hideMark/>
          </w:tcPr>
          <w:p w14:paraId="3F3E3899"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0.15 ± 0.1</w:t>
            </w:r>
          </w:p>
        </w:tc>
        <w:tc>
          <w:tcPr>
            <w:tcW w:w="515" w:type="pct"/>
            <w:tcBorders>
              <w:top w:val="nil"/>
              <w:left w:val="nil"/>
              <w:bottom w:val="nil"/>
              <w:right w:val="nil"/>
            </w:tcBorders>
            <w:shd w:val="clear" w:color="auto" w:fill="auto"/>
            <w:noWrap/>
            <w:vAlign w:val="bottom"/>
            <w:hideMark/>
          </w:tcPr>
          <w:p w14:paraId="510E186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0.26 ± 0.11</w:t>
            </w:r>
          </w:p>
        </w:tc>
        <w:tc>
          <w:tcPr>
            <w:tcW w:w="515" w:type="pct"/>
            <w:tcBorders>
              <w:top w:val="nil"/>
              <w:left w:val="nil"/>
              <w:bottom w:val="nil"/>
              <w:right w:val="nil"/>
            </w:tcBorders>
            <w:shd w:val="clear" w:color="auto" w:fill="auto"/>
            <w:noWrap/>
            <w:vAlign w:val="bottom"/>
            <w:hideMark/>
          </w:tcPr>
          <w:p w14:paraId="24CA1DE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0.49 ± 0.32</w:t>
            </w:r>
          </w:p>
        </w:tc>
        <w:tc>
          <w:tcPr>
            <w:tcW w:w="515" w:type="pct"/>
            <w:tcBorders>
              <w:top w:val="nil"/>
              <w:left w:val="nil"/>
              <w:bottom w:val="nil"/>
              <w:right w:val="nil"/>
            </w:tcBorders>
            <w:shd w:val="clear" w:color="auto" w:fill="auto"/>
            <w:noWrap/>
            <w:vAlign w:val="bottom"/>
            <w:hideMark/>
          </w:tcPr>
          <w:p w14:paraId="78EADB0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0.23 ± 0.04</w:t>
            </w:r>
          </w:p>
        </w:tc>
        <w:tc>
          <w:tcPr>
            <w:tcW w:w="515" w:type="pct"/>
            <w:tcBorders>
              <w:top w:val="nil"/>
              <w:left w:val="nil"/>
              <w:bottom w:val="nil"/>
              <w:right w:val="nil"/>
            </w:tcBorders>
            <w:shd w:val="clear" w:color="auto" w:fill="auto"/>
            <w:noWrap/>
            <w:vAlign w:val="bottom"/>
            <w:hideMark/>
          </w:tcPr>
          <w:p w14:paraId="64E14B6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0.17 ± 0.01</w:t>
            </w:r>
          </w:p>
        </w:tc>
        <w:tc>
          <w:tcPr>
            <w:tcW w:w="559" w:type="pct"/>
            <w:tcBorders>
              <w:top w:val="nil"/>
              <w:left w:val="nil"/>
              <w:bottom w:val="nil"/>
              <w:right w:val="nil"/>
            </w:tcBorders>
            <w:shd w:val="clear" w:color="auto" w:fill="auto"/>
            <w:noWrap/>
            <w:vAlign w:val="bottom"/>
            <w:hideMark/>
          </w:tcPr>
          <w:p w14:paraId="32174AC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0.12 ± 0.13</w:t>
            </w:r>
          </w:p>
        </w:tc>
      </w:tr>
      <w:tr w:rsidR="007053B4" w:rsidRPr="00FA7D47" w14:paraId="2A38648A" w14:textId="77777777" w:rsidTr="0095549A">
        <w:trPr>
          <w:trHeight w:val="300"/>
        </w:trPr>
        <w:tc>
          <w:tcPr>
            <w:tcW w:w="1307" w:type="pct"/>
            <w:tcBorders>
              <w:top w:val="nil"/>
              <w:left w:val="nil"/>
              <w:bottom w:val="nil"/>
              <w:right w:val="nil"/>
            </w:tcBorders>
            <w:shd w:val="clear" w:color="auto" w:fill="auto"/>
            <w:vAlign w:val="bottom"/>
            <w:hideMark/>
          </w:tcPr>
          <w:p w14:paraId="01660EDC"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22:5n-3</w:t>
            </w:r>
          </w:p>
        </w:tc>
        <w:tc>
          <w:tcPr>
            <w:tcW w:w="515" w:type="pct"/>
            <w:tcBorders>
              <w:top w:val="nil"/>
              <w:left w:val="nil"/>
              <w:bottom w:val="nil"/>
              <w:right w:val="nil"/>
            </w:tcBorders>
            <w:shd w:val="clear" w:color="auto" w:fill="auto"/>
            <w:noWrap/>
            <w:vAlign w:val="bottom"/>
            <w:hideMark/>
          </w:tcPr>
          <w:p w14:paraId="4354C34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1.16 ± 0.36</w:t>
            </w:r>
          </w:p>
        </w:tc>
        <w:tc>
          <w:tcPr>
            <w:tcW w:w="559" w:type="pct"/>
            <w:tcBorders>
              <w:top w:val="nil"/>
              <w:left w:val="nil"/>
              <w:bottom w:val="nil"/>
              <w:right w:val="nil"/>
            </w:tcBorders>
            <w:shd w:val="clear" w:color="auto" w:fill="auto"/>
            <w:noWrap/>
            <w:vAlign w:val="bottom"/>
            <w:hideMark/>
          </w:tcPr>
          <w:p w14:paraId="25D4147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1.16 ± 0.36</w:t>
            </w:r>
          </w:p>
        </w:tc>
        <w:tc>
          <w:tcPr>
            <w:tcW w:w="515" w:type="pct"/>
            <w:tcBorders>
              <w:top w:val="nil"/>
              <w:left w:val="nil"/>
              <w:bottom w:val="nil"/>
              <w:right w:val="nil"/>
            </w:tcBorders>
            <w:shd w:val="clear" w:color="auto" w:fill="auto"/>
            <w:noWrap/>
            <w:vAlign w:val="bottom"/>
            <w:hideMark/>
          </w:tcPr>
          <w:p w14:paraId="542316B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1.47 ± 0.58</w:t>
            </w:r>
          </w:p>
        </w:tc>
        <w:tc>
          <w:tcPr>
            <w:tcW w:w="515" w:type="pct"/>
            <w:tcBorders>
              <w:top w:val="nil"/>
              <w:left w:val="nil"/>
              <w:bottom w:val="nil"/>
              <w:right w:val="nil"/>
            </w:tcBorders>
            <w:shd w:val="clear" w:color="auto" w:fill="auto"/>
            <w:noWrap/>
            <w:vAlign w:val="bottom"/>
            <w:hideMark/>
          </w:tcPr>
          <w:p w14:paraId="612A53D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1.35 ± 0.35</w:t>
            </w:r>
          </w:p>
        </w:tc>
        <w:tc>
          <w:tcPr>
            <w:tcW w:w="515" w:type="pct"/>
            <w:tcBorders>
              <w:top w:val="nil"/>
              <w:left w:val="nil"/>
              <w:bottom w:val="nil"/>
              <w:right w:val="nil"/>
            </w:tcBorders>
            <w:shd w:val="clear" w:color="auto" w:fill="auto"/>
            <w:noWrap/>
            <w:vAlign w:val="bottom"/>
            <w:hideMark/>
          </w:tcPr>
          <w:p w14:paraId="2FE08E7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1.57 ± 0.3</w:t>
            </w:r>
          </w:p>
        </w:tc>
        <w:tc>
          <w:tcPr>
            <w:tcW w:w="515" w:type="pct"/>
            <w:tcBorders>
              <w:top w:val="nil"/>
              <w:left w:val="nil"/>
              <w:bottom w:val="nil"/>
              <w:right w:val="nil"/>
            </w:tcBorders>
            <w:shd w:val="clear" w:color="auto" w:fill="auto"/>
            <w:noWrap/>
            <w:vAlign w:val="bottom"/>
            <w:hideMark/>
          </w:tcPr>
          <w:p w14:paraId="54C6601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1.46 ± 0.09</w:t>
            </w:r>
          </w:p>
        </w:tc>
        <w:tc>
          <w:tcPr>
            <w:tcW w:w="559" w:type="pct"/>
            <w:tcBorders>
              <w:top w:val="nil"/>
              <w:left w:val="nil"/>
              <w:bottom w:val="nil"/>
              <w:right w:val="nil"/>
            </w:tcBorders>
            <w:shd w:val="clear" w:color="auto" w:fill="auto"/>
            <w:noWrap/>
            <w:vAlign w:val="bottom"/>
            <w:hideMark/>
          </w:tcPr>
          <w:p w14:paraId="5962468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1.3 ± 0.14</w:t>
            </w:r>
          </w:p>
        </w:tc>
      </w:tr>
      <w:tr w:rsidR="007053B4" w:rsidRPr="00FA7D47" w14:paraId="39E7F07D" w14:textId="77777777" w:rsidTr="0095549A">
        <w:trPr>
          <w:trHeight w:val="300"/>
        </w:trPr>
        <w:tc>
          <w:tcPr>
            <w:tcW w:w="1307" w:type="pct"/>
            <w:tcBorders>
              <w:top w:val="nil"/>
              <w:left w:val="nil"/>
              <w:bottom w:val="nil"/>
              <w:right w:val="nil"/>
            </w:tcBorders>
            <w:shd w:val="clear" w:color="auto" w:fill="auto"/>
            <w:vAlign w:val="bottom"/>
            <w:hideMark/>
          </w:tcPr>
          <w:p w14:paraId="5075BE2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22:6n-3</w:t>
            </w:r>
          </w:p>
        </w:tc>
        <w:tc>
          <w:tcPr>
            <w:tcW w:w="515" w:type="pct"/>
            <w:tcBorders>
              <w:top w:val="nil"/>
              <w:left w:val="nil"/>
              <w:bottom w:val="nil"/>
              <w:right w:val="nil"/>
            </w:tcBorders>
            <w:shd w:val="clear" w:color="auto" w:fill="auto"/>
            <w:noWrap/>
            <w:vAlign w:val="bottom"/>
            <w:hideMark/>
          </w:tcPr>
          <w:p w14:paraId="500CA49A"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8.15 ± 2.58</w:t>
            </w:r>
          </w:p>
        </w:tc>
        <w:tc>
          <w:tcPr>
            <w:tcW w:w="559" w:type="pct"/>
            <w:tcBorders>
              <w:top w:val="nil"/>
              <w:left w:val="nil"/>
              <w:bottom w:val="nil"/>
              <w:right w:val="nil"/>
            </w:tcBorders>
            <w:shd w:val="clear" w:color="auto" w:fill="auto"/>
            <w:noWrap/>
            <w:vAlign w:val="bottom"/>
            <w:hideMark/>
          </w:tcPr>
          <w:p w14:paraId="101377E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8.15 ± 2.58</w:t>
            </w:r>
          </w:p>
        </w:tc>
        <w:tc>
          <w:tcPr>
            <w:tcW w:w="515" w:type="pct"/>
            <w:tcBorders>
              <w:top w:val="nil"/>
              <w:left w:val="nil"/>
              <w:bottom w:val="nil"/>
              <w:right w:val="nil"/>
            </w:tcBorders>
            <w:shd w:val="clear" w:color="auto" w:fill="auto"/>
            <w:noWrap/>
            <w:vAlign w:val="bottom"/>
            <w:hideMark/>
          </w:tcPr>
          <w:p w14:paraId="55EB5EC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9.28 ± 2.1</w:t>
            </w:r>
          </w:p>
        </w:tc>
        <w:tc>
          <w:tcPr>
            <w:tcW w:w="515" w:type="pct"/>
            <w:tcBorders>
              <w:top w:val="nil"/>
              <w:left w:val="nil"/>
              <w:bottom w:val="nil"/>
              <w:right w:val="nil"/>
            </w:tcBorders>
            <w:shd w:val="clear" w:color="auto" w:fill="auto"/>
            <w:noWrap/>
            <w:vAlign w:val="bottom"/>
            <w:hideMark/>
          </w:tcPr>
          <w:p w14:paraId="419F3F1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10.19 ± 2.11</w:t>
            </w:r>
          </w:p>
        </w:tc>
        <w:tc>
          <w:tcPr>
            <w:tcW w:w="515" w:type="pct"/>
            <w:tcBorders>
              <w:top w:val="nil"/>
              <w:left w:val="nil"/>
              <w:bottom w:val="nil"/>
              <w:right w:val="nil"/>
            </w:tcBorders>
            <w:shd w:val="clear" w:color="auto" w:fill="auto"/>
            <w:noWrap/>
            <w:vAlign w:val="bottom"/>
            <w:hideMark/>
          </w:tcPr>
          <w:p w14:paraId="154571C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11.43 ± 1.81</w:t>
            </w:r>
          </w:p>
        </w:tc>
        <w:tc>
          <w:tcPr>
            <w:tcW w:w="515" w:type="pct"/>
            <w:tcBorders>
              <w:top w:val="nil"/>
              <w:left w:val="nil"/>
              <w:bottom w:val="nil"/>
              <w:right w:val="nil"/>
            </w:tcBorders>
            <w:shd w:val="clear" w:color="auto" w:fill="auto"/>
            <w:noWrap/>
            <w:vAlign w:val="bottom"/>
            <w:hideMark/>
          </w:tcPr>
          <w:p w14:paraId="242A1617"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8.35 ± 0.83</w:t>
            </w:r>
          </w:p>
        </w:tc>
        <w:tc>
          <w:tcPr>
            <w:tcW w:w="559" w:type="pct"/>
            <w:tcBorders>
              <w:top w:val="nil"/>
              <w:left w:val="nil"/>
              <w:bottom w:val="nil"/>
              <w:right w:val="nil"/>
            </w:tcBorders>
            <w:shd w:val="clear" w:color="auto" w:fill="auto"/>
            <w:noWrap/>
            <w:vAlign w:val="bottom"/>
            <w:hideMark/>
          </w:tcPr>
          <w:p w14:paraId="7D9E386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19.68 ± 3.41</w:t>
            </w:r>
          </w:p>
        </w:tc>
      </w:tr>
      <w:tr w:rsidR="007053B4" w:rsidRPr="00FA7D47" w14:paraId="3C80AEB0" w14:textId="77777777" w:rsidTr="0095549A">
        <w:trPr>
          <w:trHeight w:val="315"/>
        </w:trPr>
        <w:tc>
          <w:tcPr>
            <w:tcW w:w="1307" w:type="pct"/>
            <w:tcBorders>
              <w:top w:val="single" w:sz="4" w:space="0" w:color="auto"/>
              <w:left w:val="nil"/>
              <w:bottom w:val="single" w:sz="8" w:space="0" w:color="auto"/>
              <w:right w:val="nil"/>
            </w:tcBorders>
            <w:shd w:val="clear" w:color="auto" w:fill="auto"/>
            <w:vAlign w:val="bottom"/>
            <w:hideMark/>
          </w:tcPr>
          <w:p w14:paraId="1201B01F"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total n3</w:t>
            </w:r>
          </w:p>
        </w:tc>
        <w:tc>
          <w:tcPr>
            <w:tcW w:w="515" w:type="pct"/>
            <w:tcBorders>
              <w:top w:val="single" w:sz="4" w:space="0" w:color="auto"/>
              <w:left w:val="nil"/>
              <w:bottom w:val="single" w:sz="8" w:space="0" w:color="auto"/>
              <w:right w:val="nil"/>
            </w:tcBorders>
            <w:shd w:val="clear" w:color="auto" w:fill="auto"/>
            <w:noWrap/>
            <w:vAlign w:val="bottom"/>
            <w:hideMark/>
          </w:tcPr>
          <w:p w14:paraId="65CE5E64"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19.41 ± 7.01</w:t>
            </w:r>
          </w:p>
        </w:tc>
        <w:tc>
          <w:tcPr>
            <w:tcW w:w="559" w:type="pct"/>
            <w:tcBorders>
              <w:top w:val="single" w:sz="4" w:space="0" w:color="auto"/>
              <w:left w:val="nil"/>
              <w:bottom w:val="single" w:sz="8" w:space="0" w:color="auto"/>
              <w:right w:val="nil"/>
            </w:tcBorders>
            <w:shd w:val="clear" w:color="auto" w:fill="auto"/>
            <w:noWrap/>
            <w:vAlign w:val="bottom"/>
            <w:hideMark/>
          </w:tcPr>
          <w:p w14:paraId="390806F5"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19.41 ± 7.01</w:t>
            </w:r>
          </w:p>
        </w:tc>
        <w:tc>
          <w:tcPr>
            <w:tcW w:w="515" w:type="pct"/>
            <w:tcBorders>
              <w:top w:val="single" w:sz="4" w:space="0" w:color="auto"/>
              <w:left w:val="nil"/>
              <w:bottom w:val="single" w:sz="8" w:space="0" w:color="auto"/>
              <w:right w:val="nil"/>
            </w:tcBorders>
            <w:shd w:val="clear" w:color="auto" w:fill="auto"/>
            <w:noWrap/>
            <w:vAlign w:val="bottom"/>
            <w:hideMark/>
          </w:tcPr>
          <w:p w14:paraId="03FFBCAD"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25.44 ± 3.74</w:t>
            </w:r>
          </w:p>
        </w:tc>
        <w:tc>
          <w:tcPr>
            <w:tcW w:w="515" w:type="pct"/>
            <w:tcBorders>
              <w:top w:val="single" w:sz="4" w:space="0" w:color="auto"/>
              <w:left w:val="nil"/>
              <w:bottom w:val="single" w:sz="8" w:space="0" w:color="auto"/>
              <w:right w:val="nil"/>
            </w:tcBorders>
            <w:shd w:val="clear" w:color="auto" w:fill="auto"/>
            <w:noWrap/>
            <w:vAlign w:val="bottom"/>
            <w:hideMark/>
          </w:tcPr>
          <w:p w14:paraId="04F5D9E5"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28.49 ± 3.77</w:t>
            </w:r>
          </w:p>
        </w:tc>
        <w:tc>
          <w:tcPr>
            <w:tcW w:w="515" w:type="pct"/>
            <w:tcBorders>
              <w:top w:val="single" w:sz="4" w:space="0" w:color="auto"/>
              <w:left w:val="nil"/>
              <w:bottom w:val="single" w:sz="8" w:space="0" w:color="auto"/>
              <w:right w:val="nil"/>
            </w:tcBorders>
            <w:shd w:val="clear" w:color="auto" w:fill="auto"/>
            <w:noWrap/>
            <w:vAlign w:val="bottom"/>
            <w:hideMark/>
          </w:tcPr>
          <w:p w14:paraId="66B4DDA3"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29.84 ± 2.74</w:t>
            </w:r>
          </w:p>
        </w:tc>
        <w:tc>
          <w:tcPr>
            <w:tcW w:w="515" w:type="pct"/>
            <w:tcBorders>
              <w:top w:val="single" w:sz="4" w:space="0" w:color="auto"/>
              <w:left w:val="nil"/>
              <w:bottom w:val="single" w:sz="8" w:space="0" w:color="auto"/>
              <w:right w:val="nil"/>
            </w:tcBorders>
            <w:shd w:val="clear" w:color="auto" w:fill="auto"/>
            <w:noWrap/>
            <w:vAlign w:val="bottom"/>
            <w:hideMark/>
          </w:tcPr>
          <w:p w14:paraId="43A79FF0"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25.68 ± 1.4</w:t>
            </w:r>
          </w:p>
        </w:tc>
        <w:tc>
          <w:tcPr>
            <w:tcW w:w="559" w:type="pct"/>
            <w:tcBorders>
              <w:top w:val="single" w:sz="4" w:space="0" w:color="auto"/>
              <w:left w:val="nil"/>
              <w:bottom w:val="single" w:sz="8" w:space="0" w:color="auto"/>
              <w:right w:val="nil"/>
            </w:tcBorders>
            <w:shd w:val="clear" w:color="auto" w:fill="auto"/>
            <w:noWrap/>
            <w:vAlign w:val="bottom"/>
            <w:hideMark/>
          </w:tcPr>
          <w:p w14:paraId="10AF9F58"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40.76 ± 5.75</w:t>
            </w:r>
          </w:p>
        </w:tc>
      </w:tr>
      <w:tr w:rsidR="007053B4" w:rsidRPr="00FA7D47" w14:paraId="693BFE00" w14:textId="77777777" w:rsidTr="0095549A">
        <w:trPr>
          <w:trHeight w:val="300"/>
        </w:trPr>
        <w:tc>
          <w:tcPr>
            <w:tcW w:w="1307" w:type="pct"/>
            <w:tcBorders>
              <w:top w:val="nil"/>
              <w:left w:val="nil"/>
              <w:bottom w:val="nil"/>
              <w:right w:val="nil"/>
            </w:tcBorders>
            <w:shd w:val="clear" w:color="auto" w:fill="auto"/>
            <w:vAlign w:val="bottom"/>
            <w:hideMark/>
          </w:tcPr>
          <w:p w14:paraId="2FBA66D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16:2</w:t>
            </w:r>
          </w:p>
        </w:tc>
        <w:tc>
          <w:tcPr>
            <w:tcW w:w="515" w:type="pct"/>
            <w:tcBorders>
              <w:top w:val="nil"/>
              <w:left w:val="nil"/>
              <w:bottom w:val="nil"/>
              <w:right w:val="nil"/>
            </w:tcBorders>
            <w:shd w:val="clear" w:color="auto" w:fill="auto"/>
            <w:noWrap/>
            <w:vAlign w:val="bottom"/>
            <w:hideMark/>
          </w:tcPr>
          <w:p w14:paraId="1D08E65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0.03</w:t>
            </w:r>
          </w:p>
        </w:tc>
        <w:tc>
          <w:tcPr>
            <w:tcW w:w="559" w:type="pct"/>
            <w:tcBorders>
              <w:top w:val="nil"/>
              <w:left w:val="nil"/>
              <w:bottom w:val="nil"/>
              <w:right w:val="nil"/>
            </w:tcBorders>
            <w:shd w:val="clear" w:color="auto" w:fill="auto"/>
            <w:noWrap/>
            <w:vAlign w:val="bottom"/>
            <w:hideMark/>
          </w:tcPr>
          <w:p w14:paraId="797A022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0.03</w:t>
            </w:r>
          </w:p>
        </w:tc>
        <w:tc>
          <w:tcPr>
            <w:tcW w:w="515" w:type="pct"/>
            <w:tcBorders>
              <w:top w:val="nil"/>
              <w:left w:val="nil"/>
              <w:bottom w:val="nil"/>
              <w:right w:val="nil"/>
            </w:tcBorders>
            <w:shd w:val="clear" w:color="auto" w:fill="auto"/>
            <w:noWrap/>
            <w:vAlign w:val="bottom"/>
            <w:hideMark/>
          </w:tcPr>
          <w:p w14:paraId="58B09A5B"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0.04 ± 0.04</w:t>
            </w:r>
          </w:p>
        </w:tc>
        <w:tc>
          <w:tcPr>
            <w:tcW w:w="515" w:type="pct"/>
            <w:tcBorders>
              <w:top w:val="nil"/>
              <w:left w:val="nil"/>
              <w:bottom w:val="nil"/>
              <w:right w:val="nil"/>
            </w:tcBorders>
            <w:shd w:val="clear" w:color="auto" w:fill="auto"/>
            <w:noWrap/>
            <w:vAlign w:val="bottom"/>
            <w:hideMark/>
          </w:tcPr>
          <w:p w14:paraId="0A1E845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0.02 ± 0.03</w:t>
            </w:r>
          </w:p>
        </w:tc>
        <w:tc>
          <w:tcPr>
            <w:tcW w:w="515" w:type="pct"/>
            <w:tcBorders>
              <w:top w:val="nil"/>
              <w:left w:val="nil"/>
              <w:bottom w:val="nil"/>
              <w:right w:val="nil"/>
            </w:tcBorders>
            <w:shd w:val="clear" w:color="auto" w:fill="auto"/>
            <w:noWrap/>
            <w:vAlign w:val="bottom"/>
            <w:hideMark/>
          </w:tcPr>
          <w:p w14:paraId="4FC75A3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0.01 ± 0.01</w:t>
            </w:r>
          </w:p>
        </w:tc>
        <w:tc>
          <w:tcPr>
            <w:tcW w:w="515" w:type="pct"/>
            <w:tcBorders>
              <w:top w:val="nil"/>
              <w:left w:val="nil"/>
              <w:bottom w:val="nil"/>
              <w:right w:val="nil"/>
            </w:tcBorders>
            <w:shd w:val="clear" w:color="auto" w:fill="auto"/>
            <w:noWrap/>
            <w:vAlign w:val="bottom"/>
            <w:hideMark/>
          </w:tcPr>
          <w:p w14:paraId="2DDDBA3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0.06 ± 0.1</w:t>
            </w:r>
          </w:p>
        </w:tc>
        <w:tc>
          <w:tcPr>
            <w:tcW w:w="559" w:type="pct"/>
            <w:tcBorders>
              <w:top w:val="nil"/>
              <w:left w:val="nil"/>
              <w:bottom w:val="nil"/>
              <w:right w:val="nil"/>
            </w:tcBorders>
            <w:shd w:val="clear" w:color="auto" w:fill="auto"/>
            <w:noWrap/>
            <w:vAlign w:val="bottom"/>
            <w:hideMark/>
          </w:tcPr>
          <w:p w14:paraId="2E3CB01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0.24 ± 0.06</w:t>
            </w:r>
          </w:p>
        </w:tc>
      </w:tr>
      <w:tr w:rsidR="007053B4" w:rsidRPr="00FA7D47" w14:paraId="6F50363D" w14:textId="77777777" w:rsidTr="0095549A">
        <w:trPr>
          <w:trHeight w:val="300"/>
        </w:trPr>
        <w:tc>
          <w:tcPr>
            <w:tcW w:w="1307" w:type="pct"/>
            <w:tcBorders>
              <w:top w:val="nil"/>
              <w:left w:val="nil"/>
              <w:bottom w:val="nil"/>
              <w:right w:val="nil"/>
            </w:tcBorders>
            <w:shd w:val="clear" w:color="auto" w:fill="auto"/>
            <w:vAlign w:val="bottom"/>
            <w:hideMark/>
          </w:tcPr>
          <w:p w14:paraId="3D8C472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16:3</w:t>
            </w:r>
          </w:p>
        </w:tc>
        <w:tc>
          <w:tcPr>
            <w:tcW w:w="515" w:type="pct"/>
            <w:tcBorders>
              <w:top w:val="nil"/>
              <w:left w:val="nil"/>
              <w:bottom w:val="nil"/>
              <w:right w:val="nil"/>
            </w:tcBorders>
            <w:shd w:val="clear" w:color="auto" w:fill="auto"/>
            <w:noWrap/>
            <w:vAlign w:val="bottom"/>
            <w:hideMark/>
          </w:tcPr>
          <w:p w14:paraId="499368E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0.02 ± 0.03</w:t>
            </w:r>
          </w:p>
        </w:tc>
        <w:tc>
          <w:tcPr>
            <w:tcW w:w="559" w:type="pct"/>
            <w:tcBorders>
              <w:top w:val="nil"/>
              <w:left w:val="nil"/>
              <w:bottom w:val="nil"/>
              <w:right w:val="nil"/>
            </w:tcBorders>
            <w:shd w:val="clear" w:color="auto" w:fill="auto"/>
            <w:noWrap/>
            <w:vAlign w:val="bottom"/>
            <w:hideMark/>
          </w:tcPr>
          <w:p w14:paraId="372B704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0.02 ± 0.03</w:t>
            </w:r>
          </w:p>
        </w:tc>
        <w:tc>
          <w:tcPr>
            <w:tcW w:w="515" w:type="pct"/>
            <w:tcBorders>
              <w:top w:val="nil"/>
              <w:left w:val="nil"/>
              <w:bottom w:val="nil"/>
              <w:right w:val="nil"/>
            </w:tcBorders>
            <w:shd w:val="clear" w:color="auto" w:fill="auto"/>
            <w:noWrap/>
            <w:vAlign w:val="bottom"/>
            <w:hideMark/>
          </w:tcPr>
          <w:p w14:paraId="187F4D4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0.05 ± 0.05</w:t>
            </w:r>
          </w:p>
        </w:tc>
        <w:tc>
          <w:tcPr>
            <w:tcW w:w="515" w:type="pct"/>
            <w:tcBorders>
              <w:top w:val="nil"/>
              <w:left w:val="nil"/>
              <w:bottom w:val="nil"/>
              <w:right w:val="nil"/>
            </w:tcBorders>
            <w:shd w:val="clear" w:color="auto" w:fill="auto"/>
            <w:noWrap/>
            <w:vAlign w:val="bottom"/>
            <w:hideMark/>
          </w:tcPr>
          <w:p w14:paraId="66C37AF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0.04</w:t>
            </w:r>
          </w:p>
        </w:tc>
        <w:tc>
          <w:tcPr>
            <w:tcW w:w="515" w:type="pct"/>
            <w:tcBorders>
              <w:top w:val="nil"/>
              <w:left w:val="nil"/>
              <w:bottom w:val="nil"/>
              <w:right w:val="nil"/>
            </w:tcBorders>
            <w:shd w:val="clear" w:color="auto" w:fill="auto"/>
            <w:noWrap/>
            <w:vAlign w:val="bottom"/>
            <w:hideMark/>
          </w:tcPr>
          <w:p w14:paraId="745088E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0.01 ± 0.02</w:t>
            </w:r>
          </w:p>
        </w:tc>
        <w:tc>
          <w:tcPr>
            <w:tcW w:w="515" w:type="pct"/>
            <w:tcBorders>
              <w:top w:val="nil"/>
              <w:left w:val="nil"/>
              <w:bottom w:val="nil"/>
              <w:right w:val="nil"/>
            </w:tcBorders>
            <w:shd w:val="clear" w:color="auto" w:fill="auto"/>
            <w:noWrap/>
            <w:vAlign w:val="bottom"/>
            <w:hideMark/>
          </w:tcPr>
          <w:p w14:paraId="50A1E55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0.06</w:t>
            </w:r>
          </w:p>
        </w:tc>
        <w:tc>
          <w:tcPr>
            <w:tcW w:w="559" w:type="pct"/>
            <w:tcBorders>
              <w:top w:val="nil"/>
              <w:left w:val="nil"/>
              <w:bottom w:val="nil"/>
              <w:right w:val="nil"/>
            </w:tcBorders>
            <w:shd w:val="clear" w:color="auto" w:fill="auto"/>
            <w:noWrap/>
            <w:vAlign w:val="bottom"/>
            <w:hideMark/>
          </w:tcPr>
          <w:p w14:paraId="6DE7C3D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10F801AA" w14:textId="77777777" w:rsidTr="0095549A">
        <w:trPr>
          <w:trHeight w:val="300"/>
        </w:trPr>
        <w:tc>
          <w:tcPr>
            <w:tcW w:w="1307" w:type="pct"/>
            <w:tcBorders>
              <w:top w:val="nil"/>
              <w:left w:val="nil"/>
              <w:bottom w:val="nil"/>
              <w:right w:val="nil"/>
            </w:tcBorders>
            <w:shd w:val="clear" w:color="auto" w:fill="auto"/>
            <w:vAlign w:val="bottom"/>
            <w:hideMark/>
          </w:tcPr>
          <w:p w14:paraId="733DB22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16:4</w:t>
            </w:r>
          </w:p>
        </w:tc>
        <w:tc>
          <w:tcPr>
            <w:tcW w:w="515" w:type="pct"/>
            <w:tcBorders>
              <w:top w:val="nil"/>
              <w:left w:val="nil"/>
              <w:bottom w:val="nil"/>
              <w:right w:val="nil"/>
            </w:tcBorders>
            <w:shd w:val="clear" w:color="auto" w:fill="auto"/>
            <w:noWrap/>
            <w:vAlign w:val="bottom"/>
            <w:hideMark/>
          </w:tcPr>
          <w:p w14:paraId="20E95778"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c>
          <w:tcPr>
            <w:tcW w:w="559" w:type="pct"/>
            <w:tcBorders>
              <w:top w:val="nil"/>
              <w:left w:val="nil"/>
              <w:bottom w:val="nil"/>
              <w:right w:val="nil"/>
            </w:tcBorders>
            <w:shd w:val="clear" w:color="auto" w:fill="auto"/>
            <w:noWrap/>
            <w:vAlign w:val="bottom"/>
            <w:hideMark/>
          </w:tcPr>
          <w:p w14:paraId="32CD587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c>
          <w:tcPr>
            <w:tcW w:w="515" w:type="pct"/>
            <w:tcBorders>
              <w:top w:val="nil"/>
              <w:left w:val="nil"/>
              <w:bottom w:val="nil"/>
              <w:right w:val="nil"/>
            </w:tcBorders>
            <w:shd w:val="clear" w:color="auto" w:fill="auto"/>
            <w:noWrap/>
            <w:vAlign w:val="bottom"/>
            <w:hideMark/>
          </w:tcPr>
          <w:p w14:paraId="0AC74D62"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0.04 ± 0.06</w:t>
            </w:r>
          </w:p>
        </w:tc>
        <w:tc>
          <w:tcPr>
            <w:tcW w:w="515" w:type="pct"/>
            <w:tcBorders>
              <w:top w:val="nil"/>
              <w:left w:val="nil"/>
              <w:bottom w:val="nil"/>
              <w:right w:val="nil"/>
            </w:tcBorders>
            <w:shd w:val="clear" w:color="auto" w:fill="auto"/>
            <w:noWrap/>
            <w:vAlign w:val="bottom"/>
            <w:hideMark/>
          </w:tcPr>
          <w:p w14:paraId="1AF06A0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c>
          <w:tcPr>
            <w:tcW w:w="515" w:type="pct"/>
            <w:tcBorders>
              <w:top w:val="nil"/>
              <w:left w:val="nil"/>
              <w:bottom w:val="nil"/>
              <w:right w:val="nil"/>
            </w:tcBorders>
            <w:shd w:val="clear" w:color="auto" w:fill="auto"/>
            <w:noWrap/>
            <w:vAlign w:val="bottom"/>
            <w:hideMark/>
          </w:tcPr>
          <w:p w14:paraId="141FE4E3"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0.05 ± 0.06</w:t>
            </w:r>
          </w:p>
        </w:tc>
        <w:tc>
          <w:tcPr>
            <w:tcW w:w="515" w:type="pct"/>
            <w:tcBorders>
              <w:top w:val="nil"/>
              <w:left w:val="nil"/>
              <w:bottom w:val="nil"/>
              <w:right w:val="nil"/>
            </w:tcBorders>
            <w:shd w:val="clear" w:color="auto" w:fill="auto"/>
            <w:noWrap/>
            <w:vAlign w:val="bottom"/>
            <w:hideMark/>
          </w:tcPr>
          <w:p w14:paraId="269C8C3E"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0.13 ± 0.15</w:t>
            </w:r>
          </w:p>
        </w:tc>
        <w:tc>
          <w:tcPr>
            <w:tcW w:w="559" w:type="pct"/>
            <w:tcBorders>
              <w:top w:val="nil"/>
              <w:left w:val="nil"/>
              <w:bottom w:val="nil"/>
              <w:right w:val="nil"/>
            </w:tcBorders>
            <w:shd w:val="clear" w:color="auto" w:fill="auto"/>
            <w:noWrap/>
            <w:vAlign w:val="bottom"/>
            <w:hideMark/>
          </w:tcPr>
          <w:p w14:paraId="5EBCEDB4"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30C72574" w14:textId="77777777" w:rsidTr="0095549A">
        <w:trPr>
          <w:trHeight w:val="300"/>
        </w:trPr>
        <w:tc>
          <w:tcPr>
            <w:tcW w:w="1307" w:type="pct"/>
            <w:tcBorders>
              <w:top w:val="nil"/>
              <w:left w:val="nil"/>
              <w:bottom w:val="nil"/>
              <w:right w:val="nil"/>
            </w:tcBorders>
            <w:shd w:val="clear" w:color="auto" w:fill="auto"/>
            <w:noWrap/>
            <w:vAlign w:val="bottom"/>
            <w:hideMark/>
          </w:tcPr>
          <w:p w14:paraId="1564801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22:2 NMID</w:t>
            </w:r>
          </w:p>
        </w:tc>
        <w:tc>
          <w:tcPr>
            <w:tcW w:w="515" w:type="pct"/>
            <w:tcBorders>
              <w:top w:val="nil"/>
              <w:left w:val="nil"/>
              <w:bottom w:val="nil"/>
              <w:right w:val="nil"/>
            </w:tcBorders>
            <w:shd w:val="clear" w:color="auto" w:fill="auto"/>
            <w:noWrap/>
            <w:vAlign w:val="bottom"/>
            <w:hideMark/>
          </w:tcPr>
          <w:p w14:paraId="4B93E2ED"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0.04</w:t>
            </w:r>
          </w:p>
        </w:tc>
        <w:tc>
          <w:tcPr>
            <w:tcW w:w="559" w:type="pct"/>
            <w:tcBorders>
              <w:top w:val="nil"/>
              <w:left w:val="nil"/>
              <w:bottom w:val="nil"/>
              <w:right w:val="nil"/>
            </w:tcBorders>
            <w:shd w:val="clear" w:color="auto" w:fill="auto"/>
            <w:noWrap/>
            <w:vAlign w:val="bottom"/>
            <w:hideMark/>
          </w:tcPr>
          <w:p w14:paraId="03758AB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0.03 ± 0.04</w:t>
            </w:r>
          </w:p>
        </w:tc>
        <w:tc>
          <w:tcPr>
            <w:tcW w:w="515" w:type="pct"/>
            <w:tcBorders>
              <w:top w:val="nil"/>
              <w:left w:val="nil"/>
              <w:bottom w:val="nil"/>
              <w:right w:val="nil"/>
            </w:tcBorders>
            <w:shd w:val="clear" w:color="auto" w:fill="auto"/>
            <w:noWrap/>
            <w:vAlign w:val="bottom"/>
            <w:hideMark/>
          </w:tcPr>
          <w:p w14:paraId="4F588366"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0.04 ± 0.06</w:t>
            </w:r>
          </w:p>
        </w:tc>
        <w:tc>
          <w:tcPr>
            <w:tcW w:w="515" w:type="pct"/>
            <w:tcBorders>
              <w:top w:val="nil"/>
              <w:left w:val="nil"/>
              <w:bottom w:val="nil"/>
              <w:right w:val="nil"/>
            </w:tcBorders>
            <w:shd w:val="clear" w:color="auto" w:fill="auto"/>
            <w:noWrap/>
            <w:vAlign w:val="bottom"/>
            <w:hideMark/>
          </w:tcPr>
          <w:p w14:paraId="11B5BADF"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0.04 ± 0.06</w:t>
            </w:r>
          </w:p>
        </w:tc>
        <w:tc>
          <w:tcPr>
            <w:tcW w:w="515" w:type="pct"/>
            <w:tcBorders>
              <w:top w:val="nil"/>
              <w:left w:val="nil"/>
              <w:bottom w:val="nil"/>
              <w:right w:val="nil"/>
            </w:tcBorders>
            <w:shd w:val="clear" w:color="auto" w:fill="auto"/>
            <w:noWrap/>
            <w:vAlign w:val="bottom"/>
            <w:hideMark/>
          </w:tcPr>
          <w:p w14:paraId="03CEB630"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0.01 ± 0.02</w:t>
            </w:r>
          </w:p>
        </w:tc>
        <w:tc>
          <w:tcPr>
            <w:tcW w:w="515" w:type="pct"/>
            <w:tcBorders>
              <w:top w:val="nil"/>
              <w:left w:val="nil"/>
              <w:bottom w:val="nil"/>
              <w:right w:val="nil"/>
            </w:tcBorders>
            <w:shd w:val="clear" w:color="auto" w:fill="auto"/>
            <w:noWrap/>
            <w:vAlign w:val="bottom"/>
            <w:hideMark/>
          </w:tcPr>
          <w:p w14:paraId="2C2FF341"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c>
          <w:tcPr>
            <w:tcW w:w="559" w:type="pct"/>
            <w:tcBorders>
              <w:top w:val="nil"/>
              <w:left w:val="nil"/>
              <w:bottom w:val="nil"/>
              <w:right w:val="nil"/>
            </w:tcBorders>
            <w:shd w:val="clear" w:color="auto" w:fill="auto"/>
            <w:noWrap/>
            <w:vAlign w:val="bottom"/>
            <w:hideMark/>
          </w:tcPr>
          <w:p w14:paraId="4693D7B5" w14:textId="77777777" w:rsidR="007053B4" w:rsidRPr="009819CE" w:rsidRDefault="007053B4" w:rsidP="0095549A">
            <w:pPr>
              <w:spacing w:after="0" w:line="240" w:lineRule="auto"/>
              <w:jc w:val="center"/>
              <w:rPr>
                <w:rFonts w:cstheme="minorBidi"/>
                <w:color w:val="000000"/>
                <w:sz w:val="22"/>
              </w:rPr>
            </w:pPr>
            <w:r w:rsidRPr="009819CE">
              <w:rPr>
                <w:rFonts w:cstheme="minorBidi"/>
                <w:color w:val="000000"/>
                <w:sz w:val="22"/>
              </w:rPr>
              <w:t>0 ± 0</w:t>
            </w:r>
          </w:p>
        </w:tc>
      </w:tr>
      <w:tr w:rsidR="007053B4" w:rsidRPr="00FA7D47" w14:paraId="55D713F4" w14:textId="77777777" w:rsidTr="0095549A">
        <w:trPr>
          <w:trHeight w:val="315"/>
        </w:trPr>
        <w:tc>
          <w:tcPr>
            <w:tcW w:w="1307" w:type="pct"/>
            <w:tcBorders>
              <w:top w:val="single" w:sz="4" w:space="0" w:color="auto"/>
              <w:left w:val="nil"/>
              <w:bottom w:val="single" w:sz="4" w:space="0" w:color="auto"/>
              <w:right w:val="nil"/>
            </w:tcBorders>
            <w:shd w:val="clear" w:color="auto" w:fill="auto"/>
            <w:vAlign w:val="bottom"/>
            <w:hideMark/>
          </w:tcPr>
          <w:p w14:paraId="62F49FCA"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total other</w:t>
            </w:r>
          </w:p>
        </w:tc>
        <w:tc>
          <w:tcPr>
            <w:tcW w:w="515" w:type="pct"/>
            <w:tcBorders>
              <w:top w:val="single" w:sz="4" w:space="0" w:color="auto"/>
              <w:left w:val="nil"/>
              <w:bottom w:val="single" w:sz="4" w:space="0" w:color="auto"/>
              <w:right w:val="nil"/>
            </w:tcBorders>
            <w:shd w:val="clear" w:color="auto" w:fill="auto"/>
            <w:noWrap/>
            <w:vAlign w:val="bottom"/>
            <w:hideMark/>
          </w:tcPr>
          <w:p w14:paraId="5DA3019E"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0.08 ± 0.1</w:t>
            </w:r>
          </w:p>
        </w:tc>
        <w:tc>
          <w:tcPr>
            <w:tcW w:w="559" w:type="pct"/>
            <w:tcBorders>
              <w:top w:val="single" w:sz="4" w:space="0" w:color="auto"/>
              <w:left w:val="nil"/>
              <w:bottom w:val="single" w:sz="4" w:space="0" w:color="auto"/>
              <w:right w:val="nil"/>
            </w:tcBorders>
            <w:shd w:val="clear" w:color="auto" w:fill="auto"/>
            <w:noWrap/>
            <w:vAlign w:val="bottom"/>
            <w:hideMark/>
          </w:tcPr>
          <w:p w14:paraId="5181E031"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0.08 ± 0.1</w:t>
            </w:r>
          </w:p>
        </w:tc>
        <w:tc>
          <w:tcPr>
            <w:tcW w:w="515" w:type="pct"/>
            <w:tcBorders>
              <w:top w:val="single" w:sz="4" w:space="0" w:color="auto"/>
              <w:left w:val="nil"/>
              <w:bottom w:val="single" w:sz="4" w:space="0" w:color="auto"/>
              <w:right w:val="nil"/>
            </w:tcBorders>
            <w:shd w:val="clear" w:color="auto" w:fill="auto"/>
            <w:noWrap/>
            <w:vAlign w:val="bottom"/>
            <w:hideMark/>
          </w:tcPr>
          <w:p w14:paraId="7E8290D0"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0.18 ± 0.18</w:t>
            </w:r>
          </w:p>
        </w:tc>
        <w:tc>
          <w:tcPr>
            <w:tcW w:w="515" w:type="pct"/>
            <w:tcBorders>
              <w:top w:val="single" w:sz="4" w:space="0" w:color="auto"/>
              <w:left w:val="nil"/>
              <w:bottom w:val="single" w:sz="4" w:space="0" w:color="auto"/>
              <w:right w:val="nil"/>
            </w:tcBorders>
            <w:shd w:val="clear" w:color="auto" w:fill="auto"/>
            <w:noWrap/>
            <w:vAlign w:val="bottom"/>
            <w:hideMark/>
          </w:tcPr>
          <w:p w14:paraId="71FA73AB"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0.08 ± 0.09</w:t>
            </w:r>
          </w:p>
        </w:tc>
        <w:tc>
          <w:tcPr>
            <w:tcW w:w="515" w:type="pct"/>
            <w:tcBorders>
              <w:top w:val="single" w:sz="4" w:space="0" w:color="auto"/>
              <w:left w:val="nil"/>
              <w:bottom w:val="single" w:sz="4" w:space="0" w:color="auto"/>
              <w:right w:val="nil"/>
            </w:tcBorders>
            <w:shd w:val="clear" w:color="auto" w:fill="auto"/>
            <w:noWrap/>
            <w:vAlign w:val="bottom"/>
            <w:hideMark/>
          </w:tcPr>
          <w:p w14:paraId="30346DEB"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0.08 ± 0.09</w:t>
            </w:r>
          </w:p>
        </w:tc>
        <w:tc>
          <w:tcPr>
            <w:tcW w:w="515" w:type="pct"/>
            <w:tcBorders>
              <w:top w:val="single" w:sz="4" w:space="0" w:color="auto"/>
              <w:left w:val="nil"/>
              <w:bottom w:val="single" w:sz="4" w:space="0" w:color="auto"/>
              <w:right w:val="nil"/>
            </w:tcBorders>
            <w:shd w:val="clear" w:color="auto" w:fill="auto"/>
            <w:noWrap/>
            <w:vAlign w:val="bottom"/>
            <w:hideMark/>
          </w:tcPr>
          <w:p w14:paraId="6669A184"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0.22 ± 0.23</w:t>
            </w:r>
          </w:p>
        </w:tc>
        <w:tc>
          <w:tcPr>
            <w:tcW w:w="559" w:type="pct"/>
            <w:tcBorders>
              <w:top w:val="single" w:sz="4" w:space="0" w:color="auto"/>
              <w:left w:val="nil"/>
              <w:bottom w:val="single" w:sz="4" w:space="0" w:color="auto"/>
              <w:right w:val="nil"/>
            </w:tcBorders>
            <w:shd w:val="clear" w:color="auto" w:fill="auto"/>
            <w:noWrap/>
            <w:vAlign w:val="bottom"/>
            <w:hideMark/>
          </w:tcPr>
          <w:p w14:paraId="7D663A4A"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0.24 ± 0.06</w:t>
            </w:r>
          </w:p>
        </w:tc>
      </w:tr>
      <w:tr w:rsidR="007053B4" w:rsidRPr="00FA7D47" w14:paraId="6B44FC05" w14:textId="77777777" w:rsidTr="0095549A">
        <w:trPr>
          <w:trHeight w:val="315"/>
        </w:trPr>
        <w:tc>
          <w:tcPr>
            <w:tcW w:w="1307" w:type="pct"/>
            <w:tcBorders>
              <w:top w:val="single" w:sz="4" w:space="0" w:color="auto"/>
              <w:left w:val="nil"/>
              <w:bottom w:val="single" w:sz="4" w:space="0" w:color="auto"/>
              <w:right w:val="nil"/>
            </w:tcBorders>
            <w:shd w:val="clear" w:color="auto" w:fill="auto"/>
            <w:vAlign w:val="center"/>
          </w:tcPr>
          <w:p w14:paraId="37256736"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DHA/EPA</w:t>
            </w:r>
          </w:p>
        </w:tc>
        <w:tc>
          <w:tcPr>
            <w:tcW w:w="515" w:type="pct"/>
            <w:tcBorders>
              <w:top w:val="single" w:sz="4" w:space="0" w:color="auto"/>
              <w:left w:val="nil"/>
              <w:bottom w:val="single" w:sz="4" w:space="0" w:color="auto"/>
              <w:right w:val="nil"/>
            </w:tcBorders>
            <w:shd w:val="clear" w:color="auto" w:fill="auto"/>
            <w:noWrap/>
            <w:vAlign w:val="bottom"/>
          </w:tcPr>
          <w:p w14:paraId="30F547DA"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0.72 ± 0.17</w:t>
            </w:r>
          </w:p>
        </w:tc>
        <w:tc>
          <w:tcPr>
            <w:tcW w:w="559" w:type="pct"/>
            <w:tcBorders>
              <w:top w:val="single" w:sz="4" w:space="0" w:color="auto"/>
              <w:left w:val="nil"/>
              <w:bottom w:val="single" w:sz="4" w:space="0" w:color="auto"/>
              <w:right w:val="nil"/>
            </w:tcBorders>
            <w:shd w:val="clear" w:color="auto" w:fill="auto"/>
            <w:noWrap/>
            <w:vAlign w:val="bottom"/>
          </w:tcPr>
          <w:p w14:paraId="4CD249BD"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12.92 ± 24.52</w:t>
            </w:r>
          </w:p>
        </w:tc>
        <w:tc>
          <w:tcPr>
            <w:tcW w:w="515" w:type="pct"/>
            <w:tcBorders>
              <w:top w:val="single" w:sz="4" w:space="0" w:color="auto"/>
              <w:left w:val="nil"/>
              <w:bottom w:val="single" w:sz="4" w:space="0" w:color="auto"/>
              <w:right w:val="nil"/>
            </w:tcBorders>
            <w:shd w:val="clear" w:color="auto" w:fill="auto"/>
            <w:noWrap/>
            <w:vAlign w:val="bottom"/>
          </w:tcPr>
          <w:p w14:paraId="3A63C5CE"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0.69 ± 0.11</w:t>
            </w:r>
          </w:p>
        </w:tc>
        <w:tc>
          <w:tcPr>
            <w:tcW w:w="515" w:type="pct"/>
            <w:tcBorders>
              <w:top w:val="single" w:sz="4" w:space="0" w:color="auto"/>
              <w:left w:val="nil"/>
              <w:bottom w:val="single" w:sz="4" w:space="0" w:color="auto"/>
              <w:right w:val="nil"/>
            </w:tcBorders>
            <w:shd w:val="clear" w:color="auto" w:fill="auto"/>
            <w:noWrap/>
            <w:vAlign w:val="bottom"/>
          </w:tcPr>
          <w:p w14:paraId="20A84A20"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0.68 ± 0.11</w:t>
            </w:r>
          </w:p>
        </w:tc>
        <w:tc>
          <w:tcPr>
            <w:tcW w:w="515" w:type="pct"/>
            <w:tcBorders>
              <w:top w:val="single" w:sz="4" w:space="0" w:color="auto"/>
              <w:left w:val="nil"/>
              <w:bottom w:val="single" w:sz="4" w:space="0" w:color="auto"/>
              <w:right w:val="nil"/>
            </w:tcBorders>
            <w:shd w:val="clear" w:color="auto" w:fill="auto"/>
            <w:noWrap/>
            <w:vAlign w:val="bottom"/>
          </w:tcPr>
          <w:p w14:paraId="733082BE"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0.74 ± 0.14</w:t>
            </w:r>
          </w:p>
        </w:tc>
        <w:tc>
          <w:tcPr>
            <w:tcW w:w="515" w:type="pct"/>
            <w:tcBorders>
              <w:top w:val="single" w:sz="4" w:space="0" w:color="auto"/>
              <w:left w:val="nil"/>
              <w:bottom w:val="single" w:sz="4" w:space="0" w:color="auto"/>
              <w:right w:val="nil"/>
            </w:tcBorders>
            <w:shd w:val="clear" w:color="auto" w:fill="auto"/>
            <w:noWrap/>
            <w:vAlign w:val="bottom"/>
          </w:tcPr>
          <w:p w14:paraId="27149A0D"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0.58 ± 0.04</w:t>
            </w:r>
          </w:p>
        </w:tc>
        <w:tc>
          <w:tcPr>
            <w:tcW w:w="559" w:type="pct"/>
            <w:tcBorders>
              <w:top w:val="single" w:sz="4" w:space="0" w:color="auto"/>
              <w:left w:val="nil"/>
              <w:bottom w:val="single" w:sz="4" w:space="0" w:color="auto"/>
              <w:right w:val="nil"/>
            </w:tcBorders>
            <w:shd w:val="clear" w:color="auto" w:fill="auto"/>
            <w:noWrap/>
            <w:vAlign w:val="bottom"/>
          </w:tcPr>
          <w:p w14:paraId="5C66B545"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1.03 ± 0.1</w:t>
            </w:r>
          </w:p>
        </w:tc>
      </w:tr>
      <w:tr w:rsidR="007053B4" w:rsidRPr="00FA7D47" w14:paraId="2D5AB410" w14:textId="77777777" w:rsidTr="0095549A">
        <w:trPr>
          <w:trHeight w:val="315"/>
        </w:trPr>
        <w:tc>
          <w:tcPr>
            <w:tcW w:w="1307" w:type="pct"/>
            <w:tcBorders>
              <w:top w:val="single" w:sz="4" w:space="0" w:color="auto"/>
              <w:left w:val="nil"/>
              <w:bottom w:val="single" w:sz="8" w:space="0" w:color="auto"/>
              <w:right w:val="nil"/>
            </w:tcBorders>
            <w:shd w:val="clear" w:color="auto" w:fill="auto"/>
            <w:vAlign w:val="bottom"/>
          </w:tcPr>
          <w:p w14:paraId="5085317E" w14:textId="77777777" w:rsidR="007053B4" w:rsidRPr="009819CE" w:rsidRDefault="007053B4" w:rsidP="0095549A">
            <w:pPr>
              <w:spacing w:after="0" w:line="240" w:lineRule="auto"/>
              <w:jc w:val="center"/>
              <w:rPr>
                <w:rFonts w:cstheme="minorBidi"/>
                <w:b/>
                <w:bCs/>
                <w:color w:val="000000"/>
                <w:sz w:val="22"/>
              </w:rPr>
            </w:pPr>
            <w:r w:rsidRPr="009819CE">
              <w:rPr>
                <w:rFonts w:cstheme="minorBidi"/>
                <w:b/>
                <w:bCs/>
                <w:color w:val="000000"/>
                <w:sz w:val="22"/>
              </w:rPr>
              <w:t>n-3/n-6 PUFA</w:t>
            </w:r>
          </w:p>
        </w:tc>
        <w:tc>
          <w:tcPr>
            <w:tcW w:w="515" w:type="pct"/>
            <w:tcBorders>
              <w:top w:val="single" w:sz="4" w:space="0" w:color="auto"/>
              <w:left w:val="nil"/>
              <w:bottom w:val="single" w:sz="8" w:space="0" w:color="auto"/>
              <w:right w:val="nil"/>
            </w:tcBorders>
            <w:shd w:val="clear" w:color="auto" w:fill="auto"/>
            <w:noWrap/>
            <w:vAlign w:val="bottom"/>
          </w:tcPr>
          <w:p w14:paraId="20C89B59"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3.24 ± 0.53</w:t>
            </w:r>
          </w:p>
        </w:tc>
        <w:tc>
          <w:tcPr>
            <w:tcW w:w="559" w:type="pct"/>
            <w:tcBorders>
              <w:top w:val="single" w:sz="4" w:space="0" w:color="auto"/>
              <w:left w:val="nil"/>
              <w:bottom w:val="single" w:sz="8" w:space="0" w:color="auto"/>
              <w:right w:val="nil"/>
            </w:tcBorders>
            <w:shd w:val="clear" w:color="auto" w:fill="auto"/>
            <w:noWrap/>
            <w:vAlign w:val="bottom"/>
          </w:tcPr>
          <w:p w14:paraId="4AFC6060"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2.69 ± 0.98</w:t>
            </w:r>
          </w:p>
        </w:tc>
        <w:tc>
          <w:tcPr>
            <w:tcW w:w="515" w:type="pct"/>
            <w:tcBorders>
              <w:top w:val="single" w:sz="4" w:space="0" w:color="auto"/>
              <w:left w:val="nil"/>
              <w:bottom w:val="single" w:sz="8" w:space="0" w:color="auto"/>
              <w:right w:val="nil"/>
            </w:tcBorders>
            <w:shd w:val="clear" w:color="auto" w:fill="auto"/>
            <w:noWrap/>
            <w:vAlign w:val="bottom"/>
          </w:tcPr>
          <w:p w14:paraId="4F0A21CF"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2.96 ± 0.72</w:t>
            </w:r>
          </w:p>
        </w:tc>
        <w:tc>
          <w:tcPr>
            <w:tcW w:w="515" w:type="pct"/>
            <w:tcBorders>
              <w:top w:val="single" w:sz="4" w:space="0" w:color="auto"/>
              <w:left w:val="nil"/>
              <w:bottom w:val="single" w:sz="8" w:space="0" w:color="auto"/>
              <w:right w:val="nil"/>
            </w:tcBorders>
            <w:shd w:val="clear" w:color="auto" w:fill="auto"/>
            <w:noWrap/>
            <w:vAlign w:val="bottom"/>
          </w:tcPr>
          <w:p w14:paraId="52BFE15B"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3.34 ± 1.28</w:t>
            </w:r>
          </w:p>
        </w:tc>
        <w:tc>
          <w:tcPr>
            <w:tcW w:w="515" w:type="pct"/>
            <w:tcBorders>
              <w:top w:val="single" w:sz="4" w:space="0" w:color="auto"/>
              <w:left w:val="nil"/>
              <w:bottom w:val="single" w:sz="8" w:space="0" w:color="auto"/>
              <w:right w:val="nil"/>
            </w:tcBorders>
            <w:shd w:val="clear" w:color="auto" w:fill="auto"/>
            <w:noWrap/>
            <w:vAlign w:val="bottom"/>
          </w:tcPr>
          <w:p w14:paraId="26355420"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3.2 ± 0.5</w:t>
            </w:r>
          </w:p>
        </w:tc>
        <w:tc>
          <w:tcPr>
            <w:tcW w:w="515" w:type="pct"/>
            <w:tcBorders>
              <w:top w:val="single" w:sz="4" w:space="0" w:color="auto"/>
              <w:left w:val="nil"/>
              <w:bottom w:val="single" w:sz="8" w:space="0" w:color="auto"/>
              <w:right w:val="nil"/>
            </w:tcBorders>
            <w:shd w:val="clear" w:color="auto" w:fill="auto"/>
            <w:noWrap/>
            <w:vAlign w:val="bottom"/>
          </w:tcPr>
          <w:p w14:paraId="66E910F6"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2.46 ± 0.69</w:t>
            </w:r>
          </w:p>
        </w:tc>
        <w:tc>
          <w:tcPr>
            <w:tcW w:w="559" w:type="pct"/>
            <w:tcBorders>
              <w:top w:val="single" w:sz="4" w:space="0" w:color="auto"/>
              <w:left w:val="nil"/>
              <w:bottom w:val="single" w:sz="8" w:space="0" w:color="auto"/>
              <w:right w:val="nil"/>
            </w:tcBorders>
            <w:shd w:val="clear" w:color="auto" w:fill="auto"/>
            <w:noWrap/>
            <w:vAlign w:val="bottom"/>
          </w:tcPr>
          <w:p w14:paraId="163C9632" w14:textId="77777777" w:rsidR="007053B4" w:rsidRPr="009819CE" w:rsidRDefault="007053B4" w:rsidP="0095549A">
            <w:pPr>
              <w:spacing w:after="0" w:line="240" w:lineRule="auto"/>
              <w:jc w:val="center"/>
              <w:rPr>
                <w:rFonts w:cstheme="minorBidi"/>
                <w:b/>
                <w:bCs/>
                <w:color w:val="000000"/>
                <w:sz w:val="22"/>
              </w:rPr>
            </w:pPr>
            <w:r w:rsidRPr="009819CE">
              <w:rPr>
                <w:rFonts w:cstheme="minorBidi"/>
                <w:color w:val="000000"/>
                <w:sz w:val="22"/>
              </w:rPr>
              <w:t>9.18 ± 2.55</w:t>
            </w:r>
          </w:p>
        </w:tc>
      </w:tr>
    </w:tbl>
    <w:p w14:paraId="74A74102" w14:textId="77777777" w:rsidR="00750A53" w:rsidRPr="009819CE" w:rsidRDefault="00750A53" w:rsidP="006A0363">
      <w:pPr>
        <w:rPr>
          <w:rFonts w:cstheme="minorBidi"/>
        </w:rPr>
        <w:sectPr w:rsidR="00750A53" w:rsidRPr="009819CE" w:rsidSect="007053B4">
          <w:footerReference w:type="default" r:id="rId116"/>
          <w:pgSz w:w="16838" w:h="11906" w:orient="landscape" w:code="9"/>
          <w:pgMar w:top="1440" w:right="1440" w:bottom="1440" w:left="1440" w:header="567" w:footer="567" w:gutter="0"/>
          <w:cols w:space="708"/>
          <w:docGrid w:linePitch="360"/>
        </w:sectPr>
      </w:pPr>
    </w:p>
    <w:p w14:paraId="06C35C9F" w14:textId="77777777" w:rsidR="00CE68A2" w:rsidRPr="009819CE" w:rsidRDefault="00CE68A2" w:rsidP="006A0363">
      <w:pPr>
        <w:rPr>
          <w:rFonts w:cstheme="min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6A0363" w:rsidRPr="00FA7D47" w14:paraId="63D5B0D2" w14:textId="77777777" w:rsidTr="007D6607">
        <w:tc>
          <w:tcPr>
            <w:tcW w:w="9017" w:type="dxa"/>
          </w:tcPr>
          <w:p w14:paraId="5BDDB781" w14:textId="77777777" w:rsidR="006A0363" w:rsidRPr="009819CE" w:rsidRDefault="006A0363" w:rsidP="007D6607">
            <w:pPr>
              <w:rPr>
                <w:rFonts w:cstheme="minorBidi"/>
                <w:lang w:val="en-GB"/>
              </w:rPr>
            </w:pPr>
            <w:r w:rsidRPr="00FF34FE">
              <w:rPr>
                <w:rFonts w:cstheme="minorBidi"/>
                <w:noProof/>
              </w:rPr>
              <w:drawing>
                <wp:inline distT="0" distB="0" distL="0" distR="0" wp14:anchorId="5FE5C849" wp14:editId="6D281901">
                  <wp:extent cx="5355773" cy="2677886"/>
                  <wp:effectExtent l="0" t="0" r="0" b="8255"/>
                  <wp:docPr id="583395267" name="Picture 2"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95267" name="Picture 2" descr="A graph of different colored bars&#10;&#10;Description automatically generated"/>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365996" cy="2682998"/>
                          </a:xfrm>
                          <a:prstGeom prst="rect">
                            <a:avLst/>
                          </a:prstGeom>
                          <a:noFill/>
                          <a:ln>
                            <a:noFill/>
                          </a:ln>
                        </pic:spPr>
                      </pic:pic>
                    </a:graphicData>
                  </a:graphic>
                </wp:inline>
              </w:drawing>
            </w:r>
          </w:p>
        </w:tc>
      </w:tr>
      <w:tr w:rsidR="006A0363" w:rsidRPr="00FA7D47" w14:paraId="044DFAD2" w14:textId="77777777" w:rsidTr="001255AB">
        <w:tc>
          <w:tcPr>
            <w:tcW w:w="9017" w:type="dxa"/>
          </w:tcPr>
          <w:p w14:paraId="17ED43C7" w14:textId="7BE9D049" w:rsidR="006A0363" w:rsidRPr="009819CE" w:rsidRDefault="006A0363" w:rsidP="007D6607">
            <w:pPr>
              <w:spacing w:line="240" w:lineRule="auto"/>
              <w:rPr>
                <w:rFonts w:cstheme="minorBidi"/>
                <w:lang w:val="en-GB"/>
              </w:rPr>
            </w:pPr>
            <w:bookmarkStart w:id="377" w:name="_Ref141625971"/>
            <w:bookmarkStart w:id="378" w:name="_Toc204106751"/>
            <w:r w:rsidRPr="009819CE">
              <w:rPr>
                <w:rFonts w:cstheme="minorBidi"/>
                <w:b/>
                <w:bCs/>
                <w:sz w:val="22"/>
                <w:szCs w:val="18"/>
                <w:lang w:val="en-GB"/>
              </w:rPr>
              <w:t xml:space="preserve">Figure </w:t>
            </w:r>
            <w:r w:rsidRPr="001F4A34">
              <w:rPr>
                <w:rFonts w:cstheme="minorBidi"/>
                <w:b/>
                <w:bCs/>
                <w:sz w:val="22"/>
                <w:szCs w:val="18"/>
              </w:rPr>
              <w:fldChar w:fldCharType="begin"/>
            </w:r>
            <w:r w:rsidRPr="009819CE">
              <w:rPr>
                <w:rFonts w:cstheme="minorBidi"/>
                <w:b/>
                <w:bCs/>
                <w:sz w:val="22"/>
                <w:szCs w:val="18"/>
                <w:lang w:val="en-GB"/>
              </w:rPr>
              <w:instrText xml:space="preserve"> STYLEREF 1 \s </w:instrText>
            </w:r>
            <w:r w:rsidRPr="001F4A34">
              <w:rPr>
                <w:rFonts w:cstheme="minorBidi"/>
                <w:b/>
                <w:bCs/>
                <w:sz w:val="22"/>
                <w:szCs w:val="18"/>
              </w:rPr>
              <w:fldChar w:fldCharType="separate"/>
            </w:r>
            <w:r w:rsidR="008549FC">
              <w:rPr>
                <w:rFonts w:cstheme="minorBidi"/>
                <w:b/>
                <w:bCs/>
                <w:noProof/>
                <w:sz w:val="22"/>
                <w:szCs w:val="18"/>
                <w:lang w:val="en-GB"/>
              </w:rPr>
              <w:t>4</w:t>
            </w:r>
            <w:r w:rsidRPr="001F4A34">
              <w:rPr>
                <w:rFonts w:cstheme="minorBidi"/>
                <w:b/>
                <w:bCs/>
                <w:sz w:val="22"/>
                <w:szCs w:val="18"/>
              </w:rPr>
              <w:fldChar w:fldCharType="end"/>
            </w:r>
            <w:r w:rsidRPr="009819CE">
              <w:rPr>
                <w:rFonts w:cstheme="minorBidi"/>
                <w:b/>
                <w:bCs/>
                <w:sz w:val="22"/>
                <w:szCs w:val="18"/>
                <w:lang w:val="en-GB"/>
              </w:rPr>
              <w:t>.</w:t>
            </w:r>
            <w:r w:rsidRPr="001F4A34">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1F4A34">
              <w:rPr>
                <w:rFonts w:cstheme="minorBidi"/>
                <w:b/>
                <w:bCs/>
                <w:sz w:val="22"/>
                <w:szCs w:val="18"/>
              </w:rPr>
              <w:fldChar w:fldCharType="separate"/>
            </w:r>
            <w:r w:rsidR="008549FC">
              <w:rPr>
                <w:rFonts w:cstheme="minorBidi"/>
                <w:b/>
                <w:bCs/>
                <w:noProof/>
                <w:sz w:val="22"/>
                <w:szCs w:val="18"/>
                <w:lang w:val="en-GB"/>
              </w:rPr>
              <w:t>13</w:t>
            </w:r>
            <w:r w:rsidRPr="001F4A34">
              <w:rPr>
                <w:rFonts w:cstheme="minorBidi"/>
                <w:b/>
                <w:bCs/>
                <w:sz w:val="22"/>
                <w:szCs w:val="18"/>
              </w:rPr>
              <w:fldChar w:fldCharType="end"/>
            </w:r>
            <w:bookmarkEnd w:id="377"/>
            <w:r w:rsidRPr="009819CE">
              <w:rPr>
                <w:rFonts w:cstheme="minorBidi"/>
                <w:sz w:val="22"/>
                <w:szCs w:val="18"/>
                <w:lang w:val="en-GB"/>
              </w:rPr>
              <w:t xml:space="preserve"> Barplot depicting the </w:t>
            </w:r>
            <w:r w:rsidR="00D1679F">
              <w:rPr>
                <w:rFonts w:cstheme="minorBidi"/>
                <w:sz w:val="22"/>
                <w:szCs w:val="18"/>
                <w:lang w:val="en-GB"/>
              </w:rPr>
              <w:t>mean</w:t>
            </w:r>
            <w:r w:rsidR="00D1679F" w:rsidRPr="009819CE">
              <w:rPr>
                <w:rFonts w:cstheme="minorBidi"/>
                <w:sz w:val="22"/>
                <w:szCs w:val="18"/>
                <w:lang w:val="en-GB"/>
              </w:rPr>
              <w:t xml:space="preserve"> </w:t>
            </w:r>
            <w:r w:rsidRPr="009819CE">
              <w:rPr>
                <w:rFonts w:cstheme="minorBidi"/>
                <w:sz w:val="22"/>
                <w:szCs w:val="18"/>
                <w:lang w:val="en-GB"/>
              </w:rPr>
              <w:t xml:space="preserve">FAMES (%) in the polar fraction of the total lipids found in the hepatopancreas with different levels of </w:t>
            </w:r>
            <w:r w:rsidR="009D03F4" w:rsidRPr="009819CE">
              <w:rPr>
                <w:rFonts w:cstheme="minorBidi"/>
                <w:i/>
                <w:iCs/>
                <w:sz w:val="22"/>
                <w:szCs w:val="18"/>
                <w:lang w:val="en-GB"/>
              </w:rPr>
              <w:t>Hematodinium</w:t>
            </w:r>
            <w:r w:rsidRPr="009819CE">
              <w:rPr>
                <w:rFonts w:cstheme="minorBidi"/>
                <w:sz w:val="22"/>
                <w:szCs w:val="18"/>
                <w:lang w:val="en-GB"/>
              </w:rPr>
              <w:t xml:space="preserve"> sp. infection (stage 0-4) as classified by the PM, along with the hepatopancreas of the host that sporulated and the released spores (macrospores).</w:t>
            </w:r>
            <w:bookmarkEnd w:id="378"/>
          </w:p>
        </w:tc>
      </w:tr>
      <w:tr w:rsidR="006A0363" w:rsidRPr="00FA7D47" w14:paraId="7F3B32B4" w14:textId="77777777" w:rsidTr="00125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7" w:type="dxa"/>
            <w:tcBorders>
              <w:top w:val="nil"/>
              <w:left w:val="nil"/>
              <w:bottom w:val="nil"/>
              <w:right w:val="nil"/>
            </w:tcBorders>
          </w:tcPr>
          <w:p w14:paraId="3E9BEF61" w14:textId="6956DAAA" w:rsidR="006A0363" w:rsidRPr="009819CE" w:rsidRDefault="00880F8A" w:rsidP="001F4A34">
            <w:pPr>
              <w:spacing w:before="0" w:after="0"/>
              <w:jc w:val="center"/>
              <w:rPr>
                <w:rFonts w:cstheme="minorBidi"/>
                <w:lang w:val="en-GB"/>
              </w:rPr>
            </w:pPr>
            <w:r>
              <w:rPr>
                <w:noProof/>
              </w:rPr>
              <w:drawing>
                <wp:inline distT="0" distB="0" distL="0" distR="0" wp14:anchorId="25070711" wp14:editId="0BF2C9B5">
                  <wp:extent cx="5522282" cy="6821787"/>
                  <wp:effectExtent l="0" t="0" r="2540" b="0"/>
                  <wp:docPr id="1703578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522282" cy="6821787"/>
                          </a:xfrm>
                          <a:prstGeom prst="rect">
                            <a:avLst/>
                          </a:prstGeom>
                          <a:noFill/>
                          <a:ln>
                            <a:noFill/>
                          </a:ln>
                        </pic:spPr>
                      </pic:pic>
                    </a:graphicData>
                  </a:graphic>
                </wp:inline>
              </w:drawing>
            </w:r>
          </w:p>
        </w:tc>
      </w:tr>
      <w:tr w:rsidR="006A0363" w:rsidRPr="00FA7D47" w14:paraId="4CCA2992" w14:textId="77777777" w:rsidTr="00125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7" w:type="dxa"/>
            <w:tcBorders>
              <w:top w:val="nil"/>
              <w:left w:val="nil"/>
              <w:bottom w:val="nil"/>
              <w:right w:val="nil"/>
            </w:tcBorders>
          </w:tcPr>
          <w:p w14:paraId="1D1514C2" w14:textId="4B8A896A" w:rsidR="006A0363" w:rsidRPr="009819CE" w:rsidRDefault="006A0363" w:rsidP="007D6607">
            <w:pPr>
              <w:spacing w:line="240" w:lineRule="auto"/>
              <w:rPr>
                <w:rFonts w:cstheme="minorBidi"/>
                <w:lang w:val="en-GB"/>
              </w:rPr>
            </w:pPr>
            <w:bookmarkStart w:id="379" w:name="_Ref138093507"/>
            <w:bookmarkStart w:id="380" w:name="_Toc204106752"/>
            <w:r w:rsidRPr="009819CE">
              <w:rPr>
                <w:rFonts w:cstheme="minorBidi"/>
                <w:b/>
                <w:bCs/>
                <w:sz w:val="22"/>
                <w:szCs w:val="18"/>
                <w:lang w:val="en-GB"/>
              </w:rPr>
              <w:t xml:space="preserve">Figure </w:t>
            </w:r>
            <w:r w:rsidRPr="001F4A34">
              <w:rPr>
                <w:rFonts w:cstheme="minorBidi"/>
                <w:b/>
                <w:bCs/>
                <w:sz w:val="22"/>
                <w:szCs w:val="18"/>
              </w:rPr>
              <w:fldChar w:fldCharType="begin"/>
            </w:r>
            <w:r w:rsidRPr="009819CE">
              <w:rPr>
                <w:rFonts w:cstheme="minorBidi"/>
                <w:b/>
                <w:bCs/>
                <w:sz w:val="22"/>
                <w:szCs w:val="18"/>
                <w:lang w:val="en-GB"/>
              </w:rPr>
              <w:instrText xml:space="preserve"> STYLEREF 1 \s </w:instrText>
            </w:r>
            <w:r w:rsidRPr="001F4A34">
              <w:rPr>
                <w:rFonts w:cstheme="minorBidi"/>
                <w:b/>
                <w:bCs/>
                <w:sz w:val="22"/>
                <w:szCs w:val="18"/>
              </w:rPr>
              <w:fldChar w:fldCharType="separate"/>
            </w:r>
            <w:r w:rsidR="008549FC">
              <w:rPr>
                <w:rFonts w:cstheme="minorBidi"/>
                <w:b/>
                <w:bCs/>
                <w:noProof/>
                <w:sz w:val="22"/>
                <w:szCs w:val="18"/>
                <w:lang w:val="en-GB"/>
              </w:rPr>
              <w:t>4</w:t>
            </w:r>
            <w:r w:rsidRPr="001F4A34">
              <w:rPr>
                <w:rFonts w:cstheme="minorBidi"/>
                <w:b/>
                <w:bCs/>
                <w:sz w:val="22"/>
                <w:szCs w:val="18"/>
              </w:rPr>
              <w:fldChar w:fldCharType="end"/>
            </w:r>
            <w:r w:rsidRPr="009819CE">
              <w:rPr>
                <w:rFonts w:cstheme="minorBidi"/>
                <w:b/>
                <w:bCs/>
                <w:sz w:val="22"/>
                <w:szCs w:val="18"/>
                <w:lang w:val="en-GB"/>
              </w:rPr>
              <w:t>.</w:t>
            </w:r>
            <w:r w:rsidRPr="001F4A34">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1F4A34">
              <w:rPr>
                <w:rFonts w:cstheme="minorBidi"/>
                <w:b/>
                <w:bCs/>
                <w:sz w:val="22"/>
                <w:szCs w:val="18"/>
              </w:rPr>
              <w:fldChar w:fldCharType="separate"/>
            </w:r>
            <w:r w:rsidR="008549FC">
              <w:rPr>
                <w:rFonts w:cstheme="minorBidi"/>
                <w:b/>
                <w:bCs/>
                <w:noProof/>
                <w:sz w:val="22"/>
                <w:szCs w:val="18"/>
                <w:lang w:val="en-GB"/>
              </w:rPr>
              <w:t>14</w:t>
            </w:r>
            <w:r w:rsidRPr="001F4A34">
              <w:rPr>
                <w:rFonts w:cstheme="minorBidi"/>
                <w:b/>
                <w:bCs/>
                <w:sz w:val="22"/>
                <w:szCs w:val="18"/>
              </w:rPr>
              <w:fldChar w:fldCharType="end"/>
            </w:r>
            <w:bookmarkEnd w:id="379"/>
            <w:r w:rsidRPr="009819CE">
              <w:rPr>
                <w:rFonts w:cstheme="minorBidi"/>
                <w:sz w:val="22"/>
                <w:szCs w:val="18"/>
                <w:lang w:val="en-GB"/>
              </w:rPr>
              <w:t xml:space="preserve"> Fatty </w:t>
            </w:r>
            <w:r w:rsidR="0008513C" w:rsidRPr="00FA7D47">
              <w:rPr>
                <w:rFonts w:cstheme="minorBidi"/>
                <w:sz w:val="22"/>
                <w:szCs w:val="18"/>
                <w:lang w:val="en-GB"/>
              </w:rPr>
              <w:t>a</w:t>
            </w:r>
            <w:r w:rsidRPr="009819CE">
              <w:rPr>
                <w:rFonts w:cstheme="minorBidi"/>
                <w:sz w:val="22"/>
                <w:szCs w:val="18"/>
                <w:lang w:val="en-GB"/>
              </w:rPr>
              <w:t xml:space="preserve">cid </w:t>
            </w:r>
            <w:r w:rsidR="0008513C" w:rsidRPr="00FA7D47">
              <w:rPr>
                <w:rFonts w:cstheme="minorBidi"/>
                <w:sz w:val="22"/>
                <w:szCs w:val="18"/>
                <w:lang w:val="en-GB"/>
              </w:rPr>
              <w:t>c</w:t>
            </w:r>
            <w:r w:rsidRPr="009819CE">
              <w:rPr>
                <w:rFonts w:cstheme="minorBidi"/>
                <w:sz w:val="22"/>
                <w:szCs w:val="18"/>
                <w:lang w:val="en-GB"/>
              </w:rPr>
              <w:t xml:space="preserve">omposition (according to the polar fraction of the total lipid) in </w:t>
            </w:r>
            <w:r w:rsidR="00C31E47" w:rsidRPr="009819CE">
              <w:rPr>
                <w:rFonts w:cstheme="minorBidi"/>
                <w:i/>
                <w:sz w:val="22"/>
                <w:szCs w:val="18"/>
                <w:lang w:val="en-GB"/>
              </w:rPr>
              <w:t>Nephrops</w:t>
            </w:r>
            <w:r w:rsidRPr="009819CE">
              <w:rPr>
                <w:rFonts w:cstheme="minorBidi"/>
                <w:sz w:val="22"/>
                <w:szCs w:val="18"/>
                <w:lang w:val="en-GB"/>
              </w:rPr>
              <w:t xml:space="preserve"> hepatopancreas at different stages of infection (stages</w:t>
            </w:r>
            <w:r w:rsidR="00EB0610" w:rsidRPr="00FA7D47">
              <w:rPr>
                <w:rFonts w:cstheme="minorBidi"/>
                <w:sz w:val="22"/>
                <w:szCs w:val="18"/>
                <w:lang w:val="en-GB"/>
              </w:rPr>
              <w:t xml:space="preserve"> </w:t>
            </w:r>
            <w:r w:rsidRPr="009819CE">
              <w:rPr>
                <w:rFonts w:cstheme="minorBidi"/>
                <w:sz w:val="22"/>
                <w:szCs w:val="18"/>
                <w:lang w:val="en-GB"/>
              </w:rPr>
              <w:t xml:space="preserve">0-4) and after sporulation and in spores released from sporulated animals. Hepatopancreas: Comparing </w:t>
            </w:r>
            <w:r w:rsidR="009D03F4" w:rsidRPr="009819CE">
              <w:rPr>
                <w:rFonts w:cstheme="minorBidi"/>
                <w:i/>
                <w:sz w:val="22"/>
                <w:szCs w:val="18"/>
                <w:lang w:val="en-GB"/>
              </w:rPr>
              <w:t>Hematodinium</w:t>
            </w:r>
            <w:r w:rsidRPr="009819CE">
              <w:rPr>
                <w:rFonts w:cstheme="minorBidi"/>
                <w:sz w:val="22"/>
                <w:szCs w:val="18"/>
                <w:lang w:val="en-GB"/>
              </w:rPr>
              <w:t xml:space="preserve"> sp. Infection (</w:t>
            </w:r>
            <w:r w:rsidR="00EB0610" w:rsidRPr="00FA7D47">
              <w:rPr>
                <w:rFonts w:cstheme="minorBidi"/>
                <w:sz w:val="22"/>
                <w:szCs w:val="18"/>
                <w:lang w:val="en-GB"/>
              </w:rPr>
              <w:t>s</w:t>
            </w:r>
            <w:r w:rsidRPr="009819CE">
              <w:rPr>
                <w:rFonts w:cstheme="minorBidi"/>
                <w:sz w:val="22"/>
                <w:szCs w:val="18"/>
                <w:lang w:val="en-GB"/>
              </w:rPr>
              <w:t>tages 0-4) as classified by the PM, Sporulated Individuals, and released macrospores. Limit of detection: 0.16.</w:t>
            </w:r>
            <w:bookmarkEnd w:id="380"/>
            <w:r w:rsidR="008820BD">
              <w:rPr>
                <w:rFonts w:cstheme="minorBidi"/>
                <w:sz w:val="22"/>
                <w:szCs w:val="18"/>
                <w:lang w:val="en-GB"/>
              </w:rPr>
              <w:t xml:space="preserve"> </w:t>
            </w:r>
          </w:p>
        </w:tc>
      </w:tr>
    </w:tbl>
    <w:p w14:paraId="5C21EC14" w14:textId="77777777" w:rsidR="00311483" w:rsidRDefault="00311483" w:rsidP="006A0363">
      <w:pPr>
        <w:rPr>
          <w:rFonts w:cstheme="minorBidi"/>
          <w:b/>
          <w:bCs/>
        </w:rPr>
        <w:sectPr w:rsidR="00311483" w:rsidSect="00750A53">
          <w:pgSz w:w="11906" w:h="16838" w:code="9"/>
          <w:pgMar w:top="1440" w:right="1440" w:bottom="1440" w:left="1440" w:header="567" w:footer="567" w:gutter="0"/>
          <w:cols w:space="708"/>
          <w:docGrid w:linePitch="360"/>
        </w:sectPr>
      </w:pPr>
    </w:p>
    <w:p w14:paraId="42EE0F50" w14:textId="2526A2AF" w:rsidR="006A0363" w:rsidRPr="009819CE" w:rsidRDefault="006A0363" w:rsidP="000A597A">
      <w:r w:rsidRPr="009819CE">
        <w:rPr>
          <w:b/>
          <w:bCs/>
        </w:rPr>
        <w:t>Neutral fraction</w:t>
      </w:r>
      <w:r w:rsidRPr="009819CE">
        <w:t xml:space="preserve">- The macrospores exhibited significant differences in comparison to both the host hepatopancreas and the hepatopancreas of infected </w:t>
      </w:r>
      <w:r w:rsidR="00C31E47" w:rsidRPr="009819CE">
        <w:rPr>
          <w:i/>
          <w:iCs/>
        </w:rPr>
        <w:t>Nephrops</w:t>
      </w:r>
      <w:r w:rsidRPr="009819CE">
        <w:t xml:space="preserve"> at various stages of </w:t>
      </w:r>
      <w:r w:rsidR="009D03F4" w:rsidRPr="009819CE">
        <w:rPr>
          <w:i/>
          <w:iCs/>
        </w:rPr>
        <w:t>Hematodinium</w:t>
      </w:r>
      <w:r w:rsidRPr="009819CE">
        <w:t xml:space="preserve"> sp</w:t>
      </w:r>
      <w:r w:rsidR="006C7B99" w:rsidRPr="009819CE">
        <w:t>.</w:t>
      </w:r>
      <w:r w:rsidRPr="009819CE">
        <w:t xml:space="preserve"> infection (stage 0-4)</w:t>
      </w:r>
      <w:r w:rsidR="00D51703" w:rsidRPr="009819CE">
        <w:t xml:space="preserve"> (</w:t>
      </w:r>
      <w:r w:rsidR="00D51703" w:rsidRPr="009819CE">
        <w:fldChar w:fldCharType="begin"/>
      </w:r>
      <w:r w:rsidR="00D51703" w:rsidRPr="009819CE">
        <w:instrText xml:space="preserve"> REF _Ref201493891 \h </w:instrText>
      </w:r>
      <w:r w:rsidR="000A597A">
        <w:instrText xml:space="preserve"> \* MERGEFORMAT </w:instrText>
      </w:r>
      <w:r w:rsidR="00D51703" w:rsidRPr="009819CE">
        <w:fldChar w:fldCharType="separate"/>
      </w:r>
      <w:r w:rsidR="008549FC" w:rsidRPr="009819CE">
        <w:rPr>
          <w:b/>
          <w:bCs/>
        </w:rPr>
        <w:t xml:space="preserve">Table </w:t>
      </w:r>
      <w:r w:rsidR="008549FC">
        <w:rPr>
          <w:b/>
          <w:bCs/>
          <w:noProof/>
        </w:rPr>
        <w:t>4.7</w:t>
      </w:r>
      <w:r w:rsidR="00D51703" w:rsidRPr="009819CE">
        <w:fldChar w:fldCharType="end"/>
      </w:r>
      <w:r w:rsidR="00D51703" w:rsidRPr="009819CE">
        <w:t>)</w:t>
      </w:r>
      <w:r w:rsidRPr="009819CE">
        <w:t xml:space="preserve">. Specifically, significant increases </w:t>
      </w:r>
      <w:r w:rsidR="00D1679F">
        <w:t xml:space="preserve">were observed </w:t>
      </w:r>
      <w:r w:rsidRPr="009819CE">
        <w:t>in arachidic acid (20:0) and palmitoleic acid (16:1n-7) levels in the macrospores, while EDA (20:2n-6) was significantly lower.</w:t>
      </w:r>
    </w:p>
    <w:p w14:paraId="03C0422E" w14:textId="2E6323E8" w:rsidR="00A2478C" w:rsidRPr="009819CE" w:rsidRDefault="006A0363" w:rsidP="006A0363">
      <w:pPr>
        <w:rPr>
          <w:rFonts w:cstheme="minorBidi"/>
        </w:rPr>
        <w:sectPr w:rsidR="00A2478C" w:rsidRPr="009819CE" w:rsidSect="00750A53">
          <w:pgSz w:w="11906" w:h="16838" w:code="9"/>
          <w:pgMar w:top="1440" w:right="1440" w:bottom="1440" w:left="1440" w:header="567" w:footer="567" w:gutter="0"/>
          <w:cols w:space="708"/>
          <w:docGrid w:linePitch="360"/>
        </w:sectPr>
      </w:pPr>
      <w:r w:rsidRPr="009819CE">
        <w:t xml:space="preserve">Furthermore, in the macrospores, oleic acid (18:1n-9) was significantly higher compared to its host and the hepatopancreas at all levels of </w:t>
      </w:r>
      <w:r w:rsidR="009D03F4" w:rsidRPr="009819CE">
        <w:rPr>
          <w:i/>
        </w:rPr>
        <w:t>Hematodinium</w:t>
      </w:r>
      <w:r w:rsidRPr="009819CE">
        <w:t xml:space="preserve"> </w:t>
      </w:r>
      <w:r w:rsidR="00CE7498" w:rsidRPr="009819CE">
        <w:t xml:space="preserve">sp. </w:t>
      </w:r>
      <w:r w:rsidRPr="009819CE">
        <w:t xml:space="preserve">infection, except for stage 3, where no significant difference was found compared to the macrospores. Conversely, saturated stearic acid (18:0) was significantly lower in macrospores compared to the host hepatopancreas and all levels of </w:t>
      </w:r>
      <w:r w:rsidR="009D03F4" w:rsidRPr="009819CE">
        <w:rPr>
          <w:i/>
        </w:rPr>
        <w:t>Hematodinium</w:t>
      </w:r>
      <w:r w:rsidRPr="009819CE">
        <w:t xml:space="preserve"> </w:t>
      </w:r>
      <w:r w:rsidR="00CE7498" w:rsidRPr="009819CE">
        <w:t xml:space="preserve">sp. </w:t>
      </w:r>
      <w:r w:rsidRPr="009819CE">
        <w:t>infection, except stage 1. Moreover, EPA (20:5n-3) exhibited a significant increase in the macrospores compared to the host hepatopancreas, while eicosenoic acid (20:1n-11) was significantly decreased (</w:t>
      </w:r>
      <w:r w:rsidR="00F07F00">
        <w:fldChar w:fldCharType="begin"/>
      </w:r>
      <w:r w:rsidR="00F07F00">
        <w:instrText xml:space="preserve"> REF _Ref204026081 \h </w:instrText>
      </w:r>
      <w:r w:rsidR="00F07F00">
        <w:fldChar w:fldCharType="separate"/>
      </w:r>
      <w:r w:rsidR="008549FC" w:rsidRPr="005E2068">
        <w:rPr>
          <w:b/>
          <w:bCs/>
        </w:rPr>
        <w:t xml:space="preserve">Table </w:t>
      </w:r>
      <w:r w:rsidR="008549FC">
        <w:rPr>
          <w:b/>
          <w:bCs/>
          <w:noProof/>
        </w:rPr>
        <w:t>4</w:t>
      </w:r>
      <w:r w:rsidR="008549FC">
        <w:rPr>
          <w:b/>
          <w:bCs/>
        </w:rPr>
        <w:t>.</w:t>
      </w:r>
      <w:r w:rsidR="008549FC">
        <w:rPr>
          <w:b/>
          <w:bCs/>
          <w:noProof/>
        </w:rPr>
        <w:t>8</w:t>
      </w:r>
      <w:r w:rsidR="00F07F00">
        <w:fldChar w:fldCharType="end"/>
      </w:r>
      <w:r w:rsidR="00F07F00">
        <w:t>)</w:t>
      </w:r>
      <w:r w:rsidR="00583365">
        <w:t xml:space="preserve">. For further anova analysis see </w:t>
      </w:r>
      <w:r w:rsidR="00583365">
        <w:rPr>
          <w:highlight w:val="yellow"/>
        </w:rPr>
        <w:fldChar w:fldCharType="begin"/>
      </w:r>
      <w:r w:rsidR="00583365">
        <w:rPr>
          <w:highlight w:val="yellow"/>
        </w:rPr>
        <w:instrText xml:space="preserve"> REF _Ref204026171 \h </w:instrText>
      </w:r>
      <w:r w:rsidR="00583365">
        <w:rPr>
          <w:highlight w:val="yellow"/>
        </w:rPr>
      </w:r>
      <w:r w:rsidR="00583365">
        <w:rPr>
          <w:highlight w:val="yellow"/>
        </w:rPr>
        <w:fldChar w:fldCharType="separate"/>
      </w:r>
      <w:r w:rsidR="008549FC" w:rsidRPr="005E2068">
        <w:rPr>
          <w:b/>
          <w:bCs/>
        </w:rPr>
        <w:t xml:space="preserve">Table </w:t>
      </w:r>
      <w:r w:rsidR="008549FC">
        <w:rPr>
          <w:b/>
          <w:bCs/>
          <w:noProof/>
        </w:rPr>
        <w:t>4</w:t>
      </w:r>
      <w:r w:rsidR="008549FC">
        <w:rPr>
          <w:b/>
          <w:bCs/>
        </w:rPr>
        <w:t>.</w:t>
      </w:r>
      <w:r w:rsidR="008549FC">
        <w:rPr>
          <w:b/>
          <w:bCs/>
          <w:noProof/>
        </w:rPr>
        <w:t>9</w:t>
      </w:r>
      <w:r w:rsidR="00583365">
        <w:rPr>
          <w:highlight w:val="yellow"/>
        </w:rPr>
        <w:fldChar w:fldCharType="end"/>
      </w:r>
      <w:r w:rsidR="00583365">
        <w:t>.</w:t>
      </w:r>
    </w:p>
    <w:p w14:paraId="0C990F8D" w14:textId="6345A487" w:rsidR="00B4386F" w:rsidRPr="001F4A34" w:rsidRDefault="00B62E25" w:rsidP="00B62E25">
      <w:pPr>
        <w:pStyle w:val="Caption"/>
      </w:pPr>
      <w:bookmarkStart w:id="381" w:name="_Ref201493891"/>
      <w:bookmarkStart w:id="382" w:name="_Toc204106767"/>
      <w:bookmarkStart w:id="383" w:name="_Toc202273068"/>
      <w:r w:rsidRPr="009819CE">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7</w:t>
      </w:r>
      <w:r w:rsidR="0095522A">
        <w:rPr>
          <w:b/>
          <w:bCs/>
        </w:rPr>
        <w:fldChar w:fldCharType="end"/>
      </w:r>
      <w:bookmarkEnd w:id="381"/>
      <w:r w:rsidRPr="009819CE">
        <w:t xml:space="preserve"> </w:t>
      </w:r>
      <w:r w:rsidR="00B4386F" w:rsidRPr="001F4A34">
        <w:t xml:space="preserve">Fatty acid composition according to the neutral fraction of the total lipids (% of total fatty acids) in oil extracted from </w:t>
      </w:r>
      <w:r w:rsidR="00B4386F" w:rsidRPr="001F4A34">
        <w:rPr>
          <w:i/>
          <w:iCs w:val="0"/>
        </w:rPr>
        <w:t>N.norvegicu</w:t>
      </w:r>
      <w:r w:rsidR="00A60312" w:rsidRPr="001F4A34">
        <w:rPr>
          <w:i/>
          <w:iCs w:val="0"/>
        </w:rPr>
        <w:t>s</w:t>
      </w:r>
      <w:r w:rsidR="00A60312" w:rsidRPr="00FA7D47">
        <w:t xml:space="preserve"> hepatopancreas and from </w:t>
      </w:r>
      <w:r w:rsidR="00A60312" w:rsidRPr="001F4A34">
        <w:rPr>
          <w:i/>
          <w:iCs w:val="0"/>
        </w:rPr>
        <w:t>Hematodinium</w:t>
      </w:r>
      <w:r w:rsidR="00A60312" w:rsidRPr="00FA7D47">
        <w:t xml:space="preserve"> macrospores. Samples were obtained from the hepatopancreas of </w:t>
      </w:r>
      <w:r w:rsidR="00A60312" w:rsidRPr="001F4A34">
        <w:rPr>
          <w:i/>
          <w:iCs w:val="0"/>
        </w:rPr>
        <w:t>N. norvegicus</w:t>
      </w:r>
      <w:r w:rsidR="00A60312" w:rsidRPr="00FA7D47">
        <w:t xml:space="preserve"> individuals showing varying levels of </w:t>
      </w:r>
      <w:r w:rsidR="00A60312" w:rsidRPr="001F4A34">
        <w:rPr>
          <w:i/>
          <w:iCs w:val="0"/>
        </w:rPr>
        <w:t>Hematodinium</w:t>
      </w:r>
      <w:r w:rsidR="00A60312" w:rsidRPr="00FA7D47">
        <w:t xml:space="preserve"> sp. infection (stages S0–S4), classified according to the pleopod method</w:t>
      </w:r>
      <w:r w:rsidR="00280BF0" w:rsidRPr="00FA7D47">
        <w:t xml:space="preserve"> (PM)</w:t>
      </w:r>
      <w:r w:rsidR="00A60312" w:rsidRPr="00FA7D47">
        <w:t>. These individuals had not reached sporulation (non-sporulated). Additional samples were collected from the hepatopancreas of three individuals that had undergone sporulation (sporulated group, n = 3</w:t>
      </w:r>
      <w:r w:rsidR="00280BF0" w:rsidRPr="00FA7D47">
        <w:t xml:space="preserve">, </w:t>
      </w:r>
      <w:r w:rsidR="00280BF0" w:rsidRPr="00FA7D47">
        <w:rPr>
          <w:rFonts w:cstheme="minorBidi"/>
          <w:color w:val="000000"/>
        </w:rPr>
        <w:t>PM stage 3-4).</w:t>
      </w:r>
      <w:r w:rsidR="00A60312" w:rsidRPr="00FA7D47">
        <w:t xml:space="preserve"> During these sporulation events, </w:t>
      </w:r>
      <w:r w:rsidR="00A60312" w:rsidRPr="001F4A34">
        <w:rPr>
          <w:i/>
          <w:iCs w:val="0"/>
        </w:rPr>
        <w:t>Hematodinium</w:t>
      </w:r>
      <w:r w:rsidR="00A60312" w:rsidRPr="00FA7D47">
        <w:t xml:space="preserve"> sp. macrospores were evacuated through the gills of the host and subsequently isolated and analysed. All </w:t>
      </w:r>
      <w:r w:rsidR="00A60312" w:rsidRPr="001F4A34">
        <w:rPr>
          <w:i/>
          <w:iCs w:val="0"/>
        </w:rPr>
        <w:t>Nephrops</w:t>
      </w:r>
      <w:r w:rsidR="00A60312" w:rsidRPr="00FA7D47">
        <w:t xml:space="preserve"> were collected from the Clyde Sea area. </w:t>
      </w:r>
      <w:r w:rsidR="00B4386F" w:rsidRPr="009819CE">
        <w:rPr>
          <w:rFonts w:cstheme="minorBidi"/>
          <w:color w:val="000000"/>
        </w:rPr>
        <w:t>SD=standard deviation</w:t>
      </w:r>
      <w:r w:rsidR="004D2ED9" w:rsidRPr="00FA7D47">
        <w:rPr>
          <w:rFonts w:cstheme="minorBidi"/>
          <w:color w:val="000000"/>
        </w:rPr>
        <w:t>; n.d=not detected.</w:t>
      </w:r>
      <w:bookmarkEnd w:id="382"/>
      <w:r w:rsidR="004D2ED9" w:rsidRPr="00FA7D47">
        <w:rPr>
          <w:rFonts w:cstheme="minorBidi"/>
          <w:color w:val="000000"/>
        </w:rPr>
        <w:t xml:space="preserve"> </w:t>
      </w:r>
      <w:bookmarkEnd w:id="383"/>
    </w:p>
    <w:tbl>
      <w:tblPr>
        <w:tblW w:w="5000" w:type="pct"/>
        <w:tblLook w:val="04A0" w:firstRow="1" w:lastRow="0" w:firstColumn="1" w:lastColumn="0" w:noHBand="0" w:noVBand="1"/>
      </w:tblPr>
      <w:tblGrid>
        <w:gridCol w:w="2763"/>
        <w:gridCol w:w="1599"/>
        <w:gridCol w:w="1600"/>
        <w:gridCol w:w="1600"/>
        <w:gridCol w:w="1600"/>
        <w:gridCol w:w="1600"/>
        <w:gridCol w:w="1605"/>
        <w:gridCol w:w="1591"/>
      </w:tblGrid>
      <w:tr w:rsidR="00B4386F" w:rsidRPr="00FA7D47" w14:paraId="180BE88E" w14:textId="77777777" w:rsidTr="0095549A">
        <w:trPr>
          <w:trHeight w:val="290"/>
        </w:trPr>
        <w:tc>
          <w:tcPr>
            <w:tcW w:w="990" w:type="pct"/>
            <w:vMerge w:val="restart"/>
            <w:tcBorders>
              <w:top w:val="single" w:sz="4" w:space="0" w:color="auto"/>
              <w:left w:val="nil"/>
              <w:bottom w:val="single" w:sz="8" w:space="0" w:color="000000"/>
              <w:right w:val="nil"/>
            </w:tcBorders>
            <w:shd w:val="clear" w:color="auto" w:fill="auto"/>
            <w:vAlign w:val="center"/>
            <w:hideMark/>
          </w:tcPr>
          <w:p w14:paraId="66F6570F"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Neutral fraction of the total lipids</w:t>
            </w:r>
          </w:p>
        </w:tc>
        <w:tc>
          <w:tcPr>
            <w:tcW w:w="573" w:type="pct"/>
            <w:tcBorders>
              <w:top w:val="single" w:sz="4" w:space="0" w:color="auto"/>
              <w:left w:val="nil"/>
              <w:bottom w:val="nil"/>
              <w:right w:val="nil"/>
            </w:tcBorders>
            <w:shd w:val="clear" w:color="auto" w:fill="auto"/>
            <w:noWrap/>
            <w:vAlign w:val="center"/>
            <w:hideMark/>
          </w:tcPr>
          <w:p w14:paraId="1376B531"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S0</w:t>
            </w:r>
          </w:p>
        </w:tc>
        <w:tc>
          <w:tcPr>
            <w:tcW w:w="573" w:type="pct"/>
            <w:tcBorders>
              <w:top w:val="single" w:sz="4" w:space="0" w:color="auto"/>
              <w:left w:val="nil"/>
              <w:bottom w:val="nil"/>
              <w:right w:val="nil"/>
            </w:tcBorders>
            <w:shd w:val="clear" w:color="auto" w:fill="auto"/>
            <w:noWrap/>
            <w:vAlign w:val="center"/>
            <w:hideMark/>
          </w:tcPr>
          <w:p w14:paraId="4C11CB01"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S1</w:t>
            </w:r>
          </w:p>
        </w:tc>
        <w:tc>
          <w:tcPr>
            <w:tcW w:w="573" w:type="pct"/>
            <w:tcBorders>
              <w:top w:val="single" w:sz="4" w:space="0" w:color="auto"/>
              <w:left w:val="nil"/>
              <w:bottom w:val="nil"/>
              <w:right w:val="nil"/>
            </w:tcBorders>
            <w:shd w:val="clear" w:color="auto" w:fill="auto"/>
            <w:noWrap/>
            <w:vAlign w:val="center"/>
            <w:hideMark/>
          </w:tcPr>
          <w:p w14:paraId="61A5B3A9"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S2</w:t>
            </w:r>
          </w:p>
        </w:tc>
        <w:tc>
          <w:tcPr>
            <w:tcW w:w="573" w:type="pct"/>
            <w:tcBorders>
              <w:top w:val="single" w:sz="4" w:space="0" w:color="auto"/>
              <w:left w:val="nil"/>
              <w:bottom w:val="nil"/>
              <w:right w:val="nil"/>
            </w:tcBorders>
            <w:shd w:val="clear" w:color="auto" w:fill="auto"/>
            <w:noWrap/>
            <w:vAlign w:val="center"/>
            <w:hideMark/>
          </w:tcPr>
          <w:p w14:paraId="2CEA537B"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S3</w:t>
            </w:r>
          </w:p>
        </w:tc>
        <w:tc>
          <w:tcPr>
            <w:tcW w:w="573" w:type="pct"/>
            <w:tcBorders>
              <w:top w:val="single" w:sz="4" w:space="0" w:color="auto"/>
              <w:left w:val="nil"/>
              <w:bottom w:val="nil"/>
              <w:right w:val="nil"/>
            </w:tcBorders>
            <w:shd w:val="clear" w:color="auto" w:fill="auto"/>
            <w:noWrap/>
            <w:vAlign w:val="center"/>
            <w:hideMark/>
          </w:tcPr>
          <w:p w14:paraId="34915D8A"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S4</w:t>
            </w:r>
          </w:p>
        </w:tc>
        <w:tc>
          <w:tcPr>
            <w:tcW w:w="575" w:type="pct"/>
            <w:tcBorders>
              <w:top w:val="single" w:sz="4" w:space="0" w:color="auto"/>
              <w:left w:val="nil"/>
              <w:bottom w:val="nil"/>
              <w:right w:val="nil"/>
            </w:tcBorders>
            <w:shd w:val="clear" w:color="auto" w:fill="auto"/>
            <w:noWrap/>
            <w:vAlign w:val="center"/>
            <w:hideMark/>
          </w:tcPr>
          <w:p w14:paraId="47BE5864"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sporulated</w:t>
            </w:r>
          </w:p>
        </w:tc>
        <w:tc>
          <w:tcPr>
            <w:tcW w:w="570" w:type="pct"/>
            <w:tcBorders>
              <w:top w:val="single" w:sz="4" w:space="0" w:color="auto"/>
              <w:left w:val="nil"/>
              <w:bottom w:val="nil"/>
              <w:right w:val="nil"/>
            </w:tcBorders>
            <w:shd w:val="clear" w:color="auto" w:fill="auto"/>
            <w:noWrap/>
            <w:vAlign w:val="center"/>
            <w:hideMark/>
          </w:tcPr>
          <w:p w14:paraId="6C51C553"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spore</w:t>
            </w:r>
          </w:p>
        </w:tc>
      </w:tr>
      <w:tr w:rsidR="00B4386F" w:rsidRPr="00FA7D47" w14:paraId="05C0A4C1" w14:textId="77777777" w:rsidTr="0095549A">
        <w:trPr>
          <w:trHeight w:val="300"/>
        </w:trPr>
        <w:tc>
          <w:tcPr>
            <w:tcW w:w="990" w:type="pct"/>
            <w:vMerge/>
            <w:tcBorders>
              <w:top w:val="single" w:sz="4" w:space="0" w:color="auto"/>
              <w:left w:val="nil"/>
              <w:bottom w:val="single" w:sz="8" w:space="0" w:color="000000"/>
              <w:right w:val="nil"/>
            </w:tcBorders>
            <w:vAlign w:val="center"/>
            <w:hideMark/>
          </w:tcPr>
          <w:p w14:paraId="1BE55C8A" w14:textId="77777777" w:rsidR="00B4386F" w:rsidRPr="00FA7D47" w:rsidRDefault="00B4386F" w:rsidP="0095549A">
            <w:pPr>
              <w:spacing w:after="0" w:line="240" w:lineRule="auto"/>
              <w:jc w:val="left"/>
              <w:rPr>
                <w:rFonts w:cstheme="minorBidi"/>
                <w:b/>
                <w:bCs/>
                <w:color w:val="000000"/>
                <w:sz w:val="22"/>
              </w:rPr>
            </w:pPr>
          </w:p>
        </w:tc>
        <w:tc>
          <w:tcPr>
            <w:tcW w:w="573" w:type="pct"/>
            <w:tcBorders>
              <w:top w:val="nil"/>
              <w:left w:val="nil"/>
              <w:bottom w:val="single" w:sz="8" w:space="0" w:color="auto"/>
              <w:right w:val="nil"/>
            </w:tcBorders>
            <w:shd w:val="clear" w:color="auto" w:fill="auto"/>
            <w:noWrap/>
            <w:vAlign w:val="center"/>
            <w:hideMark/>
          </w:tcPr>
          <w:p w14:paraId="491BE28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c>
          <w:tcPr>
            <w:tcW w:w="573" w:type="pct"/>
            <w:tcBorders>
              <w:top w:val="nil"/>
              <w:left w:val="nil"/>
              <w:bottom w:val="single" w:sz="8" w:space="0" w:color="auto"/>
              <w:right w:val="nil"/>
            </w:tcBorders>
            <w:shd w:val="clear" w:color="auto" w:fill="auto"/>
            <w:noWrap/>
            <w:vAlign w:val="center"/>
            <w:hideMark/>
          </w:tcPr>
          <w:p w14:paraId="4DCDA74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c>
          <w:tcPr>
            <w:tcW w:w="573" w:type="pct"/>
            <w:tcBorders>
              <w:top w:val="nil"/>
              <w:left w:val="nil"/>
              <w:bottom w:val="single" w:sz="8" w:space="0" w:color="auto"/>
              <w:right w:val="nil"/>
            </w:tcBorders>
            <w:shd w:val="clear" w:color="auto" w:fill="auto"/>
            <w:noWrap/>
            <w:vAlign w:val="center"/>
            <w:hideMark/>
          </w:tcPr>
          <w:p w14:paraId="65968FD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c>
          <w:tcPr>
            <w:tcW w:w="573" w:type="pct"/>
            <w:tcBorders>
              <w:top w:val="nil"/>
              <w:left w:val="nil"/>
              <w:bottom w:val="single" w:sz="8" w:space="0" w:color="auto"/>
              <w:right w:val="nil"/>
            </w:tcBorders>
            <w:shd w:val="clear" w:color="auto" w:fill="auto"/>
            <w:noWrap/>
            <w:vAlign w:val="center"/>
            <w:hideMark/>
          </w:tcPr>
          <w:p w14:paraId="5C19883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c>
          <w:tcPr>
            <w:tcW w:w="573" w:type="pct"/>
            <w:tcBorders>
              <w:top w:val="nil"/>
              <w:left w:val="nil"/>
              <w:bottom w:val="single" w:sz="8" w:space="0" w:color="auto"/>
              <w:right w:val="nil"/>
            </w:tcBorders>
            <w:shd w:val="clear" w:color="auto" w:fill="auto"/>
            <w:noWrap/>
            <w:vAlign w:val="center"/>
            <w:hideMark/>
          </w:tcPr>
          <w:p w14:paraId="5A8BA70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c>
          <w:tcPr>
            <w:tcW w:w="575" w:type="pct"/>
            <w:tcBorders>
              <w:top w:val="nil"/>
              <w:left w:val="nil"/>
              <w:bottom w:val="single" w:sz="8" w:space="0" w:color="auto"/>
              <w:right w:val="nil"/>
            </w:tcBorders>
            <w:shd w:val="clear" w:color="auto" w:fill="auto"/>
            <w:noWrap/>
            <w:vAlign w:val="center"/>
            <w:hideMark/>
          </w:tcPr>
          <w:p w14:paraId="3A92C95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c>
          <w:tcPr>
            <w:tcW w:w="570" w:type="pct"/>
            <w:tcBorders>
              <w:top w:val="nil"/>
              <w:left w:val="nil"/>
              <w:bottom w:val="single" w:sz="8" w:space="0" w:color="auto"/>
              <w:right w:val="nil"/>
            </w:tcBorders>
            <w:shd w:val="clear" w:color="auto" w:fill="auto"/>
            <w:noWrap/>
            <w:vAlign w:val="center"/>
            <w:hideMark/>
          </w:tcPr>
          <w:p w14:paraId="2C42479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mean ± sd</w:t>
            </w:r>
          </w:p>
        </w:tc>
      </w:tr>
      <w:tr w:rsidR="00B4386F" w:rsidRPr="00FA7D47" w14:paraId="44C55F69" w14:textId="77777777" w:rsidTr="0095549A">
        <w:trPr>
          <w:trHeight w:val="290"/>
        </w:trPr>
        <w:tc>
          <w:tcPr>
            <w:tcW w:w="990" w:type="pct"/>
            <w:tcBorders>
              <w:top w:val="nil"/>
              <w:left w:val="nil"/>
              <w:bottom w:val="nil"/>
              <w:right w:val="nil"/>
            </w:tcBorders>
            <w:shd w:val="clear" w:color="auto" w:fill="auto"/>
            <w:vAlign w:val="center"/>
            <w:hideMark/>
          </w:tcPr>
          <w:p w14:paraId="4A7D252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14:0</w:t>
            </w:r>
          </w:p>
        </w:tc>
        <w:tc>
          <w:tcPr>
            <w:tcW w:w="573" w:type="pct"/>
            <w:tcBorders>
              <w:top w:val="nil"/>
              <w:left w:val="nil"/>
              <w:bottom w:val="nil"/>
              <w:right w:val="nil"/>
            </w:tcBorders>
            <w:shd w:val="clear" w:color="auto" w:fill="auto"/>
            <w:noWrap/>
            <w:vAlign w:val="center"/>
            <w:hideMark/>
          </w:tcPr>
          <w:p w14:paraId="3E06327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1.79 ± 0.8</w:t>
            </w:r>
          </w:p>
        </w:tc>
        <w:tc>
          <w:tcPr>
            <w:tcW w:w="573" w:type="pct"/>
            <w:tcBorders>
              <w:top w:val="nil"/>
              <w:left w:val="nil"/>
              <w:bottom w:val="nil"/>
              <w:right w:val="nil"/>
            </w:tcBorders>
            <w:shd w:val="clear" w:color="auto" w:fill="auto"/>
            <w:noWrap/>
            <w:vAlign w:val="center"/>
            <w:hideMark/>
          </w:tcPr>
          <w:p w14:paraId="0ECBB48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1.95 ± 0.64</w:t>
            </w:r>
          </w:p>
        </w:tc>
        <w:tc>
          <w:tcPr>
            <w:tcW w:w="573" w:type="pct"/>
            <w:tcBorders>
              <w:top w:val="nil"/>
              <w:left w:val="nil"/>
              <w:bottom w:val="nil"/>
              <w:right w:val="nil"/>
            </w:tcBorders>
            <w:shd w:val="clear" w:color="auto" w:fill="auto"/>
            <w:noWrap/>
            <w:vAlign w:val="center"/>
            <w:hideMark/>
          </w:tcPr>
          <w:p w14:paraId="37D9BE6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1.93 ± 0.55</w:t>
            </w:r>
          </w:p>
        </w:tc>
        <w:tc>
          <w:tcPr>
            <w:tcW w:w="573" w:type="pct"/>
            <w:tcBorders>
              <w:top w:val="nil"/>
              <w:left w:val="nil"/>
              <w:bottom w:val="nil"/>
              <w:right w:val="nil"/>
            </w:tcBorders>
            <w:shd w:val="clear" w:color="auto" w:fill="auto"/>
            <w:noWrap/>
            <w:vAlign w:val="center"/>
            <w:hideMark/>
          </w:tcPr>
          <w:p w14:paraId="376ACFC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1.71 ± 0.53</w:t>
            </w:r>
          </w:p>
        </w:tc>
        <w:tc>
          <w:tcPr>
            <w:tcW w:w="573" w:type="pct"/>
            <w:tcBorders>
              <w:top w:val="nil"/>
              <w:left w:val="nil"/>
              <w:bottom w:val="nil"/>
              <w:right w:val="nil"/>
            </w:tcBorders>
            <w:shd w:val="clear" w:color="auto" w:fill="auto"/>
            <w:noWrap/>
            <w:vAlign w:val="center"/>
            <w:hideMark/>
          </w:tcPr>
          <w:p w14:paraId="17B12AD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1.48 ± 1.05</w:t>
            </w:r>
          </w:p>
        </w:tc>
        <w:tc>
          <w:tcPr>
            <w:tcW w:w="575" w:type="pct"/>
            <w:tcBorders>
              <w:top w:val="nil"/>
              <w:left w:val="nil"/>
              <w:bottom w:val="nil"/>
              <w:right w:val="nil"/>
            </w:tcBorders>
            <w:shd w:val="clear" w:color="auto" w:fill="auto"/>
            <w:noWrap/>
            <w:vAlign w:val="center"/>
            <w:hideMark/>
          </w:tcPr>
          <w:p w14:paraId="02C5E42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 ± 0.92</w:t>
            </w:r>
          </w:p>
        </w:tc>
        <w:tc>
          <w:tcPr>
            <w:tcW w:w="570" w:type="pct"/>
            <w:tcBorders>
              <w:top w:val="nil"/>
              <w:left w:val="nil"/>
              <w:bottom w:val="nil"/>
              <w:right w:val="nil"/>
            </w:tcBorders>
            <w:shd w:val="clear" w:color="auto" w:fill="auto"/>
            <w:noWrap/>
            <w:vAlign w:val="center"/>
            <w:hideMark/>
          </w:tcPr>
          <w:p w14:paraId="7CCFA3A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2.12 ± 0.43</w:t>
            </w:r>
          </w:p>
        </w:tc>
      </w:tr>
      <w:tr w:rsidR="00B4386F" w:rsidRPr="00FA7D47" w14:paraId="2B5E8B69" w14:textId="77777777" w:rsidTr="0095549A">
        <w:trPr>
          <w:trHeight w:val="290"/>
        </w:trPr>
        <w:tc>
          <w:tcPr>
            <w:tcW w:w="990" w:type="pct"/>
            <w:tcBorders>
              <w:top w:val="nil"/>
              <w:left w:val="nil"/>
              <w:bottom w:val="nil"/>
              <w:right w:val="nil"/>
            </w:tcBorders>
            <w:shd w:val="clear" w:color="auto" w:fill="auto"/>
            <w:vAlign w:val="center"/>
            <w:hideMark/>
          </w:tcPr>
          <w:p w14:paraId="62EA1CB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iso 15:0</w:t>
            </w:r>
          </w:p>
        </w:tc>
        <w:tc>
          <w:tcPr>
            <w:tcW w:w="573" w:type="pct"/>
            <w:tcBorders>
              <w:top w:val="nil"/>
              <w:left w:val="nil"/>
              <w:bottom w:val="nil"/>
              <w:right w:val="nil"/>
            </w:tcBorders>
            <w:shd w:val="clear" w:color="auto" w:fill="auto"/>
            <w:noWrap/>
            <w:vAlign w:val="center"/>
            <w:hideMark/>
          </w:tcPr>
          <w:p w14:paraId="4A5D06C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0.54 ± 0.04</w:t>
            </w:r>
          </w:p>
        </w:tc>
        <w:tc>
          <w:tcPr>
            <w:tcW w:w="573" w:type="pct"/>
            <w:tcBorders>
              <w:top w:val="nil"/>
              <w:left w:val="nil"/>
              <w:bottom w:val="nil"/>
              <w:right w:val="nil"/>
            </w:tcBorders>
            <w:shd w:val="clear" w:color="auto" w:fill="auto"/>
            <w:noWrap/>
            <w:vAlign w:val="center"/>
            <w:hideMark/>
          </w:tcPr>
          <w:p w14:paraId="6DD8E54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0.54 ± 0.11</w:t>
            </w:r>
          </w:p>
        </w:tc>
        <w:tc>
          <w:tcPr>
            <w:tcW w:w="573" w:type="pct"/>
            <w:tcBorders>
              <w:top w:val="nil"/>
              <w:left w:val="nil"/>
              <w:bottom w:val="nil"/>
              <w:right w:val="nil"/>
            </w:tcBorders>
            <w:shd w:val="clear" w:color="auto" w:fill="auto"/>
            <w:noWrap/>
            <w:vAlign w:val="center"/>
            <w:hideMark/>
          </w:tcPr>
          <w:p w14:paraId="34E042A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0.77 ± 0.31</w:t>
            </w:r>
          </w:p>
        </w:tc>
        <w:tc>
          <w:tcPr>
            <w:tcW w:w="573" w:type="pct"/>
            <w:tcBorders>
              <w:top w:val="nil"/>
              <w:left w:val="nil"/>
              <w:bottom w:val="nil"/>
              <w:right w:val="nil"/>
            </w:tcBorders>
            <w:shd w:val="clear" w:color="auto" w:fill="auto"/>
            <w:noWrap/>
            <w:vAlign w:val="center"/>
            <w:hideMark/>
          </w:tcPr>
          <w:p w14:paraId="1A6A290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0.65 ± 0.28</w:t>
            </w:r>
          </w:p>
        </w:tc>
        <w:tc>
          <w:tcPr>
            <w:tcW w:w="573" w:type="pct"/>
            <w:tcBorders>
              <w:top w:val="nil"/>
              <w:left w:val="nil"/>
              <w:bottom w:val="nil"/>
              <w:right w:val="nil"/>
            </w:tcBorders>
            <w:shd w:val="clear" w:color="auto" w:fill="auto"/>
            <w:noWrap/>
            <w:vAlign w:val="center"/>
            <w:hideMark/>
          </w:tcPr>
          <w:p w14:paraId="75B4F75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0.67 ± 0.41</w:t>
            </w:r>
          </w:p>
        </w:tc>
        <w:tc>
          <w:tcPr>
            <w:tcW w:w="575" w:type="pct"/>
            <w:tcBorders>
              <w:top w:val="nil"/>
              <w:left w:val="nil"/>
              <w:bottom w:val="nil"/>
              <w:right w:val="nil"/>
            </w:tcBorders>
            <w:shd w:val="clear" w:color="auto" w:fill="auto"/>
            <w:noWrap/>
            <w:vAlign w:val="center"/>
            <w:hideMark/>
          </w:tcPr>
          <w:p w14:paraId="3A82945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 ± 0.6</w:t>
            </w:r>
          </w:p>
        </w:tc>
        <w:tc>
          <w:tcPr>
            <w:tcW w:w="570" w:type="pct"/>
            <w:tcBorders>
              <w:top w:val="nil"/>
              <w:left w:val="nil"/>
              <w:bottom w:val="nil"/>
              <w:right w:val="nil"/>
            </w:tcBorders>
            <w:shd w:val="clear" w:color="auto" w:fill="auto"/>
            <w:noWrap/>
            <w:vAlign w:val="center"/>
            <w:hideMark/>
          </w:tcPr>
          <w:p w14:paraId="3E8264B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0.63 ± 0.3</w:t>
            </w:r>
          </w:p>
        </w:tc>
      </w:tr>
      <w:tr w:rsidR="00B4386F" w:rsidRPr="00FA7D47" w14:paraId="24A73FE4" w14:textId="77777777" w:rsidTr="0095549A">
        <w:trPr>
          <w:trHeight w:val="290"/>
        </w:trPr>
        <w:tc>
          <w:tcPr>
            <w:tcW w:w="990" w:type="pct"/>
            <w:tcBorders>
              <w:top w:val="nil"/>
              <w:left w:val="nil"/>
              <w:bottom w:val="nil"/>
              <w:right w:val="nil"/>
            </w:tcBorders>
            <w:shd w:val="clear" w:color="auto" w:fill="auto"/>
            <w:vAlign w:val="center"/>
            <w:hideMark/>
          </w:tcPr>
          <w:p w14:paraId="6517073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Anteiso 15:0</w:t>
            </w:r>
          </w:p>
        </w:tc>
        <w:tc>
          <w:tcPr>
            <w:tcW w:w="573" w:type="pct"/>
            <w:tcBorders>
              <w:top w:val="nil"/>
              <w:left w:val="nil"/>
              <w:bottom w:val="nil"/>
              <w:right w:val="nil"/>
            </w:tcBorders>
            <w:shd w:val="clear" w:color="auto" w:fill="auto"/>
            <w:noWrap/>
            <w:vAlign w:val="center"/>
            <w:hideMark/>
          </w:tcPr>
          <w:p w14:paraId="3F7BF10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0.28 ± 0.07</w:t>
            </w:r>
          </w:p>
        </w:tc>
        <w:tc>
          <w:tcPr>
            <w:tcW w:w="573" w:type="pct"/>
            <w:tcBorders>
              <w:top w:val="nil"/>
              <w:left w:val="nil"/>
              <w:bottom w:val="nil"/>
              <w:right w:val="nil"/>
            </w:tcBorders>
            <w:shd w:val="clear" w:color="auto" w:fill="auto"/>
            <w:noWrap/>
            <w:vAlign w:val="center"/>
            <w:hideMark/>
          </w:tcPr>
          <w:p w14:paraId="10D9F6D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0.26 ± 0.05</w:t>
            </w:r>
          </w:p>
        </w:tc>
        <w:tc>
          <w:tcPr>
            <w:tcW w:w="573" w:type="pct"/>
            <w:tcBorders>
              <w:top w:val="nil"/>
              <w:left w:val="nil"/>
              <w:bottom w:val="nil"/>
              <w:right w:val="nil"/>
            </w:tcBorders>
            <w:shd w:val="clear" w:color="auto" w:fill="auto"/>
            <w:noWrap/>
            <w:vAlign w:val="center"/>
            <w:hideMark/>
          </w:tcPr>
          <w:p w14:paraId="14DFDF3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0.42 ± 0.23</w:t>
            </w:r>
          </w:p>
        </w:tc>
        <w:tc>
          <w:tcPr>
            <w:tcW w:w="573" w:type="pct"/>
            <w:tcBorders>
              <w:top w:val="nil"/>
              <w:left w:val="nil"/>
              <w:bottom w:val="nil"/>
              <w:right w:val="nil"/>
            </w:tcBorders>
            <w:shd w:val="clear" w:color="auto" w:fill="auto"/>
            <w:noWrap/>
            <w:vAlign w:val="center"/>
            <w:hideMark/>
          </w:tcPr>
          <w:p w14:paraId="6B83088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0.32 ± 0.14</w:t>
            </w:r>
          </w:p>
        </w:tc>
        <w:tc>
          <w:tcPr>
            <w:tcW w:w="573" w:type="pct"/>
            <w:tcBorders>
              <w:top w:val="nil"/>
              <w:left w:val="nil"/>
              <w:bottom w:val="nil"/>
              <w:right w:val="nil"/>
            </w:tcBorders>
            <w:shd w:val="clear" w:color="auto" w:fill="auto"/>
            <w:noWrap/>
            <w:vAlign w:val="center"/>
            <w:hideMark/>
          </w:tcPr>
          <w:p w14:paraId="1CEB5B8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0.36 ± 0.22</w:t>
            </w:r>
          </w:p>
        </w:tc>
        <w:tc>
          <w:tcPr>
            <w:tcW w:w="575" w:type="pct"/>
            <w:tcBorders>
              <w:top w:val="nil"/>
              <w:left w:val="nil"/>
              <w:bottom w:val="nil"/>
              <w:right w:val="nil"/>
            </w:tcBorders>
            <w:shd w:val="clear" w:color="auto" w:fill="auto"/>
            <w:noWrap/>
            <w:vAlign w:val="center"/>
            <w:hideMark/>
          </w:tcPr>
          <w:p w14:paraId="0C22B89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0.64 ± 0.55</w:t>
            </w:r>
          </w:p>
        </w:tc>
        <w:tc>
          <w:tcPr>
            <w:tcW w:w="570" w:type="pct"/>
            <w:tcBorders>
              <w:top w:val="nil"/>
              <w:left w:val="nil"/>
              <w:bottom w:val="nil"/>
              <w:right w:val="nil"/>
            </w:tcBorders>
            <w:shd w:val="clear" w:color="auto" w:fill="auto"/>
            <w:noWrap/>
            <w:vAlign w:val="center"/>
            <w:hideMark/>
          </w:tcPr>
          <w:p w14:paraId="2B101FF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0.64 ± 0.23</w:t>
            </w:r>
          </w:p>
        </w:tc>
      </w:tr>
      <w:tr w:rsidR="00B4386F" w:rsidRPr="00FA7D47" w14:paraId="20003494" w14:textId="77777777" w:rsidTr="0095549A">
        <w:trPr>
          <w:trHeight w:val="290"/>
        </w:trPr>
        <w:tc>
          <w:tcPr>
            <w:tcW w:w="990" w:type="pct"/>
            <w:tcBorders>
              <w:top w:val="nil"/>
              <w:left w:val="nil"/>
              <w:bottom w:val="nil"/>
              <w:right w:val="nil"/>
            </w:tcBorders>
            <w:shd w:val="clear" w:color="auto" w:fill="auto"/>
            <w:vAlign w:val="center"/>
            <w:hideMark/>
          </w:tcPr>
          <w:p w14:paraId="3F4ADCA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15:0</w:t>
            </w:r>
          </w:p>
        </w:tc>
        <w:tc>
          <w:tcPr>
            <w:tcW w:w="573" w:type="pct"/>
            <w:tcBorders>
              <w:top w:val="nil"/>
              <w:left w:val="nil"/>
              <w:bottom w:val="nil"/>
              <w:right w:val="nil"/>
            </w:tcBorders>
            <w:shd w:val="clear" w:color="auto" w:fill="auto"/>
            <w:noWrap/>
            <w:vAlign w:val="center"/>
            <w:hideMark/>
          </w:tcPr>
          <w:p w14:paraId="35FFCFC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0.66 ± 0.06</w:t>
            </w:r>
          </w:p>
        </w:tc>
        <w:tc>
          <w:tcPr>
            <w:tcW w:w="573" w:type="pct"/>
            <w:tcBorders>
              <w:top w:val="nil"/>
              <w:left w:val="nil"/>
              <w:bottom w:val="nil"/>
              <w:right w:val="nil"/>
            </w:tcBorders>
            <w:shd w:val="clear" w:color="auto" w:fill="auto"/>
            <w:noWrap/>
            <w:vAlign w:val="center"/>
            <w:hideMark/>
          </w:tcPr>
          <w:p w14:paraId="31D3E33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0.61 ± 0.07</w:t>
            </w:r>
          </w:p>
        </w:tc>
        <w:tc>
          <w:tcPr>
            <w:tcW w:w="573" w:type="pct"/>
            <w:tcBorders>
              <w:top w:val="nil"/>
              <w:left w:val="nil"/>
              <w:bottom w:val="nil"/>
              <w:right w:val="nil"/>
            </w:tcBorders>
            <w:shd w:val="clear" w:color="auto" w:fill="auto"/>
            <w:noWrap/>
            <w:vAlign w:val="center"/>
            <w:hideMark/>
          </w:tcPr>
          <w:p w14:paraId="28C04C2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0.87 ± 0.26</w:t>
            </w:r>
          </w:p>
        </w:tc>
        <w:tc>
          <w:tcPr>
            <w:tcW w:w="573" w:type="pct"/>
            <w:tcBorders>
              <w:top w:val="nil"/>
              <w:left w:val="nil"/>
              <w:bottom w:val="nil"/>
              <w:right w:val="nil"/>
            </w:tcBorders>
            <w:shd w:val="clear" w:color="auto" w:fill="auto"/>
            <w:noWrap/>
            <w:vAlign w:val="center"/>
            <w:hideMark/>
          </w:tcPr>
          <w:p w14:paraId="7435930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0.66 ± 0.26</w:t>
            </w:r>
          </w:p>
        </w:tc>
        <w:tc>
          <w:tcPr>
            <w:tcW w:w="573" w:type="pct"/>
            <w:tcBorders>
              <w:top w:val="nil"/>
              <w:left w:val="nil"/>
              <w:bottom w:val="nil"/>
              <w:right w:val="nil"/>
            </w:tcBorders>
            <w:shd w:val="clear" w:color="auto" w:fill="auto"/>
            <w:noWrap/>
            <w:vAlign w:val="center"/>
            <w:hideMark/>
          </w:tcPr>
          <w:p w14:paraId="4657971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0.82 ± 0.42</w:t>
            </w:r>
          </w:p>
        </w:tc>
        <w:tc>
          <w:tcPr>
            <w:tcW w:w="575" w:type="pct"/>
            <w:tcBorders>
              <w:top w:val="nil"/>
              <w:left w:val="nil"/>
              <w:bottom w:val="nil"/>
              <w:right w:val="nil"/>
            </w:tcBorders>
            <w:shd w:val="clear" w:color="auto" w:fill="auto"/>
            <w:noWrap/>
            <w:vAlign w:val="center"/>
            <w:hideMark/>
          </w:tcPr>
          <w:p w14:paraId="294B415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0.83 ± 0.12</w:t>
            </w:r>
          </w:p>
        </w:tc>
        <w:tc>
          <w:tcPr>
            <w:tcW w:w="570" w:type="pct"/>
            <w:tcBorders>
              <w:top w:val="nil"/>
              <w:left w:val="nil"/>
              <w:bottom w:val="nil"/>
              <w:right w:val="nil"/>
            </w:tcBorders>
            <w:shd w:val="clear" w:color="auto" w:fill="auto"/>
            <w:noWrap/>
            <w:vAlign w:val="center"/>
            <w:hideMark/>
          </w:tcPr>
          <w:p w14:paraId="4715879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0.61 ± 0.1</w:t>
            </w:r>
          </w:p>
        </w:tc>
      </w:tr>
      <w:tr w:rsidR="00B4386F" w:rsidRPr="00FA7D47" w14:paraId="195C8A33" w14:textId="77777777" w:rsidTr="0095549A">
        <w:trPr>
          <w:trHeight w:val="290"/>
        </w:trPr>
        <w:tc>
          <w:tcPr>
            <w:tcW w:w="990" w:type="pct"/>
            <w:tcBorders>
              <w:top w:val="nil"/>
              <w:left w:val="nil"/>
              <w:bottom w:val="nil"/>
              <w:right w:val="nil"/>
            </w:tcBorders>
            <w:shd w:val="clear" w:color="auto" w:fill="auto"/>
            <w:vAlign w:val="center"/>
            <w:hideMark/>
          </w:tcPr>
          <w:p w14:paraId="42EDE17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iso 16:0</w:t>
            </w:r>
          </w:p>
        </w:tc>
        <w:tc>
          <w:tcPr>
            <w:tcW w:w="573" w:type="pct"/>
            <w:tcBorders>
              <w:top w:val="nil"/>
              <w:left w:val="nil"/>
              <w:bottom w:val="nil"/>
              <w:right w:val="nil"/>
            </w:tcBorders>
            <w:shd w:val="clear" w:color="auto" w:fill="auto"/>
            <w:noWrap/>
            <w:vAlign w:val="center"/>
            <w:hideMark/>
          </w:tcPr>
          <w:p w14:paraId="3AF05C7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0.47 ± 0.17</w:t>
            </w:r>
          </w:p>
        </w:tc>
        <w:tc>
          <w:tcPr>
            <w:tcW w:w="573" w:type="pct"/>
            <w:tcBorders>
              <w:top w:val="nil"/>
              <w:left w:val="nil"/>
              <w:bottom w:val="nil"/>
              <w:right w:val="nil"/>
            </w:tcBorders>
            <w:shd w:val="clear" w:color="auto" w:fill="auto"/>
            <w:noWrap/>
            <w:vAlign w:val="center"/>
            <w:hideMark/>
          </w:tcPr>
          <w:p w14:paraId="3217215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 ± 0.16</w:t>
            </w:r>
          </w:p>
        </w:tc>
        <w:tc>
          <w:tcPr>
            <w:tcW w:w="573" w:type="pct"/>
            <w:tcBorders>
              <w:top w:val="nil"/>
              <w:left w:val="nil"/>
              <w:bottom w:val="nil"/>
              <w:right w:val="nil"/>
            </w:tcBorders>
            <w:shd w:val="clear" w:color="auto" w:fill="auto"/>
            <w:noWrap/>
            <w:vAlign w:val="center"/>
            <w:hideMark/>
          </w:tcPr>
          <w:p w14:paraId="3C66A24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 ± 0.37</w:t>
            </w:r>
          </w:p>
        </w:tc>
        <w:tc>
          <w:tcPr>
            <w:tcW w:w="573" w:type="pct"/>
            <w:tcBorders>
              <w:top w:val="nil"/>
              <w:left w:val="nil"/>
              <w:bottom w:val="nil"/>
              <w:right w:val="nil"/>
            </w:tcBorders>
            <w:shd w:val="clear" w:color="auto" w:fill="auto"/>
            <w:noWrap/>
            <w:vAlign w:val="center"/>
            <w:hideMark/>
          </w:tcPr>
          <w:p w14:paraId="486B726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0.46 ± 0.25</w:t>
            </w:r>
          </w:p>
        </w:tc>
        <w:tc>
          <w:tcPr>
            <w:tcW w:w="573" w:type="pct"/>
            <w:tcBorders>
              <w:top w:val="nil"/>
              <w:left w:val="nil"/>
              <w:bottom w:val="nil"/>
              <w:right w:val="nil"/>
            </w:tcBorders>
            <w:shd w:val="clear" w:color="auto" w:fill="auto"/>
            <w:noWrap/>
            <w:vAlign w:val="center"/>
            <w:hideMark/>
          </w:tcPr>
          <w:p w14:paraId="5D119F2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0.64 ± 0.3</w:t>
            </w:r>
          </w:p>
        </w:tc>
        <w:tc>
          <w:tcPr>
            <w:tcW w:w="575" w:type="pct"/>
            <w:tcBorders>
              <w:top w:val="nil"/>
              <w:left w:val="nil"/>
              <w:bottom w:val="nil"/>
              <w:right w:val="nil"/>
            </w:tcBorders>
            <w:shd w:val="clear" w:color="auto" w:fill="auto"/>
            <w:noWrap/>
            <w:vAlign w:val="center"/>
            <w:hideMark/>
          </w:tcPr>
          <w:p w14:paraId="0812A58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 ± 0.32</w:t>
            </w:r>
          </w:p>
        </w:tc>
        <w:tc>
          <w:tcPr>
            <w:tcW w:w="570" w:type="pct"/>
            <w:tcBorders>
              <w:top w:val="nil"/>
              <w:left w:val="nil"/>
              <w:bottom w:val="nil"/>
              <w:right w:val="nil"/>
            </w:tcBorders>
            <w:shd w:val="clear" w:color="auto" w:fill="auto"/>
            <w:noWrap/>
            <w:vAlign w:val="center"/>
            <w:hideMark/>
          </w:tcPr>
          <w:p w14:paraId="4E65258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0.49 ± 0.21</w:t>
            </w:r>
          </w:p>
        </w:tc>
      </w:tr>
      <w:tr w:rsidR="00B4386F" w:rsidRPr="00FA7D47" w14:paraId="7009C6E7" w14:textId="77777777" w:rsidTr="0095549A">
        <w:trPr>
          <w:trHeight w:val="290"/>
        </w:trPr>
        <w:tc>
          <w:tcPr>
            <w:tcW w:w="990" w:type="pct"/>
            <w:tcBorders>
              <w:top w:val="nil"/>
              <w:left w:val="nil"/>
              <w:bottom w:val="nil"/>
              <w:right w:val="nil"/>
            </w:tcBorders>
            <w:shd w:val="clear" w:color="auto" w:fill="auto"/>
            <w:vAlign w:val="center"/>
            <w:hideMark/>
          </w:tcPr>
          <w:p w14:paraId="0E2E932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16:0 DMA</w:t>
            </w:r>
          </w:p>
        </w:tc>
        <w:tc>
          <w:tcPr>
            <w:tcW w:w="573" w:type="pct"/>
            <w:tcBorders>
              <w:top w:val="nil"/>
              <w:left w:val="nil"/>
              <w:bottom w:val="nil"/>
              <w:right w:val="nil"/>
            </w:tcBorders>
            <w:shd w:val="clear" w:color="auto" w:fill="auto"/>
            <w:noWrap/>
            <w:vAlign w:val="center"/>
            <w:hideMark/>
          </w:tcPr>
          <w:p w14:paraId="2BD11E9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0.1</w:t>
            </w:r>
          </w:p>
        </w:tc>
        <w:tc>
          <w:tcPr>
            <w:tcW w:w="573" w:type="pct"/>
            <w:tcBorders>
              <w:top w:val="nil"/>
              <w:left w:val="nil"/>
              <w:bottom w:val="nil"/>
              <w:right w:val="nil"/>
            </w:tcBorders>
            <w:shd w:val="clear" w:color="auto" w:fill="auto"/>
            <w:noWrap/>
            <w:vAlign w:val="center"/>
            <w:hideMark/>
          </w:tcPr>
          <w:p w14:paraId="108F0FE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0.16 ± 0.08</w:t>
            </w:r>
          </w:p>
        </w:tc>
        <w:tc>
          <w:tcPr>
            <w:tcW w:w="573" w:type="pct"/>
            <w:tcBorders>
              <w:top w:val="nil"/>
              <w:left w:val="nil"/>
              <w:bottom w:val="nil"/>
              <w:right w:val="nil"/>
            </w:tcBorders>
            <w:shd w:val="clear" w:color="auto" w:fill="auto"/>
            <w:noWrap/>
            <w:vAlign w:val="center"/>
            <w:hideMark/>
          </w:tcPr>
          <w:p w14:paraId="5B62A9B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0.15 ± 0.1</w:t>
            </w:r>
          </w:p>
        </w:tc>
        <w:tc>
          <w:tcPr>
            <w:tcW w:w="573" w:type="pct"/>
            <w:tcBorders>
              <w:top w:val="nil"/>
              <w:left w:val="nil"/>
              <w:bottom w:val="nil"/>
              <w:right w:val="nil"/>
            </w:tcBorders>
            <w:shd w:val="clear" w:color="auto" w:fill="auto"/>
            <w:noWrap/>
            <w:vAlign w:val="center"/>
            <w:hideMark/>
          </w:tcPr>
          <w:p w14:paraId="7316FC7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0.17 ± 0.03</w:t>
            </w:r>
          </w:p>
        </w:tc>
        <w:tc>
          <w:tcPr>
            <w:tcW w:w="573" w:type="pct"/>
            <w:tcBorders>
              <w:top w:val="nil"/>
              <w:left w:val="nil"/>
              <w:bottom w:val="nil"/>
              <w:right w:val="nil"/>
            </w:tcBorders>
            <w:shd w:val="clear" w:color="auto" w:fill="auto"/>
            <w:noWrap/>
            <w:vAlign w:val="center"/>
            <w:hideMark/>
          </w:tcPr>
          <w:p w14:paraId="53E1747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0.14</w:t>
            </w:r>
          </w:p>
        </w:tc>
        <w:tc>
          <w:tcPr>
            <w:tcW w:w="575" w:type="pct"/>
            <w:tcBorders>
              <w:top w:val="nil"/>
              <w:left w:val="nil"/>
              <w:bottom w:val="nil"/>
              <w:right w:val="nil"/>
            </w:tcBorders>
            <w:shd w:val="clear" w:color="auto" w:fill="auto"/>
            <w:noWrap/>
            <w:vAlign w:val="center"/>
            <w:hideMark/>
          </w:tcPr>
          <w:p w14:paraId="0B3EF66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0.35 ± 0.05</w:t>
            </w:r>
          </w:p>
        </w:tc>
        <w:tc>
          <w:tcPr>
            <w:tcW w:w="570" w:type="pct"/>
            <w:tcBorders>
              <w:top w:val="nil"/>
              <w:left w:val="nil"/>
              <w:bottom w:val="nil"/>
              <w:right w:val="nil"/>
            </w:tcBorders>
            <w:shd w:val="clear" w:color="auto" w:fill="auto"/>
            <w:noWrap/>
            <w:vAlign w:val="center"/>
            <w:hideMark/>
          </w:tcPr>
          <w:p w14:paraId="097F346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0.14 ± 0.05</w:t>
            </w:r>
          </w:p>
        </w:tc>
      </w:tr>
      <w:tr w:rsidR="00B4386F" w:rsidRPr="00FA7D47" w14:paraId="3D43124E" w14:textId="77777777" w:rsidTr="0095549A">
        <w:trPr>
          <w:trHeight w:val="290"/>
        </w:trPr>
        <w:tc>
          <w:tcPr>
            <w:tcW w:w="990" w:type="pct"/>
            <w:tcBorders>
              <w:top w:val="nil"/>
              <w:left w:val="nil"/>
              <w:bottom w:val="nil"/>
              <w:right w:val="nil"/>
            </w:tcBorders>
            <w:shd w:val="clear" w:color="auto" w:fill="auto"/>
            <w:vAlign w:val="center"/>
            <w:hideMark/>
          </w:tcPr>
          <w:p w14:paraId="42207F4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Anteiso 16:0</w:t>
            </w:r>
          </w:p>
        </w:tc>
        <w:tc>
          <w:tcPr>
            <w:tcW w:w="573" w:type="pct"/>
            <w:tcBorders>
              <w:top w:val="nil"/>
              <w:left w:val="nil"/>
              <w:bottom w:val="nil"/>
              <w:right w:val="nil"/>
            </w:tcBorders>
            <w:shd w:val="clear" w:color="auto" w:fill="auto"/>
            <w:noWrap/>
            <w:vAlign w:val="center"/>
            <w:hideMark/>
          </w:tcPr>
          <w:p w14:paraId="73C0C90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0.56 ± 0.17</w:t>
            </w:r>
          </w:p>
        </w:tc>
        <w:tc>
          <w:tcPr>
            <w:tcW w:w="573" w:type="pct"/>
            <w:tcBorders>
              <w:top w:val="nil"/>
              <w:left w:val="nil"/>
              <w:bottom w:val="nil"/>
              <w:right w:val="nil"/>
            </w:tcBorders>
            <w:shd w:val="clear" w:color="auto" w:fill="auto"/>
            <w:noWrap/>
            <w:vAlign w:val="center"/>
            <w:hideMark/>
          </w:tcPr>
          <w:p w14:paraId="45EDB8E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 ± 0.19</w:t>
            </w:r>
          </w:p>
        </w:tc>
        <w:tc>
          <w:tcPr>
            <w:tcW w:w="573" w:type="pct"/>
            <w:tcBorders>
              <w:top w:val="nil"/>
              <w:left w:val="nil"/>
              <w:bottom w:val="nil"/>
              <w:right w:val="nil"/>
            </w:tcBorders>
            <w:shd w:val="clear" w:color="auto" w:fill="auto"/>
            <w:noWrap/>
            <w:vAlign w:val="center"/>
            <w:hideMark/>
          </w:tcPr>
          <w:p w14:paraId="4BDB9DA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0.57 ± 0.21</w:t>
            </w:r>
          </w:p>
        </w:tc>
        <w:tc>
          <w:tcPr>
            <w:tcW w:w="573" w:type="pct"/>
            <w:tcBorders>
              <w:top w:val="nil"/>
              <w:left w:val="nil"/>
              <w:bottom w:val="nil"/>
              <w:right w:val="nil"/>
            </w:tcBorders>
            <w:shd w:val="clear" w:color="auto" w:fill="auto"/>
            <w:noWrap/>
            <w:vAlign w:val="center"/>
            <w:hideMark/>
          </w:tcPr>
          <w:p w14:paraId="433D10A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0.65 ± 0.09</w:t>
            </w:r>
          </w:p>
        </w:tc>
        <w:tc>
          <w:tcPr>
            <w:tcW w:w="573" w:type="pct"/>
            <w:tcBorders>
              <w:top w:val="nil"/>
              <w:left w:val="nil"/>
              <w:bottom w:val="nil"/>
              <w:right w:val="nil"/>
            </w:tcBorders>
            <w:shd w:val="clear" w:color="auto" w:fill="auto"/>
            <w:noWrap/>
            <w:vAlign w:val="center"/>
            <w:hideMark/>
          </w:tcPr>
          <w:p w14:paraId="18B4947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0.74 ± 0.1</w:t>
            </w:r>
          </w:p>
        </w:tc>
        <w:tc>
          <w:tcPr>
            <w:tcW w:w="575" w:type="pct"/>
            <w:tcBorders>
              <w:top w:val="nil"/>
              <w:left w:val="nil"/>
              <w:bottom w:val="nil"/>
              <w:right w:val="nil"/>
            </w:tcBorders>
            <w:shd w:val="clear" w:color="auto" w:fill="auto"/>
            <w:noWrap/>
            <w:vAlign w:val="center"/>
            <w:hideMark/>
          </w:tcPr>
          <w:p w14:paraId="62B12D4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0.85 ± 0.3</w:t>
            </w:r>
          </w:p>
        </w:tc>
        <w:tc>
          <w:tcPr>
            <w:tcW w:w="570" w:type="pct"/>
            <w:tcBorders>
              <w:top w:val="nil"/>
              <w:left w:val="nil"/>
              <w:bottom w:val="nil"/>
              <w:right w:val="nil"/>
            </w:tcBorders>
            <w:shd w:val="clear" w:color="auto" w:fill="auto"/>
            <w:noWrap/>
            <w:vAlign w:val="center"/>
            <w:hideMark/>
          </w:tcPr>
          <w:p w14:paraId="422269D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0.98 ± 0.11</w:t>
            </w:r>
          </w:p>
        </w:tc>
      </w:tr>
      <w:tr w:rsidR="00B4386F" w:rsidRPr="00FA7D47" w14:paraId="759C4483" w14:textId="77777777" w:rsidTr="0095549A">
        <w:trPr>
          <w:trHeight w:val="290"/>
        </w:trPr>
        <w:tc>
          <w:tcPr>
            <w:tcW w:w="990" w:type="pct"/>
            <w:tcBorders>
              <w:top w:val="nil"/>
              <w:left w:val="nil"/>
              <w:bottom w:val="nil"/>
              <w:right w:val="nil"/>
            </w:tcBorders>
            <w:shd w:val="clear" w:color="auto" w:fill="auto"/>
            <w:vAlign w:val="center"/>
            <w:hideMark/>
          </w:tcPr>
          <w:p w14:paraId="512212D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16:0</w:t>
            </w:r>
          </w:p>
        </w:tc>
        <w:tc>
          <w:tcPr>
            <w:tcW w:w="573" w:type="pct"/>
            <w:tcBorders>
              <w:top w:val="nil"/>
              <w:left w:val="nil"/>
              <w:bottom w:val="nil"/>
              <w:right w:val="nil"/>
            </w:tcBorders>
            <w:shd w:val="clear" w:color="auto" w:fill="auto"/>
            <w:noWrap/>
            <w:vAlign w:val="center"/>
            <w:hideMark/>
          </w:tcPr>
          <w:p w14:paraId="2339165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15.35 ± 1.09</w:t>
            </w:r>
          </w:p>
        </w:tc>
        <w:tc>
          <w:tcPr>
            <w:tcW w:w="573" w:type="pct"/>
            <w:tcBorders>
              <w:top w:val="nil"/>
              <w:left w:val="nil"/>
              <w:bottom w:val="nil"/>
              <w:right w:val="nil"/>
            </w:tcBorders>
            <w:shd w:val="clear" w:color="auto" w:fill="auto"/>
            <w:noWrap/>
            <w:vAlign w:val="center"/>
            <w:hideMark/>
          </w:tcPr>
          <w:p w14:paraId="601B2B2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15.11 ± 1.84</w:t>
            </w:r>
          </w:p>
        </w:tc>
        <w:tc>
          <w:tcPr>
            <w:tcW w:w="573" w:type="pct"/>
            <w:tcBorders>
              <w:top w:val="nil"/>
              <w:left w:val="nil"/>
              <w:bottom w:val="nil"/>
              <w:right w:val="nil"/>
            </w:tcBorders>
            <w:shd w:val="clear" w:color="auto" w:fill="auto"/>
            <w:noWrap/>
            <w:vAlign w:val="center"/>
            <w:hideMark/>
          </w:tcPr>
          <w:p w14:paraId="0D5424D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14.99 ± 1.67</w:t>
            </w:r>
          </w:p>
        </w:tc>
        <w:tc>
          <w:tcPr>
            <w:tcW w:w="573" w:type="pct"/>
            <w:tcBorders>
              <w:top w:val="nil"/>
              <w:left w:val="nil"/>
              <w:bottom w:val="nil"/>
              <w:right w:val="nil"/>
            </w:tcBorders>
            <w:shd w:val="clear" w:color="auto" w:fill="auto"/>
            <w:noWrap/>
            <w:vAlign w:val="center"/>
            <w:hideMark/>
          </w:tcPr>
          <w:p w14:paraId="7015BDC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13.3 ± 2.68</w:t>
            </w:r>
          </w:p>
        </w:tc>
        <w:tc>
          <w:tcPr>
            <w:tcW w:w="573" w:type="pct"/>
            <w:tcBorders>
              <w:top w:val="nil"/>
              <w:left w:val="nil"/>
              <w:bottom w:val="nil"/>
              <w:right w:val="nil"/>
            </w:tcBorders>
            <w:shd w:val="clear" w:color="auto" w:fill="auto"/>
            <w:noWrap/>
            <w:vAlign w:val="center"/>
            <w:hideMark/>
          </w:tcPr>
          <w:p w14:paraId="0D1EFA5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13.28 ± 1.19</w:t>
            </w:r>
          </w:p>
        </w:tc>
        <w:tc>
          <w:tcPr>
            <w:tcW w:w="575" w:type="pct"/>
            <w:tcBorders>
              <w:top w:val="nil"/>
              <w:left w:val="nil"/>
              <w:bottom w:val="nil"/>
              <w:right w:val="nil"/>
            </w:tcBorders>
            <w:shd w:val="clear" w:color="auto" w:fill="auto"/>
            <w:noWrap/>
            <w:vAlign w:val="center"/>
            <w:hideMark/>
          </w:tcPr>
          <w:p w14:paraId="78770DD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12.7 ± 1.14</w:t>
            </w:r>
          </w:p>
        </w:tc>
        <w:tc>
          <w:tcPr>
            <w:tcW w:w="570" w:type="pct"/>
            <w:tcBorders>
              <w:top w:val="nil"/>
              <w:left w:val="nil"/>
              <w:bottom w:val="nil"/>
              <w:right w:val="nil"/>
            </w:tcBorders>
            <w:shd w:val="clear" w:color="auto" w:fill="auto"/>
            <w:noWrap/>
            <w:vAlign w:val="center"/>
            <w:hideMark/>
          </w:tcPr>
          <w:p w14:paraId="0A5B8F7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15.38 ± 1.28</w:t>
            </w:r>
          </w:p>
        </w:tc>
      </w:tr>
      <w:tr w:rsidR="00B4386F" w:rsidRPr="00FA7D47" w14:paraId="3B6E91E4" w14:textId="77777777" w:rsidTr="0095549A">
        <w:trPr>
          <w:trHeight w:val="290"/>
        </w:trPr>
        <w:tc>
          <w:tcPr>
            <w:tcW w:w="990" w:type="pct"/>
            <w:tcBorders>
              <w:top w:val="nil"/>
              <w:left w:val="nil"/>
              <w:bottom w:val="nil"/>
              <w:right w:val="nil"/>
            </w:tcBorders>
            <w:shd w:val="clear" w:color="auto" w:fill="auto"/>
            <w:vAlign w:val="center"/>
            <w:hideMark/>
          </w:tcPr>
          <w:p w14:paraId="06FD45D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iso 17:0</w:t>
            </w:r>
          </w:p>
        </w:tc>
        <w:tc>
          <w:tcPr>
            <w:tcW w:w="573" w:type="pct"/>
            <w:tcBorders>
              <w:top w:val="nil"/>
              <w:left w:val="nil"/>
              <w:bottom w:val="nil"/>
              <w:right w:val="nil"/>
            </w:tcBorders>
            <w:shd w:val="clear" w:color="auto" w:fill="auto"/>
            <w:noWrap/>
            <w:vAlign w:val="center"/>
            <w:hideMark/>
          </w:tcPr>
          <w:p w14:paraId="3D6CDA1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 ± 0.32</w:t>
            </w:r>
          </w:p>
        </w:tc>
        <w:tc>
          <w:tcPr>
            <w:tcW w:w="573" w:type="pct"/>
            <w:tcBorders>
              <w:top w:val="nil"/>
              <w:left w:val="nil"/>
              <w:bottom w:val="nil"/>
              <w:right w:val="nil"/>
            </w:tcBorders>
            <w:shd w:val="clear" w:color="auto" w:fill="auto"/>
            <w:noWrap/>
            <w:vAlign w:val="center"/>
            <w:hideMark/>
          </w:tcPr>
          <w:p w14:paraId="13F86D4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0.98 ± 0.36</w:t>
            </w:r>
          </w:p>
        </w:tc>
        <w:tc>
          <w:tcPr>
            <w:tcW w:w="573" w:type="pct"/>
            <w:tcBorders>
              <w:top w:val="nil"/>
              <w:left w:val="nil"/>
              <w:bottom w:val="nil"/>
              <w:right w:val="nil"/>
            </w:tcBorders>
            <w:shd w:val="clear" w:color="auto" w:fill="auto"/>
            <w:noWrap/>
            <w:vAlign w:val="center"/>
            <w:hideMark/>
          </w:tcPr>
          <w:p w14:paraId="3C85992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1.46 ± 0.62</w:t>
            </w:r>
          </w:p>
        </w:tc>
        <w:tc>
          <w:tcPr>
            <w:tcW w:w="573" w:type="pct"/>
            <w:tcBorders>
              <w:top w:val="nil"/>
              <w:left w:val="nil"/>
              <w:bottom w:val="nil"/>
              <w:right w:val="nil"/>
            </w:tcBorders>
            <w:shd w:val="clear" w:color="auto" w:fill="auto"/>
            <w:noWrap/>
            <w:vAlign w:val="center"/>
            <w:hideMark/>
          </w:tcPr>
          <w:p w14:paraId="6C51753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1.04 ± 0.31</w:t>
            </w:r>
          </w:p>
        </w:tc>
        <w:tc>
          <w:tcPr>
            <w:tcW w:w="573" w:type="pct"/>
            <w:tcBorders>
              <w:top w:val="nil"/>
              <w:left w:val="nil"/>
              <w:bottom w:val="nil"/>
              <w:right w:val="nil"/>
            </w:tcBorders>
            <w:shd w:val="clear" w:color="auto" w:fill="auto"/>
            <w:noWrap/>
            <w:vAlign w:val="center"/>
            <w:hideMark/>
          </w:tcPr>
          <w:p w14:paraId="0C0B799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1.31 ± 0.4</w:t>
            </w:r>
          </w:p>
        </w:tc>
        <w:tc>
          <w:tcPr>
            <w:tcW w:w="575" w:type="pct"/>
            <w:tcBorders>
              <w:top w:val="nil"/>
              <w:left w:val="nil"/>
              <w:bottom w:val="nil"/>
              <w:right w:val="nil"/>
            </w:tcBorders>
            <w:shd w:val="clear" w:color="auto" w:fill="auto"/>
            <w:noWrap/>
            <w:vAlign w:val="center"/>
            <w:hideMark/>
          </w:tcPr>
          <w:p w14:paraId="2F44FE0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1.55 ± 0.64</w:t>
            </w:r>
          </w:p>
        </w:tc>
        <w:tc>
          <w:tcPr>
            <w:tcW w:w="570" w:type="pct"/>
            <w:tcBorders>
              <w:top w:val="nil"/>
              <w:left w:val="nil"/>
              <w:bottom w:val="nil"/>
              <w:right w:val="nil"/>
            </w:tcBorders>
            <w:shd w:val="clear" w:color="auto" w:fill="auto"/>
            <w:noWrap/>
            <w:vAlign w:val="center"/>
            <w:hideMark/>
          </w:tcPr>
          <w:p w14:paraId="04D35B9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1.13 ± 0.41</w:t>
            </w:r>
          </w:p>
        </w:tc>
      </w:tr>
      <w:tr w:rsidR="00B4386F" w:rsidRPr="00FA7D47" w14:paraId="04B11AB4" w14:textId="77777777" w:rsidTr="0095549A">
        <w:trPr>
          <w:trHeight w:val="290"/>
        </w:trPr>
        <w:tc>
          <w:tcPr>
            <w:tcW w:w="990" w:type="pct"/>
            <w:tcBorders>
              <w:top w:val="nil"/>
              <w:left w:val="nil"/>
              <w:bottom w:val="nil"/>
              <w:right w:val="nil"/>
            </w:tcBorders>
            <w:shd w:val="clear" w:color="auto" w:fill="auto"/>
            <w:vAlign w:val="center"/>
            <w:hideMark/>
          </w:tcPr>
          <w:p w14:paraId="1BDFBB5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Anteiso 17:0</w:t>
            </w:r>
          </w:p>
        </w:tc>
        <w:tc>
          <w:tcPr>
            <w:tcW w:w="573" w:type="pct"/>
            <w:tcBorders>
              <w:top w:val="nil"/>
              <w:left w:val="nil"/>
              <w:bottom w:val="nil"/>
              <w:right w:val="nil"/>
            </w:tcBorders>
            <w:shd w:val="clear" w:color="auto" w:fill="auto"/>
            <w:noWrap/>
            <w:vAlign w:val="center"/>
            <w:hideMark/>
          </w:tcPr>
          <w:p w14:paraId="71228E1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0.77 ± 0.25</w:t>
            </w:r>
          </w:p>
        </w:tc>
        <w:tc>
          <w:tcPr>
            <w:tcW w:w="573" w:type="pct"/>
            <w:tcBorders>
              <w:top w:val="nil"/>
              <w:left w:val="nil"/>
              <w:bottom w:val="nil"/>
              <w:right w:val="nil"/>
            </w:tcBorders>
            <w:shd w:val="clear" w:color="auto" w:fill="auto"/>
            <w:noWrap/>
            <w:vAlign w:val="center"/>
            <w:hideMark/>
          </w:tcPr>
          <w:p w14:paraId="55B2A70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0.74 ± 0.28</w:t>
            </w:r>
          </w:p>
        </w:tc>
        <w:tc>
          <w:tcPr>
            <w:tcW w:w="573" w:type="pct"/>
            <w:tcBorders>
              <w:top w:val="nil"/>
              <w:left w:val="nil"/>
              <w:bottom w:val="nil"/>
              <w:right w:val="nil"/>
            </w:tcBorders>
            <w:shd w:val="clear" w:color="auto" w:fill="auto"/>
            <w:noWrap/>
            <w:vAlign w:val="center"/>
            <w:hideMark/>
          </w:tcPr>
          <w:p w14:paraId="41BEB63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1.46 ± 1</w:t>
            </w:r>
          </w:p>
        </w:tc>
        <w:tc>
          <w:tcPr>
            <w:tcW w:w="573" w:type="pct"/>
            <w:tcBorders>
              <w:top w:val="nil"/>
              <w:left w:val="nil"/>
              <w:bottom w:val="nil"/>
              <w:right w:val="nil"/>
            </w:tcBorders>
            <w:shd w:val="clear" w:color="auto" w:fill="auto"/>
            <w:noWrap/>
            <w:vAlign w:val="center"/>
            <w:hideMark/>
          </w:tcPr>
          <w:p w14:paraId="4C626EA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0.77 ± 0.19</w:t>
            </w:r>
          </w:p>
        </w:tc>
        <w:tc>
          <w:tcPr>
            <w:tcW w:w="573" w:type="pct"/>
            <w:tcBorders>
              <w:top w:val="nil"/>
              <w:left w:val="nil"/>
              <w:bottom w:val="nil"/>
              <w:right w:val="nil"/>
            </w:tcBorders>
            <w:shd w:val="clear" w:color="auto" w:fill="auto"/>
            <w:noWrap/>
            <w:vAlign w:val="center"/>
            <w:hideMark/>
          </w:tcPr>
          <w:p w14:paraId="773B8F0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1.12 ± 0.38</w:t>
            </w:r>
          </w:p>
        </w:tc>
        <w:tc>
          <w:tcPr>
            <w:tcW w:w="575" w:type="pct"/>
            <w:tcBorders>
              <w:top w:val="nil"/>
              <w:left w:val="nil"/>
              <w:bottom w:val="nil"/>
              <w:right w:val="nil"/>
            </w:tcBorders>
            <w:shd w:val="clear" w:color="auto" w:fill="auto"/>
            <w:noWrap/>
            <w:vAlign w:val="center"/>
            <w:hideMark/>
          </w:tcPr>
          <w:p w14:paraId="42EAC64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 ± 0.59</w:t>
            </w:r>
          </w:p>
        </w:tc>
        <w:tc>
          <w:tcPr>
            <w:tcW w:w="570" w:type="pct"/>
            <w:tcBorders>
              <w:top w:val="nil"/>
              <w:left w:val="nil"/>
              <w:bottom w:val="nil"/>
              <w:right w:val="nil"/>
            </w:tcBorders>
            <w:shd w:val="clear" w:color="auto" w:fill="auto"/>
            <w:noWrap/>
            <w:vAlign w:val="center"/>
            <w:hideMark/>
          </w:tcPr>
          <w:p w14:paraId="43C5574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1.73 ± 0.63</w:t>
            </w:r>
          </w:p>
        </w:tc>
      </w:tr>
      <w:tr w:rsidR="00B4386F" w:rsidRPr="00FA7D47" w14:paraId="0EFB5EB5" w14:textId="77777777" w:rsidTr="0095549A">
        <w:trPr>
          <w:trHeight w:val="290"/>
        </w:trPr>
        <w:tc>
          <w:tcPr>
            <w:tcW w:w="990" w:type="pct"/>
            <w:tcBorders>
              <w:top w:val="nil"/>
              <w:left w:val="nil"/>
              <w:bottom w:val="nil"/>
              <w:right w:val="nil"/>
            </w:tcBorders>
            <w:shd w:val="clear" w:color="auto" w:fill="auto"/>
            <w:vAlign w:val="center"/>
            <w:hideMark/>
          </w:tcPr>
          <w:p w14:paraId="195A26D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17:0</w:t>
            </w:r>
          </w:p>
        </w:tc>
        <w:tc>
          <w:tcPr>
            <w:tcW w:w="573" w:type="pct"/>
            <w:tcBorders>
              <w:top w:val="nil"/>
              <w:left w:val="nil"/>
              <w:bottom w:val="nil"/>
              <w:right w:val="nil"/>
            </w:tcBorders>
            <w:shd w:val="clear" w:color="auto" w:fill="auto"/>
            <w:noWrap/>
            <w:vAlign w:val="center"/>
            <w:hideMark/>
          </w:tcPr>
          <w:p w14:paraId="328FAE9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0.62 ± 0.21</w:t>
            </w:r>
          </w:p>
        </w:tc>
        <w:tc>
          <w:tcPr>
            <w:tcW w:w="573" w:type="pct"/>
            <w:tcBorders>
              <w:top w:val="nil"/>
              <w:left w:val="nil"/>
              <w:bottom w:val="nil"/>
              <w:right w:val="nil"/>
            </w:tcBorders>
            <w:shd w:val="clear" w:color="auto" w:fill="auto"/>
            <w:noWrap/>
            <w:vAlign w:val="center"/>
            <w:hideMark/>
          </w:tcPr>
          <w:p w14:paraId="4D2A879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0.55 ± 0.12</w:t>
            </w:r>
          </w:p>
        </w:tc>
        <w:tc>
          <w:tcPr>
            <w:tcW w:w="573" w:type="pct"/>
            <w:tcBorders>
              <w:top w:val="nil"/>
              <w:left w:val="nil"/>
              <w:bottom w:val="nil"/>
              <w:right w:val="nil"/>
            </w:tcBorders>
            <w:shd w:val="clear" w:color="auto" w:fill="auto"/>
            <w:noWrap/>
            <w:vAlign w:val="center"/>
            <w:hideMark/>
          </w:tcPr>
          <w:p w14:paraId="73A07B6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0.73 ± 0.21</w:t>
            </w:r>
          </w:p>
        </w:tc>
        <w:tc>
          <w:tcPr>
            <w:tcW w:w="573" w:type="pct"/>
            <w:tcBorders>
              <w:top w:val="nil"/>
              <w:left w:val="nil"/>
              <w:bottom w:val="nil"/>
              <w:right w:val="nil"/>
            </w:tcBorders>
            <w:shd w:val="clear" w:color="auto" w:fill="auto"/>
            <w:noWrap/>
            <w:vAlign w:val="center"/>
            <w:hideMark/>
          </w:tcPr>
          <w:p w14:paraId="6EAC010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 ± 0.13</w:t>
            </w:r>
          </w:p>
        </w:tc>
        <w:tc>
          <w:tcPr>
            <w:tcW w:w="573" w:type="pct"/>
            <w:tcBorders>
              <w:top w:val="nil"/>
              <w:left w:val="nil"/>
              <w:bottom w:val="nil"/>
              <w:right w:val="nil"/>
            </w:tcBorders>
            <w:shd w:val="clear" w:color="auto" w:fill="auto"/>
            <w:noWrap/>
            <w:vAlign w:val="center"/>
            <w:hideMark/>
          </w:tcPr>
          <w:p w14:paraId="57B144A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0.72 ± 0.18</w:t>
            </w:r>
          </w:p>
        </w:tc>
        <w:tc>
          <w:tcPr>
            <w:tcW w:w="575" w:type="pct"/>
            <w:tcBorders>
              <w:top w:val="nil"/>
              <w:left w:val="nil"/>
              <w:bottom w:val="nil"/>
              <w:right w:val="nil"/>
            </w:tcBorders>
            <w:shd w:val="clear" w:color="auto" w:fill="auto"/>
            <w:noWrap/>
            <w:vAlign w:val="center"/>
            <w:hideMark/>
          </w:tcPr>
          <w:p w14:paraId="46A4DC3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0.75 ± 0.09</w:t>
            </w:r>
          </w:p>
        </w:tc>
        <w:tc>
          <w:tcPr>
            <w:tcW w:w="570" w:type="pct"/>
            <w:tcBorders>
              <w:top w:val="nil"/>
              <w:left w:val="nil"/>
              <w:bottom w:val="nil"/>
              <w:right w:val="nil"/>
            </w:tcBorders>
            <w:shd w:val="clear" w:color="auto" w:fill="auto"/>
            <w:noWrap/>
            <w:vAlign w:val="center"/>
            <w:hideMark/>
          </w:tcPr>
          <w:p w14:paraId="3DA21B3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0.45 ± 0.07</w:t>
            </w:r>
          </w:p>
        </w:tc>
      </w:tr>
      <w:tr w:rsidR="00B4386F" w:rsidRPr="00FA7D47" w14:paraId="5FF1C8DF" w14:textId="77777777" w:rsidTr="0095549A">
        <w:trPr>
          <w:trHeight w:val="290"/>
        </w:trPr>
        <w:tc>
          <w:tcPr>
            <w:tcW w:w="990" w:type="pct"/>
            <w:tcBorders>
              <w:top w:val="nil"/>
              <w:left w:val="nil"/>
              <w:bottom w:val="nil"/>
              <w:right w:val="nil"/>
            </w:tcBorders>
            <w:shd w:val="clear" w:color="auto" w:fill="auto"/>
            <w:vAlign w:val="center"/>
            <w:hideMark/>
          </w:tcPr>
          <w:p w14:paraId="5C6D090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iso 18:0</w:t>
            </w:r>
          </w:p>
        </w:tc>
        <w:tc>
          <w:tcPr>
            <w:tcW w:w="573" w:type="pct"/>
            <w:tcBorders>
              <w:top w:val="nil"/>
              <w:left w:val="nil"/>
              <w:bottom w:val="nil"/>
              <w:right w:val="nil"/>
            </w:tcBorders>
            <w:shd w:val="clear" w:color="auto" w:fill="auto"/>
            <w:noWrap/>
            <w:vAlign w:val="center"/>
            <w:hideMark/>
          </w:tcPr>
          <w:p w14:paraId="5E00A2D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0.58 ± 0.06</w:t>
            </w:r>
          </w:p>
        </w:tc>
        <w:tc>
          <w:tcPr>
            <w:tcW w:w="573" w:type="pct"/>
            <w:tcBorders>
              <w:top w:val="nil"/>
              <w:left w:val="nil"/>
              <w:bottom w:val="nil"/>
              <w:right w:val="nil"/>
            </w:tcBorders>
            <w:shd w:val="clear" w:color="auto" w:fill="auto"/>
            <w:noWrap/>
            <w:vAlign w:val="center"/>
            <w:hideMark/>
          </w:tcPr>
          <w:p w14:paraId="5973122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0.59 ± 0.18</w:t>
            </w:r>
          </w:p>
        </w:tc>
        <w:tc>
          <w:tcPr>
            <w:tcW w:w="573" w:type="pct"/>
            <w:tcBorders>
              <w:top w:val="nil"/>
              <w:left w:val="nil"/>
              <w:bottom w:val="nil"/>
              <w:right w:val="nil"/>
            </w:tcBorders>
            <w:shd w:val="clear" w:color="auto" w:fill="auto"/>
            <w:noWrap/>
            <w:vAlign w:val="center"/>
            <w:hideMark/>
          </w:tcPr>
          <w:p w14:paraId="2E8B4C8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0.66 ± 0.21</w:t>
            </w:r>
          </w:p>
        </w:tc>
        <w:tc>
          <w:tcPr>
            <w:tcW w:w="573" w:type="pct"/>
            <w:tcBorders>
              <w:top w:val="nil"/>
              <w:left w:val="nil"/>
              <w:bottom w:val="nil"/>
              <w:right w:val="nil"/>
            </w:tcBorders>
            <w:shd w:val="clear" w:color="auto" w:fill="auto"/>
            <w:noWrap/>
            <w:vAlign w:val="center"/>
            <w:hideMark/>
          </w:tcPr>
          <w:p w14:paraId="310407B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 ± 0.07</w:t>
            </w:r>
          </w:p>
        </w:tc>
        <w:tc>
          <w:tcPr>
            <w:tcW w:w="573" w:type="pct"/>
            <w:tcBorders>
              <w:top w:val="nil"/>
              <w:left w:val="nil"/>
              <w:bottom w:val="nil"/>
              <w:right w:val="nil"/>
            </w:tcBorders>
            <w:shd w:val="clear" w:color="auto" w:fill="auto"/>
            <w:noWrap/>
            <w:vAlign w:val="center"/>
            <w:hideMark/>
          </w:tcPr>
          <w:p w14:paraId="02A929E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0.61 ± 0.07</w:t>
            </w:r>
          </w:p>
        </w:tc>
        <w:tc>
          <w:tcPr>
            <w:tcW w:w="575" w:type="pct"/>
            <w:tcBorders>
              <w:top w:val="nil"/>
              <w:left w:val="nil"/>
              <w:bottom w:val="nil"/>
              <w:right w:val="nil"/>
            </w:tcBorders>
            <w:shd w:val="clear" w:color="auto" w:fill="auto"/>
            <w:noWrap/>
            <w:vAlign w:val="center"/>
            <w:hideMark/>
          </w:tcPr>
          <w:p w14:paraId="2EB8AF9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0.69 ± 0.24</w:t>
            </w:r>
          </w:p>
        </w:tc>
        <w:tc>
          <w:tcPr>
            <w:tcW w:w="570" w:type="pct"/>
            <w:tcBorders>
              <w:top w:val="nil"/>
              <w:left w:val="nil"/>
              <w:bottom w:val="nil"/>
              <w:right w:val="nil"/>
            </w:tcBorders>
            <w:shd w:val="clear" w:color="auto" w:fill="auto"/>
            <w:noWrap/>
            <w:vAlign w:val="center"/>
            <w:hideMark/>
          </w:tcPr>
          <w:p w14:paraId="7E355B0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0.36 ± 0.06</w:t>
            </w:r>
          </w:p>
        </w:tc>
      </w:tr>
      <w:tr w:rsidR="00B4386F" w:rsidRPr="00FA7D47" w14:paraId="4B06AC3E" w14:textId="77777777" w:rsidTr="0095549A">
        <w:trPr>
          <w:trHeight w:val="290"/>
        </w:trPr>
        <w:tc>
          <w:tcPr>
            <w:tcW w:w="990" w:type="pct"/>
            <w:tcBorders>
              <w:top w:val="nil"/>
              <w:left w:val="nil"/>
              <w:bottom w:val="nil"/>
              <w:right w:val="nil"/>
            </w:tcBorders>
            <w:shd w:val="clear" w:color="auto" w:fill="auto"/>
            <w:vAlign w:val="center"/>
            <w:hideMark/>
          </w:tcPr>
          <w:p w14:paraId="59B40F2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Anteiso 18:0</w:t>
            </w:r>
          </w:p>
        </w:tc>
        <w:tc>
          <w:tcPr>
            <w:tcW w:w="573" w:type="pct"/>
            <w:tcBorders>
              <w:top w:val="nil"/>
              <w:left w:val="nil"/>
              <w:bottom w:val="nil"/>
              <w:right w:val="nil"/>
            </w:tcBorders>
            <w:shd w:val="clear" w:color="auto" w:fill="auto"/>
            <w:noWrap/>
            <w:vAlign w:val="center"/>
            <w:hideMark/>
          </w:tcPr>
          <w:p w14:paraId="6BB6BDA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0.15</w:t>
            </w:r>
          </w:p>
        </w:tc>
        <w:tc>
          <w:tcPr>
            <w:tcW w:w="573" w:type="pct"/>
            <w:tcBorders>
              <w:top w:val="nil"/>
              <w:left w:val="nil"/>
              <w:bottom w:val="nil"/>
              <w:right w:val="nil"/>
            </w:tcBorders>
            <w:shd w:val="clear" w:color="auto" w:fill="auto"/>
            <w:noWrap/>
            <w:vAlign w:val="center"/>
            <w:hideMark/>
          </w:tcPr>
          <w:p w14:paraId="5C95E7F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0.29 ± 0.14</w:t>
            </w:r>
          </w:p>
        </w:tc>
        <w:tc>
          <w:tcPr>
            <w:tcW w:w="573" w:type="pct"/>
            <w:tcBorders>
              <w:top w:val="nil"/>
              <w:left w:val="nil"/>
              <w:bottom w:val="nil"/>
              <w:right w:val="nil"/>
            </w:tcBorders>
            <w:shd w:val="clear" w:color="auto" w:fill="auto"/>
            <w:noWrap/>
            <w:vAlign w:val="center"/>
            <w:hideMark/>
          </w:tcPr>
          <w:p w14:paraId="7DF0A8C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0.38 ± 0.14</w:t>
            </w:r>
          </w:p>
        </w:tc>
        <w:tc>
          <w:tcPr>
            <w:tcW w:w="573" w:type="pct"/>
            <w:tcBorders>
              <w:top w:val="nil"/>
              <w:left w:val="nil"/>
              <w:bottom w:val="nil"/>
              <w:right w:val="nil"/>
            </w:tcBorders>
            <w:shd w:val="clear" w:color="auto" w:fill="auto"/>
            <w:noWrap/>
            <w:vAlign w:val="center"/>
            <w:hideMark/>
          </w:tcPr>
          <w:p w14:paraId="1488918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0.31 ± 0.08</w:t>
            </w:r>
          </w:p>
        </w:tc>
        <w:tc>
          <w:tcPr>
            <w:tcW w:w="573" w:type="pct"/>
            <w:tcBorders>
              <w:top w:val="nil"/>
              <w:left w:val="nil"/>
              <w:bottom w:val="nil"/>
              <w:right w:val="nil"/>
            </w:tcBorders>
            <w:shd w:val="clear" w:color="auto" w:fill="auto"/>
            <w:noWrap/>
            <w:vAlign w:val="center"/>
            <w:hideMark/>
          </w:tcPr>
          <w:p w14:paraId="5644700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0.38 ± 0.13</w:t>
            </w:r>
          </w:p>
        </w:tc>
        <w:tc>
          <w:tcPr>
            <w:tcW w:w="575" w:type="pct"/>
            <w:tcBorders>
              <w:top w:val="nil"/>
              <w:left w:val="nil"/>
              <w:bottom w:val="nil"/>
              <w:right w:val="nil"/>
            </w:tcBorders>
            <w:shd w:val="clear" w:color="auto" w:fill="auto"/>
            <w:noWrap/>
            <w:vAlign w:val="center"/>
            <w:hideMark/>
          </w:tcPr>
          <w:p w14:paraId="1A8A203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0.39 ± 0.03</w:t>
            </w:r>
          </w:p>
        </w:tc>
        <w:tc>
          <w:tcPr>
            <w:tcW w:w="570" w:type="pct"/>
            <w:tcBorders>
              <w:top w:val="nil"/>
              <w:left w:val="nil"/>
              <w:bottom w:val="nil"/>
              <w:right w:val="nil"/>
            </w:tcBorders>
            <w:shd w:val="clear" w:color="auto" w:fill="auto"/>
            <w:noWrap/>
            <w:vAlign w:val="center"/>
            <w:hideMark/>
          </w:tcPr>
          <w:p w14:paraId="4002EB3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0.27 ± 0.17</w:t>
            </w:r>
          </w:p>
        </w:tc>
      </w:tr>
      <w:tr w:rsidR="00B4386F" w:rsidRPr="00FA7D47" w14:paraId="00858830" w14:textId="77777777" w:rsidTr="0095549A">
        <w:trPr>
          <w:trHeight w:val="290"/>
        </w:trPr>
        <w:tc>
          <w:tcPr>
            <w:tcW w:w="990" w:type="pct"/>
            <w:tcBorders>
              <w:top w:val="nil"/>
              <w:left w:val="nil"/>
              <w:bottom w:val="nil"/>
              <w:right w:val="nil"/>
            </w:tcBorders>
            <w:shd w:val="clear" w:color="auto" w:fill="auto"/>
            <w:vAlign w:val="center"/>
            <w:hideMark/>
          </w:tcPr>
          <w:p w14:paraId="5A0AABC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18:0 DMA</w:t>
            </w:r>
          </w:p>
        </w:tc>
        <w:tc>
          <w:tcPr>
            <w:tcW w:w="573" w:type="pct"/>
            <w:tcBorders>
              <w:top w:val="nil"/>
              <w:left w:val="nil"/>
              <w:bottom w:val="nil"/>
              <w:right w:val="nil"/>
            </w:tcBorders>
            <w:shd w:val="clear" w:color="auto" w:fill="auto"/>
            <w:noWrap/>
            <w:vAlign w:val="center"/>
            <w:hideMark/>
          </w:tcPr>
          <w:p w14:paraId="666BCDC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0.05 ± 0.09</w:t>
            </w:r>
          </w:p>
        </w:tc>
        <w:tc>
          <w:tcPr>
            <w:tcW w:w="573" w:type="pct"/>
            <w:tcBorders>
              <w:top w:val="nil"/>
              <w:left w:val="nil"/>
              <w:bottom w:val="nil"/>
              <w:right w:val="nil"/>
            </w:tcBorders>
            <w:shd w:val="clear" w:color="auto" w:fill="auto"/>
            <w:noWrap/>
            <w:vAlign w:val="center"/>
            <w:hideMark/>
          </w:tcPr>
          <w:p w14:paraId="50C2FE4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0.09 ± 0.09</w:t>
            </w:r>
          </w:p>
        </w:tc>
        <w:tc>
          <w:tcPr>
            <w:tcW w:w="573" w:type="pct"/>
            <w:tcBorders>
              <w:top w:val="nil"/>
              <w:left w:val="nil"/>
              <w:bottom w:val="nil"/>
              <w:right w:val="nil"/>
            </w:tcBorders>
            <w:shd w:val="clear" w:color="auto" w:fill="auto"/>
            <w:noWrap/>
            <w:vAlign w:val="center"/>
            <w:hideMark/>
          </w:tcPr>
          <w:p w14:paraId="63A1A43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0.06 ± 0.05</w:t>
            </w:r>
          </w:p>
        </w:tc>
        <w:tc>
          <w:tcPr>
            <w:tcW w:w="573" w:type="pct"/>
            <w:tcBorders>
              <w:top w:val="nil"/>
              <w:left w:val="nil"/>
              <w:bottom w:val="nil"/>
              <w:right w:val="nil"/>
            </w:tcBorders>
            <w:shd w:val="clear" w:color="auto" w:fill="auto"/>
            <w:noWrap/>
            <w:vAlign w:val="center"/>
            <w:hideMark/>
          </w:tcPr>
          <w:p w14:paraId="4B2685B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 ± 0.03</w:t>
            </w:r>
          </w:p>
        </w:tc>
        <w:tc>
          <w:tcPr>
            <w:tcW w:w="573" w:type="pct"/>
            <w:tcBorders>
              <w:top w:val="nil"/>
              <w:left w:val="nil"/>
              <w:bottom w:val="nil"/>
              <w:right w:val="nil"/>
            </w:tcBorders>
            <w:shd w:val="clear" w:color="auto" w:fill="auto"/>
            <w:noWrap/>
            <w:vAlign w:val="center"/>
            <w:hideMark/>
          </w:tcPr>
          <w:p w14:paraId="1FE470E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0.08 ± 0.11</w:t>
            </w:r>
          </w:p>
        </w:tc>
        <w:tc>
          <w:tcPr>
            <w:tcW w:w="575" w:type="pct"/>
            <w:tcBorders>
              <w:top w:val="nil"/>
              <w:left w:val="nil"/>
              <w:bottom w:val="nil"/>
              <w:right w:val="nil"/>
            </w:tcBorders>
            <w:shd w:val="clear" w:color="auto" w:fill="auto"/>
            <w:noWrap/>
            <w:vAlign w:val="center"/>
            <w:hideMark/>
          </w:tcPr>
          <w:p w14:paraId="19CB58C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0.03</w:t>
            </w:r>
          </w:p>
        </w:tc>
        <w:tc>
          <w:tcPr>
            <w:tcW w:w="570" w:type="pct"/>
            <w:tcBorders>
              <w:top w:val="nil"/>
              <w:left w:val="nil"/>
              <w:bottom w:val="nil"/>
              <w:right w:val="nil"/>
            </w:tcBorders>
            <w:shd w:val="clear" w:color="auto" w:fill="auto"/>
            <w:noWrap/>
            <w:vAlign w:val="center"/>
            <w:hideMark/>
          </w:tcPr>
          <w:p w14:paraId="291AB45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0.09 ± 0.01</w:t>
            </w:r>
          </w:p>
        </w:tc>
      </w:tr>
      <w:tr w:rsidR="00B4386F" w:rsidRPr="00FA7D47" w14:paraId="4994185A" w14:textId="77777777" w:rsidTr="0095549A">
        <w:trPr>
          <w:trHeight w:val="290"/>
        </w:trPr>
        <w:tc>
          <w:tcPr>
            <w:tcW w:w="990" w:type="pct"/>
            <w:tcBorders>
              <w:top w:val="nil"/>
              <w:left w:val="nil"/>
              <w:bottom w:val="nil"/>
              <w:right w:val="nil"/>
            </w:tcBorders>
            <w:shd w:val="clear" w:color="auto" w:fill="auto"/>
            <w:vAlign w:val="center"/>
            <w:hideMark/>
          </w:tcPr>
          <w:p w14:paraId="1DC6425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18:0</w:t>
            </w:r>
          </w:p>
        </w:tc>
        <w:tc>
          <w:tcPr>
            <w:tcW w:w="573" w:type="pct"/>
            <w:tcBorders>
              <w:top w:val="nil"/>
              <w:left w:val="nil"/>
              <w:bottom w:val="nil"/>
              <w:right w:val="nil"/>
            </w:tcBorders>
            <w:shd w:val="clear" w:color="auto" w:fill="auto"/>
            <w:noWrap/>
            <w:vAlign w:val="center"/>
            <w:hideMark/>
          </w:tcPr>
          <w:p w14:paraId="59EC30E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3.44 ± 1.32</w:t>
            </w:r>
          </w:p>
        </w:tc>
        <w:tc>
          <w:tcPr>
            <w:tcW w:w="573" w:type="pct"/>
            <w:tcBorders>
              <w:top w:val="nil"/>
              <w:left w:val="nil"/>
              <w:bottom w:val="nil"/>
              <w:right w:val="nil"/>
            </w:tcBorders>
            <w:shd w:val="clear" w:color="auto" w:fill="auto"/>
            <w:noWrap/>
            <w:vAlign w:val="center"/>
            <w:hideMark/>
          </w:tcPr>
          <w:p w14:paraId="551D6B8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3.07 ± 0.27</w:t>
            </w:r>
          </w:p>
        </w:tc>
        <w:tc>
          <w:tcPr>
            <w:tcW w:w="573" w:type="pct"/>
            <w:tcBorders>
              <w:top w:val="nil"/>
              <w:left w:val="nil"/>
              <w:bottom w:val="nil"/>
              <w:right w:val="nil"/>
            </w:tcBorders>
            <w:shd w:val="clear" w:color="auto" w:fill="auto"/>
            <w:noWrap/>
            <w:vAlign w:val="center"/>
            <w:hideMark/>
          </w:tcPr>
          <w:p w14:paraId="64B29BB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3.14 ± 0.39</w:t>
            </w:r>
          </w:p>
        </w:tc>
        <w:tc>
          <w:tcPr>
            <w:tcW w:w="573" w:type="pct"/>
            <w:tcBorders>
              <w:top w:val="nil"/>
              <w:left w:val="nil"/>
              <w:bottom w:val="nil"/>
              <w:right w:val="nil"/>
            </w:tcBorders>
            <w:shd w:val="clear" w:color="auto" w:fill="auto"/>
            <w:noWrap/>
            <w:vAlign w:val="center"/>
            <w:hideMark/>
          </w:tcPr>
          <w:p w14:paraId="330BAEF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3.26 ± 0.34</w:t>
            </w:r>
          </w:p>
        </w:tc>
        <w:tc>
          <w:tcPr>
            <w:tcW w:w="573" w:type="pct"/>
            <w:tcBorders>
              <w:top w:val="nil"/>
              <w:left w:val="nil"/>
              <w:bottom w:val="nil"/>
              <w:right w:val="nil"/>
            </w:tcBorders>
            <w:shd w:val="clear" w:color="auto" w:fill="auto"/>
            <w:noWrap/>
            <w:vAlign w:val="center"/>
            <w:hideMark/>
          </w:tcPr>
          <w:p w14:paraId="62450A0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3.57 ± 0.47</w:t>
            </w:r>
          </w:p>
        </w:tc>
        <w:tc>
          <w:tcPr>
            <w:tcW w:w="575" w:type="pct"/>
            <w:tcBorders>
              <w:top w:val="nil"/>
              <w:left w:val="nil"/>
              <w:bottom w:val="nil"/>
              <w:right w:val="nil"/>
            </w:tcBorders>
            <w:shd w:val="clear" w:color="auto" w:fill="auto"/>
            <w:noWrap/>
            <w:vAlign w:val="center"/>
            <w:hideMark/>
          </w:tcPr>
          <w:p w14:paraId="0D9DD05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3.73 ± 0.2</w:t>
            </w:r>
          </w:p>
        </w:tc>
        <w:tc>
          <w:tcPr>
            <w:tcW w:w="570" w:type="pct"/>
            <w:tcBorders>
              <w:top w:val="nil"/>
              <w:left w:val="nil"/>
              <w:bottom w:val="nil"/>
              <w:right w:val="nil"/>
            </w:tcBorders>
            <w:shd w:val="clear" w:color="auto" w:fill="auto"/>
            <w:noWrap/>
            <w:vAlign w:val="center"/>
            <w:hideMark/>
          </w:tcPr>
          <w:p w14:paraId="7A4F26E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1.89 ± 0.17</w:t>
            </w:r>
          </w:p>
        </w:tc>
      </w:tr>
      <w:tr w:rsidR="00B4386F" w:rsidRPr="00FA7D47" w14:paraId="6120C24D" w14:textId="77777777" w:rsidTr="0095549A">
        <w:trPr>
          <w:trHeight w:val="290"/>
        </w:trPr>
        <w:tc>
          <w:tcPr>
            <w:tcW w:w="990" w:type="pct"/>
            <w:tcBorders>
              <w:top w:val="nil"/>
              <w:left w:val="nil"/>
              <w:bottom w:val="nil"/>
              <w:right w:val="nil"/>
            </w:tcBorders>
            <w:shd w:val="clear" w:color="auto" w:fill="auto"/>
            <w:vAlign w:val="center"/>
            <w:hideMark/>
          </w:tcPr>
          <w:p w14:paraId="5177039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iso 19:0</w:t>
            </w:r>
          </w:p>
        </w:tc>
        <w:tc>
          <w:tcPr>
            <w:tcW w:w="573" w:type="pct"/>
            <w:tcBorders>
              <w:top w:val="nil"/>
              <w:left w:val="nil"/>
              <w:bottom w:val="nil"/>
              <w:right w:val="nil"/>
            </w:tcBorders>
            <w:shd w:val="clear" w:color="auto" w:fill="auto"/>
            <w:noWrap/>
            <w:vAlign w:val="center"/>
            <w:hideMark/>
          </w:tcPr>
          <w:p w14:paraId="5DD1C25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0.18 ± 0.11</w:t>
            </w:r>
          </w:p>
        </w:tc>
        <w:tc>
          <w:tcPr>
            <w:tcW w:w="573" w:type="pct"/>
            <w:tcBorders>
              <w:top w:val="nil"/>
              <w:left w:val="nil"/>
              <w:bottom w:val="nil"/>
              <w:right w:val="nil"/>
            </w:tcBorders>
            <w:shd w:val="clear" w:color="auto" w:fill="auto"/>
            <w:noWrap/>
            <w:vAlign w:val="center"/>
            <w:hideMark/>
          </w:tcPr>
          <w:p w14:paraId="5318B76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 ± 0.13</w:t>
            </w:r>
          </w:p>
        </w:tc>
        <w:tc>
          <w:tcPr>
            <w:tcW w:w="573" w:type="pct"/>
            <w:tcBorders>
              <w:top w:val="nil"/>
              <w:left w:val="nil"/>
              <w:bottom w:val="nil"/>
              <w:right w:val="nil"/>
            </w:tcBorders>
            <w:shd w:val="clear" w:color="auto" w:fill="auto"/>
            <w:noWrap/>
            <w:vAlign w:val="center"/>
            <w:hideMark/>
          </w:tcPr>
          <w:p w14:paraId="7640CEA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0.15 ± 0.11</w:t>
            </w:r>
          </w:p>
        </w:tc>
        <w:tc>
          <w:tcPr>
            <w:tcW w:w="573" w:type="pct"/>
            <w:tcBorders>
              <w:top w:val="nil"/>
              <w:left w:val="nil"/>
              <w:bottom w:val="nil"/>
              <w:right w:val="nil"/>
            </w:tcBorders>
            <w:shd w:val="clear" w:color="auto" w:fill="auto"/>
            <w:noWrap/>
            <w:vAlign w:val="center"/>
            <w:hideMark/>
          </w:tcPr>
          <w:p w14:paraId="2F4577A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0.16 ± 0.03</w:t>
            </w:r>
          </w:p>
        </w:tc>
        <w:tc>
          <w:tcPr>
            <w:tcW w:w="573" w:type="pct"/>
            <w:tcBorders>
              <w:top w:val="nil"/>
              <w:left w:val="nil"/>
              <w:bottom w:val="nil"/>
              <w:right w:val="nil"/>
            </w:tcBorders>
            <w:shd w:val="clear" w:color="auto" w:fill="auto"/>
            <w:noWrap/>
            <w:vAlign w:val="center"/>
            <w:hideMark/>
          </w:tcPr>
          <w:p w14:paraId="170CDD9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0.14 ± 0.2</w:t>
            </w:r>
          </w:p>
        </w:tc>
        <w:tc>
          <w:tcPr>
            <w:tcW w:w="575" w:type="pct"/>
            <w:tcBorders>
              <w:top w:val="nil"/>
              <w:left w:val="nil"/>
              <w:bottom w:val="nil"/>
              <w:right w:val="nil"/>
            </w:tcBorders>
            <w:shd w:val="clear" w:color="auto" w:fill="auto"/>
            <w:noWrap/>
            <w:vAlign w:val="center"/>
            <w:hideMark/>
          </w:tcPr>
          <w:p w14:paraId="639D0CF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0.29 ± 0.06</w:t>
            </w:r>
          </w:p>
        </w:tc>
        <w:tc>
          <w:tcPr>
            <w:tcW w:w="570" w:type="pct"/>
            <w:tcBorders>
              <w:top w:val="nil"/>
              <w:left w:val="nil"/>
              <w:bottom w:val="nil"/>
              <w:right w:val="nil"/>
            </w:tcBorders>
            <w:shd w:val="clear" w:color="auto" w:fill="auto"/>
            <w:noWrap/>
            <w:vAlign w:val="center"/>
            <w:hideMark/>
          </w:tcPr>
          <w:p w14:paraId="1B0670C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0.11 ± 0.02</w:t>
            </w:r>
          </w:p>
        </w:tc>
      </w:tr>
      <w:tr w:rsidR="00B4386F" w:rsidRPr="00FA7D47" w14:paraId="6AF66F5A" w14:textId="77777777" w:rsidTr="0095549A">
        <w:trPr>
          <w:trHeight w:val="290"/>
        </w:trPr>
        <w:tc>
          <w:tcPr>
            <w:tcW w:w="990" w:type="pct"/>
            <w:tcBorders>
              <w:top w:val="nil"/>
              <w:left w:val="nil"/>
              <w:bottom w:val="nil"/>
              <w:right w:val="nil"/>
            </w:tcBorders>
            <w:shd w:val="clear" w:color="auto" w:fill="auto"/>
            <w:vAlign w:val="center"/>
            <w:hideMark/>
          </w:tcPr>
          <w:p w14:paraId="40CAFF8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19:0</w:t>
            </w:r>
          </w:p>
        </w:tc>
        <w:tc>
          <w:tcPr>
            <w:tcW w:w="573" w:type="pct"/>
            <w:tcBorders>
              <w:top w:val="nil"/>
              <w:left w:val="nil"/>
              <w:bottom w:val="nil"/>
              <w:right w:val="nil"/>
            </w:tcBorders>
            <w:shd w:val="clear" w:color="auto" w:fill="auto"/>
            <w:noWrap/>
            <w:vAlign w:val="center"/>
            <w:hideMark/>
          </w:tcPr>
          <w:p w14:paraId="46B9CC0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0.31 ± 0.17</w:t>
            </w:r>
          </w:p>
        </w:tc>
        <w:tc>
          <w:tcPr>
            <w:tcW w:w="573" w:type="pct"/>
            <w:tcBorders>
              <w:top w:val="nil"/>
              <w:left w:val="nil"/>
              <w:bottom w:val="nil"/>
              <w:right w:val="nil"/>
            </w:tcBorders>
            <w:shd w:val="clear" w:color="auto" w:fill="auto"/>
            <w:noWrap/>
            <w:vAlign w:val="center"/>
            <w:hideMark/>
          </w:tcPr>
          <w:p w14:paraId="60D567F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0.18</w:t>
            </w:r>
          </w:p>
        </w:tc>
        <w:tc>
          <w:tcPr>
            <w:tcW w:w="573" w:type="pct"/>
            <w:tcBorders>
              <w:top w:val="nil"/>
              <w:left w:val="nil"/>
              <w:bottom w:val="nil"/>
              <w:right w:val="nil"/>
            </w:tcBorders>
            <w:shd w:val="clear" w:color="auto" w:fill="auto"/>
            <w:noWrap/>
            <w:vAlign w:val="center"/>
            <w:hideMark/>
          </w:tcPr>
          <w:p w14:paraId="76030BE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0.42 ± 0.2</w:t>
            </w:r>
          </w:p>
        </w:tc>
        <w:tc>
          <w:tcPr>
            <w:tcW w:w="573" w:type="pct"/>
            <w:tcBorders>
              <w:top w:val="nil"/>
              <w:left w:val="nil"/>
              <w:bottom w:val="nil"/>
              <w:right w:val="nil"/>
            </w:tcBorders>
            <w:shd w:val="clear" w:color="auto" w:fill="auto"/>
            <w:noWrap/>
            <w:vAlign w:val="center"/>
            <w:hideMark/>
          </w:tcPr>
          <w:p w14:paraId="6DECA98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0.06</w:t>
            </w:r>
          </w:p>
        </w:tc>
        <w:tc>
          <w:tcPr>
            <w:tcW w:w="573" w:type="pct"/>
            <w:tcBorders>
              <w:top w:val="nil"/>
              <w:left w:val="nil"/>
              <w:bottom w:val="nil"/>
              <w:right w:val="nil"/>
            </w:tcBorders>
            <w:shd w:val="clear" w:color="auto" w:fill="auto"/>
            <w:noWrap/>
            <w:vAlign w:val="center"/>
            <w:hideMark/>
          </w:tcPr>
          <w:p w14:paraId="2B31AA8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0.36 ± 0.21</w:t>
            </w:r>
          </w:p>
        </w:tc>
        <w:tc>
          <w:tcPr>
            <w:tcW w:w="575" w:type="pct"/>
            <w:tcBorders>
              <w:top w:val="nil"/>
              <w:left w:val="nil"/>
              <w:bottom w:val="nil"/>
              <w:right w:val="nil"/>
            </w:tcBorders>
            <w:shd w:val="clear" w:color="auto" w:fill="auto"/>
            <w:noWrap/>
            <w:vAlign w:val="center"/>
            <w:hideMark/>
          </w:tcPr>
          <w:p w14:paraId="2B68570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0.44 ± 0.07</w:t>
            </w:r>
          </w:p>
        </w:tc>
        <w:tc>
          <w:tcPr>
            <w:tcW w:w="570" w:type="pct"/>
            <w:tcBorders>
              <w:top w:val="nil"/>
              <w:left w:val="nil"/>
              <w:bottom w:val="nil"/>
              <w:right w:val="nil"/>
            </w:tcBorders>
            <w:shd w:val="clear" w:color="auto" w:fill="auto"/>
            <w:noWrap/>
            <w:vAlign w:val="center"/>
            <w:hideMark/>
          </w:tcPr>
          <w:p w14:paraId="5CDED0A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0.69 ± 0.1</w:t>
            </w:r>
          </w:p>
        </w:tc>
      </w:tr>
      <w:tr w:rsidR="00B4386F" w:rsidRPr="00FA7D47" w14:paraId="59FECA93" w14:textId="77777777" w:rsidTr="0095549A">
        <w:trPr>
          <w:trHeight w:val="290"/>
        </w:trPr>
        <w:tc>
          <w:tcPr>
            <w:tcW w:w="990" w:type="pct"/>
            <w:tcBorders>
              <w:top w:val="nil"/>
              <w:left w:val="nil"/>
              <w:bottom w:val="nil"/>
              <w:right w:val="nil"/>
            </w:tcBorders>
            <w:shd w:val="clear" w:color="auto" w:fill="auto"/>
            <w:vAlign w:val="center"/>
            <w:hideMark/>
          </w:tcPr>
          <w:p w14:paraId="0B1AB8C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20:0 DMA</w:t>
            </w:r>
          </w:p>
        </w:tc>
        <w:tc>
          <w:tcPr>
            <w:tcW w:w="573" w:type="pct"/>
            <w:tcBorders>
              <w:top w:val="nil"/>
              <w:left w:val="nil"/>
              <w:bottom w:val="nil"/>
              <w:right w:val="nil"/>
            </w:tcBorders>
            <w:shd w:val="clear" w:color="auto" w:fill="auto"/>
            <w:noWrap/>
            <w:vAlign w:val="center"/>
            <w:hideMark/>
          </w:tcPr>
          <w:p w14:paraId="1B2E445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3" w:type="pct"/>
            <w:tcBorders>
              <w:top w:val="nil"/>
              <w:left w:val="nil"/>
              <w:bottom w:val="nil"/>
              <w:right w:val="nil"/>
            </w:tcBorders>
            <w:shd w:val="clear" w:color="auto" w:fill="auto"/>
            <w:noWrap/>
            <w:vAlign w:val="center"/>
            <w:hideMark/>
          </w:tcPr>
          <w:p w14:paraId="590085F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3" w:type="pct"/>
            <w:tcBorders>
              <w:top w:val="nil"/>
              <w:left w:val="nil"/>
              <w:bottom w:val="nil"/>
              <w:right w:val="nil"/>
            </w:tcBorders>
            <w:shd w:val="clear" w:color="auto" w:fill="auto"/>
            <w:noWrap/>
            <w:vAlign w:val="center"/>
            <w:hideMark/>
          </w:tcPr>
          <w:p w14:paraId="0421003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3" w:type="pct"/>
            <w:tcBorders>
              <w:top w:val="nil"/>
              <w:left w:val="nil"/>
              <w:bottom w:val="nil"/>
              <w:right w:val="nil"/>
            </w:tcBorders>
            <w:shd w:val="clear" w:color="auto" w:fill="auto"/>
            <w:noWrap/>
            <w:vAlign w:val="center"/>
            <w:hideMark/>
          </w:tcPr>
          <w:p w14:paraId="01123ED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3" w:type="pct"/>
            <w:tcBorders>
              <w:top w:val="nil"/>
              <w:left w:val="nil"/>
              <w:bottom w:val="nil"/>
              <w:right w:val="nil"/>
            </w:tcBorders>
            <w:shd w:val="clear" w:color="auto" w:fill="auto"/>
            <w:noWrap/>
            <w:vAlign w:val="center"/>
            <w:hideMark/>
          </w:tcPr>
          <w:p w14:paraId="3402419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5" w:type="pct"/>
            <w:tcBorders>
              <w:top w:val="nil"/>
              <w:left w:val="nil"/>
              <w:bottom w:val="nil"/>
              <w:right w:val="nil"/>
            </w:tcBorders>
            <w:shd w:val="clear" w:color="auto" w:fill="auto"/>
            <w:noWrap/>
            <w:vAlign w:val="center"/>
            <w:hideMark/>
          </w:tcPr>
          <w:p w14:paraId="559ACBC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0" w:type="pct"/>
            <w:tcBorders>
              <w:top w:val="nil"/>
              <w:left w:val="nil"/>
              <w:bottom w:val="nil"/>
              <w:right w:val="nil"/>
            </w:tcBorders>
            <w:shd w:val="clear" w:color="auto" w:fill="auto"/>
            <w:noWrap/>
            <w:vAlign w:val="center"/>
            <w:hideMark/>
          </w:tcPr>
          <w:p w14:paraId="2E8907D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r>
      <w:tr w:rsidR="00B4386F" w:rsidRPr="00FA7D47" w14:paraId="73DA5EAC" w14:textId="77777777" w:rsidTr="0095549A">
        <w:trPr>
          <w:trHeight w:val="290"/>
        </w:trPr>
        <w:tc>
          <w:tcPr>
            <w:tcW w:w="990" w:type="pct"/>
            <w:tcBorders>
              <w:top w:val="nil"/>
              <w:left w:val="nil"/>
              <w:bottom w:val="nil"/>
              <w:right w:val="nil"/>
            </w:tcBorders>
            <w:shd w:val="clear" w:color="auto" w:fill="auto"/>
            <w:vAlign w:val="center"/>
            <w:hideMark/>
          </w:tcPr>
          <w:p w14:paraId="1EAE52D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20:0</w:t>
            </w:r>
          </w:p>
        </w:tc>
        <w:tc>
          <w:tcPr>
            <w:tcW w:w="573" w:type="pct"/>
            <w:tcBorders>
              <w:top w:val="nil"/>
              <w:left w:val="nil"/>
              <w:bottom w:val="nil"/>
              <w:right w:val="nil"/>
            </w:tcBorders>
            <w:shd w:val="clear" w:color="auto" w:fill="auto"/>
            <w:noWrap/>
            <w:vAlign w:val="center"/>
            <w:hideMark/>
          </w:tcPr>
          <w:p w14:paraId="20AC584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0.48 ± 0.06</w:t>
            </w:r>
          </w:p>
        </w:tc>
        <w:tc>
          <w:tcPr>
            <w:tcW w:w="573" w:type="pct"/>
            <w:tcBorders>
              <w:top w:val="nil"/>
              <w:left w:val="nil"/>
              <w:bottom w:val="nil"/>
              <w:right w:val="nil"/>
            </w:tcBorders>
            <w:shd w:val="clear" w:color="auto" w:fill="auto"/>
            <w:noWrap/>
            <w:vAlign w:val="center"/>
            <w:hideMark/>
          </w:tcPr>
          <w:p w14:paraId="0EC427D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0.48 ± 0.1</w:t>
            </w:r>
          </w:p>
        </w:tc>
        <w:tc>
          <w:tcPr>
            <w:tcW w:w="573" w:type="pct"/>
            <w:tcBorders>
              <w:top w:val="nil"/>
              <w:left w:val="nil"/>
              <w:bottom w:val="nil"/>
              <w:right w:val="nil"/>
            </w:tcBorders>
            <w:shd w:val="clear" w:color="auto" w:fill="auto"/>
            <w:noWrap/>
            <w:vAlign w:val="center"/>
            <w:hideMark/>
          </w:tcPr>
          <w:p w14:paraId="163825F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 ± 0.17</w:t>
            </w:r>
          </w:p>
        </w:tc>
        <w:tc>
          <w:tcPr>
            <w:tcW w:w="573" w:type="pct"/>
            <w:tcBorders>
              <w:top w:val="nil"/>
              <w:left w:val="nil"/>
              <w:bottom w:val="nil"/>
              <w:right w:val="nil"/>
            </w:tcBorders>
            <w:shd w:val="clear" w:color="auto" w:fill="auto"/>
            <w:noWrap/>
            <w:vAlign w:val="center"/>
            <w:hideMark/>
          </w:tcPr>
          <w:p w14:paraId="0316231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0.54 ± 0.05</w:t>
            </w:r>
          </w:p>
        </w:tc>
        <w:tc>
          <w:tcPr>
            <w:tcW w:w="573" w:type="pct"/>
            <w:tcBorders>
              <w:top w:val="nil"/>
              <w:left w:val="nil"/>
              <w:bottom w:val="nil"/>
              <w:right w:val="nil"/>
            </w:tcBorders>
            <w:shd w:val="clear" w:color="auto" w:fill="auto"/>
            <w:noWrap/>
            <w:vAlign w:val="center"/>
            <w:hideMark/>
          </w:tcPr>
          <w:p w14:paraId="034C19F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0.62 ± 0.12</w:t>
            </w:r>
          </w:p>
        </w:tc>
        <w:tc>
          <w:tcPr>
            <w:tcW w:w="575" w:type="pct"/>
            <w:tcBorders>
              <w:top w:val="nil"/>
              <w:left w:val="nil"/>
              <w:bottom w:val="nil"/>
              <w:right w:val="nil"/>
            </w:tcBorders>
            <w:shd w:val="clear" w:color="auto" w:fill="auto"/>
            <w:noWrap/>
            <w:vAlign w:val="center"/>
            <w:hideMark/>
          </w:tcPr>
          <w:p w14:paraId="198C196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0.59 ± 0.14</w:t>
            </w:r>
          </w:p>
        </w:tc>
        <w:tc>
          <w:tcPr>
            <w:tcW w:w="570" w:type="pct"/>
            <w:tcBorders>
              <w:top w:val="nil"/>
              <w:left w:val="nil"/>
              <w:bottom w:val="nil"/>
              <w:right w:val="nil"/>
            </w:tcBorders>
            <w:shd w:val="clear" w:color="auto" w:fill="auto"/>
            <w:noWrap/>
            <w:vAlign w:val="center"/>
            <w:hideMark/>
          </w:tcPr>
          <w:p w14:paraId="2EB86A7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1.48 ± 0.32</w:t>
            </w:r>
          </w:p>
        </w:tc>
      </w:tr>
      <w:tr w:rsidR="00B4386F" w:rsidRPr="00FA7D47" w14:paraId="2A05CAE1" w14:textId="77777777" w:rsidTr="0095549A">
        <w:trPr>
          <w:trHeight w:val="290"/>
        </w:trPr>
        <w:tc>
          <w:tcPr>
            <w:tcW w:w="990" w:type="pct"/>
            <w:tcBorders>
              <w:top w:val="nil"/>
              <w:left w:val="nil"/>
              <w:bottom w:val="nil"/>
              <w:right w:val="nil"/>
            </w:tcBorders>
            <w:shd w:val="clear" w:color="auto" w:fill="auto"/>
            <w:vAlign w:val="center"/>
            <w:hideMark/>
          </w:tcPr>
          <w:p w14:paraId="1B6EE0A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22:0</w:t>
            </w:r>
          </w:p>
        </w:tc>
        <w:tc>
          <w:tcPr>
            <w:tcW w:w="573" w:type="pct"/>
            <w:tcBorders>
              <w:top w:val="nil"/>
              <w:left w:val="nil"/>
              <w:bottom w:val="nil"/>
              <w:right w:val="nil"/>
            </w:tcBorders>
            <w:shd w:val="clear" w:color="auto" w:fill="auto"/>
            <w:noWrap/>
            <w:vAlign w:val="center"/>
            <w:hideMark/>
          </w:tcPr>
          <w:p w14:paraId="07AC229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0.16</w:t>
            </w:r>
          </w:p>
        </w:tc>
        <w:tc>
          <w:tcPr>
            <w:tcW w:w="573" w:type="pct"/>
            <w:tcBorders>
              <w:top w:val="nil"/>
              <w:left w:val="nil"/>
              <w:bottom w:val="nil"/>
              <w:right w:val="nil"/>
            </w:tcBorders>
            <w:shd w:val="clear" w:color="auto" w:fill="auto"/>
            <w:noWrap/>
            <w:vAlign w:val="center"/>
            <w:hideMark/>
          </w:tcPr>
          <w:p w14:paraId="71B77A6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0.25 ± 0.09</w:t>
            </w:r>
          </w:p>
        </w:tc>
        <w:tc>
          <w:tcPr>
            <w:tcW w:w="573" w:type="pct"/>
            <w:tcBorders>
              <w:top w:val="nil"/>
              <w:left w:val="nil"/>
              <w:bottom w:val="nil"/>
              <w:right w:val="nil"/>
            </w:tcBorders>
            <w:shd w:val="clear" w:color="auto" w:fill="auto"/>
            <w:noWrap/>
            <w:vAlign w:val="center"/>
            <w:hideMark/>
          </w:tcPr>
          <w:p w14:paraId="26DFBE2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0.13</w:t>
            </w:r>
          </w:p>
        </w:tc>
        <w:tc>
          <w:tcPr>
            <w:tcW w:w="573" w:type="pct"/>
            <w:tcBorders>
              <w:top w:val="nil"/>
              <w:left w:val="nil"/>
              <w:bottom w:val="nil"/>
              <w:right w:val="nil"/>
            </w:tcBorders>
            <w:shd w:val="clear" w:color="auto" w:fill="auto"/>
            <w:noWrap/>
            <w:vAlign w:val="center"/>
            <w:hideMark/>
          </w:tcPr>
          <w:p w14:paraId="708F887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0.29 ± 0.05</w:t>
            </w:r>
          </w:p>
        </w:tc>
        <w:tc>
          <w:tcPr>
            <w:tcW w:w="573" w:type="pct"/>
            <w:tcBorders>
              <w:top w:val="nil"/>
              <w:left w:val="nil"/>
              <w:bottom w:val="nil"/>
              <w:right w:val="nil"/>
            </w:tcBorders>
            <w:shd w:val="clear" w:color="auto" w:fill="auto"/>
            <w:noWrap/>
            <w:vAlign w:val="center"/>
            <w:hideMark/>
          </w:tcPr>
          <w:p w14:paraId="4D72CE9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0.25 ± 0.17</w:t>
            </w:r>
          </w:p>
        </w:tc>
        <w:tc>
          <w:tcPr>
            <w:tcW w:w="575" w:type="pct"/>
            <w:tcBorders>
              <w:top w:val="nil"/>
              <w:left w:val="nil"/>
              <w:bottom w:val="nil"/>
              <w:right w:val="nil"/>
            </w:tcBorders>
            <w:shd w:val="clear" w:color="auto" w:fill="auto"/>
            <w:noWrap/>
            <w:vAlign w:val="center"/>
            <w:hideMark/>
          </w:tcPr>
          <w:p w14:paraId="486D3C4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0.36 ± 0.13</w:t>
            </w:r>
          </w:p>
        </w:tc>
        <w:tc>
          <w:tcPr>
            <w:tcW w:w="570" w:type="pct"/>
            <w:tcBorders>
              <w:top w:val="nil"/>
              <w:left w:val="nil"/>
              <w:bottom w:val="nil"/>
              <w:right w:val="nil"/>
            </w:tcBorders>
            <w:shd w:val="clear" w:color="auto" w:fill="auto"/>
            <w:noWrap/>
            <w:vAlign w:val="center"/>
            <w:hideMark/>
          </w:tcPr>
          <w:p w14:paraId="21ADF7B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0.38 ± 0.09</w:t>
            </w:r>
          </w:p>
        </w:tc>
      </w:tr>
      <w:tr w:rsidR="00B4386F" w:rsidRPr="00FA7D47" w14:paraId="333FAA76" w14:textId="77777777" w:rsidTr="0095549A">
        <w:trPr>
          <w:trHeight w:val="290"/>
        </w:trPr>
        <w:tc>
          <w:tcPr>
            <w:tcW w:w="990" w:type="pct"/>
            <w:tcBorders>
              <w:top w:val="nil"/>
              <w:left w:val="nil"/>
              <w:bottom w:val="nil"/>
              <w:right w:val="nil"/>
            </w:tcBorders>
            <w:shd w:val="clear" w:color="auto" w:fill="auto"/>
            <w:vAlign w:val="center"/>
            <w:hideMark/>
          </w:tcPr>
          <w:p w14:paraId="3B44DC9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24:0</w:t>
            </w:r>
          </w:p>
        </w:tc>
        <w:tc>
          <w:tcPr>
            <w:tcW w:w="573" w:type="pct"/>
            <w:tcBorders>
              <w:top w:val="nil"/>
              <w:left w:val="nil"/>
              <w:bottom w:val="nil"/>
              <w:right w:val="nil"/>
            </w:tcBorders>
            <w:shd w:val="clear" w:color="auto" w:fill="auto"/>
            <w:noWrap/>
            <w:vAlign w:val="center"/>
            <w:hideMark/>
          </w:tcPr>
          <w:p w14:paraId="5BCECE2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0.02 ± 0.04</w:t>
            </w:r>
          </w:p>
        </w:tc>
        <w:tc>
          <w:tcPr>
            <w:tcW w:w="573" w:type="pct"/>
            <w:tcBorders>
              <w:top w:val="nil"/>
              <w:left w:val="nil"/>
              <w:bottom w:val="nil"/>
              <w:right w:val="nil"/>
            </w:tcBorders>
            <w:shd w:val="clear" w:color="auto" w:fill="auto"/>
            <w:noWrap/>
            <w:vAlign w:val="center"/>
            <w:hideMark/>
          </w:tcPr>
          <w:p w14:paraId="27C713A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0.01 ± 0.02</w:t>
            </w:r>
          </w:p>
        </w:tc>
        <w:tc>
          <w:tcPr>
            <w:tcW w:w="573" w:type="pct"/>
            <w:tcBorders>
              <w:top w:val="nil"/>
              <w:left w:val="nil"/>
              <w:bottom w:val="nil"/>
              <w:right w:val="nil"/>
            </w:tcBorders>
            <w:shd w:val="clear" w:color="auto" w:fill="auto"/>
            <w:noWrap/>
            <w:vAlign w:val="center"/>
            <w:hideMark/>
          </w:tcPr>
          <w:p w14:paraId="1B496F3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0.01 ± 0.02</w:t>
            </w:r>
          </w:p>
        </w:tc>
        <w:tc>
          <w:tcPr>
            <w:tcW w:w="573" w:type="pct"/>
            <w:tcBorders>
              <w:top w:val="nil"/>
              <w:left w:val="nil"/>
              <w:bottom w:val="nil"/>
              <w:right w:val="nil"/>
            </w:tcBorders>
            <w:shd w:val="clear" w:color="auto" w:fill="auto"/>
            <w:noWrap/>
            <w:vAlign w:val="center"/>
            <w:hideMark/>
          </w:tcPr>
          <w:p w14:paraId="6B3D703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0.02 ± 0.04</w:t>
            </w:r>
          </w:p>
        </w:tc>
        <w:tc>
          <w:tcPr>
            <w:tcW w:w="573" w:type="pct"/>
            <w:tcBorders>
              <w:top w:val="nil"/>
              <w:left w:val="nil"/>
              <w:bottom w:val="nil"/>
              <w:right w:val="nil"/>
            </w:tcBorders>
            <w:shd w:val="clear" w:color="auto" w:fill="auto"/>
            <w:noWrap/>
            <w:vAlign w:val="center"/>
            <w:hideMark/>
          </w:tcPr>
          <w:p w14:paraId="2F07E8B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5" w:type="pct"/>
            <w:tcBorders>
              <w:top w:val="nil"/>
              <w:left w:val="nil"/>
              <w:bottom w:val="nil"/>
              <w:right w:val="nil"/>
            </w:tcBorders>
            <w:shd w:val="clear" w:color="auto" w:fill="auto"/>
            <w:noWrap/>
            <w:vAlign w:val="center"/>
            <w:hideMark/>
          </w:tcPr>
          <w:p w14:paraId="5D78A25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0" w:type="pct"/>
            <w:tcBorders>
              <w:top w:val="nil"/>
              <w:left w:val="nil"/>
              <w:bottom w:val="nil"/>
              <w:right w:val="nil"/>
            </w:tcBorders>
            <w:shd w:val="clear" w:color="auto" w:fill="auto"/>
            <w:noWrap/>
            <w:vAlign w:val="center"/>
            <w:hideMark/>
          </w:tcPr>
          <w:p w14:paraId="77F9550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r>
      <w:tr w:rsidR="00B4386F" w:rsidRPr="00FA7D47" w14:paraId="0999C619" w14:textId="77777777" w:rsidTr="0095549A">
        <w:trPr>
          <w:trHeight w:val="300"/>
        </w:trPr>
        <w:tc>
          <w:tcPr>
            <w:tcW w:w="990" w:type="pct"/>
            <w:tcBorders>
              <w:top w:val="single" w:sz="4" w:space="0" w:color="auto"/>
              <w:left w:val="nil"/>
              <w:bottom w:val="single" w:sz="8" w:space="0" w:color="auto"/>
              <w:right w:val="nil"/>
            </w:tcBorders>
            <w:shd w:val="clear" w:color="auto" w:fill="auto"/>
            <w:vAlign w:val="center"/>
            <w:hideMark/>
          </w:tcPr>
          <w:p w14:paraId="2C7B3E45"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total saturated</w:t>
            </w:r>
          </w:p>
        </w:tc>
        <w:tc>
          <w:tcPr>
            <w:tcW w:w="573" w:type="pct"/>
            <w:tcBorders>
              <w:top w:val="single" w:sz="4" w:space="0" w:color="auto"/>
              <w:left w:val="nil"/>
              <w:bottom w:val="single" w:sz="8" w:space="0" w:color="auto"/>
              <w:right w:val="nil"/>
            </w:tcBorders>
            <w:shd w:val="clear" w:color="auto" w:fill="auto"/>
            <w:noWrap/>
            <w:vAlign w:val="center"/>
            <w:hideMark/>
          </w:tcPr>
          <w:p w14:paraId="0F10A8E6"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27.87 ± 1.74</w:t>
            </w:r>
          </w:p>
        </w:tc>
        <w:tc>
          <w:tcPr>
            <w:tcW w:w="573" w:type="pct"/>
            <w:tcBorders>
              <w:top w:val="single" w:sz="4" w:space="0" w:color="auto"/>
              <w:left w:val="nil"/>
              <w:bottom w:val="single" w:sz="8" w:space="0" w:color="auto"/>
              <w:right w:val="nil"/>
            </w:tcBorders>
            <w:shd w:val="clear" w:color="auto" w:fill="auto"/>
            <w:noWrap/>
            <w:vAlign w:val="center"/>
            <w:hideMark/>
          </w:tcPr>
          <w:p w14:paraId="0D2C2C24"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27.2 ± 0.4</w:t>
            </w:r>
          </w:p>
        </w:tc>
        <w:tc>
          <w:tcPr>
            <w:tcW w:w="573" w:type="pct"/>
            <w:tcBorders>
              <w:top w:val="single" w:sz="4" w:space="0" w:color="auto"/>
              <w:left w:val="nil"/>
              <w:bottom w:val="single" w:sz="8" w:space="0" w:color="auto"/>
              <w:right w:val="nil"/>
            </w:tcBorders>
            <w:shd w:val="clear" w:color="auto" w:fill="auto"/>
            <w:noWrap/>
            <w:vAlign w:val="center"/>
            <w:hideMark/>
          </w:tcPr>
          <w:p w14:paraId="72A61779"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29.59 ± 4.09</w:t>
            </w:r>
          </w:p>
        </w:tc>
        <w:tc>
          <w:tcPr>
            <w:tcW w:w="573" w:type="pct"/>
            <w:tcBorders>
              <w:top w:val="single" w:sz="4" w:space="0" w:color="auto"/>
              <w:left w:val="nil"/>
              <w:bottom w:val="single" w:sz="8" w:space="0" w:color="auto"/>
              <w:right w:val="nil"/>
            </w:tcBorders>
            <w:shd w:val="clear" w:color="auto" w:fill="auto"/>
            <w:noWrap/>
            <w:vAlign w:val="center"/>
            <w:hideMark/>
          </w:tcPr>
          <w:p w14:paraId="68DF7836"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25.8 ± 4.74</w:t>
            </w:r>
          </w:p>
        </w:tc>
        <w:tc>
          <w:tcPr>
            <w:tcW w:w="573" w:type="pct"/>
            <w:tcBorders>
              <w:top w:val="single" w:sz="4" w:space="0" w:color="auto"/>
              <w:left w:val="nil"/>
              <w:bottom w:val="single" w:sz="8" w:space="0" w:color="auto"/>
              <w:right w:val="nil"/>
            </w:tcBorders>
            <w:shd w:val="clear" w:color="auto" w:fill="auto"/>
            <w:noWrap/>
            <w:vAlign w:val="center"/>
            <w:hideMark/>
          </w:tcPr>
          <w:p w14:paraId="6013A82D"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27.47 ± 4.14</w:t>
            </w:r>
          </w:p>
        </w:tc>
        <w:tc>
          <w:tcPr>
            <w:tcW w:w="575" w:type="pct"/>
            <w:tcBorders>
              <w:top w:val="single" w:sz="4" w:space="0" w:color="auto"/>
              <w:left w:val="nil"/>
              <w:bottom w:val="single" w:sz="8" w:space="0" w:color="auto"/>
              <w:right w:val="nil"/>
            </w:tcBorders>
            <w:shd w:val="clear" w:color="auto" w:fill="auto"/>
            <w:noWrap/>
            <w:vAlign w:val="center"/>
            <w:hideMark/>
          </w:tcPr>
          <w:p w14:paraId="6D27AA26"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28.19 ± 3.5</w:t>
            </w:r>
          </w:p>
        </w:tc>
        <w:tc>
          <w:tcPr>
            <w:tcW w:w="570" w:type="pct"/>
            <w:tcBorders>
              <w:top w:val="single" w:sz="4" w:space="0" w:color="auto"/>
              <w:left w:val="nil"/>
              <w:bottom w:val="single" w:sz="8" w:space="0" w:color="auto"/>
              <w:right w:val="nil"/>
            </w:tcBorders>
            <w:shd w:val="clear" w:color="auto" w:fill="auto"/>
            <w:noWrap/>
            <w:vAlign w:val="center"/>
            <w:hideMark/>
          </w:tcPr>
          <w:p w14:paraId="25B771E9"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29.55 ± 0.8</w:t>
            </w:r>
          </w:p>
        </w:tc>
      </w:tr>
      <w:tr w:rsidR="00B4386F" w:rsidRPr="00FA7D47" w14:paraId="1FCEE652" w14:textId="77777777" w:rsidTr="0095549A">
        <w:trPr>
          <w:trHeight w:val="290"/>
        </w:trPr>
        <w:tc>
          <w:tcPr>
            <w:tcW w:w="990" w:type="pct"/>
            <w:tcBorders>
              <w:top w:val="nil"/>
              <w:left w:val="nil"/>
              <w:bottom w:val="nil"/>
              <w:right w:val="nil"/>
            </w:tcBorders>
            <w:shd w:val="clear" w:color="auto" w:fill="auto"/>
            <w:vAlign w:val="center"/>
            <w:hideMark/>
          </w:tcPr>
          <w:p w14:paraId="6B51676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16:1n-9</w:t>
            </w:r>
          </w:p>
        </w:tc>
        <w:tc>
          <w:tcPr>
            <w:tcW w:w="573" w:type="pct"/>
            <w:tcBorders>
              <w:top w:val="nil"/>
              <w:left w:val="nil"/>
              <w:bottom w:val="nil"/>
              <w:right w:val="nil"/>
            </w:tcBorders>
            <w:shd w:val="clear" w:color="auto" w:fill="auto"/>
            <w:noWrap/>
            <w:vAlign w:val="center"/>
            <w:hideMark/>
          </w:tcPr>
          <w:p w14:paraId="2CF7B3D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0.23 ± 0.07</w:t>
            </w:r>
          </w:p>
        </w:tc>
        <w:tc>
          <w:tcPr>
            <w:tcW w:w="573" w:type="pct"/>
            <w:tcBorders>
              <w:top w:val="nil"/>
              <w:left w:val="nil"/>
              <w:bottom w:val="nil"/>
              <w:right w:val="nil"/>
            </w:tcBorders>
            <w:shd w:val="clear" w:color="auto" w:fill="auto"/>
            <w:noWrap/>
            <w:vAlign w:val="center"/>
            <w:hideMark/>
          </w:tcPr>
          <w:p w14:paraId="35BB944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0.27 ± 0.05</w:t>
            </w:r>
          </w:p>
        </w:tc>
        <w:tc>
          <w:tcPr>
            <w:tcW w:w="573" w:type="pct"/>
            <w:tcBorders>
              <w:top w:val="nil"/>
              <w:left w:val="nil"/>
              <w:bottom w:val="nil"/>
              <w:right w:val="nil"/>
            </w:tcBorders>
            <w:shd w:val="clear" w:color="auto" w:fill="auto"/>
            <w:noWrap/>
            <w:vAlign w:val="center"/>
            <w:hideMark/>
          </w:tcPr>
          <w:p w14:paraId="783438B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0.08</w:t>
            </w:r>
          </w:p>
        </w:tc>
        <w:tc>
          <w:tcPr>
            <w:tcW w:w="573" w:type="pct"/>
            <w:tcBorders>
              <w:top w:val="nil"/>
              <w:left w:val="nil"/>
              <w:bottom w:val="nil"/>
              <w:right w:val="nil"/>
            </w:tcBorders>
            <w:shd w:val="clear" w:color="auto" w:fill="auto"/>
            <w:noWrap/>
            <w:vAlign w:val="center"/>
            <w:hideMark/>
          </w:tcPr>
          <w:p w14:paraId="0670A4E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0.29 ± 0.08</w:t>
            </w:r>
          </w:p>
        </w:tc>
        <w:tc>
          <w:tcPr>
            <w:tcW w:w="573" w:type="pct"/>
            <w:tcBorders>
              <w:top w:val="nil"/>
              <w:left w:val="nil"/>
              <w:bottom w:val="nil"/>
              <w:right w:val="nil"/>
            </w:tcBorders>
            <w:shd w:val="clear" w:color="auto" w:fill="auto"/>
            <w:noWrap/>
            <w:vAlign w:val="center"/>
            <w:hideMark/>
          </w:tcPr>
          <w:p w14:paraId="2A73762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0.25 ± 0.16</w:t>
            </w:r>
          </w:p>
        </w:tc>
        <w:tc>
          <w:tcPr>
            <w:tcW w:w="575" w:type="pct"/>
            <w:tcBorders>
              <w:top w:val="nil"/>
              <w:left w:val="nil"/>
              <w:bottom w:val="nil"/>
              <w:right w:val="nil"/>
            </w:tcBorders>
            <w:shd w:val="clear" w:color="auto" w:fill="auto"/>
            <w:noWrap/>
            <w:vAlign w:val="center"/>
            <w:hideMark/>
          </w:tcPr>
          <w:p w14:paraId="2A88AB8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0.35 ± 0.05</w:t>
            </w:r>
          </w:p>
        </w:tc>
        <w:tc>
          <w:tcPr>
            <w:tcW w:w="570" w:type="pct"/>
            <w:tcBorders>
              <w:top w:val="nil"/>
              <w:left w:val="nil"/>
              <w:bottom w:val="nil"/>
              <w:right w:val="nil"/>
            </w:tcBorders>
            <w:shd w:val="clear" w:color="auto" w:fill="auto"/>
            <w:noWrap/>
            <w:vAlign w:val="center"/>
            <w:hideMark/>
          </w:tcPr>
          <w:p w14:paraId="58285EE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0.68 ± 0.07</w:t>
            </w:r>
          </w:p>
        </w:tc>
      </w:tr>
      <w:tr w:rsidR="00B4386F" w:rsidRPr="00FA7D47" w14:paraId="16553FFD" w14:textId="77777777" w:rsidTr="0095549A">
        <w:trPr>
          <w:trHeight w:val="290"/>
        </w:trPr>
        <w:tc>
          <w:tcPr>
            <w:tcW w:w="990" w:type="pct"/>
            <w:tcBorders>
              <w:top w:val="nil"/>
              <w:left w:val="nil"/>
              <w:bottom w:val="nil"/>
              <w:right w:val="nil"/>
            </w:tcBorders>
            <w:shd w:val="clear" w:color="auto" w:fill="auto"/>
            <w:vAlign w:val="center"/>
            <w:hideMark/>
          </w:tcPr>
          <w:p w14:paraId="5F66960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16:1n-7</w:t>
            </w:r>
          </w:p>
        </w:tc>
        <w:tc>
          <w:tcPr>
            <w:tcW w:w="573" w:type="pct"/>
            <w:tcBorders>
              <w:top w:val="nil"/>
              <w:left w:val="nil"/>
              <w:bottom w:val="nil"/>
              <w:right w:val="nil"/>
            </w:tcBorders>
            <w:shd w:val="clear" w:color="auto" w:fill="auto"/>
            <w:noWrap/>
            <w:vAlign w:val="center"/>
            <w:hideMark/>
          </w:tcPr>
          <w:p w14:paraId="7D976EC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6.01 ± 0.86</w:t>
            </w:r>
          </w:p>
        </w:tc>
        <w:tc>
          <w:tcPr>
            <w:tcW w:w="573" w:type="pct"/>
            <w:tcBorders>
              <w:top w:val="nil"/>
              <w:left w:val="nil"/>
              <w:bottom w:val="nil"/>
              <w:right w:val="nil"/>
            </w:tcBorders>
            <w:shd w:val="clear" w:color="auto" w:fill="auto"/>
            <w:noWrap/>
            <w:vAlign w:val="center"/>
            <w:hideMark/>
          </w:tcPr>
          <w:p w14:paraId="3580A98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6.35 ± 1.45</w:t>
            </w:r>
          </w:p>
        </w:tc>
        <w:tc>
          <w:tcPr>
            <w:tcW w:w="573" w:type="pct"/>
            <w:tcBorders>
              <w:top w:val="nil"/>
              <w:left w:val="nil"/>
              <w:bottom w:val="nil"/>
              <w:right w:val="nil"/>
            </w:tcBorders>
            <w:shd w:val="clear" w:color="auto" w:fill="auto"/>
            <w:noWrap/>
            <w:vAlign w:val="center"/>
            <w:hideMark/>
          </w:tcPr>
          <w:p w14:paraId="23F4313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7.42 ± 1.65</w:t>
            </w:r>
          </w:p>
        </w:tc>
        <w:tc>
          <w:tcPr>
            <w:tcW w:w="573" w:type="pct"/>
            <w:tcBorders>
              <w:top w:val="nil"/>
              <w:left w:val="nil"/>
              <w:bottom w:val="nil"/>
              <w:right w:val="nil"/>
            </w:tcBorders>
            <w:shd w:val="clear" w:color="auto" w:fill="auto"/>
            <w:noWrap/>
            <w:vAlign w:val="center"/>
            <w:hideMark/>
          </w:tcPr>
          <w:p w14:paraId="6A10623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5.75 ± 1.46</w:t>
            </w:r>
          </w:p>
        </w:tc>
        <w:tc>
          <w:tcPr>
            <w:tcW w:w="573" w:type="pct"/>
            <w:tcBorders>
              <w:top w:val="nil"/>
              <w:left w:val="nil"/>
              <w:bottom w:val="nil"/>
              <w:right w:val="nil"/>
            </w:tcBorders>
            <w:shd w:val="clear" w:color="auto" w:fill="auto"/>
            <w:noWrap/>
            <w:vAlign w:val="center"/>
            <w:hideMark/>
          </w:tcPr>
          <w:p w14:paraId="1194DF6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6.16 ± 0.81</w:t>
            </w:r>
          </w:p>
        </w:tc>
        <w:tc>
          <w:tcPr>
            <w:tcW w:w="575" w:type="pct"/>
            <w:tcBorders>
              <w:top w:val="nil"/>
              <w:left w:val="nil"/>
              <w:bottom w:val="nil"/>
              <w:right w:val="nil"/>
            </w:tcBorders>
            <w:shd w:val="clear" w:color="auto" w:fill="auto"/>
            <w:noWrap/>
            <w:vAlign w:val="center"/>
            <w:hideMark/>
          </w:tcPr>
          <w:p w14:paraId="174A485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4.65 ± 1.69</w:t>
            </w:r>
          </w:p>
        </w:tc>
        <w:tc>
          <w:tcPr>
            <w:tcW w:w="570" w:type="pct"/>
            <w:tcBorders>
              <w:top w:val="nil"/>
              <w:left w:val="nil"/>
              <w:bottom w:val="nil"/>
              <w:right w:val="nil"/>
            </w:tcBorders>
            <w:shd w:val="clear" w:color="auto" w:fill="auto"/>
            <w:noWrap/>
            <w:vAlign w:val="center"/>
            <w:hideMark/>
          </w:tcPr>
          <w:p w14:paraId="17C5B24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13.13 ± 0.62</w:t>
            </w:r>
          </w:p>
        </w:tc>
      </w:tr>
      <w:tr w:rsidR="00B4386F" w:rsidRPr="00FA7D47" w14:paraId="7321B830" w14:textId="77777777" w:rsidTr="0095549A">
        <w:trPr>
          <w:trHeight w:val="290"/>
        </w:trPr>
        <w:tc>
          <w:tcPr>
            <w:tcW w:w="990" w:type="pct"/>
            <w:tcBorders>
              <w:top w:val="nil"/>
              <w:left w:val="nil"/>
              <w:bottom w:val="nil"/>
              <w:right w:val="nil"/>
            </w:tcBorders>
            <w:shd w:val="clear" w:color="auto" w:fill="auto"/>
            <w:vAlign w:val="center"/>
            <w:hideMark/>
          </w:tcPr>
          <w:p w14:paraId="5F84797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16:1</w:t>
            </w:r>
          </w:p>
        </w:tc>
        <w:tc>
          <w:tcPr>
            <w:tcW w:w="573" w:type="pct"/>
            <w:tcBorders>
              <w:top w:val="nil"/>
              <w:left w:val="nil"/>
              <w:bottom w:val="nil"/>
              <w:right w:val="nil"/>
            </w:tcBorders>
            <w:shd w:val="clear" w:color="auto" w:fill="auto"/>
            <w:noWrap/>
            <w:vAlign w:val="center"/>
            <w:hideMark/>
          </w:tcPr>
          <w:p w14:paraId="7835B38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0.28 ± 0.06</w:t>
            </w:r>
          </w:p>
        </w:tc>
        <w:tc>
          <w:tcPr>
            <w:tcW w:w="573" w:type="pct"/>
            <w:tcBorders>
              <w:top w:val="nil"/>
              <w:left w:val="nil"/>
              <w:bottom w:val="nil"/>
              <w:right w:val="nil"/>
            </w:tcBorders>
            <w:shd w:val="clear" w:color="auto" w:fill="auto"/>
            <w:noWrap/>
            <w:vAlign w:val="center"/>
            <w:hideMark/>
          </w:tcPr>
          <w:p w14:paraId="3F3563A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0.05</w:t>
            </w:r>
          </w:p>
        </w:tc>
        <w:tc>
          <w:tcPr>
            <w:tcW w:w="573" w:type="pct"/>
            <w:tcBorders>
              <w:top w:val="nil"/>
              <w:left w:val="nil"/>
              <w:bottom w:val="nil"/>
              <w:right w:val="nil"/>
            </w:tcBorders>
            <w:shd w:val="clear" w:color="auto" w:fill="auto"/>
            <w:noWrap/>
            <w:vAlign w:val="center"/>
            <w:hideMark/>
          </w:tcPr>
          <w:p w14:paraId="7E3D42F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0.43 ± 0.11</w:t>
            </w:r>
          </w:p>
        </w:tc>
        <w:tc>
          <w:tcPr>
            <w:tcW w:w="573" w:type="pct"/>
            <w:tcBorders>
              <w:top w:val="nil"/>
              <w:left w:val="nil"/>
              <w:bottom w:val="nil"/>
              <w:right w:val="nil"/>
            </w:tcBorders>
            <w:shd w:val="clear" w:color="auto" w:fill="auto"/>
            <w:noWrap/>
            <w:vAlign w:val="center"/>
            <w:hideMark/>
          </w:tcPr>
          <w:p w14:paraId="0F3E6E7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0.32 ± 0.08</w:t>
            </w:r>
          </w:p>
        </w:tc>
        <w:tc>
          <w:tcPr>
            <w:tcW w:w="573" w:type="pct"/>
            <w:tcBorders>
              <w:top w:val="nil"/>
              <w:left w:val="nil"/>
              <w:bottom w:val="nil"/>
              <w:right w:val="nil"/>
            </w:tcBorders>
            <w:shd w:val="clear" w:color="auto" w:fill="auto"/>
            <w:noWrap/>
            <w:vAlign w:val="center"/>
            <w:hideMark/>
          </w:tcPr>
          <w:p w14:paraId="691FE32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0.38 ± 0.13</w:t>
            </w:r>
          </w:p>
        </w:tc>
        <w:tc>
          <w:tcPr>
            <w:tcW w:w="575" w:type="pct"/>
            <w:tcBorders>
              <w:top w:val="nil"/>
              <w:left w:val="nil"/>
              <w:bottom w:val="nil"/>
              <w:right w:val="nil"/>
            </w:tcBorders>
            <w:shd w:val="clear" w:color="auto" w:fill="auto"/>
            <w:noWrap/>
            <w:vAlign w:val="center"/>
            <w:hideMark/>
          </w:tcPr>
          <w:p w14:paraId="075A43E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0.45 ± 0.17</w:t>
            </w:r>
          </w:p>
        </w:tc>
        <w:tc>
          <w:tcPr>
            <w:tcW w:w="570" w:type="pct"/>
            <w:tcBorders>
              <w:top w:val="nil"/>
              <w:left w:val="nil"/>
              <w:bottom w:val="nil"/>
              <w:right w:val="nil"/>
            </w:tcBorders>
            <w:shd w:val="clear" w:color="auto" w:fill="auto"/>
            <w:noWrap/>
            <w:vAlign w:val="center"/>
            <w:hideMark/>
          </w:tcPr>
          <w:p w14:paraId="2CEBF4F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0.26 ± 0.1</w:t>
            </w:r>
          </w:p>
        </w:tc>
      </w:tr>
      <w:tr w:rsidR="00B4386F" w:rsidRPr="00FA7D47" w14:paraId="6E3CFC9D" w14:textId="77777777" w:rsidTr="0095549A">
        <w:trPr>
          <w:trHeight w:val="290"/>
        </w:trPr>
        <w:tc>
          <w:tcPr>
            <w:tcW w:w="990" w:type="pct"/>
            <w:tcBorders>
              <w:top w:val="nil"/>
              <w:left w:val="nil"/>
              <w:bottom w:val="nil"/>
              <w:right w:val="nil"/>
            </w:tcBorders>
            <w:shd w:val="clear" w:color="auto" w:fill="auto"/>
            <w:vAlign w:val="center"/>
            <w:hideMark/>
          </w:tcPr>
          <w:p w14:paraId="6FA4116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17:1</w:t>
            </w:r>
          </w:p>
        </w:tc>
        <w:tc>
          <w:tcPr>
            <w:tcW w:w="573" w:type="pct"/>
            <w:tcBorders>
              <w:top w:val="nil"/>
              <w:left w:val="nil"/>
              <w:bottom w:val="nil"/>
              <w:right w:val="nil"/>
            </w:tcBorders>
            <w:shd w:val="clear" w:color="auto" w:fill="auto"/>
            <w:noWrap/>
            <w:vAlign w:val="center"/>
            <w:hideMark/>
          </w:tcPr>
          <w:p w14:paraId="043D9CE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0.66 ± 0.21</w:t>
            </w:r>
          </w:p>
        </w:tc>
        <w:tc>
          <w:tcPr>
            <w:tcW w:w="573" w:type="pct"/>
            <w:tcBorders>
              <w:top w:val="nil"/>
              <w:left w:val="nil"/>
              <w:bottom w:val="nil"/>
              <w:right w:val="nil"/>
            </w:tcBorders>
            <w:shd w:val="clear" w:color="auto" w:fill="auto"/>
            <w:noWrap/>
            <w:vAlign w:val="center"/>
            <w:hideMark/>
          </w:tcPr>
          <w:p w14:paraId="4AB8173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0.65 ± 0.12</w:t>
            </w:r>
          </w:p>
        </w:tc>
        <w:tc>
          <w:tcPr>
            <w:tcW w:w="573" w:type="pct"/>
            <w:tcBorders>
              <w:top w:val="nil"/>
              <w:left w:val="nil"/>
              <w:bottom w:val="nil"/>
              <w:right w:val="nil"/>
            </w:tcBorders>
            <w:shd w:val="clear" w:color="auto" w:fill="auto"/>
            <w:noWrap/>
            <w:vAlign w:val="center"/>
            <w:hideMark/>
          </w:tcPr>
          <w:p w14:paraId="135F6AA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 ± 0.12</w:t>
            </w:r>
          </w:p>
        </w:tc>
        <w:tc>
          <w:tcPr>
            <w:tcW w:w="573" w:type="pct"/>
            <w:tcBorders>
              <w:top w:val="nil"/>
              <w:left w:val="nil"/>
              <w:bottom w:val="nil"/>
              <w:right w:val="nil"/>
            </w:tcBorders>
            <w:shd w:val="clear" w:color="auto" w:fill="auto"/>
            <w:noWrap/>
            <w:vAlign w:val="center"/>
            <w:hideMark/>
          </w:tcPr>
          <w:p w14:paraId="4E8B620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0.67 ± 0.16</w:t>
            </w:r>
          </w:p>
        </w:tc>
        <w:tc>
          <w:tcPr>
            <w:tcW w:w="573" w:type="pct"/>
            <w:tcBorders>
              <w:top w:val="nil"/>
              <w:left w:val="nil"/>
              <w:bottom w:val="nil"/>
              <w:right w:val="nil"/>
            </w:tcBorders>
            <w:shd w:val="clear" w:color="auto" w:fill="auto"/>
            <w:noWrap/>
            <w:vAlign w:val="center"/>
            <w:hideMark/>
          </w:tcPr>
          <w:p w14:paraId="543DA7A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 ± 0.18</w:t>
            </w:r>
          </w:p>
        </w:tc>
        <w:tc>
          <w:tcPr>
            <w:tcW w:w="575" w:type="pct"/>
            <w:tcBorders>
              <w:top w:val="nil"/>
              <w:left w:val="nil"/>
              <w:bottom w:val="nil"/>
              <w:right w:val="nil"/>
            </w:tcBorders>
            <w:shd w:val="clear" w:color="auto" w:fill="auto"/>
            <w:noWrap/>
            <w:vAlign w:val="center"/>
            <w:hideMark/>
          </w:tcPr>
          <w:p w14:paraId="5C56639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0.69 ± 0.07</w:t>
            </w:r>
          </w:p>
        </w:tc>
        <w:tc>
          <w:tcPr>
            <w:tcW w:w="570" w:type="pct"/>
            <w:tcBorders>
              <w:top w:val="nil"/>
              <w:left w:val="nil"/>
              <w:bottom w:val="nil"/>
              <w:right w:val="nil"/>
            </w:tcBorders>
            <w:shd w:val="clear" w:color="auto" w:fill="auto"/>
            <w:noWrap/>
            <w:vAlign w:val="center"/>
            <w:hideMark/>
          </w:tcPr>
          <w:p w14:paraId="7937D6E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0.91 ± 0.21</w:t>
            </w:r>
          </w:p>
        </w:tc>
      </w:tr>
      <w:tr w:rsidR="00B4386F" w:rsidRPr="00FA7D47" w14:paraId="38642CDD" w14:textId="77777777" w:rsidTr="0095549A">
        <w:trPr>
          <w:trHeight w:val="290"/>
        </w:trPr>
        <w:tc>
          <w:tcPr>
            <w:tcW w:w="990" w:type="pct"/>
            <w:tcBorders>
              <w:top w:val="nil"/>
              <w:left w:val="nil"/>
              <w:bottom w:val="nil"/>
              <w:right w:val="nil"/>
            </w:tcBorders>
            <w:shd w:val="clear" w:color="auto" w:fill="auto"/>
            <w:vAlign w:val="center"/>
            <w:hideMark/>
          </w:tcPr>
          <w:p w14:paraId="34B40DF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18:1 DMA</w:t>
            </w:r>
          </w:p>
        </w:tc>
        <w:tc>
          <w:tcPr>
            <w:tcW w:w="573" w:type="pct"/>
            <w:tcBorders>
              <w:top w:val="nil"/>
              <w:left w:val="nil"/>
              <w:bottom w:val="nil"/>
              <w:right w:val="nil"/>
            </w:tcBorders>
            <w:shd w:val="clear" w:color="auto" w:fill="auto"/>
            <w:noWrap/>
            <w:vAlign w:val="center"/>
            <w:hideMark/>
          </w:tcPr>
          <w:p w14:paraId="7A89A5F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0.01 ± 0.03</w:t>
            </w:r>
          </w:p>
        </w:tc>
        <w:tc>
          <w:tcPr>
            <w:tcW w:w="573" w:type="pct"/>
            <w:tcBorders>
              <w:top w:val="nil"/>
              <w:left w:val="nil"/>
              <w:bottom w:val="nil"/>
              <w:right w:val="nil"/>
            </w:tcBorders>
            <w:shd w:val="clear" w:color="auto" w:fill="auto"/>
            <w:noWrap/>
            <w:vAlign w:val="center"/>
            <w:hideMark/>
          </w:tcPr>
          <w:p w14:paraId="0DB09C4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3" w:type="pct"/>
            <w:tcBorders>
              <w:top w:val="nil"/>
              <w:left w:val="nil"/>
              <w:bottom w:val="nil"/>
              <w:right w:val="nil"/>
            </w:tcBorders>
            <w:shd w:val="clear" w:color="auto" w:fill="auto"/>
            <w:noWrap/>
            <w:vAlign w:val="center"/>
            <w:hideMark/>
          </w:tcPr>
          <w:p w14:paraId="4B68BF7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3" w:type="pct"/>
            <w:tcBorders>
              <w:top w:val="nil"/>
              <w:left w:val="nil"/>
              <w:bottom w:val="nil"/>
              <w:right w:val="nil"/>
            </w:tcBorders>
            <w:shd w:val="clear" w:color="auto" w:fill="auto"/>
            <w:noWrap/>
            <w:vAlign w:val="center"/>
            <w:hideMark/>
          </w:tcPr>
          <w:p w14:paraId="0C86FAE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0.01 ± 0.02</w:t>
            </w:r>
          </w:p>
        </w:tc>
        <w:tc>
          <w:tcPr>
            <w:tcW w:w="573" w:type="pct"/>
            <w:tcBorders>
              <w:top w:val="nil"/>
              <w:left w:val="nil"/>
              <w:bottom w:val="nil"/>
              <w:right w:val="nil"/>
            </w:tcBorders>
            <w:shd w:val="clear" w:color="auto" w:fill="auto"/>
            <w:noWrap/>
            <w:vAlign w:val="center"/>
            <w:hideMark/>
          </w:tcPr>
          <w:p w14:paraId="31531C6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5" w:type="pct"/>
            <w:tcBorders>
              <w:top w:val="nil"/>
              <w:left w:val="nil"/>
              <w:bottom w:val="nil"/>
              <w:right w:val="nil"/>
            </w:tcBorders>
            <w:shd w:val="clear" w:color="auto" w:fill="auto"/>
            <w:noWrap/>
            <w:vAlign w:val="center"/>
            <w:hideMark/>
          </w:tcPr>
          <w:p w14:paraId="5C75314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0" w:type="pct"/>
            <w:tcBorders>
              <w:top w:val="nil"/>
              <w:left w:val="nil"/>
              <w:bottom w:val="nil"/>
              <w:right w:val="nil"/>
            </w:tcBorders>
            <w:shd w:val="clear" w:color="auto" w:fill="auto"/>
            <w:noWrap/>
            <w:vAlign w:val="center"/>
            <w:hideMark/>
          </w:tcPr>
          <w:p w14:paraId="16F10BF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r>
      <w:tr w:rsidR="00B4386F" w:rsidRPr="00FA7D47" w14:paraId="0BB6B121" w14:textId="77777777" w:rsidTr="0095549A">
        <w:trPr>
          <w:trHeight w:val="290"/>
        </w:trPr>
        <w:tc>
          <w:tcPr>
            <w:tcW w:w="990" w:type="pct"/>
            <w:tcBorders>
              <w:top w:val="nil"/>
              <w:left w:val="nil"/>
              <w:bottom w:val="nil"/>
              <w:right w:val="nil"/>
            </w:tcBorders>
            <w:shd w:val="clear" w:color="auto" w:fill="auto"/>
            <w:vAlign w:val="center"/>
            <w:hideMark/>
          </w:tcPr>
          <w:p w14:paraId="7619EDF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18:1</w:t>
            </w:r>
          </w:p>
        </w:tc>
        <w:tc>
          <w:tcPr>
            <w:tcW w:w="573" w:type="pct"/>
            <w:tcBorders>
              <w:top w:val="nil"/>
              <w:left w:val="nil"/>
              <w:bottom w:val="nil"/>
              <w:right w:val="nil"/>
            </w:tcBorders>
            <w:shd w:val="clear" w:color="auto" w:fill="auto"/>
            <w:noWrap/>
            <w:vAlign w:val="center"/>
            <w:hideMark/>
          </w:tcPr>
          <w:p w14:paraId="5BCB8BE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0.58 ± 0.21</w:t>
            </w:r>
          </w:p>
        </w:tc>
        <w:tc>
          <w:tcPr>
            <w:tcW w:w="573" w:type="pct"/>
            <w:tcBorders>
              <w:top w:val="nil"/>
              <w:left w:val="nil"/>
              <w:bottom w:val="nil"/>
              <w:right w:val="nil"/>
            </w:tcBorders>
            <w:shd w:val="clear" w:color="auto" w:fill="auto"/>
            <w:noWrap/>
            <w:vAlign w:val="center"/>
            <w:hideMark/>
          </w:tcPr>
          <w:p w14:paraId="2AC2EEF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0.45 ± 0.06</w:t>
            </w:r>
          </w:p>
        </w:tc>
        <w:tc>
          <w:tcPr>
            <w:tcW w:w="573" w:type="pct"/>
            <w:tcBorders>
              <w:top w:val="nil"/>
              <w:left w:val="nil"/>
              <w:bottom w:val="nil"/>
              <w:right w:val="nil"/>
            </w:tcBorders>
            <w:shd w:val="clear" w:color="auto" w:fill="auto"/>
            <w:noWrap/>
            <w:vAlign w:val="center"/>
            <w:hideMark/>
          </w:tcPr>
          <w:p w14:paraId="13564F9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0.47 ± 0.02</w:t>
            </w:r>
          </w:p>
        </w:tc>
        <w:tc>
          <w:tcPr>
            <w:tcW w:w="573" w:type="pct"/>
            <w:tcBorders>
              <w:top w:val="nil"/>
              <w:left w:val="nil"/>
              <w:bottom w:val="nil"/>
              <w:right w:val="nil"/>
            </w:tcBorders>
            <w:shd w:val="clear" w:color="auto" w:fill="auto"/>
            <w:noWrap/>
            <w:vAlign w:val="center"/>
            <w:hideMark/>
          </w:tcPr>
          <w:p w14:paraId="7138809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0.44 ± 0.18</w:t>
            </w:r>
          </w:p>
        </w:tc>
        <w:tc>
          <w:tcPr>
            <w:tcW w:w="573" w:type="pct"/>
            <w:tcBorders>
              <w:top w:val="nil"/>
              <w:left w:val="nil"/>
              <w:bottom w:val="nil"/>
              <w:right w:val="nil"/>
            </w:tcBorders>
            <w:shd w:val="clear" w:color="auto" w:fill="auto"/>
            <w:noWrap/>
            <w:vAlign w:val="center"/>
            <w:hideMark/>
          </w:tcPr>
          <w:p w14:paraId="1FA9084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0.49 ± 0.1</w:t>
            </w:r>
          </w:p>
        </w:tc>
        <w:tc>
          <w:tcPr>
            <w:tcW w:w="575" w:type="pct"/>
            <w:tcBorders>
              <w:top w:val="nil"/>
              <w:left w:val="nil"/>
              <w:bottom w:val="nil"/>
              <w:right w:val="nil"/>
            </w:tcBorders>
            <w:shd w:val="clear" w:color="auto" w:fill="auto"/>
            <w:noWrap/>
            <w:vAlign w:val="center"/>
            <w:hideMark/>
          </w:tcPr>
          <w:p w14:paraId="32B052B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0.46 ± 0.13</w:t>
            </w:r>
          </w:p>
        </w:tc>
        <w:tc>
          <w:tcPr>
            <w:tcW w:w="570" w:type="pct"/>
            <w:tcBorders>
              <w:top w:val="nil"/>
              <w:left w:val="nil"/>
              <w:bottom w:val="nil"/>
              <w:right w:val="nil"/>
            </w:tcBorders>
            <w:shd w:val="clear" w:color="auto" w:fill="auto"/>
            <w:noWrap/>
            <w:vAlign w:val="center"/>
            <w:hideMark/>
          </w:tcPr>
          <w:p w14:paraId="3161B05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0.37 ± 0.07</w:t>
            </w:r>
          </w:p>
        </w:tc>
      </w:tr>
      <w:tr w:rsidR="00B4386F" w:rsidRPr="00FA7D47" w14:paraId="552E31E8" w14:textId="77777777" w:rsidTr="0095549A">
        <w:trPr>
          <w:trHeight w:val="290"/>
        </w:trPr>
        <w:tc>
          <w:tcPr>
            <w:tcW w:w="990" w:type="pct"/>
            <w:tcBorders>
              <w:top w:val="nil"/>
              <w:left w:val="nil"/>
              <w:bottom w:val="nil"/>
              <w:right w:val="nil"/>
            </w:tcBorders>
            <w:shd w:val="clear" w:color="auto" w:fill="auto"/>
            <w:vAlign w:val="center"/>
            <w:hideMark/>
          </w:tcPr>
          <w:p w14:paraId="7AB6095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18:1n-9</w:t>
            </w:r>
          </w:p>
        </w:tc>
        <w:tc>
          <w:tcPr>
            <w:tcW w:w="573" w:type="pct"/>
            <w:tcBorders>
              <w:top w:val="nil"/>
              <w:left w:val="nil"/>
              <w:bottom w:val="nil"/>
              <w:right w:val="nil"/>
            </w:tcBorders>
            <w:shd w:val="clear" w:color="auto" w:fill="auto"/>
            <w:noWrap/>
            <w:vAlign w:val="center"/>
            <w:hideMark/>
          </w:tcPr>
          <w:p w14:paraId="3490497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14.19 ± 1.47</w:t>
            </w:r>
          </w:p>
        </w:tc>
        <w:tc>
          <w:tcPr>
            <w:tcW w:w="573" w:type="pct"/>
            <w:tcBorders>
              <w:top w:val="nil"/>
              <w:left w:val="nil"/>
              <w:bottom w:val="nil"/>
              <w:right w:val="nil"/>
            </w:tcBorders>
            <w:shd w:val="clear" w:color="auto" w:fill="auto"/>
            <w:noWrap/>
            <w:vAlign w:val="center"/>
            <w:hideMark/>
          </w:tcPr>
          <w:p w14:paraId="1E5EF00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16.03 ± 3.16</w:t>
            </w:r>
          </w:p>
        </w:tc>
        <w:tc>
          <w:tcPr>
            <w:tcW w:w="573" w:type="pct"/>
            <w:tcBorders>
              <w:top w:val="nil"/>
              <w:left w:val="nil"/>
              <w:bottom w:val="nil"/>
              <w:right w:val="nil"/>
            </w:tcBorders>
            <w:shd w:val="clear" w:color="auto" w:fill="auto"/>
            <w:noWrap/>
            <w:vAlign w:val="center"/>
            <w:hideMark/>
          </w:tcPr>
          <w:p w14:paraId="3B2B5DA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14.15 ± 1.66</w:t>
            </w:r>
          </w:p>
        </w:tc>
        <w:tc>
          <w:tcPr>
            <w:tcW w:w="573" w:type="pct"/>
            <w:tcBorders>
              <w:top w:val="nil"/>
              <w:left w:val="nil"/>
              <w:bottom w:val="nil"/>
              <w:right w:val="nil"/>
            </w:tcBorders>
            <w:shd w:val="clear" w:color="auto" w:fill="auto"/>
            <w:noWrap/>
            <w:vAlign w:val="center"/>
            <w:hideMark/>
          </w:tcPr>
          <w:p w14:paraId="09B4244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17.23 ± 2.44</w:t>
            </w:r>
          </w:p>
        </w:tc>
        <w:tc>
          <w:tcPr>
            <w:tcW w:w="573" w:type="pct"/>
            <w:tcBorders>
              <w:top w:val="nil"/>
              <w:left w:val="nil"/>
              <w:bottom w:val="nil"/>
              <w:right w:val="nil"/>
            </w:tcBorders>
            <w:shd w:val="clear" w:color="auto" w:fill="auto"/>
            <w:noWrap/>
            <w:vAlign w:val="center"/>
            <w:hideMark/>
          </w:tcPr>
          <w:p w14:paraId="5EE0D7D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13.57 ± 1.69</w:t>
            </w:r>
          </w:p>
        </w:tc>
        <w:tc>
          <w:tcPr>
            <w:tcW w:w="575" w:type="pct"/>
            <w:tcBorders>
              <w:top w:val="nil"/>
              <w:left w:val="nil"/>
              <w:bottom w:val="nil"/>
              <w:right w:val="nil"/>
            </w:tcBorders>
            <w:shd w:val="clear" w:color="auto" w:fill="auto"/>
            <w:noWrap/>
            <w:vAlign w:val="center"/>
            <w:hideMark/>
          </w:tcPr>
          <w:p w14:paraId="72C52C5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14.94 ± 4.5</w:t>
            </w:r>
          </w:p>
        </w:tc>
        <w:tc>
          <w:tcPr>
            <w:tcW w:w="570" w:type="pct"/>
            <w:tcBorders>
              <w:top w:val="nil"/>
              <w:left w:val="nil"/>
              <w:bottom w:val="nil"/>
              <w:right w:val="nil"/>
            </w:tcBorders>
            <w:shd w:val="clear" w:color="auto" w:fill="auto"/>
            <w:noWrap/>
            <w:vAlign w:val="center"/>
            <w:hideMark/>
          </w:tcPr>
          <w:p w14:paraId="114312A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23.72 ± 2.09</w:t>
            </w:r>
          </w:p>
        </w:tc>
      </w:tr>
      <w:tr w:rsidR="00B4386F" w:rsidRPr="00FA7D47" w14:paraId="7928D724" w14:textId="77777777" w:rsidTr="0095549A">
        <w:trPr>
          <w:trHeight w:val="290"/>
        </w:trPr>
        <w:tc>
          <w:tcPr>
            <w:tcW w:w="990" w:type="pct"/>
            <w:tcBorders>
              <w:top w:val="nil"/>
              <w:left w:val="nil"/>
              <w:bottom w:val="nil"/>
              <w:right w:val="nil"/>
            </w:tcBorders>
            <w:shd w:val="clear" w:color="auto" w:fill="auto"/>
            <w:vAlign w:val="center"/>
            <w:hideMark/>
          </w:tcPr>
          <w:p w14:paraId="683D6A7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18:1n-7</w:t>
            </w:r>
          </w:p>
        </w:tc>
        <w:tc>
          <w:tcPr>
            <w:tcW w:w="573" w:type="pct"/>
            <w:tcBorders>
              <w:top w:val="nil"/>
              <w:left w:val="nil"/>
              <w:bottom w:val="nil"/>
              <w:right w:val="nil"/>
            </w:tcBorders>
            <w:shd w:val="clear" w:color="auto" w:fill="auto"/>
            <w:noWrap/>
            <w:vAlign w:val="center"/>
            <w:hideMark/>
          </w:tcPr>
          <w:p w14:paraId="1729771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7.44 ± 1.17</w:t>
            </w:r>
          </w:p>
        </w:tc>
        <w:tc>
          <w:tcPr>
            <w:tcW w:w="573" w:type="pct"/>
            <w:tcBorders>
              <w:top w:val="nil"/>
              <w:left w:val="nil"/>
              <w:bottom w:val="nil"/>
              <w:right w:val="nil"/>
            </w:tcBorders>
            <w:shd w:val="clear" w:color="auto" w:fill="auto"/>
            <w:noWrap/>
            <w:vAlign w:val="center"/>
            <w:hideMark/>
          </w:tcPr>
          <w:p w14:paraId="2CCAD23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8.78 ± 1.5</w:t>
            </w:r>
          </w:p>
        </w:tc>
        <w:tc>
          <w:tcPr>
            <w:tcW w:w="573" w:type="pct"/>
            <w:tcBorders>
              <w:top w:val="nil"/>
              <w:left w:val="nil"/>
              <w:bottom w:val="nil"/>
              <w:right w:val="nil"/>
            </w:tcBorders>
            <w:shd w:val="clear" w:color="auto" w:fill="auto"/>
            <w:noWrap/>
            <w:vAlign w:val="center"/>
            <w:hideMark/>
          </w:tcPr>
          <w:p w14:paraId="7BEEB96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8.3 ± 0.93</w:t>
            </w:r>
          </w:p>
        </w:tc>
        <w:tc>
          <w:tcPr>
            <w:tcW w:w="573" w:type="pct"/>
            <w:tcBorders>
              <w:top w:val="nil"/>
              <w:left w:val="nil"/>
              <w:bottom w:val="nil"/>
              <w:right w:val="nil"/>
            </w:tcBorders>
            <w:shd w:val="clear" w:color="auto" w:fill="auto"/>
            <w:noWrap/>
            <w:vAlign w:val="center"/>
            <w:hideMark/>
          </w:tcPr>
          <w:p w14:paraId="104AA9B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8.83 ± 0.45</w:t>
            </w:r>
          </w:p>
        </w:tc>
        <w:tc>
          <w:tcPr>
            <w:tcW w:w="573" w:type="pct"/>
            <w:tcBorders>
              <w:top w:val="nil"/>
              <w:left w:val="nil"/>
              <w:bottom w:val="nil"/>
              <w:right w:val="nil"/>
            </w:tcBorders>
            <w:shd w:val="clear" w:color="auto" w:fill="auto"/>
            <w:noWrap/>
            <w:vAlign w:val="center"/>
            <w:hideMark/>
          </w:tcPr>
          <w:p w14:paraId="1B5C8AB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8.42 ± 0.62</w:t>
            </w:r>
          </w:p>
        </w:tc>
        <w:tc>
          <w:tcPr>
            <w:tcW w:w="575" w:type="pct"/>
            <w:tcBorders>
              <w:top w:val="nil"/>
              <w:left w:val="nil"/>
              <w:bottom w:val="nil"/>
              <w:right w:val="nil"/>
            </w:tcBorders>
            <w:shd w:val="clear" w:color="auto" w:fill="auto"/>
            <w:noWrap/>
            <w:vAlign w:val="center"/>
            <w:hideMark/>
          </w:tcPr>
          <w:p w14:paraId="4841ACA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9.91 ± 1.07</w:t>
            </w:r>
          </w:p>
        </w:tc>
        <w:tc>
          <w:tcPr>
            <w:tcW w:w="570" w:type="pct"/>
            <w:tcBorders>
              <w:top w:val="nil"/>
              <w:left w:val="nil"/>
              <w:bottom w:val="nil"/>
              <w:right w:val="nil"/>
            </w:tcBorders>
            <w:shd w:val="clear" w:color="auto" w:fill="auto"/>
            <w:noWrap/>
            <w:vAlign w:val="center"/>
            <w:hideMark/>
          </w:tcPr>
          <w:p w14:paraId="1A88476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7.14 ± 0.54</w:t>
            </w:r>
          </w:p>
        </w:tc>
      </w:tr>
      <w:tr w:rsidR="00B4386F" w:rsidRPr="00FA7D47" w14:paraId="044D965F" w14:textId="77777777" w:rsidTr="0095549A">
        <w:trPr>
          <w:trHeight w:val="290"/>
        </w:trPr>
        <w:tc>
          <w:tcPr>
            <w:tcW w:w="990" w:type="pct"/>
            <w:tcBorders>
              <w:top w:val="nil"/>
              <w:left w:val="nil"/>
              <w:bottom w:val="nil"/>
              <w:right w:val="nil"/>
            </w:tcBorders>
            <w:shd w:val="clear" w:color="auto" w:fill="auto"/>
            <w:vAlign w:val="center"/>
            <w:hideMark/>
          </w:tcPr>
          <w:p w14:paraId="2ED2894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18:1</w:t>
            </w:r>
          </w:p>
        </w:tc>
        <w:tc>
          <w:tcPr>
            <w:tcW w:w="573" w:type="pct"/>
            <w:tcBorders>
              <w:top w:val="nil"/>
              <w:left w:val="nil"/>
              <w:bottom w:val="nil"/>
              <w:right w:val="nil"/>
            </w:tcBorders>
            <w:shd w:val="clear" w:color="auto" w:fill="auto"/>
            <w:noWrap/>
            <w:vAlign w:val="center"/>
            <w:hideMark/>
          </w:tcPr>
          <w:p w14:paraId="5DE90C6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0.52 ± 0.09</w:t>
            </w:r>
          </w:p>
        </w:tc>
        <w:tc>
          <w:tcPr>
            <w:tcW w:w="573" w:type="pct"/>
            <w:tcBorders>
              <w:top w:val="nil"/>
              <w:left w:val="nil"/>
              <w:bottom w:val="nil"/>
              <w:right w:val="nil"/>
            </w:tcBorders>
            <w:shd w:val="clear" w:color="auto" w:fill="auto"/>
            <w:noWrap/>
            <w:vAlign w:val="center"/>
            <w:hideMark/>
          </w:tcPr>
          <w:p w14:paraId="508CF02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0.57 ± 0.14</w:t>
            </w:r>
          </w:p>
        </w:tc>
        <w:tc>
          <w:tcPr>
            <w:tcW w:w="573" w:type="pct"/>
            <w:tcBorders>
              <w:top w:val="nil"/>
              <w:left w:val="nil"/>
              <w:bottom w:val="nil"/>
              <w:right w:val="nil"/>
            </w:tcBorders>
            <w:shd w:val="clear" w:color="auto" w:fill="auto"/>
            <w:noWrap/>
            <w:vAlign w:val="center"/>
            <w:hideMark/>
          </w:tcPr>
          <w:p w14:paraId="49E5FF3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0.55 ± 0.33</w:t>
            </w:r>
          </w:p>
        </w:tc>
        <w:tc>
          <w:tcPr>
            <w:tcW w:w="573" w:type="pct"/>
            <w:tcBorders>
              <w:top w:val="nil"/>
              <w:left w:val="nil"/>
              <w:bottom w:val="nil"/>
              <w:right w:val="nil"/>
            </w:tcBorders>
            <w:shd w:val="clear" w:color="auto" w:fill="auto"/>
            <w:noWrap/>
            <w:vAlign w:val="center"/>
            <w:hideMark/>
          </w:tcPr>
          <w:p w14:paraId="177D45F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 ± 0.08</w:t>
            </w:r>
          </w:p>
        </w:tc>
        <w:tc>
          <w:tcPr>
            <w:tcW w:w="573" w:type="pct"/>
            <w:tcBorders>
              <w:top w:val="nil"/>
              <w:left w:val="nil"/>
              <w:bottom w:val="nil"/>
              <w:right w:val="nil"/>
            </w:tcBorders>
            <w:shd w:val="clear" w:color="auto" w:fill="auto"/>
            <w:noWrap/>
            <w:vAlign w:val="center"/>
            <w:hideMark/>
          </w:tcPr>
          <w:p w14:paraId="3BF1CBC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0.62 ± 0.19</w:t>
            </w:r>
          </w:p>
        </w:tc>
        <w:tc>
          <w:tcPr>
            <w:tcW w:w="575" w:type="pct"/>
            <w:tcBorders>
              <w:top w:val="nil"/>
              <w:left w:val="nil"/>
              <w:bottom w:val="nil"/>
              <w:right w:val="nil"/>
            </w:tcBorders>
            <w:shd w:val="clear" w:color="auto" w:fill="auto"/>
            <w:noWrap/>
            <w:vAlign w:val="center"/>
            <w:hideMark/>
          </w:tcPr>
          <w:p w14:paraId="462464B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0.77 ± 0.14</w:t>
            </w:r>
          </w:p>
        </w:tc>
        <w:tc>
          <w:tcPr>
            <w:tcW w:w="570" w:type="pct"/>
            <w:tcBorders>
              <w:top w:val="nil"/>
              <w:left w:val="nil"/>
              <w:bottom w:val="nil"/>
              <w:right w:val="nil"/>
            </w:tcBorders>
            <w:shd w:val="clear" w:color="auto" w:fill="auto"/>
            <w:noWrap/>
            <w:vAlign w:val="center"/>
            <w:hideMark/>
          </w:tcPr>
          <w:p w14:paraId="7D38BA3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0.44 ± 0.09</w:t>
            </w:r>
          </w:p>
        </w:tc>
      </w:tr>
      <w:tr w:rsidR="00B4386F" w:rsidRPr="00FA7D47" w14:paraId="6D788915" w14:textId="77777777" w:rsidTr="0095549A">
        <w:trPr>
          <w:trHeight w:val="290"/>
        </w:trPr>
        <w:tc>
          <w:tcPr>
            <w:tcW w:w="990" w:type="pct"/>
            <w:tcBorders>
              <w:top w:val="nil"/>
              <w:left w:val="nil"/>
              <w:bottom w:val="nil"/>
              <w:right w:val="nil"/>
            </w:tcBorders>
            <w:shd w:val="clear" w:color="auto" w:fill="auto"/>
            <w:vAlign w:val="center"/>
            <w:hideMark/>
          </w:tcPr>
          <w:p w14:paraId="2F8E76A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20:1n-11</w:t>
            </w:r>
          </w:p>
        </w:tc>
        <w:tc>
          <w:tcPr>
            <w:tcW w:w="573" w:type="pct"/>
            <w:tcBorders>
              <w:top w:val="nil"/>
              <w:left w:val="nil"/>
              <w:bottom w:val="nil"/>
              <w:right w:val="nil"/>
            </w:tcBorders>
            <w:shd w:val="clear" w:color="auto" w:fill="auto"/>
            <w:noWrap/>
            <w:vAlign w:val="center"/>
            <w:hideMark/>
          </w:tcPr>
          <w:p w14:paraId="076BC59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4.12 ± 0.94</w:t>
            </w:r>
          </w:p>
        </w:tc>
        <w:tc>
          <w:tcPr>
            <w:tcW w:w="573" w:type="pct"/>
            <w:tcBorders>
              <w:top w:val="nil"/>
              <w:left w:val="nil"/>
              <w:bottom w:val="nil"/>
              <w:right w:val="nil"/>
            </w:tcBorders>
            <w:shd w:val="clear" w:color="auto" w:fill="auto"/>
            <w:noWrap/>
            <w:vAlign w:val="center"/>
            <w:hideMark/>
          </w:tcPr>
          <w:p w14:paraId="4C87ACD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3.68 ± 1.11</w:t>
            </w:r>
          </w:p>
        </w:tc>
        <w:tc>
          <w:tcPr>
            <w:tcW w:w="573" w:type="pct"/>
            <w:tcBorders>
              <w:top w:val="nil"/>
              <w:left w:val="nil"/>
              <w:bottom w:val="nil"/>
              <w:right w:val="nil"/>
            </w:tcBorders>
            <w:shd w:val="clear" w:color="auto" w:fill="auto"/>
            <w:noWrap/>
            <w:vAlign w:val="center"/>
            <w:hideMark/>
          </w:tcPr>
          <w:p w14:paraId="0BFE611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3.68 ± 1.3</w:t>
            </w:r>
          </w:p>
        </w:tc>
        <w:tc>
          <w:tcPr>
            <w:tcW w:w="573" w:type="pct"/>
            <w:tcBorders>
              <w:top w:val="nil"/>
              <w:left w:val="nil"/>
              <w:bottom w:val="nil"/>
              <w:right w:val="nil"/>
            </w:tcBorders>
            <w:shd w:val="clear" w:color="auto" w:fill="auto"/>
            <w:noWrap/>
            <w:vAlign w:val="center"/>
            <w:hideMark/>
          </w:tcPr>
          <w:p w14:paraId="38DE7C0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3.86 ± 0.91</w:t>
            </w:r>
          </w:p>
        </w:tc>
        <w:tc>
          <w:tcPr>
            <w:tcW w:w="573" w:type="pct"/>
            <w:tcBorders>
              <w:top w:val="nil"/>
              <w:left w:val="nil"/>
              <w:bottom w:val="nil"/>
              <w:right w:val="nil"/>
            </w:tcBorders>
            <w:shd w:val="clear" w:color="auto" w:fill="auto"/>
            <w:noWrap/>
            <w:vAlign w:val="center"/>
            <w:hideMark/>
          </w:tcPr>
          <w:p w14:paraId="4A49E56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3.88 ± 2.37</w:t>
            </w:r>
          </w:p>
        </w:tc>
        <w:tc>
          <w:tcPr>
            <w:tcW w:w="575" w:type="pct"/>
            <w:tcBorders>
              <w:top w:val="nil"/>
              <w:left w:val="nil"/>
              <w:bottom w:val="nil"/>
              <w:right w:val="nil"/>
            </w:tcBorders>
            <w:shd w:val="clear" w:color="auto" w:fill="auto"/>
            <w:noWrap/>
            <w:vAlign w:val="center"/>
            <w:hideMark/>
          </w:tcPr>
          <w:p w14:paraId="0FF167D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5.29 ± 1.08</w:t>
            </w:r>
          </w:p>
        </w:tc>
        <w:tc>
          <w:tcPr>
            <w:tcW w:w="570" w:type="pct"/>
            <w:tcBorders>
              <w:top w:val="nil"/>
              <w:left w:val="nil"/>
              <w:bottom w:val="nil"/>
              <w:right w:val="nil"/>
            </w:tcBorders>
            <w:shd w:val="clear" w:color="auto" w:fill="auto"/>
            <w:noWrap/>
            <w:vAlign w:val="center"/>
            <w:hideMark/>
          </w:tcPr>
          <w:p w14:paraId="3B2AA13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1.28 ± 0.11</w:t>
            </w:r>
          </w:p>
        </w:tc>
      </w:tr>
      <w:tr w:rsidR="00B4386F" w:rsidRPr="00FA7D47" w14:paraId="1E99B67A" w14:textId="77777777" w:rsidTr="0095549A">
        <w:trPr>
          <w:trHeight w:val="290"/>
        </w:trPr>
        <w:tc>
          <w:tcPr>
            <w:tcW w:w="990" w:type="pct"/>
            <w:tcBorders>
              <w:top w:val="nil"/>
              <w:left w:val="nil"/>
              <w:bottom w:val="nil"/>
              <w:right w:val="nil"/>
            </w:tcBorders>
            <w:shd w:val="clear" w:color="auto" w:fill="auto"/>
            <w:vAlign w:val="center"/>
            <w:hideMark/>
          </w:tcPr>
          <w:p w14:paraId="442FE85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20:1n-9</w:t>
            </w:r>
          </w:p>
        </w:tc>
        <w:tc>
          <w:tcPr>
            <w:tcW w:w="573" w:type="pct"/>
            <w:tcBorders>
              <w:top w:val="nil"/>
              <w:left w:val="nil"/>
              <w:bottom w:val="nil"/>
              <w:right w:val="nil"/>
            </w:tcBorders>
            <w:shd w:val="clear" w:color="auto" w:fill="auto"/>
            <w:noWrap/>
            <w:vAlign w:val="center"/>
            <w:hideMark/>
          </w:tcPr>
          <w:p w14:paraId="7CF1E37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5.22 ± 2.24</w:t>
            </w:r>
          </w:p>
        </w:tc>
        <w:tc>
          <w:tcPr>
            <w:tcW w:w="573" w:type="pct"/>
            <w:tcBorders>
              <w:top w:val="nil"/>
              <w:left w:val="nil"/>
              <w:bottom w:val="nil"/>
              <w:right w:val="nil"/>
            </w:tcBorders>
            <w:shd w:val="clear" w:color="auto" w:fill="auto"/>
            <w:noWrap/>
            <w:vAlign w:val="center"/>
            <w:hideMark/>
          </w:tcPr>
          <w:p w14:paraId="66B0487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5.04 ± 1.44</w:t>
            </w:r>
          </w:p>
        </w:tc>
        <w:tc>
          <w:tcPr>
            <w:tcW w:w="573" w:type="pct"/>
            <w:tcBorders>
              <w:top w:val="nil"/>
              <w:left w:val="nil"/>
              <w:bottom w:val="nil"/>
              <w:right w:val="nil"/>
            </w:tcBorders>
            <w:shd w:val="clear" w:color="auto" w:fill="auto"/>
            <w:noWrap/>
            <w:vAlign w:val="center"/>
            <w:hideMark/>
          </w:tcPr>
          <w:p w14:paraId="13D8B70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3.73 ± 1.65</w:t>
            </w:r>
          </w:p>
        </w:tc>
        <w:tc>
          <w:tcPr>
            <w:tcW w:w="573" w:type="pct"/>
            <w:tcBorders>
              <w:top w:val="nil"/>
              <w:left w:val="nil"/>
              <w:bottom w:val="nil"/>
              <w:right w:val="nil"/>
            </w:tcBorders>
            <w:shd w:val="clear" w:color="auto" w:fill="auto"/>
            <w:noWrap/>
            <w:vAlign w:val="center"/>
            <w:hideMark/>
          </w:tcPr>
          <w:p w14:paraId="7BF1568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5.6 ± 1.8</w:t>
            </w:r>
          </w:p>
        </w:tc>
        <w:tc>
          <w:tcPr>
            <w:tcW w:w="573" w:type="pct"/>
            <w:tcBorders>
              <w:top w:val="nil"/>
              <w:left w:val="nil"/>
              <w:bottom w:val="nil"/>
              <w:right w:val="nil"/>
            </w:tcBorders>
            <w:shd w:val="clear" w:color="auto" w:fill="auto"/>
            <w:noWrap/>
            <w:vAlign w:val="center"/>
            <w:hideMark/>
          </w:tcPr>
          <w:p w14:paraId="7492AAC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4.45 ± 2.26</w:t>
            </w:r>
          </w:p>
        </w:tc>
        <w:tc>
          <w:tcPr>
            <w:tcW w:w="575" w:type="pct"/>
            <w:tcBorders>
              <w:top w:val="nil"/>
              <w:left w:val="nil"/>
              <w:bottom w:val="nil"/>
              <w:right w:val="nil"/>
            </w:tcBorders>
            <w:shd w:val="clear" w:color="auto" w:fill="auto"/>
            <w:noWrap/>
            <w:vAlign w:val="center"/>
            <w:hideMark/>
          </w:tcPr>
          <w:p w14:paraId="39AF683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4.11 ± 0.67</w:t>
            </w:r>
          </w:p>
        </w:tc>
        <w:tc>
          <w:tcPr>
            <w:tcW w:w="570" w:type="pct"/>
            <w:tcBorders>
              <w:top w:val="nil"/>
              <w:left w:val="nil"/>
              <w:bottom w:val="nil"/>
              <w:right w:val="nil"/>
            </w:tcBorders>
            <w:shd w:val="clear" w:color="auto" w:fill="auto"/>
            <w:noWrap/>
            <w:vAlign w:val="center"/>
            <w:hideMark/>
          </w:tcPr>
          <w:p w14:paraId="193EF06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1.71 ± 0.28</w:t>
            </w:r>
          </w:p>
        </w:tc>
      </w:tr>
      <w:tr w:rsidR="00B4386F" w:rsidRPr="00FA7D47" w14:paraId="0C279A98" w14:textId="77777777" w:rsidTr="0095549A">
        <w:trPr>
          <w:trHeight w:val="290"/>
        </w:trPr>
        <w:tc>
          <w:tcPr>
            <w:tcW w:w="990" w:type="pct"/>
            <w:tcBorders>
              <w:top w:val="nil"/>
              <w:left w:val="nil"/>
              <w:bottom w:val="nil"/>
              <w:right w:val="nil"/>
            </w:tcBorders>
            <w:shd w:val="clear" w:color="auto" w:fill="auto"/>
            <w:vAlign w:val="center"/>
            <w:hideMark/>
          </w:tcPr>
          <w:p w14:paraId="09FA20F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20:1n-7</w:t>
            </w:r>
          </w:p>
        </w:tc>
        <w:tc>
          <w:tcPr>
            <w:tcW w:w="573" w:type="pct"/>
            <w:tcBorders>
              <w:top w:val="nil"/>
              <w:left w:val="nil"/>
              <w:bottom w:val="nil"/>
              <w:right w:val="nil"/>
            </w:tcBorders>
            <w:shd w:val="clear" w:color="auto" w:fill="auto"/>
            <w:noWrap/>
            <w:vAlign w:val="center"/>
            <w:hideMark/>
          </w:tcPr>
          <w:p w14:paraId="5BD06C5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2.96 ± 1.52</w:t>
            </w:r>
          </w:p>
        </w:tc>
        <w:tc>
          <w:tcPr>
            <w:tcW w:w="573" w:type="pct"/>
            <w:tcBorders>
              <w:top w:val="nil"/>
              <w:left w:val="nil"/>
              <w:bottom w:val="nil"/>
              <w:right w:val="nil"/>
            </w:tcBorders>
            <w:shd w:val="clear" w:color="auto" w:fill="auto"/>
            <w:noWrap/>
            <w:vAlign w:val="center"/>
            <w:hideMark/>
          </w:tcPr>
          <w:p w14:paraId="65DA1F8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3.53 ± 1.41</w:t>
            </w:r>
          </w:p>
        </w:tc>
        <w:tc>
          <w:tcPr>
            <w:tcW w:w="573" w:type="pct"/>
            <w:tcBorders>
              <w:top w:val="nil"/>
              <w:left w:val="nil"/>
              <w:bottom w:val="nil"/>
              <w:right w:val="nil"/>
            </w:tcBorders>
            <w:shd w:val="clear" w:color="auto" w:fill="auto"/>
            <w:noWrap/>
            <w:vAlign w:val="center"/>
            <w:hideMark/>
          </w:tcPr>
          <w:p w14:paraId="7BF9300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4.28 ± 1.64</w:t>
            </w:r>
          </w:p>
        </w:tc>
        <w:tc>
          <w:tcPr>
            <w:tcW w:w="573" w:type="pct"/>
            <w:tcBorders>
              <w:top w:val="nil"/>
              <w:left w:val="nil"/>
              <w:bottom w:val="nil"/>
              <w:right w:val="nil"/>
            </w:tcBorders>
            <w:shd w:val="clear" w:color="auto" w:fill="auto"/>
            <w:noWrap/>
            <w:vAlign w:val="center"/>
            <w:hideMark/>
          </w:tcPr>
          <w:p w14:paraId="21B535A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3.46 ± 0.28</w:t>
            </w:r>
          </w:p>
        </w:tc>
        <w:tc>
          <w:tcPr>
            <w:tcW w:w="573" w:type="pct"/>
            <w:tcBorders>
              <w:top w:val="nil"/>
              <w:left w:val="nil"/>
              <w:bottom w:val="nil"/>
              <w:right w:val="nil"/>
            </w:tcBorders>
            <w:shd w:val="clear" w:color="auto" w:fill="auto"/>
            <w:noWrap/>
            <w:vAlign w:val="center"/>
            <w:hideMark/>
          </w:tcPr>
          <w:p w14:paraId="3FD8BDF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4.59 ± 1.75</w:t>
            </w:r>
          </w:p>
        </w:tc>
        <w:tc>
          <w:tcPr>
            <w:tcW w:w="575" w:type="pct"/>
            <w:tcBorders>
              <w:top w:val="nil"/>
              <w:left w:val="nil"/>
              <w:bottom w:val="nil"/>
              <w:right w:val="nil"/>
            </w:tcBorders>
            <w:shd w:val="clear" w:color="auto" w:fill="auto"/>
            <w:noWrap/>
            <w:vAlign w:val="center"/>
            <w:hideMark/>
          </w:tcPr>
          <w:p w14:paraId="78FC3BD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6.4 ± 1</w:t>
            </w:r>
          </w:p>
        </w:tc>
        <w:tc>
          <w:tcPr>
            <w:tcW w:w="570" w:type="pct"/>
            <w:tcBorders>
              <w:top w:val="nil"/>
              <w:left w:val="nil"/>
              <w:bottom w:val="nil"/>
              <w:right w:val="nil"/>
            </w:tcBorders>
            <w:shd w:val="clear" w:color="auto" w:fill="auto"/>
            <w:noWrap/>
            <w:vAlign w:val="center"/>
            <w:hideMark/>
          </w:tcPr>
          <w:p w14:paraId="7F9181A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3.07 ± 0.29</w:t>
            </w:r>
          </w:p>
        </w:tc>
      </w:tr>
      <w:tr w:rsidR="00B4386F" w:rsidRPr="00FA7D47" w14:paraId="40669D48" w14:textId="77777777" w:rsidTr="0095549A">
        <w:trPr>
          <w:trHeight w:val="290"/>
        </w:trPr>
        <w:tc>
          <w:tcPr>
            <w:tcW w:w="990" w:type="pct"/>
            <w:tcBorders>
              <w:top w:val="nil"/>
              <w:left w:val="nil"/>
              <w:bottom w:val="nil"/>
              <w:right w:val="nil"/>
            </w:tcBorders>
            <w:shd w:val="clear" w:color="auto" w:fill="auto"/>
            <w:vAlign w:val="center"/>
            <w:hideMark/>
          </w:tcPr>
          <w:p w14:paraId="6662723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20:1 NMID</w:t>
            </w:r>
          </w:p>
        </w:tc>
        <w:tc>
          <w:tcPr>
            <w:tcW w:w="573" w:type="pct"/>
            <w:tcBorders>
              <w:top w:val="nil"/>
              <w:left w:val="nil"/>
              <w:bottom w:val="nil"/>
              <w:right w:val="nil"/>
            </w:tcBorders>
            <w:shd w:val="clear" w:color="auto" w:fill="auto"/>
            <w:noWrap/>
            <w:vAlign w:val="center"/>
            <w:hideMark/>
          </w:tcPr>
          <w:p w14:paraId="69C570C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0.07</w:t>
            </w:r>
          </w:p>
        </w:tc>
        <w:tc>
          <w:tcPr>
            <w:tcW w:w="573" w:type="pct"/>
            <w:tcBorders>
              <w:top w:val="nil"/>
              <w:left w:val="nil"/>
              <w:bottom w:val="nil"/>
              <w:right w:val="nil"/>
            </w:tcBorders>
            <w:shd w:val="clear" w:color="auto" w:fill="auto"/>
            <w:noWrap/>
            <w:vAlign w:val="center"/>
            <w:hideMark/>
          </w:tcPr>
          <w:p w14:paraId="5683EA8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0.38 ± 0.15</w:t>
            </w:r>
          </w:p>
        </w:tc>
        <w:tc>
          <w:tcPr>
            <w:tcW w:w="573" w:type="pct"/>
            <w:tcBorders>
              <w:top w:val="nil"/>
              <w:left w:val="nil"/>
              <w:bottom w:val="nil"/>
              <w:right w:val="nil"/>
            </w:tcBorders>
            <w:shd w:val="clear" w:color="auto" w:fill="auto"/>
            <w:noWrap/>
            <w:vAlign w:val="center"/>
            <w:hideMark/>
          </w:tcPr>
          <w:p w14:paraId="1DC99A1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0.48 ± 0.17</w:t>
            </w:r>
          </w:p>
        </w:tc>
        <w:tc>
          <w:tcPr>
            <w:tcW w:w="573" w:type="pct"/>
            <w:tcBorders>
              <w:top w:val="nil"/>
              <w:left w:val="nil"/>
              <w:bottom w:val="nil"/>
              <w:right w:val="nil"/>
            </w:tcBorders>
            <w:shd w:val="clear" w:color="auto" w:fill="auto"/>
            <w:noWrap/>
            <w:vAlign w:val="center"/>
            <w:hideMark/>
          </w:tcPr>
          <w:p w14:paraId="5A28EB5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0.39 ± 0.08</w:t>
            </w:r>
          </w:p>
        </w:tc>
        <w:tc>
          <w:tcPr>
            <w:tcW w:w="573" w:type="pct"/>
            <w:tcBorders>
              <w:top w:val="nil"/>
              <w:left w:val="nil"/>
              <w:bottom w:val="nil"/>
              <w:right w:val="nil"/>
            </w:tcBorders>
            <w:shd w:val="clear" w:color="auto" w:fill="auto"/>
            <w:noWrap/>
            <w:vAlign w:val="center"/>
            <w:hideMark/>
          </w:tcPr>
          <w:p w14:paraId="6ED8A4D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0.44 ± 0.08</w:t>
            </w:r>
          </w:p>
        </w:tc>
        <w:tc>
          <w:tcPr>
            <w:tcW w:w="575" w:type="pct"/>
            <w:tcBorders>
              <w:top w:val="nil"/>
              <w:left w:val="nil"/>
              <w:bottom w:val="nil"/>
              <w:right w:val="nil"/>
            </w:tcBorders>
            <w:shd w:val="clear" w:color="auto" w:fill="auto"/>
            <w:noWrap/>
            <w:vAlign w:val="center"/>
            <w:hideMark/>
          </w:tcPr>
          <w:p w14:paraId="0839D11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0.58 ± 0.1</w:t>
            </w:r>
          </w:p>
        </w:tc>
        <w:tc>
          <w:tcPr>
            <w:tcW w:w="570" w:type="pct"/>
            <w:tcBorders>
              <w:top w:val="nil"/>
              <w:left w:val="nil"/>
              <w:bottom w:val="nil"/>
              <w:right w:val="nil"/>
            </w:tcBorders>
            <w:shd w:val="clear" w:color="auto" w:fill="auto"/>
            <w:noWrap/>
            <w:vAlign w:val="center"/>
            <w:hideMark/>
          </w:tcPr>
          <w:p w14:paraId="2D16026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0.06 ± 0.06</w:t>
            </w:r>
          </w:p>
        </w:tc>
      </w:tr>
      <w:tr w:rsidR="00B4386F" w:rsidRPr="00FA7D47" w14:paraId="6E2608DE" w14:textId="77777777" w:rsidTr="0095549A">
        <w:trPr>
          <w:trHeight w:val="290"/>
        </w:trPr>
        <w:tc>
          <w:tcPr>
            <w:tcW w:w="990" w:type="pct"/>
            <w:tcBorders>
              <w:top w:val="nil"/>
              <w:left w:val="nil"/>
              <w:bottom w:val="nil"/>
              <w:right w:val="nil"/>
            </w:tcBorders>
            <w:shd w:val="clear" w:color="auto" w:fill="auto"/>
            <w:vAlign w:val="center"/>
            <w:hideMark/>
          </w:tcPr>
          <w:p w14:paraId="3BAC9CA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22:1n-11</w:t>
            </w:r>
          </w:p>
        </w:tc>
        <w:tc>
          <w:tcPr>
            <w:tcW w:w="573" w:type="pct"/>
            <w:tcBorders>
              <w:top w:val="nil"/>
              <w:left w:val="nil"/>
              <w:bottom w:val="nil"/>
              <w:right w:val="nil"/>
            </w:tcBorders>
            <w:shd w:val="clear" w:color="auto" w:fill="auto"/>
            <w:noWrap/>
            <w:vAlign w:val="center"/>
            <w:hideMark/>
          </w:tcPr>
          <w:p w14:paraId="6802E08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10.7 ± 6.98</w:t>
            </w:r>
          </w:p>
        </w:tc>
        <w:tc>
          <w:tcPr>
            <w:tcW w:w="573" w:type="pct"/>
            <w:tcBorders>
              <w:top w:val="nil"/>
              <w:left w:val="nil"/>
              <w:bottom w:val="nil"/>
              <w:right w:val="nil"/>
            </w:tcBorders>
            <w:shd w:val="clear" w:color="auto" w:fill="auto"/>
            <w:noWrap/>
            <w:vAlign w:val="center"/>
            <w:hideMark/>
          </w:tcPr>
          <w:p w14:paraId="516B77E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7.11 ± 5.67</w:t>
            </w:r>
          </w:p>
        </w:tc>
        <w:tc>
          <w:tcPr>
            <w:tcW w:w="573" w:type="pct"/>
            <w:tcBorders>
              <w:top w:val="nil"/>
              <w:left w:val="nil"/>
              <w:bottom w:val="nil"/>
              <w:right w:val="nil"/>
            </w:tcBorders>
            <w:shd w:val="clear" w:color="auto" w:fill="auto"/>
            <w:noWrap/>
            <w:vAlign w:val="center"/>
            <w:hideMark/>
          </w:tcPr>
          <w:p w14:paraId="22E4886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4.59 ± 2.62</w:t>
            </w:r>
          </w:p>
        </w:tc>
        <w:tc>
          <w:tcPr>
            <w:tcW w:w="573" w:type="pct"/>
            <w:tcBorders>
              <w:top w:val="nil"/>
              <w:left w:val="nil"/>
              <w:bottom w:val="nil"/>
              <w:right w:val="nil"/>
            </w:tcBorders>
            <w:shd w:val="clear" w:color="auto" w:fill="auto"/>
            <w:noWrap/>
            <w:vAlign w:val="center"/>
            <w:hideMark/>
          </w:tcPr>
          <w:p w14:paraId="3450BD7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6.67 ± 3.89</w:t>
            </w:r>
          </w:p>
        </w:tc>
        <w:tc>
          <w:tcPr>
            <w:tcW w:w="573" w:type="pct"/>
            <w:tcBorders>
              <w:top w:val="nil"/>
              <w:left w:val="nil"/>
              <w:bottom w:val="nil"/>
              <w:right w:val="nil"/>
            </w:tcBorders>
            <w:shd w:val="clear" w:color="auto" w:fill="auto"/>
            <w:noWrap/>
            <w:vAlign w:val="center"/>
            <w:hideMark/>
          </w:tcPr>
          <w:p w14:paraId="1880677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7.18 ± 5.06</w:t>
            </w:r>
          </w:p>
        </w:tc>
        <w:tc>
          <w:tcPr>
            <w:tcW w:w="575" w:type="pct"/>
            <w:tcBorders>
              <w:top w:val="nil"/>
              <w:left w:val="nil"/>
              <w:bottom w:val="nil"/>
              <w:right w:val="nil"/>
            </w:tcBorders>
            <w:shd w:val="clear" w:color="auto" w:fill="auto"/>
            <w:noWrap/>
            <w:vAlign w:val="center"/>
            <w:hideMark/>
          </w:tcPr>
          <w:p w14:paraId="110E7B7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3.94 ± 3.8</w:t>
            </w:r>
          </w:p>
        </w:tc>
        <w:tc>
          <w:tcPr>
            <w:tcW w:w="570" w:type="pct"/>
            <w:tcBorders>
              <w:top w:val="nil"/>
              <w:left w:val="nil"/>
              <w:bottom w:val="nil"/>
              <w:right w:val="nil"/>
            </w:tcBorders>
            <w:shd w:val="clear" w:color="auto" w:fill="auto"/>
            <w:noWrap/>
            <w:vAlign w:val="center"/>
            <w:hideMark/>
          </w:tcPr>
          <w:p w14:paraId="73A3CE1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0.19</w:t>
            </w:r>
          </w:p>
        </w:tc>
      </w:tr>
      <w:tr w:rsidR="00B4386F" w:rsidRPr="00FA7D47" w14:paraId="65E95132" w14:textId="77777777" w:rsidTr="0095549A">
        <w:trPr>
          <w:trHeight w:val="290"/>
        </w:trPr>
        <w:tc>
          <w:tcPr>
            <w:tcW w:w="990" w:type="pct"/>
            <w:tcBorders>
              <w:top w:val="nil"/>
              <w:left w:val="nil"/>
              <w:bottom w:val="nil"/>
              <w:right w:val="nil"/>
            </w:tcBorders>
            <w:shd w:val="clear" w:color="auto" w:fill="auto"/>
            <w:vAlign w:val="center"/>
            <w:hideMark/>
          </w:tcPr>
          <w:p w14:paraId="442F15A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22:1n-9cis</w:t>
            </w:r>
          </w:p>
        </w:tc>
        <w:tc>
          <w:tcPr>
            <w:tcW w:w="573" w:type="pct"/>
            <w:tcBorders>
              <w:top w:val="nil"/>
              <w:left w:val="nil"/>
              <w:bottom w:val="nil"/>
              <w:right w:val="nil"/>
            </w:tcBorders>
            <w:shd w:val="clear" w:color="auto" w:fill="auto"/>
            <w:noWrap/>
            <w:vAlign w:val="center"/>
            <w:hideMark/>
          </w:tcPr>
          <w:p w14:paraId="5D5D610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1.01 ± 0.72</w:t>
            </w:r>
          </w:p>
        </w:tc>
        <w:tc>
          <w:tcPr>
            <w:tcW w:w="573" w:type="pct"/>
            <w:tcBorders>
              <w:top w:val="nil"/>
              <w:left w:val="nil"/>
              <w:bottom w:val="nil"/>
              <w:right w:val="nil"/>
            </w:tcBorders>
            <w:shd w:val="clear" w:color="auto" w:fill="auto"/>
            <w:noWrap/>
            <w:vAlign w:val="center"/>
            <w:hideMark/>
          </w:tcPr>
          <w:p w14:paraId="62605BC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1.08 ± 0.49</w:t>
            </w:r>
          </w:p>
        </w:tc>
        <w:tc>
          <w:tcPr>
            <w:tcW w:w="573" w:type="pct"/>
            <w:tcBorders>
              <w:top w:val="nil"/>
              <w:left w:val="nil"/>
              <w:bottom w:val="nil"/>
              <w:right w:val="nil"/>
            </w:tcBorders>
            <w:shd w:val="clear" w:color="auto" w:fill="auto"/>
            <w:noWrap/>
            <w:vAlign w:val="center"/>
            <w:hideMark/>
          </w:tcPr>
          <w:p w14:paraId="25AEB6E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0.75 ± 0.28</w:t>
            </w:r>
          </w:p>
        </w:tc>
        <w:tc>
          <w:tcPr>
            <w:tcW w:w="573" w:type="pct"/>
            <w:tcBorders>
              <w:top w:val="nil"/>
              <w:left w:val="nil"/>
              <w:bottom w:val="nil"/>
              <w:right w:val="nil"/>
            </w:tcBorders>
            <w:shd w:val="clear" w:color="auto" w:fill="auto"/>
            <w:noWrap/>
            <w:vAlign w:val="center"/>
            <w:hideMark/>
          </w:tcPr>
          <w:p w14:paraId="3AAB267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1.19 ± 0.61</w:t>
            </w:r>
          </w:p>
        </w:tc>
        <w:tc>
          <w:tcPr>
            <w:tcW w:w="573" w:type="pct"/>
            <w:tcBorders>
              <w:top w:val="nil"/>
              <w:left w:val="nil"/>
              <w:bottom w:val="nil"/>
              <w:right w:val="nil"/>
            </w:tcBorders>
            <w:shd w:val="clear" w:color="auto" w:fill="auto"/>
            <w:noWrap/>
            <w:vAlign w:val="center"/>
            <w:hideMark/>
          </w:tcPr>
          <w:p w14:paraId="52F0653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0.91 ± 0.54</w:t>
            </w:r>
          </w:p>
        </w:tc>
        <w:tc>
          <w:tcPr>
            <w:tcW w:w="575" w:type="pct"/>
            <w:tcBorders>
              <w:top w:val="nil"/>
              <w:left w:val="nil"/>
              <w:bottom w:val="nil"/>
              <w:right w:val="nil"/>
            </w:tcBorders>
            <w:shd w:val="clear" w:color="auto" w:fill="auto"/>
            <w:noWrap/>
            <w:vAlign w:val="center"/>
            <w:hideMark/>
          </w:tcPr>
          <w:p w14:paraId="6B671C8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0.82 ± 0.3</w:t>
            </w:r>
          </w:p>
        </w:tc>
        <w:tc>
          <w:tcPr>
            <w:tcW w:w="570" w:type="pct"/>
            <w:tcBorders>
              <w:top w:val="nil"/>
              <w:left w:val="nil"/>
              <w:bottom w:val="nil"/>
              <w:right w:val="nil"/>
            </w:tcBorders>
            <w:shd w:val="clear" w:color="auto" w:fill="auto"/>
            <w:noWrap/>
            <w:vAlign w:val="center"/>
            <w:hideMark/>
          </w:tcPr>
          <w:p w14:paraId="6DBF7B4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 ± 0.32</w:t>
            </w:r>
          </w:p>
        </w:tc>
      </w:tr>
      <w:tr w:rsidR="00B4386F" w:rsidRPr="00FA7D47" w14:paraId="29D6D182" w14:textId="77777777" w:rsidTr="0095549A">
        <w:trPr>
          <w:trHeight w:val="290"/>
        </w:trPr>
        <w:tc>
          <w:tcPr>
            <w:tcW w:w="990" w:type="pct"/>
            <w:tcBorders>
              <w:top w:val="nil"/>
              <w:left w:val="nil"/>
              <w:bottom w:val="nil"/>
              <w:right w:val="nil"/>
            </w:tcBorders>
            <w:shd w:val="clear" w:color="auto" w:fill="auto"/>
            <w:vAlign w:val="center"/>
            <w:hideMark/>
          </w:tcPr>
          <w:p w14:paraId="42DCD57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22:1 NMID</w:t>
            </w:r>
          </w:p>
        </w:tc>
        <w:tc>
          <w:tcPr>
            <w:tcW w:w="573" w:type="pct"/>
            <w:tcBorders>
              <w:top w:val="nil"/>
              <w:left w:val="nil"/>
              <w:bottom w:val="nil"/>
              <w:right w:val="nil"/>
            </w:tcBorders>
            <w:shd w:val="clear" w:color="auto" w:fill="auto"/>
            <w:noWrap/>
            <w:vAlign w:val="center"/>
            <w:hideMark/>
          </w:tcPr>
          <w:p w14:paraId="2CF6EC9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 ± 0.23</w:t>
            </w:r>
          </w:p>
        </w:tc>
        <w:tc>
          <w:tcPr>
            <w:tcW w:w="573" w:type="pct"/>
            <w:tcBorders>
              <w:top w:val="nil"/>
              <w:left w:val="nil"/>
              <w:bottom w:val="nil"/>
              <w:right w:val="nil"/>
            </w:tcBorders>
            <w:shd w:val="clear" w:color="auto" w:fill="auto"/>
            <w:noWrap/>
            <w:vAlign w:val="center"/>
            <w:hideMark/>
          </w:tcPr>
          <w:p w14:paraId="17DEF79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 ± 0.42</w:t>
            </w:r>
          </w:p>
        </w:tc>
        <w:tc>
          <w:tcPr>
            <w:tcW w:w="573" w:type="pct"/>
            <w:tcBorders>
              <w:top w:val="nil"/>
              <w:left w:val="nil"/>
              <w:bottom w:val="nil"/>
              <w:right w:val="nil"/>
            </w:tcBorders>
            <w:shd w:val="clear" w:color="auto" w:fill="auto"/>
            <w:noWrap/>
            <w:vAlign w:val="center"/>
            <w:hideMark/>
          </w:tcPr>
          <w:p w14:paraId="5FCDC93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1.14 ± 0.39</w:t>
            </w:r>
          </w:p>
        </w:tc>
        <w:tc>
          <w:tcPr>
            <w:tcW w:w="573" w:type="pct"/>
            <w:tcBorders>
              <w:top w:val="nil"/>
              <w:left w:val="nil"/>
              <w:bottom w:val="nil"/>
              <w:right w:val="nil"/>
            </w:tcBorders>
            <w:shd w:val="clear" w:color="auto" w:fill="auto"/>
            <w:noWrap/>
            <w:vAlign w:val="center"/>
            <w:hideMark/>
          </w:tcPr>
          <w:p w14:paraId="74ADA0B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0.89 ± 0.12</w:t>
            </w:r>
          </w:p>
        </w:tc>
        <w:tc>
          <w:tcPr>
            <w:tcW w:w="573" w:type="pct"/>
            <w:tcBorders>
              <w:top w:val="nil"/>
              <w:left w:val="nil"/>
              <w:bottom w:val="nil"/>
              <w:right w:val="nil"/>
            </w:tcBorders>
            <w:shd w:val="clear" w:color="auto" w:fill="auto"/>
            <w:noWrap/>
            <w:vAlign w:val="center"/>
            <w:hideMark/>
          </w:tcPr>
          <w:p w14:paraId="43FA925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1.01 ± 0.36</w:t>
            </w:r>
          </w:p>
        </w:tc>
        <w:tc>
          <w:tcPr>
            <w:tcW w:w="575" w:type="pct"/>
            <w:tcBorders>
              <w:top w:val="nil"/>
              <w:left w:val="nil"/>
              <w:bottom w:val="nil"/>
              <w:right w:val="nil"/>
            </w:tcBorders>
            <w:shd w:val="clear" w:color="auto" w:fill="auto"/>
            <w:noWrap/>
            <w:vAlign w:val="center"/>
            <w:hideMark/>
          </w:tcPr>
          <w:p w14:paraId="7ECD377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1.52 ± 0.28</w:t>
            </w:r>
          </w:p>
        </w:tc>
        <w:tc>
          <w:tcPr>
            <w:tcW w:w="570" w:type="pct"/>
            <w:tcBorders>
              <w:top w:val="nil"/>
              <w:left w:val="nil"/>
              <w:bottom w:val="nil"/>
              <w:right w:val="nil"/>
            </w:tcBorders>
            <w:shd w:val="clear" w:color="auto" w:fill="auto"/>
            <w:noWrap/>
            <w:vAlign w:val="center"/>
            <w:hideMark/>
          </w:tcPr>
          <w:p w14:paraId="21D6005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r>
      <w:tr w:rsidR="00B4386F" w:rsidRPr="00FA7D47" w14:paraId="6DF9E950" w14:textId="77777777" w:rsidTr="0095549A">
        <w:trPr>
          <w:trHeight w:val="290"/>
        </w:trPr>
        <w:tc>
          <w:tcPr>
            <w:tcW w:w="990" w:type="pct"/>
            <w:tcBorders>
              <w:top w:val="nil"/>
              <w:left w:val="nil"/>
              <w:bottom w:val="nil"/>
              <w:right w:val="nil"/>
            </w:tcBorders>
            <w:shd w:val="clear" w:color="auto" w:fill="auto"/>
            <w:vAlign w:val="center"/>
            <w:hideMark/>
          </w:tcPr>
          <w:p w14:paraId="313036E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24:1n-9</w:t>
            </w:r>
          </w:p>
        </w:tc>
        <w:tc>
          <w:tcPr>
            <w:tcW w:w="573" w:type="pct"/>
            <w:tcBorders>
              <w:top w:val="nil"/>
              <w:left w:val="nil"/>
              <w:bottom w:val="nil"/>
              <w:right w:val="nil"/>
            </w:tcBorders>
            <w:shd w:val="clear" w:color="auto" w:fill="auto"/>
            <w:noWrap/>
            <w:vAlign w:val="center"/>
            <w:hideMark/>
          </w:tcPr>
          <w:p w14:paraId="21B70B1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0.22 ± 0.14</w:t>
            </w:r>
          </w:p>
        </w:tc>
        <w:tc>
          <w:tcPr>
            <w:tcW w:w="573" w:type="pct"/>
            <w:tcBorders>
              <w:top w:val="nil"/>
              <w:left w:val="nil"/>
              <w:bottom w:val="nil"/>
              <w:right w:val="nil"/>
            </w:tcBorders>
            <w:shd w:val="clear" w:color="auto" w:fill="auto"/>
            <w:noWrap/>
            <w:vAlign w:val="center"/>
            <w:hideMark/>
          </w:tcPr>
          <w:p w14:paraId="0632578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0.22 ± 0.08</w:t>
            </w:r>
          </w:p>
        </w:tc>
        <w:tc>
          <w:tcPr>
            <w:tcW w:w="573" w:type="pct"/>
            <w:tcBorders>
              <w:top w:val="nil"/>
              <w:left w:val="nil"/>
              <w:bottom w:val="nil"/>
              <w:right w:val="nil"/>
            </w:tcBorders>
            <w:shd w:val="clear" w:color="auto" w:fill="auto"/>
            <w:noWrap/>
            <w:vAlign w:val="center"/>
            <w:hideMark/>
          </w:tcPr>
          <w:p w14:paraId="54541FB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0.16 ± 0.1</w:t>
            </w:r>
          </w:p>
        </w:tc>
        <w:tc>
          <w:tcPr>
            <w:tcW w:w="573" w:type="pct"/>
            <w:tcBorders>
              <w:top w:val="nil"/>
              <w:left w:val="nil"/>
              <w:bottom w:val="nil"/>
              <w:right w:val="nil"/>
            </w:tcBorders>
            <w:shd w:val="clear" w:color="auto" w:fill="auto"/>
            <w:noWrap/>
            <w:vAlign w:val="center"/>
            <w:hideMark/>
          </w:tcPr>
          <w:p w14:paraId="3A51BB9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0.25 ± 0.09</w:t>
            </w:r>
          </w:p>
        </w:tc>
        <w:tc>
          <w:tcPr>
            <w:tcW w:w="573" w:type="pct"/>
            <w:tcBorders>
              <w:top w:val="nil"/>
              <w:left w:val="nil"/>
              <w:bottom w:val="nil"/>
              <w:right w:val="nil"/>
            </w:tcBorders>
            <w:shd w:val="clear" w:color="auto" w:fill="auto"/>
            <w:noWrap/>
            <w:vAlign w:val="center"/>
            <w:hideMark/>
          </w:tcPr>
          <w:p w14:paraId="6C96A9A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0.16 ± 0.13</w:t>
            </w:r>
          </w:p>
        </w:tc>
        <w:tc>
          <w:tcPr>
            <w:tcW w:w="575" w:type="pct"/>
            <w:tcBorders>
              <w:top w:val="nil"/>
              <w:left w:val="nil"/>
              <w:bottom w:val="nil"/>
              <w:right w:val="nil"/>
            </w:tcBorders>
            <w:shd w:val="clear" w:color="auto" w:fill="auto"/>
            <w:noWrap/>
            <w:vAlign w:val="center"/>
            <w:hideMark/>
          </w:tcPr>
          <w:p w14:paraId="6AF874E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 ± 0.25</w:t>
            </w:r>
          </w:p>
        </w:tc>
        <w:tc>
          <w:tcPr>
            <w:tcW w:w="570" w:type="pct"/>
            <w:tcBorders>
              <w:top w:val="nil"/>
              <w:left w:val="nil"/>
              <w:bottom w:val="nil"/>
              <w:right w:val="nil"/>
            </w:tcBorders>
            <w:shd w:val="clear" w:color="auto" w:fill="auto"/>
            <w:noWrap/>
            <w:vAlign w:val="center"/>
            <w:hideMark/>
          </w:tcPr>
          <w:p w14:paraId="58A9324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r>
      <w:tr w:rsidR="00B4386F" w:rsidRPr="00FA7D47" w14:paraId="01CEF116" w14:textId="77777777" w:rsidTr="0095549A">
        <w:trPr>
          <w:trHeight w:val="570"/>
        </w:trPr>
        <w:tc>
          <w:tcPr>
            <w:tcW w:w="990" w:type="pct"/>
            <w:tcBorders>
              <w:top w:val="single" w:sz="4" w:space="0" w:color="auto"/>
              <w:left w:val="nil"/>
              <w:bottom w:val="single" w:sz="8" w:space="0" w:color="auto"/>
              <w:right w:val="nil"/>
            </w:tcBorders>
            <w:shd w:val="clear" w:color="auto" w:fill="auto"/>
            <w:vAlign w:val="center"/>
            <w:hideMark/>
          </w:tcPr>
          <w:p w14:paraId="27788C03"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total monounsaturated</w:t>
            </w:r>
          </w:p>
        </w:tc>
        <w:tc>
          <w:tcPr>
            <w:tcW w:w="573" w:type="pct"/>
            <w:tcBorders>
              <w:top w:val="single" w:sz="4" w:space="0" w:color="auto"/>
              <w:left w:val="nil"/>
              <w:bottom w:val="single" w:sz="8" w:space="0" w:color="auto"/>
              <w:right w:val="nil"/>
            </w:tcBorders>
            <w:shd w:val="clear" w:color="auto" w:fill="auto"/>
            <w:noWrap/>
            <w:vAlign w:val="center"/>
            <w:hideMark/>
          </w:tcPr>
          <w:p w14:paraId="56A022EF"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55.28 ± 5.18</w:t>
            </w:r>
          </w:p>
        </w:tc>
        <w:tc>
          <w:tcPr>
            <w:tcW w:w="573" w:type="pct"/>
            <w:tcBorders>
              <w:top w:val="single" w:sz="4" w:space="0" w:color="auto"/>
              <w:left w:val="nil"/>
              <w:bottom w:val="single" w:sz="8" w:space="0" w:color="auto"/>
              <w:right w:val="nil"/>
            </w:tcBorders>
            <w:shd w:val="clear" w:color="auto" w:fill="auto"/>
            <w:noWrap/>
            <w:vAlign w:val="center"/>
            <w:hideMark/>
          </w:tcPr>
          <w:p w14:paraId="58690E7A"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55.34 ± 1.08</w:t>
            </w:r>
          </w:p>
        </w:tc>
        <w:tc>
          <w:tcPr>
            <w:tcW w:w="573" w:type="pct"/>
            <w:tcBorders>
              <w:top w:val="single" w:sz="4" w:space="0" w:color="auto"/>
              <w:left w:val="nil"/>
              <w:bottom w:val="single" w:sz="8" w:space="0" w:color="auto"/>
              <w:right w:val="nil"/>
            </w:tcBorders>
            <w:shd w:val="clear" w:color="auto" w:fill="auto"/>
            <w:noWrap/>
            <w:vAlign w:val="center"/>
            <w:hideMark/>
          </w:tcPr>
          <w:p w14:paraId="515D4E7D"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51.27 ± 1.47</w:t>
            </w:r>
          </w:p>
        </w:tc>
        <w:tc>
          <w:tcPr>
            <w:tcW w:w="573" w:type="pct"/>
            <w:tcBorders>
              <w:top w:val="single" w:sz="4" w:space="0" w:color="auto"/>
              <w:left w:val="nil"/>
              <w:bottom w:val="single" w:sz="8" w:space="0" w:color="auto"/>
              <w:right w:val="nil"/>
            </w:tcBorders>
            <w:shd w:val="clear" w:color="auto" w:fill="auto"/>
            <w:noWrap/>
            <w:vAlign w:val="center"/>
            <w:hideMark/>
          </w:tcPr>
          <w:p w14:paraId="0398E808"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56.45 ± 4.91</w:t>
            </w:r>
          </w:p>
        </w:tc>
        <w:tc>
          <w:tcPr>
            <w:tcW w:w="573" w:type="pct"/>
            <w:tcBorders>
              <w:top w:val="single" w:sz="4" w:space="0" w:color="auto"/>
              <w:left w:val="nil"/>
              <w:bottom w:val="single" w:sz="8" w:space="0" w:color="auto"/>
              <w:right w:val="nil"/>
            </w:tcBorders>
            <w:shd w:val="clear" w:color="auto" w:fill="auto"/>
            <w:noWrap/>
            <w:vAlign w:val="center"/>
            <w:hideMark/>
          </w:tcPr>
          <w:p w14:paraId="1C0A2D7C"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53.23 ± 5.26</w:t>
            </w:r>
          </w:p>
        </w:tc>
        <w:tc>
          <w:tcPr>
            <w:tcW w:w="575" w:type="pct"/>
            <w:tcBorders>
              <w:top w:val="single" w:sz="4" w:space="0" w:color="auto"/>
              <w:left w:val="nil"/>
              <w:bottom w:val="single" w:sz="8" w:space="0" w:color="auto"/>
              <w:right w:val="nil"/>
            </w:tcBorders>
            <w:shd w:val="clear" w:color="auto" w:fill="auto"/>
            <w:noWrap/>
            <w:vAlign w:val="center"/>
            <w:hideMark/>
          </w:tcPr>
          <w:p w14:paraId="4D7FB8D3"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55.07 ± 2.36</w:t>
            </w:r>
          </w:p>
        </w:tc>
        <w:tc>
          <w:tcPr>
            <w:tcW w:w="570" w:type="pct"/>
            <w:tcBorders>
              <w:top w:val="single" w:sz="4" w:space="0" w:color="auto"/>
              <w:left w:val="nil"/>
              <w:bottom w:val="single" w:sz="8" w:space="0" w:color="auto"/>
              <w:right w:val="nil"/>
            </w:tcBorders>
            <w:shd w:val="clear" w:color="auto" w:fill="auto"/>
            <w:noWrap/>
            <w:vAlign w:val="center"/>
            <w:hideMark/>
          </w:tcPr>
          <w:p w14:paraId="37E25B22"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53.79 ± 2.26</w:t>
            </w:r>
          </w:p>
        </w:tc>
      </w:tr>
      <w:tr w:rsidR="00B4386F" w:rsidRPr="00FA7D47" w14:paraId="4B2076F6" w14:textId="77777777" w:rsidTr="0095549A">
        <w:trPr>
          <w:trHeight w:val="290"/>
        </w:trPr>
        <w:tc>
          <w:tcPr>
            <w:tcW w:w="990" w:type="pct"/>
            <w:tcBorders>
              <w:top w:val="nil"/>
              <w:left w:val="nil"/>
              <w:bottom w:val="nil"/>
              <w:right w:val="nil"/>
            </w:tcBorders>
            <w:shd w:val="clear" w:color="auto" w:fill="auto"/>
            <w:vAlign w:val="center"/>
            <w:hideMark/>
          </w:tcPr>
          <w:p w14:paraId="7B03824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18:2n-6</w:t>
            </w:r>
          </w:p>
        </w:tc>
        <w:tc>
          <w:tcPr>
            <w:tcW w:w="573" w:type="pct"/>
            <w:tcBorders>
              <w:top w:val="nil"/>
              <w:left w:val="nil"/>
              <w:bottom w:val="nil"/>
              <w:right w:val="nil"/>
            </w:tcBorders>
            <w:shd w:val="clear" w:color="auto" w:fill="auto"/>
            <w:noWrap/>
            <w:vAlign w:val="center"/>
            <w:hideMark/>
          </w:tcPr>
          <w:p w14:paraId="50A9BAD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0.64 ± 0.12</w:t>
            </w:r>
          </w:p>
        </w:tc>
        <w:tc>
          <w:tcPr>
            <w:tcW w:w="573" w:type="pct"/>
            <w:tcBorders>
              <w:top w:val="nil"/>
              <w:left w:val="nil"/>
              <w:bottom w:val="nil"/>
              <w:right w:val="nil"/>
            </w:tcBorders>
            <w:shd w:val="clear" w:color="auto" w:fill="auto"/>
            <w:noWrap/>
            <w:vAlign w:val="center"/>
            <w:hideMark/>
          </w:tcPr>
          <w:p w14:paraId="1A72450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0.67 ± 0.1</w:t>
            </w:r>
          </w:p>
        </w:tc>
        <w:tc>
          <w:tcPr>
            <w:tcW w:w="573" w:type="pct"/>
            <w:tcBorders>
              <w:top w:val="nil"/>
              <w:left w:val="nil"/>
              <w:bottom w:val="nil"/>
              <w:right w:val="nil"/>
            </w:tcBorders>
            <w:shd w:val="clear" w:color="auto" w:fill="auto"/>
            <w:noWrap/>
            <w:vAlign w:val="center"/>
            <w:hideMark/>
          </w:tcPr>
          <w:p w14:paraId="2CCF768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 ± 0.05</w:t>
            </w:r>
          </w:p>
        </w:tc>
        <w:tc>
          <w:tcPr>
            <w:tcW w:w="573" w:type="pct"/>
            <w:tcBorders>
              <w:top w:val="nil"/>
              <w:left w:val="nil"/>
              <w:bottom w:val="nil"/>
              <w:right w:val="nil"/>
            </w:tcBorders>
            <w:shd w:val="clear" w:color="auto" w:fill="auto"/>
            <w:noWrap/>
            <w:vAlign w:val="center"/>
            <w:hideMark/>
          </w:tcPr>
          <w:p w14:paraId="2E0340C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1.24 ± 1.14</w:t>
            </w:r>
          </w:p>
        </w:tc>
        <w:tc>
          <w:tcPr>
            <w:tcW w:w="573" w:type="pct"/>
            <w:tcBorders>
              <w:top w:val="nil"/>
              <w:left w:val="nil"/>
              <w:bottom w:val="nil"/>
              <w:right w:val="nil"/>
            </w:tcBorders>
            <w:shd w:val="clear" w:color="auto" w:fill="auto"/>
            <w:noWrap/>
            <w:vAlign w:val="center"/>
            <w:hideMark/>
          </w:tcPr>
          <w:p w14:paraId="4DDA134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0.79 ± 0.13</w:t>
            </w:r>
          </w:p>
        </w:tc>
        <w:tc>
          <w:tcPr>
            <w:tcW w:w="575" w:type="pct"/>
            <w:tcBorders>
              <w:top w:val="nil"/>
              <w:left w:val="nil"/>
              <w:bottom w:val="nil"/>
              <w:right w:val="nil"/>
            </w:tcBorders>
            <w:shd w:val="clear" w:color="auto" w:fill="auto"/>
            <w:noWrap/>
            <w:vAlign w:val="center"/>
            <w:hideMark/>
          </w:tcPr>
          <w:p w14:paraId="4222489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1.21 ± 0.45</w:t>
            </w:r>
          </w:p>
        </w:tc>
        <w:tc>
          <w:tcPr>
            <w:tcW w:w="570" w:type="pct"/>
            <w:tcBorders>
              <w:top w:val="nil"/>
              <w:left w:val="nil"/>
              <w:bottom w:val="nil"/>
              <w:right w:val="nil"/>
            </w:tcBorders>
            <w:shd w:val="clear" w:color="auto" w:fill="auto"/>
            <w:noWrap/>
            <w:vAlign w:val="center"/>
            <w:hideMark/>
          </w:tcPr>
          <w:p w14:paraId="38485CE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0.89 ± 0.54</w:t>
            </w:r>
          </w:p>
        </w:tc>
      </w:tr>
      <w:tr w:rsidR="00B4386F" w:rsidRPr="00FA7D47" w14:paraId="3CD961FF" w14:textId="77777777" w:rsidTr="0095549A">
        <w:trPr>
          <w:trHeight w:val="290"/>
        </w:trPr>
        <w:tc>
          <w:tcPr>
            <w:tcW w:w="990" w:type="pct"/>
            <w:tcBorders>
              <w:top w:val="nil"/>
              <w:left w:val="nil"/>
              <w:bottom w:val="nil"/>
              <w:right w:val="nil"/>
            </w:tcBorders>
            <w:shd w:val="clear" w:color="auto" w:fill="auto"/>
            <w:vAlign w:val="center"/>
            <w:hideMark/>
          </w:tcPr>
          <w:p w14:paraId="378096E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18:3n-6</w:t>
            </w:r>
          </w:p>
        </w:tc>
        <w:tc>
          <w:tcPr>
            <w:tcW w:w="573" w:type="pct"/>
            <w:tcBorders>
              <w:top w:val="nil"/>
              <w:left w:val="nil"/>
              <w:bottom w:val="nil"/>
              <w:right w:val="nil"/>
            </w:tcBorders>
            <w:shd w:val="clear" w:color="auto" w:fill="auto"/>
            <w:noWrap/>
            <w:vAlign w:val="center"/>
            <w:hideMark/>
          </w:tcPr>
          <w:p w14:paraId="5B2B00F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0.19 ± 0.11</w:t>
            </w:r>
          </w:p>
        </w:tc>
        <w:tc>
          <w:tcPr>
            <w:tcW w:w="573" w:type="pct"/>
            <w:tcBorders>
              <w:top w:val="nil"/>
              <w:left w:val="nil"/>
              <w:bottom w:val="nil"/>
              <w:right w:val="nil"/>
            </w:tcBorders>
            <w:shd w:val="clear" w:color="auto" w:fill="auto"/>
            <w:noWrap/>
            <w:vAlign w:val="center"/>
            <w:hideMark/>
          </w:tcPr>
          <w:p w14:paraId="1BD057F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0.22 ± 0.01</w:t>
            </w:r>
          </w:p>
        </w:tc>
        <w:tc>
          <w:tcPr>
            <w:tcW w:w="573" w:type="pct"/>
            <w:tcBorders>
              <w:top w:val="nil"/>
              <w:left w:val="nil"/>
              <w:bottom w:val="nil"/>
              <w:right w:val="nil"/>
            </w:tcBorders>
            <w:shd w:val="clear" w:color="auto" w:fill="auto"/>
            <w:noWrap/>
            <w:vAlign w:val="center"/>
            <w:hideMark/>
          </w:tcPr>
          <w:p w14:paraId="22CBC24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0.26 ± 0.11</w:t>
            </w:r>
          </w:p>
        </w:tc>
        <w:tc>
          <w:tcPr>
            <w:tcW w:w="573" w:type="pct"/>
            <w:tcBorders>
              <w:top w:val="nil"/>
              <w:left w:val="nil"/>
              <w:bottom w:val="nil"/>
              <w:right w:val="nil"/>
            </w:tcBorders>
            <w:shd w:val="clear" w:color="auto" w:fill="auto"/>
            <w:noWrap/>
            <w:vAlign w:val="center"/>
            <w:hideMark/>
          </w:tcPr>
          <w:p w14:paraId="7DE9CB7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0.18 ± 0.08</w:t>
            </w:r>
          </w:p>
        </w:tc>
        <w:tc>
          <w:tcPr>
            <w:tcW w:w="573" w:type="pct"/>
            <w:tcBorders>
              <w:top w:val="nil"/>
              <w:left w:val="nil"/>
              <w:bottom w:val="nil"/>
              <w:right w:val="nil"/>
            </w:tcBorders>
            <w:shd w:val="clear" w:color="auto" w:fill="auto"/>
            <w:noWrap/>
            <w:vAlign w:val="center"/>
            <w:hideMark/>
          </w:tcPr>
          <w:p w14:paraId="0D2F05E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0.31 ± 0.15</w:t>
            </w:r>
          </w:p>
        </w:tc>
        <w:tc>
          <w:tcPr>
            <w:tcW w:w="575" w:type="pct"/>
            <w:tcBorders>
              <w:top w:val="nil"/>
              <w:left w:val="nil"/>
              <w:bottom w:val="nil"/>
              <w:right w:val="nil"/>
            </w:tcBorders>
            <w:shd w:val="clear" w:color="auto" w:fill="auto"/>
            <w:noWrap/>
            <w:vAlign w:val="center"/>
            <w:hideMark/>
          </w:tcPr>
          <w:p w14:paraId="6002EE0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0.18 ± 0.03</w:t>
            </w:r>
          </w:p>
        </w:tc>
        <w:tc>
          <w:tcPr>
            <w:tcW w:w="570" w:type="pct"/>
            <w:tcBorders>
              <w:top w:val="nil"/>
              <w:left w:val="nil"/>
              <w:bottom w:val="nil"/>
              <w:right w:val="nil"/>
            </w:tcBorders>
            <w:shd w:val="clear" w:color="auto" w:fill="auto"/>
            <w:noWrap/>
            <w:vAlign w:val="center"/>
            <w:hideMark/>
          </w:tcPr>
          <w:p w14:paraId="6B732ED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0.14 ± 0</w:t>
            </w:r>
          </w:p>
        </w:tc>
      </w:tr>
      <w:tr w:rsidR="00B4386F" w:rsidRPr="00FA7D47" w14:paraId="25EC3C55" w14:textId="77777777" w:rsidTr="0095549A">
        <w:trPr>
          <w:trHeight w:val="290"/>
        </w:trPr>
        <w:tc>
          <w:tcPr>
            <w:tcW w:w="990" w:type="pct"/>
            <w:tcBorders>
              <w:top w:val="nil"/>
              <w:left w:val="nil"/>
              <w:bottom w:val="nil"/>
              <w:right w:val="nil"/>
            </w:tcBorders>
            <w:shd w:val="clear" w:color="auto" w:fill="auto"/>
            <w:vAlign w:val="center"/>
            <w:hideMark/>
          </w:tcPr>
          <w:p w14:paraId="7A9156C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20:2n-6</w:t>
            </w:r>
          </w:p>
        </w:tc>
        <w:tc>
          <w:tcPr>
            <w:tcW w:w="573" w:type="pct"/>
            <w:tcBorders>
              <w:top w:val="nil"/>
              <w:left w:val="nil"/>
              <w:bottom w:val="nil"/>
              <w:right w:val="nil"/>
            </w:tcBorders>
            <w:shd w:val="clear" w:color="auto" w:fill="auto"/>
            <w:noWrap/>
            <w:vAlign w:val="center"/>
            <w:hideMark/>
          </w:tcPr>
          <w:p w14:paraId="34BA82F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1.11 ± 0.16</w:t>
            </w:r>
          </w:p>
        </w:tc>
        <w:tc>
          <w:tcPr>
            <w:tcW w:w="573" w:type="pct"/>
            <w:tcBorders>
              <w:top w:val="nil"/>
              <w:left w:val="nil"/>
              <w:bottom w:val="nil"/>
              <w:right w:val="nil"/>
            </w:tcBorders>
            <w:shd w:val="clear" w:color="auto" w:fill="auto"/>
            <w:noWrap/>
            <w:vAlign w:val="center"/>
            <w:hideMark/>
          </w:tcPr>
          <w:p w14:paraId="723EBE4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1.25 ± 0.39</w:t>
            </w:r>
          </w:p>
        </w:tc>
        <w:tc>
          <w:tcPr>
            <w:tcW w:w="573" w:type="pct"/>
            <w:tcBorders>
              <w:top w:val="nil"/>
              <w:left w:val="nil"/>
              <w:bottom w:val="nil"/>
              <w:right w:val="nil"/>
            </w:tcBorders>
            <w:shd w:val="clear" w:color="auto" w:fill="auto"/>
            <w:noWrap/>
            <w:vAlign w:val="center"/>
            <w:hideMark/>
          </w:tcPr>
          <w:p w14:paraId="6C15A7D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1.36 ± 0.28</w:t>
            </w:r>
          </w:p>
        </w:tc>
        <w:tc>
          <w:tcPr>
            <w:tcW w:w="573" w:type="pct"/>
            <w:tcBorders>
              <w:top w:val="nil"/>
              <w:left w:val="nil"/>
              <w:bottom w:val="nil"/>
              <w:right w:val="nil"/>
            </w:tcBorders>
            <w:shd w:val="clear" w:color="auto" w:fill="auto"/>
            <w:noWrap/>
            <w:vAlign w:val="center"/>
            <w:hideMark/>
          </w:tcPr>
          <w:p w14:paraId="15D5CAF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1.36 ± 0.16</w:t>
            </w:r>
          </w:p>
        </w:tc>
        <w:tc>
          <w:tcPr>
            <w:tcW w:w="573" w:type="pct"/>
            <w:tcBorders>
              <w:top w:val="nil"/>
              <w:left w:val="nil"/>
              <w:bottom w:val="nil"/>
              <w:right w:val="nil"/>
            </w:tcBorders>
            <w:shd w:val="clear" w:color="auto" w:fill="auto"/>
            <w:noWrap/>
            <w:vAlign w:val="center"/>
            <w:hideMark/>
          </w:tcPr>
          <w:p w14:paraId="45D90F9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1.71 ± 0.31</w:t>
            </w:r>
          </w:p>
        </w:tc>
        <w:tc>
          <w:tcPr>
            <w:tcW w:w="575" w:type="pct"/>
            <w:tcBorders>
              <w:top w:val="nil"/>
              <w:left w:val="nil"/>
              <w:bottom w:val="nil"/>
              <w:right w:val="nil"/>
            </w:tcBorders>
            <w:shd w:val="clear" w:color="auto" w:fill="auto"/>
            <w:noWrap/>
            <w:vAlign w:val="center"/>
            <w:hideMark/>
          </w:tcPr>
          <w:p w14:paraId="33372EB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2.17 ± 0.66</w:t>
            </w:r>
          </w:p>
        </w:tc>
        <w:tc>
          <w:tcPr>
            <w:tcW w:w="570" w:type="pct"/>
            <w:tcBorders>
              <w:top w:val="nil"/>
              <w:left w:val="nil"/>
              <w:bottom w:val="nil"/>
              <w:right w:val="nil"/>
            </w:tcBorders>
            <w:shd w:val="clear" w:color="auto" w:fill="auto"/>
            <w:noWrap/>
            <w:vAlign w:val="center"/>
            <w:hideMark/>
          </w:tcPr>
          <w:p w14:paraId="670780F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 ± 0.09</w:t>
            </w:r>
          </w:p>
        </w:tc>
      </w:tr>
      <w:tr w:rsidR="00B4386F" w:rsidRPr="00FA7D47" w14:paraId="0F6B26E0" w14:textId="77777777" w:rsidTr="0095549A">
        <w:trPr>
          <w:trHeight w:val="290"/>
        </w:trPr>
        <w:tc>
          <w:tcPr>
            <w:tcW w:w="990" w:type="pct"/>
            <w:tcBorders>
              <w:top w:val="nil"/>
              <w:left w:val="nil"/>
              <w:bottom w:val="nil"/>
              <w:right w:val="nil"/>
            </w:tcBorders>
            <w:shd w:val="clear" w:color="auto" w:fill="auto"/>
            <w:vAlign w:val="center"/>
            <w:hideMark/>
          </w:tcPr>
          <w:p w14:paraId="72D35B3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20:3n-6</w:t>
            </w:r>
          </w:p>
        </w:tc>
        <w:tc>
          <w:tcPr>
            <w:tcW w:w="573" w:type="pct"/>
            <w:tcBorders>
              <w:top w:val="nil"/>
              <w:left w:val="nil"/>
              <w:bottom w:val="nil"/>
              <w:right w:val="nil"/>
            </w:tcBorders>
            <w:shd w:val="clear" w:color="auto" w:fill="auto"/>
            <w:noWrap/>
            <w:vAlign w:val="center"/>
            <w:hideMark/>
          </w:tcPr>
          <w:p w14:paraId="315F8B7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0.14 ± 0.09</w:t>
            </w:r>
          </w:p>
        </w:tc>
        <w:tc>
          <w:tcPr>
            <w:tcW w:w="573" w:type="pct"/>
            <w:tcBorders>
              <w:top w:val="nil"/>
              <w:left w:val="nil"/>
              <w:bottom w:val="nil"/>
              <w:right w:val="nil"/>
            </w:tcBorders>
            <w:shd w:val="clear" w:color="auto" w:fill="auto"/>
            <w:noWrap/>
            <w:vAlign w:val="center"/>
            <w:hideMark/>
          </w:tcPr>
          <w:p w14:paraId="39758A6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0.04</w:t>
            </w:r>
          </w:p>
        </w:tc>
        <w:tc>
          <w:tcPr>
            <w:tcW w:w="573" w:type="pct"/>
            <w:tcBorders>
              <w:top w:val="nil"/>
              <w:left w:val="nil"/>
              <w:bottom w:val="nil"/>
              <w:right w:val="nil"/>
            </w:tcBorders>
            <w:shd w:val="clear" w:color="auto" w:fill="auto"/>
            <w:noWrap/>
            <w:vAlign w:val="center"/>
            <w:hideMark/>
          </w:tcPr>
          <w:p w14:paraId="6D4C54A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0.07</w:t>
            </w:r>
          </w:p>
        </w:tc>
        <w:tc>
          <w:tcPr>
            <w:tcW w:w="573" w:type="pct"/>
            <w:tcBorders>
              <w:top w:val="nil"/>
              <w:left w:val="nil"/>
              <w:bottom w:val="nil"/>
              <w:right w:val="nil"/>
            </w:tcBorders>
            <w:shd w:val="clear" w:color="auto" w:fill="auto"/>
            <w:noWrap/>
            <w:vAlign w:val="center"/>
            <w:hideMark/>
          </w:tcPr>
          <w:p w14:paraId="2458A1C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0.15 ± 0.02</w:t>
            </w:r>
          </w:p>
        </w:tc>
        <w:tc>
          <w:tcPr>
            <w:tcW w:w="573" w:type="pct"/>
            <w:tcBorders>
              <w:top w:val="nil"/>
              <w:left w:val="nil"/>
              <w:bottom w:val="nil"/>
              <w:right w:val="nil"/>
            </w:tcBorders>
            <w:shd w:val="clear" w:color="auto" w:fill="auto"/>
            <w:noWrap/>
            <w:vAlign w:val="center"/>
            <w:hideMark/>
          </w:tcPr>
          <w:p w14:paraId="7743F72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0.09 ± 0.11</w:t>
            </w:r>
          </w:p>
        </w:tc>
        <w:tc>
          <w:tcPr>
            <w:tcW w:w="575" w:type="pct"/>
            <w:tcBorders>
              <w:top w:val="nil"/>
              <w:left w:val="nil"/>
              <w:bottom w:val="nil"/>
              <w:right w:val="nil"/>
            </w:tcBorders>
            <w:shd w:val="clear" w:color="auto" w:fill="auto"/>
            <w:noWrap/>
            <w:vAlign w:val="center"/>
            <w:hideMark/>
          </w:tcPr>
          <w:p w14:paraId="056EAB6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0.25 ± 0.06</w:t>
            </w:r>
          </w:p>
        </w:tc>
        <w:tc>
          <w:tcPr>
            <w:tcW w:w="570" w:type="pct"/>
            <w:tcBorders>
              <w:top w:val="nil"/>
              <w:left w:val="nil"/>
              <w:bottom w:val="nil"/>
              <w:right w:val="nil"/>
            </w:tcBorders>
            <w:shd w:val="clear" w:color="auto" w:fill="auto"/>
            <w:noWrap/>
            <w:vAlign w:val="center"/>
            <w:hideMark/>
          </w:tcPr>
          <w:p w14:paraId="01B171E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0.08 ± 0.01</w:t>
            </w:r>
          </w:p>
        </w:tc>
      </w:tr>
      <w:tr w:rsidR="00B4386F" w:rsidRPr="00FA7D47" w14:paraId="0543E71C" w14:textId="77777777" w:rsidTr="0095549A">
        <w:trPr>
          <w:trHeight w:val="290"/>
        </w:trPr>
        <w:tc>
          <w:tcPr>
            <w:tcW w:w="990" w:type="pct"/>
            <w:tcBorders>
              <w:top w:val="nil"/>
              <w:left w:val="nil"/>
              <w:bottom w:val="nil"/>
              <w:right w:val="nil"/>
            </w:tcBorders>
            <w:shd w:val="clear" w:color="auto" w:fill="auto"/>
            <w:vAlign w:val="center"/>
            <w:hideMark/>
          </w:tcPr>
          <w:p w14:paraId="1CBF1A3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20:4n-6</w:t>
            </w:r>
          </w:p>
        </w:tc>
        <w:tc>
          <w:tcPr>
            <w:tcW w:w="573" w:type="pct"/>
            <w:tcBorders>
              <w:top w:val="nil"/>
              <w:left w:val="nil"/>
              <w:bottom w:val="nil"/>
              <w:right w:val="nil"/>
            </w:tcBorders>
            <w:shd w:val="clear" w:color="auto" w:fill="auto"/>
            <w:noWrap/>
            <w:vAlign w:val="center"/>
            <w:hideMark/>
          </w:tcPr>
          <w:p w14:paraId="6A5CD13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 ± 0.72</w:t>
            </w:r>
          </w:p>
        </w:tc>
        <w:tc>
          <w:tcPr>
            <w:tcW w:w="573" w:type="pct"/>
            <w:tcBorders>
              <w:top w:val="nil"/>
              <w:left w:val="nil"/>
              <w:bottom w:val="nil"/>
              <w:right w:val="nil"/>
            </w:tcBorders>
            <w:shd w:val="clear" w:color="auto" w:fill="auto"/>
            <w:noWrap/>
            <w:vAlign w:val="center"/>
            <w:hideMark/>
          </w:tcPr>
          <w:p w14:paraId="05D24DA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1.71 ± 0.57</w:t>
            </w:r>
          </w:p>
        </w:tc>
        <w:tc>
          <w:tcPr>
            <w:tcW w:w="573" w:type="pct"/>
            <w:tcBorders>
              <w:top w:val="nil"/>
              <w:left w:val="nil"/>
              <w:bottom w:val="nil"/>
              <w:right w:val="nil"/>
            </w:tcBorders>
            <w:shd w:val="clear" w:color="auto" w:fill="auto"/>
            <w:noWrap/>
            <w:vAlign w:val="center"/>
            <w:hideMark/>
          </w:tcPr>
          <w:p w14:paraId="6FF89A2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2.17 ± 0.38</w:t>
            </w:r>
          </w:p>
        </w:tc>
        <w:tc>
          <w:tcPr>
            <w:tcW w:w="573" w:type="pct"/>
            <w:tcBorders>
              <w:top w:val="nil"/>
              <w:left w:val="nil"/>
              <w:bottom w:val="nil"/>
              <w:right w:val="nil"/>
            </w:tcBorders>
            <w:shd w:val="clear" w:color="auto" w:fill="auto"/>
            <w:noWrap/>
            <w:vAlign w:val="center"/>
            <w:hideMark/>
          </w:tcPr>
          <w:p w14:paraId="2F3F091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1.62 ± 0.32</w:t>
            </w:r>
          </w:p>
        </w:tc>
        <w:tc>
          <w:tcPr>
            <w:tcW w:w="573" w:type="pct"/>
            <w:tcBorders>
              <w:top w:val="nil"/>
              <w:left w:val="nil"/>
              <w:bottom w:val="nil"/>
              <w:right w:val="nil"/>
            </w:tcBorders>
            <w:shd w:val="clear" w:color="auto" w:fill="auto"/>
            <w:noWrap/>
            <w:vAlign w:val="center"/>
            <w:hideMark/>
          </w:tcPr>
          <w:p w14:paraId="204C63F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2.67 ± 0.56</w:t>
            </w:r>
          </w:p>
        </w:tc>
        <w:tc>
          <w:tcPr>
            <w:tcW w:w="575" w:type="pct"/>
            <w:tcBorders>
              <w:top w:val="nil"/>
              <w:left w:val="nil"/>
              <w:bottom w:val="nil"/>
              <w:right w:val="nil"/>
            </w:tcBorders>
            <w:shd w:val="clear" w:color="auto" w:fill="auto"/>
            <w:noWrap/>
            <w:vAlign w:val="center"/>
            <w:hideMark/>
          </w:tcPr>
          <w:p w14:paraId="2DA2CAF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2.39 ± 0.27</w:t>
            </w:r>
          </w:p>
        </w:tc>
        <w:tc>
          <w:tcPr>
            <w:tcW w:w="570" w:type="pct"/>
            <w:tcBorders>
              <w:top w:val="nil"/>
              <w:left w:val="nil"/>
              <w:bottom w:val="nil"/>
              <w:right w:val="nil"/>
            </w:tcBorders>
            <w:shd w:val="clear" w:color="auto" w:fill="auto"/>
            <w:noWrap/>
            <w:vAlign w:val="center"/>
            <w:hideMark/>
          </w:tcPr>
          <w:p w14:paraId="5950A12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1.94 ± 0.42</w:t>
            </w:r>
          </w:p>
        </w:tc>
      </w:tr>
      <w:tr w:rsidR="00B4386F" w:rsidRPr="00FA7D47" w14:paraId="04F8F4BD" w14:textId="77777777" w:rsidTr="0095549A">
        <w:trPr>
          <w:trHeight w:val="290"/>
        </w:trPr>
        <w:tc>
          <w:tcPr>
            <w:tcW w:w="990" w:type="pct"/>
            <w:tcBorders>
              <w:top w:val="nil"/>
              <w:left w:val="nil"/>
              <w:bottom w:val="nil"/>
              <w:right w:val="nil"/>
            </w:tcBorders>
            <w:shd w:val="clear" w:color="auto" w:fill="auto"/>
            <w:vAlign w:val="center"/>
            <w:hideMark/>
          </w:tcPr>
          <w:p w14:paraId="1905D3A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22:4n-6</w:t>
            </w:r>
          </w:p>
        </w:tc>
        <w:tc>
          <w:tcPr>
            <w:tcW w:w="573" w:type="pct"/>
            <w:tcBorders>
              <w:top w:val="nil"/>
              <w:left w:val="nil"/>
              <w:bottom w:val="nil"/>
              <w:right w:val="nil"/>
            </w:tcBorders>
            <w:shd w:val="clear" w:color="auto" w:fill="auto"/>
            <w:noWrap/>
            <w:vAlign w:val="center"/>
            <w:hideMark/>
          </w:tcPr>
          <w:p w14:paraId="0F953CC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 ± 0.27</w:t>
            </w:r>
          </w:p>
        </w:tc>
        <w:tc>
          <w:tcPr>
            <w:tcW w:w="573" w:type="pct"/>
            <w:tcBorders>
              <w:top w:val="nil"/>
              <w:left w:val="nil"/>
              <w:bottom w:val="nil"/>
              <w:right w:val="nil"/>
            </w:tcBorders>
            <w:shd w:val="clear" w:color="auto" w:fill="auto"/>
            <w:noWrap/>
            <w:vAlign w:val="center"/>
            <w:hideMark/>
          </w:tcPr>
          <w:p w14:paraId="6B4A78D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0.48 ± 0.32</w:t>
            </w:r>
          </w:p>
        </w:tc>
        <w:tc>
          <w:tcPr>
            <w:tcW w:w="573" w:type="pct"/>
            <w:tcBorders>
              <w:top w:val="nil"/>
              <w:left w:val="nil"/>
              <w:bottom w:val="nil"/>
              <w:right w:val="nil"/>
            </w:tcBorders>
            <w:shd w:val="clear" w:color="auto" w:fill="auto"/>
            <w:noWrap/>
            <w:vAlign w:val="center"/>
            <w:hideMark/>
          </w:tcPr>
          <w:p w14:paraId="230A86F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0.52 ± 0.16</w:t>
            </w:r>
          </w:p>
        </w:tc>
        <w:tc>
          <w:tcPr>
            <w:tcW w:w="573" w:type="pct"/>
            <w:tcBorders>
              <w:top w:val="nil"/>
              <w:left w:val="nil"/>
              <w:bottom w:val="nil"/>
              <w:right w:val="nil"/>
            </w:tcBorders>
            <w:shd w:val="clear" w:color="auto" w:fill="auto"/>
            <w:noWrap/>
            <w:vAlign w:val="center"/>
            <w:hideMark/>
          </w:tcPr>
          <w:p w14:paraId="65E816F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0.54 ± 0.19</w:t>
            </w:r>
          </w:p>
        </w:tc>
        <w:tc>
          <w:tcPr>
            <w:tcW w:w="573" w:type="pct"/>
            <w:tcBorders>
              <w:top w:val="nil"/>
              <w:left w:val="nil"/>
              <w:bottom w:val="nil"/>
              <w:right w:val="nil"/>
            </w:tcBorders>
            <w:shd w:val="clear" w:color="auto" w:fill="auto"/>
            <w:noWrap/>
            <w:vAlign w:val="center"/>
            <w:hideMark/>
          </w:tcPr>
          <w:p w14:paraId="13C67AF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0.69 ± 0.16</w:t>
            </w:r>
          </w:p>
        </w:tc>
        <w:tc>
          <w:tcPr>
            <w:tcW w:w="575" w:type="pct"/>
            <w:tcBorders>
              <w:top w:val="nil"/>
              <w:left w:val="nil"/>
              <w:bottom w:val="nil"/>
              <w:right w:val="nil"/>
            </w:tcBorders>
            <w:shd w:val="clear" w:color="auto" w:fill="auto"/>
            <w:noWrap/>
            <w:vAlign w:val="center"/>
            <w:hideMark/>
          </w:tcPr>
          <w:p w14:paraId="40674EA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0.72 ± 0.15</w:t>
            </w:r>
          </w:p>
        </w:tc>
        <w:tc>
          <w:tcPr>
            <w:tcW w:w="570" w:type="pct"/>
            <w:tcBorders>
              <w:top w:val="nil"/>
              <w:left w:val="nil"/>
              <w:bottom w:val="nil"/>
              <w:right w:val="nil"/>
            </w:tcBorders>
            <w:shd w:val="clear" w:color="auto" w:fill="auto"/>
            <w:noWrap/>
            <w:vAlign w:val="center"/>
            <w:hideMark/>
          </w:tcPr>
          <w:p w14:paraId="564089F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0.07</w:t>
            </w:r>
          </w:p>
        </w:tc>
      </w:tr>
      <w:tr w:rsidR="00B4386F" w:rsidRPr="00FA7D47" w14:paraId="48625703" w14:textId="77777777" w:rsidTr="0095549A">
        <w:trPr>
          <w:trHeight w:val="290"/>
        </w:trPr>
        <w:tc>
          <w:tcPr>
            <w:tcW w:w="990" w:type="pct"/>
            <w:tcBorders>
              <w:top w:val="nil"/>
              <w:left w:val="nil"/>
              <w:bottom w:val="nil"/>
              <w:right w:val="nil"/>
            </w:tcBorders>
            <w:shd w:val="clear" w:color="auto" w:fill="auto"/>
            <w:vAlign w:val="center"/>
            <w:hideMark/>
          </w:tcPr>
          <w:p w14:paraId="5DD1B8B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22:5n-6</w:t>
            </w:r>
          </w:p>
        </w:tc>
        <w:tc>
          <w:tcPr>
            <w:tcW w:w="573" w:type="pct"/>
            <w:tcBorders>
              <w:top w:val="nil"/>
              <w:left w:val="nil"/>
              <w:bottom w:val="nil"/>
              <w:right w:val="nil"/>
            </w:tcBorders>
            <w:shd w:val="clear" w:color="auto" w:fill="auto"/>
            <w:noWrap/>
            <w:vAlign w:val="center"/>
            <w:hideMark/>
          </w:tcPr>
          <w:p w14:paraId="51A9592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0.1</w:t>
            </w:r>
          </w:p>
        </w:tc>
        <w:tc>
          <w:tcPr>
            <w:tcW w:w="573" w:type="pct"/>
            <w:tcBorders>
              <w:top w:val="nil"/>
              <w:left w:val="nil"/>
              <w:bottom w:val="nil"/>
              <w:right w:val="nil"/>
            </w:tcBorders>
            <w:shd w:val="clear" w:color="auto" w:fill="auto"/>
            <w:noWrap/>
            <w:vAlign w:val="center"/>
            <w:hideMark/>
          </w:tcPr>
          <w:p w14:paraId="68CEA20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0.36 ± 0.13</w:t>
            </w:r>
          </w:p>
        </w:tc>
        <w:tc>
          <w:tcPr>
            <w:tcW w:w="573" w:type="pct"/>
            <w:tcBorders>
              <w:top w:val="nil"/>
              <w:left w:val="nil"/>
              <w:bottom w:val="nil"/>
              <w:right w:val="nil"/>
            </w:tcBorders>
            <w:shd w:val="clear" w:color="auto" w:fill="auto"/>
            <w:noWrap/>
            <w:vAlign w:val="center"/>
            <w:hideMark/>
          </w:tcPr>
          <w:p w14:paraId="5A2AFDD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0.37 ± 0.13</w:t>
            </w:r>
          </w:p>
        </w:tc>
        <w:tc>
          <w:tcPr>
            <w:tcW w:w="573" w:type="pct"/>
            <w:tcBorders>
              <w:top w:val="nil"/>
              <w:left w:val="nil"/>
              <w:bottom w:val="nil"/>
              <w:right w:val="nil"/>
            </w:tcBorders>
            <w:shd w:val="clear" w:color="auto" w:fill="auto"/>
            <w:noWrap/>
            <w:vAlign w:val="center"/>
            <w:hideMark/>
          </w:tcPr>
          <w:p w14:paraId="3E58573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0.39 ± 0.05</w:t>
            </w:r>
          </w:p>
        </w:tc>
        <w:tc>
          <w:tcPr>
            <w:tcW w:w="573" w:type="pct"/>
            <w:tcBorders>
              <w:top w:val="nil"/>
              <w:left w:val="nil"/>
              <w:bottom w:val="nil"/>
              <w:right w:val="nil"/>
            </w:tcBorders>
            <w:shd w:val="clear" w:color="auto" w:fill="auto"/>
            <w:noWrap/>
            <w:vAlign w:val="center"/>
            <w:hideMark/>
          </w:tcPr>
          <w:p w14:paraId="5E17222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 ± 0.05</w:t>
            </w:r>
          </w:p>
        </w:tc>
        <w:tc>
          <w:tcPr>
            <w:tcW w:w="575" w:type="pct"/>
            <w:tcBorders>
              <w:top w:val="nil"/>
              <w:left w:val="nil"/>
              <w:bottom w:val="nil"/>
              <w:right w:val="nil"/>
            </w:tcBorders>
            <w:shd w:val="clear" w:color="auto" w:fill="auto"/>
            <w:noWrap/>
            <w:vAlign w:val="center"/>
            <w:hideMark/>
          </w:tcPr>
          <w:p w14:paraId="388673C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0.5 ± 0.06</w:t>
            </w:r>
          </w:p>
        </w:tc>
        <w:tc>
          <w:tcPr>
            <w:tcW w:w="570" w:type="pct"/>
            <w:tcBorders>
              <w:top w:val="nil"/>
              <w:left w:val="nil"/>
              <w:bottom w:val="nil"/>
              <w:right w:val="nil"/>
            </w:tcBorders>
            <w:shd w:val="clear" w:color="auto" w:fill="auto"/>
            <w:noWrap/>
            <w:vAlign w:val="center"/>
            <w:hideMark/>
          </w:tcPr>
          <w:p w14:paraId="1914A74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0.04</w:t>
            </w:r>
          </w:p>
        </w:tc>
      </w:tr>
      <w:tr w:rsidR="00B4386F" w:rsidRPr="00FA7D47" w14:paraId="5A5B74CB" w14:textId="77777777" w:rsidTr="0095549A">
        <w:trPr>
          <w:trHeight w:val="300"/>
        </w:trPr>
        <w:tc>
          <w:tcPr>
            <w:tcW w:w="990" w:type="pct"/>
            <w:tcBorders>
              <w:top w:val="single" w:sz="4" w:space="0" w:color="auto"/>
              <w:left w:val="nil"/>
              <w:bottom w:val="single" w:sz="8" w:space="0" w:color="auto"/>
              <w:right w:val="nil"/>
            </w:tcBorders>
            <w:shd w:val="clear" w:color="auto" w:fill="auto"/>
            <w:vAlign w:val="center"/>
            <w:hideMark/>
          </w:tcPr>
          <w:p w14:paraId="7FB0F078"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total n6</w:t>
            </w:r>
          </w:p>
        </w:tc>
        <w:tc>
          <w:tcPr>
            <w:tcW w:w="573" w:type="pct"/>
            <w:tcBorders>
              <w:top w:val="single" w:sz="4" w:space="0" w:color="auto"/>
              <w:left w:val="nil"/>
              <w:bottom w:val="single" w:sz="8" w:space="0" w:color="auto"/>
              <w:right w:val="nil"/>
            </w:tcBorders>
            <w:shd w:val="clear" w:color="auto" w:fill="auto"/>
            <w:noWrap/>
            <w:vAlign w:val="center"/>
            <w:hideMark/>
          </w:tcPr>
          <w:p w14:paraId="42061864"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4.69 ± 1.41</w:t>
            </w:r>
          </w:p>
        </w:tc>
        <w:tc>
          <w:tcPr>
            <w:tcW w:w="573" w:type="pct"/>
            <w:tcBorders>
              <w:top w:val="single" w:sz="4" w:space="0" w:color="auto"/>
              <w:left w:val="nil"/>
              <w:bottom w:val="single" w:sz="8" w:space="0" w:color="auto"/>
              <w:right w:val="nil"/>
            </w:tcBorders>
            <w:shd w:val="clear" w:color="auto" w:fill="auto"/>
            <w:noWrap/>
            <w:vAlign w:val="center"/>
            <w:hideMark/>
          </w:tcPr>
          <w:p w14:paraId="7EE28446"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4.81 ± 1.46</w:t>
            </w:r>
          </w:p>
        </w:tc>
        <w:tc>
          <w:tcPr>
            <w:tcW w:w="573" w:type="pct"/>
            <w:tcBorders>
              <w:top w:val="single" w:sz="4" w:space="0" w:color="auto"/>
              <w:left w:val="nil"/>
              <w:bottom w:val="single" w:sz="8" w:space="0" w:color="auto"/>
              <w:right w:val="nil"/>
            </w:tcBorders>
            <w:shd w:val="clear" w:color="auto" w:fill="auto"/>
            <w:noWrap/>
            <w:vAlign w:val="center"/>
            <w:hideMark/>
          </w:tcPr>
          <w:p w14:paraId="52F96A5D"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5.62 ± 0.79</w:t>
            </w:r>
          </w:p>
        </w:tc>
        <w:tc>
          <w:tcPr>
            <w:tcW w:w="573" w:type="pct"/>
            <w:tcBorders>
              <w:top w:val="single" w:sz="4" w:space="0" w:color="auto"/>
              <w:left w:val="nil"/>
              <w:bottom w:val="single" w:sz="8" w:space="0" w:color="auto"/>
              <w:right w:val="nil"/>
            </w:tcBorders>
            <w:shd w:val="clear" w:color="auto" w:fill="auto"/>
            <w:noWrap/>
            <w:vAlign w:val="center"/>
            <w:hideMark/>
          </w:tcPr>
          <w:p w14:paraId="45725238"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5.48 ± 1.48</w:t>
            </w:r>
          </w:p>
        </w:tc>
        <w:tc>
          <w:tcPr>
            <w:tcW w:w="573" w:type="pct"/>
            <w:tcBorders>
              <w:top w:val="single" w:sz="4" w:space="0" w:color="auto"/>
              <w:left w:val="nil"/>
              <w:bottom w:val="single" w:sz="8" w:space="0" w:color="auto"/>
              <w:right w:val="nil"/>
            </w:tcBorders>
            <w:shd w:val="clear" w:color="auto" w:fill="auto"/>
            <w:noWrap/>
            <w:vAlign w:val="center"/>
            <w:hideMark/>
          </w:tcPr>
          <w:p w14:paraId="4DC8FF6A"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6.77 ± 1.12</w:t>
            </w:r>
          </w:p>
        </w:tc>
        <w:tc>
          <w:tcPr>
            <w:tcW w:w="575" w:type="pct"/>
            <w:tcBorders>
              <w:top w:val="single" w:sz="4" w:space="0" w:color="auto"/>
              <w:left w:val="nil"/>
              <w:bottom w:val="single" w:sz="8" w:space="0" w:color="auto"/>
              <w:right w:val="nil"/>
            </w:tcBorders>
            <w:shd w:val="clear" w:color="auto" w:fill="auto"/>
            <w:noWrap/>
            <w:vAlign w:val="center"/>
            <w:hideMark/>
          </w:tcPr>
          <w:p w14:paraId="32FB73E1"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7.42 ± 1.56</w:t>
            </w:r>
          </w:p>
        </w:tc>
        <w:tc>
          <w:tcPr>
            <w:tcW w:w="570" w:type="pct"/>
            <w:tcBorders>
              <w:top w:val="single" w:sz="4" w:space="0" w:color="auto"/>
              <w:left w:val="nil"/>
              <w:bottom w:val="single" w:sz="8" w:space="0" w:color="auto"/>
              <w:right w:val="nil"/>
            </w:tcBorders>
            <w:shd w:val="clear" w:color="auto" w:fill="auto"/>
            <w:noWrap/>
            <w:vAlign w:val="center"/>
            <w:hideMark/>
          </w:tcPr>
          <w:p w14:paraId="73994791"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3.79 ± 1.13</w:t>
            </w:r>
          </w:p>
        </w:tc>
      </w:tr>
      <w:tr w:rsidR="00B4386F" w:rsidRPr="00FA7D47" w14:paraId="5B10E900" w14:textId="77777777" w:rsidTr="0095549A">
        <w:trPr>
          <w:trHeight w:val="290"/>
        </w:trPr>
        <w:tc>
          <w:tcPr>
            <w:tcW w:w="990" w:type="pct"/>
            <w:tcBorders>
              <w:top w:val="nil"/>
              <w:left w:val="nil"/>
              <w:bottom w:val="nil"/>
              <w:right w:val="nil"/>
            </w:tcBorders>
            <w:shd w:val="clear" w:color="auto" w:fill="auto"/>
            <w:vAlign w:val="center"/>
            <w:hideMark/>
          </w:tcPr>
          <w:p w14:paraId="019C77F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18:3n-3</w:t>
            </w:r>
          </w:p>
        </w:tc>
        <w:tc>
          <w:tcPr>
            <w:tcW w:w="573" w:type="pct"/>
            <w:tcBorders>
              <w:top w:val="nil"/>
              <w:left w:val="nil"/>
              <w:bottom w:val="nil"/>
              <w:right w:val="nil"/>
            </w:tcBorders>
            <w:shd w:val="clear" w:color="auto" w:fill="auto"/>
            <w:noWrap/>
            <w:vAlign w:val="center"/>
            <w:hideMark/>
          </w:tcPr>
          <w:p w14:paraId="6AB3585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0.26 ± 0.04</w:t>
            </w:r>
          </w:p>
        </w:tc>
        <w:tc>
          <w:tcPr>
            <w:tcW w:w="573" w:type="pct"/>
            <w:tcBorders>
              <w:top w:val="nil"/>
              <w:left w:val="nil"/>
              <w:bottom w:val="nil"/>
              <w:right w:val="nil"/>
            </w:tcBorders>
            <w:shd w:val="clear" w:color="auto" w:fill="auto"/>
            <w:noWrap/>
            <w:vAlign w:val="center"/>
            <w:hideMark/>
          </w:tcPr>
          <w:p w14:paraId="7D509CA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0.24 ± 0.06</w:t>
            </w:r>
          </w:p>
        </w:tc>
        <w:tc>
          <w:tcPr>
            <w:tcW w:w="573" w:type="pct"/>
            <w:tcBorders>
              <w:top w:val="nil"/>
              <w:left w:val="nil"/>
              <w:bottom w:val="nil"/>
              <w:right w:val="nil"/>
            </w:tcBorders>
            <w:shd w:val="clear" w:color="auto" w:fill="auto"/>
            <w:noWrap/>
            <w:vAlign w:val="center"/>
            <w:hideMark/>
          </w:tcPr>
          <w:p w14:paraId="1896ADE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0.02</w:t>
            </w:r>
          </w:p>
        </w:tc>
        <w:tc>
          <w:tcPr>
            <w:tcW w:w="573" w:type="pct"/>
            <w:tcBorders>
              <w:top w:val="nil"/>
              <w:left w:val="nil"/>
              <w:bottom w:val="nil"/>
              <w:right w:val="nil"/>
            </w:tcBorders>
            <w:shd w:val="clear" w:color="auto" w:fill="auto"/>
            <w:noWrap/>
            <w:vAlign w:val="center"/>
            <w:hideMark/>
          </w:tcPr>
          <w:p w14:paraId="679B2F4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0.42 ± 0.22</w:t>
            </w:r>
          </w:p>
        </w:tc>
        <w:tc>
          <w:tcPr>
            <w:tcW w:w="573" w:type="pct"/>
            <w:tcBorders>
              <w:top w:val="nil"/>
              <w:left w:val="nil"/>
              <w:bottom w:val="nil"/>
              <w:right w:val="nil"/>
            </w:tcBorders>
            <w:shd w:val="clear" w:color="auto" w:fill="auto"/>
            <w:noWrap/>
            <w:vAlign w:val="center"/>
            <w:hideMark/>
          </w:tcPr>
          <w:p w14:paraId="4772340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0.03</w:t>
            </w:r>
          </w:p>
        </w:tc>
        <w:tc>
          <w:tcPr>
            <w:tcW w:w="575" w:type="pct"/>
            <w:tcBorders>
              <w:top w:val="nil"/>
              <w:left w:val="nil"/>
              <w:bottom w:val="nil"/>
              <w:right w:val="nil"/>
            </w:tcBorders>
            <w:shd w:val="clear" w:color="auto" w:fill="auto"/>
            <w:noWrap/>
            <w:vAlign w:val="center"/>
            <w:hideMark/>
          </w:tcPr>
          <w:p w14:paraId="0343AE7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0.06</w:t>
            </w:r>
          </w:p>
        </w:tc>
        <w:tc>
          <w:tcPr>
            <w:tcW w:w="570" w:type="pct"/>
            <w:tcBorders>
              <w:top w:val="nil"/>
              <w:left w:val="nil"/>
              <w:bottom w:val="nil"/>
              <w:right w:val="nil"/>
            </w:tcBorders>
            <w:shd w:val="clear" w:color="auto" w:fill="auto"/>
            <w:noWrap/>
            <w:vAlign w:val="center"/>
            <w:hideMark/>
          </w:tcPr>
          <w:p w14:paraId="5688D99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0.26 ± 0.06</w:t>
            </w:r>
          </w:p>
        </w:tc>
      </w:tr>
      <w:tr w:rsidR="00B4386F" w:rsidRPr="00FA7D47" w14:paraId="79ED076A" w14:textId="77777777" w:rsidTr="0095549A">
        <w:trPr>
          <w:trHeight w:val="290"/>
        </w:trPr>
        <w:tc>
          <w:tcPr>
            <w:tcW w:w="990" w:type="pct"/>
            <w:tcBorders>
              <w:top w:val="nil"/>
              <w:left w:val="nil"/>
              <w:bottom w:val="nil"/>
              <w:right w:val="nil"/>
            </w:tcBorders>
            <w:shd w:val="clear" w:color="auto" w:fill="auto"/>
            <w:vAlign w:val="center"/>
            <w:hideMark/>
          </w:tcPr>
          <w:p w14:paraId="32C77FB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18:4n-3</w:t>
            </w:r>
          </w:p>
        </w:tc>
        <w:tc>
          <w:tcPr>
            <w:tcW w:w="573" w:type="pct"/>
            <w:tcBorders>
              <w:top w:val="nil"/>
              <w:left w:val="nil"/>
              <w:bottom w:val="nil"/>
              <w:right w:val="nil"/>
            </w:tcBorders>
            <w:shd w:val="clear" w:color="auto" w:fill="auto"/>
            <w:noWrap/>
            <w:vAlign w:val="center"/>
            <w:hideMark/>
          </w:tcPr>
          <w:p w14:paraId="2A7C4E3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0.32 ± 0.1</w:t>
            </w:r>
          </w:p>
        </w:tc>
        <w:tc>
          <w:tcPr>
            <w:tcW w:w="573" w:type="pct"/>
            <w:tcBorders>
              <w:top w:val="nil"/>
              <w:left w:val="nil"/>
              <w:bottom w:val="nil"/>
              <w:right w:val="nil"/>
            </w:tcBorders>
            <w:shd w:val="clear" w:color="auto" w:fill="auto"/>
            <w:noWrap/>
            <w:vAlign w:val="center"/>
            <w:hideMark/>
          </w:tcPr>
          <w:p w14:paraId="7DD1D55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0.44 ± 0.17</w:t>
            </w:r>
          </w:p>
        </w:tc>
        <w:tc>
          <w:tcPr>
            <w:tcW w:w="573" w:type="pct"/>
            <w:tcBorders>
              <w:top w:val="nil"/>
              <w:left w:val="nil"/>
              <w:bottom w:val="nil"/>
              <w:right w:val="nil"/>
            </w:tcBorders>
            <w:shd w:val="clear" w:color="auto" w:fill="auto"/>
            <w:noWrap/>
            <w:vAlign w:val="center"/>
            <w:hideMark/>
          </w:tcPr>
          <w:p w14:paraId="75F3703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0.36 ± 0.33</w:t>
            </w:r>
          </w:p>
        </w:tc>
        <w:tc>
          <w:tcPr>
            <w:tcW w:w="573" w:type="pct"/>
            <w:tcBorders>
              <w:top w:val="nil"/>
              <w:left w:val="nil"/>
              <w:bottom w:val="nil"/>
              <w:right w:val="nil"/>
            </w:tcBorders>
            <w:shd w:val="clear" w:color="auto" w:fill="auto"/>
            <w:noWrap/>
            <w:vAlign w:val="center"/>
            <w:hideMark/>
          </w:tcPr>
          <w:p w14:paraId="172575A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0.42 ± 0.15</w:t>
            </w:r>
          </w:p>
        </w:tc>
        <w:tc>
          <w:tcPr>
            <w:tcW w:w="573" w:type="pct"/>
            <w:tcBorders>
              <w:top w:val="nil"/>
              <w:left w:val="nil"/>
              <w:bottom w:val="nil"/>
              <w:right w:val="nil"/>
            </w:tcBorders>
            <w:shd w:val="clear" w:color="auto" w:fill="auto"/>
            <w:noWrap/>
            <w:vAlign w:val="center"/>
            <w:hideMark/>
          </w:tcPr>
          <w:p w14:paraId="131F690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0.09</w:t>
            </w:r>
          </w:p>
        </w:tc>
        <w:tc>
          <w:tcPr>
            <w:tcW w:w="575" w:type="pct"/>
            <w:tcBorders>
              <w:top w:val="nil"/>
              <w:left w:val="nil"/>
              <w:bottom w:val="nil"/>
              <w:right w:val="nil"/>
            </w:tcBorders>
            <w:shd w:val="clear" w:color="auto" w:fill="auto"/>
            <w:noWrap/>
            <w:vAlign w:val="center"/>
            <w:hideMark/>
          </w:tcPr>
          <w:p w14:paraId="370BFCF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 ± 0.08</w:t>
            </w:r>
          </w:p>
        </w:tc>
        <w:tc>
          <w:tcPr>
            <w:tcW w:w="570" w:type="pct"/>
            <w:tcBorders>
              <w:top w:val="nil"/>
              <w:left w:val="nil"/>
              <w:bottom w:val="nil"/>
              <w:right w:val="nil"/>
            </w:tcBorders>
            <w:shd w:val="clear" w:color="auto" w:fill="auto"/>
            <w:noWrap/>
            <w:vAlign w:val="center"/>
            <w:hideMark/>
          </w:tcPr>
          <w:p w14:paraId="61F4730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0.38 ± 0.09</w:t>
            </w:r>
          </w:p>
        </w:tc>
      </w:tr>
      <w:tr w:rsidR="00B4386F" w:rsidRPr="00FA7D47" w14:paraId="2D236929" w14:textId="77777777" w:rsidTr="0095549A">
        <w:trPr>
          <w:trHeight w:val="290"/>
        </w:trPr>
        <w:tc>
          <w:tcPr>
            <w:tcW w:w="990" w:type="pct"/>
            <w:tcBorders>
              <w:top w:val="nil"/>
              <w:left w:val="nil"/>
              <w:bottom w:val="nil"/>
              <w:right w:val="nil"/>
            </w:tcBorders>
            <w:shd w:val="clear" w:color="auto" w:fill="auto"/>
            <w:vAlign w:val="center"/>
            <w:hideMark/>
          </w:tcPr>
          <w:p w14:paraId="154258B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20:3n-3</w:t>
            </w:r>
          </w:p>
        </w:tc>
        <w:tc>
          <w:tcPr>
            <w:tcW w:w="573" w:type="pct"/>
            <w:tcBorders>
              <w:top w:val="nil"/>
              <w:left w:val="nil"/>
              <w:bottom w:val="nil"/>
              <w:right w:val="nil"/>
            </w:tcBorders>
            <w:shd w:val="clear" w:color="auto" w:fill="auto"/>
            <w:noWrap/>
            <w:vAlign w:val="center"/>
            <w:hideMark/>
          </w:tcPr>
          <w:p w14:paraId="2D52D51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0.24 ± 0.05</w:t>
            </w:r>
          </w:p>
        </w:tc>
        <w:tc>
          <w:tcPr>
            <w:tcW w:w="573" w:type="pct"/>
            <w:tcBorders>
              <w:top w:val="nil"/>
              <w:left w:val="nil"/>
              <w:bottom w:val="nil"/>
              <w:right w:val="nil"/>
            </w:tcBorders>
            <w:shd w:val="clear" w:color="auto" w:fill="auto"/>
            <w:noWrap/>
            <w:vAlign w:val="center"/>
            <w:hideMark/>
          </w:tcPr>
          <w:p w14:paraId="5DC51D4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0.28 ± 0.04</w:t>
            </w:r>
          </w:p>
        </w:tc>
        <w:tc>
          <w:tcPr>
            <w:tcW w:w="573" w:type="pct"/>
            <w:tcBorders>
              <w:top w:val="nil"/>
              <w:left w:val="nil"/>
              <w:bottom w:val="nil"/>
              <w:right w:val="nil"/>
            </w:tcBorders>
            <w:shd w:val="clear" w:color="auto" w:fill="auto"/>
            <w:noWrap/>
            <w:vAlign w:val="center"/>
            <w:hideMark/>
          </w:tcPr>
          <w:p w14:paraId="6E00414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0.19 ± 0.18</w:t>
            </w:r>
          </w:p>
        </w:tc>
        <w:tc>
          <w:tcPr>
            <w:tcW w:w="573" w:type="pct"/>
            <w:tcBorders>
              <w:top w:val="nil"/>
              <w:left w:val="nil"/>
              <w:bottom w:val="nil"/>
              <w:right w:val="nil"/>
            </w:tcBorders>
            <w:shd w:val="clear" w:color="auto" w:fill="auto"/>
            <w:noWrap/>
            <w:vAlign w:val="center"/>
            <w:hideMark/>
          </w:tcPr>
          <w:p w14:paraId="1AD4DB2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0.32 ± 0.04</w:t>
            </w:r>
          </w:p>
        </w:tc>
        <w:tc>
          <w:tcPr>
            <w:tcW w:w="573" w:type="pct"/>
            <w:tcBorders>
              <w:top w:val="nil"/>
              <w:left w:val="nil"/>
              <w:bottom w:val="nil"/>
              <w:right w:val="nil"/>
            </w:tcBorders>
            <w:shd w:val="clear" w:color="auto" w:fill="auto"/>
            <w:noWrap/>
            <w:vAlign w:val="center"/>
            <w:hideMark/>
          </w:tcPr>
          <w:p w14:paraId="72E8D80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0.32 ± 0.03</w:t>
            </w:r>
          </w:p>
        </w:tc>
        <w:tc>
          <w:tcPr>
            <w:tcW w:w="575" w:type="pct"/>
            <w:tcBorders>
              <w:top w:val="nil"/>
              <w:left w:val="nil"/>
              <w:bottom w:val="nil"/>
              <w:right w:val="nil"/>
            </w:tcBorders>
            <w:shd w:val="clear" w:color="auto" w:fill="auto"/>
            <w:noWrap/>
            <w:vAlign w:val="center"/>
            <w:hideMark/>
          </w:tcPr>
          <w:p w14:paraId="69B5B6A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 ± 0.06</w:t>
            </w:r>
          </w:p>
        </w:tc>
        <w:tc>
          <w:tcPr>
            <w:tcW w:w="570" w:type="pct"/>
            <w:tcBorders>
              <w:top w:val="nil"/>
              <w:left w:val="nil"/>
              <w:bottom w:val="nil"/>
              <w:right w:val="nil"/>
            </w:tcBorders>
            <w:shd w:val="clear" w:color="auto" w:fill="auto"/>
            <w:noWrap/>
            <w:vAlign w:val="center"/>
            <w:hideMark/>
          </w:tcPr>
          <w:p w14:paraId="7B2DF52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0.09 ± 0</w:t>
            </w:r>
          </w:p>
        </w:tc>
      </w:tr>
      <w:tr w:rsidR="00B4386F" w:rsidRPr="00FA7D47" w14:paraId="6F2FC02C" w14:textId="77777777" w:rsidTr="0095549A">
        <w:trPr>
          <w:trHeight w:val="290"/>
        </w:trPr>
        <w:tc>
          <w:tcPr>
            <w:tcW w:w="990" w:type="pct"/>
            <w:tcBorders>
              <w:top w:val="nil"/>
              <w:left w:val="nil"/>
              <w:bottom w:val="nil"/>
              <w:right w:val="nil"/>
            </w:tcBorders>
            <w:shd w:val="clear" w:color="auto" w:fill="auto"/>
            <w:vAlign w:val="center"/>
            <w:hideMark/>
          </w:tcPr>
          <w:p w14:paraId="42860B2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20:4n-3</w:t>
            </w:r>
          </w:p>
        </w:tc>
        <w:tc>
          <w:tcPr>
            <w:tcW w:w="573" w:type="pct"/>
            <w:tcBorders>
              <w:top w:val="nil"/>
              <w:left w:val="nil"/>
              <w:bottom w:val="nil"/>
              <w:right w:val="nil"/>
            </w:tcBorders>
            <w:shd w:val="clear" w:color="auto" w:fill="auto"/>
            <w:noWrap/>
            <w:vAlign w:val="center"/>
            <w:hideMark/>
          </w:tcPr>
          <w:p w14:paraId="2B66DF6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0.23 ± 0.04</w:t>
            </w:r>
          </w:p>
        </w:tc>
        <w:tc>
          <w:tcPr>
            <w:tcW w:w="573" w:type="pct"/>
            <w:tcBorders>
              <w:top w:val="nil"/>
              <w:left w:val="nil"/>
              <w:bottom w:val="nil"/>
              <w:right w:val="nil"/>
            </w:tcBorders>
            <w:shd w:val="clear" w:color="auto" w:fill="auto"/>
            <w:noWrap/>
            <w:vAlign w:val="center"/>
            <w:hideMark/>
          </w:tcPr>
          <w:p w14:paraId="2494BB5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0.27 ± 0.07</w:t>
            </w:r>
          </w:p>
        </w:tc>
        <w:tc>
          <w:tcPr>
            <w:tcW w:w="573" w:type="pct"/>
            <w:tcBorders>
              <w:top w:val="nil"/>
              <w:left w:val="nil"/>
              <w:bottom w:val="nil"/>
              <w:right w:val="nil"/>
            </w:tcBorders>
            <w:shd w:val="clear" w:color="auto" w:fill="auto"/>
            <w:noWrap/>
            <w:vAlign w:val="center"/>
            <w:hideMark/>
          </w:tcPr>
          <w:p w14:paraId="78E40BC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0.23 ± 0.22</w:t>
            </w:r>
          </w:p>
        </w:tc>
        <w:tc>
          <w:tcPr>
            <w:tcW w:w="573" w:type="pct"/>
            <w:tcBorders>
              <w:top w:val="nil"/>
              <w:left w:val="nil"/>
              <w:bottom w:val="nil"/>
              <w:right w:val="nil"/>
            </w:tcBorders>
            <w:shd w:val="clear" w:color="auto" w:fill="auto"/>
            <w:noWrap/>
            <w:vAlign w:val="center"/>
            <w:hideMark/>
          </w:tcPr>
          <w:p w14:paraId="5FA42E2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 ± 0.04</w:t>
            </w:r>
          </w:p>
        </w:tc>
        <w:tc>
          <w:tcPr>
            <w:tcW w:w="573" w:type="pct"/>
            <w:tcBorders>
              <w:top w:val="nil"/>
              <w:left w:val="nil"/>
              <w:bottom w:val="nil"/>
              <w:right w:val="nil"/>
            </w:tcBorders>
            <w:shd w:val="clear" w:color="auto" w:fill="auto"/>
            <w:noWrap/>
            <w:vAlign w:val="center"/>
            <w:hideMark/>
          </w:tcPr>
          <w:p w14:paraId="388B60D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0.26 ± 0.07</w:t>
            </w:r>
          </w:p>
        </w:tc>
        <w:tc>
          <w:tcPr>
            <w:tcW w:w="575" w:type="pct"/>
            <w:tcBorders>
              <w:top w:val="nil"/>
              <w:left w:val="nil"/>
              <w:bottom w:val="nil"/>
              <w:right w:val="nil"/>
            </w:tcBorders>
            <w:shd w:val="clear" w:color="auto" w:fill="auto"/>
            <w:noWrap/>
            <w:vAlign w:val="center"/>
            <w:hideMark/>
          </w:tcPr>
          <w:p w14:paraId="560DF2D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0.22 ± 0.09</w:t>
            </w:r>
          </w:p>
        </w:tc>
        <w:tc>
          <w:tcPr>
            <w:tcW w:w="570" w:type="pct"/>
            <w:tcBorders>
              <w:top w:val="nil"/>
              <w:left w:val="nil"/>
              <w:bottom w:val="nil"/>
              <w:right w:val="nil"/>
            </w:tcBorders>
            <w:shd w:val="clear" w:color="auto" w:fill="auto"/>
            <w:noWrap/>
            <w:vAlign w:val="center"/>
            <w:hideMark/>
          </w:tcPr>
          <w:p w14:paraId="7028FAF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0.19 ± 0.05</w:t>
            </w:r>
          </w:p>
        </w:tc>
      </w:tr>
      <w:tr w:rsidR="00B4386F" w:rsidRPr="00FA7D47" w14:paraId="65685052" w14:textId="77777777" w:rsidTr="0095549A">
        <w:trPr>
          <w:trHeight w:val="290"/>
        </w:trPr>
        <w:tc>
          <w:tcPr>
            <w:tcW w:w="990" w:type="pct"/>
            <w:tcBorders>
              <w:top w:val="nil"/>
              <w:left w:val="nil"/>
              <w:bottom w:val="nil"/>
              <w:right w:val="nil"/>
            </w:tcBorders>
            <w:shd w:val="clear" w:color="auto" w:fill="auto"/>
            <w:vAlign w:val="center"/>
            <w:hideMark/>
          </w:tcPr>
          <w:p w14:paraId="15EC42E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20:5n-3</w:t>
            </w:r>
          </w:p>
        </w:tc>
        <w:tc>
          <w:tcPr>
            <w:tcW w:w="573" w:type="pct"/>
            <w:tcBorders>
              <w:top w:val="nil"/>
              <w:left w:val="nil"/>
              <w:bottom w:val="nil"/>
              <w:right w:val="nil"/>
            </w:tcBorders>
            <w:shd w:val="clear" w:color="auto" w:fill="auto"/>
            <w:noWrap/>
            <w:vAlign w:val="center"/>
            <w:hideMark/>
          </w:tcPr>
          <w:p w14:paraId="23CF9FE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5.19 ± 2.04</w:t>
            </w:r>
          </w:p>
        </w:tc>
        <w:tc>
          <w:tcPr>
            <w:tcW w:w="573" w:type="pct"/>
            <w:tcBorders>
              <w:top w:val="nil"/>
              <w:left w:val="nil"/>
              <w:bottom w:val="nil"/>
              <w:right w:val="nil"/>
            </w:tcBorders>
            <w:shd w:val="clear" w:color="auto" w:fill="auto"/>
            <w:noWrap/>
            <w:vAlign w:val="center"/>
            <w:hideMark/>
          </w:tcPr>
          <w:p w14:paraId="6F36A17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4.9 ± 1.21</w:t>
            </w:r>
          </w:p>
        </w:tc>
        <w:tc>
          <w:tcPr>
            <w:tcW w:w="573" w:type="pct"/>
            <w:tcBorders>
              <w:top w:val="nil"/>
              <w:left w:val="nil"/>
              <w:bottom w:val="nil"/>
              <w:right w:val="nil"/>
            </w:tcBorders>
            <w:shd w:val="clear" w:color="auto" w:fill="auto"/>
            <w:noWrap/>
            <w:vAlign w:val="center"/>
            <w:hideMark/>
          </w:tcPr>
          <w:p w14:paraId="1DDDE4D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5.8 ± 1.55</w:t>
            </w:r>
          </w:p>
        </w:tc>
        <w:tc>
          <w:tcPr>
            <w:tcW w:w="573" w:type="pct"/>
            <w:tcBorders>
              <w:top w:val="nil"/>
              <w:left w:val="nil"/>
              <w:bottom w:val="nil"/>
              <w:right w:val="nil"/>
            </w:tcBorders>
            <w:shd w:val="clear" w:color="auto" w:fill="auto"/>
            <w:noWrap/>
            <w:vAlign w:val="center"/>
            <w:hideMark/>
          </w:tcPr>
          <w:p w14:paraId="64A1015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4.62 ± 0.75</w:t>
            </w:r>
          </w:p>
        </w:tc>
        <w:tc>
          <w:tcPr>
            <w:tcW w:w="573" w:type="pct"/>
            <w:tcBorders>
              <w:top w:val="nil"/>
              <w:left w:val="nil"/>
              <w:bottom w:val="nil"/>
              <w:right w:val="nil"/>
            </w:tcBorders>
            <w:shd w:val="clear" w:color="auto" w:fill="auto"/>
            <w:noWrap/>
            <w:vAlign w:val="center"/>
            <w:hideMark/>
          </w:tcPr>
          <w:p w14:paraId="0FBE574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5.13 ± 0.43</w:t>
            </w:r>
          </w:p>
        </w:tc>
        <w:tc>
          <w:tcPr>
            <w:tcW w:w="575" w:type="pct"/>
            <w:tcBorders>
              <w:top w:val="nil"/>
              <w:left w:val="nil"/>
              <w:bottom w:val="nil"/>
              <w:right w:val="nil"/>
            </w:tcBorders>
            <w:shd w:val="clear" w:color="auto" w:fill="auto"/>
            <w:noWrap/>
            <w:vAlign w:val="center"/>
            <w:hideMark/>
          </w:tcPr>
          <w:p w14:paraId="142625D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3.15 ± 1.51</w:t>
            </w:r>
          </w:p>
        </w:tc>
        <w:tc>
          <w:tcPr>
            <w:tcW w:w="570" w:type="pct"/>
            <w:tcBorders>
              <w:top w:val="nil"/>
              <w:left w:val="nil"/>
              <w:bottom w:val="nil"/>
              <w:right w:val="nil"/>
            </w:tcBorders>
            <w:shd w:val="clear" w:color="auto" w:fill="auto"/>
            <w:noWrap/>
            <w:vAlign w:val="center"/>
            <w:hideMark/>
          </w:tcPr>
          <w:p w14:paraId="1687738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7.86 ± 1.13</w:t>
            </w:r>
          </w:p>
        </w:tc>
      </w:tr>
      <w:tr w:rsidR="00B4386F" w:rsidRPr="00FA7D47" w14:paraId="280D9481" w14:textId="77777777" w:rsidTr="0095549A">
        <w:trPr>
          <w:trHeight w:val="290"/>
        </w:trPr>
        <w:tc>
          <w:tcPr>
            <w:tcW w:w="990" w:type="pct"/>
            <w:tcBorders>
              <w:top w:val="nil"/>
              <w:left w:val="nil"/>
              <w:bottom w:val="nil"/>
              <w:right w:val="nil"/>
            </w:tcBorders>
            <w:shd w:val="clear" w:color="auto" w:fill="auto"/>
            <w:vAlign w:val="center"/>
            <w:hideMark/>
          </w:tcPr>
          <w:p w14:paraId="6DDE35C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21:5n-3</w:t>
            </w:r>
          </w:p>
        </w:tc>
        <w:tc>
          <w:tcPr>
            <w:tcW w:w="573" w:type="pct"/>
            <w:tcBorders>
              <w:top w:val="nil"/>
              <w:left w:val="nil"/>
              <w:bottom w:val="nil"/>
              <w:right w:val="nil"/>
            </w:tcBorders>
            <w:shd w:val="clear" w:color="auto" w:fill="auto"/>
            <w:noWrap/>
            <w:vAlign w:val="center"/>
            <w:hideMark/>
          </w:tcPr>
          <w:p w14:paraId="00C2D56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 ± 0.08</w:t>
            </w:r>
          </w:p>
        </w:tc>
        <w:tc>
          <w:tcPr>
            <w:tcW w:w="573" w:type="pct"/>
            <w:tcBorders>
              <w:top w:val="nil"/>
              <w:left w:val="nil"/>
              <w:bottom w:val="nil"/>
              <w:right w:val="nil"/>
            </w:tcBorders>
            <w:shd w:val="clear" w:color="auto" w:fill="auto"/>
            <w:noWrap/>
            <w:vAlign w:val="center"/>
            <w:hideMark/>
          </w:tcPr>
          <w:p w14:paraId="4D81F23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0.1</w:t>
            </w:r>
          </w:p>
        </w:tc>
        <w:tc>
          <w:tcPr>
            <w:tcW w:w="573" w:type="pct"/>
            <w:tcBorders>
              <w:top w:val="nil"/>
              <w:left w:val="nil"/>
              <w:bottom w:val="nil"/>
              <w:right w:val="nil"/>
            </w:tcBorders>
            <w:shd w:val="clear" w:color="auto" w:fill="auto"/>
            <w:noWrap/>
            <w:vAlign w:val="center"/>
            <w:hideMark/>
          </w:tcPr>
          <w:p w14:paraId="0D34FB8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0.18 ± 0.11</w:t>
            </w:r>
          </w:p>
        </w:tc>
        <w:tc>
          <w:tcPr>
            <w:tcW w:w="573" w:type="pct"/>
            <w:tcBorders>
              <w:top w:val="nil"/>
              <w:left w:val="nil"/>
              <w:bottom w:val="nil"/>
              <w:right w:val="nil"/>
            </w:tcBorders>
            <w:shd w:val="clear" w:color="auto" w:fill="auto"/>
            <w:noWrap/>
            <w:vAlign w:val="center"/>
            <w:hideMark/>
          </w:tcPr>
          <w:p w14:paraId="44A1173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0.18 ± 0.03</w:t>
            </w:r>
          </w:p>
        </w:tc>
        <w:tc>
          <w:tcPr>
            <w:tcW w:w="573" w:type="pct"/>
            <w:tcBorders>
              <w:top w:val="nil"/>
              <w:left w:val="nil"/>
              <w:bottom w:val="nil"/>
              <w:right w:val="nil"/>
            </w:tcBorders>
            <w:shd w:val="clear" w:color="auto" w:fill="auto"/>
            <w:noWrap/>
            <w:vAlign w:val="center"/>
            <w:hideMark/>
          </w:tcPr>
          <w:p w14:paraId="7303ADC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 ± 0.11</w:t>
            </w:r>
          </w:p>
        </w:tc>
        <w:tc>
          <w:tcPr>
            <w:tcW w:w="575" w:type="pct"/>
            <w:tcBorders>
              <w:top w:val="nil"/>
              <w:left w:val="nil"/>
              <w:bottom w:val="nil"/>
              <w:right w:val="nil"/>
            </w:tcBorders>
            <w:shd w:val="clear" w:color="auto" w:fill="auto"/>
            <w:noWrap/>
            <w:vAlign w:val="center"/>
            <w:hideMark/>
          </w:tcPr>
          <w:p w14:paraId="6F2DC81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0.12</w:t>
            </w:r>
          </w:p>
        </w:tc>
        <w:tc>
          <w:tcPr>
            <w:tcW w:w="570" w:type="pct"/>
            <w:tcBorders>
              <w:top w:val="nil"/>
              <w:left w:val="nil"/>
              <w:bottom w:val="nil"/>
              <w:right w:val="nil"/>
            </w:tcBorders>
            <w:shd w:val="clear" w:color="auto" w:fill="auto"/>
            <w:noWrap/>
            <w:vAlign w:val="center"/>
            <w:hideMark/>
          </w:tcPr>
          <w:p w14:paraId="4A61E15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0.27 ± 0.09</w:t>
            </w:r>
          </w:p>
        </w:tc>
      </w:tr>
      <w:tr w:rsidR="00B4386F" w:rsidRPr="00FA7D47" w14:paraId="229C1846" w14:textId="77777777" w:rsidTr="0095549A">
        <w:trPr>
          <w:trHeight w:val="290"/>
        </w:trPr>
        <w:tc>
          <w:tcPr>
            <w:tcW w:w="990" w:type="pct"/>
            <w:tcBorders>
              <w:top w:val="nil"/>
              <w:left w:val="nil"/>
              <w:bottom w:val="nil"/>
              <w:right w:val="nil"/>
            </w:tcBorders>
            <w:shd w:val="clear" w:color="auto" w:fill="auto"/>
            <w:vAlign w:val="center"/>
            <w:hideMark/>
          </w:tcPr>
          <w:p w14:paraId="2C06D58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22:5n-3</w:t>
            </w:r>
          </w:p>
        </w:tc>
        <w:tc>
          <w:tcPr>
            <w:tcW w:w="573" w:type="pct"/>
            <w:tcBorders>
              <w:top w:val="nil"/>
              <w:left w:val="nil"/>
              <w:bottom w:val="nil"/>
              <w:right w:val="nil"/>
            </w:tcBorders>
            <w:shd w:val="clear" w:color="auto" w:fill="auto"/>
            <w:noWrap/>
            <w:vAlign w:val="center"/>
            <w:hideMark/>
          </w:tcPr>
          <w:p w14:paraId="1D3B875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0.99 ± 0.4</w:t>
            </w:r>
          </w:p>
        </w:tc>
        <w:tc>
          <w:tcPr>
            <w:tcW w:w="573" w:type="pct"/>
            <w:tcBorders>
              <w:top w:val="nil"/>
              <w:left w:val="nil"/>
              <w:bottom w:val="nil"/>
              <w:right w:val="nil"/>
            </w:tcBorders>
            <w:shd w:val="clear" w:color="auto" w:fill="auto"/>
            <w:noWrap/>
            <w:vAlign w:val="center"/>
            <w:hideMark/>
          </w:tcPr>
          <w:p w14:paraId="0FC518B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0.88 ± 0.12</w:t>
            </w:r>
          </w:p>
        </w:tc>
        <w:tc>
          <w:tcPr>
            <w:tcW w:w="573" w:type="pct"/>
            <w:tcBorders>
              <w:top w:val="nil"/>
              <w:left w:val="nil"/>
              <w:bottom w:val="nil"/>
              <w:right w:val="nil"/>
            </w:tcBorders>
            <w:shd w:val="clear" w:color="auto" w:fill="auto"/>
            <w:noWrap/>
            <w:vAlign w:val="center"/>
            <w:hideMark/>
          </w:tcPr>
          <w:p w14:paraId="1752BA3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1.03 ± 0.08</w:t>
            </w:r>
          </w:p>
        </w:tc>
        <w:tc>
          <w:tcPr>
            <w:tcW w:w="573" w:type="pct"/>
            <w:tcBorders>
              <w:top w:val="nil"/>
              <w:left w:val="nil"/>
              <w:bottom w:val="nil"/>
              <w:right w:val="nil"/>
            </w:tcBorders>
            <w:shd w:val="clear" w:color="auto" w:fill="auto"/>
            <w:noWrap/>
            <w:vAlign w:val="center"/>
            <w:hideMark/>
          </w:tcPr>
          <w:p w14:paraId="5BBF9D1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0.94 ± 0.3</w:t>
            </w:r>
          </w:p>
        </w:tc>
        <w:tc>
          <w:tcPr>
            <w:tcW w:w="573" w:type="pct"/>
            <w:tcBorders>
              <w:top w:val="nil"/>
              <w:left w:val="nil"/>
              <w:bottom w:val="nil"/>
              <w:right w:val="nil"/>
            </w:tcBorders>
            <w:shd w:val="clear" w:color="auto" w:fill="auto"/>
            <w:noWrap/>
            <w:vAlign w:val="center"/>
            <w:hideMark/>
          </w:tcPr>
          <w:p w14:paraId="60FB2B0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1.07 ± 0.33</w:t>
            </w:r>
          </w:p>
        </w:tc>
        <w:tc>
          <w:tcPr>
            <w:tcW w:w="575" w:type="pct"/>
            <w:tcBorders>
              <w:top w:val="nil"/>
              <w:left w:val="nil"/>
              <w:bottom w:val="nil"/>
              <w:right w:val="nil"/>
            </w:tcBorders>
            <w:shd w:val="clear" w:color="auto" w:fill="auto"/>
            <w:noWrap/>
            <w:vAlign w:val="center"/>
            <w:hideMark/>
          </w:tcPr>
          <w:p w14:paraId="1EAEFFBE"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0.77 ± 0.19</w:t>
            </w:r>
          </w:p>
        </w:tc>
        <w:tc>
          <w:tcPr>
            <w:tcW w:w="570" w:type="pct"/>
            <w:tcBorders>
              <w:top w:val="nil"/>
              <w:left w:val="nil"/>
              <w:bottom w:val="nil"/>
              <w:right w:val="nil"/>
            </w:tcBorders>
            <w:shd w:val="clear" w:color="auto" w:fill="auto"/>
            <w:noWrap/>
            <w:vAlign w:val="center"/>
            <w:hideMark/>
          </w:tcPr>
          <w:p w14:paraId="3A95DF1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0.81 ± 0.01</w:t>
            </w:r>
          </w:p>
        </w:tc>
      </w:tr>
      <w:tr w:rsidR="00B4386F" w:rsidRPr="00FA7D47" w14:paraId="1756F1B6" w14:textId="77777777" w:rsidTr="0095549A">
        <w:trPr>
          <w:trHeight w:val="290"/>
        </w:trPr>
        <w:tc>
          <w:tcPr>
            <w:tcW w:w="990" w:type="pct"/>
            <w:tcBorders>
              <w:top w:val="nil"/>
              <w:left w:val="nil"/>
              <w:bottom w:val="nil"/>
              <w:right w:val="nil"/>
            </w:tcBorders>
            <w:shd w:val="clear" w:color="auto" w:fill="auto"/>
            <w:vAlign w:val="center"/>
            <w:hideMark/>
          </w:tcPr>
          <w:p w14:paraId="595C01A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22:6n-3</w:t>
            </w:r>
          </w:p>
        </w:tc>
        <w:tc>
          <w:tcPr>
            <w:tcW w:w="573" w:type="pct"/>
            <w:tcBorders>
              <w:top w:val="nil"/>
              <w:left w:val="nil"/>
              <w:bottom w:val="nil"/>
              <w:right w:val="nil"/>
            </w:tcBorders>
            <w:shd w:val="clear" w:color="auto" w:fill="auto"/>
            <w:noWrap/>
            <w:vAlign w:val="center"/>
            <w:hideMark/>
          </w:tcPr>
          <w:p w14:paraId="39B7734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4.34 ± 0.32</w:t>
            </w:r>
          </w:p>
        </w:tc>
        <w:tc>
          <w:tcPr>
            <w:tcW w:w="573" w:type="pct"/>
            <w:tcBorders>
              <w:top w:val="nil"/>
              <w:left w:val="nil"/>
              <w:bottom w:val="nil"/>
              <w:right w:val="nil"/>
            </w:tcBorders>
            <w:shd w:val="clear" w:color="auto" w:fill="auto"/>
            <w:noWrap/>
            <w:vAlign w:val="center"/>
            <w:hideMark/>
          </w:tcPr>
          <w:p w14:paraId="4DCE32F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4.89 ± 0.75</w:t>
            </w:r>
          </w:p>
        </w:tc>
        <w:tc>
          <w:tcPr>
            <w:tcW w:w="573" w:type="pct"/>
            <w:tcBorders>
              <w:top w:val="nil"/>
              <w:left w:val="nil"/>
              <w:bottom w:val="nil"/>
              <w:right w:val="nil"/>
            </w:tcBorders>
            <w:shd w:val="clear" w:color="auto" w:fill="auto"/>
            <w:noWrap/>
            <w:vAlign w:val="center"/>
            <w:hideMark/>
          </w:tcPr>
          <w:p w14:paraId="7A856B0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4.81 ± 1.93</w:t>
            </w:r>
          </w:p>
        </w:tc>
        <w:tc>
          <w:tcPr>
            <w:tcW w:w="573" w:type="pct"/>
            <w:tcBorders>
              <w:top w:val="nil"/>
              <w:left w:val="nil"/>
              <w:bottom w:val="nil"/>
              <w:right w:val="nil"/>
            </w:tcBorders>
            <w:shd w:val="clear" w:color="auto" w:fill="auto"/>
            <w:noWrap/>
            <w:vAlign w:val="center"/>
            <w:hideMark/>
          </w:tcPr>
          <w:p w14:paraId="6B686BD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4.47 ± 0.62</w:t>
            </w:r>
          </w:p>
        </w:tc>
        <w:tc>
          <w:tcPr>
            <w:tcW w:w="573" w:type="pct"/>
            <w:tcBorders>
              <w:top w:val="nil"/>
              <w:left w:val="nil"/>
              <w:bottom w:val="nil"/>
              <w:right w:val="nil"/>
            </w:tcBorders>
            <w:shd w:val="clear" w:color="auto" w:fill="auto"/>
            <w:noWrap/>
            <w:vAlign w:val="center"/>
            <w:hideMark/>
          </w:tcPr>
          <w:p w14:paraId="1FFF32F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4.65 ± 1.05</w:t>
            </w:r>
          </w:p>
        </w:tc>
        <w:tc>
          <w:tcPr>
            <w:tcW w:w="575" w:type="pct"/>
            <w:tcBorders>
              <w:top w:val="nil"/>
              <w:left w:val="nil"/>
              <w:bottom w:val="nil"/>
              <w:right w:val="nil"/>
            </w:tcBorders>
            <w:shd w:val="clear" w:color="auto" w:fill="auto"/>
            <w:noWrap/>
            <w:vAlign w:val="center"/>
            <w:hideMark/>
          </w:tcPr>
          <w:p w14:paraId="1C53D9D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3.37 ± 0.87</w:t>
            </w:r>
          </w:p>
        </w:tc>
        <w:tc>
          <w:tcPr>
            <w:tcW w:w="570" w:type="pct"/>
            <w:tcBorders>
              <w:top w:val="nil"/>
              <w:left w:val="nil"/>
              <w:bottom w:val="nil"/>
              <w:right w:val="nil"/>
            </w:tcBorders>
            <w:shd w:val="clear" w:color="auto" w:fill="auto"/>
            <w:noWrap/>
            <w:vAlign w:val="center"/>
            <w:hideMark/>
          </w:tcPr>
          <w:p w14:paraId="57D812D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2.82 ± 1.47</w:t>
            </w:r>
          </w:p>
        </w:tc>
      </w:tr>
      <w:tr w:rsidR="00B4386F" w:rsidRPr="00FA7D47" w14:paraId="5FC131DC" w14:textId="77777777" w:rsidTr="0095549A">
        <w:trPr>
          <w:trHeight w:val="300"/>
        </w:trPr>
        <w:tc>
          <w:tcPr>
            <w:tcW w:w="990" w:type="pct"/>
            <w:tcBorders>
              <w:top w:val="single" w:sz="4" w:space="0" w:color="auto"/>
              <w:left w:val="nil"/>
              <w:bottom w:val="single" w:sz="8" w:space="0" w:color="auto"/>
              <w:right w:val="nil"/>
            </w:tcBorders>
            <w:shd w:val="clear" w:color="auto" w:fill="auto"/>
            <w:vAlign w:val="center"/>
            <w:hideMark/>
          </w:tcPr>
          <w:p w14:paraId="7D838A69"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total n3</w:t>
            </w:r>
          </w:p>
        </w:tc>
        <w:tc>
          <w:tcPr>
            <w:tcW w:w="573" w:type="pct"/>
            <w:tcBorders>
              <w:top w:val="single" w:sz="4" w:space="0" w:color="auto"/>
              <w:left w:val="nil"/>
              <w:bottom w:val="single" w:sz="8" w:space="0" w:color="auto"/>
              <w:right w:val="nil"/>
            </w:tcBorders>
            <w:shd w:val="clear" w:color="auto" w:fill="auto"/>
            <w:noWrap/>
            <w:vAlign w:val="center"/>
            <w:hideMark/>
          </w:tcPr>
          <w:p w14:paraId="3A61E04C"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11.69 ± 2.36</w:t>
            </w:r>
          </w:p>
        </w:tc>
        <w:tc>
          <w:tcPr>
            <w:tcW w:w="573" w:type="pct"/>
            <w:tcBorders>
              <w:top w:val="single" w:sz="4" w:space="0" w:color="auto"/>
              <w:left w:val="nil"/>
              <w:bottom w:val="single" w:sz="8" w:space="0" w:color="auto"/>
              <w:right w:val="nil"/>
            </w:tcBorders>
            <w:shd w:val="clear" w:color="auto" w:fill="auto"/>
            <w:noWrap/>
            <w:vAlign w:val="center"/>
            <w:hideMark/>
          </w:tcPr>
          <w:p w14:paraId="57E68AB7"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12.04 ± 1.66</w:t>
            </w:r>
          </w:p>
        </w:tc>
        <w:tc>
          <w:tcPr>
            <w:tcW w:w="573" w:type="pct"/>
            <w:tcBorders>
              <w:top w:val="single" w:sz="4" w:space="0" w:color="auto"/>
              <w:left w:val="nil"/>
              <w:bottom w:val="single" w:sz="8" w:space="0" w:color="auto"/>
              <w:right w:val="nil"/>
            </w:tcBorders>
            <w:shd w:val="clear" w:color="auto" w:fill="auto"/>
            <w:noWrap/>
            <w:vAlign w:val="center"/>
            <w:hideMark/>
          </w:tcPr>
          <w:p w14:paraId="426476C8"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12.94 ± 4.08</w:t>
            </w:r>
          </w:p>
        </w:tc>
        <w:tc>
          <w:tcPr>
            <w:tcW w:w="573" w:type="pct"/>
            <w:tcBorders>
              <w:top w:val="single" w:sz="4" w:space="0" w:color="auto"/>
              <w:left w:val="nil"/>
              <w:bottom w:val="single" w:sz="8" w:space="0" w:color="auto"/>
              <w:right w:val="nil"/>
            </w:tcBorders>
            <w:shd w:val="clear" w:color="auto" w:fill="auto"/>
            <w:noWrap/>
            <w:vAlign w:val="center"/>
            <w:hideMark/>
          </w:tcPr>
          <w:p w14:paraId="232DAA81"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11.67 ± 1.12</w:t>
            </w:r>
          </w:p>
        </w:tc>
        <w:tc>
          <w:tcPr>
            <w:tcW w:w="573" w:type="pct"/>
            <w:tcBorders>
              <w:top w:val="single" w:sz="4" w:space="0" w:color="auto"/>
              <w:left w:val="nil"/>
              <w:bottom w:val="single" w:sz="8" w:space="0" w:color="auto"/>
              <w:right w:val="nil"/>
            </w:tcBorders>
            <w:shd w:val="clear" w:color="auto" w:fill="auto"/>
            <w:noWrap/>
            <w:vAlign w:val="center"/>
            <w:hideMark/>
          </w:tcPr>
          <w:p w14:paraId="29F2D428"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12.13 ± 1.37</w:t>
            </w:r>
          </w:p>
        </w:tc>
        <w:tc>
          <w:tcPr>
            <w:tcW w:w="575" w:type="pct"/>
            <w:tcBorders>
              <w:top w:val="single" w:sz="4" w:space="0" w:color="auto"/>
              <w:left w:val="nil"/>
              <w:bottom w:val="single" w:sz="8" w:space="0" w:color="auto"/>
              <w:right w:val="nil"/>
            </w:tcBorders>
            <w:shd w:val="clear" w:color="auto" w:fill="auto"/>
            <w:noWrap/>
            <w:vAlign w:val="center"/>
            <w:hideMark/>
          </w:tcPr>
          <w:p w14:paraId="63C1CC55"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8.57 ± 2.54</w:t>
            </w:r>
          </w:p>
        </w:tc>
        <w:tc>
          <w:tcPr>
            <w:tcW w:w="570" w:type="pct"/>
            <w:tcBorders>
              <w:top w:val="single" w:sz="4" w:space="0" w:color="auto"/>
              <w:left w:val="nil"/>
              <w:bottom w:val="single" w:sz="8" w:space="0" w:color="auto"/>
              <w:right w:val="nil"/>
            </w:tcBorders>
            <w:shd w:val="clear" w:color="auto" w:fill="auto"/>
            <w:noWrap/>
            <w:vAlign w:val="center"/>
            <w:hideMark/>
          </w:tcPr>
          <w:p w14:paraId="1CC8D5DD"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12.67 ± 2.45</w:t>
            </w:r>
          </w:p>
        </w:tc>
      </w:tr>
      <w:tr w:rsidR="00B4386F" w:rsidRPr="00FA7D47" w14:paraId="2CFE9FDA" w14:textId="77777777" w:rsidTr="0095549A">
        <w:trPr>
          <w:trHeight w:val="290"/>
        </w:trPr>
        <w:tc>
          <w:tcPr>
            <w:tcW w:w="990" w:type="pct"/>
            <w:tcBorders>
              <w:top w:val="nil"/>
              <w:left w:val="nil"/>
              <w:bottom w:val="nil"/>
              <w:right w:val="nil"/>
            </w:tcBorders>
            <w:shd w:val="clear" w:color="auto" w:fill="auto"/>
            <w:vAlign w:val="center"/>
            <w:hideMark/>
          </w:tcPr>
          <w:p w14:paraId="11A2B61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16:2</w:t>
            </w:r>
          </w:p>
        </w:tc>
        <w:tc>
          <w:tcPr>
            <w:tcW w:w="573" w:type="pct"/>
            <w:tcBorders>
              <w:top w:val="nil"/>
              <w:left w:val="nil"/>
              <w:bottom w:val="nil"/>
              <w:right w:val="nil"/>
            </w:tcBorders>
            <w:shd w:val="clear" w:color="auto" w:fill="auto"/>
            <w:noWrap/>
            <w:vAlign w:val="center"/>
            <w:hideMark/>
          </w:tcPr>
          <w:p w14:paraId="2A2F684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0.08 ± 0.06</w:t>
            </w:r>
          </w:p>
        </w:tc>
        <w:tc>
          <w:tcPr>
            <w:tcW w:w="573" w:type="pct"/>
            <w:tcBorders>
              <w:top w:val="nil"/>
              <w:left w:val="nil"/>
              <w:bottom w:val="nil"/>
              <w:right w:val="nil"/>
            </w:tcBorders>
            <w:shd w:val="clear" w:color="auto" w:fill="auto"/>
            <w:noWrap/>
            <w:vAlign w:val="center"/>
            <w:hideMark/>
          </w:tcPr>
          <w:p w14:paraId="77C0CEF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0.18 ± 0.16</w:t>
            </w:r>
          </w:p>
        </w:tc>
        <w:tc>
          <w:tcPr>
            <w:tcW w:w="573" w:type="pct"/>
            <w:tcBorders>
              <w:top w:val="nil"/>
              <w:left w:val="nil"/>
              <w:bottom w:val="nil"/>
              <w:right w:val="nil"/>
            </w:tcBorders>
            <w:shd w:val="clear" w:color="auto" w:fill="auto"/>
            <w:noWrap/>
            <w:vAlign w:val="center"/>
            <w:hideMark/>
          </w:tcPr>
          <w:p w14:paraId="3AD11C7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0.11 ± 0.11</w:t>
            </w:r>
          </w:p>
        </w:tc>
        <w:tc>
          <w:tcPr>
            <w:tcW w:w="573" w:type="pct"/>
            <w:tcBorders>
              <w:top w:val="nil"/>
              <w:left w:val="nil"/>
              <w:bottom w:val="nil"/>
              <w:right w:val="nil"/>
            </w:tcBorders>
            <w:shd w:val="clear" w:color="auto" w:fill="auto"/>
            <w:noWrap/>
            <w:vAlign w:val="center"/>
            <w:hideMark/>
          </w:tcPr>
          <w:p w14:paraId="033E04B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0.14 ± 0.04</w:t>
            </w:r>
          </w:p>
        </w:tc>
        <w:tc>
          <w:tcPr>
            <w:tcW w:w="573" w:type="pct"/>
            <w:tcBorders>
              <w:top w:val="nil"/>
              <w:left w:val="nil"/>
              <w:bottom w:val="nil"/>
              <w:right w:val="nil"/>
            </w:tcBorders>
            <w:shd w:val="clear" w:color="auto" w:fill="auto"/>
            <w:noWrap/>
            <w:vAlign w:val="center"/>
            <w:hideMark/>
          </w:tcPr>
          <w:p w14:paraId="7D484B4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0.05 ± 0.06</w:t>
            </w:r>
          </w:p>
        </w:tc>
        <w:tc>
          <w:tcPr>
            <w:tcW w:w="575" w:type="pct"/>
            <w:tcBorders>
              <w:top w:val="nil"/>
              <w:left w:val="nil"/>
              <w:bottom w:val="nil"/>
              <w:right w:val="nil"/>
            </w:tcBorders>
            <w:shd w:val="clear" w:color="auto" w:fill="auto"/>
            <w:noWrap/>
            <w:vAlign w:val="center"/>
            <w:hideMark/>
          </w:tcPr>
          <w:p w14:paraId="597DD33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0.01</w:t>
            </w:r>
          </w:p>
        </w:tc>
        <w:tc>
          <w:tcPr>
            <w:tcW w:w="570" w:type="pct"/>
            <w:tcBorders>
              <w:top w:val="nil"/>
              <w:left w:val="nil"/>
              <w:bottom w:val="nil"/>
              <w:right w:val="nil"/>
            </w:tcBorders>
            <w:shd w:val="clear" w:color="auto" w:fill="auto"/>
            <w:noWrap/>
            <w:vAlign w:val="center"/>
            <w:hideMark/>
          </w:tcPr>
          <w:p w14:paraId="4B1CDAB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0.08 ± 0.01</w:t>
            </w:r>
          </w:p>
        </w:tc>
      </w:tr>
      <w:tr w:rsidR="00B4386F" w:rsidRPr="00FA7D47" w14:paraId="55DF1B20" w14:textId="77777777" w:rsidTr="0095549A">
        <w:trPr>
          <w:trHeight w:val="290"/>
        </w:trPr>
        <w:tc>
          <w:tcPr>
            <w:tcW w:w="990" w:type="pct"/>
            <w:tcBorders>
              <w:top w:val="nil"/>
              <w:left w:val="nil"/>
              <w:bottom w:val="nil"/>
              <w:right w:val="nil"/>
            </w:tcBorders>
            <w:shd w:val="clear" w:color="auto" w:fill="auto"/>
            <w:vAlign w:val="center"/>
            <w:hideMark/>
          </w:tcPr>
          <w:p w14:paraId="3F47491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16:3</w:t>
            </w:r>
          </w:p>
        </w:tc>
        <w:tc>
          <w:tcPr>
            <w:tcW w:w="573" w:type="pct"/>
            <w:tcBorders>
              <w:top w:val="nil"/>
              <w:left w:val="nil"/>
              <w:bottom w:val="nil"/>
              <w:right w:val="nil"/>
            </w:tcBorders>
            <w:shd w:val="clear" w:color="auto" w:fill="auto"/>
            <w:noWrap/>
            <w:vAlign w:val="center"/>
            <w:hideMark/>
          </w:tcPr>
          <w:p w14:paraId="2CCB9122"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 ± 0.21</w:t>
            </w:r>
          </w:p>
        </w:tc>
        <w:tc>
          <w:tcPr>
            <w:tcW w:w="573" w:type="pct"/>
            <w:tcBorders>
              <w:top w:val="nil"/>
              <w:left w:val="nil"/>
              <w:bottom w:val="nil"/>
              <w:right w:val="nil"/>
            </w:tcBorders>
            <w:shd w:val="clear" w:color="auto" w:fill="auto"/>
            <w:noWrap/>
            <w:vAlign w:val="center"/>
            <w:hideMark/>
          </w:tcPr>
          <w:p w14:paraId="188B8B6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0.04 ± 0.07</w:t>
            </w:r>
          </w:p>
        </w:tc>
        <w:tc>
          <w:tcPr>
            <w:tcW w:w="573" w:type="pct"/>
            <w:tcBorders>
              <w:top w:val="nil"/>
              <w:left w:val="nil"/>
              <w:bottom w:val="nil"/>
              <w:right w:val="nil"/>
            </w:tcBorders>
            <w:shd w:val="clear" w:color="auto" w:fill="auto"/>
            <w:noWrap/>
            <w:vAlign w:val="center"/>
            <w:hideMark/>
          </w:tcPr>
          <w:p w14:paraId="3C700E9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0.06 ± 0.1</w:t>
            </w:r>
          </w:p>
        </w:tc>
        <w:tc>
          <w:tcPr>
            <w:tcW w:w="573" w:type="pct"/>
            <w:tcBorders>
              <w:top w:val="nil"/>
              <w:left w:val="nil"/>
              <w:bottom w:val="nil"/>
              <w:right w:val="nil"/>
            </w:tcBorders>
            <w:shd w:val="clear" w:color="auto" w:fill="auto"/>
            <w:noWrap/>
            <w:vAlign w:val="center"/>
            <w:hideMark/>
          </w:tcPr>
          <w:p w14:paraId="31ED843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0.06 ± 0.08</w:t>
            </w:r>
          </w:p>
        </w:tc>
        <w:tc>
          <w:tcPr>
            <w:tcW w:w="573" w:type="pct"/>
            <w:tcBorders>
              <w:top w:val="nil"/>
              <w:left w:val="nil"/>
              <w:bottom w:val="nil"/>
              <w:right w:val="nil"/>
            </w:tcBorders>
            <w:shd w:val="clear" w:color="auto" w:fill="auto"/>
            <w:noWrap/>
            <w:vAlign w:val="center"/>
            <w:hideMark/>
          </w:tcPr>
          <w:p w14:paraId="7FF5EA0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c>
          <w:tcPr>
            <w:tcW w:w="575" w:type="pct"/>
            <w:tcBorders>
              <w:top w:val="nil"/>
              <w:left w:val="nil"/>
              <w:bottom w:val="nil"/>
              <w:right w:val="nil"/>
            </w:tcBorders>
            <w:shd w:val="clear" w:color="auto" w:fill="auto"/>
            <w:noWrap/>
            <w:vAlign w:val="center"/>
            <w:hideMark/>
          </w:tcPr>
          <w:p w14:paraId="181FE34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0.03 ± 0.05</w:t>
            </w:r>
          </w:p>
        </w:tc>
        <w:tc>
          <w:tcPr>
            <w:tcW w:w="570" w:type="pct"/>
            <w:tcBorders>
              <w:top w:val="nil"/>
              <w:left w:val="nil"/>
              <w:bottom w:val="nil"/>
              <w:right w:val="nil"/>
            </w:tcBorders>
            <w:shd w:val="clear" w:color="auto" w:fill="auto"/>
            <w:noWrap/>
            <w:vAlign w:val="center"/>
            <w:hideMark/>
          </w:tcPr>
          <w:p w14:paraId="1A5F522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0.03 ± 0.05</w:t>
            </w:r>
          </w:p>
        </w:tc>
      </w:tr>
      <w:tr w:rsidR="00B4386F" w:rsidRPr="00FA7D47" w14:paraId="784D5A72" w14:textId="77777777" w:rsidTr="0095549A">
        <w:trPr>
          <w:trHeight w:val="290"/>
        </w:trPr>
        <w:tc>
          <w:tcPr>
            <w:tcW w:w="990" w:type="pct"/>
            <w:tcBorders>
              <w:top w:val="nil"/>
              <w:left w:val="nil"/>
              <w:bottom w:val="nil"/>
              <w:right w:val="nil"/>
            </w:tcBorders>
            <w:shd w:val="clear" w:color="auto" w:fill="auto"/>
            <w:vAlign w:val="center"/>
            <w:hideMark/>
          </w:tcPr>
          <w:p w14:paraId="6B20719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16:4</w:t>
            </w:r>
          </w:p>
        </w:tc>
        <w:tc>
          <w:tcPr>
            <w:tcW w:w="573" w:type="pct"/>
            <w:tcBorders>
              <w:top w:val="nil"/>
              <w:left w:val="nil"/>
              <w:bottom w:val="nil"/>
              <w:right w:val="nil"/>
            </w:tcBorders>
            <w:shd w:val="clear" w:color="auto" w:fill="auto"/>
            <w:noWrap/>
            <w:vAlign w:val="center"/>
            <w:hideMark/>
          </w:tcPr>
          <w:p w14:paraId="56B38FD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0.07 ± 0.05</w:t>
            </w:r>
          </w:p>
        </w:tc>
        <w:tc>
          <w:tcPr>
            <w:tcW w:w="573" w:type="pct"/>
            <w:tcBorders>
              <w:top w:val="nil"/>
              <w:left w:val="nil"/>
              <w:bottom w:val="nil"/>
              <w:right w:val="nil"/>
            </w:tcBorders>
            <w:shd w:val="clear" w:color="auto" w:fill="auto"/>
            <w:noWrap/>
            <w:vAlign w:val="center"/>
            <w:hideMark/>
          </w:tcPr>
          <w:p w14:paraId="41A1217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0.12 ± 0.03</w:t>
            </w:r>
          </w:p>
        </w:tc>
        <w:tc>
          <w:tcPr>
            <w:tcW w:w="573" w:type="pct"/>
            <w:tcBorders>
              <w:top w:val="nil"/>
              <w:left w:val="nil"/>
              <w:bottom w:val="nil"/>
              <w:right w:val="nil"/>
            </w:tcBorders>
            <w:shd w:val="clear" w:color="auto" w:fill="auto"/>
            <w:noWrap/>
            <w:vAlign w:val="center"/>
            <w:hideMark/>
          </w:tcPr>
          <w:p w14:paraId="5D8D923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0.09 ± 0.08</w:t>
            </w:r>
          </w:p>
        </w:tc>
        <w:tc>
          <w:tcPr>
            <w:tcW w:w="573" w:type="pct"/>
            <w:tcBorders>
              <w:top w:val="nil"/>
              <w:left w:val="nil"/>
              <w:bottom w:val="nil"/>
              <w:right w:val="nil"/>
            </w:tcBorders>
            <w:shd w:val="clear" w:color="auto" w:fill="auto"/>
            <w:noWrap/>
            <w:vAlign w:val="center"/>
            <w:hideMark/>
          </w:tcPr>
          <w:p w14:paraId="1B2F4CD5"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0.11 ± 0.03</w:t>
            </w:r>
          </w:p>
        </w:tc>
        <w:tc>
          <w:tcPr>
            <w:tcW w:w="573" w:type="pct"/>
            <w:tcBorders>
              <w:top w:val="nil"/>
              <w:left w:val="nil"/>
              <w:bottom w:val="nil"/>
              <w:right w:val="nil"/>
            </w:tcBorders>
            <w:shd w:val="clear" w:color="auto" w:fill="auto"/>
            <w:noWrap/>
            <w:vAlign w:val="center"/>
            <w:hideMark/>
          </w:tcPr>
          <w:p w14:paraId="00A33CB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0.13 ± 0.12</w:t>
            </w:r>
          </w:p>
        </w:tc>
        <w:tc>
          <w:tcPr>
            <w:tcW w:w="575" w:type="pct"/>
            <w:tcBorders>
              <w:top w:val="nil"/>
              <w:left w:val="nil"/>
              <w:bottom w:val="nil"/>
              <w:right w:val="nil"/>
            </w:tcBorders>
            <w:shd w:val="clear" w:color="auto" w:fill="auto"/>
            <w:noWrap/>
            <w:vAlign w:val="center"/>
            <w:hideMark/>
          </w:tcPr>
          <w:p w14:paraId="115D920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0.12 ± 0.01</w:t>
            </w:r>
          </w:p>
        </w:tc>
        <w:tc>
          <w:tcPr>
            <w:tcW w:w="570" w:type="pct"/>
            <w:tcBorders>
              <w:top w:val="nil"/>
              <w:left w:val="nil"/>
              <w:bottom w:val="nil"/>
              <w:right w:val="nil"/>
            </w:tcBorders>
            <w:shd w:val="clear" w:color="auto" w:fill="auto"/>
            <w:noWrap/>
            <w:vAlign w:val="center"/>
            <w:hideMark/>
          </w:tcPr>
          <w:p w14:paraId="4DB6C91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0.09 ± 0</w:t>
            </w:r>
          </w:p>
        </w:tc>
      </w:tr>
      <w:tr w:rsidR="00B4386F" w:rsidRPr="00FA7D47" w14:paraId="717241B3" w14:textId="77777777" w:rsidTr="0095549A">
        <w:trPr>
          <w:trHeight w:val="290"/>
        </w:trPr>
        <w:tc>
          <w:tcPr>
            <w:tcW w:w="990" w:type="pct"/>
            <w:tcBorders>
              <w:top w:val="nil"/>
              <w:left w:val="nil"/>
              <w:bottom w:val="nil"/>
              <w:right w:val="nil"/>
            </w:tcBorders>
            <w:shd w:val="clear" w:color="auto" w:fill="auto"/>
            <w:noWrap/>
            <w:vAlign w:val="center"/>
            <w:hideMark/>
          </w:tcPr>
          <w:p w14:paraId="4A93BCE7"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22:2 NMID</w:t>
            </w:r>
          </w:p>
        </w:tc>
        <w:tc>
          <w:tcPr>
            <w:tcW w:w="573" w:type="pct"/>
            <w:tcBorders>
              <w:top w:val="nil"/>
              <w:left w:val="nil"/>
              <w:bottom w:val="nil"/>
              <w:right w:val="nil"/>
            </w:tcBorders>
            <w:shd w:val="clear" w:color="auto" w:fill="auto"/>
            <w:noWrap/>
            <w:vAlign w:val="center"/>
            <w:hideMark/>
          </w:tcPr>
          <w:p w14:paraId="20C2BC91"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0.06</w:t>
            </w:r>
          </w:p>
        </w:tc>
        <w:tc>
          <w:tcPr>
            <w:tcW w:w="573" w:type="pct"/>
            <w:tcBorders>
              <w:top w:val="nil"/>
              <w:left w:val="nil"/>
              <w:bottom w:val="nil"/>
              <w:right w:val="nil"/>
            </w:tcBorders>
            <w:shd w:val="clear" w:color="auto" w:fill="auto"/>
            <w:noWrap/>
            <w:vAlign w:val="center"/>
            <w:hideMark/>
          </w:tcPr>
          <w:p w14:paraId="69C8C79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0.28 ± 0.25</w:t>
            </w:r>
          </w:p>
        </w:tc>
        <w:tc>
          <w:tcPr>
            <w:tcW w:w="573" w:type="pct"/>
            <w:tcBorders>
              <w:top w:val="nil"/>
              <w:left w:val="nil"/>
              <w:bottom w:val="nil"/>
              <w:right w:val="nil"/>
            </w:tcBorders>
            <w:shd w:val="clear" w:color="auto" w:fill="auto"/>
            <w:noWrap/>
            <w:vAlign w:val="center"/>
            <w:hideMark/>
          </w:tcPr>
          <w:p w14:paraId="569CC4B0"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0.33 ± 0.18</w:t>
            </w:r>
          </w:p>
        </w:tc>
        <w:tc>
          <w:tcPr>
            <w:tcW w:w="573" w:type="pct"/>
            <w:tcBorders>
              <w:top w:val="nil"/>
              <w:left w:val="nil"/>
              <w:bottom w:val="nil"/>
              <w:right w:val="nil"/>
            </w:tcBorders>
            <w:shd w:val="clear" w:color="auto" w:fill="auto"/>
            <w:noWrap/>
            <w:vAlign w:val="center"/>
            <w:hideMark/>
          </w:tcPr>
          <w:p w14:paraId="57328AE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0.29 ± 0.12</w:t>
            </w:r>
          </w:p>
        </w:tc>
        <w:tc>
          <w:tcPr>
            <w:tcW w:w="573" w:type="pct"/>
            <w:tcBorders>
              <w:top w:val="nil"/>
              <w:left w:val="nil"/>
              <w:bottom w:val="nil"/>
              <w:right w:val="nil"/>
            </w:tcBorders>
            <w:shd w:val="clear" w:color="auto" w:fill="auto"/>
            <w:noWrap/>
            <w:vAlign w:val="center"/>
            <w:hideMark/>
          </w:tcPr>
          <w:p w14:paraId="49086AA8"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0.21 ± 0.15</w:t>
            </w:r>
          </w:p>
        </w:tc>
        <w:tc>
          <w:tcPr>
            <w:tcW w:w="575" w:type="pct"/>
            <w:tcBorders>
              <w:top w:val="nil"/>
              <w:left w:val="nil"/>
              <w:bottom w:val="nil"/>
              <w:right w:val="nil"/>
            </w:tcBorders>
            <w:shd w:val="clear" w:color="auto" w:fill="auto"/>
            <w:noWrap/>
            <w:vAlign w:val="center"/>
            <w:hideMark/>
          </w:tcPr>
          <w:p w14:paraId="62F09096"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0.48 ± 0.21</w:t>
            </w:r>
          </w:p>
        </w:tc>
        <w:tc>
          <w:tcPr>
            <w:tcW w:w="570" w:type="pct"/>
            <w:tcBorders>
              <w:top w:val="nil"/>
              <w:left w:val="nil"/>
              <w:bottom w:val="nil"/>
              <w:right w:val="nil"/>
            </w:tcBorders>
            <w:shd w:val="clear" w:color="auto" w:fill="auto"/>
            <w:noWrap/>
            <w:vAlign w:val="center"/>
            <w:hideMark/>
          </w:tcPr>
          <w:p w14:paraId="41E7B75D"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 ± 0</w:t>
            </w:r>
          </w:p>
        </w:tc>
      </w:tr>
      <w:tr w:rsidR="00B4386F" w:rsidRPr="00FA7D47" w14:paraId="4B1C5D2F" w14:textId="77777777" w:rsidTr="0095549A">
        <w:trPr>
          <w:trHeight w:val="300"/>
        </w:trPr>
        <w:tc>
          <w:tcPr>
            <w:tcW w:w="990" w:type="pct"/>
            <w:tcBorders>
              <w:top w:val="single" w:sz="4" w:space="0" w:color="auto"/>
              <w:left w:val="nil"/>
              <w:bottom w:val="single" w:sz="4" w:space="0" w:color="auto"/>
              <w:right w:val="nil"/>
            </w:tcBorders>
            <w:shd w:val="clear" w:color="auto" w:fill="auto"/>
            <w:vAlign w:val="center"/>
            <w:hideMark/>
          </w:tcPr>
          <w:p w14:paraId="474F64D7"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total other</w:t>
            </w:r>
          </w:p>
        </w:tc>
        <w:tc>
          <w:tcPr>
            <w:tcW w:w="573" w:type="pct"/>
            <w:tcBorders>
              <w:top w:val="single" w:sz="4" w:space="0" w:color="auto"/>
              <w:left w:val="nil"/>
              <w:bottom w:val="single" w:sz="4" w:space="0" w:color="auto"/>
              <w:right w:val="nil"/>
            </w:tcBorders>
            <w:shd w:val="clear" w:color="auto" w:fill="auto"/>
            <w:noWrap/>
            <w:vAlign w:val="center"/>
            <w:hideMark/>
          </w:tcPr>
          <w:p w14:paraId="4BDC6CD6"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0.47 ± 0.3</w:t>
            </w:r>
          </w:p>
        </w:tc>
        <w:tc>
          <w:tcPr>
            <w:tcW w:w="573" w:type="pct"/>
            <w:tcBorders>
              <w:top w:val="single" w:sz="4" w:space="0" w:color="auto"/>
              <w:left w:val="nil"/>
              <w:bottom w:val="single" w:sz="4" w:space="0" w:color="auto"/>
              <w:right w:val="nil"/>
            </w:tcBorders>
            <w:shd w:val="clear" w:color="auto" w:fill="auto"/>
            <w:noWrap/>
            <w:vAlign w:val="center"/>
            <w:hideMark/>
          </w:tcPr>
          <w:p w14:paraId="62483AB0"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0.62 ± 0.18</w:t>
            </w:r>
          </w:p>
        </w:tc>
        <w:tc>
          <w:tcPr>
            <w:tcW w:w="573" w:type="pct"/>
            <w:tcBorders>
              <w:top w:val="single" w:sz="4" w:space="0" w:color="auto"/>
              <w:left w:val="nil"/>
              <w:bottom w:val="single" w:sz="4" w:space="0" w:color="auto"/>
              <w:right w:val="nil"/>
            </w:tcBorders>
            <w:shd w:val="clear" w:color="auto" w:fill="auto"/>
            <w:noWrap/>
            <w:vAlign w:val="center"/>
            <w:hideMark/>
          </w:tcPr>
          <w:p w14:paraId="08004FD4"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0.58 ± 0.22</w:t>
            </w:r>
          </w:p>
        </w:tc>
        <w:tc>
          <w:tcPr>
            <w:tcW w:w="573" w:type="pct"/>
            <w:tcBorders>
              <w:top w:val="single" w:sz="4" w:space="0" w:color="auto"/>
              <w:left w:val="nil"/>
              <w:bottom w:val="single" w:sz="4" w:space="0" w:color="auto"/>
              <w:right w:val="nil"/>
            </w:tcBorders>
            <w:shd w:val="clear" w:color="auto" w:fill="auto"/>
            <w:noWrap/>
            <w:vAlign w:val="center"/>
            <w:hideMark/>
          </w:tcPr>
          <w:p w14:paraId="0F031BFC"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0.59 ± 0.12</w:t>
            </w:r>
          </w:p>
        </w:tc>
        <w:tc>
          <w:tcPr>
            <w:tcW w:w="573" w:type="pct"/>
            <w:tcBorders>
              <w:top w:val="single" w:sz="4" w:space="0" w:color="auto"/>
              <w:left w:val="nil"/>
              <w:bottom w:val="single" w:sz="4" w:space="0" w:color="auto"/>
              <w:right w:val="nil"/>
            </w:tcBorders>
            <w:shd w:val="clear" w:color="auto" w:fill="auto"/>
            <w:noWrap/>
            <w:vAlign w:val="center"/>
            <w:hideMark/>
          </w:tcPr>
          <w:p w14:paraId="05554D38"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0.39 ± 0.19</w:t>
            </w:r>
          </w:p>
        </w:tc>
        <w:tc>
          <w:tcPr>
            <w:tcW w:w="575" w:type="pct"/>
            <w:tcBorders>
              <w:top w:val="single" w:sz="4" w:space="0" w:color="auto"/>
              <w:left w:val="nil"/>
              <w:bottom w:val="single" w:sz="4" w:space="0" w:color="auto"/>
              <w:right w:val="nil"/>
            </w:tcBorders>
            <w:shd w:val="clear" w:color="auto" w:fill="auto"/>
            <w:noWrap/>
            <w:vAlign w:val="center"/>
            <w:hideMark/>
          </w:tcPr>
          <w:p w14:paraId="34801970"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0.75 ± 0.19</w:t>
            </w:r>
          </w:p>
        </w:tc>
        <w:tc>
          <w:tcPr>
            <w:tcW w:w="570" w:type="pct"/>
            <w:tcBorders>
              <w:top w:val="single" w:sz="4" w:space="0" w:color="auto"/>
              <w:left w:val="nil"/>
              <w:bottom w:val="single" w:sz="4" w:space="0" w:color="auto"/>
              <w:right w:val="nil"/>
            </w:tcBorders>
            <w:shd w:val="clear" w:color="auto" w:fill="auto"/>
            <w:noWrap/>
            <w:vAlign w:val="center"/>
            <w:hideMark/>
          </w:tcPr>
          <w:p w14:paraId="315CAB17"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0.2 ± 0.06</w:t>
            </w:r>
          </w:p>
        </w:tc>
      </w:tr>
      <w:tr w:rsidR="00B4386F" w:rsidRPr="00FA7D47" w14:paraId="0848D2F9" w14:textId="77777777" w:rsidTr="0095549A">
        <w:trPr>
          <w:trHeight w:val="300"/>
        </w:trPr>
        <w:tc>
          <w:tcPr>
            <w:tcW w:w="990" w:type="pct"/>
            <w:tcBorders>
              <w:top w:val="single" w:sz="4" w:space="0" w:color="auto"/>
              <w:left w:val="nil"/>
              <w:bottom w:val="single" w:sz="8" w:space="0" w:color="auto"/>
              <w:right w:val="nil"/>
            </w:tcBorders>
            <w:shd w:val="clear" w:color="auto" w:fill="auto"/>
            <w:vAlign w:val="center"/>
          </w:tcPr>
          <w:p w14:paraId="1A2FA706"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DHA/EPA</w:t>
            </w:r>
          </w:p>
        </w:tc>
        <w:tc>
          <w:tcPr>
            <w:tcW w:w="573" w:type="pct"/>
            <w:tcBorders>
              <w:top w:val="single" w:sz="4" w:space="0" w:color="auto"/>
              <w:left w:val="nil"/>
              <w:bottom w:val="single" w:sz="8" w:space="0" w:color="auto"/>
              <w:right w:val="nil"/>
            </w:tcBorders>
            <w:shd w:val="clear" w:color="auto" w:fill="auto"/>
            <w:noWrap/>
            <w:vAlign w:val="bottom"/>
          </w:tcPr>
          <w:p w14:paraId="3127479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0.95 ± 0.39</w:t>
            </w:r>
          </w:p>
        </w:tc>
        <w:tc>
          <w:tcPr>
            <w:tcW w:w="573" w:type="pct"/>
            <w:tcBorders>
              <w:top w:val="single" w:sz="4" w:space="0" w:color="auto"/>
              <w:left w:val="nil"/>
              <w:bottom w:val="single" w:sz="8" w:space="0" w:color="auto"/>
              <w:right w:val="nil"/>
            </w:tcBorders>
            <w:shd w:val="clear" w:color="auto" w:fill="auto"/>
            <w:noWrap/>
            <w:vAlign w:val="bottom"/>
          </w:tcPr>
          <w:p w14:paraId="4AF1CDA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1.04 ± 0.26</w:t>
            </w:r>
          </w:p>
        </w:tc>
        <w:tc>
          <w:tcPr>
            <w:tcW w:w="573" w:type="pct"/>
            <w:tcBorders>
              <w:top w:val="single" w:sz="4" w:space="0" w:color="auto"/>
              <w:left w:val="nil"/>
              <w:bottom w:val="single" w:sz="8" w:space="0" w:color="auto"/>
              <w:right w:val="nil"/>
            </w:tcBorders>
            <w:shd w:val="clear" w:color="auto" w:fill="auto"/>
            <w:noWrap/>
            <w:vAlign w:val="bottom"/>
          </w:tcPr>
          <w:p w14:paraId="396B9E8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0.81 ± 0.17</w:t>
            </w:r>
          </w:p>
        </w:tc>
        <w:tc>
          <w:tcPr>
            <w:tcW w:w="573" w:type="pct"/>
            <w:tcBorders>
              <w:top w:val="single" w:sz="4" w:space="0" w:color="auto"/>
              <w:left w:val="nil"/>
              <w:bottom w:val="single" w:sz="8" w:space="0" w:color="auto"/>
              <w:right w:val="nil"/>
            </w:tcBorders>
            <w:shd w:val="clear" w:color="auto" w:fill="auto"/>
            <w:noWrap/>
            <w:vAlign w:val="bottom"/>
          </w:tcPr>
          <w:p w14:paraId="70AD0AC9"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0.98 ± 0.16</w:t>
            </w:r>
          </w:p>
        </w:tc>
        <w:tc>
          <w:tcPr>
            <w:tcW w:w="573" w:type="pct"/>
            <w:tcBorders>
              <w:top w:val="single" w:sz="4" w:space="0" w:color="auto"/>
              <w:left w:val="nil"/>
              <w:bottom w:val="single" w:sz="8" w:space="0" w:color="auto"/>
              <w:right w:val="nil"/>
            </w:tcBorders>
            <w:shd w:val="clear" w:color="auto" w:fill="auto"/>
            <w:noWrap/>
            <w:vAlign w:val="bottom"/>
          </w:tcPr>
          <w:p w14:paraId="3983C33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0.91 ± 0.22</w:t>
            </w:r>
          </w:p>
        </w:tc>
        <w:tc>
          <w:tcPr>
            <w:tcW w:w="575" w:type="pct"/>
            <w:tcBorders>
              <w:top w:val="single" w:sz="4" w:space="0" w:color="auto"/>
              <w:left w:val="nil"/>
              <w:bottom w:val="single" w:sz="8" w:space="0" w:color="auto"/>
              <w:right w:val="nil"/>
            </w:tcBorders>
            <w:shd w:val="clear" w:color="auto" w:fill="auto"/>
            <w:noWrap/>
            <w:vAlign w:val="bottom"/>
          </w:tcPr>
          <w:p w14:paraId="0EE6160A"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1.18 ± 0.36</w:t>
            </w:r>
          </w:p>
        </w:tc>
        <w:tc>
          <w:tcPr>
            <w:tcW w:w="570" w:type="pct"/>
            <w:tcBorders>
              <w:top w:val="single" w:sz="4" w:space="0" w:color="auto"/>
              <w:left w:val="nil"/>
              <w:bottom w:val="single" w:sz="8" w:space="0" w:color="auto"/>
              <w:right w:val="nil"/>
            </w:tcBorders>
            <w:shd w:val="clear" w:color="auto" w:fill="auto"/>
            <w:noWrap/>
            <w:vAlign w:val="bottom"/>
          </w:tcPr>
          <w:p w14:paraId="2BE8426B"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0.35 ± 0.14</w:t>
            </w:r>
          </w:p>
        </w:tc>
      </w:tr>
      <w:tr w:rsidR="00B4386F" w:rsidRPr="00FA7D47" w14:paraId="4C87140B" w14:textId="77777777" w:rsidTr="0095549A">
        <w:trPr>
          <w:trHeight w:val="300"/>
        </w:trPr>
        <w:tc>
          <w:tcPr>
            <w:tcW w:w="990" w:type="pct"/>
            <w:tcBorders>
              <w:top w:val="single" w:sz="4" w:space="0" w:color="auto"/>
              <w:left w:val="nil"/>
              <w:bottom w:val="single" w:sz="8" w:space="0" w:color="auto"/>
              <w:right w:val="nil"/>
            </w:tcBorders>
            <w:shd w:val="clear" w:color="auto" w:fill="auto"/>
            <w:vAlign w:val="center"/>
          </w:tcPr>
          <w:p w14:paraId="6CD25499" w14:textId="77777777" w:rsidR="00B4386F" w:rsidRPr="009819CE" w:rsidRDefault="00B4386F" w:rsidP="0095549A">
            <w:pPr>
              <w:spacing w:after="0" w:line="240" w:lineRule="auto"/>
              <w:jc w:val="center"/>
              <w:rPr>
                <w:rFonts w:cstheme="minorBidi"/>
                <w:b/>
                <w:bCs/>
                <w:color w:val="000000"/>
                <w:sz w:val="22"/>
              </w:rPr>
            </w:pPr>
            <w:r w:rsidRPr="009819CE">
              <w:rPr>
                <w:rFonts w:cstheme="minorBidi"/>
                <w:b/>
                <w:bCs/>
                <w:color w:val="000000"/>
                <w:sz w:val="22"/>
              </w:rPr>
              <w:t>n-3/n-6 PUFA</w:t>
            </w:r>
          </w:p>
        </w:tc>
        <w:tc>
          <w:tcPr>
            <w:tcW w:w="573" w:type="pct"/>
            <w:tcBorders>
              <w:top w:val="single" w:sz="4" w:space="0" w:color="auto"/>
              <w:left w:val="nil"/>
              <w:bottom w:val="single" w:sz="8" w:space="0" w:color="auto"/>
              <w:right w:val="nil"/>
            </w:tcBorders>
            <w:shd w:val="clear" w:color="auto" w:fill="auto"/>
            <w:noWrap/>
            <w:vAlign w:val="bottom"/>
          </w:tcPr>
          <w:p w14:paraId="5C046FF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2.57 ± 0.45</w:t>
            </w:r>
          </w:p>
        </w:tc>
        <w:tc>
          <w:tcPr>
            <w:tcW w:w="573" w:type="pct"/>
            <w:tcBorders>
              <w:top w:val="single" w:sz="4" w:space="0" w:color="auto"/>
              <w:left w:val="nil"/>
              <w:bottom w:val="single" w:sz="8" w:space="0" w:color="auto"/>
              <w:right w:val="nil"/>
            </w:tcBorders>
            <w:shd w:val="clear" w:color="auto" w:fill="auto"/>
            <w:noWrap/>
            <w:vAlign w:val="bottom"/>
          </w:tcPr>
          <w:p w14:paraId="314900D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2.68 ± 0.87</w:t>
            </w:r>
          </w:p>
        </w:tc>
        <w:tc>
          <w:tcPr>
            <w:tcW w:w="573" w:type="pct"/>
            <w:tcBorders>
              <w:top w:val="single" w:sz="4" w:space="0" w:color="auto"/>
              <w:left w:val="nil"/>
              <w:bottom w:val="single" w:sz="8" w:space="0" w:color="auto"/>
              <w:right w:val="nil"/>
            </w:tcBorders>
            <w:shd w:val="clear" w:color="auto" w:fill="auto"/>
            <w:noWrap/>
            <w:vAlign w:val="bottom"/>
          </w:tcPr>
          <w:p w14:paraId="58B33B2F"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2.38 ± 0.94</w:t>
            </w:r>
          </w:p>
        </w:tc>
        <w:tc>
          <w:tcPr>
            <w:tcW w:w="573" w:type="pct"/>
            <w:tcBorders>
              <w:top w:val="single" w:sz="4" w:space="0" w:color="auto"/>
              <w:left w:val="nil"/>
              <w:bottom w:val="single" w:sz="8" w:space="0" w:color="auto"/>
              <w:right w:val="nil"/>
            </w:tcBorders>
            <w:shd w:val="clear" w:color="auto" w:fill="auto"/>
            <w:noWrap/>
            <w:vAlign w:val="bottom"/>
          </w:tcPr>
          <w:p w14:paraId="6EF2618C"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2.26 ± 0.64</w:t>
            </w:r>
          </w:p>
        </w:tc>
        <w:tc>
          <w:tcPr>
            <w:tcW w:w="573" w:type="pct"/>
            <w:tcBorders>
              <w:top w:val="single" w:sz="4" w:space="0" w:color="auto"/>
              <w:left w:val="nil"/>
              <w:bottom w:val="single" w:sz="8" w:space="0" w:color="auto"/>
              <w:right w:val="nil"/>
            </w:tcBorders>
            <w:shd w:val="clear" w:color="auto" w:fill="auto"/>
            <w:noWrap/>
            <w:vAlign w:val="bottom"/>
          </w:tcPr>
          <w:p w14:paraId="63953224"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1.84 ± 0.44</w:t>
            </w:r>
          </w:p>
        </w:tc>
        <w:tc>
          <w:tcPr>
            <w:tcW w:w="575" w:type="pct"/>
            <w:tcBorders>
              <w:top w:val="single" w:sz="4" w:space="0" w:color="auto"/>
              <w:left w:val="nil"/>
              <w:bottom w:val="single" w:sz="8" w:space="0" w:color="auto"/>
              <w:right w:val="nil"/>
            </w:tcBorders>
            <w:shd w:val="clear" w:color="auto" w:fill="auto"/>
            <w:noWrap/>
            <w:vAlign w:val="bottom"/>
          </w:tcPr>
          <w:p w14:paraId="6DB179B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1.24 ± 0.6</w:t>
            </w:r>
          </w:p>
        </w:tc>
        <w:tc>
          <w:tcPr>
            <w:tcW w:w="570" w:type="pct"/>
            <w:tcBorders>
              <w:top w:val="single" w:sz="4" w:space="0" w:color="auto"/>
              <w:left w:val="nil"/>
              <w:bottom w:val="single" w:sz="8" w:space="0" w:color="auto"/>
              <w:right w:val="nil"/>
            </w:tcBorders>
            <w:shd w:val="clear" w:color="auto" w:fill="auto"/>
            <w:noWrap/>
            <w:vAlign w:val="bottom"/>
          </w:tcPr>
          <w:p w14:paraId="4C96B413" w14:textId="77777777" w:rsidR="00B4386F" w:rsidRPr="009819CE" w:rsidRDefault="00B4386F" w:rsidP="0095549A">
            <w:pPr>
              <w:spacing w:after="0" w:line="240" w:lineRule="auto"/>
              <w:jc w:val="center"/>
              <w:rPr>
                <w:rFonts w:cstheme="minorBidi"/>
                <w:color w:val="000000"/>
                <w:sz w:val="22"/>
              </w:rPr>
            </w:pPr>
            <w:r w:rsidRPr="009819CE">
              <w:rPr>
                <w:rFonts w:cstheme="minorBidi"/>
                <w:color w:val="000000"/>
                <w:sz w:val="22"/>
              </w:rPr>
              <w:t>3.6 ± 1.35</w:t>
            </w:r>
          </w:p>
        </w:tc>
      </w:tr>
    </w:tbl>
    <w:p w14:paraId="08E9B3DA" w14:textId="77777777" w:rsidR="00311483" w:rsidRDefault="00311483">
      <w:pPr>
        <w:sectPr w:rsidR="00311483" w:rsidSect="00B4386F">
          <w:footerReference w:type="default" r:id="rId119"/>
          <w:pgSz w:w="16838" w:h="11906" w:orient="landscape" w:code="9"/>
          <w:pgMar w:top="1440" w:right="1440" w:bottom="1440" w:left="1440" w:header="567" w:footer="567" w:gutter="0"/>
          <w:cols w:space="708"/>
          <w:docGrid w:linePitch="360"/>
        </w:sectPr>
      </w:pPr>
    </w:p>
    <w:p w14:paraId="16997E9F" w14:textId="77777777" w:rsidR="00311483" w:rsidRDefault="0031148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3DF08639" w14:textId="77777777" w:rsidTr="00311483">
        <w:tc>
          <w:tcPr>
            <w:tcW w:w="5000" w:type="pct"/>
          </w:tcPr>
          <w:p w14:paraId="120DFEB1" w14:textId="77777777" w:rsidR="006A0363" w:rsidRPr="009819CE" w:rsidRDefault="006A0363" w:rsidP="007D6607">
            <w:pPr>
              <w:rPr>
                <w:rFonts w:cstheme="minorBidi"/>
                <w:lang w:val="en-GB"/>
              </w:rPr>
            </w:pPr>
            <w:r w:rsidRPr="00FF34FE">
              <w:rPr>
                <w:rFonts w:cstheme="minorBidi"/>
                <w:noProof/>
              </w:rPr>
              <w:drawing>
                <wp:anchor distT="0" distB="0" distL="114300" distR="114300" simplePos="0" relativeHeight="251730944" behindDoc="0" locked="0" layoutInCell="1" allowOverlap="1" wp14:anchorId="5C92E7A7" wp14:editId="16109149">
                  <wp:simplePos x="0" y="0"/>
                  <wp:positionH relativeFrom="margin">
                    <wp:posOffset>264356</wp:posOffset>
                  </wp:positionH>
                  <wp:positionV relativeFrom="margin">
                    <wp:posOffset>317</wp:posOffset>
                  </wp:positionV>
                  <wp:extent cx="5918199" cy="2959100"/>
                  <wp:effectExtent l="0" t="0" r="6985" b="0"/>
                  <wp:wrapSquare wrapText="bothSides"/>
                  <wp:docPr id="343782058" name="Picture 3"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82058" name="Picture 3" descr="A graph of different colored bars&#10;&#10;Description automatically generated with medium confidence"/>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18199" cy="2959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A0363" w:rsidRPr="00FA7D47" w14:paraId="4A1F5DB7" w14:textId="77777777" w:rsidTr="00311483">
        <w:tc>
          <w:tcPr>
            <w:tcW w:w="5000" w:type="pct"/>
          </w:tcPr>
          <w:p w14:paraId="4F59FBD8" w14:textId="5484449B" w:rsidR="006A0363" w:rsidRPr="009819CE" w:rsidRDefault="006A0363" w:rsidP="007D6607">
            <w:pPr>
              <w:spacing w:line="240" w:lineRule="auto"/>
              <w:rPr>
                <w:rFonts w:cstheme="minorBidi"/>
                <w:lang w:val="en-GB"/>
              </w:rPr>
            </w:pPr>
            <w:bookmarkStart w:id="384" w:name="_Ref141625996"/>
            <w:bookmarkStart w:id="385" w:name="_Toc204106753"/>
            <w:r w:rsidRPr="009819CE">
              <w:rPr>
                <w:rFonts w:cstheme="minorBidi"/>
                <w:b/>
                <w:bCs/>
                <w:sz w:val="22"/>
                <w:szCs w:val="18"/>
                <w:lang w:val="en-GB"/>
              </w:rPr>
              <w:t xml:space="preserve">Figure </w:t>
            </w:r>
            <w:r w:rsidRPr="001F4A34">
              <w:rPr>
                <w:rFonts w:cstheme="minorBidi"/>
                <w:b/>
                <w:bCs/>
                <w:sz w:val="22"/>
                <w:szCs w:val="18"/>
              </w:rPr>
              <w:fldChar w:fldCharType="begin"/>
            </w:r>
            <w:r w:rsidRPr="009819CE">
              <w:rPr>
                <w:rFonts w:cstheme="minorBidi"/>
                <w:b/>
                <w:bCs/>
                <w:sz w:val="22"/>
                <w:szCs w:val="18"/>
                <w:lang w:val="en-GB"/>
              </w:rPr>
              <w:instrText xml:space="preserve"> STYLEREF 1 \s </w:instrText>
            </w:r>
            <w:r w:rsidRPr="001F4A34">
              <w:rPr>
                <w:rFonts w:cstheme="minorBidi"/>
                <w:b/>
                <w:bCs/>
                <w:sz w:val="22"/>
                <w:szCs w:val="18"/>
              </w:rPr>
              <w:fldChar w:fldCharType="separate"/>
            </w:r>
            <w:r w:rsidR="008549FC">
              <w:rPr>
                <w:rFonts w:cstheme="minorBidi"/>
                <w:b/>
                <w:bCs/>
                <w:noProof/>
                <w:sz w:val="22"/>
                <w:szCs w:val="18"/>
                <w:lang w:val="en-GB"/>
              </w:rPr>
              <w:t>4</w:t>
            </w:r>
            <w:r w:rsidRPr="001F4A34">
              <w:rPr>
                <w:rFonts w:cstheme="minorBidi"/>
                <w:b/>
                <w:bCs/>
                <w:sz w:val="22"/>
                <w:szCs w:val="18"/>
              </w:rPr>
              <w:fldChar w:fldCharType="end"/>
            </w:r>
            <w:r w:rsidRPr="009819CE">
              <w:rPr>
                <w:rFonts w:cstheme="minorBidi"/>
                <w:b/>
                <w:bCs/>
                <w:sz w:val="22"/>
                <w:szCs w:val="18"/>
                <w:lang w:val="en-GB"/>
              </w:rPr>
              <w:t>.</w:t>
            </w:r>
            <w:r w:rsidRPr="001F4A34">
              <w:rPr>
                <w:rFonts w:cstheme="minorBidi"/>
                <w:b/>
                <w:bCs/>
                <w:sz w:val="22"/>
                <w:szCs w:val="18"/>
              </w:rPr>
              <w:fldChar w:fldCharType="begin"/>
            </w:r>
            <w:r w:rsidRPr="009819CE">
              <w:rPr>
                <w:rFonts w:cstheme="minorBidi"/>
                <w:b/>
                <w:bCs/>
                <w:sz w:val="22"/>
                <w:szCs w:val="18"/>
                <w:lang w:val="en-GB"/>
              </w:rPr>
              <w:instrText xml:space="preserve"> SEQ Figure \* ARABIC \s 1 </w:instrText>
            </w:r>
            <w:r w:rsidRPr="001F4A34">
              <w:rPr>
                <w:rFonts w:cstheme="minorBidi"/>
                <w:b/>
                <w:bCs/>
                <w:sz w:val="22"/>
                <w:szCs w:val="18"/>
              </w:rPr>
              <w:fldChar w:fldCharType="separate"/>
            </w:r>
            <w:r w:rsidR="008549FC">
              <w:rPr>
                <w:rFonts w:cstheme="minorBidi"/>
                <w:b/>
                <w:bCs/>
                <w:noProof/>
                <w:sz w:val="22"/>
                <w:szCs w:val="18"/>
                <w:lang w:val="en-GB"/>
              </w:rPr>
              <w:t>15</w:t>
            </w:r>
            <w:r w:rsidRPr="001F4A34">
              <w:rPr>
                <w:rFonts w:cstheme="minorBidi"/>
                <w:b/>
                <w:bCs/>
                <w:sz w:val="22"/>
                <w:szCs w:val="18"/>
              </w:rPr>
              <w:fldChar w:fldCharType="end"/>
            </w:r>
            <w:bookmarkEnd w:id="384"/>
            <w:r w:rsidRPr="009819CE">
              <w:rPr>
                <w:rFonts w:cstheme="minorBidi"/>
                <w:sz w:val="22"/>
                <w:szCs w:val="18"/>
                <w:lang w:val="en-GB"/>
              </w:rPr>
              <w:t xml:space="preserve"> Barplot depicting the average FAMES (%) in the neutral fraction of the total lipids found in the hepatopancreas with different levels of </w:t>
            </w:r>
            <w:r w:rsidR="009D03F4" w:rsidRPr="009819CE">
              <w:rPr>
                <w:rFonts w:cstheme="minorBidi"/>
                <w:i/>
                <w:iCs/>
                <w:sz w:val="22"/>
                <w:szCs w:val="18"/>
                <w:lang w:val="en-GB"/>
              </w:rPr>
              <w:t>Hematodinium</w:t>
            </w:r>
            <w:r w:rsidRPr="009819CE">
              <w:rPr>
                <w:rFonts w:cstheme="minorBidi"/>
                <w:sz w:val="22"/>
                <w:szCs w:val="18"/>
                <w:lang w:val="en-GB"/>
              </w:rPr>
              <w:t xml:space="preserve"> sp. infection (stage 0-4) as classified by the PM, along with the hepatopancreas of the host that sporulated and the released spores (macrospores).</w:t>
            </w:r>
            <w:bookmarkEnd w:id="385"/>
          </w:p>
        </w:tc>
      </w:tr>
    </w:tbl>
    <w:p w14:paraId="3D93FF1C" w14:textId="77777777" w:rsidR="00B4386F" w:rsidRPr="009819CE" w:rsidRDefault="00B4386F" w:rsidP="006A0363">
      <w:pPr>
        <w:rPr>
          <w:rFonts w:cstheme="minorBidi"/>
        </w:rPr>
        <w:sectPr w:rsidR="00B4386F" w:rsidRPr="009819CE" w:rsidSect="00311483">
          <w:pgSz w:w="11906" w:h="16838" w:code="9"/>
          <w:pgMar w:top="1440" w:right="1440" w:bottom="1440" w:left="1440"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A0363" w:rsidRPr="00FA7D47" w14:paraId="0574DE31" w14:textId="77777777" w:rsidTr="007D6607">
        <w:tc>
          <w:tcPr>
            <w:tcW w:w="9026" w:type="dxa"/>
          </w:tcPr>
          <w:p w14:paraId="337E0AE6" w14:textId="69BD5A48" w:rsidR="000C63F7" w:rsidRPr="001F4A34" w:rsidRDefault="000C63F7" w:rsidP="001F4A34">
            <w:pPr>
              <w:spacing w:before="100" w:beforeAutospacing="1" w:after="100" w:afterAutospacing="1" w:line="240" w:lineRule="auto"/>
              <w:jc w:val="left"/>
              <w:rPr>
                <w:rFonts w:ascii="Times New Roman" w:hAnsi="Times New Roman"/>
              </w:rPr>
            </w:pPr>
            <w:r w:rsidRPr="000C63F7">
              <w:rPr>
                <w:rFonts w:ascii="Times New Roman" w:hAnsi="Times New Roman"/>
                <w:noProof/>
              </w:rPr>
              <w:drawing>
                <wp:inline distT="0" distB="0" distL="0" distR="0" wp14:anchorId="49F37485" wp14:editId="32908416">
                  <wp:extent cx="5669280" cy="7003376"/>
                  <wp:effectExtent l="0" t="0" r="7620" b="7620"/>
                  <wp:docPr id="2132655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682852" cy="7020142"/>
                          </a:xfrm>
                          <a:prstGeom prst="rect">
                            <a:avLst/>
                          </a:prstGeom>
                          <a:noFill/>
                          <a:ln>
                            <a:noFill/>
                          </a:ln>
                        </pic:spPr>
                      </pic:pic>
                    </a:graphicData>
                  </a:graphic>
                </wp:inline>
              </w:drawing>
            </w:r>
          </w:p>
        </w:tc>
      </w:tr>
      <w:tr w:rsidR="006A0363" w:rsidRPr="00FA7D47" w14:paraId="027F3B58" w14:textId="77777777" w:rsidTr="007D6607">
        <w:tc>
          <w:tcPr>
            <w:tcW w:w="9026" w:type="dxa"/>
          </w:tcPr>
          <w:p w14:paraId="1FDD291F" w14:textId="137758CA" w:rsidR="006A0363" w:rsidRPr="009819CE" w:rsidRDefault="006A0363" w:rsidP="005E3ED8">
            <w:pPr>
              <w:spacing w:line="240" w:lineRule="auto"/>
              <w:rPr>
                <w:rFonts w:cstheme="minorBidi"/>
                <w:sz w:val="22"/>
                <w:szCs w:val="22"/>
                <w:lang w:val="en-GB"/>
              </w:rPr>
            </w:pPr>
            <w:bookmarkStart w:id="386" w:name="_Ref137628008"/>
            <w:bookmarkStart w:id="387" w:name="_Toc204106754"/>
            <w:r w:rsidRPr="009819CE">
              <w:rPr>
                <w:rFonts w:cstheme="minorBidi"/>
                <w:b/>
                <w:bCs/>
                <w:sz w:val="22"/>
                <w:szCs w:val="22"/>
                <w:lang w:val="en-GB"/>
              </w:rPr>
              <w:t xml:space="preserve">Figure </w:t>
            </w:r>
            <w:r w:rsidRPr="001F4A34">
              <w:rPr>
                <w:rFonts w:cstheme="minorBidi"/>
                <w:b/>
                <w:bCs/>
                <w:sz w:val="22"/>
              </w:rPr>
              <w:fldChar w:fldCharType="begin"/>
            </w:r>
            <w:r w:rsidRPr="009819CE">
              <w:rPr>
                <w:rFonts w:cstheme="minorBidi"/>
                <w:b/>
                <w:bCs/>
                <w:sz w:val="22"/>
                <w:szCs w:val="22"/>
                <w:lang w:val="en-GB"/>
              </w:rPr>
              <w:instrText xml:space="preserve"> STYLEREF 1 \s </w:instrText>
            </w:r>
            <w:r w:rsidRPr="001F4A34">
              <w:rPr>
                <w:rFonts w:cstheme="minorBidi"/>
                <w:b/>
                <w:bCs/>
                <w:sz w:val="22"/>
              </w:rPr>
              <w:fldChar w:fldCharType="separate"/>
            </w:r>
            <w:r w:rsidR="008549FC">
              <w:rPr>
                <w:rFonts w:cstheme="minorBidi"/>
                <w:b/>
                <w:bCs/>
                <w:noProof/>
                <w:sz w:val="22"/>
                <w:szCs w:val="22"/>
                <w:lang w:val="en-GB"/>
              </w:rPr>
              <w:t>4</w:t>
            </w:r>
            <w:r w:rsidRPr="001F4A34">
              <w:rPr>
                <w:rFonts w:cstheme="minorBidi"/>
                <w:b/>
                <w:bCs/>
                <w:sz w:val="22"/>
              </w:rPr>
              <w:fldChar w:fldCharType="end"/>
            </w:r>
            <w:r w:rsidRPr="009819CE">
              <w:rPr>
                <w:rFonts w:cstheme="minorBidi"/>
                <w:b/>
                <w:bCs/>
                <w:sz w:val="22"/>
                <w:szCs w:val="22"/>
                <w:lang w:val="en-GB"/>
              </w:rPr>
              <w:t>.</w:t>
            </w:r>
            <w:r w:rsidRPr="001F4A34">
              <w:rPr>
                <w:rFonts w:cstheme="minorBidi"/>
                <w:b/>
                <w:bCs/>
                <w:sz w:val="22"/>
              </w:rPr>
              <w:fldChar w:fldCharType="begin"/>
            </w:r>
            <w:r w:rsidRPr="009819CE">
              <w:rPr>
                <w:rFonts w:cstheme="minorBidi"/>
                <w:b/>
                <w:bCs/>
                <w:sz w:val="22"/>
                <w:szCs w:val="22"/>
                <w:lang w:val="en-GB"/>
              </w:rPr>
              <w:instrText xml:space="preserve"> SEQ Figure \* ARABIC \s 1 </w:instrText>
            </w:r>
            <w:r w:rsidRPr="001F4A34">
              <w:rPr>
                <w:rFonts w:cstheme="minorBidi"/>
                <w:b/>
                <w:bCs/>
                <w:sz w:val="22"/>
              </w:rPr>
              <w:fldChar w:fldCharType="separate"/>
            </w:r>
            <w:r w:rsidR="008549FC">
              <w:rPr>
                <w:rFonts w:cstheme="minorBidi"/>
                <w:b/>
                <w:bCs/>
                <w:noProof/>
                <w:sz w:val="22"/>
                <w:szCs w:val="22"/>
                <w:lang w:val="en-GB"/>
              </w:rPr>
              <w:t>16</w:t>
            </w:r>
            <w:r w:rsidRPr="001F4A34">
              <w:rPr>
                <w:rFonts w:cstheme="minorBidi"/>
                <w:b/>
                <w:bCs/>
                <w:sz w:val="22"/>
              </w:rPr>
              <w:fldChar w:fldCharType="end"/>
            </w:r>
            <w:bookmarkEnd w:id="386"/>
            <w:r w:rsidRPr="009819CE">
              <w:rPr>
                <w:rFonts w:cstheme="minorBidi"/>
                <w:sz w:val="22"/>
                <w:szCs w:val="22"/>
                <w:lang w:val="en-GB"/>
              </w:rPr>
              <w:t xml:space="preserve"> Fatty Acid Composition (according to the neutral fraction of the total lipid) in </w:t>
            </w:r>
            <w:r w:rsidR="00C31E47" w:rsidRPr="009819CE">
              <w:rPr>
                <w:rFonts w:cstheme="minorBidi"/>
                <w:i/>
                <w:sz w:val="22"/>
                <w:szCs w:val="22"/>
                <w:lang w:val="en-GB"/>
              </w:rPr>
              <w:t>Nephrops</w:t>
            </w:r>
            <w:r w:rsidRPr="009819CE">
              <w:rPr>
                <w:rFonts w:cstheme="minorBidi"/>
                <w:sz w:val="22"/>
                <w:szCs w:val="22"/>
                <w:lang w:val="en-GB"/>
              </w:rPr>
              <w:t xml:space="preserve"> hepatopancreas at different stages of infection (stages S 0-4) and after sporulation and in spores released from sporulated animals. Hepatopancreas: Comparing </w:t>
            </w:r>
            <w:r w:rsidR="009D03F4" w:rsidRPr="009819CE">
              <w:rPr>
                <w:rFonts w:cstheme="minorBidi"/>
                <w:i/>
                <w:sz w:val="22"/>
                <w:szCs w:val="22"/>
                <w:lang w:val="en-GB"/>
              </w:rPr>
              <w:t>Hematodinium</w:t>
            </w:r>
            <w:r w:rsidRPr="009819CE">
              <w:rPr>
                <w:rFonts w:cstheme="minorBidi"/>
                <w:sz w:val="22"/>
                <w:szCs w:val="22"/>
                <w:lang w:val="en-GB"/>
              </w:rPr>
              <w:t xml:space="preserve"> sp. Infection (Stages 0-4) as classified by the PM, Sporulated Individuals, and released macrospores. Limit of detection: 0.16.</w:t>
            </w:r>
            <w:bookmarkEnd w:id="387"/>
            <w:r w:rsidRPr="009819CE">
              <w:rPr>
                <w:rFonts w:cstheme="minorBidi"/>
                <w:sz w:val="22"/>
                <w:szCs w:val="22"/>
                <w:lang w:val="en-GB"/>
              </w:rPr>
              <w:t xml:space="preserve"> </w:t>
            </w:r>
          </w:p>
        </w:tc>
      </w:tr>
    </w:tbl>
    <w:p w14:paraId="7DA89D91" w14:textId="77777777" w:rsidR="003D4B33" w:rsidRDefault="003D4B33" w:rsidP="006A0363">
      <w:pPr>
        <w:rPr>
          <w:rFonts w:cstheme="minorBidi"/>
        </w:rPr>
        <w:sectPr w:rsidR="003D4B33" w:rsidSect="00750A53">
          <w:pgSz w:w="11906" w:h="16838" w:code="9"/>
          <w:pgMar w:top="1440" w:right="1440" w:bottom="1440" w:left="1440" w:header="567" w:footer="567" w:gutter="0"/>
          <w:cols w:space="708"/>
          <w:docGrid w:linePitch="360"/>
        </w:sectPr>
      </w:pPr>
    </w:p>
    <w:p w14:paraId="190051C2" w14:textId="4FBE1748" w:rsidR="00311483" w:rsidRDefault="00311483" w:rsidP="00311483">
      <w:pPr>
        <w:pStyle w:val="Heading3"/>
      </w:pPr>
      <w:bookmarkStart w:id="388" w:name="_Toc204106680"/>
      <w:bookmarkStart w:id="389" w:name="_Ref204022528"/>
      <w:r>
        <w:t xml:space="preserve">Anova </w:t>
      </w:r>
      <w:r w:rsidR="00777522" w:rsidRPr="009819CE">
        <w:rPr>
          <w:rFonts w:eastAsia="Calibri" w:cstheme="minorBidi"/>
          <w:iCs/>
          <w:color w:val="000000"/>
          <w:sz w:val="22"/>
          <w:szCs w:val="18"/>
        </w:rPr>
        <w:t>comparison</w:t>
      </w:r>
      <w:r w:rsidR="00777522">
        <w:rPr>
          <w:rFonts w:eastAsia="Calibri" w:cstheme="minorBidi"/>
          <w:iCs/>
          <w:color w:val="000000"/>
          <w:sz w:val="22"/>
          <w:szCs w:val="18"/>
        </w:rPr>
        <w:t>s</w:t>
      </w:r>
      <w:bookmarkEnd w:id="388"/>
    </w:p>
    <w:p w14:paraId="0560D7BB" w14:textId="77777777" w:rsidR="00F07F00" w:rsidRDefault="00F07F00" w:rsidP="003D4B33">
      <w:pPr>
        <w:pStyle w:val="Caption"/>
        <w:rPr>
          <w:b/>
          <w:bCs/>
        </w:rPr>
      </w:pPr>
    </w:p>
    <w:p w14:paraId="48B1D21D" w14:textId="3E447BB0" w:rsidR="003D4B33" w:rsidRPr="009819CE" w:rsidRDefault="003D4B33" w:rsidP="003D4B33">
      <w:pPr>
        <w:pStyle w:val="Caption"/>
        <w:rPr>
          <w:rFonts w:cstheme="minorBidi"/>
          <w:iCs w:val="0"/>
          <w:color w:val="000000"/>
        </w:rPr>
      </w:pPr>
      <w:bookmarkStart w:id="390" w:name="_Ref204026081"/>
      <w:bookmarkStart w:id="391" w:name="_Toc204106768"/>
      <w:r w:rsidRPr="005E2068">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8</w:t>
      </w:r>
      <w:r w:rsidR="0095522A">
        <w:rPr>
          <w:b/>
          <w:bCs/>
        </w:rPr>
        <w:fldChar w:fldCharType="end"/>
      </w:r>
      <w:bookmarkEnd w:id="389"/>
      <w:bookmarkEnd w:id="390"/>
      <w:r>
        <w:t xml:space="preserve"> </w:t>
      </w:r>
      <w:r w:rsidRPr="009819CE">
        <w:rPr>
          <w:rFonts w:cstheme="minorBidi"/>
          <w:color w:val="000000"/>
        </w:rPr>
        <w:t xml:space="preserve">Anova comparison of fatty acid composition of macrospores compared to host hepatopancreas and the hepatopancreas of </w:t>
      </w:r>
      <w:r w:rsidRPr="009819CE">
        <w:rPr>
          <w:rFonts w:cstheme="minorBidi"/>
          <w:i/>
          <w:color w:val="000000"/>
        </w:rPr>
        <w:t>Nephrops</w:t>
      </w:r>
      <w:r w:rsidRPr="009819CE">
        <w:rPr>
          <w:rFonts w:cstheme="minorBidi"/>
          <w:color w:val="000000"/>
        </w:rPr>
        <w:t xml:space="preserve"> with different levels of </w:t>
      </w:r>
      <w:r w:rsidRPr="009819CE">
        <w:rPr>
          <w:rFonts w:cstheme="minorBidi"/>
          <w:i/>
          <w:color w:val="000000"/>
        </w:rPr>
        <w:t>Hematodinium</w:t>
      </w:r>
      <w:r w:rsidRPr="009819CE">
        <w:rPr>
          <w:rFonts w:cstheme="minorBidi"/>
          <w:color w:val="000000"/>
        </w:rPr>
        <w:t xml:space="preserve"> sp. infection according to the pleopod method: analysis of total fatty acid composition, and fatty acid composition in neutral and polar fraction of the total lipid. </w:t>
      </w:r>
      <w:r>
        <w:rPr>
          <w:rFonts w:cstheme="minorBidi"/>
          <w:iCs w:val="0"/>
          <w:color w:val="000000"/>
        </w:rPr>
        <w:t>n</w:t>
      </w:r>
      <w:r w:rsidRPr="009819CE">
        <w:rPr>
          <w:rFonts w:cstheme="minorBidi"/>
          <w:color w:val="000000"/>
        </w:rPr>
        <w:t>s=no significant.</w:t>
      </w:r>
      <w:bookmarkEnd w:id="391"/>
    </w:p>
    <w:tbl>
      <w:tblPr>
        <w:tblW w:w="5000" w:type="pct"/>
        <w:tblLook w:val="04A0" w:firstRow="1" w:lastRow="0" w:firstColumn="1" w:lastColumn="0" w:noHBand="0" w:noVBand="1"/>
      </w:tblPr>
      <w:tblGrid>
        <w:gridCol w:w="1045"/>
        <w:gridCol w:w="615"/>
        <w:gridCol w:w="614"/>
        <w:gridCol w:w="614"/>
        <w:gridCol w:w="614"/>
        <w:gridCol w:w="614"/>
        <w:gridCol w:w="614"/>
        <w:gridCol w:w="614"/>
        <w:gridCol w:w="614"/>
        <w:gridCol w:w="614"/>
        <w:gridCol w:w="614"/>
        <w:gridCol w:w="614"/>
        <w:gridCol w:w="614"/>
        <w:gridCol w:w="614"/>
        <w:gridCol w:w="614"/>
        <w:gridCol w:w="614"/>
        <w:gridCol w:w="614"/>
        <w:gridCol w:w="614"/>
        <w:gridCol w:w="614"/>
        <w:gridCol w:w="614"/>
        <w:gridCol w:w="614"/>
        <w:gridCol w:w="614"/>
      </w:tblGrid>
      <w:tr w:rsidR="003D4B33" w:rsidRPr="00435B6B" w14:paraId="3C3C07E7" w14:textId="77777777" w:rsidTr="007F031B">
        <w:trPr>
          <w:trHeight w:val="315"/>
        </w:trPr>
        <w:tc>
          <w:tcPr>
            <w:tcW w:w="3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D687E9"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fatty acid</w:t>
            </w:r>
          </w:p>
        </w:tc>
        <w:tc>
          <w:tcPr>
            <w:tcW w:w="1545" w:type="pct"/>
            <w:gridSpan w:val="7"/>
            <w:tcBorders>
              <w:top w:val="single" w:sz="8" w:space="0" w:color="auto"/>
              <w:left w:val="nil"/>
              <w:bottom w:val="nil"/>
              <w:right w:val="nil"/>
            </w:tcBorders>
            <w:shd w:val="clear" w:color="auto" w:fill="auto"/>
            <w:noWrap/>
            <w:vAlign w:val="center"/>
            <w:hideMark/>
          </w:tcPr>
          <w:p w14:paraId="0928ECA2"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Total</w:t>
            </w:r>
          </w:p>
        </w:tc>
        <w:tc>
          <w:tcPr>
            <w:tcW w:w="1545" w:type="pct"/>
            <w:gridSpan w:val="7"/>
            <w:tcBorders>
              <w:top w:val="single" w:sz="8" w:space="0" w:color="auto"/>
              <w:left w:val="single" w:sz="8" w:space="0" w:color="auto"/>
              <w:bottom w:val="nil"/>
              <w:right w:val="single" w:sz="8" w:space="0" w:color="000000"/>
            </w:tcBorders>
            <w:shd w:val="clear" w:color="auto" w:fill="auto"/>
            <w:noWrap/>
            <w:vAlign w:val="center"/>
            <w:hideMark/>
          </w:tcPr>
          <w:p w14:paraId="020AC76A"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Polar</w:t>
            </w:r>
          </w:p>
        </w:tc>
        <w:tc>
          <w:tcPr>
            <w:tcW w:w="1545" w:type="pct"/>
            <w:gridSpan w:val="7"/>
            <w:tcBorders>
              <w:top w:val="single" w:sz="8" w:space="0" w:color="auto"/>
              <w:left w:val="nil"/>
              <w:bottom w:val="nil"/>
              <w:right w:val="single" w:sz="8" w:space="0" w:color="000000"/>
            </w:tcBorders>
            <w:shd w:val="clear" w:color="auto" w:fill="auto"/>
            <w:noWrap/>
            <w:vAlign w:val="center"/>
            <w:hideMark/>
          </w:tcPr>
          <w:p w14:paraId="7290E8B3"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Neutral</w:t>
            </w:r>
          </w:p>
        </w:tc>
      </w:tr>
      <w:tr w:rsidR="003D4B33" w:rsidRPr="00435B6B" w14:paraId="4402053A" w14:textId="77777777" w:rsidTr="007F031B">
        <w:trPr>
          <w:trHeight w:val="315"/>
        </w:trPr>
        <w:tc>
          <w:tcPr>
            <w:tcW w:w="365" w:type="pct"/>
            <w:vMerge/>
            <w:tcBorders>
              <w:top w:val="single" w:sz="8" w:space="0" w:color="auto"/>
              <w:left w:val="single" w:sz="8" w:space="0" w:color="auto"/>
              <w:bottom w:val="single" w:sz="8" w:space="0" w:color="000000"/>
              <w:right w:val="single" w:sz="8" w:space="0" w:color="auto"/>
            </w:tcBorders>
            <w:vAlign w:val="center"/>
            <w:hideMark/>
          </w:tcPr>
          <w:p w14:paraId="6607F079" w14:textId="77777777" w:rsidR="003D4B33" w:rsidRPr="00435B6B" w:rsidRDefault="003D4B33" w:rsidP="007F031B">
            <w:pPr>
              <w:spacing w:after="0" w:line="240" w:lineRule="auto"/>
              <w:jc w:val="left"/>
              <w:rPr>
                <w:rFonts w:cstheme="minorBidi"/>
                <w:b/>
                <w:bCs/>
                <w:color w:val="000000"/>
                <w:sz w:val="14"/>
                <w:szCs w:val="14"/>
              </w:rPr>
            </w:pPr>
          </w:p>
        </w:tc>
        <w:tc>
          <w:tcPr>
            <w:tcW w:w="216" w:type="pct"/>
            <w:tcBorders>
              <w:left w:val="nil"/>
              <w:bottom w:val="single" w:sz="8" w:space="0" w:color="auto"/>
              <w:right w:val="nil"/>
            </w:tcBorders>
            <w:shd w:val="clear" w:color="auto" w:fill="auto"/>
            <w:noWrap/>
            <w:vAlign w:val="center"/>
            <w:hideMark/>
          </w:tcPr>
          <w:p w14:paraId="59A13DB4"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p-value</w:t>
            </w:r>
          </w:p>
        </w:tc>
        <w:tc>
          <w:tcPr>
            <w:tcW w:w="216" w:type="pct"/>
            <w:tcBorders>
              <w:left w:val="nil"/>
              <w:bottom w:val="single" w:sz="8" w:space="0" w:color="auto"/>
              <w:right w:val="nil"/>
            </w:tcBorders>
            <w:shd w:val="clear" w:color="auto" w:fill="auto"/>
            <w:noWrap/>
            <w:vAlign w:val="center"/>
            <w:hideMark/>
          </w:tcPr>
          <w:p w14:paraId="19C903E0"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S0</w:t>
            </w:r>
          </w:p>
        </w:tc>
        <w:tc>
          <w:tcPr>
            <w:tcW w:w="216" w:type="pct"/>
            <w:tcBorders>
              <w:left w:val="nil"/>
              <w:bottom w:val="single" w:sz="8" w:space="0" w:color="auto"/>
              <w:right w:val="nil"/>
            </w:tcBorders>
            <w:shd w:val="clear" w:color="auto" w:fill="auto"/>
            <w:noWrap/>
            <w:vAlign w:val="center"/>
            <w:hideMark/>
          </w:tcPr>
          <w:p w14:paraId="4FA667EA"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S1</w:t>
            </w:r>
          </w:p>
        </w:tc>
        <w:tc>
          <w:tcPr>
            <w:tcW w:w="216" w:type="pct"/>
            <w:tcBorders>
              <w:left w:val="nil"/>
              <w:bottom w:val="single" w:sz="8" w:space="0" w:color="auto"/>
              <w:right w:val="nil"/>
            </w:tcBorders>
            <w:shd w:val="clear" w:color="auto" w:fill="auto"/>
            <w:noWrap/>
            <w:vAlign w:val="center"/>
            <w:hideMark/>
          </w:tcPr>
          <w:p w14:paraId="3DED570C"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S2</w:t>
            </w:r>
          </w:p>
        </w:tc>
        <w:tc>
          <w:tcPr>
            <w:tcW w:w="216" w:type="pct"/>
            <w:tcBorders>
              <w:left w:val="nil"/>
              <w:bottom w:val="single" w:sz="8" w:space="0" w:color="auto"/>
              <w:right w:val="nil"/>
            </w:tcBorders>
            <w:shd w:val="clear" w:color="auto" w:fill="auto"/>
            <w:noWrap/>
            <w:vAlign w:val="center"/>
            <w:hideMark/>
          </w:tcPr>
          <w:p w14:paraId="5531356F"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S3</w:t>
            </w:r>
          </w:p>
        </w:tc>
        <w:tc>
          <w:tcPr>
            <w:tcW w:w="216" w:type="pct"/>
            <w:tcBorders>
              <w:left w:val="nil"/>
              <w:bottom w:val="single" w:sz="8" w:space="0" w:color="auto"/>
              <w:right w:val="nil"/>
            </w:tcBorders>
            <w:shd w:val="clear" w:color="auto" w:fill="auto"/>
            <w:noWrap/>
            <w:vAlign w:val="center"/>
            <w:hideMark/>
          </w:tcPr>
          <w:p w14:paraId="5BDBC781"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S4</w:t>
            </w:r>
          </w:p>
        </w:tc>
        <w:tc>
          <w:tcPr>
            <w:tcW w:w="251" w:type="pct"/>
            <w:tcBorders>
              <w:left w:val="nil"/>
              <w:bottom w:val="single" w:sz="8" w:space="0" w:color="auto"/>
              <w:right w:val="single" w:sz="8" w:space="0" w:color="auto"/>
            </w:tcBorders>
            <w:shd w:val="clear" w:color="auto" w:fill="auto"/>
            <w:noWrap/>
            <w:vAlign w:val="center"/>
            <w:hideMark/>
          </w:tcPr>
          <w:p w14:paraId="19817416"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host</w:t>
            </w:r>
          </w:p>
        </w:tc>
        <w:tc>
          <w:tcPr>
            <w:tcW w:w="216" w:type="pct"/>
            <w:tcBorders>
              <w:left w:val="nil"/>
              <w:bottom w:val="single" w:sz="8" w:space="0" w:color="auto"/>
              <w:right w:val="nil"/>
            </w:tcBorders>
            <w:shd w:val="clear" w:color="auto" w:fill="auto"/>
            <w:noWrap/>
            <w:vAlign w:val="center"/>
            <w:hideMark/>
          </w:tcPr>
          <w:p w14:paraId="164F29C4"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p-value</w:t>
            </w:r>
          </w:p>
        </w:tc>
        <w:tc>
          <w:tcPr>
            <w:tcW w:w="216" w:type="pct"/>
            <w:tcBorders>
              <w:left w:val="nil"/>
              <w:bottom w:val="single" w:sz="8" w:space="0" w:color="auto"/>
              <w:right w:val="nil"/>
            </w:tcBorders>
            <w:shd w:val="clear" w:color="auto" w:fill="auto"/>
            <w:noWrap/>
            <w:vAlign w:val="center"/>
            <w:hideMark/>
          </w:tcPr>
          <w:p w14:paraId="7601F966"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S0</w:t>
            </w:r>
          </w:p>
        </w:tc>
        <w:tc>
          <w:tcPr>
            <w:tcW w:w="216" w:type="pct"/>
            <w:tcBorders>
              <w:left w:val="nil"/>
              <w:bottom w:val="single" w:sz="8" w:space="0" w:color="auto"/>
              <w:right w:val="nil"/>
            </w:tcBorders>
            <w:shd w:val="clear" w:color="auto" w:fill="auto"/>
            <w:noWrap/>
            <w:vAlign w:val="center"/>
            <w:hideMark/>
          </w:tcPr>
          <w:p w14:paraId="44C9BCE9"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S1</w:t>
            </w:r>
          </w:p>
        </w:tc>
        <w:tc>
          <w:tcPr>
            <w:tcW w:w="216" w:type="pct"/>
            <w:tcBorders>
              <w:left w:val="nil"/>
              <w:bottom w:val="single" w:sz="8" w:space="0" w:color="auto"/>
              <w:right w:val="nil"/>
            </w:tcBorders>
            <w:shd w:val="clear" w:color="auto" w:fill="auto"/>
            <w:noWrap/>
            <w:vAlign w:val="center"/>
            <w:hideMark/>
          </w:tcPr>
          <w:p w14:paraId="0A60FE0E"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S2</w:t>
            </w:r>
          </w:p>
        </w:tc>
        <w:tc>
          <w:tcPr>
            <w:tcW w:w="216" w:type="pct"/>
            <w:tcBorders>
              <w:left w:val="nil"/>
              <w:bottom w:val="single" w:sz="8" w:space="0" w:color="auto"/>
              <w:right w:val="nil"/>
            </w:tcBorders>
            <w:shd w:val="clear" w:color="auto" w:fill="auto"/>
            <w:noWrap/>
            <w:vAlign w:val="center"/>
            <w:hideMark/>
          </w:tcPr>
          <w:p w14:paraId="45FF1688"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S3</w:t>
            </w:r>
          </w:p>
        </w:tc>
        <w:tc>
          <w:tcPr>
            <w:tcW w:w="216" w:type="pct"/>
            <w:tcBorders>
              <w:left w:val="nil"/>
              <w:bottom w:val="single" w:sz="8" w:space="0" w:color="auto"/>
              <w:right w:val="nil"/>
            </w:tcBorders>
            <w:shd w:val="clear" w:color="auto" w:fill="auto"/>
            <w:noWrap/>
            <w:vAlign w:val="center"/>
            <w:hideMark/>
          </w:tcPr>
          <w:p w14:paraId="66104921"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S4</w:t>
            </w:r>
          </w:p>
        </w:tc>
        <w:tc>
          <w:tcPr>
            <w:tcW w:w="251" w:type="pct"/>
            <w:tcBorders>
              <w:left w:val="nil"/>
              <w:bottom w:val="single" w:sz="8" w:space="0" w:color="auto"/>
              <w:right w:val="single" w:sz="8" w:space="0" w:color="auto"/>
            </w:tcBorders>
            <w:shd w:val="clear" w:color="auto" w:fill="auto"/>
            <w:noWrap/>
            <w:vAlign w:val="center"/>
            <w:hideMark/>
          </w:tcPr>
          <w:p w14:paraId="19D25C25"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host</w:t>
            </w:r>
          </w:p>
        </w:tc>
        <w:tc>
          <w:tcPr>
            <w:tcW w:w="216" w:type="pct"/>
            <w:tcBorders>
              <w:left w:val="nil"/>
              <w:bottom w:val="single" w:sz="8" w:space="0" w:color="auto"/>
              <w:right w:val="nil"/>
            </w:tcBorders>
            <w:shd w:val="clear" w:color="auto" w:fill="auto"/>
            <w:noWrap/>
            <w:vAlign w:val="center"/>
            <w:hideMark/>
          </w:tcPr>
          <w:p w14:paraId="3625B329"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p-value</w:t>
            </w:r>
          </w:p>
        </w:tc>
        <w:tc>
          <w:tcPr>
            <w:tcW w:w="216" w:type="pct"/>
            <w:tcBorders>
              <w:left w:val="nil"/>
              <w:bottom w:val="single" w:sz="8" w:space="0" w:color="auto"/>
              <w:right w:val="nil"/>
            </w:tcBorders>
            <w:shd w:val="clear" w:color="auto" w:fill="auto"/>
            <w:noWrap/>
            <w:vAlign w:val="center"/>
            <w:hideMark/>
          </w:tcPr>
          <w:p w14:paraId="5F56FCD1"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S0</w:t>
            </w:r>
          </w:p>
        </w:tc>
        <w:tc>
          <w:tcPr>
            <w:tcW w:w="216" w:type="pct"/>
            <w:tcBorders>
              <w:left w:val="nil"/>
              <w:bottom w:val="single" w:sz="8" w:space="0" w:color="auto"/>
              <w:right w:val="nil"/>
            </w:tcBorders>
            <w:shd w:val="clear" w:color="auto" w:fill="auto"/>
            <w:noWrap/>
            <w:vAlign w:val="center"/>
            <w:hideMark/>
          </w:tcPr>
          <w:p w14:paraId="272DBE5C"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S1</w:t>
            </w:r>
          </w:p>
        </w:tc>
        <w:tc>
          <w:tcPr>
            <w:tcW w:w="216" w:type="pct"/>
            <w:tcBorders>
              <w:left w:val="nil"/>
              <w:bottom w:val="single" w:sz="8" w:space="0" w:color="auto"/>
              <w:right w:val="nil"/>
            </w:tcBorders>
            <w:shd w:val="clear" w:color="auto" w:fill="auto"/>
            <w:noWrap/>
            <w:vAlign w:val="center"/>
            <w:hideMark/>
          </w:tcPr>
          <w:p w14:paraId="20ECA07F"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S2</w:t>
            </w:r>
          </w:p>
        </w:tc>
        <w:tc>
          <w:tcPr>
            <w:tcW w:w="216" w:type="pct"/>
            <w:tcBorders>
              <w:left w:val="nil"/>
              <w:bottom w:val="single" w:sz="8" w:space="0" w:color="auto"/>
              <w:right w:val="nil"/>
            </w:tcBorders>
            <w:shd w:val="clear" w:color="auto" w:fill="auto"/>
            <w:noWrap/>
            <w:vAlign w:val="center"/>
            <w:hideMark/>
          </w:tcPr>
          <w:p w14:paraId="30D5F025"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S3</w:t>
            </w:r>
          </w:p>
        </w:tc>
        <w:tc>
          <w:tcPr>
            <w:tcW w:w="216" w:type="pct"/>
            <w:tcBorders>
              <w:left w:val="nil"/>
              <w:bottom w:val="single" w:sz="8" w:space="0" w:color="auto"/>
              <w:right w:val="nil"/>
            </w:tcBorders>
            <w:shd w:val="clear" w:color="auto" w:fill="auto"/>
            <w:noWrap/>
            <w:vAlign w:val="center"/>
            <w:hideMark/>
          </w:tcPr>
          <w:p w14:paraId="1A6A8446"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S4</w:t>
            </w:r>
          </w:p>
        </w:tc>
        <w:tc>
          <w:tcPr>
            <w:tcW w:w="251" w:type="pct"/>
            <w:tcBorders>
              <w:left w:val="nil"/>
              <w:bottom w:val="single" w:sz="8" w:space="0" w:color="auto"/>
              <w:right w:val="single" w:sz="8" w:space="0" w:color="auto"/>
            </w:tcBorders>
            <w:shd w:val="clear" w:color="auto" w:fill="auto"/>
            <w:noWrap/>
            <w:vAlign w:val="center"/>
            <w:hideMark/>
          </w:tcPr>
          <w:p w14:paraId="03613A30"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host</w:t>
            </w:r>
          </w:p>
        </w:tc>
      </w:tr>
      <w:tr w:rsidR="003D4B33" w:rsidRPr="00435B6B" w14:paraId="08E7E43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C8F47F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14:0</w:t>
            </w:r>
          </w:p>
        </w:tc>
        <w:tc>
          <w:tcPr>
            <w:tcW w:w="216" w:type="pct"/>
            <w:tcBorders>
              <w:top w:val="nil"/>
              <w:left w:val="nil"/>
              <w:bottom w:val="nil"/>
              <w:right w:val="nil"/>
            </w:tcBorders>
            <w:shd w:val="clear" w:color="auto" w:fill="auto"/>
            <w:noWrap/>
            <w:vAlign w:val="center"/>
            <w:hideMark/>
          </w:tcPr>
          <w:p w14:paraId="3FC92D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3EBB4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87B9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D94E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CAFA2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FDA8E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645F1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43D43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5A60C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3E66D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FD00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FFDB58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3294EA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2BA9A3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BAB8A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54B7B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BB6C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031A96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3CB0F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5D671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D47DC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1FA79CF"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32B79C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iso 15:0</w:t>
            </w:r>
          </w:p>
        </w:tc>
        <w:tc>
          <w:tcPr>
            <w:tcW w:w="216" w:type="pct"/>
            <w:tcBorders>
              <w:top w:val="nil"/>
              <w:left w:val="nil"/>
              <w:bottom w:val="nil"/>
              <w:right w:val="nil"/>
            </w:tcBorders>
            <w:shd w:val="clear" w:color="auto" w:fill="auto"/>
            <w:noWrap/>
            <w:vAlign w:val="center"/>
            <w:hideMark/>
          </w:tcPr>
          <w:p w14:paraId="75ECD3E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989959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E3B96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F1A8F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FBC2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53147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7445CE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AD4E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A4C31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6DE34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950E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26A743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FA0F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C2B6BE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8D6571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D85B6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37924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F289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D93D11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C87A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8020E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734EDF83"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11FEE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Anteiso 15:0</w:t>
            </w:r>
          </w:p>
        </w:tc>
        <w:tc>
          <w:tcPr>
            <w:tcW w:w="216" w:type="pct"/>
            <w:tcBorders>
              <w:top w:val="nil"/>
              <w:left w:val="nil"/>
              <w:bottom w:val="nil"/>
              <w:right w:val="nil"/>
            </w:tcBorders>
            <w:shd w:val="clear" w:color="auto" w:fill="auto"/>
            <w:noWrap/>
            <w:vAlign w:val="center"/>
            <w:hideMark/>
          </w:tcPr>
          <w:p w14:paraId="210A27C9" w14:textId="77777777" w:rsidR="003D4B33" w:rsidRPr="009819CE" w:rsidRDefault="003D4B33" w:rsidP="007F031B">
            <w:pPr>
              <w:spacing w:after="0" w:line="240" w:lineRule="auto"/>
              <w:jc w:val="center"/>
              <w:rPr>
                <w:rFonts w:cstheme="minorBidi"/>
                <w:sz w:val="14"/>
                <w:szCs w:val="14"/>
              </w:rPr>
            </w:pPr>
            <w:r w:rsidRPr="009819CE">
              <w:rPr>
                <w:rFonts w:cstheme="minorBidi"/>
                <w:sz w:val="14"/>
                <w:szCs w:val="14"/>
              </w:rPr>
              <w:t>0.01</w:t>
            </w:r>
          </w:p>
        </w:tc>
        <w:tc>
          <w:tcPr>
            <w:tcW w:w="216" w:type="pct"/>
            <w:tcBorders>
              <w:top w:val="nil"/>
              <w:left w:val="nil"/>
              <w:bottom w:val="nil"/>
              <w:right w:val="nil"/>
            </w:tcBorders>
            <w:shd w:val="clear" w:color="auto" w:fill="auto"/>
            <w:noWrap/>
            <w:vAlign w:val="center"/>
            <w:hideMark/>
          </w:tcPr>
          <w:p w14:paraId="1DA5043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EA0772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4D0892B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5CF2995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1F113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8896D2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2D878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CB5F4F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B8402F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272D05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9B06B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01FE1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21FBB2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65B7C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EC79A4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756A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86AE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D491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7EFC11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3CF50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1F45AECB"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33E18F3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15:0</w:t>
            </w:r>
          </w:p>
        </w:tc>
        <w:tc>
          <w:tcPr>
            <w:tcW w:w="216" w:type="pct"/>
            <w:tcBorders>
              <w:top w:val="nil"/>
              <w:left w:val="nil"/>
              <w:bottom w:val="nil"/>
              <w:right w:val="nil"/>
            </w:tcBorders>
            <w:shd w:val="clear" w:color="auto" w:fill="auto"/>
            <w:noWrap/>
            <w:vAlign w:val="center"/>
            <w:hideMark/>
          </w:tcPr>
          <w:p w14:paraId="6F3FF6B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3E98E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2113B3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194B1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62FF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DEC6E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C813C1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4EB5D0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45DB0F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5B97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9D5AEE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5A451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BDC427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BEE92D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832F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5C6BC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4398CB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D8B7C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10137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C73D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080FB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D85C36B"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F4F596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iso 16:0</w:t>
            </w:r>
          </w:p>
        </w:tc>
        <w:tc>
          <w:tcPr>
            <w:tcW w:w="216" w:type="pct"/>
            <w:tcBorders>
              <w:top w:val="nil"/>
              <w:left w:val="nil"/>
              <w:bottom w:val="nil"/>
              <w:right w:val="nil"/>
            </w:tcBorders>
            <w:shd w:val="clear" w:color="auto" w:fill="auto"/>
            <w:noWrap/>
            <w:vAlign w:val="center"/>
            <w:hideMark/>
          </w:tcPr>
          <w:p w14:paraId="3226362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EF7B58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FAF91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31ED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8059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EFA935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DF2FFA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E470A3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603B7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4D55F3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B313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03EB7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66DED8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23D58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67B58F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510CE9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D2BF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0128E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F854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BD237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A97D2F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8835B38"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FA6D0B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16:0 DMA</w:t>
            </w:r>
          </w:p>
        </w:tc>
        <w:tc>
          <w:tcPr>
            <w:tcW w:w="216" w:type="pct"/>
            <w:tcBorders>
              <w:top w:val="nil"/>
              <w:left w:val="nil"/>
              <w:bottom w:val="nil"/>
              <w:right w:val="nil"/>
            </w:tcBorders>
            <w:shd w:val="clear" w:color="auto" w:fill="auto"/>
            <w:noWrap/>
            <w:vAlign w:val="center"/>
            <w:hideMark/>
          </w:tcPr>
          <w:p w14:paraId="6DA1C5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1.02E-04</w:t>
            </w:r>
          </w:p>
        </w:tc>
        <w:tc>
          <w:tcPr>
            <w:tcW w:w="216" w:type="pct"/>
            <w:tcBorders>
              <w:top w:val="nil"/>
              <w:left w:val="nil"/>
              <w:bottom w:val="nil"/>
              <w:right w:val="nil"/>
            </w:tcBorders>
            <w:shd w:val="clear" w:color="auto" w:fill="auto"/>
            <w:noWrap/>
            <w:vAlign w:val="center"/>
            <w:hideMark/>
          </w:tcPr>
          <w:p w14:paraId="7212B7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2.25E-05</w:t>
            </w:r>
          </w:p>
        </w:tc>
        <w:tc>
          <w:tcPr>
            <w:tcW w:w="216" w:type="pct"/>
            <w:tcBorders>
              <w:top w:val="nil"/>
              <w:left w:val="nil"/>
              <w:bottom w:val="nil"/>
              <w:right w:val="nil"/>
            </w:tcBorders>
            <w:shd w:val="clear" w:color="auto" w:fill="auto"/>
            <w:noWrap/>
            <w:vAlign w:val="center"/>
            <w:hideMark/>
          </w:tcPr>
          <w:p w14:paraId="530E1A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3.50E-03</w:t>
            </w:r>
          </w:p>
        </w:tc>
        <w:tc>
          <w:tcPr>
            <w:tcW w:w="216" w:type="pct"/>
            <w:tcBorders>
              <w:top w:val="nil"/>
              <w:left w:val="nil"/>
              <w:bottom w:val="nil"/>
              <w:right w:val="nil"/>
            </w:tcBorders>
            <w:shd w:val="clear" w:color="auto" w:fill="auto"/>
            <w:noWrap/>
            <w:vAlign w:val="center"/>
            <w:hideMark/>
          </w:tcPr>
          <w:p w14:paraId="5F15B66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5F0360B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5.35E-04</w:t>
            </w:r>
          </w:p>
        </w:tc>
        <w:tc>
          <w:tcPr>
            <w:tcW w:w="216" w:type="pct"/>
            <w:tcBorders>
              <w:top w:val="nil"/>
              <w:left w:val="nil"/>
              <w:bottom w:val="nil"/>
              <w:right w:val="nil"/>
            </w:tcBorders>
            <w:shd w:val="clear" w:color="auto" w:fill="auto"/>
            <w:noWrap/>
            <w:vAlign w:val="center"/>
            <w:hideMark/>
          </w:tcPr>
          <w:p w14:paraId="1FA30B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4.74E-04</w:t>
            </w:r>
          </w:p>
        </w:tc>
        <w:tc>
          <w:tcPr>
            <w:tcW w:w="251" w:type="pct"/>
            <w:tcBorders>
              <w:top w:val="nil"/>
              <w:left w:val="nil"/>
              <w:bottom w:val="nil"/>
              <w:right w:val="single" w:sz="8" w:space="0" w:color="auto"/>
            </w:tcBorders>
            <w:shd w:val="clear" w:color="auto" w:fill="auto"/>
            <w:noWrap/>
            <w:vAlign w:val="center"/>
            <w:hideMark/>
          </w:tcPr>
          <w:p w14:paraId="4D0C5D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1.07E-03</w:t>
            </w:r>
          </w:p>
        </w:tc>
        <w:tc>
          <w:tcPr>
            <w:tcW w:w="216" w:type="pct"/>
            <w:tcBorders>
              <w:top w:val="nil"/>
              <w:left w:val="nil"/>
              <w:bottom w:val="nil"/>
              <w:right w:val="nil"/>
            </w:tcBorders>
            <w:shd w:val="clear" w:color="auto" w:fill="auto"/>
            <w:noWrap/>
            <w:vAlign w:val="center"/>
            <w:hideMark/>
          </w:tcPr>
          <w:p w14:paraId="6E608E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093DF87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297248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204A704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62C13F8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AE4C8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51" w:type="pct"/>
            <w:tcBorders>
              <w:top w:val="nil"/>
              <w:left w:val="nil"/>
              <w:bottom w:val="nil"/>
              <w:right w:val="single" w:sz="8" w:space="0" w:color="auto"/>
            </w:tcBorders>
            <w:shd w:val="clear" w:color="auto" w:fill="auto"/>
            <w:noWrap/>
            <w:vAlign w:val="center"/>
            <w:hideMark/>
          </w:tcPr>
          <w:p w14:paraId="7BBA728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3AC90B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C623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4A570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FFA85F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F2DC7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011C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DB0F3B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45F526F8"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24F711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Anteiso 16:0</w:t>
            </w:r>
          </w:p>
        </w:tc>
        <w:tc>
          <w:tcPr>
            <w:tcW w:w="216" w:type="pct"/>
            <w:tcBorders>
              <w:top w:val="nil"/>
              <w:left w:val="nil"/>
              <w:bottom w:val="nil"/>
              <w:right w:val="nil"/>
            </w:tcBorders>
            <w:shd w:val="clear" w:color="auto" w:fill="auto"/>
            <w:noWrap/>
            <w:vAlign w:val="center"/>
            <w:hideMark/>
          </w:tcPr>
          <w:p w14:paraId="0CB1B7C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E4FB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38D86A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77334D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BE1DB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D864BD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417916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732F02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3384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691A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A1C4F1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11E20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8189F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39A89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A90E3D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381D61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70038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E7FC8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32A92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D9100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EC6A6A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1B1AFE1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8E4D6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16:0</w:t>
            </w:r>
          </w:p>
        </w:tc>
        <w:tc>
          <w:tcPr>
            <w:tcW w:w="216" w:type="pct"/>
            <w:tcBorders>
              <w:top w:val="nil"/>
              <w:left w:val="nil"/>
              <w:bottom w:val="nil"/>
              <w:right w:val="nil"/>
            </w:tcBorders>
            <w:shd w:val="clear" w:color="auto" w:fill="auto"/>
            <w:noWrap/>
            <w:vAlign w:val="center"/>
            <w:hideMark/>
          </w:tcPr>
          <w:p w14:paraId="2DF4A8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DEC94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0A486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D8921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0C8331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5E01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05C4DC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020D2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3CAC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B921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5804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0A316D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B02B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090B8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AFD051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7B976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1157DF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8ECC0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1359A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706E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456A5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00C7263E"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591FA8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iso 17:0</w:t>
            </w:r>
          </w:p>
        </w:tc>
        <w:tc>
          <w:tcPr>
            <w:tcW w:w="216" w:type="pct"/>
            <w:tcBorders>
              <w:top w:val="nil"/>
              <w:left w:val="nil"/>
              <w:bottom w:val="nil"/>
              <w:right w:val="nil"/>
            </w:tcBorders>
            <w:shd w:val="clear" w:color="auto" w:fill="auto"/>
            <w:noWrap/>
            <w:vAlign w:val="center"/>
            <w:hideMark/>
          </w:tcPr>
          <w:p w14:paraId="7C455F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C710D9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822CBF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9F8B85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C414F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E64B57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891CA5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C0BD2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91BEC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E51C5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06D9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BC9F8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E435E9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991C6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867440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CA9849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E4FF8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D0CBF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2384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9A60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B6A1C2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ADE5789"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312C7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Anteiso 17:0</w:t>
            </w:r>
          </w:p>
        </w:tc>
        <w:tc>
          <w:tcPr>
            <w:tcW w:w="216" w:type="pct"/>
            <w:tcBorders>
              <w:top w:val="nil"/>
              <w:left w:val="nil"/>
              <w:bottom w:val="nil"/>
              <w:right w:val="nil"/>
            </w:tcBorders>
            <w:shd w:val="clear" w:color="auto" w:fill="auto"/>
            <w:noWrap/>
            <w:vAlign w:val="center"/>
            <w:hideMark/>
          </w:tcPr>
          <w:p w14:paraId="328515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7.56E-03</w:t>
            </w:r>
          </w:p>
        </w:tc>
        <w:tc>
          <w:tcPr>
            <w:tcW w:w="216" w:type="pct"/>
            <w:tcBorders>
              <w:top w:val="nil"/>
              <w:left w:val="nil"/>
              <w:bottom w:val="nil"/>
              <w:right w:val="nil"/>
            </w:tcBorders>
            <w:shd w:val="clear" w:color="auto" w:fill="auto"/>
            <w:noWrap/>
            <w:vAlign w:val="center"/>
            <w:hideMark/>
          </w:tcPr>
          <w:p w14:paraId="368530B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2EAAE80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2.27E-03</w:t>
            </w:r>
          </w:p>
        </w:tc>
        <w:tc>
          <w:tcPr>
            <w:tcW w:w="216" w:type="pct"/>
            <w:tcBorders>
              <w:top w:val="nil"/>
              <w:left w:val="nil"/>
              <w:bottom w:val="nil"/>
              <w:right w:val="nil"/>
            </w:tcBorders>
            <w:shd w:val="clear" w:color="auto" w:fill="auto"/>
            <w:noWrap/>
            <w:vAlign w:val="center"/>
            <w:hideMark/>
          </w:tcPr>
          <w:p w14:paraId="6D9303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3C027AC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462C91A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51" w:type="pct"/>
            <w:tcBorders>
              <w:top w:val="nil"/>
              <w:left w:val="nil"/>
              <w:bottom w:val="nil"/>
              <w:right w:val="single" w:sz="8" w:space="0" w:color="auto"/>
            </w:tcBorders>
            <w:shd w:val="clear" w:color="auto" w:fill="auto"/>
            <w:noWrap/>
            <w:vAlign w:val="center"/>
            <w:hideMark/>
          </w:tcPr>
          <w:p w14:paraId="36DBEB4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DE3DE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2.00E-05</w:t>
            </w:r>
          </w:p>
        </w:tc>
        <w:tc>
          <w:tcPr>
            <w:tcW w:w="216" w:type="pct"/>
            <w:tcBorders>
              <w:top w:val="nil"/>
              <w:left w:val="nil"/>
              <w:bottom w:val="nil"/>
              <w:right w:val="nil"/>
            </w:tcBorders>
            <w:shd w:val="clear" w:color="auto" w:fill="auto"/>
            <w:noWrap/>
            <w:vAlign w:val="center"/>
            <w:hideMark/>
          </w:tcPr>
          <w:p w14:paraId="41F91CA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2.03E-05</w:t>
            </w:r>
          </w:p>
        </w:tc>
        <w:tc>
          <w:tcPr>
            <w:tcW w:w="216" w:type="pct"/>
            <w:tcBorders>
              <w:top w:val="nil"/>
              <w:left w:val="nil"/>
              <w:bottom w:val="nil"/>
              <w:right w:val="nil"/>
            </w:tcBorders>
            <w:shd w:val="clear" w:color="auto" w:fill="auto"/>
            <w:noWrap/>
            <w:vAlign w:val="center"/>
            <w:hideMark/>
          </w:tcPr>
          <w:p w14:paraId="0CCD482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3.61E-05</w:t>
            </w:r>
          </w:p>
        </w:tc>
        <w:tc>
          <w:tcPr>
            <w:tcW w:w="216" w:type="pct"/>
            <w:tcBorders>
              <w:top w:val="nil"/>
              <w:left w:val="nil"/>
              <w:bottom w:val="nil"/>
              <w:right w:val="nil"/>
            </w:tcBorders>
            <w:shd w:val="clear" w:color="auto" w:fill="auto"/>
            <w:noWrap/>
            <w:vAlign w:val="center"/>
            <w:hideMark/>
          </w:tcPr>
          <w:p w14:paraId="3A55C1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3.92E-04</w:t>
            </w:r>
          </w:p>
        </w:tc>
        <w:tc>
          <w:tcPr>
            <w:tcW w:w="216" w:type="pct"/>
            <w:tcBorders>
              <w:top w:val="nil"/>
              <w:left w:val="nil"/>
              <w:bottom w:val="nil"/>
              <w:right w:val="nil"/>
            </w:tcBorders>
            <w:shd w:val="clear" w:color="auto" w:fill="auto"/>
            <w:noWrap/>
            <w:vAlign w:val="center"/>
            <w:hideMark/>
          </w:tcPr>
          <w:p w14:paraId="06FE99E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1.82E-05</w:t>
            </w:r>
          </w:p>
        </w:tc>
        <w:tc>
          <w:tcPr>
            <w:tcW w:w="216" w:type="pct"/>
            <w:tcBorders>
              <w:top w:val="nil"/>
              <w:left w:val="nil"/>
              <w:bottom w:val="nil"/>
              <w:right w:val="nil"/>
            </w:tcBorders>
            <w:shd w:val="clear" w:color="auto" w:fill="auto"/>
            <w:noWrap/>
            <w:vAlign w:val="center"/>
            <w:hideMark/>
          </w:tcPr>
          <w:p w14:paraId="70636B8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1.65E-04</w:t>
            </w:r>
          </w:p>
        </w:tc>
        <w:tc>
          <w:tcPr>
            <w:tcW w:w="251" w:type="pct"/>
            <w:tcBorders>
              <w:top w:val="nil"/>
              <w:left w:val="nil"/>
              <w:bottom w:val="nil"/>
              <w:right w:val="single" w:sz="8" w:space="0" w:color="auto"/>
            </w:tcBorders>
            <w:shd w:val="clear" w:color="auto" w:fill="auto"/>
            <w:noWrap/>
            <w:vAlign w:val="center"/>
            <w:hideMark/>
          </w:tcPr>
          <w:p w14:paraId="31217C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4.01E-04</w:t>
            </w:r>
          </w:p>
        </w:tc>
        <w:tc>
          <w:tcPr>
            <w:tcW w:w="216" w:type="pct"/>
            <w:tcBorders>
              <w:top w:val="nil"/>
              <w:left w:val="nil"/>
              <w:bottom w:val="nil"/>
              <w:right w:val="nil"/>
            </w:tcBorders>
            <w:shd w:val="clear" w:color="auto" w:fill="auto"/>
            <w:noWrap/>
            <w:vAlign w:val="center"/>
            <w:hideMark/>
          </w:tcPr>
          <w:p w14:paraId="6CB40A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153B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3A26A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EBE9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D5E15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7476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7ED6F9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E79461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ED0E3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17:0</w:t>
            </w:r>
          </w:p>
        </w:tc>
        <w:tc>
          <w:tcPr>
            <w:tcW w:w="216" w:type="pct"/>
            <w:tcBorders>
              <w:top w:val="nil"/>
              <w:left w:val="nil"/>
              <w:bottom w:val="nil"/>
              <w:right w:val="nil"/>
            </w:tcBorders>
            <w:shd w:val="clear" w:color="auto" w:fill="auto"/>
            <w:noWrap/>
            <w:vAlign w:val="center"/>
            <w:hideMark/>
          </w:tcPr>
          <w:p w14:paraId="2EAC2A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DD6405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F6E26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B8F3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5C0B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720BF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E56BA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034BA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1ECBE3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24986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C0F7C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EFB34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8BE0E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E47BE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1579E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6AC8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99420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8663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A5F8B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244017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5F977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75D0ECA1"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3D8389A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iso 18:0</w:t>
            </w:r>
          </w:p>
        </w:tc>
        <w:tc>
          <w:tcPr>
            <w:tcW w:w="216" w:type="pct"/>
            <w:tcBorders>
              <w:top w:val="nil"/>
              <w:left w:val="nil"/>
              <w:bottom w:val="nil"/>
              <w:right w:val="nil"/>
            </w:tcBorders>
            <w:shd w:val="clear" w:color="auto" w:fill="auto"/>
            <w:noWrap/>
            <w:vAlign w:val="center"/>
            <w:hideMark/>
          </w:tcPr>
          <w:p w14:paraId="7A455BB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1DD03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D770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1F7B40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6C1910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E4E33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9EDF85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5C29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FBF1FC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34333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79CEDB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5761B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54B74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ABC861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717D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5ECFF0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FFF6C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4ECB23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77E4CB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352B73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74AA6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48F5CA12"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B12C7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Anteiso 18:0</w:t>
            </w:r>
          </w:p>
        </w:tc>
        <w:tc>
          <w:tcPr>
            <w:tcW w:w="216" w:type="pct"/>
            <w:tcBorders>
              <w:top w:val="nil"/>
              <w:left w:val="nil"/>
              <w:bottom w:val="nil"/>
              <w:right w:val="nil"/>
            </w:tcBorders>
            <w:shd w:val="clear" w:color="auto" w:fill="auto"/>
            <w:noWrap/>
            <w:vAlign w:val="center"/>
            <w:hideMark/>
          </w:tcPr>
          <w:p w14:paraId="4A7329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EFA141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E082D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207D0C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0E0A9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C7D3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E0EBA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047A9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1.01E-04</w:t>
            </w:r>
          </w:p>
        </w:tc>
        <w:tc>
          <w:tcPr>
            <w:tcW w:w="216" w:type="pct"/>
            <w:tcBorders>
              <w:top w:val="nil"/>
              <w:left w:val="nil"/>
              <w:bottom w:val="nil"/>
              <w:right w:val="nil"/>
            </w:tcBorders>
            <w:shd w:val="clear" w:color="auto" w:fill="auto"/>
            <w:noWrap/>
            <w:vAlign w:val="center"/>
            <w:hideMark/>
          </w:tcPr>
          <w:p w14:paraId="54DF9B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1.09E-04</w:t>
            </w:r>
          </w:p>
        </w:tc>
        <w:tc>
          <w:tcPr>
            <w:tcW w:w="216" w:type="pct"/>
            <w:tcBorders>
              <w:top w:val="nil"/>
              <w:left w:val="nil"/>
              <w:bottom w:val="nil"/>
              <w:right w:val="nil"/>
            </w:tcBorders>
            <w:shd w:val="clear" w:color="auto" w:fill="auto"/>
            <w:noWrap/>
            <w:vAlign w:val="center"/>
            <w:hideMark/>
          </w:tcPr>
          <w:p w14:paraId="2161CF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3.42E-04</w:t>
            </w:r>
          </w:p>
        </w:tc>
        <w:tc>
          <w:tcPr>
            <w:tcW w:w="216" w:type="pct"/>
            <w:tcBorders>
              <w:top w:val="nil"/>
              <w:left w:val="nil"/>
              <w:bottom w:val="nil"/>
              <w:right w:val="nil"/>
            </w:tcBorders>
            <w:shd w:val="clear" w:color="auto" w:fill="auto"/>
            <w:noWrap/>
            <w:vAlign w:val="center"/>
            <w:hideMark/>
          </w:tcPr>
          <w:p w14:paraId="4050C0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7.12E-05</w:t>
            </w:r>
          </w:p>
        </w:tc>
        <w:tc>
          <w:tcPr>
            <w:tcW w:w="216" w:type="pct"/>
            <w:tcBorders>
              <w:top w:val="nil"/>
              <w:left w:val="nil"/>
              <w:bottom w:val="nil"/>
              <w:right w:val="nil"/>
            </w:tcBorders>
            <w:shd w:val="clear" w:color="auto" w:fill="auto"/>
            <w:noWrap/>
            <w:vAlign w:val="center"/>
            <w:hideMark/>
          </w:tcPr>
          <w:p w14:paraId="74EC16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1.13E-03</w:t>
            </w:r>
          </w:p>
        </w:tc>
        <w:tc>
          <w:tcPr>
            <w:tcW w:w="216" w:type="pct"/>
            <w:tcBorders>
              <w:top w:val="nil"/>
              <w:left w:val="nil"/>
              <w:bottom w:val="nil"/>
              <w:right w:val="nil"/>
            </w:tcBorders>
            <w:shd w:val="clear" w:color="auto" w:fill="auto"/>
            <w:noWrap/>
            <w:vAlign w:val="center"/>
            <w:hideMark/>
          </w:tcPr>
          <w:p w14:paraId="201EFF5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2.47E-04</w:t>
            </w:r>
          </w:p>
        </w:tc>
        <w:tc>
          <w:tcPr>
            <w:tcW w:w="251" w:type="pct"/>
            <w:tcBorders>
              <w:top w:val="nil"/>
              <w:left w:val="nil"/>
              <w:bottom w:val="nil"/>
              <w:right w:val="single" w:sz="8" w:space="0" w:color="auto"/>
            </w:tcBorders>
            <w:shd w:val="clear" w:color="auto" w:fill="auto"/>
            <w:noWrap/>
            <w:vAlign w:val="center"/>
            <w:hideMark/>
          </w:tcPr>
          <w:p w14:paraId="6035FE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5.11E-04</w:t>
            </w:r>
          </w:p>
        </w:tc>
        <w:tc>
          <w:tcPr>
            <w:tcW w:w="216" w:type="pct"/>
            <w:tcBorders>
              <w:top w:val="nil"/>
              <w:left w:val="nil"/>
              <w:bottom w:val="nil"/>
              <w:right w:val="nil"/>
            </w:tcBorders>
            <w:shd w:val="clear" w:color="auto" w:fill="auto"/>
            <w:noWrap/>
            <w:vAlign w:val="center"/>
            <w:hideMark/>
          </w:tcPr>
          <w:p w14:paraId="1261007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5B75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B2BA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4B4CC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0A7AD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816B0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97502B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49F94E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855F9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18:0 DMA</w:t>
            </w:r>
          </w:p>
        </w:tc>
        <w:tc>
          <w:tcPr>
            <w:tcW w:w="216" w:type="pct"/>
            <w:tcBorders>
              <w:top w:val="nil"/>
              <w:left w:val="nil"/>
              <w:bottom w:val="nil"/>
              <w:right w:val="nil"/>
            </w:tcBorders>
            <w:shd w:val="clear" w:color="auto" w:fill="auto"/>
            <w:noWrap/>
            <w:vAlign w:val="center"/>
            <w:hideMark/>
          </w:tcPr>
          <w:p w14:paraId="3541DE6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6.10E-03</w:t>
            </w:r>
          </w:p>
        </w:tc>
        <w:tc>
          <w:tcPr>
            <w:tcW w:w="216" w:type="pct"/>
            <w:tcBorders>
              <w:top w:val="nil"/>
              <w:left w:val="nil"/>
              <w:bottom w:val="nil"/>
              <w:right w:val="nil"/>
            </w:tcBorders>
            <w:shd w:val="clear" w:color="auto" w:fill="auto"/>
            <w:noWrap/>
            <w:vAlign w:val="center"/>
            <w:hideMark/>
          </w:tcPr>
          <w:p w14:paraId="3AFE7A6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1.82E-03</w:t>
            </w:r>
          </w:p>
        </w:tc>
        <w:tc>
          <w:tcPr>
            <w:tcW w:w="216" w:type="pct"/>
            <w:tcBorders>
              <w:top w:val="nil"/>
              <w:left w:val="nil"/>
              <w:bottom w:val="nil"/>
              <w:right w:val="nil"/>
            </w:tcBorders>
            <w:shd w:val="clear" w:color="auto" w:fill="auto"/>
            <w:noWrap/>
            <w:vAlign w:val="center"/>
            <w:hideMark/>
          </w:tcPr>
          <w:p w14:paraId="4FAA787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59DD40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06406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4.72E-03</w:t>
            </w:r>
          </w:p>
        </w:tc>
        <w:tc>
          <w:tcPr>
            <w:tcW w:w="216" w:type="pct"/>
            <w:tcBorders>
              <w:top w:val="nil"/>
              <w:left w:val="nil"/>
              <w:bottom w:val="nil"/>
              <w:right w:val="nil"/>
            </w:tcBorders>
            <w:shd w:val="clear" w:color="auto" w:fill="auto"/>
            <w:noWrap/>
            <w:vAlign w:val="center"/>
            <w:hideMark/>
          </w:tcPr>
          <w:p w14:paraId="42E275C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51" w:type="pct"/>
            <w:tcBorders>
              <w:top w:val="nil"/>
              <w:left w:val="nil"/>
              <w:bottom w:val="nil"/>
              <w:right w:val="single" w:sz="8" w:space="0" w:color="auto"/>
            </w:tcBorders>
            <w:shd w:val="clear" w:color="auto" w:fill="auto"/>
            <w:noWrap/>
            <w:vAlign w:val="center"/>
            <w:hideMark/>
          </w:tcPr>
          <w:p w14:paraId="04CE42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77D4E4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3D4F8A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2F6EDB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4AEA76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1FD5213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E679C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51" w:type="pct"/>
            <w:tcBorders>
              <w:top w:val="nil"/>
              <w:left w:val="nil"/>
              <w:bottom w:val="nil"/>
              <w:right w:val="single" w:sz="8" w:space="0" w:color="auto"/>
            </w:tcBorders>
            <w:shd w:val="clear" w:color="auto" w:fill="auto"/>
            <w:noWrap/>
            <w:vAlign w:val="center"/>
            <w:hideMark/>
          </w:tcPr>
          <w:p w14:paraId="77E27E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70A65A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4EB9D7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E042B6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102EF1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9BB7F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8EDAB2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0CB5C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27249A4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91FAFC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18:0</w:t>
            </w:r>
          </w:p>
        </w:tc>
        <w:tc>
          <w:tcPr>
            <w:tcW w:w="216" w:type="pct"/>
            <w:tcBorders>
              <w:top w:val="nil"/>
              <w:left w:val="nil"/>
              <w:bottom w:val="nil"/>
              <w:right w:val="nil"/>
            </w:tcBorders>
            <w:shd w:val="clear" w:color="auto" w:fill="auto"/>
            <w:noWrap/>
            <w:vAlign w:val="center"/>
            <w:hideMark/>
          </w:tcPr>
          <w:p w14:paraId="7FA7C4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2.60E-08</w:t>
            </w:r>
          </w:p>
        </w:tc>
        <w:tc>
          <w:tcPr>
            <w:tcW w:w="216" w:type="pct"/>
            <w:tcBorders>
              <w:top w:val="nil"/>
              <w:left w:val="nil"/>
              <w:bottom w:val="nil"/>
              <w:right w:val="nil"/>
            </w:tcBorders>
            <w:shd w:val="clear" w:color="auto" w:fill="auto"/>
            <w:noWrap/>
            <w:vAlign w:val="center"/>
            <w:hideMark/>
          </w:tcPr>
          <w:p w14:paraId="6233066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7.52E-09</w:t>
            </w:r>
          </w:p>
        </w:tc>
        <w:tc>
          <w:tcPr>
            <w:tcW w:w="216" w:type="pct"/>
            <w:tcBorders>
              <w:top w:val="nil"/>
              <w:left w:val="nil"/>
              <w:bottom w:val="nil"/>
              <w:right w:val="nil"/>
            </w:tcBorders>
            <w:shd w:val="clear" w:color="auto" w:fill="auto"/>
            <w:noWrap/>
            <w:vAlign w:val="center"/>
            <w:hideMark/>
          </w:tcPr>
          <w:p w14:paraId="5A8ABBB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2.50E-08</w:t>
            </w:r>
          </w:p>
        </w:tc>
        <w:tc>
          <w:tcPr>
            <w:tcW w:w="216" w:type="pct"/>
            <w:tcBorders>
              <w:top w:val="nil"/>
              <w:left w:val="nil"/>
              <w:bottom w:val="nil"/>
              <w:right w:val="nil"/>
            </w:tcBorders>
            <w:shd w:val="clear" w:color="auto" w:fill="auto"/>
            <w:noWrap/>
            <w:vAlign w:val="center"/>
            <w:hideMark/>
          </w:tcPr>
          <w:p w14:paraId="174F80A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9.05E-08</w:t>
            </w:r>
          </w:p>
        </w:tc>
        <w:tc>
          <w:tcPr>
            <w:tcW w:w="216" w:type="pct"/>
            <w:tcBorders>
              <w:top w:val="nil"/>
              <w:left w:val="nil"/>
              <w:bottom w:val="nil"/>
              <w:right w:val="nil"/>
            </w:tcBorders>
            <w:shd w:val="clear" w:color="auto" w:fill="auto"/>
            <w:noWrap/>
            <w:vAlign w:val="center"/>
            <w:hideMark/>
          </w:tcPr>
          <w:p w14:paraId="6007F4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1.92E-08</w:t>
            </w:r>
          </w:p>
        </w:tc>
        <w:tc>
          <w:tcPr>
            <w:tcW w:w="216" w:type="pct"/>
            <w:tcBorders>
              <w:top w:val="nil"/>
              <w:left w:val="nil"/>
              <w:bottom w:val="nil"/>
              <w:right w:val="nil"/>
            </w:tcBorders>
            <w:shd w:val="clear" w:color="auto" w:fill="auto"/>
            <w:noWrap/>
            <w:vAlign w:val="center"/>
            <w:hideMark/>
          </w:tcPr>
          <w:p w14:paraId="2C32AD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5.06E-08</w:t>
            </w:r>
          </w:p>
        </w:tc>
        <w:tc>
          <w:tcPr>
            <w:tcW w:w="251" w:type="pct"/>
            <w:tcBorders>
              <w:top w:val="nil"/>
              <w:left w:val="nil"/>
              <w:bottom w:val="nil"/>
              <w:right w:val="single" w:sz="8" w:space="0" w:color="auto"/>
            </w:tcBorders>
            <w:shd w:val="clear" w:color="auto" w:fill="auto"/>
            <w:noWrap/>
            <w:vAlign w:val="center"/>
            <w:hideMark/>
          </w:tcPr>
          <w:p w14:paraId="2F44FD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5.61E-07</w:t>
            </w:r>
          </w:p>
        </w:tc>
        <w:tc>
          <w:tcPr>
            <w:tcW w:w="216" w:type="pct"/>
            <w:tcBorders>
              <w:top w:val="nil"/>
              <w:left w:val="nil"/>
              <w:bottom w:val="nil"/>
              <w:right w:val="nil"/>
            </w:tcBorders>
            <w:shd w:val="clear" w:color="auto" w:fill="auto"/>
            <w:noWrap/>
            <w:vAlign w:val="center"/>
            <w:hideMark/>
          </w:tcPr>
          <w:p w14:paraId="04B77E0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3.50E-07</w:t>
            </w:r>
          </w:p>
        </w:tc>
        <w:tc>
          <w:tcPr>
            <w:tcW w:w="216" w:type="pct"/>
            <w:tcBorders>
              <w:top w:val="nil"/>
              <w:left w:val="nil"/>
              <w:bottom w:val="nil"/>
              <w:right w:val="nil"/>
            </w:tcBorders>
            <w:shd w:val="clear" w:color="auto" w:fill="auto"/>
            <w:noWrap/>
            <w:vAlign w:val="center"/>
            <w:hideMark/>
          </w:tcPr>
          <w:p w14:paraId="0E696A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3.49E-06</w:t>
            </w:r>
          </w:p>
        </w:tc>
        <w:tc>
          <w:tcPr>
            <w:tcW w:w="216" w:type="pct"/>
            <w:tcBorders>
              <w:top w:val="nil"/>
              <w:left w:val="nil"/>
              <w:bottom w:val="nil"/>
              <w:right w:val="nil"/>
            </w:tcBorders>
            <w:shd w:val="clear" w:color="auto" w:fill="auto"/>
            <w:noWrap/>
            <w:vAlign w:val="center"/>
            <w:hideMark/>
          </w:tcPr>
          <w:p w14:paraId="7D2728D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4.85E-07</w:t>
            </w:r>
          </w:p>
        </w:tc>
        <w:tc>
          <w:tcPr>
            <w:tcW w:w="216" w:type="pct"/>
            <w:tcBorders>
              <w:top w:val="nil"/>
              <w:left w:val="nil"/>
              <w:bottom w:val="nil"/>
              <w:right w:val="nil"/>
            </w:tcBorders>
            <w:shd w:val="clear" w:color="auto" w:fill="auto"/>
            <w:noWrap/>
            <w:vAlign w:val="center"/>
            <w:hideMark/>
          </w:tcPr>
          <w:p w14:paraId="6257458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3.12E-06</w:t>
            </w:r>
          </w:p>
        </w:tc>
        <w:tc>
          <w:tcPr>
            <w:tcW w:w="216" w:type="pct"/>
            <w:tcBorders>
              <w:top w:val="nil"/>
              <w:left w:val="nil"/>
              <w:bottom w:val="nil"/>
              <w:right w:val="nil"/>
            </w:tcBorders>
            <w:shd w:val="clear" w:color="auto" w:fill="auto"/>
            <w:noWrap/>
            <w:vAlign w:val="center"/>
            <w:hideMark/>
          </w:tcPr>
          <w:p w14:paraId="4913428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6.12E-07</w:t>
            </w:r>
          </w:p>
        </w:tc>
        <w:tc>
          <w:tcPr>
            <w:tcW w:w="216" w:type="pct"/>
            <w:tcBorders>
              <w:top w:val="nil"/>
              <w:left w:val="nil"/>
              <w:bottom w:val="nil"/>
              <w:right w:val="nil"/>
            </w:tcBorders>
            <w:shd w:val="clear" w:color="auto" w:fill="auto"/>
            <w:noWrap/>
            <w:vAlign w:val="center"/>
            <w:hideMark/>
          </w:tcPr>
          <w:p w14:paraId="02EB2F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1.29E-06</w:t>
            </w:r>
          </w:p>
        </w:tc>
        <w:tc>
          <w:tcPr>
            <w:tcW w:w="251" w:type="pct"/>
            <w:tcBorders>
              <w:top w:val="nil"/>
              <w:left w:val="nil"/>
              <w:bottom w:val="nil"/>
              <w:right w:val="single" w:sz="8" w:space="0" w:color="auto"/>
            </w:tcBorders>
            <w:shd w:val="clear" w:color="auto" w:fill="auto"/>
            <w:noWrap/>
            <w:vAlign w:val="center"/>
            <w:hideMark/>
          </w:tcPr>
          <w:p w14:paraId="138527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1.04E-06</w:t>
            </w:r>
          </w:p>
        </w:tc>
        <w:tc>
          <w:tcPr>
            <w:tcW w:w="216" w:type="pct"/>
            <w:tcBorders>
              <w:top w:val="nil"/>
              <w:left w:val="nil"/>
              <w:bottom w:val="nil"/>
              <w:right w:val="nil"/>
            </w:tcBorders>
            <w:shd w:val="clear" w:color="auto" w:fill="auto"/>
            <w:noWrap/>
            <w:vAlign w:val="center"/>
            <w:hideMark/>
          </w:tcPr>
          <w:p w14:paraId="764B367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3E75A02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418E4DC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B4B12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5A1B3DD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621F74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51" w:type="pct"/>
            <w:tcBorders>
              <w:top w:val="nil"/>
              <w:left w:val="nil"/>
              <w:bottom w:val="nil"/>
              <w:right w:val="single" w:sz="8" w:space="0" w:color="auto"/>
            </w:tcBorders>
            <w:shd w:val="clear" w:color="auto" w:fill="auto"/>
            <w:noWrap/>
            <w:vAlign w:val="center"/>
            <w:hideMark/>
          </w:tcPr>
          <w:p w14:paraId="6BC95DE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4.53E-03</w:t>
            </w:r>
          </w:p>
        </w:tc>
      </w:tr>
      <w:tr w:rsidR="003D4B33" w:rsidRPr="00435B6B" w14:paraId="4C3080A0"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24029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iso 19:0</w:t>
            </w:r>
          </w:p>
        </w:tc>
        <w:tc>
          <w:tcPr>
            <w:tcW w:w="216" w:type="pct"/>
            <w:tcBorders>
              <w:top w:val="nil"/>
              <w:left w:val="nil"/>
              <w:bottom w:val="nil"/>
              <w:right w:val="nil"/>
            </w:tcBorders>
            <w:shd w:val="clear" w:color="auto" w:fill="auto"/>
            <w:noWrap/>
            <w:vAlign w:val="center"/>
            <w:hideMark/>
          </w:tcPr>
          <w:p w14:paraId="328EAA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27457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A131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F2608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6E79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B3B0E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3B14F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44AE3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0310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8946B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F0DDD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37C6F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C30AC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080B1C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302D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5EBD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A286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E10CF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F81A1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A0D96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6447B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005E0358"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BC366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19:0</w:t>
            </w:r>
          </w:p>
        </w:tc>
        <w:tc>
          <w:tcPr>
            <w:tcW w:w="216" w:type="pct"/>
            <w:tcBorders>
              <w:top w:val="nil"/>
              <w:left w:val="nil"/>
              <w:bottom w:val="nil"/>
              <w:right w:val="nil"/>
            </w:tcBorders>
            <w:shd w:val="clear" w:color="auto" w:fill="auto"/>
            <w:noWrap/>
            <w:vAlign w:val="center"/>
            <w:hideMark/>
          </w:tcPr>
          <w:p w14:paraId="12309D1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E07EE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4FA8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FFD3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6D13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F9C648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DC961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ACE4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0C9CD2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CFD3F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0293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E826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1997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EC3A6B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2DF4C5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B7F7B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C0CA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314F2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998A7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E61029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AAC55A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A997E6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31B2F2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20:0 DMA</w:t>
            </w:r>
          </w:p>
        </w:tc>
        <w:tc>
          <w:tcPr>
            <w:tcW w:w="216" w:type="pct"/>
            <w:tcBorders>
              <w:top w:val="nil"/>
              <w:left w:val="nil"/>
              <w:bottom w:val="nil"/>
              <w:right w:val="nil"/>
            </w:tcBorders>
            <w:shd w:val="clear" w:color="auto" w:fill="auto"/>
            <w:noWrap/>
            <w:vAlign w:val="center"/>
            <w:hideMark/>
          </w:tcPr>
          <w:p w14:paraId="38FFA77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C77E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5C50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88ACD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05AACD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A6531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4CE1A5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1D4F03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11062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96C75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F68FE3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EE2A2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0D3D24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9373C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71C79A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7394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F139E2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EA720F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A9C6E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83F837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7A39BB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5C1D18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D92A41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20:0</w:t>
            </w:r>
          </w:p>
        </w:tc>
        <w:tc>
          <w:tcPr>
            <w:tcW w:w="216" w:type="pct"/>
            <w:tcBorders>
              <w:top w:val="nil"/>
              <w:left w:val="nil"/>
              <w:bottom w:val="nil"/>
              <w:right w:val="nil"/>
            </w:tcBorders>
            <w:shd w:val="clear" w:color="auto" w:fill="auto"/>
            <w:noWrap/>
            <w:vAlign w:val="center"/>
            <w:hideMark/>
          </w:tcPr>
          <w:p w14:paraId="0DAEA19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79C2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D1615E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354481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35D90B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857C7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704E6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1FB68F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74F725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2.90E-03</w:t>
            </w:r>
          </w:p>
        </w:tc>
        <w:tc>
          <w:tcPr>
            <w:tcW w:w="216" w:type="pct"/>
            <w:tcBorders>
              <w:top w:val="nil"/>
              <w:left w:val="nil"/>
              <w:bottom w:val="nil"/>
              <w:right w:val="nil"/>
            </w:tcBorders>
            <w:shd w:val="clear" w:color="auto" w:fill="auto"/>
            <w:noWrap/>
            <w:vAlign w:val="center"/>
            <w:hideMark/>
          </w:tcPr>
          <w:p w14:paraId="485CC75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582C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3AA20B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00B5997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51" w:type="pct"/>
            <w:tcBorders>
              <w:top w:val="nil"/>
              <w:left w:val="nil"/>
              <w:bottom w:val="nil"/>
              <w:right w:val="single" w:sz="8" w:space="0" w:color="auto"/>
            </w:tcBorders>
            <w:shd w:val="clear" w:color="auto" w:fill="auto"/>
            <w:noWrap/>
            <w:vAlign w:val="center"/>
            <w:hideMark/>
          </w:tcPr>
          <w:p w14:paraId="51CC6E2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AA89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1.84E-06</w:t>
            </w:r>
          </w:p>
        </w:tc>
        <w:tc>
          <w:tcPr>
            <w:tcW w:w="216" w:type="pct"/>
            <w:tcBorders>
              <w:top w:val="nil"/>
              <w:left w:val="nil"/>
              <w:bottom w:val="nil"/>
              <w:right w:val="nil"/>
            </w:tcBorders>
            <w:shd w:val="clear" w:color="auto" w:fill="auto"/>
            <w:noWrap/>
            <w:vAlign w:val="center"/>
            <w:hideMark/>
          </w:tcPr>
          <w:p w14:paraId="6B6766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2.37E-06</w:t>
            </w:r>
          </w:p>
        </w:tc>
        <w:tc>
          <w:tcPr>
            <w:tcW w:w="216" w:type="pct"/>
            <w:tcBorders>
              <w:top w:val="nil"/>
              <w:left w:val="nil"/>
              <w:bottom w:val="nil"/>
              <w:right w:val="nil"/>
            </w:tcBorders>
            <w:shd w:val="clear" w:color="auto" w:fill="auto"/>
            <w:noWrap/>
            <w:vAlign w:val="center"/>
            <w:hideMark/>
          </w:tcPr>
          <w:p w14:paraId="78D8F943" w14:textId="77777777" w:rsidR="003D4B33" w:rsidRPr="009819CE" w:rsidRDefault="003D4B33" w:rsidP="007F031B">
            <w:pPr>
              <w:spacing w:after="0" w:line="240" w:lineRule="auto"/>
              <w:jc w:val="right"/>
              <w:rPr>
                <w:rFonts w:cstheme="minorBidi"/>
                <w:sz w:val="14"/>
                <w:szCs w:val="14"/>
              </w:rPr>
            </w:pPr>
            <w:r w:rsidRPr="009819CE">
              <w:rPr>
                <w:rFonts w:cstheme="minorBidi"/>
                <w:sz w:val="14"/>
                <w:szCs w:val="14"/>
              </w:rPr>
              <w:t>2.26E-06</w:t>
            </w:r>
          </w:p>
        </w:tc>
        <w:tc>
          <w:tcPr>
            <w:tcW w:w="216" w:type="pct"/>
            <w:tcBorders>
              <w:top w:val="nil"/>
              <w:left w:val="nil"/>
              <w:bottom w:val="nil"/>
              <w:right w:val="nil"/>
            </w:tcBorders>
            <w:shd w:val="clear" w:color="auto" w:fill="auto"/>
            <w:noWrap/>
            <w:vAlign w:val="center"/>
            <w:hideMark/>
          </w:tcPr>
          <w:p w14:paraId="36DF8A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1.81E-06</w:t>
            </w:r>
          </w:p>
        </w:tc>
        <w:tc>
          <w:tcPr>
            <w:tcW w:w="216" w:type="pct"/>
            <w:tcBorders>
              <w:top w:val="nil"/>
              <w:left w:val="nil"/>
              <w:bottom w:val="nil"/>
              <w:right w:val="nil"/>
            </w:tcBorders>
            <w:shd w:val="clear" w:color="auto" w:fill="auto"/>
            <w:noWrap/>
            <w:vAlign w:val="center"/>
            <w:hideMark/>
          </w:tcPr>
          <w:p w14:paraId="38CAB69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8.84E-06</w:t>
            </w:r>
          </w:p>
        </w:tc>
        <w:tc>
          <w:tcPr>
            <w:tcW w:w="216" w:type="pct"/>
            <w:tcBorders>
              <w:top w:val="nil"/>
              <w:left w:val="nil"/>
              <w:bottom w:val="nil"/>
              <w:right w:val="nil"/>
            </w:tcBorders>
            <w:shd w:val="clear" w:color="auto" w:fill="auto"/>
            <w:noWrap/>
            <w:vAlign w:val="center"/>
            <w:hideMark/>
          </w:tcPr>
          <w:p w14:paraId="53CCC02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4.57E-05</w:t>
            </w:r>
          </w:p>
        </w:tc>
        <w:tc>
          <w:tcPr>
            <w:tcW w:w="251" w:type="pct"/>
            <w:tcBorders>
              <w:top w:val="nil"/>
              <w:left w:val="nil"/>
              <w:bottom w:val="nil"/>
              <w:right w:val="single" w:sz="8" w:space="0" w:color="auto"/>
            </w:tcBorders>
            <w:shd w:val="clear" w:color="auto" w:fill="auto"/>
            <w:noWrap/>
            <w:vAlign w:val="center"/>
            <w:hideMark/>
          </w:tcPr>
          <w:p w14:paraId="70F3D86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5.75E-05</w:t>
            </w:r>
          </w:p>
        </w:tc>
      </w:tr>
      <w:tr w:rsidR="003D4B33" w:rsidRPr="00435B6B" w14:paraId="1CC8B901"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78F96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22:0</w:t>
            </w:r>
          </w:p>
        </w:tc>
        <w:tc>
          <w:tcPr>
            <w:tcW w:w="216" w:type="pct"/>
            <w:tcBorders>
              <w:top w:val="nil"/>
              <w:left w:val="nil"/>
              <w:bottom w:val="nil"/>
              <w:right w:val="nil"/>
            </w:tcBorders>
            <w:shd w:val="clear" w:color="auto" w:fill="auto"/>
            <w:noWrap/>
            <w:vAlign w:val="center"/>
            <w:hideMark/>
          </w:tcPr>
          <w:p w14:paraId="2A90C5F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F078D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FDB32A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7330DC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CA569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C1FA2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CA5C91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F1F351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B43B2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F2CF1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49CED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C90DB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C3C165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830D64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9831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DA6B34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387F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8A35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2326F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9BB93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61E20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8DD4C91"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5B6E2F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24:0</w:t>
            </w:r>
          </w:p>
        </w:tc>
        <w:tc>
          <w:tcPr>
            <w:tcW w:w="216" w:type="pct"/>
            <w:tcBorders>
              <w:top w:val="nil"/>
              <w:left w:val="nil"/>
              <w:bottom w:val="nil"/>
              <w:right w:val="nil"/>
            </w:tcBorders>
            <w:shd w:val="clear" w:color="auto" w:fill="auto"/>
            <w:noWrap/>
            <w:vAlign w:val="center"/>
            <w:hideMark/>
          </w:tcPr>
          <w:p w14:paraId="2D15E7E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6E9F7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E7D56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F25CA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D87DB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5B4DD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3C5F6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969A8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B2206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491EB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0776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5F3E4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AE610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70760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0FB79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6B743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5672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A689B1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11DB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19E9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F2F69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01210D3" w14:textId="77777777" w:rsidTr="007F031B">
        <w:trPr>
          <w:trHeight w:val="435"/>
        </w:trPr>
        <w:tc>
          <w:tcPr>
            <w:tcW w:w="365"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0CCF4FC3"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total saturated</w:t>
            </w:r>
          </w:p>
        </w:tc>
        <w:tc>
          <w:tcPr>
            <w:tcW w:w="216" w:type="pct"/>
            <w:tcBorders>
              <w:top w:val="single" w:sz="4" w:space="0" w:color="auto"/>
              <w:left w:val="nil"/>
              <w:bottom w:val="single" w:sz="8" w:space="0" w:color="auto"/>
              <w:right w:val="nil"/>
            </w:tcBorders>
            <w:shd w:val="clear" w:color="auto" w:fill="auto"/>
            <w:noWrap/>
            <w:vAlign w:val="center"/>
            <w:hideMark/>
          </w:tcPr>
          <w:p w14:paraId="0833B3B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28194E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03AF2B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07ED7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D17CB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4DB140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039B583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993CE0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653EE8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CF1D6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4C888A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C30112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6B0F5AA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7150C0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D7A9F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434153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D1E4C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1E5D1D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540EE4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5702A1B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1B01D34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0582BF1"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01C289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16:1n-9</w:t>
            </w:r>
          </w:p>
        </w:tc>
        <w:tc>
          <w:tcPr>
            <w:tcW w:w="216" w:type="pct"/>
            <w:tcBorders>
              <w:top w:val="nil"/>
              <w:left w:val="nil"/>
              <w:bottom w:val="nil"/>
              <w:right w:val="nil"/>
            </w:tcBorders>
            <w:shd w:val="clear" w:color="auto" w:fill="auto"/>
            <w:noWrap/>
            <w:vAlign w:val="center"/>
            <w:hideMark/>
          </w:tcPr>
          <w:p w14:paraId="134D52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3.25E-03</w:t>
            </w:r>
          </w:p>
        </w:tc>
        <w:tc>
          <w:tcPr>
            <w:tcW w:w="216" w:type="pct"/>
            <w:tcBorders>
              <w:top w:val="nil"/>
              <w:left w:val="nil"/>
              <w:bottom w:val="nil"/>
              <w:right w:val="nil"/>
            </w:tcBorders>
            <w:shd w:val="clear" w:color="auto" w:fill="auto"/>
            <w:noWrap/>
            <w:vAlign w:val="center"/>
            <w:hideMark/>
          </w:tcPr>
          <w:p w14:paraId="186448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1.52E-03</w:t>
            </w:r>
          </w:p>
        </w:tc>
        <w:tc>
          <w:tcPr>
            <w:tcW w:w="216" w:type="pct"/>
            <w:tcBorders>
              <w:top w:val="nil"/>
              <w:left w:val="nil"/>
              <w:bottom w:val="nil"/>
              <w:right w:val="nil"/>
            </w:tcBorders>
            <w:shd w:val="clear" w:color="auto" w:fill="auto"/>
            <w:noWrap/>
            <w:vAlign w:val="center"/>
            <w:hideMark/>
          </w:tcPr>
          <w:p w14:paraId="5A399FA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9.58E-04</w:t>
            </w:r>
          </w:p>
        </w:tc>
        <w:tc>
          <w:tcPr>
            <w:tcW w:w="216" w:type="pct"/>
            <w:tcBorders>
              <w:top w:val="nil"/>
              <w:left w:val="nil"/>
              <w:bottom w:val="nil"/>
              <w:right w:val="nil"/>
            </w:tcBorders>
            <w:shd w:val="clear" w:color="auto" w:fill="auto"/>
            <w:noWrap/>
            <w:vAlign w:val="center"/>
            <w:hideMark/>
          </w:tcPr>
          <w:p w14:paraId="6FAFCC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4640438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2A6ABA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2.98E-03</w:t>
            </w:r>
          </w:p>
        </w:tc>
        <w:tc>
          <w:tcPr>
            <w:tcW w:w="251" w:type="pct"/>
            <w:tcBorders>
              <w:top w:val="nil"/>
              <w:left w:val="nil"/>
              <w:bottom w:val="nil"/>
              <w:right w:val="single" w:sz="8" w:space="0" w:color="auto"/>
            </w:tcBorders>
            <w:shd w:val="clear" w:color="auto" w:fill="auto"/>
            <w:noWrap/>
            <w:vAlign w:val="center"/>
            <w:hideMark/>
          </w:tcPr>
          <w:p w14:paraId="5B8B408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0.05</w:t>
            </w:r>
          </w:p>
        </w:tc>
        <w:tc>
          <w:tcPr>
            <w:tcW w:w="216" w:type="pct"/>
            <w:tcBorders>
              <w:top w:val="nil"/>
              <w:left w:val="nil"/>
              <w:bottom w:val="nil"/>
              <w:right w:val="nil"/>
            </w:tcBorders>
            <w:shd w:val="clear" w:color="auto" w:fill="auto"/>
            <w:noWrap/>
            <w:vAlign w:val="center"/>
            <w:hideMark/>
          </w:tcPr>
          <w:p w14:paraId="083645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2047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6A83E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52F6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8C3C42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949EE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45843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21FE3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3.57E-04</w:t>
            </w:r>
          </w:p>
        </w:tc>
        <w:tc>
          <w:tcPr>
            <w:tcW w:w="216" w:type="pct"/>
            <w:tcBorders>
              <w:top w:val="nil"/>
              <w:left w:val="nil"/>
              <w:bottom w:val="nil"/>
              <w:right w:val="nil"/>
            </w:tcBorders>
            <w:shd w:val="clear" w:color="auto" w:fill="auto"/>
            <w:noWrap/>
            <w:vAlign w:val="center"/>
            <w:hideMark/>
          </w:tcPr>
          <w:p w14:paraId="582305E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2.12E-04</w:t>
            </w:r>
          </w:p>
        </w:tc>
        <w:tc>
          <w:tcPr>
            <w:tcW w:w="216" w:type="pct"/>
            <w:tcBorders>
              <w:top w:val="nil"/>
              <w:left w:val="nil"/>
              <w:bottom w:val="nil"/>
              <w:right w:val="nil"/>
            </w:tcBorders>
            <w:shd w:val="clear" w:color="auto" w:fill="auto"/>
            <w:noWrap/>
            <w:vAlign w:val="center"/>
            <w:hideMark/>
          </w:tcPr>
          <w:p w14:paraId="52A590E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1.07E-03</w:t>
            </w:r>
          </w:p>
        </w:tc>
        <w:tc>
          <w:tcPr>
            <w:tcW w:w="216" w:type="pct"/>
            <w:tcBorders>
              <w:top w:val="nil"/>
              <w:left w:val="nil"/>
              <w:bottom w:val="nil"/>
              <w:right w:val="nil"/>
            </w:tcBorders>
            <w:shd w:val="clear" w:color="auto" w:fill="auto"/>
            <w:noWrap/>
            <w:vAlign w:val="center"/>
            <w:hideMark/>
          </w:tcPr>
          <w:p w14:paraId="34B409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79DDD78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2.36E-03</w:t>
            </w:r>
          </w:p>
        </w:tc>
        <w:tc>
          <w:tcPr>
            <w:tcW w:w="216" w:type="pct"/>
            <w:tcBorders>
              <w:top w:val="nil"/>
              <w:left w:val="nil"/>
              <w:bottom w:val="nil"/>
              <w:right w:val="nil"/>
            </w:tcBorders>
            <w:shd w:val="clear" w:color="auto" w:fill="auto"/>
            <w:noWrap/>
            <w:vAlign w:val="center"/>
            <w:hideMark/>
          </w:tcPr>
          <w:p w14:paraId="4EA165C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3.64E-04</w:t>
            </w:r>
          </w:p>
        </w:tc>
        <w:tc>
          <w:tcPr>
            <w:tcW w:w="251" w:type="pct"/>
            <w:tcBorders>
              <w:top w:val="nil"/>
              <w:left w:val="nil"/>
              <w:bottom w:val="nil"/>
              <w:right w:val="single" w:sz="8" w:space="0" w:color="auto"/>
            </w:tcBorders>
            <w:shd w:val="clear" w:color="auto" w:fill="auto"/>
            <w:noWrap/>
            <w:vAlign w:val="center"/>
            <w:hideMark/>
          </w:tcPr>
          <w:p w14:paraId="20CB3F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r>
      <w:tr w:rsidR="003D4B33" w:rsidRPr="00435B6B" w14:paraId="5873ECD1"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19A9BE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16:1n-7</w:t>
            </w:r>
          </w:p>
        </w:tc>
        <w:tc>
          <w:tcPr>
            <w:tcW w:w="216" w:type="pct"/>
            <w:tcBorders>
              <w:top w:val="nil"/>
              <w:left w:val="nil"/>
              <w:bottom w:val="nil"/>
              <w:right w:val="nil"/>
            </w:tcBorders>
            <w:shd w:val="clear" w:color="auto" w:fill="auto"/>
            <w:noWrap/>
            <w:vAlign w:val="center"/>
            <w:hideMark/>
          </w:tcPr>
          <w:p w14:paraId="635D026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1.15E-06</w:t>
            </w:r>
          </w:p>
        </w:tc>
        <w:tc>
          <w:tcPr>
            <w:tcW w:w="216" w:type="pct"/>
            <w:tcBorders>
              <w:top w:val="nil"/>
              <w:left w:val="nil"/>
              <w:bottom w:val="nil"/>
              <w:right w:val="nil"/>
            </w:tcBorders>
            <w:shd w:val="clear" w:color="auto" w:fill="auto"/>
            <w:noWrap/>
            <w:vAlign w:val="center"/>
            <w:hideMark/>
          </w:tcPr>
          <w:p w14:paraId="0233114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3.23E-06</w:t>
            </w:r>
          </w:p>
        </w:tc>
        <w:tc>
          <w:tcPr>
            <w:tcW w:w="216" w:type="pct"/>
            <w:tcBorders>
              <w:top w:val="nil"/>
              <w:left w:val="nil"/>
              <w:bottom w:val="nil"/>
              <w:right w:val="nil"/>
            </w:tcBorders>
            <w:shd w:val="clear" w:color="auto" w:fill="auto"/>
            <w:noWrap/>
            <w:vAlign w:val="center"/>
            <w:hideMark/>
          </w:tcPr>
          <w:p w14:paraId="7C2B7A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1.86E-06</w:t>
            </w:r>
          </w:p>
        </w:tc>
        <w:tc>
          <w:tcPr>
            <w:tcW w:w="216" w:type="pct"/>
            <w:tcBorders>
              <w:top w:val="nil"/>
              <w:left w:val="nil"/>
              <w:bottom w:val="nil"/>
              <w:right w:val="nil"/>
            </w:tcBorders>
            <w:shd w:val="clear" w:color="auto" w:fill="auto"/>
            <w:noWrap/>
            <w:vAlign w:val="center"/>
            <w:hideMark/>
          </w:tcPr>
          <w:p w14:paraId="2B0993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4.27E-05</w:t>
            </w:r>
          </w:p>
        </w:tc>
        <w:tc>
          <w:tcPr>
            <w:tcW w:w="216" w:type="pct"/>
            <w:tcBorders>
              <w:top w:val="nil"/>
              <w:left w:val="nil"/>
              <w:bottom w:val="nil"/>
              <w:right w:val="nil"/>
            </w:tcBorders>
            <w:shd w:val="clear" w:color="auto" w:fill="auto"/>
            <w:noWrap/>
            <w:vAlign w:val="center"/>
            <w:hideMark/>
          </w:tcPr>
          <w:p w14:paraId="29720DA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3.16E-07</w:t>
            </w:r>
          </w:p>
        </w:tc>
        <w:tc>
          <w:tcPr>
            <w:tcW w:w="216" w:type="pct"/>
            <w:tcBorders>
              <w:top w:val="nil"/>
              <w:left w:val="nil"/>
              <w:bottom w:val="nil"/>
              <w:right w:val="nil"/>
            </w:tcBorders>
            <w:shd w:val="clear" w:color="auto" w:fill="auto"/>
            <w:noWrap/>
            <w:vAlign w:val="center"/>
            <w:hideMark/>
          </w:tcPr>
          <w:p w14:paraId="1782FB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6.17E-06</w:t>
            </w:r>
          </w:p>
        </w:tc>
        <w:tc>
          <w:tcPr>
            <w:tcW w:w="251" w:type="pct"/>
            <w:tcBorders>
              <w:top w:val="nil"/>
              <w:left w:val="nil"/>
              <w:bottom w:val="nil"/>
              <w:right w:val="single" w:sz="8" w:space="0" w:color="auto"/>
            </w:tcBorders>
            <w:shd w:val="clear" w:color="auto" w:fill="auto"/>
            <w:noWrap/>
            <w:vAlign w:val="center"/>
            <w:hideMark/>
          </w:tcPr>
          <w:p w14:paraId="170058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1.77E-06</w:t>
            </w:r>
          </w:p>
        </w:tc>
        <w:tc>
          <w:tcPr>
            <w:tcW w:w="216" w:type="pct"/>
            <w:tcBorders>
              <w:top w:val="nil"/>
              <w:left w:val="nil"/>
              <w:bottom w:val="nil"/>
              <w:right w:val="nil"/>
            </w:tcBorders>
            <w:shd w:val="clear" w:color="auto" w:fill="auto"/>
            <w:noWrap/>
            <w:vAlign w:val="center"/>
            <w:hideMark/>
          </w:tcPr>
          <w:p w14:paraId="034A54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559C84F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0A5DC9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0C43B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F8E28B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4BBD6D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D25FE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9CE2B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2.40E-05</w:t>
            </w:r>
          </w:p>
        </w:tc>
        <w:tc>
          <w:tcPr>
            <w:tcW w:w="216" w:type="pct"/>
            <w:tcBorders>
              <w:top w:val="nil"/>
              <w:left w:val="nil"/>
              <w:bottom w:val="nil"/>
              <w:right w:val="nil"/>
            </w:tcBorders>
            <w:shd w:val="clear" w:color="auto" w:fill="auto"/>
            <w:noWrap/>
            <w:vAlign w:val="center"/>
            <w:hideMark/>
          </w:tcPr>
          <w:p w14:paraId="1EB1B27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1.25E-04</w:t>
            </w:r>
          </w:p>
        </w:tc>
        <w:tc>
          <w:tcPr>
            <w:tcW w:w="216" w:type="pct"/>
            <w:tcBorders>
              <w:top w:val="nil"/>
              <w:left w:val="nil"/>
              <w:bottom w:val="nil"/>
              <w:right w:val="nil"/>
            </w:tcBorders>
            <w:shd w:val="clear" w:color="auto" w:fill="auto"/>
            <w:noWrap/>
            <w:vAlign w:val="center"/>
            <w:hideMark/>
          </w:tcPr>
          <w:p w14:paraId="2219279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2.47E-04</w:t>
            </w:r>
          </w:p>
        </w:tc>
        <w:tc>
          <w:tcPr>
            <w:tcW w:w="216" w:type="pct"/>
            <w:tcBorders>
              <w:top w:val="nil"/>
              <w:left w:val="nil"/>
              <w:bottom w:val="nil"/>
              <w:right w:val="nil"/>
            </w:tcBorders>
            <w:shd w:val="clear" w:color="auto" w:fill="auto"/>
            <w:noWrap/>
            <w:vAlign w:val="center"/>
            <w:hideMark/>
          </w:tcPr>
          <w:p w14:paraId="3A0FF4C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1.47E-03</w:t>
            </w:r>
          </w:p>
        </w:tc>
        <w:tc>
          <w:tcPr>
            <w:tcW w:w="216" w:type="pct"/>
            <w:tcBorders>
              <w:top w:val="nil"/>
              <w:left w:val="nil"/>
              <w:bottom w:val="nil"/>
              <w:right w:val="nil"/>
            </w:tcBorders>
            <w:shd w:val="clear" w:color="auto" w:fill="auto"/>
            <w:noWrap/>
            <w:vAlign w:val="center"/>
            <w:hideMark/>
          </w:tcPr>
          <w:p w14:paraId="112EC0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6.49E-05</w:t>
            </w:r>
          </w:p>
        </w:tc>
        <w:tc>
          <w:tcPr>
            <w:tcW w:w="216" w:type="pct"/>
            <w:tcBorders>
              <w:top w:val="nil"/>
              <w:left w:val="nil"/>
              <w:bottom w:val="nil"/>
              <w:right w:val="nil"/>
            </w:tcBorders>
            <w:shd w:val="clear" w:color="auto" w:fill="auto"/>
            <w:noWrap/>
            <w:vAlign w:val="center"/>
            <w:hideMark/>
          </w:tcPr>
          <w:p w14:paraId="49A277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1.75E-04</w:t>
            </w:r>
          </w:p>
        </w:tc>
        <w:tc>
          <w:tcPr>
            <w:tcW w:w="251" w:type="pct"/>
            <w:tcBorders>
              <w:top w:val="nil"/>
              <w:left w:val="nil"/>
              <w:bottom w:val="nil"/>
              <w:right w:val="single" w:sz="8" w:space="0" w:color="auto"/>
            </w:tcBorders>
            <w:shd w:val="clear" w:color="auto" w:fill="auto"/>
            <w:noWrap/>
            <w:vAlign w:val="center"/>
            <w:hideMark/>
          </w:tcPr>
          <w:p w14:paraId="78D9D9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1.33E-05</w:t>
            </w:r>
          </w:p>
        </w:tc>
      </w:tr>
      <w:tr w:rsidR="003D4B33" w:rsidRPr="00435B6B" w14:paraId="1124B37B"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25104D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16:1</w:t>
            </w:r>
          </w:p>
        </w:tc>
        <w:tc>
          <w:tcPr>
            <w:tcW w:w="216" w:type="pct"/>
            <w:tcBorders>
              <w:top w:val="nil"/>
              <w:left w:val="nil"/>
              <w:bottom w:val="nil"/>
              <w:right w:val="nil"/>
            </w:tcBorders>
            <w:shd w:val="clear" w:color="auto" w:fill="auto"/>
            <w:noWrap/>
            <w:vAlign w:val="center"/>
            <w:hideMark/>
          </w:tcPr>
          <w:p w14:paraId="293369B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46AB7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D0E30D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74A0A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447D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94B4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AEDB25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E000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89F9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245B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8C836E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3EE63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B71D8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98DA62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2C664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5CCD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52A53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98706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1D790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B82E2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8CF3B5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2FA51048"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80629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17:1</w:t>
            </w:r>
          </w:p>
        </w:tc>
        <w:tc>
          <w:tcPr>
            <w:tcW w:w="216" w:type="pct"/>
            <w:tcBorders>
              <w:top w:val="nil"/>
              <w:left w:val="nil"/>
              <w:bottom w:val="nil"/>
              <w:right w:val="nil"/>
            </w:tcBorders>
            <w:shd w:val="clear" w:color="auto" w:fill="auto"/>
            <w:noWrap/>
            <w:vAlign w:val="center"/>
            <w:hideMark/>
          </w:tcPr>
          <w:p w14:paraId="2F771AC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74B9E6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B08F29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15074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8DBD7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AABE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F49AC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5FF23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23DB681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3334305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42F3D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4.76E-03</w:t>
            </w:r>
          </w:p>
        </w:tc>
        <w:tc>
          <w:tcPr>
            <w:tcW w:w="216" w:type="pct"/>
            <w:tcBorders>
              <w:top w:val="nil"/>
              <w:left w:val="nil"/>
              <w:bottom w:val="nil"/>
              <w:right w:val="nil"/>
            </w:tcBorders>
            <w:shd w:val="clear" w:color="auto" w:fill="auto"/>
            <w:noWrap/>
            <w:vAlign w:val="center"/>
            <w:hideMark/>
          </w:tcPr>
          <w:p w14:paraId="534874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DAEF7F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51" w:type="pct"/>
            <w:tcBorders>
              <w:top w:val="nil"/>
              <w:left w:val="nil"/>
              <w:bottom w:val="nil"/>
              <w:right w:val="single" w:sz="8" w:space="0" w:color="auto"/>
            </w:tcBorders>
            <w:shd w:val="clear" w:color="auto" w:fill="auto"/>
            <w:noWrap/>
            <w:vAlign w:val="center"/>
            <w:hideMark/>
          </w:tcPr>
          <w:p w14:paraId="5C6B906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8F98C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0E60B6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5120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52E8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B4EF5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4FBDA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82C1EC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1D80F8B1"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A6E742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18:1 DMA</w:t>
            </w:r>
          </w:p>
        </w:tc>
        <w:tc>
          <w:tcPr>
            <w:tcW w:w="216" w:type="pct"/>
            <w:tcBorders>
              <w:top w:val="nil"/>
              <w:left w:val="nil"/>
              <w:bottom w:val="nil"/>
              <w:right w:val="nil"/>
            </w:tcBorders>
            <w:shd w:val="clear" w:color="auto" w:fill="auto"/>
            <w:noWrap/>
            <w:vAlign w:val="center"/>
            <w:hideMark/>
          </w:tcPr>
          <w:p w14:paraId="2A6A8F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4FEB6D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BA57F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CE49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EB21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800C7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76ABC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4C1AB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4D8F92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DA9D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D6B6D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331382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455A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9A85BD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D8B1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6235C0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8D8F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C6BB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D1F77F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B495B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857706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6070833"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7D151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18:1</w:t>
            </w:r>
          </w:p>
        </w:tc>
        <w:tc>
          <w:tcPr>
            <w:tcW w:w="216" w:type="pct"/>
            <w:tcBorders>
              <w:top w:val="nil"/>
              <w:left w:val="nil"/>
              <w:bottom w:val="nil"/>
              <w:right w:val="nil"/>
            </w:tcBorders>
            <w:shd w:val="clear" w:color="auto" w:fill="auto"/>
            <w:noWrap/>
            <w:vAlign w:val="center"/>
            <w:hideMark/>
          </w:tcPr>
          <w:p w14:paraId="343B10F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06AD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0320C3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0BF6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0D6E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F5D434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7EB3B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53EB1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6E9C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65C8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DB53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145A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1E81FD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11AC9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A111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D1DEB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FDAD8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ABBE4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CB091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CE7D9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8B3D53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0B42C32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36D2845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18:1n-9</w:t>
            </w:r>
          </w:p>
        </w:tc>
        <w:tc>
          <w:tcPr>
            <w:tcW w:w="216" w:type="pct"/>
            <w:tcBorders>
              <w:top w:val="nil"/>
              <w:left w:val="nil"/>
              <w:bottom w:val="nil"/>
              <w:right w:val="nil"/>
            </w:tcBorders>
            <w:shd w:val="clear" w:color="auto" w:fill="auto"/>
            <w:noWrap/>
            <w:vAlign w:val="center"/>
            <w:hideMark/>
          </w:tcPr>
          <w:p w14:paraId="452BC21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AC1C6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6F9FC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F5A370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2FE4C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CDA5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C47C6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9184A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9B9E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2593F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EAB87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7D64A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8B28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39885D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53BE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1.14E-03</w:t>
            </w:r>
          </w:p>
        </w:tc>
        <w:tc>
          <w:tcPr>
            <w:tcW w:w="216" w:type="pct"/>
            <w:tcBorders>
              <w:top w:val="nil"/>
              <w:left w:val="nil"/>
              <w:bottom w:val="nil"/>
              <w:right w:val="nil"/>
            </w:tcBorders>
            <w:shd w:val="clear" w:color="auto" w:fill="auto"/>
            <w:noWrap/>
            <w:vAlign w:val="center"/>
            <w:hideMark/>
          </w:tcPr>
          <w:p w14:paraId="20C6114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2.11E-03</w:t>
            </w:r>
          </w:p>
        </w:tc>
        <w:tc>
          <w:tcPr>
            <w:tcW w:w="216" w:type="pct"/>
            <w:tcBorders>
              <w:top w:val="nil"/>
              <w:left w:val="nil"/>
              <w:bottom w:val="nil"/>
              <w:right w:val="nil"/>
            </w:tcBorders>
            <w:shd w:val="clear" w:color="auto" w:fill="auto"/>
            <w:noWrap/>
            <w:vAlign w:val="center"/>
            <w:hideMark/>
          </w:tcPr>
          <w:p w14:paraId="699231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2870B2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1.23E-03</w:t>
            </w:r>
          </w:p>
        </w:tc>
        <w:tc>
          <w:tcPr>
            <w:tcW w:w="216" w:type="pct"/>
            <w:tcBorders>
              <w:top w:val="nil"/>
              <w:left w:val="nil"/>
              <w:bottom w:val="nil"/>
              <w:right w:val="nil"/>
            </w:tcBorders>
            <w:shd w:val="clear" w:color="auto" w:fill="auto"/>
            <w:noWrap/>
            <w:vAlign w:val="center"/>
            <w:hideMark/>
          </w:tcPr>
          <w:p w14:paraId="067D2FE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BA42C8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9.68E-04</w:t>
            </w:r>
          </w:p>
        </w:tc>
        <w:tc>
          <w:tcPr>
            <w:tcW w:w="251" w:type="pct"/>
            <w:tcBorders>
              <w:top w:val="nil"/>
              <w:left w:val="nil"/>
              <w:bottom w:val="nil"/>
              <w:right w:val="single" w:sz="8" w:space="0" w:color="auto"/>
            </w:tcBorders>
            <w:shd w:val="clear" w:color="auto" w:fill="auto"/>
            <w:noWrap/>
            <w:vAlign w:val="center"/>
            <w:hideMark/>
          </w:tcPr>
          <w:p w14:paraId="344D0EE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8.13E-03</w:t>
            </w:r>
          </w:p>
        </w:tc>
      </w:tr>
      <w:tr w:rsidR="003D4B33" w:rsidRPr="00435B6B" w14:paraId="55229536"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B44E72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18:1n-7</w:t>
            </w:r>
          </w:p>
        </w:tc>
        <w:tc>
          <w:tcPr>
            <w:tcW w:w="216" w:type="pct"/>
            <w:tcBorders>
              <w:top w:val="nil"/>
              <w:left w:val="nil"/>
              <w:bottom w:val="nil"/>
              <w:right w:val="nil"/>
            </w:tcBorders>
            <w:shd w:val="clear" w:color="auto" w:fill="auto"/>
            <w:noWrap/>
            <w:vAlign w:val="center"/>
            <w:hideMark/>
          </w:tcPr>
          <w:p w14:paraId="3D64FA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5F425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53C2A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5FCA4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FE0BDF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BE3BBD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AA8FEB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04193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EBA91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672B59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AD60B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B63ED7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3992B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62B3A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66414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4E40C9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BC348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D1B1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080EF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767D2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5AD51A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46F819B"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2AC32A2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18:1</w:t>
            </w:r>
          </w:p>
        </w:tc>
        <w:tc>
          <w:tcPr>
            <w:tcW w:w="216" w:type="pct"/>
            <w:tcBorders>
              <w:top w:val="nil"/>
              <w:left w:val="nil"/>
              <w:bottom w:val="nil"/>
              <w:right w:val="nil"/>
            </w:tcBorders>
            <w:shd w:val="clear" w:color="auto" w:fill="auto"/>
            <w:noWrap/>
            <w:vAlign w:val="center"/>
            <w:hideMark/>
          </w:tcPr>
          <w:p w14:paraId="1C343B5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D421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709FF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AD4BD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4428D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4516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D7C3FB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A4C0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56B36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04C9C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BBD3D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EDDE9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807D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952D8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4A3ED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5978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7B267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B7F513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E5C58D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7CA0FF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DD3765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2AB2D6D9"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54CBF2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20:1n-11</w:t>
            </w:r>
          </w:p>
        </w:tc>
        <w:tc>
          <w:tcPr>
            <w:tcW w:w="216" w:type="pct"/>
            <w:tcBorders>
              <w:top w:val="nil"/>
              <w:left w:val="nil"/>
              <w:bottom w:val="nil"/>
              <w:right w:val="nil"/>
            </w:tcBorders>
            <w:shd w:val="clear" w:color="auto" w:fill="auto"/>
            <w:noWrap/>
            <w:vAlign w:val="center"/>
            <w:hideMark/>
          </w:tcPr>
          <w:p w14:paraId="2F1A2E8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7.00E-06</w:t>
            </w:r>
          </w:p>
        </w:tc>
        <w:tc>
          <w:tcPr>
            <w:tcW w:w="216" w:type="pct"/>
            <w:tcBorders>
              <w:top w:val="nil"/>
              <w:left w:val="nil"/>
              <w:bottom w:val="nil"/>
              <w:right w:val="nil"/>
            </w:tcBorders>
            <w:shd w:val="clear" w:color="auto" w:fill="auto"/>
            <w:noWrap/>
            <w:vAlign w:val="center"/>
            <w:hideMark/>
          </w:tcPr>
          <w:p w14:paraId="1A7826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5.57E-05</w:t>
            </w:r>
          </w:p>
        </w:tc>
        <w:tc>
          <w:tcPr>
            <w:tcW w:w="216" w:type="pct"/>
            <w:tcBorders>
              <w:top w:val="nil"/>
              <w:left w:val="nil"/>
              <w:bottom w:val="nil"/>
              <w:right w:val="nil"/>
            </w:tcBorders>
            <w:shd w:val="clear" w:color="auto" w:fill="auto"/>
            <w:noWrap/>
            <w:vAlign w:val="center"/>
            <w:hideMark/>
          </w:tcPr>
          <w:p w14:paraId="0E5954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6.29E-05</w:t>
            </w:r>
          </w:p>
        </w:tc>
        <w:tc>
          <w:tcPr>
            <w:tcW w:w="216" w:type="pct"/>
            <w:tcBorders>
              <w:top w:val="nil"/>
              <w:left w:val="nil"/>
              <w:bottom w:val="nil"/>
              <w:right w:val="nil"/>
            </w:tcBorders>
            <w:shd w:val="clear" w:color="auto" w:fill="auto"/>
            <w:noWrap/>
            <w:vAlign w:val="center"/>
            <w:hideMark/>
          </w:tcPr>
          <w:p w14:paraId="140717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3.71E-03</w:t>
            </w:r>
          </w:p>
        </w:tc>
        <w:tc>
          <w:tcPr>
            <w:tcW w:w="216" w:type="pct"/>
            <w:tcBorders>
              <w:top w:val="nil"/>
              <w:left w:val="nil"/>
              <w:bottom w:val="nil"/>
              <w:right w:val="nil"/>
            </w:tcBorders>
            <w:shd w:val="clear" w:color="auto" w:fill="auto"/>
            <w:noWrap/>
            <w:vAlign w:val="center"/>
            <w:hideMark/>
          </w:tcPr>
          <w:p w14:paraId="6F1408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6.12E-05</w:t>
            </w:r>
          </w:p>
        </w:tc>
        <w:tc>
          <w:tcPr>
            <w:tcW w:w="216" w:type="pct"/>
            <w:tcBorders>
              <w:top w:val="nil"/>
              <w:left w:val="nil"/>
              <w:bottom w:val="nil"/>
              <w:right w:val="nil"/>
            </w:tcBorders>
            <w:shd w:val="clear" w:color="auto" w:fill="auto"/>
            <w:noWrap/>
            <w:vAlign w:val="center"/>
            <w:hideMark/>
          </w:tcPr>
          <w:p w14:paraId="6EA1B7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3.44E-06</w:t>
            </w:r>
          </w:p>
        </w:tc>
        <w:tc>
          <w:tcPr>
            <w:tcW w:w="251" w:type="pct"/>
            <w:tcBorders>
              <w:top w:val="nil"/>
              <w:left w:val="nil"/>
              <w:bottom w:val="nil"/>
              <w:right w:val="single" w:sz="8" w:space="0" w:color="auto"/>
            </w:tcBorders>
            <w:shd w:val="clear" w:color="auto" w:fill="auto"/>
            <w:noWrap/>
            <w:vAlign w:val="center"/>
            <w:hideMark/>
          </w:tcPr>
          <w:p w14:paraId="4D00D15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1.07E-05</w:t>
            </w:r>
          </w:p>
        </w:tc>
        <w:tc>
          <w:tcPr>
            <w:tcW w:w="216" w:type="pct"/>
            <w:tcBorders>
              <w:top w:val="nil"/>
              <w:left w:val="nil"/>
              <w:bottom w:val="nil"/>
              <w:right w:val="nil"/>
            </w:tcBorders>
            <w:shd w:val="clear" w:color="auto" w:fill="auto"/>
            <w:noWrap/>
            <w:vAlign w:val="center"/>
            <w:hideMark/>
          </w:tcPr>
          <w:p w14:paraId="336CF45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1.58E-06</w:t>
            </w:r>
          </w:p>
        </w:tc>
        <w:tc>
          <w:tcPr>
            <w:tcW w:w="216" w:type="pct"/>
            <w:tcBorders>
              <w:top w:val="nil"/>
              <w:left w:val="nil"/>
              <w:bottom w:val="nil"/>
              <w:right w:val="nil"/>
            </w:tcBorders>
            <w:shd w:val="clear" w:color="auto" w:fill="auto"/>
            <w:noWrap/>
            <w:vAlign w:val="center"/>
            <w:hideMark/>
          </w:tcPr>
          <w:p w14:paraId="75E77F3B" w14:textId="77777777" w:rsidR="003D4B33" w:rsidRPr="009819CE" w:rsidRDefault="003D4B33" w:rsidP="007F031B">
            <w:pPr>
              <w:spacing w:after="0" w:line="240" w:lineRule="auto"/>
              <w:jc w:val="center"/>
              <w:rPr>
                <w:rFonts w:cstheme="minorBidi"/>
                <w:sz w:val="14"/>
                <w:szCs w:val="14"/>
              </w:rPr>
            </w:pPr>
            <w:r w:rsidRPr="009819CE">
              <w:rPr>
                <w:rFonts w:cstheme="minorBidi"/>
                <w:sz w:val="14"/>
                <w:szCs w:val="14"/>
              </w:rPr>
              <w:t>4.03E-07</w:t>
            </w:r>
          </w:p>
        </w:tc>
        <w:tc>
          <w:tcPr>
            <w:tcW w:w="216" w:type="pct"/>
            <w:tcBorders>
              <w:top w:val="nil"/>
              <w:left w:val="nil"/>
              <w:bottom w:val="nil"/>
              <w:right w:val="nil"/>
            </w:tcBorders>
            <w:shd w:val="clear" w:color="auto" w:fill="auto"/>
            <w:noWrap/>
            <w:vAlign w:val="center"/>
            <w:hideMark/>
          </w:tcPr>
          <w:p w14:paraId="4D08E6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3.96E-06</w:t>
            </w:r>
          </w:p>
        </w:tc>
        <w:tc>
          <w:tcPr>
            <w:tcW w:w="216" w:type="pct"/>
            <w:tcBorders>
              <w:top w:val="nil"/>
              <w:left w:val="nil"/>
              <w:bottom w:val="nil"/>
              <w:right w:val="nil"/>
            </w:tcBorders>
            <w:shd w:val="clear" w:color="auto" w:fill="auto"/>
            <w:noWrap/>
            <w:vAlign w:val="center"/>
            <w:hideMark/>
          </w:tcPr>
          <w:p w14:paraId="697BF3E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2.26E-05</w:t>
            </w:r>
          </w:p>
        </w:tc>
        <w:tc>
          <w:tcPr>
            <w:tcW w:w="216" w:type="pct"/>
            <w:tcBorders>
              <w:top w:val="nil"/>
              <w:left w:val="nil"/>
              <w:bottom w:val="nil"/>
              <w:right w:val="nil"/>
            </w:tcBorders>
            <w:shd w:val="clear" w:color="auto" w:fill="auto"/>
            <w:noWrap/>
            <w:vAlign w:val="center"/>
            <w:hideMark/>
          </w:tcPr>
          <w:p w14:paraId="5347DF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5.36E-05</w:t>
            </w:r>
          </w:p>
        </w:tc>
        <w:tc>
          <w:tcPr>
            <w:tcW w:w="216" w:type="pct"/>
            <w:tcBorders>
              <w:top w:val="nil"/>
              <w:left w:val="nil"/>
              <w:bottom w:val="nil"/>
              <w:right w:val="nil"/>
            </w:tcBorders>
            <w:shd w:val="clear" w:color="auto" w:fill="auto"/>
            <w:noWrap/>
            <w:vAlign w:val="center"/>
            <w:hideMark/>
          </w:tcPr>
          <w:p w14:paraId="074C4BE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1.29E-05</w:t>
            </w:r>
          </w:p>
        </w:tc>
        <w:tc>
          <w:tcPr>
            <w:tcW w:w="251" w:type="pct"/>
            <w:tcBorders>
              <w:top w:val="nil"/>
              <w:left w:val="nil"/>
              <w:bottom w:val="nil"/>
              <w:right w:val="single" w:sz="8" w:space="0" w:color="auto"/>
            </w:tcBorders>
            <w:shd w:val="clear" w:color="auto" w:fill="auto"/>
            <w:noWrap/>
            <w:vAlign w:val="center"/>
            <w:hideMark/>
          </w:tcPr>
          <w:p w14:paraId="1509AD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3.52E-04</w:t>
            </w:r>
          </w:p>
        </w:tc>
        <w:tc>
          <w:tcPr>
            <w:tcW w:w="216" w:type="pct"/>
            <w:tcBorders>
              <w:top w:val="nil"/>
              <w:left w:val="nil"/>
              <w:bottom w:val="nil"/>
              <w:right w:val="nil"/>
            </w:tcBorders>
            <w:shd w:val="clear" w:color="auto" w:fill="auto"/>
            <w:noWrap/>
            <w:vAlign w:val="center"/>
            <w:hideMark/>
          </w:tcPr>
          <w:p w14:paraId="2F4BF88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0.045</w:t>
            </w:r>
          </w:p>
        </w:tc>
        <w:tc>
          <w:tcPr>
            <w:tcW w:w="216" w:type="pct"/>
            <w:tcBorders>
              <w:top w:val="nil"/>
              <w:left w:val="nil"/>
              <w:bottom w:val="nil"/>
              <w:right w:val="nil"/>
            </w:tcBorders>
            <w:shd w:val="clear" w:color="auto" w:fill="auto"/>
            <w:noWrap/>
            <w:vAlign w:val="center"/>
            <w:hideMark/>
          </w:tcPr>
          <w:p w14:paraId="108A8B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1168B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CEA3C7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11DBBB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B6BD9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993EB3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r>
      <w:tr w:rsidR="003D4B33" w:rsidRPr="00435B6B" w14:paraId="5C207332"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29E91C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20:1n-9</w:t>
            </w:r>
          </w:p>
        </w:tc>
        <w:tc>
          <w:tcPr>
            <w:tcW w:w="216" w:type="pct"/>
            <w:tcBorders>
              <w:top w:val="nil"/>
              <w:left w:val="nil"/>
              <w:bottom w:val="nil"/>
              <w:right w:val="nil"/>
            </w:tcBorders>
            <w:shd w:val="clear" w:color="auto" w:fill="auto"/>
            <w:noWrap/>
            <w:vAlign w:val="center"/>
            <w:hideMark/>
          </w:tcPr>
          <w:p w14:paraId="6EE6C5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1.27E-03</w:t>
            </w:r>
          </w:p>
        </w:tc>
        <w:tc>
          <w:tcPr>
            <w:tcW w:w="216" w:type="pct"/>
            <w:tcBorders>
              <w:top w:val="nil"/>
              <w:left w:val="nil"/>
              <w:bottom w:val="nil"/>
              <w:right w:val="nil"/>
            </w:tcBorders>
            <w:shd w:val="clear" w:color="auto" w:fill="auto"/>
            <w:noWrap/>
            <w:vAlign w:val="center"/>
            <w:hideMark/>
          </w:tcPr>
          <w:p w14:paraId="2627BC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3.91E-03</w:t>
            </w:r>
          </w:p>
        </w:tc>
        <w:tc>
          <w:tcPr>
            <w:tcW w:w="216" w:type="pct"/>
            <w:tcBorders>
              <w:top w:val="nil"/>
              <w:left w:val="nil"/>
              <w:bottom w:val="nil"/>
              <w:right w:val="nil"/>
            </w:tcBorders>
            <w:shd w:val="clear" w:color="auto" w:fill="auto"/>
            <w:noWrap/>
            <w:vAlign w:val="center"/>
            <w:hideMark/>
          </w:tcPr>
          <w:p w14:paraId="5D82A9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1.63E-04</w:t>
            </w:r>
          </w:p>
        </w:tc>
        <w:tc>
          <w:tcPr>
            <w:tcW w:w="216" w:type="pct"/>
            <w:tcBorders>
              <w:top w:val="nil"/>
              <w:left w:val="nil"/>
              <w:bottom w:val="nil"/>
              <w:right w:val="nil"/>
            </w:tcBorders>
            <w:shd w:val="clear" w:color="auto" w:fill="auto"/>
            <w:noWrap/>
            <w:vAlign w:val="center"/>
            <w:hideMark/>
          </w:tcPr>
          <w:p w14:paraId="78AA10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2F3622E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8.11E-04</w:t>
            </w:r>
          </w:p>
        </w:tc>
        <w:tc>
          <w:tcPr>
            <w:tcW w:w="216" w:type="pct"/>
            <w:tcBorders>
              <w:top w:val="nil"/>
              <w:left w:val="nil"/>
              <w:bottom w:val="nil"/>
              <w:right w:val="nil"/>
            </w:tcBorders>
            <w:shd w:val="clear" w:color="auto" w:fill="auto"/>
            <w:noWrap/>
            <w:vAlign w:val="center"/>
            <w:hideMark/>
          </w:tcPr>
          <w:p w14:paraId="4AE4E41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51" w:type="pct"/>
            <w:tcBorders>
              <w:top w:val="nil"/>
              <w:left w:val="nil"/>
              <w:bottom w:val="nil"/>
              <w:right w:val="single" w:sz="8" w:space="0" w:color="auto"/>
            </w:tcBorders>
            <w:shd w:val="clear" w:color="auto" w:fill="auto"/>
            <w:noWrap/>
            <w:vAlign w:val="center"/>
            <w:hideMark/>
          </w:tcPr>
          <w:p w14:paraId="4A0EEB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39686B0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1.16E-03</w:t>
            </w:r>
          </w:p>
        </w:tc>
        <w:tc>
          <w:tcPr>
            <w:tcW w:w="216" w:type="pct"/>
            <w:tcBorders>
              <w:top w:val="nil"/>
              <w:left w:val="nil"/>
              <w:bottom w:val="nil"/>
              <w:right w:val="nil"/>
            </w:tcBorders>
            <w:shd w:val="clear" w:color="auto" w:fill="auto"/>
            <w:noWrap/>
            <w:vAlign w:val="center"/>
            <w:hideMark/>
          </w:tcPr>
          <w:p w14:paraId="75DE213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1.87E-03</w:t>
            </w:r>
          </w:p>
        </w:tc>
        <w:tc>
          <w:tcPr>
            <w:tcW w:w="216" w:type="pct"/>
            <w:tcBorders>
              <w:top w:val="nil"/>
              <w:left w:val="nil"/>
              <w:bottom w:val="nil"/>
              <w:right w:val="nil"/>
            </w:tcBorders>
            <w:shd w:val="clear" w:color="auto" w:fill="auto"/>
            <w:noWrap/>
            <w:vAlign w:val="center"/>
            <w:hideMark/>
          </w:tcPr>
          <w:p w14:paraId="65AD0D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6.76E-04</w:t>
            </w:r>
          </w:p>
        </w:tc>
        <w:tc>
          <w:tcPr>
            <w:tcW w:w="216" w:type="pct"/>
            <w:tcBorders>
              <w:top w:val="nil"/>
              <w:left w:val="nil"/>
              <w:bottom w:val="nil"/>
              <w:right w:val="nil"/>
            </w:tcBorders>
            <w:shd w:val="clear" w:color="auto" w:fill="auto"/>
            <w:noWrap/>
            <w:vAlign w:val="center"/>
            <w:hideMark/>
          </w:tcPr>
          <w:p w14:paraId="3AF09A7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3B621A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2.36E-03</w:t>
            </w:r>
          </w:p>
        </w:tc>
        <w:tc>
          <w:tcPr>
            <w:tcW w:w="216" w:type="pct"/>
            <w:tcBorders>
              <w:top w:val="nil"/>
              <w:left w:val="nil"/>
              <w:bottom w:val="nil"/>
              <w:right w:val="nil"/>
            </w:tcBorders>
            <w:shd w:val="clear" w:color="auto" w:fill="auto"/>
            <w:noWrap/>
            <w:vAlign w:val="center"/>
            <w:hideMark/>
          </w:tcPr>
          <w:p w14:paraId="3D910A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51" w:type="pct"/>
            <w:tcBorders>
              <w:top w:val="nil"/>
              <w:left w:val="nil"/>
              <w:bottom w:val="nil"/>
              <w:right w:val="single" w:sz="8" w:space="0" w:color="auto"/>
            </w:tcBorders>
            <w:shd w:val="clear" w:color="auto" w:fill="auto"/>
            <w:noWrap/>
            <w:vAlign w:val="center"/>
            <w:hideMark/>
          </w:tcPr>
          <w:p w14:paraId="003E58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0.05</w:t>
            </w:r>
          </w:p>
        </w:tc>
        <w:tc>
          <w:tcPr>
            <w:tcW w:w="216" w:type="pct"/>
            <w:tcBorders>
              <w:top w:val="nil"/>
              <w:left w:val="nil"/>
              <w:bottom w:val="nil"/>
              <w:right w:val="nil"/>
            </w:tcBorders>
            <w:shd w:val="clear" w:color="auto" w:fill="auto"/>
            <w:noWrap/>
            <w:vAlign w:val="center"/>
            <w:hideMark/>
          </w:tcPr>
          <w:p w14:paraId="72E633C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45CE4D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C3A6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ED973F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743D2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FEABDC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B7FAD1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B72F01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3F01A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20:1n-7</w:t>
            </w:r>
          </w:p>
        </w:tc>
        <w:tc>
          <w:tcPr>
            <w:tcW w:w="216" w:type="pct"/>
            <w:tcBorders>
              <w:top w:val="nil"/>
              <w:left w:val="nil"/>
              <w:bottom w:val="nil"/>
              <w:right w:val="nil"/>
            </w:tcBorders>
            <w:shd w:val="clear" w:color="auto" w:fill="auto"/>
            <w:noWrap/>
            <w:vAlign w:val="center"/>
            <w:hideMark/>
          </w:tcPr>
          <w:p w14:paraId="0D2A435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296528A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8D591A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412D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38AAAE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CBD57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BC8CC7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315988D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E45B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D9C05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7AD4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43950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C12E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F28C43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FD621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0.047</w:t>
            </w:r>
          </w:p>
        </w:tc>
        <w:tc>
          <w:tcPr>
            <w:tcW w:w="216" w:type="pct"/>
            <w:tcBorders>
              <w:top w:val="nil"/>
              <w:left w:val="nil"/>
              <w:bottom w:val="nil"/>
              <w:right w:val="nil"/>
            </w:tcBorders>
            <w:shd w:val="clear" w:color="auto" w:fill="auto"/>
            <w:noWrap/>
            <w:vAlign w:val="center"/>
            <w:hideMark/>
          </w:tcPr>
          <w:p w14:paraId="38A968A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6205CA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29057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843B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9EF08F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236CD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0C7F9D39"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3372608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20:1 NMID</w:t>
            </w:r>
          </w:p>
        </w:tc>
        <w:tc>
          <w:tcPr>
            <w:tcW w:w="216" w:type="pct"/>
            <w:tcBorders>
              <w:top w:val="nil"/>
              <w:left w:val="nil"/>
              <w:bottom w:val="nil"/>
              <w:right w:val="nil"/>
            </w:tcBorders>
            <w:shd w:val="clear" w:color="auto" w:fill="auto"/>
            <w:noWrap/>
            <w:vAlign w:val="center"/>
            <w:hideMark/>
          </w:tcPr>
          <w:p w14:paraId="45ECF1E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4.47E-04</w:t>
            </w:r>
          </w:p>
        </w:tc>
        <w:tc>
          <w:tcPr>
            <w:tcW w:w="216" w:type="pct"/>
            <w:tcBorders>
              <w:top w:val="nil"/>
              <w:left w:val="nil"/>
              <w:bottom w:val="nil"/>
              <w:right w:val="nil"/>
            </w:tcBorders>
            <w:shd w:val="clear" w:color="auto" w:fill="auto"/>
            <w:noWrap/>
            <w:vAlign w:val="center"/>
            <w:hideMark/>
          </w:tcPr>
          <w:p w14:paraId="2E0A12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537D26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5.99E-04</w:t>
            </w:r>
          </w:p>
        </w:tc>
        <w:tc>
          <w:tcPr>
            <w:tcW w:w="216" w:type="pct"/>
            <w:tcBorders>
              <w:top w:val="nil"/>
              <w:left w:val="nil"/>
              <w:bottom w:val="nil"/>
              <w:right w:val="nil"/>
            </w:tcBorders>
            <w:shd w:val="clear" w:color="auto" w:fill="auto"/>
            <w:noWrap/>
            <w:vAlign w:val="center"/>
            <w:hideMark/>
          </w:tcPr>
          <w:p w14:paraId="032ED7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3704AD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6.62E-04</w:t>
            </w:r>
          </w:p>
        </w:tc>
        <w:tc>
          <w:tcPr>
            <w:tcW w:w="216" w:type="pct"/>
            <w:tcBorders>
              <w:top w:val="nil"/>
              <w:left w:val="nil"/>
              <w:bottom w:val="nil"/>
              <w:right w:val="nil"/>
            </w:tcBorders>
            <w:shd w:val="clear" w:color="auto" w:fill="auto"/>
            <w:noWrap/>
            <w:vAlign w:val="center"/>
            <w:hideMark/>
          </w:tcPr>
          <w:p w14:paraId="4992659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1.60E-04</w:t>
            </w:r>
          </w:p>
        </w:tc>
        <w:tc>
          <w:tcPr>
            <w:tcW w:w="251" w:type="pct"/>
            <w:tcBorders>
              <w:top w:val="nil"/>
              <w:left w:val="nil"/>
              <w:bottom w:val="nil"/>
              <w:right w:val="single" w:sz="8" w:space="0" w:color="auto"/>
            </w:tcBorders>
            <w:shd w:val="clear" w:color="auto" w:fill="auto"/>
            <w:noWrap/>
            <w:vAlign w:val="center"/>
            <w:hideMark/>
          </w:tcPr>
          <w:p w14:paraId="104F93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5.76E-04</w:t>
            </w:r>
          </w:p>
        </w:tc>
        <w:tc>
          <w:tcPr>
            <w:tcW w:w="216" w:type="pct"/>
            <w:tcBorders>
              <w:top w:val="nil"/>
              <w:left w:val="nil"/>
              <w:bottom w:val="nil"/>
              <w:right w:val="nil"/>
            </w:tcBorders>
            <w:shd w:val="clear" w:color="auto" w:fill="auto"/>
            <w:noWrap/>
            <w:vAlign w:val="center"/>
            <w:hideMark/>
          </w:tcPr>
          <w:p w14:paraId="57DB03F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8352DB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B26DA4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8FF2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5A51D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90172E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7A2CA2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33500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A9300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49673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D0A6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19FFC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B0563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4E8A7F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78015CCE"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6BF50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22:1n-11</w:t>
            </w:r>
          </w:p>
        </w:tc>
        <w:tc>
          <w:tcPr>
            <w:tcW w:w="216" w:type="pct"/>
            <w:tcBorders>
              <w:top w:val="nil"/>
              <w:left w:val="nil"/>
              <w:bottom w:val="nil"/>
              <w:right w:val="nil"/>
            </w:tcBorders>
            <w:shd w:val="clear" w:color="auto" w:fill="auto"/>
            <w:noWrap/>
            <w:vAlign w:val="center"/>
            <w:hideMark/>
          </w:tcPr>
          <w:p w14:paraId="449056E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7063E9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440411E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2EB3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99D19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1AD893D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1ACB5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BB451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005664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4.88E-03</w:t>
            </w:r>
          </w:p>
        </w:tc>
        <w:tc>
          <w:tcPr>
            <w:tcW w:w="216" w:type="pct"/>
            <w:tcBorders>
              <w:top w:val="nil"/>
              <w:left w:val="nil"/>
              <w:bottom w:val="nil"/>
              <w:right w:val="nil"/>
            </w:tcBorders>
            <w:shd w:val="clear" w:color="auto" w:fill="auto"/>
            <w:noWrap/>
            <w:vAlign w:val="center"/>
            <w:hideMark/>
          </w:tcPr>
          <w:p w14:paraId="0D5BE32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4.37E-03</w:t>
            </w:r>
          </w:p>
        </w:tc>
        <w:tc>
          <w:tcPr>
            <w:tcW w:w="216" w:type="pct"/>
            <w:tcBorders>
              <w:top w:val="nil"/>
              <w:left w:val="nil"/>
              <w:bottom w:val="nil"/>
              <w:right w:val="nil"/>
            </w:tcBorders>
            <w:shd w:val="clear" w:color="auto" w:fill="auto"/>
            <w:noWrap/>
            <w:vAlign w:val="center"/>
            <w:hideMark/>
          </w:tcPr>
          <w:p w14:paraId="1926A4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4.90E-02</w:t>
            </w:r>
          </w:p>
        </w:tc>
        <w:tc>
          <w:tcPr>
            <w:tcW w:w="216" w:type="pct"/>
            <w:tcBorders>
              <w:top w:val="nil"/>
              <w:left w:val="nil"/>
              <w:bottom w:val="nil"/>
              <w:right w:val="nil"/>
            </w:tcBorders>
            <w:shd w:val="clear" w:color="auto" w:fill="auto"/>
            <w:noWrap/>
            <w:vAlign w:val="center"/>
            <w:hideMark/>
          </w:tcPr>
          <w:p w14:paraId="7A89DC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5D3522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702A7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F258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4B35CDD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8.77E-03</w:t>
            </w:r>
          </w:p>
        </w:tc>
        <w:tc>
          <w:tcPr>
            <w:tcW w:w="216" w:type="pct"/>
            <w:tcBorders>
              <w:top w:val="nil"/>
              <w:left w:val="nil"/>
              <w:bottom w:val="nil"/>
              <w:right w:val="nil"/>
            </w:tcBorders>
            <w:shd w:val="clear" w:color="auto" w:fill="auto"/>
            <w:noWrap/>
            <w:vAlign w:val="center"/>
            <w:hideMark/>
          </w:tcPr>
          <w:p w14:paraId="6A2799E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C4763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D203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8DDDF8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2D532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D314EA6"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752485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22:1n-9cis</w:t>
            </w:r>
          </w:p>
        </w:tc>
        <w:tc>
          <w:tcPr>
            <w:tcW w:w="216" w:type="pct"/>
            <w:tcBorders>
              <w:top w:val="nil"/>
              <w:left w:val="nil"/>
              <w:bottom w:val="nil"/>
              <w:right w:val="nil"/>
            </w:tcBorders>
            <w:shd w:val="clear" w:color="auto" w:fill="auto"/>
            <w:noWrap/>
            <w:vAlign w:val="center"/>
            <w:hideMark/>
          </w:tcPr>
          <w:p w14:paraId="5AAE15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369D58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E31A5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A29EC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6B2340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81B99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4B8E59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44D8E2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5256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7CDC7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606AD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9EF76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29370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D3EBF6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417E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A3A0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4D9F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6E45D6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1E026D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F3FBC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B1F5C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41164F8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7A31F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22:1 NMID</w:t>
            </w:r>
          </w:p>
        </w:tc>
        <w:tc>
          <w:tcPr>
            <w:tcW w:w="216" w:type="pct"/>
            <w:tcBorders>
              <w:top w:val="nil"/>
              <w:left w:val="nil"/>
              <w:bottom w:val="nil"/>
              <w:right w:val="nil"/>
            </w:tcBorders>
            <w:shd w:val="clear" w:color="auto" w:fill="auto"/>
            <w:noWrap/>
            <w:vAlign w:val="center"/>
            <w:hideMark/>
          </w:tcPr>
          <w:p w14:paraId="67EB338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1.93E-10</w:t>
            </w:r>
          </w:p>
        </w:tc>
        <w:tc>
          <w:tcPr>
            <w:tcW w:w="216" w:type="pct"/>
            <w:tcBorders>
              <w:top w:val="nil"/>
              <w:left w:val="nil"/>
              <w:bottom w:val="nil"/>
              <w:right w:val="nil"/>
            </w:tcBorders>
            <w:shd w:val="clear" w:color="auto" w:fill="auto"/>
            <w:noWrap/>
            <w:vAlign w:val="center"/>
            <w:hideMark/>
          </w:tcPr>
          <w:p w14:paraId="45249A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1.23e- 8</w:t>
            </w:r>
          </w:p>
        </w:tc>
        <w:tc>
          <w:tcPr>
            <w:tcW w:w="216" w:type="pct"/>
            <w:tcBorders>
              <w:top w:val="nil"/>
              <w:left w:val="nil"/>
              <w:bottom w:val="nil"/>
              <w:right w:val="nil"/>
            </w:tcBorders>
            <w:shd w:val="clear" w:color="auto" w:fill="auto"/>
            <w:noWrap/>
            <w:vAlign w:val="center"/>
            <w:hideMark/>
          </w:tcPr>
          <w:p w14:paraId="2857A07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2.04E-10</w:t>
            </w:r>
          </w:p>
        </w:tc>
        <w:tc>
          <w:tcPr>
            <w:tcW w:w="216" w:type="pct"/>
            <w:tcBorders>
              <w:top w:val="nil"/>
              <w:left w:val="nil"/>
              <w:bottom w:val="nil"/>
              <w:right w:val="nil"/>
            </w:tcBorders>
            <w:shd w:val="clear" w:color="auto" w:fill="auto"/>
            <w:noWrap/>
            <w:vAlign w:val="center"/>
            <w:hideMark/>
          </w:tcPr>
          <w:p w14:paraId="44B36A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8.07e- 9</w:t>
            </w:r>
          </w:p>
        </w:tc>
        <w:tc>
          <w:tcPr>
            <w:tcW w:w="216" w:type="pct"/>
            <w:tcBorders>
              <w:top w:val="nil"/>
              <w:left w:val="nil"/>
              <w:bottom w:val="nil"/>
              <w:right w:val="nil"/>
            </w:tcBorders>
            <w:shd w:val="clear" w:color="auto" w:fill="auto"/>
            <w:noWrap/>
            <w:vAlign w:val="center"/>
            <w:hideMark/>
          </w:tcPr>
          <w:p w14:paraId="3212C4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4.09E-10</w:t>
            </w:r>
          </w:p>
        </w:tc>
        <w:tc>
          <w:tcPr>
            <w:tcW w:w="216" w:type="pct"/>
            <w:tcBorders>
              <w:top w:val="nil"/>
              <w:left w:val="nil"/>
              <w:bottom w:val="nil"/>
              <w:right w:val="nil"/>
            </w:tcBorders>
            <w:shd w:val="clear" w:color="auto" w:fill="auto"/>
            <w:noWrap/>
            <w:vAlign w:val="center"/>
            <w:hideMark/>
          </w:tcPr>
          <w:p w14:paraId="150490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1.13E-10</w:t>
            </w:r>
          </w:p>
        </w:tc>
        <w:tc>
          <w:tcPr>
            <w:tcW w:w="251" w:type="pct"/>
            <w:tcBorders>
              <w:top w:val="nil"/>
              <w:left w:val="nil"/>
              <w:bottom w:val="nil"/>
              <w:right w:val="single" w:sz="8" w:space="0" w:color="auto"/>
            </w:tcBorders>
            <w:shd w:val="clear" w:color="auto" w:fill="auto"/>
            <w:noWrap/>
            <w:vAlign w:val="center"/>
            <w:hideMark/>
          </w:tcPr>
          <w:p w14:paraId="6B24D77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5.43E-10</w:t>
            </w:r>
          </w:p>
        </w:tc>
        <w:tc>
          <w:tcPr>
            <w:tcW w:w="216" w:type="pct"/>
            <w:tcBorders>
              <w:top w:val="nil"/>
              <w:left w:val="nil"/>
              <w:bottom w:val="nil"/>
              <w:right w:val="nil"/>
            </w:tcBorders>
            <w:shd w:val="clear" w:color="auto" w:fill="auto"/>
            <w:noWrap/>
            <w:vAlign w:val="center"/>
            <w:hideMark/>
          </w:tcPr>
          <w:p w14:paraId="7F6A1F4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3FEC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071D2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9C1F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79A5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C8F0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5AF9B5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E826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6.94E-08</w:t>
            </w:r>
          </w:p>
        </w:tc>
        <w:tc>
          <w:tcPr>
            <w:tcW w:w="216" w:type="pct"/>
            <w:tcBorders>
              <w:top w:val="nil"/>
              <w:left w:val="nil"/>
              <w:bottom w:val="nil"/>
              <w:right w:val="nil"/>
            </w:tcBorders>
            <w:shd w:val="clear" w:color="auto" w:fill="auto"/>
            <w:noWrap/>
            <w:vAlign w:val="center"/>
            <w:hideMark/>
          </w:tcPr>
          <w:p w14:paraId="31080C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2.80E-06</w:t>
            </w:r>
          </w:p>
        </w:tc>
        <w:tc>
          <w:tcPr>
            <w:tcW w:w="216" w:type="pct"/>
            <w:tcBorders>
              <w:top w:val="nil"/>
              <w:left w:val="nil"/>
              <w:bottom w:val="nil"/>
              <w:right w:val="nil"/>
            </w:tcBorders>
            <w:shd w:val="clear" w:color="auto" w:fill="auto"/>
            <w:noWrap/>
            <w:vAlign w:val="center"/>
            <w:hideMark/>
          </w:tcPr>
          <w:p w14:paraId="1CDA0CE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1.25E-06</w:t>
            </w:r>
          </w:p>
        </w:tc>
        <w:tc>
          <w:tcPr>
            <w:tcW w:w="216" w:type="pct"/>
            <w:tcBorders>
              <w:top w:val="nil"/>
              <w:left w:val="nil"/>
              <w:bottom w:val="nil"/>
              <w:right w:val="nil"/>
            </w:tcBorders>
            <w:shd w:val="clear" w:color="auto" w:fill="auto"/>
            <w:noWrap/>
            <w:vAlign w:val="center"/>
            <w:hideMark/>
          </w:tcPr>
          <w:p w14:paraId="742ECB0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8.71E-08</w:t>
            </w:r>
          </w:p>
        </w:tc>
        <w:tc>
          <w:tcPr>
            <w:tcW w:w="216" w:type="pct"/>
            <w:tcBorders>
              <w:top w:val="nil"/>
              <w:left w:val="nil"/>
              <w:bottom w:val="nil"/>
              <w:right w:val="nil"/>
            </w:tcBorders>
            <w:shd w:val="clear" w:color="auto" w:fill="auto"/>
            <w:noWrap/>
            <w:vAlign w:val="center"/>
            <w:hideMark/>
          </w:tcPr>
          <w:p w14:paraId="422F60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1.13E-06</w:t>
            </w:r>
          </w:p>
        </w:tc>
        <w:tc>
          <w:tcPr>
            <w:tcW w:w="216" w:type="pct"/>
            <w:tcBorders>
              <w:top w:val="nil"/>
              <w:left w:val="nil"/>
              <w:bottom w:val="nil"/>
              <w:right w:val="nil"/>
            </w:tcBorders>
            <w:shd w:val="clear" w:color="auto" w:fill="auto"/>
            <w:noWrap/>
            <w:vAlign w:val="center"/>
            <w:hideMark/>
          </w:tcPr>
          <w:p w14:paraId="2E910989" w14:textId="77777777" w:rsidR="003D4B33" w:rsidRPr="009819CE" w:rsidRDefault="003D4B33" w:rsidP="007F031B">
            <w:pPr>
              <w:spacing w:after="0" w:line="240" w:lineRule="auto"/>
              <w:jc w:val="right"/>
              <w:rPr>
                <w:rFonts w:cstheme="minorBidi"/>
                <w:sz w:val="14"/>
                <w:szCs w:val="14"/>
              </w:rPr>
            </w:pPr>
            <w:r w:rsidRPr="009819CE">
              <w:rPr>
                <w:rFonts w:cstheme="minorBidi"/>
                <w:sz w:val="14"/>
                <w:szCs w:val="14"/>
              </w:rPr>
              <w:t>4.71E-07</w:t>
            </w:r>
          </w:p>
        </w:tc>
        <w:tc>
          <w:tcPr>
            <w:tcW w:w="251" w:type="pct"/>
            <w:tcBorders>
              <w:top w:val="nil"/>
              <w:left w:val="nil"/>
              <w:bottom w:val="nil"/>
              <w:right w:val="single" w:sz="8" w:space="0" w:color="auto"/>
            </w:tcBorders>
            <w:shd w:val="clear" w:color="auto" w:fill="auto"/>
            <w:noWrap/>
            <w:vAlign w:val="center"/>
            <w:hideMark/>
          </w:tcPr>
          <w:p w14:paraId="0D278B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4.13E-08</w:t>
            </w:r>
          </w:p>
        </w:tc>
      </w:tr>
      <w:tr w:rsidR="003D4B33" w:rsidRPr="00435B6B" w14:paraId="0113468F"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FF68F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24:1n-9</w:t>
            </w:r>
          </w:p>
        </w:tc>
        <w:tc>
          <w:tcPr>
            <w:tcW w:w="216" w:type="pct"/>
            <w:tcBorders>
              <w:top w:val="nil"/>
              <w:left w:val="nil"/>
              <w:bottom w:val="nil"/>
              <w:right w:val="nil"/>
            </w:tcBorders>
            <w:shd w:val="clear" w:color="auto" w:fill="auto"/>
            <w:noWrap/>
            <w:vAlign w:val="center"/>
            <w:hideMark/>
          </w:tcPr>
          <w:p w14:paraId="00E302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4.87E-08</w:t>
            </w:r>
          </w:p>
        </w:tc>
        <w:tc>
          <w:tcPr>
            <w:tcW w:w="216" w:type="pct"/>
            <w:tcBorders>
              <w:top w:val="nil"/>
              <w:left w:val="nil"/>
              <w:bottom w:val="nil"/>
              <w:right w:val="nil"/>
            </w:tcBorders>
            <w:shd w:val="clear" w:color="auto" w:fill="auto"/>
            <w:noWrap/>
            <w:vAlign w:val="center"/>
            <w:hideMark/>
          </w:tcPr>
          <w:p w14:paraId="1FE906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4.52E-08</w:t>
            </w:r>
          </w:p>
        </w:tc>
        <w:tc>
          <w:tcPr>
            <w:tcW w:w="216" w:type="pct"/>
            <w:tcBorders>
              <w:top w:val="nil"/>
              <w:left w:val="nil"/>
              <w:bottom w:val="nil"/>
              <w:right w:val="nil"/>
            </w:tcBorders>
            <w:shd w:val="clear" w:color="auto" w:fill="auto"/>
            <w:noWrap/>
            <w:vAlign w:val="center"/>
            <w:hideMark/>
          </w:tcPr>
          <w:p w14:paraId="49A65E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6.26E-08</w:t>
            </w:r>
          </w:p>
        </w:tc>
        <w:tc>
          <w:tcPr>
            <w:tcW w:w="216" w:type="pct"/>
            <w:tcBorders>
              <w:top w:val="nil"/>
              <w:left w:val="nil"/>
              <w:bottom w:val="nil"/>
              <w:right w:val="nil"/>
            </w:tcBorders>
            <w:shd w:val="clear" w:color="auto" w:fill="auto"/>
            <w:noWrap/>
            <w:vAlign w:val="center"/>
            <w:hideMark/>
          </w:tcPr>
          <w:p w14:paraId="0E8720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1.12E-07</w:t>
            </w:r>
          </w:p>
        </w:tc>
        <w:tc>
          <w:tcPr>
            <w:tcW w:w="216" w:type="pct"/>
            <w:tcBorders>
              <w:top w:val="nil"/>
              <w:left w:val="nil"/>
              <w:bottom w:val="nil"/>
              <w:right w:val="nil"/>
            </w:tcBorders>
            <w:shd w:val="clear" w:color="auto" w:fill="auto"/>
            <w:noWrap/>
            <w:vAlign w:val="center"/>
            <w:hideMark/>
          </w:tcPr>
          <w:p w14:paraId="70FAAB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6.29E-09</w:t>
            </w:r>
          </w:p>
        </w:tc>
        <w:tc>
          <w:tcPr>
            <w:tcW w:w="216" w:type="pct"/>
            <w:tcBorders>
              <w:top w:val="nil"/>
              <w:left w:val="nil"/>
              <w:bottom w:val="nil"/>
              <w:right w:val="nil"/>
            </w:tcBorders>
            <w:shd w:val="clear" w:color="auto" w:fill="auto"/>
            <w:noWrap/>
            <w:vAlign w:val="center"/>
            <w:hideMark/>
          </w:tcPr>
          <w:p w14:paraId="5B8D96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9.58E-08</w:t>
            </w:r>
          </w:p>
        </w:tc>
        <w:tc>
          <w:tcPr>
            <w:tcW w:w="251" w:type="pct"/>
            <w:tcBorders>
              <w:top w:val="nil"/>
              <w:left w:val="nil"/>
              <w:bottom w:val="nil"/>
              <w:right w:val="single" w:sz="8" w:space="0" w:color="auto"/>
            </w:tcBorders>
            <w:shd w:val="clear" w:color="auto" w:fill="auto"/>
            <w:noWrap/>
            <w:vAlign w:val="center"/>
            <w:hideMark/>
          </w:tcPr>
          <w:p w14:paraId="61D7A79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1.05E-05</w:t>
            </w:r>
          </w:p>
        </w:tc>
        <w:tc>
          <w:tcPr>
            <w:tcW w:w="216" w:type="pct"/>
            <w:tcBorders>
              <w:top w:val="nil"/>
              <w:left w:val="nil"/>
              <w:bottom w:val="nil"/>
              <w:right w:val="nil"/>
            </w:tcBorders>
            <w:shd w:val="clear" w:color="auto" w:fill="auto"/>
            <w:noWrap/>
            <w:vAlign w:val="center"/>
            <w:hideMark/>
          </w:tcPr>
          <w:p w14:paraId="2944A8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00A7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624605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C9085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F54E96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8BDA2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B3C148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AEC788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CD7B1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B89E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9707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F018D0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8BA85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DC531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16E50BD2" w14:textId="77777777" w:rsidTr="007F031B">
        <w:trPr>
          <w:trHeight w:val="555"/>
        </w:trPr>
        <w:tc>
          <w:tcPr>
            <w:tcW w:w="365"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5B869651"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total monounsaturated</w:t>
            </w:r>
          </w:p>
        </w:tc>
        <w:tc>
          <w:tcPr>
            <w:tcW w:w="216" w:type="pct"/>
            <w:tcBorders>
              <w:top w:val="single" w:sz="4" w:space="0" w:color="auto"/>
              <w:left w:val="nil"/>
              <w:bottom w:val="single" w:sz="8" w:space="0" w:color="auto"/>
              <w:right w:val="nil"/>
            </w:tcBorders>
            <w:shd w:val="clear" w:color="auto" w:fill="auto"/>
            <w:noWrap/>
            <w:vAlign w:val="center"/>
            <w:hideMark/>
          </w:tcPr>
          <w:p w14:paraId="55418E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EFFBBD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3D6CF9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2E6F0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10B4C3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1B65F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C7CB5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675D5D0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3C600E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5E1C617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1D43F7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69390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612915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315DB0A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24E19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93098F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1869505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1B3AEE5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ED590C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220566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DA03A2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1F6473D"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C033C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18:2n-6</w:t>
            </w:r>
          </w:p>
        </w:tc>
        <w:tc>
          <w:tcPr>
            <w:tcW w:w="216" w:type="pct"/>
            <w:tcBorders>
              <w:top w:val="nil"/>
              <w:left w:val="nil"/>
              <w:bottom w:val="nil"/>
              <w:right w:val="nil"/>
            </w:tcBorders>
            <w:shd w:val="clear" w:color="auto" w:fill="auto"/>
            <w:noWrap/>
            <w:vAlign w:val="center"/>
            <w:hideMark/>
          </w:tcPr>
          <w:p w14:paraId="533894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3C9646B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C24C1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274E8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53FCB04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2002FA0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D3E59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EBFD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77386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0AE39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CA27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542EB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91E5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81855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88B9B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ECE8FC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6FB1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EE93F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3AEAC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F20ECF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D3053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8D6D77E"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017E79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18:3n-6</w:t>
            </w:r>
          </w:p>
        </w:tc>
        <w:tc>
          <w:tcPr>
            <w:tcW w:w="216" w:type="pct"/>
            <w:tcBorders>
              <w:top w:val="nil"/>
              <w:left w:val="nil"/>
              <w:bottom w:val="nil"/>
              <w:right w:val="nil"/>
            </w:tcBorders>
            <w:shd w:val="clear" w:color="auto" w:fill="auto"/>
            <w:noWrap/>
            <w:vAlign w:val="center"/>
            <w:hideMark/>
          </w:tcPr>
          <w:p w14:paraId="701BA1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1.27E-03</w:t>
            </w:r>
          </w:p>
        </w:tc>
        <w:tc>
          <w:tcPr>
            <w:tcW w:w="216" w:type="pct"/>
            <w:tcBorders>
              <w:top w:val="nil"/>
              <w:left w:val="nil"/>
              <w:bottom w:val="nil"/>
              <w:right w:val="nil"/>
            </w:tcBorders>
            <w:shd w:val="clear" w:color="auto" w:fill="auto"/>
            <w:noWrap/>
            <w:vAlign w:val="center"/>
            <w:hideMark/>
          </w:tcPr>
          <w:p w14:paraId="6F1F21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2.85E-03</w:t>
            </w:r>
          </w:p>
        </w:tc>
        <w:tc>
          <w:tcPr>
            <w:tcW w:w="216" w:type="pct"/>
            <w:tcBorders>
              <w:top w:val="nil"/>
              <w:left w:val="nil"/>
              <w:bottom w:val="nil"/>
              <w:right w:val="nil"/>
            </w:tcBorders>
            <w:shd w:val="clear" w:color="auto" w:fill="auto"/>
            <w:noWrap/>
            <w:vAlign w:val="center"/>
            <w:hideMark/>
          </w:tcPr>
          <w:p w14:paraId="184BFB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35F886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40F59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491AA2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3.44E-04</w:t>
            </w:r>
          </w:p>
        </w:tc>
        <w:tc>
          <w:tcPr>
            <w:tcW w:w="251" w:type="pct"/>
            <w:tcBorders>
              <w:top w:val="nil"/>
              <w:left w:val="nil"/>
              <w:bottom w:val="nil"/>
              <w:right w:val="single" w:sz="8" w:space="0" w:color="auto"/>
            </w:tcBorders>
            <w:shd w:val="clear" w:color="auto" w:fill="auto"/>
            <w:noWrap/>
            <w:vAlign w:val="center"/>
            <w:hideMark/>
          </w:tcPr>
          <w:p w14:paraId="1DD36A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AD853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5DC5EB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22A036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0D20C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370C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E0CD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A31EF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AC8F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F19640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C1EB1C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0975F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A25AF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2BFADB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E7926E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E280B9D"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2515D99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20:2n-6</w:t>
            </w:r>
          </w:p>
        </w:tc>
        <w:tc>
          <w:tcPr>
            <w:tcW w:w="216" w:type="pct"/>
            <w:tcBorders>
              <w:top w:val="nil"/>
              <w:left w:val="nil"/>
              <w:bottom w:val="nil"/>
              <w:right w:val="nil"/>
            </w:tcBorders>
            <w:shd w:val="clear" w:color="auto" w:fill="auto"/>
            <w:noWrap/>
            <w:vAlign w:val="center"/>
            <w:hideMark/>
          </w:tcPr>
          <w:p w14:paraId="524A118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5.73E-07</w:t>
            </w:r>
          </w:p>
        </w:tc>
        <w:tc>
          <w:tcPr>
            <w:tcW w:w="216" w:type="pct"/>
            <w:tcBorders>
              <w:top w:val="nil"/>
              <w:left w:val="nil"/>
              <w:bottom w:val="nil"/>
              <w:right w:val="nil"/>
            </w:tcBorders>
            <w:shd w:val="clear" w:color="auto" w:fill="auto"/>
            <w:noWrap/>
            <w:vAlign w:val="center"/>
            <w:hideMark/>
          </w:tcPr>
          <w:p w14:paraId="7E8F82C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1.62E-04</w:t>
            </w:r>
          </w:p>
        </w:tc>
        <w:tc>
          <w:tcPr>
            <w:tcW w:w="216" w:type="pct"/>
            <w:tcBorders>
              <w:top w:val="nil"/>
              <w:left w:val="nil"/>
              <w:bottom w:val="nil"/>
              <w:right w:val="nil"/>
            </w:tcBorders>
            <w:shd w:val="clear" w:color="auto" w:fill="auto"/>
            <w:noWrap/>
            <w:vAlign w:val="center"/>
            <w:hideMark/>
          </w:tcPr>
          <w:p w14:paraId="62989C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3.63E-06</w:t>
            </w:r>
          </w:p>
        </w:tc>
        <w:tc>
          <w:tcPr>
            <w:tcW w:w="216" w:type="pct"/>
            <w:tcBorders>
              <w:top w:val="nil"/>
              <w:left w:val="nil"/>
              <w:bottom w:val="nil"/>
              <w:right w:val="nil"/>
            </w:tcBorders>
            <w:shd w:val="clear" w:color="auto" w:fill="auto"/>
            <w:noWrap/>
            <w:vAlign w:val="center"/>
            <w:hideMark/>
          </w:tcPr>
          <w:p w14:paraId="13C356A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3.43E-04</w:t>
            </w:r>
          </w:p>
        </w:tc>
        <w:tc>
          <w:tcPr>
            <w:tcW w:w="216" w:type="pct"/>
            <w:tcBorders>
              <w:top w:val="nil"/>
              <w:left w:val="nil"/>
              <w:bottom w:val="nil"/>
              <w:right w:val="nil"/>
            </w:tcBorders>
            <w:shd w:val="clear" w:color="auto" w:fill="auto"/>
            <w:noWrap/>
            <w:vAlign w:val="center"/>
            <w:hideMark/>
          </w:tcPr>
          <w:p w14:paraId="47DF64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7.85E-06</w:t>
            </w:r>
          </w:p>
        </w:tc>
        <w:tc>
          <w:tcPr>
            <w:tcW w:w="216" w:type="pct"/>
            <w:tcBorders>
              <w:top w:val="nil"/>
              <w:left w:val="nil"/>
              <w:bottom w:val="nil"/>
              <w:right w:val="nil"/>
            </w:tcBorders>
            <w:shd w:val="clear" w:color="auto" w:fill="auto"/>
            <w:noWrap/>
            <w:vAlign w:val="center"/>
            <w:hideMark/>
          </w:tcPr>
          <w:p w14:paraId="602393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3.24E-07</w:t>
            </w:r>
          </w:p>
        </w:tc>
        <w:tc>
          <w:tcPr>
            <w:tcW w:w="251" w:type="pct"/>
            <w:tcBorders>
              <w:top w:val="nil"/>
              <w:left w:val="nil"/>
              <w:bottom w:val="nil"/>
              <w:right w:val="single" w:sz="8" w:space="0" w:color="auto"/>
            </w:tcBorders>
            <w:shd w:val="clear" w:color="auto" w:fill="auto"/>
            <w:noWrap/>
            <w:vAlign w:val="center"/>
            <w:hideMark/>
          </w:tcPr>
          <w:p w14:paraId="4FE840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7.59E-07</w:t>
            </w:r>
          </w:p>
        </w:tc>
        <w:tc>
          <w:tcPr>
            <w:tcW w:w="216" w:type="pct"/>
            <w:tcBorders>
              <w:top w:val="nil"/>
              <w:left w:val="nil"/>
              <w:bottom w:val="nil"/>
              <w:right w:val="nil"/>
            </w:tcBorders>
            <w:shd w:val="clear" w:color="auto" w:fill="auto"/>
            <w:noWrap/>
            <w:vAlign w:val="center"/>
            <w:hideMark/>
          </w:tcPr>
          <w:p w14:paraId="1BF41D1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7F0C4A5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0.05</w:t>
            </w:r>
          </w:p>
        </w:tc>
        <w:tc>
          <w:tcPr>
            <w:tcW w:w="216" w:type="pct"/>
            <w:tcBorders>
              <w:top w:val="nil"/>
              <w:left w:val="nil"/>
              <w:bottom w:val="nil"/>
              <w:right w:val="nil"/>
            </w:tcBorders>
            <w:shd w:val="clear" w:color="auto" w:fill="auto"/>
            <w:noWrap/>
            <w:vAlign w:val="center"/>
            <w:hideMark/>
          </w:tcPr>
          <w:p w14:paraId="158D407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66EF63C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8D4CD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66E4FD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51" w:type="pct"/>
            <w:tcBorders>
              <w:top w:val="nil"/>
              <w:left w:val="nil"/>
              <w:bottom w:val="nil"/>
              <w:right w:val="single" w:sz="8" w:space="0" w:color="auto"/>
            </w:tcBorders>
            <w:shd w:val="clear" w:color="auto" w:fill="auto"/>
            <w:noWrap/>
            <w:vAlign w:val="center"/>
            <w:hideMark/>
          </w:tcPr>
          <w:p w14:paraId="79E412D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3.32E-03</w:t>
            </w:r>
          </w:p>
        </w:tc>
        <w:tc>
          <w:tcPr>
            <w:tcW w:w="216" w:type="pct"/>
            <w:tcBorders>
              <w:top w:val="nil"/>
              <w:left w:val="nil"/>
              <w:bottom w:val="nil"/>
              <w:right w:val="nil"/>
            </w:tcBorders>
            <w:shd w:val="clear" w:color="auto" w:fill="auto"/>
            <w:noWrap/>
            <w:vAlign w:val="center"/>
            <w:hideMark/>
          </w:tcPr>
          <w:p w14:paraId="3DB4734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7.64E-06</w:t>
            </w:r>
          </w:p>
        </w:tc>
        <w:tc>
          <w:tcPr>
            <w:tcW w:w="216" w:type="pct"/>
            <w:tcBorders>
              <w:top w:val="nil"/>
              <w:left w:val="nil"/>
              <w:bottom w:val="nil"/>
              <w:right w:val="nil"/>
            </w:tcBorders>
            <w:shd w:val="clear" w:color="auto" w:fill="auto"/>
            <w:noWrap/>
            <w:vAlign w:val="center"/>
            <w:hideMark/>
          </w:tcPr>
          <w:p w14:paraId="4EB7B0F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5.26E-03</w:t>
            </w:r>
          </w:p>
        </w:tc>
        <w:tc>
          <w:tcPr>
            <w:tcW w:w="216" w:type="pct"/>
            <w:tcBorders>
              <w:top w:val="nil"/>
              <w:left w:val="nil"/>
              <w:bottom w:val="nil"/>
              <w:right w:val="nil"/>
            </w:tcBorders>
            <w:shd w:val="clear" w:color="auto" w:fill="auto"/>
            <w:noWrap/>
            <w:vAlign w:val="center"/>
            <w:hideMark/>
          </w:tcPr>
          <w:p w14:paraId="780D51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1.49E-03</w:t>
            </w:r>
          </w:p>
        </w:tc>
        <w:tc>
          <w:tcPr>
            <w:tcW w:w="216" w:type="pct"/>
            <w:tcBorders>
              <w:top w:val="nil"/>
              <w:left w:val="nil"/>
              <w:bottom w:val="nil"/>
              <w:right w:val="nil"/>
            </w:tcBorders>
            <w:shd w:val="clear" w:color="auto" w:fill="auto"/>
            <w:noWrap/>
            <w:vAlign w:val="center"/>
            <w:hideMark/>
          </w:tcPr>
          <w:p w14:paraId="31FD27F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2.71E-04</w:t>
            </w:r>
          </w:p>
        </w:tc>
        <w:tc>
          <w:tcPr>
            <w:tcW w:w="216" w:type="pct"/>
            <w:tcBorders>
              <w:top w:val="nil"/>
              <w:left w:val="nil"/>
              <w:bottom w:val="nil"/>
              <w:right w:val="nil"/>
            </w:tcBorders>
            <w:shd w:val="clear" w:color="auto" w:fill="auto"/>
            <w:noWrap/>
            <w:vAlign w:val="center"/>
            <w:hideMark/>
          </w:tcPr>
          <w:p w14:paraId="57F3280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4.31E-04</w:t>
            </w:r>
          </w:p>
        </w:tc>
        <w:tc>
          <w:tcPr>
            <w:tcW w:w="216" w:type="pct"/>
            <w:tcBorders>
              <w:top w:val="nil"/>
              <w:left w:val="nil"/>
              <w:bottom w:val="nil"/>
              <w:right w:val="nil"/>
            </w:tcBorders>
            <w:shd w:val="clear" w:color="auto" w:fill="auto"/>
            <w:noWrap/>
            <w:vAlign w:val="center"/>
            <w:hideMark/>
          </w:tcPr>
          <w:p w14:paraId="2653E46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2.04E-05</w:t>
            </w:r>
          </w:p>
        </w:tc>
        <w:tc>
          <w:tcPr>
            <w:tcW w:w="251" w:type="pct"/>
            <w:tcBorders>
              <w:top w:val="nil"/>
              <w:left w:val="nil"/>
              <w:bottom w:val="nil"/>
              <w:right w:val="single" w:sz="8" w:space="0" w:color="auto"/>
            </w:tcBorders>
            <w:shd w:val="clear" w:color="auto" w:fill="auto"/>
            <w:noWrap/>
            <w:vAlign w:val="center"/>
            <w:hideMark/>
          </w:tcPr>
          <w:p w14:paraId="7B6DCB9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2.54E-06</w:t>
            </w:r>
          </w:p>
        </w:tc>
      </w:tr>
      <w:tr w:rsidR="003D4B33" w:rsidRPr="00435B6B" w14:paraId="51D3D18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215262E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20:3n-6</w:t>
            </w:r>
          </w:p>
        </w:tc>
        <w:tc>
          <w:tcPr>
            <w:tcW w:w="216" w:type="pct"/>
            <w:tcBorders>
              <w:top w:val="nil"/>
              <w:left w:val="nil"/>
              <w:bottom w:val="nil"/>
              <w:right w:val="nil"/>
            </w:tcBorders>
            <w:shd w:val="clear" w:color="auto" w:fill="auto"/>
            <w:noWrap/>
            <w:vAlign w:val="center"/>
            <w:hideMark/>
          </w:tcPr>
          <w:p w14:paraId="70A7E0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5.04E-07</w:t>
            </w:r>
          </w:p>
        </w:tc>
        <w:tc>
          <w:tcPr>
            <w:tcW w:w="216" w:type="pct"/>
            <w:tcBorders>
              <w:top w:val="nil"/>
              <w:left w:val="nil"/>
              <w:bottom w:val="nil"/>
              <w:right w:val="nil"/>
            </w:tcBorders>
            <w:shd w:val="clear" w:color="auto" w:fill="auto"/>
            <w:noWrap/>
            <w:vAlign w:val="center"/>
            <w:hideMark/>
          </w:tcPr>
          <w:p w14:paraId="736ABF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3.37E-03</w:t>
            </w:r>
          </w:p>
        </w:tc>
        <w:tc>
          <w:tcPr>
            <w:tcW w:w="216" w:type="pct"/>
            <w:tcBorders>
              <w:top w:val="nil"/>
              <w:left w:val="nil"/>
              <w:bottom w:val="nil"/>
              <w:right w:val="nil"/>
            </w:tcBorders>
            <w:shd w:val="clear" w:color="auto" w:fill="auto"/>
            <w:noWrap/>
            <w:vAlign w:val="center"/>
            <w:hideMark/>
          </w:tcPr>
          <w:p w14:paraId="613CA32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3.55E-05</w:t>
            </w:r>
          </w:p>
        </w:tc>
        <w:tc>
          <w:tcPr>
            <w:tcW w:w="216" w:type="pct"/>
            <w:tcBorders>
              <w:top w:val="nil"/>
              <w:left w:val="nil"/>
              <w:bottom w:val="nil"/>
              <w:right w:val="nil"/>
            </w:tcBorders>
            <w:shd w:val="clear" w:color="auto" w:fill="auto"/>
            <w:noWrap/>
            <w:vAlign w:val="center"/>
            <w:hideMark/>
          </w:tcPr>
          <w:p w14:paraId="6E4C3B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1.38E-05</w:t>
            </w:r>
          </w:p>
        </w:tc>
        <w:tc>
          <w:tcPr>
            <w:tcW w:w="216" w:type="pct"/>
            <w:tcBorders>
              <w:top w:val="nil"/>
              <w:left w:val="nil"/>
              <w:bottom w:val="nil"/>
              <w:right w:val="nil"/>
            </w:tcBorders>
            <w:shd w:val="clear" w:color="auto" w:fill="auto"/>
            <w:noWrap/>
            <w:vAlign w:val="center"/>
            <w:hideMark/>
          </w:tcPr>
          <w:p w14:paraId="7D8AF56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7.79E-05</w:t>
            </w:r>
          </w:p>
        </w:tc>
        <w:tc>
          <w:tcPr>
            <w:tcW w:w="216" w:type="pct"/>
            <w:tcBorders>
              <w:top w:val="nil"/>
              <w:left w:val="nil"/>
              <w:bottom w:val="nil"/>
              <w:right w:val="nil"/>
            </w:tcBorders>
            <w:shd w:val="clear" w:color="auto" w:fill="auto"/>
            <w:noWrap/>
            <w:vAlign w:val="center"/>
            <w:hideMark/>
          </w:tcPr>
          <w:p w14:paraId="56F5256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3.19E-06</w:t>
            </w:r>
          </w:p>
        </w:tc>
        <w:tc>
          <w:tcPr>
            <w:tcW w:w="251" w:type="pct"/>
            <w:tcBorders>
              <w:top w:val="nil"/>
              <w:left w:val="nil"/>
              <w:bottom w:val="nil"/>
              <w:right w:val="single" w:sz="8" w:space="0" w:color="auto"/>
            </w:tcBorders>
            <w:shd w:val="clear" w:color="auto" w:fill="auto"/>
            <w:noWrap/>
            <w:vAlign w:val="center"/>
            <w:hideMark/>
          </w:tcPr>
          <w:p w14:paraId="15A8575B" w14:textId="77777777" w:rsidR="003D4B33" w:rsidRPr="009819CE" w:rsidRDefault="003D4B33" w:rsidP="007F031B">
            <w:pPr>
              <w:spacing w:after="0" w:line="240" w:lineRule="auto"/>
              <w:jc w:val="center"/>
              <w:rPr>
                <w:rFonts w:cstheme="minorBidi"/>
                <w:sz w:val="14"/>
                <w:szCs w:val="14"/>
              </w:rPr>
            </w:pPr>
            <w:r w:rsidRPr="009819CE">
              <w:rPr>
                <w:rFonts w:cstheme="minorBidi"/>
                <w:sz w:val="14"/>
                <w:szCs w:val="14"/>
              </w:rPr>
              <w:t>2.59E-07</w:t>
            </w:r>
          </w:p>
        </w:tc>
        <w:tc>
          <w:tcPr>
            <w:tcW w:w="216" w:type="pct"/>
            <w:tcBorders>
              <w:top w:val="nil"/>
              <w:left w:val="nil"/>
              <w:bottom w:val="nil"/>
              <w:right w:val="nil"/>
            </w:tcBorders>
            <w:shd w:val="clear" w:color="auto" w:fill="auto"/>
            <w:noWrap/>
            <w:vAlign w:val="center"/>
            <w:hideMark/>
          </w:tcPr>
          <w:p w14:paraId="762BF2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0.00</w:t>
            </w:r>
          </w:p>
        </w:tc>
        <w:tc>
          <w:tcPr>
            <w:tcW w:w="216" w:type="pct"/>
            <w:tcBorders>
              <w:top w:val="nil"/>
              <w:left w:val="nil"/>
              <w:bottom w:val="nil"/>
              <w:right w:val="nil"/>
            </w:tcBorders>
            <w:shd w:val="clear" w:color="auto" w:fill="auto"/>
            <w:noWrap/>
            <w:vAlign w:val="center"/>
            <w:hideMark/>
          </w:tcPr>
          <w:p w14:paraId="0EFD85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E4E35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1DF14D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4D32497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1.65E-03</w:t>
            </w:r>
          </w:p>
        </w:tc>
        <w:tc>
          <w:tcPr>
            <w:tcW w:w="216" w:type="pct"/>
            <w:tcBorders>
              <w:top w:val="nil"/>
              <w:left w:val="nil"/>
              <w:bottom w:val="nil"/>
              <w:right w:val="nil"/>
            </w:tcBorders>
            <w:shd w:val="clear" w:color="auto" w:fill="auto"/>
            <w:noWrap/>
            <w:vAlign w:val="center"/>
            <w:hideMark/>
          </w:tcPr>
          <w:p w14:paraId="1D3A5D0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4.86E-02</w:t>
            </w:r>
          </w:p>
        </w:tc>
        <w:tc>
          <w:tcPr>
            <w:tcW w:w="251" w:type="pct"/>
            <w:tcBorders>
              <w:top w:val="nil"/>
              <w:left w:val="nil"/>
              <w:bottom w:val="nil"/>
              <w:right w:val="single" w:sz="8" w:space="0" w:color="auto"/>
            </w:tcBorders>
            <w:shd w:val="clear" w:color="auto" w:fill="auto"/>
            <w:noWrap/>
            <w:vAlign w:val="center"/>
            <w:hideMark/>
          </w:tcPr>
          <w:p w14:paraId="630F07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52A6F5B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A2CE38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72112B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D81F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04C621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5CEF2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14F14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76109CEB"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461997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20:4n-6</w:t>
            </w:r>
          </w:p>
        </w:tc>
        <w:tc>
          <w:tcPr>
            <w:tcW w:w="216" w:type="pct"/>
            <w:tcBorders>
              <w:top w:val="nil"/>
              <w:left w:val="nil"/>
              <w:bottom w:val="nil"/>
              <w:right w:val="nil"/>
            </w:tcBorders>
            <w:shd w:val="clear" w:color="auto" w:fill="auto"/>
            <w:noWrap/>
            <w:vAlign w:val="center"/>
            <w:hideMark/>
          </w:tcPr>
          <w:p w14:paraId="5ED82FC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6ACBA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828E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AA3EC9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B9867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67B8D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32A68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CFF39A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765460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E066F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7F273D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524C4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F4620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51" w:type="pct"/>
            <w:tcBorders>
              <w:top w:val="nil"/>
              <w:left w:val="nil"/>
              <w:bottom w:val="nil"/>
              <w:right w:val="single" w:sz="8" w:space="0" w:color="auto"/>
            </w:tcBorders>
            <w:shd w:val="clear" w:color="auto" w:fill="auto"/>
            <w:noWrap/>
            <w:vAlign w:val="center"/>
            <w:hideMark/>
          </w:tcPr>
          <w:p w14:paraId="1058E7D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3DC34F8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8CE531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E55A46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907B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FE9470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579BA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2FC59E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81509CF"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7660EC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22:4n-6</w:t>
            </w:r>
          </w:p>
        </w:tc>
        <w:tc>
          <w:tcPr>
            <w:tcW w:w="216" w:type="pct"/>
            <w:tcBorders>
              <w:top w:val="nil"/>
              <w:left w:val="nil"/>
              <w:bottom w:val="nil"/>
              <w:right w:val="nil"/>
            </w:tcBorders>
            <w:shd w:val="clear" w:color="auto" w:fill="auto"/>
            <w:noWrap/>
            <w:vAlign w:val="center"/>
            <w:hideMark/>
          </w:tcPr>
          <w:p w14:paraId="7F6040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2A9C451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1467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1D8CCF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53B86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79D2E9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51" w:type="pct"/>
            <w:tcBorders>
              <w:top w:val="nil"/>
              <w:left w:val="nil"/>
              <w:bottom w:val="nil"/>
              <w:right w:val="single" w:sz="8" w:space="0" w:color="auto"/>
            </w:tcBorders>
            <w:shd w:val="clear" w:color="auto" w:fill="auto"/>
            <w:noWrap/>
            <w:vAlign w:val="center"/>
            <w:hideMark/>
          </w:tcPr>
          <w:p w14:paraId="44121EA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62F539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A6E7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E0743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7A499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B2D0B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6FE34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122B78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E847D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0.047</w:t>
            </w:r>
          </w:p>
        </w:tc>
        <w:tc>
          <w:tcPr>
            <w:tcW w:w="216" w:type="pct"/>
            <w:tcBorders>
              <w:top w:val="nil"/>
              <w:left w:val="nil"/>
              <w:bottom w:val="nil"/>
              <w:right w:val="nil"/>
            </w:tcBorders>
            <w:shd w:val="clear" w:color="auto" w:fill="auto"/>
            <w:noWrap/>
            <w:vAlign w:val="center"/>
            <w:hideMark/>
          </w:tcPr>
          <w:p w14:paraId="4918854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CBDD8F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A399CA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F3C78F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FA10B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51" w:type="pct"/>
            <w:tcBorders>
              <w:top w:val="nil"/>
              <w:left w:val="nil"/>
              <w:bottom w:val="nil"/>
              <w:right w:val="single" w:sz="8" w:space="0" w:color="auto"/>
            </w:tcBorders>
            <w:shd w:val="clear" w:color="auto" w:fill="auto"/>
            <w:noWrap/>
            <w:vAlign w:val="center"/>
            <w:hideMark/>
          </w:tcPr>
          <w:p w14:paraId="0D61480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r>
      <w:tr w:rsidR="003D4B33" w:rsidRPr="00435B6B" w14:paraId="75CDAD66"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A263F2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22:5n-6</w:t>
            </w:r>
          </w:p>
        </w:tc>
        <w:tc>
          <w:tcPr>
            <w:tcW w:w="216" w:type="pct"/>
            <w:tcBorders>
              <w:top w:val="nil"/>
              <w:left w:val="nil"/>
              <w:bottom w:val="nil"/>
              <w:right w:val="nil"/>
            </w:tcBorders>
            <w:shd w:val="clear" w:color="auto" w:fill="auto"/>
            <w:noWrap/>
            <w:vAlign w:val="center"/>
            <w:hideMark/>
          </w:tcPr>
          <w:p w14:paraId="7851F67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B69F72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3B294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AB2C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D2902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4F11F3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147E5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E4DEBC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0E5C04B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nil"/>
              <w:left w:val="nil"/>
              <w:bottom w:val="nil"/>
              <w:right w:val="nil"/>
            </w:tcBorders>
            <w:shd w:val="clear" w:color="auto" w:fill="auto"/>
            <w:noWrap/>
            <w:vAlign w:val="center"/>
            <w:hideMark/>
          </w:tcPr>
          <w:p w14:paraId="7B2DDA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1FF61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A316A9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D3C5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B554F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2D2274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1.71E-04</w:t>
            </w:r>
          </w:p>
        </w:tc>
        <w:tc>
          <w:tcPr>
            <w:tcW w:w="216" w:type="pct"/>
            <w:tcBorders>
              <w:top w:val="nil"/>
              <w:left w:val="nil"/>
              <w:bottom w:val="nil"/>
              <w:right w:val="nil"/>
            </w:tcBorders>
            <w:shd w:val="clear" w:color="auto" w:fill="auto"/>
            <w:noWrap/>
            <w:vAlign w:val="center"/>
            <w:hideMark/>
          </w:tcPr>
          <w:p w14:paraId="5339CB1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3165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9.62E-03</w:t>
            </w:r>
          </w:p>
        </w:tc>
        <w:tc>
          <w:tcPr>
            <w:tcW w:w="216" w:type="pct"/>
            <w:tcBorders>
              <w:top w:val="nil"/>
              <w:left w:val="nil"/>
              <w:bottom w:val="nil"/>
              <w:right w:val="nil"/>
            </w:tcBorders>
            <w:shd w:val="clear" w:color="auto" w:fill="auto"/>
            <w:noWrap/>
            <w:vAlign w:val="center"/>
            <w:hideMark/>
          </w:tcPr>
          <w:p w14:paraId="60FDEA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3.92E-03</w:t>
            </w:r>
          </w:p>
        </w:tc>
        <w:tc>
          <w:tcPr>
            <w:tcW w:w="216" w:type="pct"/>
            <w:tcBorders>
              <w:top w:val="nil"/>
              <w:left w:val="nil"/>
              <w:bottom w:val="nil"/>
              <w:right w:val="nil"/>
            </w:tcBorders>
            <w:shd w:val="clear" w:color="auto" w:fill="auto"/>
            <w:noWrap/>
            <w:vAlign w:val="center"/>
            <w:hideMark/>
          </w:tcPr>
          <w:p w14:paraId="0824AC5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2.50E-03</w:t>
            </w:r>
          </w:p>
        </w:tc>
        <w:tc>
          <w:tcPr>
            <w:tcW w:w="216" w:type="pct"/>
            <w:tcBorders>
              <w:top w:val="nil"/>
              <w:left w:val="nil"/>
              <w:bottom w:val="nil"/>
              <w:right w:val="nil"/>
            </w:tcBorders>
            <w:shd w:val="clear" w:color="auto" w:fill="auto"/>
            <w:noWrap/>
            <w:vAlign w:val="center"/>
            <w:hideMark/>
          </w:tcPr>
          <w:p w14:paraId="01F4232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1.01E-04</w:t>
            </w:r>
          </w:p>
        </w:tc>
        <w:tc>
          <w:tcPr>
            <w:tcW w:w="251" w:type="pct"/>
            <w:tcBorders>
              <w:top w:val="nil"/>
              <w:left w:val="nil"/>
              <w:bottom w:val="nil"/>
              <w:right w:val="single" w:sz="8" w:space="0" w:color="auto"/>
            </w:tcBorders>
            <w:shd w:val="clear" w:color="auto" w:fill="auto"/>
            <w:noWrap/>
            <w:vAlign w:val="center"/>
            <w:hideMark/>
          </w:tcPr>
          <w:p w14:paraId="0DF472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2.56E-04</w:t>
            </w:r>
          </w:p>
        </w:tc>
      </w:tr>
      <w:tr w:rsidR="003D4B33" w:rsidRPr="00435B6B" w14:paraId="22BB7623" w14:textId="77777777" w:rsidTr="007F031B">
        <w:trPr>
          <w:trHeight w:val="195"/>
        </w:trPr>
        <w:tc>
          <w:tcPr>
            <w:tcW w:w="365"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6E820C9A"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total n6</w:t>
            </w:r>
          </w:p>
        </w:tc>
        <w:tc>
          <w:tcPr>
            <w:tcW w:w="216" w:type="pct"/>
            <w:tcBorders>
              <w:top w:val="single" w:sz="4" w:space="0" w:color="auto"/>
              <w:left w:val="nil"/>
              <w:bottom w:val="single" w:sz="8" w:space="0" w:color="auto"/>
              <w:right w:val="nil"/>
            </w:tcBorders>
            <w:shd w:val="clear" w:color="auto" w:fill="auto"/>
            <w:noWrap/>
            <w:vAlign w:val="center"/>
            <w:hideMark/>
          </w:tcPr>
          <w:p w14:paraId="0E2A552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3.34E-03</w:t>
            </w:r>
          </w:p>
        </w:tc>
        <w:tc>
          <w:tcPr>
            <w:tcW w:w="216" w:type="pct"/>
            <w:tcBorders>
              <w:top w:val="single" w:sz="4" w:space="0" w:color="auto"/>
              <w:left w:val="nil"/>
              <w:bottom w:val="single" w:sz="8" w:space="0" w:color="auto"/>
              <w:right w:val="nil"/>
            </w:tcBorders>
            <w:shd w:val="clear" w:color="auto" w:fill="auto"/>
            <w:noWrap/>
            <w:vAlign w:val="center"/>
            <w:hideMark/>
          </w:tcPr>
          <w:p w14:paraId="091262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single" w:sz="4" w:space="0" w:color="auto"/>
              <w:left w:val="nil"/>
              <w:bottom w:val="single" w:sz="8" w:space="0" w:color="auto"/>
              <w:right w:val="nil"/>
            </w:tcBorders>
            <w:shd w:val="clear" w:color="auto" w:fill="auto"/>
            <w:noWrap/>
            <w:vAlign w:val="center"/>
            <w:hideMark/>
          </w:tcPr>
          <w:p w14:paraId="214A9F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0.05</w:t>
            </w:r>
          </w:p>
        </w:tc>
        <w:tc>
          <w:tcPr>
            <w:tcW w:w="216" w:type="pct"/>
            <w:tcBorders>
              <w:top w:val="single" w:sz="4" w:space="0" w:color="auto"/>
              <w:left w:val="nil"/>
              <w:bottom w:val="single" w:sz="8" w:space="0" w:color="auto"/>
              <w:right w:val="nil"/>
            </w:tcBorders>
            <w:shd w:val="clear" w:color="auto" w:fill="auto"/>
            <w:noWrap/>
            <w:vAlign w:val="center"/>
            <w:hideMark/>
          </w:tcPr>
          <w:p w14:paraId="46E6BD3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single" w:sz="4" w:space="0" w:color="auto"/>
              <w:left w:val="nil"/>
              <w:bottom w:val="single" w:sz="8" w:space="0" w:color="auto"/>
              <w:right w:val="nil"/>
            </w:tcBorders>
            <w:shd w:val="clear" w:color="auto" w:fill="auto"/>
            <w:noWrap/>
            <w:vAlign w:val="center"/>
            <w:hideMark/>
          </w:tcPr>
          <w:p w14:paraId="1CF69B1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2.43E-03</w:t>
            </w:r>
          </w:p>
        </w:tc>
        <w:tc>
          <w:tcPr>
            <w:tcW w:w="216" w:type="pct"/>
            <w:tcBorders>
              <w:top w:val="single" w:sz="4" w:space="0" w:color="auto"/>
              <w:left w:val="nil"/>
              <w:bottom w:val="single" w:sz="8" w:space="0" w:color="auto"/>
              <w:right w:val="nil"/>
            </w:tcBorders>
            <w:shd w:val="clear" w:color="auto" w:fill="auto"/>
            <w:noWrap/>
            <w:vAlign w:val="center"/>
            <w:hideMark/>
          </w:tcPr>
          <w:p w14:paraId="3BA8713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2.43E-03</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80CE7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single" w:sz="4" w:space="0" w:color="auto"/>
              <w:left w:val="nil"/>
              <w:bottom w:val="single" w:sz="8" w:space="0" w:color="auto"/>
              <w:right w:val="nil"/>
            </w:tcBorders>
            <w:shd w:val="clear" w:color="auto" w:fill="auto"/>
            <w:noWrap/>
            <w:vAlign w:val="center"/>
            <w:hideMark/>
          </w:tcPr>
          <w:p w14:paraId="3210AE5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0.04</w:t>
            </w:r>
          </w:p>
        </w:tc>
        <w:tc>
          <w:tcPr>
            <w:tcW w:w="216" w:type="pct"/>
            <w:tcBorders>
              <w:top w:val="single" w:sz="4" w:space="0" w:color="auto"/>
              <w:left w:val="nil"/>
              <w:bottom w:val="single" w:sz="8" w:space="0" w:color="auto"/>
              <w:right w:val="nil"/>
            </w:tcBorders>
            <w:shd w:val="clear" w:color="auto" w:fill="auto"/>
            <w:noWrap/>
            <w:vAlign w:val="center"/>
            <w:hideMark/>
          </w:tcPr>
          <w:p w14:paraId="44FDE20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5AD501E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8B5FEB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8F879A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F5F119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6D31E0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single" w:sz="4" w:space="0" w:color="auto"/>
              <w:left w:val="nil"/>
              <w:bottom w:val="single" w:sz="8" w:space="0" w:color="auto"/>
              <w:right w:val="nil"/>
            </w:tcBorders>
            <w:shd w:val="clear" w:color="auto" w:fill="auto"/>
            <w:noWrap/>
            <w:vAlign w:val="center"/>
            <w:hideMark/>
          </w:tcPr>
          <w:p w14:paraId="2D6E81D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378B5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48C6B5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A3379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3D44E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2D21BE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184E7C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426AB94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CAFD7D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18:3n-3</w:t>
            </w:r>
          </w:p>
        </w:tc>
        <w:tc>
          <w:tcPr>
            <w:tcW w:w="216" w:type="pct"/>
            <w:tcBorders>
              <w:top w:val="nil"/>
              <w:left w:val="nil"/>
              <w:bottom w:val="nil"/>
              <w:right w:val="nil"/>
            </w:tcBorders>
            <w:shd w:val="clear" w:color="auto" w:fill="auto"/>
            <w:noWrap/>
            <w:vAlign w:val="center"/>
            <w:hideMark/>
          </w:tcPr>
          <w:p w14:paraId="50F7EC4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7.87E-03</w:t>
            </w:r>
          </w:p>
        </w:tc>
        <w:tc>
          <w:tcPr>
            <w:tcW w:w="216" w:type="pct"/>
            <w:tcBorders>
              <w:top w:val="nil"/>
              <w:left w:val="nil"/>
              <w:bottom w:val="nil"/>
              <w:right w:val="nil"/>
            </w:tcBorders>
            <w:shd w:val="clear" w:color="auto" w:fill="auto"/>
            <w:noWrap/>
            <w:vAlign w:val="center"/>
            <w:hideMark/>
          </w:tcPr>
          <w:p w14:paraId="5230613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0D893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1356CD5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2.92E-03</w:t>
            </w:r>
          </w:p>
        </w:tc>
        <w:tc>
          <w:tcPr>
            <w:tcW w:w="216" w:type="pct"/>
            <w:tcBorders>
              <w:top w:val="nil"/>
              <w:left w:val="nil"/>
              <w:bottom w:val="nil"/>
              <w:right w:val="nil"/>
            </w:tcBorders>
            <w:shd w:val="clear" w:color="auto" w:fill="auto"/>
            <w:noWrap/>
            <w:vAlign w:val="center"/>
            <w:hideMark/>
          </w:tcPr>
          <w:p w14:paraId="041056D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8.66E-03</w:t>
            </w:r>
          </w:p>
        </w:tc>
        <w:tc>
          <w:tcPr>
            <w:tcW w:w="216" w:type="pct"/>
            <w:tcBorders>
              <w:top w:val="nil"/>
              <w:left w:val="nil"/>
              <w:bottom w:val="nil"/>
              <w:right w:val="nil"/>
            </w:tcBorders>
            <w:shd w:val="clear" w:color="auto" w:fill="auto"/>
            <w:noWrap/>
            <w:vAlign w:val="center"/>
            <w:hideMark/>
          </w:tcPr>
          <w:p w14:paraId="01DFBCC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F5A469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529A9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D02A41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95E20D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1F603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BB75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BA20B9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2A27C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EA0C7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14526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AAF02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7CB9F6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9AECB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BCC1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15DB1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27A7AC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353680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18:4n-3</w:t>
            </w:r>
          </w:p>
        </w:tc>
        <w:tc>
          <w:tcPr>
            <w:tcW w:w="216" w:type="pct"/>
            <w:tcBorders>
              <w:top w:val="nil"/>
              <w:left w:val="nil"/>
              <w:bottom w:val="nil"/>
              <w:right w:val="nil"/>
            </w:tcBorders>
            <w:shd w:val="clear" w:color="auto" w:fill="auto"/>
            <w:noWrap/>
            <w:vAlign w:val="center"/>
            <w:hideMark/>
          </w:tcPr>
          <w:p w14:paraId="01CAE96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6069D15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691C3A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10C2A4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ABF81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FE24C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79B57C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D83472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4CB5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9C980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5BEF0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BECE3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DC27A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DE91D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30DA7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DDC5FD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A56200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516E9A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B0DBDD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3816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07C603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C86491C"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3FC4957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20:3n-3</w:t>
            </w:r>
          </w:p>
        </w:tc>
        <w:tc>
          <w:tcPr>
            <w:tcW w:w="216" w:type="pct"/>
            <w:tcBorders>
              <w:top w:val="nil"/>
              <w:left w:val="nil"/>
              <w:bottom w:val="nil"/>
              <w:right w:val="nil"/>
            </w:tcBorders>
            <w:shd w:val="clear" w:color="auto" w:fill="auto"/>
            <w:noWrap/>
            <w:vAlign w:val="center"/>
            <w:hideMark/>
          </w:tcPr>
          <w:p w14:paraId="73A684B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4.91E-12</w:t>
            </w:r>
          </w:p>
        </w:tc>
        <w:tc>
          <w:tcPr>
            <w:tcW w:w="216" w:type="pct"/>
            <w:tcBorders>
              <w:top w:val="nil"/>
              <w:left w:val="nil"/>
              <w:bottom w:val="nil"/>
              <w:right w:val="nil"/>
            </w:tcBorders>
            <w:shd w:val="clear" w:color="auto" w:fill="auto"/>
            <w:noWrap/>
            <w:vAlign w:val="center"/>
            <w:hideMark/>
          </w:tcPr>
          <w:p w14:paraId="563D565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2.35e- 8</w:t>
            </w:r>
          </w:p>
        </w:tc>
        <w:tc>
          <w:tcPr>
            <w:tcW w:w="216" w:type="pct"/>
            <w:tcBorders>
              <w:top w:val="nil"/>
              <w:left w:val="nil"/>
              <w:bottom w:val="nil"/>
              <w:right w:val="nil"/>
            </w:tcBorders>
            <w:shd w:val="clear" w:color="auto" w:fill="auto"/>
            <w:noWrap/>
            <w:vAlign w:val="center"/>
            <w:hideMark/>
          </w:tcPr>
          <w:p w14:paraId="0A25170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7.11E-12</w:t>
            </w:r>
          </w:p>
        </w:tc>
        <w:tc>
          <w:tcPr>
            <w:tcW w:w="216" w:type="pct"/>
            <w:tcBorders>
              <w:top w:val="nil"/>
              <w:left w:val="nil"/>
              <w:bottom w:val="nil"/>
              <w:right w:val="nil"/>
            </w:tcBorders>
            <w:shd w:val="clear" w:color="auto" w:fill="auto"/>
            <w:noWrap/>
            <w:vAlign w:val="center"/>
            <w:hideMark/>
          </w:tcPr>
          <w:p w14:paraId="4BF02FF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1.35e- 9</w:t>
            </w:r>
          </w:p>
        </w:tc>
        <w:tc>
          <w:tcPr>
            <w:tcW w:w="216" w:type="pct"/>
            <w:tcBorders>
              <w:top w:val="nil"/>
              <w:left w:val="nil"/>
              <w:bottom w:val="nil"/>
              <w:right w:val="nil"/>
            </w:tcBorders>
            <w:shd w:val="clear" w:color="auto" w:fill="auto"/>
            <w:noWrap/>
            <w:vAlign w:val="center"/>
            <w:hideMark/>
          </w:tcPr>
          <w:p w14:paraId="586D162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9.93E-11</w:t>
            </w:r>
          </w:p>
        </w:tc>
        <w:tc>
          <w:tcPr>
            <w:tcW w:w="216" w:type="pct"/>
            <w:tcBorders>
              <w:top w:val="nil"/>
              <w:left w:val="nil"/>
              <w:bottom w:val="nil"/>
              <w:right w:val="nil"/>
            </w:tcBorders>
            <w:shd w:val="clear" w:color="auto" w:fill="auto"/>
            <w:noWrap/>
            <w:vAlign w:val="center"/>
            <w:hideMark/>
          </w:tcPr>
          <w:p w14:paraId="6BF8E1C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4.44E-12</w:t>
            </w:r>
          </w:p>
        </w:tc>
        <w:tc>
          <w:tcPr>
            <w:tcW w:w="251" w:type="pct"/>
            <w:tcBorders>
              <w:top w:val="nil"/>
              <w:left w:val="nil"/>
              <w:bottom w:val="nil"/>
              <w:right w:val="single" w:sz="8" w:space="0" w:color="auto"/>
            </w:tcBorders>
            <w:shd w:val="clear" w:color="auto" w:fill="auto"/>
            <w:noWrap/>
            <w:vAlign w:val="center"/>
            <w:hideMark/>
          </w:tcPr>
          <w:p w14:paraId="45FADE9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3.08E-11</w:t>
            </w:r>
          </w:p>
        </w:tc>
        <w:tc>
          <w:tcPr>
            <w:tcW w:w="216" w:type="pct"/>
            <w:tcBorders>
              <w:top w:val="nil"/>
              <w:left w:val="nil"/>
              <w:bottom w:val="nil"/>
              <w:right w:val="nil"/>
            </w:tcBorders>
            <w:shd w:val="clear" w:color="auto" w:fill="auto"/>
            <w:noWrap/>
            <w:vAlign w:val="center"/>
            <w:hideMark/>
          </w:tcPr>
          <w:p w14:paraId="443B445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1.04E-03</w:t>
            </w:r>
          </w:p>
        </w:tc>
        <w:tc>
          <w:tcPr>
            <w:tcW w:w="216" w:type="pct"/>
            <w:tcBorders>
              <w:top w:val="nil"/>
              <w:left w:val="nil"/>
              <w:bottom w:val="nil"/>
              <w:right w:val="nil"/>
            </w:tcBorders>
            <w:shd w:val="clear" w:color="auto" w:fill="auto"/>
            <w:noWrap/>
            <w:vAlign w:val="center"/>
            <w:hideMark/>
          </w:tcPr>
          <w:p w14:paraId="30B8A70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6EB81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3.14E-03</w:t>
            </w:r>
          </w:p>
        </w:tc>
        <w:tc>
          <w:tcPr>
            <w:tcW w:w="216" w:type="pct"/>
            <w:tcBorders>
              <w:top w:val="nil"/>
              <w:left w:val="nil"/>
              <w:bottom w:val="nil"/>
              <w:right w:val="nil"/>
            </w:tcBorders>
            <w:shd w:val="clear" w:color="auto" w:fill="auto"/>
            <w:noWrap/>
            <w:vAlign w:val="center"/>
            <w:hideMark/>
          </w:tcPr>
          <w:p w14:paraId="03C444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1B7AE62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4.06E-03</w:t>
            </w:r>
          </w:p>
        </w:tc>
        <w:tc>
          <w:tcPr>
            <w:tcW w:w="216" w:type="pct"/>
            <w:tcBorders>
              <w:top w:val="nil"/>
              <w:left w:val="nil"/>
              <w:bottom w:val="nil"/>
              <w:right w:val="nil"/>
            </w:tcBorders>
            <w:shd w:val="clear" w:color="auto" w:fill="auto"/>
            <w:noWrap/>
            <w:vAlign w:val="center"/>
            <w:hideMark/>
          </w:tcPr>
          <w:p w14:paraId="54DC21A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3.75E-03</w:t>
            </w:r>
          </w:p>
        </w:tc>
        <w:tc>
          <w:tcPr>
            <w:tcW w:w="251" w:type="pct"/>
            <w:tcBorders>
              <w:top w:val="nil"/>
              <w:left w:val="nil"/>
              <w:bottom w:val="nil"/>
              <w:right w:val="single" w:sz="8" w:space="0" w:color="auto"/>
            </w:tcBorders>
            <w:shd w:val="clear" w:color="auto" w:fill="auto"/>
            <w:noWrap/>
            <w:vAlign w:val="center"/>
            <w:hideMark/>
          </w:tcPr>
          <w:p w14:paraId="1C0432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3.18E-03</w:t>
            </w:r>
          </w:p>
        </w:tc>
        <w:tc>
          <w:tcPr>
            <w:tcW w:w="216" w:type="pct"/>
            <w:tcBorders>
              <w:top w:val="nil"/>
              <w:left w:val="nil"/>
              <w:bottom w:val="nil"/>
              <w:right w:val="nil"/>
            </w:tcBorders>
            <w:shd w:val="clear" w:color="auto" w:fill="auto"/>
            <w:noWrap/>
            <w:vAlign w:val="center"/>
            <w:hideMark/>
          </w:tcPr>
          <w:p w14:paraId="681CC2B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3.74E-02</w:t>
            </w:r>
          </w:p>
        </w:tc>
        <w:tc>
          <w:tcPr>
            <w:tcW w:w="216" w:type="pct"/>
            <w:tcBorders>
              <w:top w:val="nil"/>
              <w:left w:val="nil"/>
              <w:bottom w:val="nil"/>
              <w:right w:val="nil"/>
            </w:tcBorders>
            <w:shd w:val="clear" w:color="auto" w:fill="auto"/>
            <w:noWrap/>
            <w:vAlign w:val="center"/>
            <w:hideMark/>
          </w:tcPr>
          <w:p w14:paraId="326729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AB0A5E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5D8D5C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A8CE9E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AF579B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64B29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19161D55"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26AFA2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20:4n-3</w:t>
            </w:r>
          </w:p>
        </w:tc>
        <w:tc>
          <w:tcPr>
            <w:tcW w:w="216" w:type="pct"/>
            <w:tcBorders>
              <w:top w:val="nil"/>
              <w:left w:val="nil"/>
              <w:bottom w:val="nil"/>
              <w:right w:val="nil"/>
            </w:tcBorders>
            <w:shd w:val="clear" w:color="auto" w:fill="auto"/>
            <w:noWrap/>
            <w:vAlign w:val="center"/>
            <w:hideMark/>
          </w:tcPr>
          <w:p w14:paraId="3AED342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3.71E-03</w:t>
            </w:r>
          </w:p>
        </w:tc>
        <w:tc>
          <w:tcPr>
            <w:tcW w:w="216" w:type="pct"/>
            <w:tcBorders>
              <w:top w:val="nil"/>
              <w:left w:val="nil"/>
              <w:bottom w:val="nil"/>
              <w:right w:val="nil"/>
            </w:tcBorders>
            <w:shd w:val="clear" w:color="auto" w:fill="auto"/>
            <w:noWrap/>
            <w:vAlign w:val="center"/>
            <w:hideMark/>
          </w:tcPr>
          <w:p w14:paraId="38F6583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DA2271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30C28EA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3.03E-03</w:t>
            </w:r>
          </w:p>
        </w:tc>
        <w:tc>
          <w:tcPr>
            <w:tcW w:w="216" w:type="pct"/>
            <w:tcBorders>
              <w:top w:val="nil"/>
              <w:left w:val="nil"/>
              <w:bottom w:val="nil"/>
              <w:right w:val="nil"/>
            </w:tcBorders>
            <w:shd w:val="clear" w:color="auto" w:fill="auto"/>
            <w:noWrap/>
            <w:vAlign w:val="center"/>
            <w:hideMark/>
          </w:tcPr>
          <w:p w14:paraId="32E742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CE984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59CAF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6F40F1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2.26E-03</w:t>
            </w:r>
          </w:p>
        </w:tc>
        <w:tc>
          <w:tcPr>
            <w:tcW w:w="216" w:type="pct"/>
            <w:tcBorders>
              <w:top w:val="nil"/>
              <w:left w:val="nil"/>
              <w:bottom w:val="nil"/>
              <w:right w:val="nil"/>
            </w:tcBorders>
            <w:shd w:val="clear" w:color="auto" w:fill="auto"/>
            <w:noWrap/>
            <w:vAlign w:val="center"/>
            <w:hideMark/>
          </w:tcPr>
          <w:p w14:paraId="0BF3B3E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F48A65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231F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B81B8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4.33E-04</w:t>
            </w:r>
          </w:p>
        </w:tc>
        <w:tc>
          <w:tcPr>
            <w:tcW w:w="216" w:type="pct"/>
            <w:tcBorders>
              <w:top w:val="nil"/>
              <w:left w:val="nil"/>
              <w:bottom w:val="nil"/>
              <w:right w:val="nil"/>
            </w:tcBorders>
            <w:shd w:val="clear" w:color="auto" w:fill="auto"/>
            <w:noWrap/>
            <w:vAlign w:val="center"/>
            <w:hideMark/>
          </w:tcPr>
          <w:p w14:paraId="3AA17BC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017376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B5FCC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1B04B1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3EA77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5ABA42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4C6164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52A4E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38BE67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30C3D9B0"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0700A2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20:5n-3</w:t>
            </w:r>
          </w:p>
        </w:tc>
        <w:tc>
          <w:tcPr>
            <w:tcW w:w="216" w:type="pct"/>
            <w:tcBorders>
              <w:top w:val="nil"/>
              <w:left w:val="nil"/>
              <w:bottom w:val="nil"/>
              <w:right w:val="nil"/>
            </w:tcBorders>
            <w:shd w:val="clear" w:color="auto" w:fill="auto"/>
            <w:noWrap/>
            <w:vAlign w:val="center"/>
            <w:hideMark/>
          </w:tcPr>
          <w:p w14:paraId="6541CC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1.85E-05</w:t>
            </w:r>
          </w:p>
        </w:tc>
        <w:tc>
          <w:tcPr>
            <w:tcW w:w="216" w:type="pct"/>
            <w:tcBorders>
              <w:top w:val="nil"/>
              <w:left w:val="nil"/>
              <w:bottom w:val="nil"/>
              <w:right w:val="nil"/>
            </w:tcBorders>
            <w:shd w:val="clear" w:color="auto" w:fill="auto"/>
            <w:noWrap/>
            <w:vAlign w:val="center"/>
            <w:hideMark/>
          </w:tcPr>
          <w:p w14:paraId="28592BD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8.02E-04</w:t>
            </w:r>
          </w:p>
        </w:tc>
        <w:tc>
          <w:tcPr>
            <w:tcW w:w="216" w:type="pct"/>
            <w:tcBorders>
              <w:top w:val="nil"/>
              <w:left w:val="nil"/>
              <w:bottom w:val="nil"/>
              <w:right w:val="nil"/>
            </w:tcBorders>
            <w:shd w:val="clear" w:color="auto" w:fill="auto"/>
            <w:noWrap/>
            <w:vAlign w:val="center"/>
            <w:hideMark/>
          </w:tcPr>
          <w:p w14:paraId="7FF36B4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1.15E-05</w:t>
            </w:r>
          </w:p>
        </w:tc>
        <w:tc>
          <w:tcPr>
            <w:tcW w:w="216" w:type="pct"/>
            <w:tcBorders>
              <w:top w:val="nil"/>
              <w:left w:val="nil"/>
              <w:bottom w:val="nil"/>
              <w:right w:val="nil"/>
            </w:tcBorders>
            <w:shd w:val="clear" w:color="auto" w:fill="auto"/>
            <w:noWrap/>
            <w:vAlign w:val="center"/>
            <w:hideMark/>
          </w:tcPr>
          <w:p w14:paraId="3866BDD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6.66E-04</w:t>
            </w:r>
          </w:p>
        </w:tc>
        <w:tc>
          <w:tcPr>
            <w:tcW w:w="216" w:type="pct"/>
            <w:tcBorders>
              <w:top w:val="nil"/>
              <w:left w:val="nil"/>
              <w:bottom w:val="nil"/>
              <w:right w:val="nil"/>
            </w:tcBorders>
            <w:shd w:val="clear" w:color="auto" w:fill="auto"/>
            <w:noWrap/>
            <w:vAlign w:val="center"/>
            <w:hideMark/>
          </w:tcPr>
          <w:p w14:paraId="588E769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1.08E-05</w:t>
            </w:r>
          </w:p>
        </w:tc>
        <w:tc>
          <w:tcPr>
            <w:tcW w:w="216" w:type="pct"/>
            <w:tcBorders>
              <w:top w:val="nil"/>
              <w:left w:val="nil"/>
              <w:bottom w:val="nil"/>
              <w:right w:val="nil"/>
            </w:tcBorders>
            <w:shd w:val="clear" w:color="auto" w:fill="auto"/>
            <w:noWrap/>
            <w:vAlign w:val="center"/>
            <w:hideMark/>
          </w:tcPr>
          <w:p w14:paraId="6C6763C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1.49E-05</w:t>
            </w:r>
          </w:p>
        </w:tc>
        <w:tc>
          <w:tcPr>
            <w:tcW w:w="251" w:type="pct"/>
            <w:tcBorders>
              <w:top w:val="nil"/>
              <w:left w:val="nil"/>
              <w:bottom w:val="nil"/>
              <w:right w:val="single" w:sz="8" w:space="0" w:color="auto"/>
            </w:tcBorders>
            <w:shd w:val="clear" w:color="auto" w:fill="auto"/>
            <w:noWrap/>
            <w:vAlign w:val="center"/>
            <w:hideMark/>
          </w:tcPr>
          <w:p w14:paraId="556ABD1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7.90E-05</w:t>
            </w:r>
          </w:p>
        </w:tc>
        <w:tc>
          <w:tcPr>
            <w:tcW w:w="216" w:type="pct"/>
            <w:tcBorders>
              <w:top w:val="nil"/>
              <w:left w:val="nil"/>
              <w:bottom w:val="nil"/>
              <w:right w:val="nil"/>
            </w:tcBorders>
            <w:shd w:val="clear" w:color="auto" w:fill="auto"/>
            <w:noWrap/>
            <w:vAlign w:val="center"/>
            <w:hideMark/>
          </w:tcPr>
          <w:p w14:paraId="7AE56E2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4.98E-02</w:t>
            </w:r>
          </w:p>
        </w:tc>
        <w:tc>
          <w:tcPr>
            <w:tcW w:w="216" w:type="pct"/>
            <w:tcBorders>
              <w:top w:val="nil"/>
              <w:left w:val="nil"/>
              <w:bottom w:val="nil"/>
              <w:right w:val="nil"/>
            </w:tcBorders>
            <w:shd w:val="clear" w:color="auto" w:fill="auto"/>
            <w:noWrap/>
            <w:vAlign w:val="center"/>
            <w:hideMark/>
          </w:tcPr>
          <w:p w14:paraId="4EBEC01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6DC96A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nil"/>
              <w:left w:val="nil"/>
              <w:bottom w:val="nil"/>
              <w:right w:val="nil"/>
            </w:tcBorders>
            <w:shd w:val="clear" w:color="auto" w:fill="auto"/>
            <w:noWrap/>
            <w:vAlign w:val="center"/>
            <w:hideMark/>
          </w:tcPr>
          <w:p w14:paraId="578CBCD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35701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6197F4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B35136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E36F26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0.02</w:t>
            </w:r>
          </w:p>
        </w:tc>
        <w:tc>
          <w:tcPr>
            <w:tcW w:w="216" w:type="pct"/>
            <w:tcBorders>
              <w:top w:val="nil"/>
              <w:left w:val="nil"/>
              <w:bottom w:val="nil"/>
              <w:right w:val="nil"/>
            </w:tcBorders>
            <w:shd w:val="clear" w:color="auto" w:fill="auto"/>
            <w:noWrap/>
            <w:vAlign w:val="center"/>
            <w:hideMark/>
          </w:tcPr>
          <w:p w14:paraId="4CFDF6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EEA5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F452D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BFF11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36043B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F126BF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5.62E-03</w:t>
            </w:r>
          </w:p>
        </w:tc>
      </w:tr>
      <w:tr w:rsidR="003D4B33" w:rsidRPr="00435B6B" w14:paraId="1D0FCA6A"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483066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21:5n-3</w:t>
            </w:r>
          </w:p>
        </w:tc>
        <w:tc>
          <w:tcPr>
            <w:tcW w:w="216" w:type="pct"/>
            <w:tcBorders>
              <w:top w:val="nil"/>
              <w:left w:val="nil"/>
              <w:bottom w:val="nil"/>
              <w:right w:val="nil"/>
            </w:tcBorders>
            <w:shd w:val="clear" w:color="auto" w:fill="auto"/>
            <w:noWrap/>
            <w:vAlign w:val="center"/>
            <w:hideMark/>
          </w:tcPr>
          <w:p w14:paraId="1198C87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D4EBE5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0E9E6C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84736D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F0F81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F0186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5E4255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C796E3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9863EA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E1F2E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D4D21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09D4E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B3999B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BCB5F6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1866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725473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C2ABD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EB32A9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A75AA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F22E9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95FD8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DA7BA97"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1D511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22:5n-3</w:t>
            </w:r>
          </w:p>
        </w:tc>
        <w:tc>
          <w:tcPr>
            <w:tcW w:w="216" w:type="pct"/>
            <w:tcBorders>
              <w:top w:val="nil"/>
              <w:left w:val="nil"/>
              <w:bottom w:val="nil"/>
              <w:right w:val="nil"/>
            </w:tcBorders>
            <w:shd w:val="clear" w:color="auto" w:fill="auto"/>
            <w:noWrap/>
            <w:vAlign w:val="center"/>
            <w:hideMark/>
          </w:tcPr>
          <w:p w14:paraId="660BA43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7A8F0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7218F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D89A9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52C71E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51B62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6A3393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ED6C98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FDEB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846349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85B82C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B50B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18387B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DF9202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952B73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54B33A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109B83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CEC8C9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9DB483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C6D3B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45912E3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045C561A"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56AE2A4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22:6n-3</w:t>
            </w:r>
          </w:p>
        </w:tc>
        <w:tc>
          <w:tcPr>
            <w:tcW w:w="216" w:type="pct"/>
            <w:tcBorders>
              <w:top w:val="nil"/>
              <w:left w:val="nil"/>
              <w:bottom w:val="nil"/>
              <w:right w:val="nil"/>
            </w:tcBorders>
            <w:shd w:val="clear" w:color="auto" w:fill="auto"/>
            <w:noWrap/>
            <w:vAlign w:val="center"/>
            <w:hideMark/>
          </w:tcPr>
          <w:p w14:paraId="7299476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9.68E-05</w:t>
            </w:r>
          </w:p>
        </w:tc>
        <w:tc>
          <w:tcPr>
            <w:tcW w:w="216" w:type="pct"/>
            <w:tcBorders>
              <w:top w:val="nil"/>
              <w:left w:val="nil"/>
              <w:bottom w:val="nil"/>
              <w:right w:val="nil"/>
            </w:tcBorders>
            <w:shd w:val="clear" w:color="auto" w:fill="auto"/>
            <w:noWrap/>
            <w:vAlign w:val="center"/>
            <w:hideMark/>
          </w:tcPr>
          <w:p w14:paraId="7D55112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3.33E-04</w:t>
            </w:r>
          </w:p>
        </w:tc>
        <w:tc>
          <w:tcPr>
            <w:tcW w:w="216" w:type="pct"/>
            <w:tcBorders>
              <w:top w:val="nil"/>
              <w:left w:val="nil"/>
              <w:bottom w:val="nil"/>
              <w:right w:val="nil"/>
            </w:tcBorders>
            <w:shd w:val="clear" w:color="auto" w:fill="auto"/>
            <w:noWrap/>
            <w:vAlign w:val="center"/>
            <w:hideMark/>
          </w:tcPr>
          <w:p w14:paraId="43811F1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2.92E-03</w:t>
            </w:r>
          </w:p>
        </w:tc>
        <w:tc>
          <w:tcPr>
            <w:tcW w:w="216" w:type="pct"/>
            <w:tcBorders>
              <w:top w:val="nil"/>
              <w:left w:val="nil"/>
              <w:bottom w:val="nil"/>
              <w:right w:val="nil"/>
            </w:tcBorders>
            <w:shd w:val="clear" w:color="auto" w:fill="auto"/>
            <w:noWrap/>
            <w:vAlign w:val="center"/>
            <w:hideMark/>
          </w:tcPr>
          <w:p w14:paraId="4B92F8F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6.35E-05</w:t>
            </w:r>
          </w:p>
        </w:tc>
        <w:tc>
          <w:tcPr>
            <w:tcW w:w="216" w:type="pct"/>
            <w:tcBorders>
              <w:top w:val="nil"/>
              <w:left w:val="nil"/>
              <w:bottom w:val="nil"/>
              <w:right w:val="nil"/>
            </w:tcBorders>
            <w:shd w:val="clear" w:color="auto" w:fill="auto"/>
            <w:noWrap/>
            <w:vAlign w:val="center"/>
            <w:hideMark/>
          </w:tcPr>
          <w:p w14:paraId="60670C3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9.81E-05</w:t>
            </w:r>
          </w:p>
        </w:tc>
        <w:tc>
          <w:tcPr>
            <w:tcW w:w="216" w:type="pct"/>
            <w:tcBorders>
              <w:top w:val="nil"/>
              <w:left w:val="nil"/>
              <w:bottom w:val="nil"/>
              <w:right w:val="nil"/>
            </w:tcBorders>
            <w:shd w:val="clear" w:color="auto" w:fill="auto"/>
            <w:noWrap/>
            <w:vAlign w:val="center"/>
            <w:hideMark/>
          </w:tcPr>
          <w:p w14:paraId="6C4CF2B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2.11E-04</w:t>
            </w:r>
          </w:p>
        </w:tc>
        <w:tc>
          <w:tcPr>
            <w:tcW w:w="251" w:type="pct"/>
            <w:tcBorders>
              <w:top w:val="nil"/>
              <w:left w:val="nil"/>
              <w:bottom w:val="nil"/>
              <w:right w:val="single" w:sz="8" w:space="0" w:color="auto"/>
            </w:tcBorders>
            <w:shd w:val="clear" w:color="auto" w:fill="auto"/>
            <w:noWrap/>
            <w:vAlign w:val="center"/>
            <w:hideMark/>
          </w:tcPr>
          <w:p w14:paraId="5F0975E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6.93E-05</w:t>
            </w:r>
          </w:p>
        </w:tc>
        <w:tc>
          <w:tcPr>
            <w:tcW w:w="216" w:type="pct"/>
            <w:tcBorders>
              <w:top w:val="nil"/>
              <w:left w:val="nil"/>
              <w:bottom w:val="nil"/>
              <w:right w:val="nil"/>
            </w:tcBorders>
            <w:shd w:val="clear" w:color="auto" w:fill="auto"/>
            <w:noWrap/>
            <w:vAlign w:val="center"/>
            <w:hideMark/>
          </w:tcPr>
          <w:p w14:paraId="08FC398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7.07E-05</w:t>
            </w:r>
          </w:p>
        </w:tc>
        <w:tc>
          <w:tcPr>
            <w:tcW w:w="216" w:type="pct"/>
            <w:tcBorders>
              <w:top w:val="nil"/>
              <w:left w:val="nil"/>
              <w:bottom w:val="nil"/>
              <w:right w:val="nil"/>
            </w:tcBorders>
            <w:shd w:val="clear" w:color="auto" w:fill="auto"/>
            <w:noWrap/>
            <w:vAlign w:val="center"/>
            <w:hideMark/>
          </w:tcPr>
          <w:p w14:paraId="4F38463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9.27E-05</w:t>
            </w:r>
          </w:p>
        </w:tc>
        <w:tc>
          <w:tcPr>
            <w:tcW w:w="216" w:type="pct"/>
            <w:tcBorders>
              <w:top w:val="nil"/>
              <w:left w:val="nil"/>
              <w:bottom w:val="nil"/>
              <w:right w:val="nil"/>
            </w:tcBorders>
            <w:shd w:val="clear" w:color="auto" w:fill="auto"/>
            <w:noWrap/>
            <w:vAlign w:val="center"/>
            <w:hideMark/>
          </w:tcPr>
          <w:p w14:paraId="3CE97E3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6.90E-05</w:t>
            </w:r>
          </w:p>
        </w:tc>
        <w:tc>
          <w:tcPr>
            <w:tcW w:w="216" w:type="pct"/>
            <w:tcBorders>
              <w:top w:val="nil"/>
              <w:left w:val="nil"/>
              <w:bottom w:val="nil"/>
              <w:right w:val="nil"/>
            </w:tcBorders>
            <w:shd w:val="clear" w:color="auto" w:fill="auto"/>
            <w:noWrap/>
            <w:vAlign w:val="center"/>
            <w:hideMark/>
          </w:tcPr>
          <w:p w14:paraId="649C21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2.10E-04</w:t>
            </w:r>
          </w:p>
        </w:tc>
        <w:tc>
          <w:tcPr>
            <w:tcW w:w="216" w:type="pct"/>
            <w:tcBorders>
              <w:top w:val="nil"/>
              <w:left w:val="nil"/>
              <w:bottom w:val="nil"/>
              <w:right w:val="nil"/>
            </w:tcBorders>
            <w:shd w:val="clear" w:color="auto" w:fill="auto"/>
            <w:noWrap/>
            <w:vAlign w:val="center"/>
            <w:hideMark/>
          </w:tcPr>
          <w:p w14:paraId="54CE7D6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1.12E-03</w:t>
            </w:r>
          </w:p>
        </w:tc>
        <w:tc>
          <w:tcPr>
            <w:tcW w:w="216" w:type="pct"/>
            <w:tcBorders>
              <w:top w:val="nil"/>
              <w:left w:val="nil"/>
              <w:bottom w:val="nil"/>
              <w:right w:val="nil"/>
            </w:tcBorders>
            <w:shd w:val="clear" w:color="auto" w:fill="auto"/>
            <w:noWrap/>
            <w:vAlign w:val="center"/>
            <w:hideMark/>
          </w:tcPr>
          <w:p w14:paraId="10ADBF5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51" w:type="pct"/>
            <w:tcBorders>
              <w:top w:val="nil"/>
              <w:left w:val="nil"/>
              <w:bottom w:val="nil"/>
              <w:right w:val="single" w:sz="8" w:space="0" w:color="auto"/>
            </w:tcBorders>
            <w:shd w:val="clear" w:color="auto" w:fill="auto"/>
            <w:noWrap/>
            <w:vAlign w:val="center"/>
            <w:hideMark/>
          </w:tcPr>
          <w:p w14:paraId="7493690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2.60E-04</w:t>
            </w:r>
          </w:p>
        </w:tc>
        <w:tc>
          <w:tcPr>
            <w:tcW w:w="216" w:type="pct"/>
            <w:tcBorders>
              <w:top w:val="nil"/>
              <w:left w:val="nil"/>
              <w:bottom w:val="nil"/>
              <w:right w:val="nil"/>
            </w:tcBorders>
            <w:shd w:val="clear" w:color="auto" w:fill="auto"/>
            <w:noWrap/>
            <w:vAlign w:val="center"/>
            <w:hideMark/>
          </w:tcPr>
          <w:p w14:paraId="56309F8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2661A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20E9E2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D630B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5186BB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4E9605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822A6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0907F532" w14:textId="77777777" w:rsidTr="007F031B">
        <w:trPr>
          <w:trHeight w:val="195"/>
        </w:trPr>
        <w:tc>
          <w:tcPr>
            <w:tcW w:w="365"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655FE5FB"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total n3</w:t>
            </w:r>
          </w:p>
        </w:tc>
        <w:tc>
          <w:tcPr>
            <w:tcW w:w="216" w:type="pct"/>
            <w:tcBorders>
              <w:top w:val="single" w:sz="4" w:space="0" w:color="auto"/>
              <w:left w:val="nil"/>
              <w:bottom w:val="single" w:sz="8" w:space="0" w:color="auto"/>
              <w:right w:val="nil"/>
            </w:tcBorders>
            <w:shd w:val="clear" w:color="auto" w:fill="auto"/>
            <w:noWrap/>
            <w:vAlign w:val="center"/>
            <w:hideMark/>
          </w:tcPr>
          <w:p w14:paraId="2B06B36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2.37E-05</w:t>
            </w:r>
          </w:p>
        </w:tc>
        <w:tc>
          <w:tcPr>
            <w:tcW w:w="216" w:type="pct"/>
            <w:tcBorders>
              <w:top w:val="single" w:sz="4" w:space="0" w:color="auto"/>
              <w:left w:val="nil"/>
              <w:bottom w:val="single" w:sz="8" w:space="0" w:color="auto"/>
              <w:right w:val="nil"/>
            </w:tcBorders>
            <w:shd w:val="clear" w:color="auto" w:fill="auto"/>
            <w:noWrap/>
            <w:vAlign w:val="center"/>
            <w:hideMark/>
          </w:tcPr>
          <w:p w14:paraId="3B1DAC3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5.79E-04</w:t>
            </w:r>
          </w:p>
        </w:tc>
        <w:tc>
          <w:tcPr>
            <w:tcW w:w="216" w:type="pct"/>
            <w:tcBorders>
              <w:top w:val="single" w:sz="4" w:space="0" w:color="auto"/>
              <w:left w:val="nil"/>
              <w:bottom w:val="single" w:sz="8" w:space="0" w:color="auto"/>
              <w:right w:val="nil"/>
            </w:tcBorders>
            <w:shd w:val="clear" w:color="auto" w:fill="auto"/>
            <w:noWrap/>
            <w:vAlign w:val="center"/>
            <w:hideMark/>
          </w:tcPr>
          <w:p w14:paraId="7C63C6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2.91E-05</w:t>
            </w:r>
          </w:p>
        </w:tc>
        <w:tc>
          <w:tcPr>
            <w:tcW w:w="216" w:type="pct"/>
            <w:tcBorders>
              <w:top w:val="single" w:sz="4" w:space="0" w:color="auto"/>
              <w:left w:val="nil"/>
              <w:bottom w:val="single" w:sz="8" w:space="0" w:color="auto"/>
              <w:right w:val="nil"/>
            </w:tcBorders>
            <w:shd w:val="clear" w:color="auto" w:fill="auto"/>
            <w:noWrap/>
            <w:vAlign w:val="center"/>
            <w:hideMark/>
          </w:tcPr>
          <w:p w14:paraId="1AD4D28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3.98E-03</w:t>
            </w:r>
          </w:p>
        </w:tc>
        <w:tc>
          <w:tcPr>
            <w:tcW w:w="216" w:type="pct"/>
            <w:tcBorders>
              <w:top w:val="single" w:sz="4" w:space="0" w:color="auto"/>
              <w:left w:val="nil"/>
              <w:bottom w:val="single" w:sz="8" w:space="0" w:color="auto"/>
              <w:right w:val="nil"/>
            </w:tcBorders>
            <w:shd w:val="clear" w:color="auto" w:fill="auto"/>
            <w:noWrap/>
            <w:vAlign w:val="center"/>
            <w:hideMark/>
          </w:tcPr>
          <w:p w14:paraId="719DC5A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3.03E-05</w:t>
            </w:r>
          </w:p>
        </w:tc>
        <w:tc>
          <w:tcPr>
            <w:tcW w:w="216" w:type="pct"/>
            <w:tcBorders>
              <w:top w:val="single" w:sz="4" w:space="0" w:color="auto"/>
              <w:left w:val="nil"/>
              <w:bottom w:val="single" w:sz="8" w:space="0" w:color="auto"/>
              <w:right w:val="nil"/>
            </w:tcBorders>
            <w:shd w:val="clear" w:color="auto" w:fill="auto"/>
            <w:noWrap/>
            <w:vAlign w:val="center"/>
            <w:hideMark/>
          </w:tcPr>
          <w:p w14:paraId="4CB5A45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3.07E-05</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6F6E687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3.30E-05</w:t>
            </w:r>
          </w:p>
        </w:tc>
        <w:tc>
          <w:tcPr>
            <w:tcW w:w="216" w:type="pct"/>
            <w:tcBorders>
              <w:top w:val="single" w:sz="4" w:space="0" w:color="auto"/>
              <w:left w:val="nil"/>
              <w:bottom w:val="single" w:sz="8" w:space="0" w:color="auto"/>
              <w:right w:val="nil"/>
            </w:tcBorders>
            <w:shd w:val="clear" w:color="auto" w:fill="auto"/>
            <w:noWrap/>
            <w:vAlign w:val="center"/>
            <w:hideMark/>
          </w:tcPr>
          <w:p w14:paraId="79AA3BF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1.65E-04</w:t>
            </w:r>
          </w:p>
        </w:tc>
        <w:tc>
          <w:tcPr>
            <w:tcW w:w="216" w:type="pct"/>
            <w:tcBorders>
              <w:top w:val="single" w:sz="4" w:space="0" w:color="auto"/>
              <w:left w:val="nil"/>
              <w:bottom w:val="single" w:sz="8" w:space="0" w:color="auto"/>
              <w:right w:val="nil"/>
            </w:tcBorders>
            <w:shd w:val="clear" w:color="auto" w:fill="auto"/>
            <w:noWrap/>
            <w:vAlign w:val="center"/>
            <w:hideMark/>
          </w:tcPr>
          <w:p w14:paraId="12CAC56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5.36E-04</w:t>
            </w:r>
          </w:p>
        </w:tc>
        <w:tc>
          <w:tcPr>
            <w:tcW w:w="216" w:type="pct"/>
            <w:tcBorders>
              <w:top w:val="single" w:sz="4" w:space="0" w:color="auto"/>
              <w:left w:val="nil"/>
              <w:bottom w:val="single" w:sz="8" w:space="0" w:color="auto"/>
              <w:right w:val="nil"/>
            </w:tcBorders>
            <w:shd w:val="clear" w:color="auto" w:fill="auto"/>
            <w:noWrap/>
            <w:vAlign w:val="center"/>
            <w:hideMark/>
          </w:tcPr>
          <w:p w14:paraId="0803B81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5.98E-05</w:t>
            </w:r>
          </w:p>
        </w:tc>
        <w:tc>
          <w:tcPr>
            <w:tcW w:w="216" w:type="pct"/>
            <w:tcBorders>
              <w:top w:val="single" w:sz="4" w:space="0" w:color="auto"/>
              <w:left w:val="nil"/>
              <w:bottom w:val="single" w:sz="8" w:space="0" w:color="auto"/>
              <w:right w:val="nil"/>
            </w:tcBorders>
            <w:shd w:val="clear" w:color="auto" w:fill="auto"/>
            <w:noWrap/>
            <w:vAlign w:val="center"/>
            <w:hideMark/>
          </w:tcPr>
          <w:p w14:paraId="11BA22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3.20E-03</w:t>
            </w:r>
          </w:p>
        </w:tc>
        <w:tc>
          <w:tcPr>
            <w:tcW w:w="216" w:type="pct"/>
            <w:tcBorders>
              <w:top w:val="single" w:sz="4" w:space="0" w:color="auto"/>
              <w:left w:val="nil"/>
              <w:bottom w:val="single" w:sz="8" w:space="0" w:color="auto"/>
              <w:right w:val="nil"/>
            </w:tcBorders>
            <w:shd w:val="clear" w:color="auto" w:fill="auto"/>
            <w:noWrap/>
            <w:vAlign w:val="center"/>
            <w:hideMark/>
          </w:tcPr>
          <w:p w14:paraId="2CCF068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0.03</w:t>
            </w:r>
          </w:p>
        </w:tc>
        <w:tc>
          <w:tcPr>
            <w:tcW w:w="216" w:type="pct"/>
            <w:tcBorders>
              <w:top w:val="single" w:sz="4" w:space="0" w:color="auto"/>
              <w:left w:val="nil"/>
              <w:bottom w:val="single" w:sz="8" w:space="0" w:color="auto"/>
              <w:right w:val="nil"/>
            </w:tcBorders>
            <w:shd w:val="clear" w:color="auto" w:fill="auto"/>
            <w:noWrap/>
            <w:vAlign w:val="center"/>
            <w:hideMark/>
          </w:tcPr>
          <w:p w14:paraId="1D3B326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030A6C5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single" w:sz="4" w:space="0" w:color="auto"/>
              <w:left w:val="nil"/>
              <w:bottom w:val="single" w:sz="8" w:space="0" w:color="auto"/>
              <w:right w:val="nil"/>
            </w:tcBorders>
            <w:shd w:val="clear" w:color="auto" w:fill="auto"/>
            <w:noWrap/>
            <w:vAlign w:val="center"/>
            <w:hideMark/>
          </w:tcPr>
          <w:p w14:paraId="41EA4EC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54DCB2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1AF84E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589DC6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4D9DA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34A2195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9B3927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51A27BBB"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1156379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16:2</w:t>
            </w:r>
          </w:p>
        </w:tc>
        <w:tc>
          <w:tcPr>
            <w:tcW w:w="216" w:type="pct"/>
            <w:tcBorders>
              <w:top w:val="nil"/>
              <w:left w:val="nil"/>
              <w:bottom w:val="nil"/>
              <w:right w:val="nil"/>
            </w:tcBorders>
            <w:shd w:val="clear" w:color="auto" w:fill="auto"/>
            <w:noWrap/>
            <w:vAlign w:val="center"/>
            <w:hideMark/>
          </w:tcPr>
          <w:p w14:paraId="339F46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3.27E-04</w:t>
            </w:r>
          </w:p>
        </w:tc>
        <w:tc>
          <w:tcPr>
            <w:tcW w:w="216" w:type="pct"/>
            <w:tcBorders>
              <w:top w:val="nil"/>
              <w:left w:val="nil"/>
              <w:bottom w:val="nil"/>
              <w:right w:val="nil"/>
            </w:tcBorders>
            <w:shd w:val="clear" w:color="auto" w:fill="auto"/>
            <w:noWrap/>
            <w:vAlign w:val="center"/>
            <w:hideMark/>
          </w:tcPr>
          <w:p w14:paraId="0068B06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4.59E-02</w:t>
            </w:r>
          </w:p>
        </w:tc>
        <w:tc>
          <w:tcPr>
            <w:tcW w:w="216" w:type="pct"/>
            <w:tcBorders>
              <w:top w:val="nil"/>
              <w:left w:val="nil"/>
              <w:bottom w:val="nil"/>
              <w:right w:val="nil"/>
            </w:tcBorders>
            <w:shd w:val="clear" w:color="auto" w:fill="auto"/>
            <w:noWrap/>
            <w:vAlign w:val="center"/>
            <w:hideMark/>
          </w:tcPr>
          <w:p w14:paraId="4B45062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3.88E-04</w:t>
            </w:r>
          </w:p>
        </w:tc>
        <w:tc>
          <w:tcPr>
            <w:tcW w:w="216" w:type="pct"/>
            <w:tcBorders>
              <w:top w:val="nil"/>
              <w:left w:val="nil"/>
              <w:bottom w:val="nil"/>
              <w:right w:val="nil"/>
            </w:tcBorders>
            <w:shd w:val="clear" w:color="auto" w:fill="auto"/>
            <w:noWrap/>
            <w:vAlign w:val="center"/>
            <w:hideMark/>
          </w:tcPr>
          <w:p w14:paraId="320B28F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1.88E-04</w:t>
            </w:r>
          </w:p>
        </w:tc>
        <w:tc>
          <w:tcPr>
            <w:tcW w:w="216" w:type="pct"/>
            <w:tcBorders>
              <w:top w:val="nil"/>
              <w:left w:val="nil"/>
              <w:bottom w:val="nil"/>
              <w:right w:val="nil"/>
            </w:tcBorders>
            <w:shd w:val="clear" w:color="auto" w:fill="auto"/>
            <w:noWrap/>
            <w:vAlign w:val="center"/>
            <w:hideMark/>
          </w:tcPr>
          <w:p w14:paraId="712E95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3.50E-03</w:t>
            </w:r>
          </w:p>
        </w:tc>
        <w:tc>
          <w:tcPr>
            <w:tcW w:w="216" w:type="pct"/>
            <w:tcBorders>
              <w:top w:val="nil"/>
              <w:left w:val="nil"/>
              <w:bottom w:val="nil"/>
              <w:right w:val="nil"/>
            </w:tcBorders>
            <w:shd w:val="clear" w:color="auto" w:fill="auto"/>
            <w:noWrap/>
            <w:vAlign w:val="center"/>
            <w:hideMark/>
          </w:tcPr>
          <w:p w14:paraId="2318AB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8.10E-04</w:t>
            </w:r>
          </w:p>
        </w:tc>
        <w:tc>
          <w:tcPr>
            <w:tcW w:w="251" w:type="pct"/>
            <w:tcBorders>
              <w:top w:val="nil"/>
              <w:left w:val="nil"/>
              <w:bottom w:val="nil"/>
              <w:right w:val="single" w:sz="8" w:space="0" w:color="auto"/>
            </w:tcBorders>
            <w:shd w:val="clear" w:color="auto" w:fill="auto"/>
            <w:noWrap/>
            <w:vAlign w:val="center"/>
            <w:hideMark/>
          </w:tcPr>
          <w:p w14:paraId="047CF0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831430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4E516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3AB2CC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E07D0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728F64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97D6E0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BF36AD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455D76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C3641F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8DAAF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DE4F12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304C8E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9B137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D4596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9C35DC2"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6171844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16:3</w:t>
            </w:r>
          </w:p>
        </w:tc>
        <w:tc>
          <w:tcPr>
            <w:tcW w:w="216" w:type="pct"/>
            <w:tcBorders>
              <w:top w:val="nil"/>
              <w:left w:val="nil"/>
              <w:bottom w:val="nil"/>
              <w:right w:val="nil"/>
            </w:tcBorders>
            <w:shd w:val="clear" w:color="auto" w:fill="auto"/>
            <w:noWrap/>
            <w:vAlign w:val="center"/>
            <w:hideMark/>
          </w:tcPr>
          <w:p w14:paraId="5AECA5B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9DEBA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C65D91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A45C0B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0FDF3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96FC3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6FBD6C69"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0F4F34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024C8D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E3AFF0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857B97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871F98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77F2D0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14EE3B3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63254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9A867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324488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1FE8A8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D163B0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8E38CC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C9BA2D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29383864" w14:textId="77777777" w:rsidTr="007F031B">
        <w:trPr>
          <w:trHeight w:val="180"/>
        </w:trPr>
        <w:tc>
          <w:tcPr>
            <w:tcW w:w="365" w:type="pct"/>
            <w:tcBorders>
              <w:top w:val="nil"/>
              <w:left w:val="single" w:sz="8" w:space="0" w:color="auto"/>
              <w:bottom w:val="nil"/>
              <w:right w:val="single" w:sz="8" w:space="0" w:color="auto"/>
            </w:tcBorders>
            <w:shd w:val="clear" w:color="auto" w:fill="auto"/>
            <w:vAlign w:val="center"/>
            <w:hideMark/>
          </w:tcPr>
          <w:p w14:paraId="06F0D02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16:4</w:t>
            </w:r>
          </w:p>
        </w:tc>
        <w:tc>
          <w:tcPr>
            <w:tcW w:w="216" w:type="pct"/>
            <w:tcBorders>
              <w:top w:val="nil"/>
              <w:left w:val="nil"/>
              <w:bottom w:val="nil"/>
              <w:right w:val="nil"/>
            </w:tcBorders>
            <w:shd w:val="clear" w:color="auto" w:fill="auto"/>
            <w:noWrap/>
            <w:vAlign w:val="center"/>
            <w:hideMark/>
          </w:tcPr>
          <w:p w14:paraId="5F6DC7C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1.45E-05</w:t>
            </w:r>
          </w:p>
        </w:tc>
        <w:tc>
          <w:tcPr>
            <w:tcW w:w="216" w:type="pct"/>
            <w:tcBorders>
              <w:top w:val="nil"/>
              <w:left w:val="nil"/>
              <w:bottom w:val="nil"/>
              <w:right w:val="nil"/>
            </w:tcBorders>
            <w:shd w:val="clear" w:color="auto" w:fill="auto"/>
            <w:noWrap/>
            <w:vAlign w:val="center"/>
            <w:hideMark/>
          </w:tcPr>
          <w:p w14:paraId="1196CB5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1.05E-03</w:t>
            </w:r>
          </w:p>
        </w:tc>
        <w:tc>
          <w:tcPr>
            <w:tcW w:w="216" w:type="pct"/>
            <w:tcBorders>
              <w:top w:val="nil"/>
              <w:left w:val="nil"/>
              <w:bottom w:val="nil"/>
              <w:right w:val="nil"/>
            </w:tcBorders>
            <w:shd w:val="clear" w:color="auto" w:fill="auto"/>
            <w:noWrap/>
            <w:vAlign w:val="center"/>
            <w:hideMark/>
          </w:tcPr>
          <w:p w14:paraId="610336C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3.54E-05</w:t>
            </w:r>
          </w:p>
        </w:tc>
        <w:tc>
          <w:tcPr>
            <w:tcW w:w="216" w:type="pct"/>
            <w:tcBorders>
              <w:top w:val="nil"/>
              <w:left w:val="nil"/>
              <w:bottom w:val="nil"/>
              <w:right w:val="nil"/>
            </w:tcBorders>
            <w:shd w:val="clear" w:color="auto" w:fill="auto"/>
            <w:noWrap/>
            <w:vAlign w:val="center"/>
            <w:hideMark/>
          </w:tcPr>
          <w:p w14:paraId="53591AE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1.38E-06</w:t>
            </w:r>
          </w:p>
        </w:tc>
        <w:tc>
          <w:tcPr>
            <w:tcW w:w="216" w:type="pct"/>
            <w:tcBorders>
              <w:top w:val="nil"/>
              <w:left w:val="nil"/>
              <w:bottom w:val="nil"/>
              <w:right w:val="nil"/>
            </w:tcBorders>
            <w:shd w:val="clear" w:color="auto" w:fill="auto"/>
            <w:noWrap/>
            <w:vAlign w:val="center"/>
            <w:hideMark/>
          </w:tcPr>
          <w:p w14:paraId="1C6ADD8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3.71E-04</w:t>
            </w:r>
          </w:p>
        </w:tc>
        <w:tc>
          <w:tcPr>
            <w:tcW w:w="216" w:type="pct"/>
            <w:tcBorders>
              <w:top w:val="nil"/>
              <w:left w:val="nil"/>
              <w:bottom w:val="nil"/>
              <w:right w:val="nil"/>
            </w:tcBorders>
            <w:shd w:val="clear" w:color="auto" w:fill="auto"/>
            <w:noWrap/>
            <w:vAlign w:val="center"/>
            <w:hideMark/>
          </w:tcPr>
          <w:p w14:paraId="4AC0447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1.03E-03</w:t>
            </w:r>
          </w:p>
        </w:tc>
        <w:tc>
          <w:tcPr>
            <w:tcW w:w="251" w:type="pct"/>
            <w:tcBorders>
              <w:top w:val="nil"/>
              <w:left w:val="nil"/>
              <w:bottom w:val="nil"/>
              <w:right w:val="single" w:sz="8" w:space="0" w:color="auto"/>
            </w:tcBorders>
            <w:shd w:val="clear" w:color="auto" w:fill="auto"/>
            <w:noWrap/>
            <w:vAlign w:val="center"/>
            <w:hideMark/>
          </w:tcPr>
          <w:p w14:paraId="4D0EDE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0.01</w:t>
            </w:r>
          </w:p>
        </w:tc>
        <w:tc>
          <w:tcPr>
            <w:tcW w:w="216" w:type="pct"/>
            <w:tcBorders>
              <w:top w:val="nil"/>
              <w:left w:val="nil"/>
              <w:bottom w:val="nil"/>
              <w:right w:val="nil"/>
            </w:tcBorders>
            <w:shd w:val="clear" w:color="auto" w:fill="auto"/>
            <w:noWrap/>
            <w:vAlign w:val="center"/>
            <w:hideMark/>
          </w:tcPr>
          <w:p w14:paraId="4E7B7FF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2E9E76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260044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89032B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EF66F0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6F0EED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2AC03F1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C4229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148B26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CEFB78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735FDDA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FC641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3DB21A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78A691E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r w:rsidR="003D4B33" w:rsidRPr="00435B6B" w14:paraId="67FFBE70" w14:textId="77777777" w:rsidTr="007F031B">
        <w:trPr>
          <w:trHeight w:val="180"/>
        </w:trPr>
        <w:tc>
          <w:tcPr>
            <w:tcW w:w="365" w:type="pct"/>
            <w:tcBorders>
              <w:top w:val="nil"/>
              <w:left w:val="single" w:sz="8" w:space="0" w:color="auto"/>
              <w:bottom w:val="nil"/>
              <w:right w:val="single" w:sz="8" w:space="0" w:color="auto"/>
            </w:tcBorders>
            <w:shd w:val="clear" w:color="auto" w:fill="auto"/>
            <w:noWrap/>
            <w:vAlign w:val="center"/>
            <w:hideMark/>
          </w:tcPr>
          <w:p w14:paraId="6CD8165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22:2 NMID</w:t>
            </w:r>
          </w:p>
        </w:tc>
        <w:tc>
          <w:tcPr>
            <w:tcW w:w="216" w:type="pct"/>
            <w:tcBorders>
              <w:top w:val="nil"/>
              <w:left w:val="nil"/>
              <w:bottom w:val="nil"/>
              <w:right w:val="nil"/>
            </w:tcBorders>
            <w:shd w:val="clear" w:color="auto" w:fill="auto"/>
            <w:noWrap/>
            <w:vAlign w:val="center"/>
            <w:hideMark/>
          </w:tcPr>
          <w:p w14:paraId="38DDE26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344026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31D19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1E79C57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0992A91"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F02C95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38F26E63"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781A1C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5327687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9E07B8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23EF7DA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35B51FF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00979FC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3D9110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nil"/>
              <w:left w:val="nil"/>
              <w:bottom w:val="nil"/>
              <w:right w:val="nil"/>
            </w:tcBorders>
            <w:shd w:val="clear" w:color="auto" w:fill="auto"/>
            <w:noWrap/>
            <w:vAlign w:val="center"/>
            <w:hideMark/>
          </w:tcPr>
          <w:p w14:paraId="496EDF7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1.82E-03</w:t>
            </w:r>
          </w:p>
        </w:tc>
        <w:tc>
          <w:tcPr>
            <w:tcW w:w="216" w:type="pct"/>
            <w:tcBorders>
              <w:top w:val="nil"/>
              <w:left w:val="nil"/>
              <w:bottom w:val="nil"/>
              <w:right w:val="nil"/>
            </w:tcBorders>
            <w:shd w:val="clear" w:color="auto" w:fill="auto"/>
            <w:noWrap/>
            <w:vAlign w:val="center"/>
            <w:hideMark/>
          </w:tcPr>
          <w:p w14:paraId="3D7F6D5C"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2.18E-02</w:t>
            </w:r>
          </w:p>
        </w:tc>
        <w:tc>
          <w:tcPr>
            <w:tcW w:w="216" w:type="pct"/>
            <w:tcBorders>
              <w:top w:val="nil"/>
              <w:left w:val="nil"/>
              <w:bottom w:val="nil"/>
              <w:right w:val="nil"/>
            </w:tcBorders>
            <w:shd w:val="clear" w:color="auto" w:fill="auto"/>
            <w:noWrap/>
            <w:vAlign w:val="center"/>
            <w:hideMark/>
          </w:tcPr>
          <w:p w14:paraId="5C9344C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1.17E-02</w:t>
            </w:r>
          </w:p>
        </w:tc>
        <w:tc>
          <w:tcPr>
            <w:tcW w:w="216" w:type="pct"/>
            <w:tcBorders>
              <w:top w:val="nil"/>
              <w:left w:val="nil"/>
              <w:bottom w:val="nil"/>
              <w:right w:val="nil"/>
            </w:tcBorders>
            <w:shd w:val="clear" w:color="auto" w:fill="auto"/>
            <w:noWrap/>
            <w:vAlign w:val="center"/>
            <w:hideMark/>
          </w:tcPr>
          <w:p w14:paraId="18C3594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2.49E-03</w:t>
            </w:r>
          </w:p>
        </w:tc>
        <w:tc>
          <w:tcPr>
            <w:tcW w:w="216" w:type="pct"/>
            <w:tcBorders>
              <w:top w:val="nil"/>
              <w:left w:val="nil"/>
              <w:bottom w:val="nil"/>
              <w:right w:val="nil"/>
            </w:tcBorders>
            <w:shd w:val="clear" w:color="auto" w:fill="auto"/>
            <w:noWrap/>
            <w:vAlign w:val="center"/>
            <w:hideMark/>
          </w:tcPr>
          <w:p w14:paraId="19447C0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6.58E-03</w:t>
            </w:r>
          </w:p>
        </w:tc>
        <w:tc>
          <w:tcPr>
            <w:tcW w:w="216" w:type="pct"/>
            <w:tcBorders>
              <w:top w:val="nil"/>
              <w:left w:val="nil"/>
              <w:bottom w:val="nil"/>
              <w:right w:val="nil"/>
            </w:tcBorders>
            <w:shd w:val="clear" w:color="auto" w:fill="auto"/>
            <w:noWrap/>
            <w:vAlign w:val="center"/>
            <w:hideMark/>
          </w:tcPr>
          <w:p w14:paraId="7356780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nil"/>
              <w:left w:val="nil"/>
              <w:bottom w:val="nil"/>
              <w:right w:val="single" w:sz="8" w:space="0" w:color="auto"/>
            </w:tcBorders>
            <w:shd w:val="clear" w:color="auto" w:fill="auto"/>
            <w:noWrap/>
            <w:vAlign w:val="center"/>
            <w:hideMark/>
          </w:tcPr>
          <w:p w14:paraId="57475E7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8.61E-04</w:t>
            </w:r>
          </w:p>
        </w:tc>
      </w:tr>
      <w:tr w:rsidR="003D4B33" w:rsidRPr="00435B6B" w14:paraId="49625DD8" w14:textId="77777777" w:rsidTr="007F031B">
        <w:trPr>
          <w:trHeight w:val="195"/>
        </w:trPr>
        <w:tc>
          <w:tcPr>
            <w:tcW w:w="365"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5939CC44" w14:textId="77777777" w:rsidR="003D4B33" w:rsidRPr="009819CE" w:rsidRDefault="003D4B33" w:rsidP="007F031B">
            <w:pPr>
              <w:spacing w:after="0" w:line="240" w:lineRule="auto"/>
              <w:jc w:val="center"/>
              <w:rPr>
                <w:rFonts w:cstheme="minorBidi"/>
                <w:b/>
                <w:bCs/>
                <w:color w:val="000000"/>
                <w:sz w:val="14"/>
                <w:szCs w:val="14"/>
              </w:rPr>
            </w:pPr>
            <w:r w:rsidRPr="009819CE">
              <w:rPr>
                <w:rFonts w:cstheme="minorBidi"/>
                <w:b/>
                <w:bCs/>
                <w:color w:val="000000"/>
                <w:sz w:val="14"/>
                <w:szCs w:val="14"/>
              </w:rPr>
              <w:t>total other</w:t>
            </w:r>
          </w:p>
        </w:tc>
        <w:tc>
          <w:tcPr>
            <w:tcW w:w="216" w:type="pct"/>
            <w:tcBorders>
              <w:top w:val="single" w:sz="4" w:space="0" w:color="auto"/>
              <w:left w:val="nil"/>
              <w:bottom w:val="single" w:sz="8" w:space="0" w:color="auto"/>
              <w:right w:val="nil"/>
            </w:tcBorders>
            <w:shd w:val="clear" w:color="auto" w:fill="auto"/>
            <w:noWrap/>
            <w:vAlign w:val="center"/>
            <w:hideMark/>
          </w:tcPr>
          <w:p w14:paraId="195E370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1.51E-05</w:t>
            </w:r>
          </w:p>
        </w:tc>
        <w:tc>
          <w:tcPr>
            <w:tcW w:w="216" w:type="pct"/>
            <w:tcBorders>
              <w:top w:val="single" w:sz="4" w:space="0" w:color="auto"/>
              <w:left w:val="nil"/>
              <w:bottom w:val="single" w:sz="8" w:space="0" w:color="auto"/>
              <w:right w:val="nil"/>
            </w:tcBorders>
            <w:shd w:val="clear" w:color="auto" w:fill="auto"/>
            <w:noWrap/>
            <w:vAlign w:val="center"/>
            <w:hideMark/>
          </w:tcPr>
          <w:p w14:paraId="4E71D7B7"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3.09E-05</w:t>
            </w:r>
          </w:p>
        </w:tc>
        <w:tc>
          <w:tcPr>
            <w:tcW w:w="216" w:type="pct"/>
            <w:tcBorders>
              <w:top w:val="single" w:sz="4" w:space="0" w:color="auto"/>
              <w:left w:val="nil"/>
              <w:bottom w:val="single" w:sz="8" w:space="0" w:color="auto"/>
              <w:right w:val="nil"/>
            </w:tcBorders>
            <w:shd w:val="clear" w:color="auto" w:fill="auto"/>
            <w:noWrap/>
            <w:vAlign w:val="center"/>
            <w:hideMark/>
          </w:tcPr>
          <w:p w14:paraId="006D6EF6"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1.84E-05</w:t>
            </w:r>
          </w:p>
        </w:tc>
        <w:tc>
          <w:tcPr>
            <w:tcW w:w="216" w:type="pct"/>
            <w:tcBorders>
              <w:top w:val="single" w:sz="4" w:space="0" w:color="auto"/>
              <w:left w:val="nil"/>
              <w:bottom w:val="single" w:sz="8" w:space="0" w:color="auto"/>
              <w:right w:val="nil"/>
            </w:tcBorders>
            <w:shd w:val="clear" w:color="auto" w:fill="auto"/>
            <w:noWrap/>
            <w:vAlign w:val="center"/>
            <w:hideMark/>
          </w:tcPr>
          <w:p w14:paraId="014680E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1.72E-05</w:t>
            </w:r>
          </w:p>
        </w:tc>
        <w:tc>
          <w:tcPr>
            <w:tcW w:w="216" w:type="pct"/>
            <w:tcBorders>
              <w:top w:val="single" w:sz="4" w:space="0" w:color="auto"/>
              <w:left w:val="nil"/>
              <w:bottom w:val="single" w:sz="8" w:space="0" w:color="auto"/>
              <w:right w:val="nil"/>
            </w:tcBorders>
            <w:shd w:val="clear" w:color="auto" w:fill="auto"/>
            <w:noWrap/>
            <w:vAlign w:val="center"/>
            <w:hideMark/>
          </w:tcPr>
          <w:p w14:paraId="08CCC85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5.43E-06</w:t>
            </w:r>
          </w:p>
        </w:tc>
        <w:tc>
          <w:tcPr>
            <w:tcW w:w="216" w:type="pct"/>
            <w:tcBorders>
              <w:top w:val="single" w:sz="4" w:space="0" w:color="auto"/>
              <w:left w:val="nil"/>
              <w:bottom w:val="single" w:sz="8" w:space="0" w:color="auto"/>
              <w:right w:val="nil"/>
            </w:tcBorders>
            <w:shd w:val="clear" w:color="auto" w:fill="auto"/>
            <w:noWrap/>
            <w:vAlign w:val="center"/>
            <w:hideMark/>
          </w:tcPr>
          <w:p w14:paraId="332F429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5.78E-06</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371B02F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1.09E-04</w:t>
            </w:r>
          </w:p>
        </w:tc>
        <w:tc>
          <w:tcPr>
            <w:tcW w:w="216" w:type="pct"/>
            <w:tcBorders>
              <w:top w:val="single" w:sz="4" w:space="0" w:color="auto"/>
              <w:left w:val="nil"/>
              <w:bottom w:val="single" w:sz="8" w:space="0" w:color="auto"/>
              <w:right w:val="nil"/>
            </w:tcBorders>
            <w:shd w:val="clear" w:color="auto" w:fill="auto"/>
            <w:noWrap/>
            <w:vAlign w:val="center"/>
            <w:hideMark/>
          </w:tcPr>
          <w:p w14:paraId="224D38CA"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788515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13A418D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1958F0F4"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420911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06BE28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75DDF21D"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5E9E2EA8"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7570C110"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1AB8172"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B91A4FE"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0D736F0F"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16" w:type="pct"/>
            <w:tcBorders>
              <w:top w:val="single" w:sz="4" w:space="0" w:color="auto"/>
              <w:left w:val="nil"/>
              <w:bottom w:val="single" w:sz="8" w:space="0" w:color="auto"/>
              <w:right w:val="nil"/>
            </w:tcBorders>
            <w:shd w:val="clear" w:color="auto" w:fill="auto"/>
            <w:noWrap/>
            <w:vAlign w:val="center"/>
            <w:hideMark/>
          </w:tcPr>
          <w:p w14:paraId="20784135"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c>
          <w:tcPr>
            <w:tcW w:w="251" w:type="pct"/>
            <w:tcBorders>
              <w:top w:val="single" w:sz="4" w:space="0" w:color="auto"/>
              <w:left w:val="nil"/>
              <w:bottom w:val="single" w:sz="8" w:space="0" w:color="auto"/>
              <w:right w:val="single" w:sz="8" w:space="0" w:color="auto"/>
            </w:tcBorders>
            <w:shd w:val="clear" w:color="auto" w:fill="auto"/>
            <w:noWrap/>
            <w:vAlign w:val="center"/>
            <w:hideMark/>
          </w:tcPr>
          <w:p w14:paraId="406A4EEB" w14:textId="77777777" w:rsidR="003D4B33" w:rsidRPr="009819CE" w:rsidRDefault="003D4B33" w:rsidP="007F031B">
            <w:pPr>
              <w:spacing w:after="0" w:line="240" w:lineRule="auto"/>
              <w:jc w:val="center"/>
              <w:rPr>
                <w:rFonts w:cstheme="minorBidi"/>
                <w:color w:val="000000"/>
                <w:sz w:val="14"/>
                <w:szCs w:val="14"/>
              </w:rPr>
            </w:pPr>
            <w:r w:rsidRPr="009819CE">
              <w:rPr>
                <w:rFonts w:cstheme="minorBidi"/>
                <w:color w:val="000000"/>
                <w:sz w:val="14"/>
                <w:szCs w:val="14"/>
              </w:rPr>
              <w:t>ns</w:t>
            </w:r>
          </w:p>
        </w:tc>
      </w:tr>
    </w:tbl>
    <w:p w14:paraId="5DB70474" w14:textId="77777777" w:rsidR="003D4B33" w:rsidRPr="009819CE" w:rsidRDefault="003D4B33" w:rsidP="003D4B33">
      <w:pPr>
        <w:rPr>
          <w:rFonts w:cstheme="minorBidi"/>
        </w:rPr>
        <w:sectPr w:rsidR="003D4B33" w:rsidRPr="009819CE" w:rsidSect="003D4B33">
          <w:footerReference w:type="default" r:id="rId122"/>
          <w:pgSz w:w="16840" w:h="11900" w:orient="landscape"/>
          <w:pgMar w:top="1440" w:right="1440" w:bottom="1440" w:left="1440" w:header="340" w:footer="397" w:gutter="0"/>
          <w:cols w:space="720"/>
          <w:docGrid w:linePitch="360"/>
        </w:sectPr>
      </w:pPr>
    </w:p>
    <w:p w14:paraId="31FBB8F5" w14:textId="77777777" w:rsidR="00311483" w:rsidRDefault="00311483" w:rsidP="003D4B33">
      <w:pPr>
        <w:pStyle w:val="Caption"/>
        <w:rPr>
          <w:b/>
          <w:bCs/>
        </w:rPr>
      </w:pPr>
      <w:bookmarkStart w:id="392" w:name="_Ref204022624"/>
    </w:p>
    <w:p w14:paraId="5132BFF0" w14:textId="243474E5" w:rsidR="003D4B33" w:rsidRPr="009819CE" w:rsidRDefault="003D4B33" w:rsidP="003D4B33">
      <w:pPr>
        <w:pStyle w:val="Caption"/>
        <w:rPr>
          <w:rFonts w:cstheme="minorBidi"/>
          <w:iCs w:val="0"/>
          <w:color w:val="000000"/>
        </w:rPr>
      </w:pPr>
      <w:bookmarkStart w:id="393" w:name="_Ref204026171"/>
      <w:bookmarkStart w:id="394" w:name="_Toc204106769"/>
      <w:r w:rsidRPr="005E2068">
        <w:rPr>
          <w:b/>
          <w:bCs/>
        </w:rPr>
        <w:t xml:space="preserve">Table </w:t>
      </w:r>
      <w:r w:rsidR="0095522A">
        <w:rPr>
          <w:b/>
          <w:bCs/>
        </w:rPr>
        <w:fldChar w:fldCharType="begin"/>
      </w:r>
      <w:r w:rsidR="0095522A">
        <w:rPr>
          <w:b/>
          <w:bCs/>
        </w:rPr>
        <w:instrText xml:space="preserve"> STYLEREF 1 \s </w:instrText>
      </w:r>
      <w:r w:rsidR="0095522A">
        <w:rPr>
          <w:b/>
          <w:bCs/>
        </w:rPr>
        <w:fldChar w:fldCharType="separate"/>
      </w:r>
      <w:r w:rsidR="008549FC">
        <w:rPr>
          <w:b/>
          <w:bCs/>
          <w:noProof/>
        </w:rPr>
        <w:t>4</w:t>
      </w:r>
      <w:r w:rsidR="0095522A">
        <w:rPr>
          <w:b/>
          <w:bCs/>
        </w:rPr>
        <w:fldChar w:fldCharType="end"/>
      </w:r>
      <w:r w:rsidR="0095522A">
        <w:rPr>
          <w:b/>
          <w:bCs/>
        </w:rPr>
        <w:t>.</w:t>
      </w:r>
      <w:r w:rsidR="0095522A">
        <w:rPr>
          <w:b/>
          <w:bCs/>
        </w:rPr>
        <w:fldChar w:fldCharType="begin"/>
      </w:r>
      <w:r w:rsidR="0095522A">
        <w:rPr>
          <w:b/>
          <w:bCs/>
        </w:rPr>
        <w:instrText xml:space="preserve"> SEQ Table \* ARABIC \s 1 </w:instrText>
      </w:r>
      <w:r w:rsidR="0095522A">
        <w:rPr>
          <w:b/>
          <w:bCs/>
        </w:rPr>
        <w:fldChar w:fldCharType="separate"/>
      </w:r>
      <w:r w:rsidR="008549FC">
        <w:rPr>
          <w:b/>
          <w:bCs/>
          <w:noProof/>
        </w:rPr>
        <w:t>9</w:t>
      </w:r>
      <w:r w:rsidR="0095522A">
        <w:rPr>
          <w:b/>
          <w:bCs/>
        </w:rPr>
        <w:fldChar w:fldCharType="end"/>
      </w:r>
      <w:bookmarkEnd w:id="392"/>
      <w:bookmarkEnd w:id="393"/>
      <w:r>
        <w:t xml:space="preserve"> </w:t>
      </w:r>
      <w:r w:rsidRPr="009819CE">
        <w:rPr>
          <w:rFonts w:cstheme="minorBidi"/>
          <w:color w:val="000000"/>
        </w:rPr>
        <w:t xml:space="preserve">Anova comparison of fatty acid composition of hepatopancreas with different levels of </w:t>
      </w:r>
      <w:r w:rsidRPr="009819CE">
        <w:rPr>
          <w:rFonts w:cstheme="minorBidi"/>
          <w:i/>
          <w:color w:val="000000"/>
        </w:rPr>
        <w:t>Hematodinium</w:t>
      </w:r>
      <w:r w:rsidRPr="009819CE">
        <w:rPr>
          <w:rFonts w:cstheme="minorBidi"/>
          <w:color w:val="000000"/>
        </w:rPr>
        <w:t xml:space="preserve"> sp. infection. according to the pleopod method</w:t>
      </w:r>
      <w:r w:rsidR="006162E5">
        <w:rPr>
          <w:rFonts w:cstheme="minorBidi"/>
          <w:color w:val="000000"/>
        </w:rPr>
        <w:t xml:space="preserve"> vs the hepatopancreas of sporulated animals</w:t>
      </w:r>
      <w:r w:rsidR="006162E5" w:rsidRPr="009819CE">
        <w:rPr>
          <w:rFonts w:cstheme="minorBidi"/>
          <w:color w:val="000000"/>
        </w:rPr>
        <w:t>: analysis of total fatty acid composition, and fatty acid composition in neutral and polar fraction of the total lipid.</w:t>
      </w:r>
      <w:bookmarkEnd w:id="394"/>
    </w:p>
    <w:tbl>
      <w:tblPr>
        <w:tblW w:w="5000" w:type="pct"/>
        <w:jc w:val="center"/>
        <w:tblLook w:val="04A0" w:firstRow="1" w:lastRow="0" w:firstColumn="1" w:lastColumn="0" w:noHBand="0" w:noVBand="1"/>
      </w:tblPr>
      <w:tblGrid>
        <w:gridCol w:w="1268"/>
        <w:gridCol w:w="1976"/>
        <w:gridCol w:w="1714"/>
        <w:gridCol w:w="1116"/>
        <w:gridCol w:w="1708"/>
        <w:gridCol w:w="1244"/>
      </w:tblGrid>
      <w:tr w:rsidR="006162E5" w:rsidRPr="006162E5" w14:paraId="48C35A78"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47AAADAB" w14:textId="77777777" w:rsidR="006162E5" w:rsidRPr="006162E5" w:rsidRDefault="006162E5" w:rsidP="006162E5">
            <w:pPr>
              <w:spacing w:before="0" w:after="0" w:line="240" w:lineRule="auto"/>
              <w:jc w:val="center"/>
              <w:rPr>
                <w:rFonts w:ascii="Arial" w:hAnsi="Arial" w:cs="Arial"/>
                <w:b/>
                <w:bCs/>
                <w:color w:val="000000"/>
                <w:sz w:val="22"/>
                <w:szCs w:val="22"/>
              </w:rPr>
            </w:pPr>
            <w:r w:rsidRPr="006162E5">
              <w:rPr>
                <w:rFonts w:ascii="Arial" w:hAnsi="Arial" w:cs="Arial"/>
                <w:b/>
                <w:bCs/>
                <w:color w:val="000000"/>
                <w:sz w:val="22"/>
                <w:szCs w:val="22"/>
              </w:rPr>
              <w:t>variable</w:t>
            </w:r>
          </w:p>
        </w:tc>
        <w:tc>
          <w:tcPr>
            <w:tcW w:w="1095" w:type="pct"/>
            <w:tcBorders>
              <w:top w:val="nil"/>
              <w:left w:val="nil"/>
              <w:bottom w:val="nil"/>
              <w:right w:val="nil"/>
            </w:tcBorders>
            <w:shd w:val="clear" w:color="auto" w:fill="auto"/>
            <w:noWrap/>
            <w:vAlign w:val="center"/>
            <w:hideMark/>
          </w:tcPr>
          <w:p w14:paraId="79D5629E" w14:textId="77777777" w:rsidR="006162E5" w:rsidRPr="006162E5" w:rsidRDefault="006162E5" w:rsidP="006162E5">
            <w:pPr>
              <w:spacing w:before="0" w:after="0" w:line="240" w:lineRule="auto"/>
              <w:jc w:val="center"/>
              <w:rPr>
                <w:rFonts w:ascii="Arial" w:hAnsi="Arial" w:cs="Arial"/>
                <w:b/>
                <w:bCs/>
                <w:color w:val="000000"/>
                <w:sz w:val="22"/>
                <w:szCs w:val="22"/>
              </w:rPr>
            </w:pPr>
            <w:r w:rsidRPr="006162E5">
              <w:rPr>
                <w:rFonts w:ascii="Arial" w:hAnsi="Arial" w:cs="Arial"/>
                <w:b/>
                <w:bCs/>
                <w:color w:val="000000"/>
                <w:sz w:val="22"/>
                <w:szCs w:val="22"/>
              </w:rPr>
              <w:t>comparison</w:t>
            </w:r>
          </w:p>
        </w:tc>
        <w:tc>
          <w:tcPr>
            <w:tcW w:w="949" w:type="pct"/>
            <w:tcBorders>
              <w:top w:val="nil"/>
              <w:left w:val="nil"/>
              <w:bottom w:val="nil"/>
              <w:right w:val="nil"/>
            </w:tcBorders>
            <w:shd w:val="clear" w:color="auto" w:fill="auto"/>
            <w:noWrap/>
            <w:vAlign w:val="center"/>
            <w:hideMark/>
          </w:tcPr>
          <w:p w14:paraId="0A353E03" w14:textId="77777777" w:rsidR="006162E5" w:rsidRPr="006162E5" w:rsidRDefault="006162E5" w:rsidP="006162E5">
            <w:pPr>
              <w:spacing w:before="0" w:after="0" w:line="240" w:lineRule="auto"/>
              <w:jc w:val="center"/>
              <w:rPr>
                <w:rFonts w:ascii="Arial" w:hAnsi="Arial" w:cs="Arial"/>
                <w:b/>
                <w:bCs/>
                <w:color w:val="000000"/>
                <w:sz w:val="22"/>
                <w:szCs w:val="22"/>
              </w:rPr>
            </w:pPr>
            <w:r w:rsidRPr="006162E5">
              <w:rPr>
                <w:rFonts w:ascii="Arial" w:hAnsi="Arial" w:cs="Arial"/>
                <w:b/>
                <w:bCs/>
                <w:color w:val="000000"/>
                <w:sz w:val="22"/>
                <w:szCs w:val="22"/>
              </w:rPr>
              <w:t>test</w:t>
            </w:r>
          </w:p>
        </w:tc>
        <w:tc>
          <w:tcPr>
            <w:tcW w:w="618" w:type="pct"/>
            <w:tcBorders>
              <w:top w:val="nil"/>
              <w:left w:val="nil"/>
              <w:bottom w:val="nil"/>
              <w:right w:val="nil"/>
            </w:tcBorders>
            <w:shd w:val="clear" w:color="auto" w:fill="auto"/>
            <w:noWrap/>
            <w:vAlign w:val="center"/>
            <w:hideMark/>
          </w:tcPr>
          <w:p w14:paraId="3798C13F" w14:textId="3A569DAA" w:rsidR="006162E5" w:rsidRPr="006162E5" w:rsidRDefault="006162E5" w:rsidP="006162E5">
            <w:pPr>
              <w:spacing w:before="0" w:after="0" w:line="240" w:lineRule="auto"/>
              <w:jc w:val="center"/>
              <w:rPr>
                <w:rFonts w:ascii="Arial" w:hAnsi="Arial" w:cs="Arial"/>
                <w:b/>
                <w:bCs/>
                <w:color w:val="000000"/>
                <w:sz w:val="22"/>
                <w:szCs w:val="22"/>
              </w:rPr>
            </w:pPr>
            <w:r>
              <w:rPr>
                <w:rFonts w:ascii="Arial" w:hAnsi="Arial" w:cs="Arial"/>
                <w:b/>
                <w:bCs/>
                <w:color w:val="000000"/>
                <w:sz w:val="22"/>
                <w:szCs w:val="22"/>
              </w:rPr>
              <w:t xml:space="preserve">p </w:t>
            </w:r>
            <w:r w:rsidRPr="006162E5">
              <w:rPr>
                <w:rFonts w:ascii="Arial" w:hAnsi="Arial" w:cs="Arial"/>
                <w:b/>
                <w:bCs/>
                <w:color w:val="000000"/>
                <w:sz w:val="22"/>
                <w:szCs w:val="22"/>
              </w:rPr>
              <w:t>value</w:t>
            </w:r>
          </w:p>
        </w:tc>
        <w:tc>
          <w:tcPr>
            <w:tcW w:w="946" w:type="pct"/>
            <w:tcBorders>
              <w:top w:val="nil"/>
              <w:left w:val="nil"/>
              <w:bottom w:val="nil"/>
              <w:right w:val="nil"/>
            </w:tcBorders>
            <w:shd w:val="clear" w:color="auto" w:fill="auto"/>
            <w:noWrap/>
            <w:vAlign w:val="center"/>
            <w:hideMark/>
          </w:tcPr>
          <w:p w14:paraId="7A3A64A7" w14:textId="35DFCF50" w:rsidR="006162E5" w:rsidRPr="006162E5" w:rsidRDefault="006162E5" w:rsidP="006162E5">
            <w:pPr>
              <w:spacing w:before="0" w:after="0" w:line="240" w:lineRule="auto"/>
              <w:jc w:val="center"/>
              <w:rPr>
                <w:rFonts w:ascii="Arial" w:hAnsi="Arial" w:cs="Arial"/>
                <w:b/>
                <w:bCs/>
                <w:color w:val="000000"/>
                <w:sz w:val="22"/>
                <w:szCs w:val="22"/>
              </w:rPr>
            </w:pPr>
            <w:r w:rsidRPr="006162E5">
              <w:rPr>
                <w:rFonts w:ascii="Arial" w:hAnsi="Arial" w:cs="Arial"/>
                <w:b/>
                <w:bCs/>
                <w:color w:val="000000"/>
                <w:sz w:val="22"/>
                <w:szCs w:val="22"/>
              </w:rPr>
              <w:t>Anova</w:t>
            </w:r>
            <w:r>
              <w:rPr>
                <w:rFonts w:ascii="Arial" w:hAnsi="Arial" w:cs="Arial"/>
                <w:b/>
                <w:bCs/>
                <w:color w:val="000000"/>
                <w:sz w:val="22"/>
                <w:szCs w:val="22"/>
              </w:rPr>
              <w:t xml:space="preserve"> </w:t>
            </w:r>
            <w:r w:rsidRPr="006162E5">
              <w:rPr>
                <w:rFonts w:ascii="Arial" w:hAnsi="Arial" w:cs="Arial"/>
                <w:b/>
                <w:bCs/>
                <w:color w:val="000000"/>
                <w:sz w:val="22"/>
                <w:szCs w:val="22"/>
              </w:rPr>
              <w:t>p</w:t>
            </w:r>
            <w:r>
              <w:rPr>
                <w:rFonts w:ascii="Arial" w:hAnsi="Arial" w:cs="Arial"/>
                <w:b/>
                <w:bCs/>
                <w:color w:val="000000"/>
                <w:sz w:val="22"/>
                <w:szCs w:val="22"/>
              </w:rPr>
              <w:t xml:space="preserve"> value</w:t>
            </w:r>
          </w:p>
        </w:tc>
        <w:tc>
          <w:tcPr>
            <w:tcW w:w="689" w:type="pct"/>
            <w:tcBorders>
              <w:top w:val="nil"/>
              <w:left w:val="nil"/>
              <w:bottom w:val="nil"/>
              <w:right w:val="nil"/>
            </w:tcBorders>
            <w:shd w:val="clear" w:color="auto" w:fill="auto"/>
            <w:noWrap/>
            <w:vAlign w:val="center"/>
            <w:hideMark/>
          </w:tcPr>
          <w:p w14:paraId="2D34418C" w14:textId="77777777" w:rsidR="006162E5" w:rsidRPr="006162E5" w:rsidRDefault="006162E5" w:rsidP="006162E5">
            <w:pPr>
              <w:spacing w:before="0" w:after="0" w:line="240" w:lineRule="auto"/>
              <w:jc w:val="center"/>
              <w:rPr>
                <w:rFonts w:ascii="Arial" w:hAnsi="Arial" w:cs="Arial"/>
                <w:b/>
                <w:bCs/>
                <w:color w:val="000000"/>
                <w:sz w:val="22"/>
                <w:szCs w:val="22"/>
              </w:rPr>
            </w:pPr>
            <w:r w:rsidRPr="006162E5">
              <w:rPr>
                <w:rFonts w:ascii="Arial" w:hAnsi="Arial" w:cs="Arial"/>
                <w:b/>
                <w:bCs/>
                <w:color w:val="000000"/>
                <w:sz w:val="22"/>
                <w:szCs w:val="22"/>
              </w:rPr>
              <w:t>FAMES</w:t>
            </w:r>
          </w:p>
        </w:tc>
      </w:tr>
      <w:tr w:rsidR="006162E5" w:rsidRPr="006162E5" w14:paraId="419357ED"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097299C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20:1n-7</w:t>
            </w:r>
          </w:p>
        </w:tc>
        <w:tc>
          <w:tcPr>
            <w:tcW w:w="1095" w:type="pct"/>
            <w:tcBorders>
              <w:top w:val="nil"/>
              <w:left w:val="nil"/>
              <w:bottom w:val="nil"/>
              <w:right w:val="nil"/>
            </w:tcBorders>
            <w:shd w:val="clear" w:color="auto" w:fill="auto"/>
            <w:noWrap/>
            <w:vAlign w:val="center"/>
            <w:hideMark/>
          </w:tcPr>
          <w:p w14:paraId="0C82BF51"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sporulated-S0</w:t>
            </w:r>
          </w:p>
        </w:tc>
        <w:tc>
          <w:tcPr>
            <w:tcW w:w="949" w:type="pct"/>
            <w:tcBorders>
              <w:top w:val="nil"/>
              <w:left w:val="nil"/>
              <w:bottom w:val="nil"/>
              <w:right w:val="nil"/>
            </w:tcBorders>
            <w:shd w:val="clear" w:color="auto" w:fill="auto"/>
            <w:noWrap/>
            <w:vAlign w:val="center"/>
            <w:hideMark/>
          </w:tcPr>
          <w:p w14:paraId="0EF22D3E"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7BBE5A71"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3.39E-02</w:t>
            </w:r>
          </w:p>
        </w:tc>
        <w:tc>
          <w:tcPr>
            <w:tcW w:w="946" w:type="pct"/>
            <w:tcBorders>
              <w:top w:val="nil"/>
              <w:left w:val="nil"/>
              <w:bottom w:val="nil"/>
              <w:right w:val="nil"/>
            </w:tcBorders>
            <w:shd w:val="clear" w:color="auto" w:fill="auto"/>
            <w:noWrap/>
            <w:vAlign w:val="center"/>
            <w:hideMark/>
          </w:tcPr>
          <w:p w14:paraId="50A0A6B9"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4.70E-02</w:t>
            </w:r>
          </w:p>
        </w:tc>
        <w:tc>
          <w:tcPr>
            <w:tcW w:w="689" w:type="pct"/>
            <w:tcBorders>
              <w:top w:val="nil"/>
              <w:left w:val="nil"/>
              <w:bottom w:val="nil"/>
              <w:right w:val="nil"/>
            </w:tcBorders>
            <w:shd w:val="clear" w:color="auto" w:fill="auto"/>
            <w:noWrap/>
            <w:vAlign w:val="center"/>
            <w:hideMark/>
          </w:tcPr>
          <w:p w14:paraId="3E28E2D8"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NEUTRAL</w:t>
            </w:r>
          </w:p>
        </w:tc>
      </w:tr>
      <w:tr w:rsidR="006162E5" w:rsidRPr="006162E5" w14:paraId="7D83F81E"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4CA108A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20:2n-6</w:t>
            </w:r>
          </w:p>
        </w:tc>
        <w:tc>
          <w:tcPr>
            <w:tcW w:w="1095" w:type="pct"/>
            <w:tcBorders>
              <w:top w:val="nil"/>
              <w:left w:val="nil"/>
              <w:bottom w:val="nil"/>
              <w:right w:val="nil"/>
            </w:tcBorders>
            <w:shd w:val="clear" w:color="auto" w:fill="auto"/>
            <w:noWrap/>
            <w:vAlign w:val="center"/>
            <w:hideMark/>
          </w:tcPr>
          <w:p w14:paraId="58D685B3"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sporulated-S0</w:t>
            </w:r>
          </w:p>
        </w:tc>
        <w:tc>
          <w:tcPr>
            <w:tcW w:w="949" w:type="pct"/>
            <w:tcBorders>
              <w:top w:val="nil"/>
              <w:left w:val="nil"/>
              <w:bottom w:val="nil"/>
              <w:right w:val="nil"/>
            </w:tcBorders>
            <w:shd w:val="clear" w:color="auto" w:fill="auto"/>
            <w:noWrap/>
            <w:vAlign w:val="center"/>
            <w:hideMark/>
          </w:tcPr>
          <w:p w14:paraId="38D40E5A"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3A3762DF"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7.57E-03</w:t>
            </w:r>
          </w:p>
        </w:tc>
        <w:tc>
          <w:tcPr>
            <w:tcW w:w="946" w:type="pct"/>
            <w:tcBorders>
              <w:top w:val="nil"/>
              <w:left w:val="nil"/>
              <w:bottom w:val="nil"/>
              <w:right w:val="nil"/>
            </w:tcBorders>
            <w:shd w:val="clear" w:color="auto" w:fill="auto"/>
            <w:noWrap/>
            <w:vAlign w:val="center"/>
            <w:hideMark/>
          </w:tcPr>
          <w:p w14:paraId="79D8C61F"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7.64E-06</w:t>
            </w:r>
          </w:p>
        </w:tc>
        <w:tc>
          <w:tcPr>
            <w:tcW w:w="689" w:type="pct"/>
            <w:tcBorders>
              <w:top w:val="nil"/>
              <w:left w:val="nil"/>
              <w:bottom w:val="nil"/>
              <w:right w:val="nil"/>
            </w:tcBorders>
            <w:shd w:val="clear" w:color="auto" w:fill="auto"/>
            <w:noWrap/>
            <w:vAlign w:val="center"/>
            <w:hideMark/>
          </w:tcPr>
          <w:p w14:paraId="0C358D8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NEUTRAL</w:t>
            </w:r>
          </w:p>
        </w:tc>
      </w:tr>
      <w:tr w:rsidR="006162E5" w:rsidRPr="006162E5" w14:paraId="77F2CFCF"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4AD282F2"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20:2n-6</w:t>
            </w:r>
          </w:p>
        </w:tc>
        <w:tc>
          <w:tcPr>
            <w:tcW w:w="1095" w:type="pct"/>
            <w:tcBorders>
              <w:top w:val="nil"/>
              <w:left w:val="nil"/>
              <w:bottom w:val="nil"/>
              <w:right w:val="nil"/>
            </w:tcBorders>
            <w:shd w:val="clear" w:color="auto" w:fill="auto"/>
            <w:noWrap/>
            <w:vAlign w:val="center"/>
            <w:hideMark/>
          </w:tcPr>
          <w:p w14:paraId="08F6550F"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sporulated-S1</w:t>
            </w:r>
          </w:p>
        </w:tc>
        <w:tc>
          <w:tcPr>
            <w:tcW w:w="949" w:type="pct"/>
            <w:tcBorders>
              <w:top w:val="nil"/>
              <w:left w:val="nil"/>
              <w:bottom w:val="nil"/>
              <w:right w:val="nil"/>
            </w:tcBorders>
            <w:shd w:val="clear" w:color="auto" w:fill="auto"/>
            <w:noWrap/>
            <w:vAlign w:val="center"/>
            <w:hideMark/>
          </w:tcPr>
          <w:p w14:paraId="6D29DD7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7A210C58"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2.59E-02</w:t>
            </w:r>
          </w:p>
        </w:tc>
        <w:tc>
          <w:tcPr>
            <w:tcW w:w="946" w:type="pct"/>
            <w:tcBorders>
              <w:top w:val="nil"/>
              <w:left w:val="nil"/>
              <w:bottom w:val="nil"/>
              <w:right w:val="nil"/>
            </w:tcBorders>
            <w:shd w:val="clear" w:color="auto" w:fill="auto"/>
            <w:noWrap/>
            <w:vAlign w:val="center"/>
            <w:hideMark/>
          </w:tcPr>
          <w:p w14:paraId="60E37325"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7.64E-06</w:t>
            </w:r>
          </w:p>
        </w:tc>
        <w:tc>
          <w:tcPr>
            <w:tcW w:w="689" w:type="pct"/>
            <w:tcBorders>
              <w:top w:val="nil"/>
              <w:left w:val="nil"/>
              <w:bottom w:val="nil"/>
              <w:right w:val="nil"/>
            </w:tcBorders>
            <w:shd w:val="clear" w:color="auto" w:fill="auto"/>
            <w:noWrap/>
            <w:vAlign w:val="center"/>
            <w:hideMark/>
          </w:tcPr>
          <w:p w14:paraId="10C530EE"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NEUTRAL</w:t>
            </w:r>
          </w:p>
        </w:tc>
      </w:tr>
      <w:tr w:rsidR="006162E5" w:rsidRPr="006162E5" w14:paraId="23564814"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391B1EA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16:1n-7</w:t>
            </w:r>
          </w:p>
        </w:tc>
        <w:tc>
          <w:tcPr>
            <w:tcW w:w="1095" w:type="pct"/>
            <w:tcBorders>
              <w:top w:val="nil"/>
              <w:left w:val="nil"/>
              <w:bottom w:val="nil"/>
              <w:right w:val="nil"/>
            </w:tcBorders>
            <w:shd w:val="clear" w:color="auto" w:fill="auto"/>
            <w:noWrap/>
            <w:vAlign w:val="center"/>
            <w:hideMark/>
          </w:tcPr>
          <w:p w14:paraId="6072C5A7"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S3-S2</w:t>
            </w:r>
          </w:p>
        </w:tc>
        <w:tc>
          <w:tcPr>
            <w:tcW w:w="949" w:type="pct"/>
            <w:tcBorders>
              <w:top w:val="nil"/>
              <w:left w:val="nil"/>
              <w:bottom w:val="nil"/>
              <w:right w:val="nil"/>
            </w:tcBorders>
            <w:shd w:val="clear" w:color="auto" w:fill="auto"/>
            <w:noWrap/>
            <w:vAlign w:val="center"/>
            <w:hideMark/>
          </w:tcPr>
          <w:p w14:paraId="2E15763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086571C1"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1.94E-02</w:t>
            </w:r>
          </w:p>
        </w:tc>
        <w:tc>
          <w:tcPr>
            <w:tcW w:w="946" w:type="pct"/>
            <w:tcBorders>
              <w:top w:val="nil"/>
              <w:left w:val="nil"/>
              <w:bottom w:val="nil"/>
              <w:right w:val="nil"/>
            </w:tcBorders>
            <w:shd w:val="clear" w:color="auto" w:fill="auto"/>
            <w:noWrap/>
            <w:vAlign w:val="center"/>
            <w:hideMark/>
          </w:tcPr>
          <w:p w14:paraId="36C9B50F"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2.04E-02</w:t>
            </w:r>
          </w:p>
        </w:tc>
        <w:tc>
          <w:tcPr>
            <w:tcW w:w="689" w:type="pct"/>
            <w:tcBorders>
              <w:top w:val="nil"/>
              <w:left w:val="nil"/>
              <w:bottom w:val="nil"/>
              <w:right w:val="nil"/>
            </w:tcBorders>
            <w:shd w:val="clear" w:color="auto" w:fill="auto"/>
            <w:noWrap/>
            <w:vAlign w:val="center"/>
            <w:hideMark/>
          </w:tcPr>
          <w:p w14:paraId="7333BFE9"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POLAR</w:t>
            </w:r>
          </w:p>
        </w:tc>
      </w:tr>
      <w:tr w:rsidR="006162E5" w:rsidRPr="006162E5" w14:paraId="754954A3"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4017F99D"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20:4n-3</w:t>
            </w:r>
          </w:p>
        </w:tc>
        <w:tc>
          <w:tcPr>
            <w:tcW w:w="1095" w:type="pct"/>
            <w:tcBorders>
              <w:top w:val="nil"/>
              <w:left w:val="nil"/>
              <w:bottom w:val="nil"/>
              <w:right w:val="nil"/>
            </w:tcBorders>
            <w:shd w:val="clear" w:color="auto" w:fill="auto"/>
            <w:noWrap/>
            <w:vAlign w:val="center"/>
            <w:hideMark/>
          </w:tcPr>
          <w:p w14:paraId="72CFC769"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S3-S0</w:t>
            </w:r>
          </w:p>
        </w:tc>
        <w:tc>
          <w:tcPr>
            <w:tcW w:w="949" w:type="pct"/>
            <w:tcBorders>
              <w:top w:val="nil"/>
              <w:left w:val="nil"/>
              <w:bottom w:val="nil"/>
              <w:right w:val="nil"/>
            </w:tcBorders>
            <w:shd w:val="clear" w:color="auto" w:fill="auto"/>
            <w:noWrap/>
            <w:vAlign w:val="center"/>
            <w:hideMark/>
          </w:tcPr>
          <w:p w14:paraId="2821FD02"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3AF404ED"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3.51E-02</w:t>
            </w:r>
          </w:p>
        </w:tc>
        <w:tc>
          <w:tcPr>
            <w:tcW w:w="946" w:type="pct"/>
            <w:tcBorders>
              <w:top w:val="nil"/>
              <w:left w:val="nil"/>
              <w:bottom w:val="nil"/>
              <w:right w:val="nil"/>
            </w:tcBorders>
            <w:shd w:val="clear" w:color="auto" w:fill="auto"/>
            <w:noWrap/>
            <w:vAlign w:val="center"/>
            <w:hideMark/>
          </w:tcPr>
          <w:p w14:paraId="3E6DD1B6"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2.26E-03</w:t>
            </w:r>
          </w:p>
        </w:tc>
        <w:tc>
          <w:tcPr>
            <w:tcW w:w="689" w:type="pct"/>
            <w:tcBorders>
              <w:top w:val="nil"/>
              <w:left w:val="nil"/>
              <w:bottom w:val="nil"/>
              <w:right w:val="nil"/>
            </w:tcBorders>
            <w:shd w:val="clear" w:color="auto" w:fill="auto"/>
            <w:noWrap/>
            <w:vAlign w:val="center"/>
            <w:hideMark/>
          </w:tcPr>
          <w:p w14:paraId="1613164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POLAR</w:t>
            </w:r>
          </w:p>
        </w:tc>
      </w:tr>
      <w:tr w:rsidR="006162E5" w:rsidRPr="006162E5" w14:paraId="24873458"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1940E4AF"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20:4n-3</w:t>
            </w:r>
          </w:p>
        </w:tc>
        <w:tc>
          <w:tcPr>
            <w:tcW w:w="1095" w:type="pct"/>
            <w:tcBorders>
              <w:top w:val="nil"/>
              <w:left w:val="nil"/>
              <w:bottom w:val="nil"/>
              <w:right w:val="nil"/>
            </w:tcBorders>
            <w:shd w:val="clear" w:color="auto" w:fill="auto"/>
            <w:noWrap/>
            <w:vAlign w:val="center"/>
            <w:hideMark/>
          </w:tcPr>
          <w:p w14:paraId="6991BD9A"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S3-S1</w:t>
            </w:r>
          </w:p>
        </w:tc>
        <w:tc>
          <w:tcPr>
            <w:tcW w:w="949" w:type="pct"/>
            <w:tcBorders>
              <w:top w:val="nil"/>
              <w:left w:val="nil"/>
              <w:bottom w:val="nil"/>
              <w:right w:val="nil"/>
            </w:tcBorders>
            <w:shd w:val="clear" w:color="auto" w:fill="auto"/>
            <w:noWrap/>
            <w:vAlign w:val="center"/>
            <w:hideMark/>
          </w:tcPr>
          <w:p w14:paraId="1723A759"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4DD7B21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3.81E-02</w:t>
            </w:r>
          </w:p>
        </w:tc>
        <w:tc>
          <w:tcPr>
            <w:tcW w:w="946" w:type="pct"/>
            <w:tcBorders>
              <w:top w:val="nil"/>
              <w:left w:val="nil"/>
              <w:bottom w:val="nil"/>
              <w:right w:val="nil"/>
            </w:tcBorders>
            <w:shd w:val="clear" w:color="auto" w:fill="auto"/>
            <w:noWrap/>
            <w:vAlign w:val="center"/>
            <w:hideMark/>
          </w:tcPr>
          <w:p w14:paraId="66D8BF86"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2.26E-03</w:t>
            </w:r>
          </w:p>
        </w:tc>
        <w:tc>
          <w:tcPr>
            <w:tcW w:w="689" w:type="pct"/>
            <w:tcBorders>
              <w:top w:val="nil"/>
              <w:left w:val="nil"/>
              <w:bottom w:val="nil"/>
              <w:right w:val="nil"/>
            </w:tcBorders>
            <w:shd w:val="clear" w:color="auto" w:fill="auto"/>
            <w:noWrap/>
            <w:vAlign w:val="center"/>
            <w:hideMark/>
          </w:tcPr>
          <w:p w14:paraId="24387257"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POLAR</w:t>
            </w:r>
          </w:p>
        </w:tc>
      </w:tr>
      <w:tr w:rsidR="006162E5" w:rsidRPr="006162E5" w14:paraId="68AE1B41"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71EFEB68"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18:4n-3</w:t>
            </w:r>
          </w:p>
        </w:tc>
        <w:tc>
          <w:tcPr>
            <w:tcW w:w="1095" w:type="pct"/>
            <w:tcBorders>
              <w:top w:val="nil"/>
              <w:left w:val="nil"/>
              <w:bottom w:val="nil"/>
              <w:right w:val="nil"/>
            </w:tcBorders>
            <w:shd w:val="clear" w:color="auto" w:fill="auto"/>
            <w:noWrap/>
            <w:vAlign w:val="center"/>
            <w:hideMark/>
          </w:tcPr>
          <w:p w14:paraId="1C26F403"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sporulated-S2</w:t>
            </w:r>
          </w:p>
        </w:tc>
        <w:tc>
          <w:tcPr>
            <w:tcW w:w="949" w:type="pct"/>
            <w:tcBorders>
              <w:top w:val="nil"/>
              <w:left w:val="nil"/>
              <w:bottom w:val="nil"/>
              <w:right w:val="nil"/>
            </w:tcBorders>
            <w:shd w:val="clear" w:color="auto" w:fill="auto"/>
            <w:noWrap/>
            <w:vAlign w:val="center"/>
            <w:hideMark/>
          </w:tcPr>
          <w:p w14:paraId="1D6BDB0D"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4DBF51E5"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3.13E-02</w:t>
            </w:r>
          </w:p>
        </w:tc>
        <w:tc>
          <w:tcPr>
            <w:tcW w:w="946" w:type="pct"/>
            <w:tcBorders>
              <w:top w:val="nil"/>
              <w:left w:val="nil"/>
              <w:bottom w:val="nil"/>
              <w:right w:val="nil"/>
            </w:tcBorders>
            <w:shd w:val="clear" w:color="auto" w:fill="auto"/>
            <w:noWrap/>
            <w:vAlign w:val="center"/>
            <w:hideMark/>
          </w:tcPr>
          <w:p w14:paraId="3FB5A5A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1.03E-02</w:t>
            </w:r>
          </w:p>
        </w:tc>
        <w:tc>
          <w:tcPr>
            <w:tcW w:w="689" w:type="pct"/>
            <w:tcBorders>
              <w:top w:val="nil"/>
              <w:left w:val="nil"/>
              <w:bottom w:val="nil"/>
              <w:right w:val="nil"/>
            </w:tcBorders>
            <w:shd w:val="clear" w:color="auto" w:fill="auto"/>
            <w:noWrap/>
            <w:vAlign w:val="center"/>
            <w:hideMark/>
          </w:tcPr>
          <w:p w14:paraId="36A1650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774A8679"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7A5878A8"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20:1n-7</w:t>
            </w:r>
          </w:p>
        </w:tc>
        <w:tc>
          <w:tcPr>
            <w:tcW w:w="1095" w:type="pct"/>
            <w:tcBorders>
              <w:top w:val="nil"/>
              <w:left w:val="nil"/>
              <w:bottom w:val="nil"/>
              <w:right w:val="nil"/>
            </w:tcBorders>
            <w:shd w:val="clear" w:color="auto" w:fill="auto"/>
            <w:noWrap/>
            <w:vAlign w:val="center"/>
            <w:hideMark/>
          </w:tcPr>
          <w:p w14:paraId="2F19C263"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sporulated-S0</w:t>
            </w:r>
          </w:p>
        </w:tc>
        <w:tc>
          <w:tcPr>
            <w:tcW w:w="949" w:type="pct"/>
            <w:tcBorders>
              <w:top w:val="nil"/>
              <w:left w:val="nil"/>
              <w:bottom w:val="nil"/>
              <w:right w:val="nil"/>
            </w:tcBorders>
            <w:shd w:val="clear" w:color="auto" w:fill="auto"/>
            <w:noWrap/>
            <w:vAlign w:val="center"/>
            <w:hideMark/>
          </w:tcPr>
          <w:p w14:paraId="0A432576"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4D00DD02"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2.88E-02</w:t>
            </w:r>
          </w:p>
        </w:tc>
        <w:tc>
          <w:tcPr>
            <w:tcW w:w="946" w:type="pct"/>
            <w:tcBorders>
              <w:top w:val="nil"/>
              <w:left w:val="nil"/>
              <w:bottom w:val="nil"/>
              <w:right w:val="nil"/>
            </w:tcBorders>
            <w:shd w:val="clear" w:color="auto" w:fill="auto"/>
            <w:noWrap/>
            <w:vAlign w:val="center"/>
            <w:hideMark/>
          </w:tcPr>
          <w:p w14:paraId="352B77F5"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2.60E-02</w:t>
            </w:r>
          </w:p>
        </w:tc>
        <w:tc>
          <w:tcPr>
            <w:tcW w:w="689" w:type="pct"/>
            <w:tcBorders>
              <w:top w:val="nil"/>
              <w:left w:val="nil"/>
              <w:bottom w:val="nil"/>
              <w:right w:val="nil"/>
            </w:tcBorders>
            <w:shd w:val="clear" w:color="auto" w:fill="auto"/>
            <w:noWrap/>
            <w:vAlign w:val="center"/>
            <w:hideMark/>
          </w:tcPr>
          <w:p w14:paraId="5FA5D0DD"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585261D3"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0115C825"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20:3n-3</w:t>
            </w:r>
          </w:p>
        </w:tc>
        <w:tc>
          <w:tcPr>
            <w:tcW w:w="1095" w:type="pct"/>
            <w:tcBorders>
              <w:top w:val="nil"/>
              <w:left w:val="nil"/>
              <w:bottom w:val="nil"/>
              <w:right w:val="nil"/>
            </w:tcBorders>
            <w:shd w:val="clear" w:color="auto" w:fill="auto"/>
            <w:noWrap/>
            <w:vAlign w:val="center"/>
            <w:hideMark/>
          </w:tcPr>
          <w:p w14:paraId="3BABF468"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S1-S0</w:t>
            </w:r>
          </w:p>
        </w:tc>
        <w:tc>
          <w:tcPr>
            <w:tcW w:w="949" w:type="pct"/>
            <w:tcBorders>
              <w:top w:val="nil"/>
              <w:left w:val="nil"/>
              <w:bottom w:val="nil"/>
              <w:right w:val="nil"/>
            </w:tcBorders>
            <w:shd w:val="clear" w:color="auto" w:fill="auto"/>
            <w:noWrap/>
            <w:vAlign w:val="center"/>
            <w:hideMark/>
          </w:tcPr>
          <w:p w14:paraId="4ECBFFC4"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031FDA2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2.91E-02</w:t>
            </w:r>
          </w:p>
        </w:tc>
        <w:tc>
          <w:tcPr>
            <w:tcW w:w="946" w:type="pct"/>
            <w:tcBorders>
              <w:top w:val="nil"/>
              <w:left w:val="nil"/>
              <w:bottom w:val="nil"/>
              <w:right w:val="nil"/>
            </w:tcBorders>
            <w:shd w:val="clear" w:color="auto" w:fill="auto"/>
            <w:noWrap/>
            <w:vAlign w:val="center"/>
            <w:hideMark/>
          </w:tcPr>
          <w:p w14:paraId="780186E6"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4.91E-12</w:t>
            </w:r>
          </w:p>
        </w:tc>
        <w:tc>
          <w:tcPr>
            <w:tcW w:w="689" w:type="pct"/>
            <w:tcBorders>
              <w:top w:val="nil"/>
              <w:left w:val="nil"/>
              <w:bottom w:val="nil"/>
              <w:right w:val="nil"/>
            </w:tcBorders>
            <w:shd w:val="clear" w:color="auto" w:fill="auto"/>
            <w:noWrap/>
            <w:vAlign w:val="center"/>
            <w:hideMark/>
          </w:tcPr>
          <w:p w14:paraId="6DA1193E"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6949C667"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6B7FB0B2"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20:3n-3</w:t>
            </w:r>
          </w:p>
        </w:tc>
        <w:tc>
          <w:tcPr>
            <w:tcW w:w="1095" w:type="pct"/>
            <w:tcBorders>
              <w:top w:val="nil"/>
              <w:left w:val="nil"/>
              <w:bottom w:val="nil"/>
              <w:right w:val="nil"/>
            </w:tcBorders>
            <w:shd w:val="clear" w:color="auto" w:fill="auto"/>
            <w:noWrap/>
            <w:vAlign w:val="center"/>
            <w:hideMark/>
          </w:tcPr>
          <w:p w14:paraId="1CAA7CBA"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S4-S0</w:t>
            </w:r>
          </w:p>
        </w:tc>
        <w:tc>
          <w:tcPr>
            <w:tcW w:w="949" w:type="pct"/>
            <w:tcBorders>
              <w:top w:val="nil"/>
              <w:left w:val="nil"/>
              <w:bottom w:val="nil"/>
              <w:right w:val="nil"/>
            </w:tcBorders>
            <w:shd w:val="clear" w:color="auto" w:fill="auto"/>
            <w:noWrap/>
            <w:vAlign w:val="center"/>
            <w:hideMark/>
          </w:tcPr>
          <w:p w14:paraId="537F99F3"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6141E9D3"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1.13E-02</w:t>
            </w:r>
          </w:p>
        </w:tc>
        <w:tc>
          <w:tcPr>
            <w:tcW w:w="946" w:type="pct"/>
            <w:tcBorders>
              <w:top w:val="nil"/>
              <w:left w:val="nil"/>
              <w:bottom w:val="nil"/>
              <w:right w:val="nil"/>
            </w:tcBorders>
            <w:shd w:val="clear" w:color="auto" w:fill="auto"/>
            <w:noWrap/>
            <w:vAlign w:val="center"/>
            <w:hideMark/>
          </w:tcPr>
          <w:p w14:paraId="38B428B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4.91E-12</w:t>
            </w:r>
          </w:p>
        </w:tc>
        <w:tc>
          <w:tcPr>
            <w:tcW w:w="689" w:type="pct"/>
            <w:tcBorders>
              <w:top w:val="nil"/>
              <w:left w:val="nil"/>
              <w:bottom w:val="nil"/>
              <w:right w:val="nil"/>
            </w:tcBorders>
            <w:shd w:val="clear" w:color="auto" w:fill="auto"/>
            <w:noWrap/>
            <w:vAlign w:val="center"/>
            <w:hideMark/>
          </w:tcPr>
          <w:p w14:paraId="728B690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3E5C1AAA"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4E4D3D8D"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20:3n-3</w:t>
            </w:r>
          </w:p>
        </w:tc>
        <w:tc>
          <w:tcPr>
            <w:tcW w:w="1095" w:type="pct"/>
            <w:tcBorders>
              <w:top w:val="nil"/>
              <w:left w:val="nil"/>
              <w:bottom w:val="nil"/>
              <w:right w:val="nil"/>
            </w:tcBorders>
            <w:shd w:val="clear" w:color="auto" w:fill="auto"/>
            <w:noWrap/>
            <w:vAlign w:val="center"/>
            <w:hideMark/>
          </w:tcPr>
          <w:p w14:paraId="043F25CA"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sporulated-S0</w:t>
            </w:r>
          </w:p>
        </w:tc>
        <w:tc>
          <w:tcPr>
            <w:tcW w:w="949" w:type="pct"/>
            <w:tcBorders>
              <w:top w:val="nil"/>
              <w:left w:val="nil"/>
              <w:bottom w:val="nil"/>
              <w:right w:val="nil"/>
            </w:tcBorders>
            <w:shd w:val="clear" w:color="auto" w:fill="auto"/>
            <w:noWrap/>
            <w:vAlign w:val="center"/>
            <w:hideMark/>
          </w:tcPr>
          <w:p w14:paraId="05996884"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694B30E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3.27E-03</w:t>
            </w:r>
          </w:p>
        </w:tc>
        <w:tc>
          <w:tcPr>
            <w:tcW w:w="946" w:type="pct"/>
            <w:tcBorders>
              <w:top w:val="nil"/>
              <w:left w:val="nil"/>
              <w:bottom w:val="nil"/>
              <w:right w:val="nil"/>
            </w:tcBorders>
            <w:shd w:val="clear" w:color="auto" w:fill="auto"/>
            <w:noWrap/>
            <w:vAlign w:val="center"/>
            <w:hideMark/>
          </w:tcPr>
          <w:p w14:paraId="04A0A495"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4.91E-12</w:t>
            </w:r>
          </w:p>
        </w:tc>
        <w:tc>
          <w:tcPr>
            <w:tcW w:w="689" w:type="pct"/>
            <w:tcBorders>
              <w:top w:val="nil"/>
              <w:left w:val="nil"/>
              <w:bottom w:val="nil"/>
              <w:right w:val="nil"/>
            </w:tcBorders>
            <w:shd w:val="clear" w:color="auto" w:fill="auto"/>
            <w:noWrap/>
            <w:vAlign w:val="center"/>
            <w:hideMark/>
          </w:tcPr>
          <w:p w14:paraId="21D6894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5CE953CE"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6E77D15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20:3n-6</w:t>
            </w:r>
          </w:p>
        </w:tc>
        <w:tc>
          <w:tcPr>
            <w:tcW w:w="1095" w:type="pct"/>
            <w:tcBorders>
              <w:top w:val="nil"/>
              <w:left w:val="nil"/>
              <w:bottom w:val="nil"/>
              <w:right w:val="nil"/>
            </w:tcBorders>
            <w:shd w:val="clear" w:color="auto" w:fill="auto"/>
            <w:noWrap/>
            <w:vAlign w:val="center"/>
            <w:hideMark/>
          </w:tcPr>
          <w:p w14:paraId="05A79BF4"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sporulated-S0</w:t>
            </w:r>
          </w:p>
        </w:tc>
        <w:tc>
          <w:tcPr>
            <w:tcW w:w="949" w:type="pct"/>
            <w:tcBorders>
              <w:top w:val="nil"/>
              <w:left w:val="nil"/>
              <w:bottom w:val="nil"/>
              <w:right w:val="nil"/>
            </w:tcBorders>
            <w:shd w:val="clear" w:color="auto" w:fill="auto"/>
            <w:noWrap/>
            <w:vAlign w:val="center"/>
            <w:hideMark/>
          </w:tcPr>
          <w:p w14:paraId="0A1697EA"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1FCEAF4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1.65E-03</w:t>
            </w:r>
          </w:p>
        </w:tc>
        <w:tc>
          <w:tcPr>
            <w:tcW w:w="946" w:type="pct"/>
            <w:tcBorders>
              <w:top w:val="nil"/>
              <w:left w:val="nil"/>
              <w:bottom w:val="nil"/>
              <w:right w:val="nil"/>
            </w:tcBorders>
            <w:shd w:val="clear" w:color="auto" w:fill="auto"/>
            <w:noWrap/>
            <w:vAlign w:val="center"/>
            <w:hideMark/>
          </w:tcPr>
          <w:p w14:paraId="5727AE6E"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5.04E-07</w:t>
            </w:r>
          </w:p>
        </w:tc>
        <w:tc>
          <w:tcPr>
            <w:tcW w:w="689" w:type="pct"/>
            <w:tcBorders>
              <w:top w:val="nil"/>
              <w:left w:val="nil"/>
              <w:bottom w:val="nil"/>
              <w:right w:val="nil"/>
            </w:tcBorders>
            <w:shd w:val="clear" w:color="auto" w:fill="auto"/>
            <w:noWrap/>
            <w:vAlign w:val="center"/>
            <w:hideMark/>
          </w:tcPr>
          <w:p w14:paraId="285B982A"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35589C5D"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7E40E9C9"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20:3n-6</w:t>
            </w:r>
          </w:p>
        </w:tc>
        <w:tc>
          <w:tcPr>
            <w:tcW w:w="1095" w:type="pct"/>
            <w:tcBorders>
              <w:top w:val="nil"/>
              <w:left w:val="nil"/>
              <w:bottom w:val="nil"/>
              <w:right w:val="nil"/>
            </w:tcBorders>
            <w:shd w:val="clear" w:color="auto" w:fill="auto"/>
            <w:noWrap/>
            <w:vAlign w:val="center"/>
            <w:hideMark/>
          </w:tcPr>
          <w:p w14:paraId="1B55D01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sporulated-S1</w:t>
            </w:r>
          </w:p>
        </w:tc>
        <w:tc>
          <w:tcPr>
            <w:tcW w:w="949" w:type="pct"/>
            <w:tcBorders>
              <w:top w:val="nil"/>
              <w:left w:val="nil"/>
              <w:bottom w:val="nil"/>
              <w:right w:val="nil"/>
            </w:tcBorders>
            <w:shd w:val="clear" w:color="auto" w:fill="auto"/>
            <w:noWrap/>
            <w:vAlign w:val="center"/>
            <w:hideMark/>
          </w:tcPr>
          <w:p w14:paraId="461BBC05"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3108ED39"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4.32E-02</w:t>
            </w:r>
          </w:p>
        </w:tc>
        <w:tc>
          <w:tcPr>
            <w:tcW w:w="946" w:type="pct"/>
            <w:tcBorders>
              <w:top w:val="nil"/>
              <w:left w:val="nil"/>
              <w:bottom w:val="nil"/>
              <w:right w:val="nil"/>
            </w:tcBorders>
            <w:shd w:val="clear" w:color="auto" w:fill="auto"/>
            <w:noWrap/>
            <w:vAlign w:val="center"/>
            <w:hideMark/>
          </w:tcPr>
          <w:p w14:paraId="3E8182A4"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5.04E-07</w:t>
            </w:r>
          </w:p>
        </w:tc>
        <w:tc>
          <w:tcPr>
            <w:tcW w:w="689" w:type="pct"/>
            <w:tcBorders>
              <w:top w:val="nil"/>
              <w:left w:val="nil"/>
              <w:bottom w:val="nil"/>
              <w:right w:val="nil"/>
            </w:tcBorders>
            <w:shd w:val="clear" w:color="auto" w:fill="auto"/>
            <w:noWrap/>
            <w:vAlign w:val="center"/>
            <w:hideMark/>
          </w:tcPr>
          <w:p w14:paraId="097DACBE"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r w:rsidR="006162E5" w:rsidRPr="006162E5" w14:paraId="44935C20" w14:textId="77777777" w:rsidTr="006162E5">
        <w:trPr>
          <w:trHeight w:val="290"/>
          <w:jc w:val="center"/>
        </w:trPr>
        <w:tc>
          <w:tcPr>
            <w:tcW w:w="703" w:type="pct"/>
            <w:tcBorders>
              <w:top w:val="nil"/>
              <w:left w:val="nil"/>
              <w:bottom w:val="nil"/>
              <w:right w:val="nil"/>
            </w:tcBorders>
            <w:shd w:val="clear" w:color="auto" w:fill="auto"/>
            <w:noWrap/>
            <w:vAlign w:val="center"/>
            <w:hideMark/>
          </w:tcPr>
          <w:p w14:paraId="23735D2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20:3n-6</w:t>
            </w:r>
          </w:p>
        </w:tc>
        <w:tc>
          <w:tcPr>
            <w:tcW w:w="1095" w:type="pct"/>
            <w:tcBorders>
              <w:top w:val="nil"/>
              <w:left w:val="nil"/>
              <w:bottom w:val="nil"/>
              <w:right w:val="nil"/>
            </w:tcBorders>
            <w:shd w:val="clear" w:color="auto" w:fill="auto"/>
            <w:noWrap/>
            <w:vAlign w:val="center"/>
            <w:hideMark/>
          </w:tcPr>
          <w:p w14:paraId="1BC85717"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sporulated-S3</w:t>
            </w:r>
          </w:p>
        </w:tc>
        <w:tc>
          <w:tcPr>
            <w:tcW w:w="949" w:type="pct"/>
            <w:tcBorders>
              <w:top w:val="nil"/>
              <w:left w:val="nil"/>
              <w:bottom w:val="nil"/>
              <w:right w:val="nil"/>
            </w:tcBorders>
            <w:shd w:val="clear" w:color="auto" w:fill="auto"/>
            <w:noWrap/>
            <w:vAlign w:val="center"/>
            <w:hideMark/>
          </w:tcPr>
          <w:p w14:paraId="6FC1C540"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ANOVA+Tukey</w:t>
            </w:r>
          </w:p>
        </w:tc>
        <w:tc>
          <w:tcPr>
            <w:tcW w:w="618" w:type="pct"/>
            <w:tcBorders>
              <w:top w:val="nil"/>
              <w:left w:val="nil"/>
              <w:bottom w:val="nil"/>
              <w:right w:val="nil"/>
            </w:tcBorders>
            <w:shd w:val="clear" w:color="auto" w:fill="auto"/>
            <w:noWrap/>
            <w:vAlign w:val="center"/>
            <w:hideMark/>
          </w:tcPr>
          <w:p w14:paraId="77B9156B"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1.72E-02</w:t>
            </w:r>
          </w:p>
        </w:tc>
        <w:tc>
          <w:tcPr>
            <w:tcW w:w="946" w:type="pct"/>
            <w:tcBorders>
              <w:top w:val="nil"/>
              <w:left w:val="nil"/>
              <w:bottom w:val="nil"/>
              <w:right w:val="nil"/>
            </w:tcBorders>
            <w:shd w:val="clear" w:color="auto" w:fill="auto"/>
            <w:noWrap/>
            <w:vAlign w:val="center"/>
            <w:hideMark/>
          </w:tcPr>
          <w:p w14:paraId="12779CBD"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5.04E-07</w:t>
            </w:r>
          </w:p>
        </w:tc>
        <w:tc>
          <w:tcPr>
            <w:tcW w:w="689" w:type="pct"/>
            <w:tcBorders>
              <w:top w:val="nil"/>
              <w:left w:val="nil"/>
              <w:bottom w:val="nil"/>
              <w:right w:val="nil"/>
            </w:tcBorders>
            <w:shd w:val="clear" w:color="auto" w:fill="auto"/>
            <w:noWrap/>
            <w:vAlign w:val="center"/>
            <w:hideMark/>
          </w:tcPr>
          <w:p w14:paraId="11C4C3AC" w14:textId="77777777" w:rsidR="006162E5" w:rsidRPr="006162E5" w:rsidRDefault="006162E5" w:rsidP="006162E5">
            <w:pPr>
              <w:spacing w:before="0" w:after="0" w:line="240" w:lineRule="auto"/>
              <w:jc w:val="center"/>
              <w:rPr>
                <w:rFonts w:ascii="Arial" w:hAnsi="Arial" w:cs="Arial"/>
                <w:color w:val="000000"/>
                <w:sz w:val="22"/>
                <w:szCs w:val="22"/>
              </w:rPr>
            </w:pPr>
            <w:r w:rsidRPr="006162E5">
              <w:rPr>
                <w:rFonts w:ascii="Arial" w:hAnsi="Arial" w:cs="Arial"/>
                <w:color w:val="000000"/>
                <w:sz w:val="22"/>
                <w:szCs w:val="22"/>
              </w:rPr>
              <w:t>TOTAL</w:t>
            </w:r>
          </w:p>
        </w:tc>
      </w:tr>
    </w:tbl>
    <w:p w14:paraId="06B82F5C" w14:textId="77777777" w:rsidR="003D4B33" w:rsidRPr="009819CE" w:rsidRDefault="003D4B33" w:rsidP="003D4B33">
      <w:pPr>
        <w:rPr>
          <w:rFonts w:cstheme="minorBidi"/>
        </w:rPr>
      </w:pPr>
    </w:p>
    <w:p w14:paraId="62FD9763" w14:textId="77777777" w:rsidR="003D4B33" w:rsidRDefault="003D4B33" w:rsidP="003D4B33">
      <w:pPr>
        <w:rPr>
          <w:rFonts w:cstheme="minorBidi"/>
        </w:rPr>
      </w:pPr>
    </w:p>
    <w:p w14:paraId="348652C5" w14:textId="77777777" w:rsidR="006A0363" w:rsidRPr="009819CE" w:rsidRDefault="006A0363" w:rsidP="006A0363">
      <w:pPr>
        <w:rPr>
          <w:rFonts w:cstheme="minorBidi"/>
        </w:rPr>
        <w:sectPr w:rsidR="006A0363" w:rsidRPr="009819CE" w:rsidSect="00750A53">
          <w:pgSz w:w="11906" w:h="16838" w:code="9"/>
          <w:pgMar w:top="1440" w:right="1440" w:bottom="1440" w:left="1440" w:header="567" w:footer="567" w:gutter="0"/>
          <w:cols w:space="708"/>
          <w:docGrid w:linePitch="360"/>
        </w:sectPr>
      </w:pPr>
    </w:p>
    <w:p w14:paraId="202228CF" w14:textId="77777777" w:rsidR="006A0363" w:rsidRPr="009819CE" w:rsidRDefault="006A0363" w:rsidP="00B3468E">
      <w:pPr>
        <w:pStyle w:val="Heading2"/>
        <w:rPr>
          <w:rFonts w:cstheme="minorBidi"/>
        </w:rPr>
      </w:pPr>
      <w:bookmarkStart w:id="395" w:name="_Toc204106681"/>
      <w:r w:rsidRPr="009819CE">
        <w:rPr>
          <w:rFonts w:cstheme="minorBidi"/>
        </w:rPr>
        <w:t>Discussion</w:t>
      </w:r>
      <w:bookmarkEnd w:id="395"/>
    </w:p>
    <w:p w14:paraId="59844D7D" w14:textId="64FBFACB" w:rsidR="006A0363" w:rsidRPr="009819CE" w:rsidRDefault="006A0363" w:rsidP="006A0363">
      <w:pPr>
        <w:rPr>
          <w:rFonts w:cstheme="minorBidi"/>
        </w:rPr>
      </w:pPr>
      <w:r w:rsidRPr="009819CE">
        <w:rPr>
          <w:rFonts w:cstheme="minorBidi"/>
        </w:rPr>
        <w:t xml:space="preserve">The role of lipid metabolism in pathogen survival has been recognised in other pathosystems </w:t>
      </w:r>
      <w:r w:rsidRPr="009819CE">
        <w:rPr>
          <w:rFonts w:cstheme="minorBidi"/>
        </w:rPr>
        <w:fldChar w:fldCharType="begin">
          <w:fldData xml:space="preserve">PEVuZE5vdGU+PENpdGU+PEF1dGhvcj5SYW1ha3Jpc2huYW48L0F1dGhvcj48WWVhcj4yMDEzPC9Z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</w:fldData>
        </w:fldChar>
      </w:r>
      <w:r w:rsidR="00871B4F">
        <w:rPr>
          <w:rFonts w:cstheme="minorBidi"/>
        </w:rPr>
        <w:instrText xml:space="preserve"> ADDIN EN.CITE </w:instrText>
      </w:r>
      <w:r w:rsidR="00871B4F">
        <w:rPr>
          <w:rFonts w:cstheme="minorBidi"/>
        </w:rPr>
        <w:fldChar w:fldCharType="begin">
          <w:fldData xml:space="preserve">PEVuZE5vdGU+PENpdGU+PEF1dGhvcj5SYW1ha3Jpc2huYW48L0F1dGhvcj48WWVhcj4yMDEzPC9Z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167" w:tooltip="Koriem, 2017 #1900" w:history="1">
        <w:r w:rsidR="00950097" w:rsidRPr="00EE7FB9">
          <w:rPr>
            <w:rFonts w:cstheme="minorBidi"/>
            <w:noProof/>
          </w:rPr>
          <w:t>Koriem, 2017</w:t>
        </w:r>
      </w:hyperlink>
      <w:r w:rsidR="00D50EFF" w:rsidRPr="00EE7FB9">
        <w:rPr>
          <w:rFonts w:cstheme="minorBidi"/>
          <w:noProof/>
        </w:rPr>
        <w:t xml:space="preserve">; </w:t>
      </w:r>
      <w:hyperlink w:anchor="_ENREF_203" w:tooltip="Manocha, 1980 #1902" w:history="1">
        <w:r w:rsidR="00950097" w:rsidRPr="00EE7FB9">
          <w:rPr>
            <w:rFonts w:cstheme="minorBidi"/>
            <w:noProof/>
          </w:rPr>
          <w:t>Manocha, 1980</w:t>
        </w:r>
      </w:hyperlink>
      <w:r w:rsidR="00D50EFF" w:rsidRPr="00EE7FB9">
        <w:rPr>
          <w:rFonts w:cstheme="minorBidi"/>
          <w:noProof/>
        </w:rPr>
        <w:t xml:space="preserve">; </w:t>
      </w:r>
      <w:hyperlink w:anchor="_ENREF_252" w:tooltip="Ramakrishnan, 2013 #1283" w:history="1">
        <w:r w:rsidR="00950097" w:rsidRPr="00EE7FB9">
          <w:rPr>
            <w:rFonts w:cstheme="minorBidi"/>
            <w:noProof/>
          </w:rPr>
          <w:t>Ramakrishnan et al., 2013</w:t>
        </w:r>
      </w:hyperlink>
      <w:r w:rsidR="00D50EFF" w:rsidRPr="00EE7FB9">
        <w:rPr>
          <w:rFonts w:cstheme="minorBidi"/>
          <w:noProof/>
        </w:rPr>
        <w:t xml:space="preserve">; </w:t>
      </w:r>
      <w:hyperlink w:anchor="_ENREF_270" w:tooltip="Sato, 2008 #1784" w:history="1">
        <w:r w:rsidR="00950097" w:rsidRPr="00EE7FB9">
          <w:rPr>
            <w:rFonts w:cstheme="minorBidi"/>
            <w:noProof/>
          </w:rPr>
          <w:t>Sato et al., 2008</w:t>
        </w:r>
      </w:hyperlink>
      <w:r w:rsidR="00D50EFF" w:rsidRPr="00EE7FB9">
        <w:rPr>
          <w:rFonts w:cstheme="minorBidi"/>
          <w:noProof/>
        </w:rPr>
        <w:t>)</w:t>
      </w:r>
      <w:r w:rsidRPr="009819CE">
        <w:rPr>
          <w:rFonts w:cstheme="minorBidi"/>
        </w:rPr>
        <w:fldChar w:fldCharType="end"/>
      </w:r>
      <w:r w:rsidRPr="009819CE">
        <w:rPr>
          <w:rFonts w:cstheme="minorBidi"/>
        </w:rPr>
        <w:t xml:space="preserve">. Parasites, like </w:t>
      </w:r>
      <w:r w:rsidR="009D03F4" w:rsidRPr="009819CE">
        <w:rPr>
          <w:rFonts w:cstheme="minorBidi"/>
          <w:i/>
          <w:iCs/>
        </w:rPr>
        <w:t>Hematodinium</w:t>
      </w:r>
      <w:r w:rsidRPr="009819CE">
        <w:rPr>
          <w:rFonts w:cstheme="minorBidi"/>
        </w:rPr>
        <w:t xml:space="preserve"> sp., rely on acquiring essential biomolecules from their hosts to survive and replicate </w:t>
      </w:r>
      <w:r w:rsidRPr="009819CE">
        <w:rPr>
          <w:rFonts w:cstheme="minorBidi"/>
        </w:rPr>
        <w:fldChar w:fldCharType="begin">
          <w:fldData xml:space="preserve">PEVuZE5vdGU+PENpdGU+PEF1dGhvcj5Hb3JuaWs8L0F1dGhvcj48WWVhcj4yMDE1PC9ZZWFyPjxS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</w:fldData>
        </w:fldChar>
      </w:r>
      <w:r w:rsidR="005F31D5">
        <w:rPr>
          <w:rFonts w:cstheme="minorBidi"/>
        </w:rPr>
        <w:instrText xml:space="preserve"> ADDIN EN.CITE </w:instrText>
      </w:r>
      <w:r w:rsidR="005F31D5">
        <w:rPr>
          <w:rFonts w:cstheme="minorBidi"/>
        </w:rPr>
        <w:fldChar w:fldCharType="begin">
          <w:fldData xml:space="preserve">PEVuZE5vdGU+PENpdGU+PEF1dGhvcj5Hb3JuaWs8L0F1dGhvcj48WWVhcj4yMDE1PC9ZZWFyPjxS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</w:fldData>
        </w:fldChar>
      </w:r>
      <w:r w:rsidR="005F31D5">
        <w:rPr>
          <w:rFonts w:cstheme="minorBidi"/>
        </w:rPr>
        <w:instrText xml:space="preserve"> ADDIN EN.CITE.DATA </w:instrText>
      </w:r>
      <w:r w:rsidR="005F31D5">
        <w:rPr>
          <w:rFonts w:cstheme="minorBidi"/>
        </w:rPr>
      </w:r>
      <w:r w:rsidR="005F31D5">
        <w:rPr>
          <w:rFonts w:cstheme="minorBidi"/>
        </w:rPr>
        <w:fldChar w:fldCharType="end"/>
      </w:r>
      <w:r w:rsidRPr="009819CE">
        <w:rPr>
          <w:rFonts w:cstheme="minorBidi"/>
        </w:rPr>
      </w:r>
      <w:r w:rsidRPr="009819CE">
        <w:rPr>
          <w:rFonts w:cstheme="minorBidi"/>
        </w:rPr>
        <w:fldChar w:fldCharType="separate"/>
      </w:r>
      <w:r w:rsidR="00D50EFF" w:rsidRPr="005F31D5">
        <w:rPr>
          <w:rFonts w:cstheme="minorBidi"/>
          <w:noProof/>
        </w:rPr>
        <w:t>(</w:t>
      </w:r>
      <w:hyperlink w:anchor="_ENREF_16" w:tooltip="Appleton, 1996 #108" w:history="1">
        <w:r w:rsidR="00950097" w:rsidRPr="005F31D5">
          <w:rPr>
            <w:rFonts w:cstheme="minorBidi"/>
            <w:noProof/>
          </w:rPr>
          <w:t>Appleton, 1996</w:t>
        </w:r>
      </w:hyperlink>
      <w:r w:rsidR="00D50EFF" w:rsidRPr="005F31D5">
        <w:rPr>
          <w:rFonts w:cstheme="minorBidi"/>
          <w:noProof/>
        </w:rPr>
        <w:t xml:space="preserve">; </w:t>
      </w:r>
      <w:hyperlink w:anchor="_ENREF_114" w:tooltip="Gornik, 2015 #71" w:history="1">
        <w:r w:rsidR="00950097" w:rsidRPr="005F31D5">
          <w:rPr>
            <w:rFonts w:cstheme="minorBidi"/>
            <w:noProof/>
          </w:rPr>
          <w:t>Gornik et al., 2015</w:t>
        </w:r>
      </w:hyperlink>
      <w:r w:rsidR="00D50EFF" w:rsidRPr="005F31D5">
        <w:rPr>
          <w:rFonts w:cstheme="minorBidi"/>
          <w:noProof/>
        </w:rPr>
        <w:t>)</w:t>
      </w:r>
      <w:r w:rsidRPr="009819CE">
        <w:rPr>
          <w:rFonts w:cstheme="minorBidi"/>
        </w:rPr>
        <w:fldChar w:fldCharType="end"/>
      </w:r>
      <w:r w:rsidRPr="009819CE">
        <w:rPr>
          <w:rFonts w:cstheme="minorBidi"/>
        </w:rPr>
        <w:t xml:space="preserve">, with lipids being particularly important for membrane formation, signalling, energy storage and acting as protective barriers against environmental stressors </w:t>
      </w:r>
      <w:r w:rsidRPr="009819CE">
        <w:rPr>
          <w:rFonts w:cstheme="minorBidi"/>
        </w:rPr>
        <w:fldChar w:fldCharType="begin">
          <w:fldData xml:space="preserve">PEVuZE5vdGU+PENpdGU+PEF1dGhvcj5GdXJsb25nPC9BdXRob3I+PFllYXI+MTk5MTwvWWVhcj48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</w:fldData>
        </w:fldChar>
      </w:r>
      <w:r w:rsidR="00871B4F">
        <w:rPr>
          <w:rFonts w:cstheme="minorBidi"/>
        </w:rPr>
        <w:instrText xml:space="preserve"> ADDIN EN.CITE </w:instrText>
      </w:r>
      <w:r w:rsidR="00871B4F">
        <w:rPr>
          <w:rFonts w:cstheme="minorBidi"/>
        </w:rPr>
        <w:fldChar w:fldCharType="begin">
          <w:fldData xml:space="preserve">PEVuZE5vdGU+PENpdGU+PEF1dGhvcj5GdXJsb25nPC9BdXRob3I+PFllYXI+MTk5MTwvWWVhcj48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871B4F">
        <w:rPr>
          <w:rFonts w:cstheme="minorBidi"/>
          <w:noProof/>
        </w:rPr>
        <w:t>(</w:t>
      </w:r>
      <w:hyperlink w:anchor="_ENREF_20" w:tooltip="Aranda, 2016 #1851" w:history="1">
        <w:r w:rsidR="00950097" w:rsidRPr="00871B4F">
          <w:rPr>
            <w:rFonts w:cstheme="minorBidi"/>
            <w:noProof/>
          </w:rPr>
          <w:t>Aranda et al., 2016</w:t>
        </w:r>
      </w:hyperlink>
      <w:r w:rsidR="00D50EFF" w:rsidRPr="00871B4F">
        <w:rPr>
          <w:rFonts w:cstheme="minorBidi"/>
          <w:noProof/>
        </w:rPr>
        <w:t xml:space="preserve">; </w:t>
      </w:r>
      <w:hyperlink w:anchor="_ENREF_105" w:tooltip="Furlong, 1991 #1302" w:history="1">
        <w:r w:rsidR="00950097" w:rsidRPr="00871B4F">
          <w:rPr>
            <w:rFonts w:cstheme="minorBidi"/>
            <w:noProof/>
          </w:rPr>
          <w:t>Furlong, 1991</w:t>
        </w:r>
      </w:hyperlink>
      <w:r w:rsidR="00D50EFF" w:rsidRPr="00871B4F">
        <w:rPr>
          <w:rFonts w:cstheme="minorBidi"/>
          <w:noProof/>
        </w:rPr>
        <w:t xml:space="preserve">; </w:t>
      </w:r>
      <w:hyperlink w:anchor="_ENREF_285" w:tooltip="Shunmugam, 2022 #1298" w:history="1">
        <w:r w:rsidR="00950097" w:rsidRPr="00871B4F">
          <w:rPr>
            <w:rFonts w:cstheme="minorBidi"/>
            <w:noProof/>
          </w:rPr>
          <w:t>Shunmugam et al., 2022</w:t>
        </w:r>
      </w:hyperlink>
      <w:r w:rsidR="00D50EFF" w:rsidRPr="00871B4F">
        <w:rPr>
          <w:rFonts w:cstheme="minorBidi"/>
          <w:noProof/>
        </w:rPr>
        <w:t>)</w:t>
      </w:r>
      <w:r w:rsidRPr="009819CE">
        <w:rPr>
          <w:rFonts w:cstheme="minorBidi"/>
        </w:rPr>
        <w:fldChar w:fldCharType="end"/>
      </w:r>
      <w:r w:rsidRPr="009819CE">
        <w:rPr>
          <w:rFonts w:cstheme="minorBidi"/>
        </w:rPr>
        <w:t xml:space="preserve">. Lipids are of special significance for parasites that have lost their capacity for </w:t>
      </w:r>
      <w:r w:rsidRPr="009819CE">
        <w:rPr>
          <w:rFonts w:cstheme="minorBidi"/>
          <w:i/>
          <w:iCs/>
        </w:rPr>
        <w:t>the novo</w:t>
      </w:r>
      <w:r w:rsidRPr="009819CE">
        <w:rPr>
          <w:rFonts w:cstheme="minorBidi"/>
        </w:rPr>
        <w:t xml:space="preserve"> synthesis of some lipids </w:t>
      </w:r>
      <w:r w:rsidRPr="009819CE">
        <w:rPr>
          <w:rFonts w:cstheme="minorBidi"/>
        </w:rPr>
        <w:fldChar w:fldCharType="begin"/>
      </w:r>
      <w:r w:rsidR="00D50EFF" w:rsidRPr="009819CE">
        <w:rPr>
          <w:rFonts w:cstheme="minorBidi"/>
        </w:rPr>
        <w:instrText xml:space="preserve"> ADDIN EN.CITE &lt;EndNote&gt;&lt;Cite&gt;&lt;Author&gt;Mondal&lt;/Author&gt;&lt;Year&gt;2016&lt;/Year&gt;&lt;RecNum&gt;85&lt;/RecNum&gt;&lt;DisplayText&gt;(Mondal et al., 2016)&lt;/DisplayText&gt;&lt;record&gt;&lt;rec-number&gt;85&lt;/rec-number&gt;&lt;foreign-keys&gt;&lt;key app="EN" db-id="sd9wrx9fj09rx3erprsx999o0r5aprvp2zse" timestamp="1687855901" guid="c082d9c7-cc0f-48a3-8db7-38aa1b387c0b"&gt;85&lt;/key&gt;&lt;/foreign-keys&gt;&lt;ref-type name="Journal Article"&gt;17&lt;/ref-type&gt;&lt;contributors&gt;&lt;authors&gt;&lt;author&gt;Mondal, Madhumita&lt;/author&gt;&lt;author&gt;Kundu, J. K.&lt;/author&gt;&lt;author&gt;Misra, K. K.&lt;/author&gt;&lt;/authors&gt;&lt;/contributors&gt;&lt;auth-address&gt;Department of Zoology, Shyampur Siddheswari Mahavidyalaya, Ajodhya, West Bengal 711312 India.&amp;#xD;Department of Zoology, Vidyasagar University, Midnapore, West Bengal 721102 India.&amp;#xD;Department of Zoology, R. B. C. College, Naihati, India.&lt;/auth-address&gt;&lt;titles&gt;&lt;title&gt;Variation in lipid and fatty acid uptake among nematode and cestode parasites and their host, domestic fowl: host–parasite interaction&lt;/title&gt;&lt;secondary-title&gt;Journal of Parasitic Diseases&lt;/secondary-title&gt;&lt;/titles&gt;&lt;periodical&gt;&lt;full-title&gt;Journal of Parasitic Diseases&lt;/full-title&gt;&lt;/periodical&gt;&lt;pages&gt;1494-1518&lt;/pages&gt;&lt;volume&gt;40&lt;/volume&gt;&lt;number&gt;4&lt;/number&gt;&lt;edition&gt;20160113&lt;/edition&gt;&lt;keywords&gt;&lt;keyword&gt;Cestode&lt;/keyword&gt;&lt;keyword&gt;Cholesterol&lt;/keyword&gt;&lt;keyword&gt;GLC&lt;/keyword&gt;&lt;keyword&gt;Glycolipid&lt;/keyword&gt;&lt;keyword&gt;Nematode&lt;/keyword&gt;&lt;keyword&gt;Neutral lipid&lt;/keyword&gt;&lt;keyword&gt;Phospholipid&lt;/keyword&gt;&lt;keyword&gt;TLC&lt;/keyword&gt;&lt;keyword&gt;Total lipid&lt;/keyword&gt;&lt;/keywords&gt;&lt;dates&gt;&lt;year&gt;2016&lt;/year&gt;&lt;pub-dates&gt;&lt;date&gt;Dec&lt;/date&gt;&lt;/pub-dates&gt;&lt;/dates&gt;&lt;publisher&gt;Springer India&lt;/publisher&gt;&lt;isbn&gt;0971-7196 (Print)&amp;#xD;0975-0703 (Electronic)&amp;#xD;0971-7196 (Linking)&lt;/isbn&gt;&lt;accession-num&gt;27876973&lt;/accession-num&gt;&lt;urls&gt;&lt;related-urls&gt;&lt;url&gt;https://www.ncbi.nlm.nih.gov/pubmed/27876973&lt;/url&gt;&lt;/related-urls&gt;&lt;/urls&gt;&lt;custom1&gt;None.&lt;/custom1&gt;&lt;custom2&gt;PMC5118344&lt;/custom2&gt;&lt;electronic-resource-num&gt;10.1007/s12639-015-0718-5&lt;/electronic-resource-num&gt;&lt;remote-database-name&gt;PubMed-not-MEDLINE&lt;/remote-database-name&gt;&lt;remote-database-provider&gt;NLM&lt;/remote-database-provider&gt;&lt;/record&gt;&lt;/Cite&gt;&lt;/EndNote&gt;</w:instrText>
      </w:r>
      <w:r w:rsidRPr="009819CE">
        <w:rPr>
          <w:rFonts w:cstheme="minorBidi"/>
        </w:rPr>
        <w:fldChar w:fldCharType="separate"/>
      </w:r>
      <w:r w:rsidR="00D50EFF" w:rsidRPr="009819CE">
        <w:rPr>
          <w:rFonts w:cstheme="minorBidi"/>
        </w:rPr>
        <w:t>(</w:t>
      </w:r>
      <w:hyperlink w:anchor="_ENREF_224" w:tooltip="Mondal, 2016 #85" w:history="1">
        <w:r w:rsidR="00950097" w:rsidRPr="009819CE">
          <w:rPr>
            <w:rFonts w:cstheme="minorBidi"/>
          </w:rPr>
          <w:t>Mondal et al., 2016</w:t>
        </w:r>
      </w:hyperlink>
      <w:r w:rsidR="00D50EFF" w:rsidRPr="009819CE">
        <w:rPr>
          <w:rFonts w:cstheme="minorBidi"/>
        </w:rPr>
        <w:t>)</w:t>
      </w:r>
      <w:r w:rsidRPr="009819CE">
        <w:rPr>
          <w:rFonts w:cstheme="minorBidi"/>
        </w:rPr>
        <w:fldChar w:fldCharType="end"/>
      </w:r>
      <w:r w:rsidRPr="009819CE">
        <w:rPr>
          <w:rFonts w:cstheme="minorBidi"/>
        </w:rPr>
        <w:t xml:space="preserve"> and heavily rely on the host for most nutrients, synthesizing only a few essential nutrients themselves </w:t>
      </w:r>
      <w:r w:rsidRPr="009819CE">
        <w:rPr>
          <w:rFonts w:cstheme="minorBidi"/>
        </w:rPr>
        <w:fldChar w:fldCharType="begin">
          <w:fldData xml:space="preserve">PEVuZE5vdGU+PENpdGU+PEF1dGhvcj52YW4gSGVsbGVtb25kPC9BdXRob3I+PFllYXI+MjAwNjwv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</w:fldData>
        </w:fldChar>
      </w:r>
      <w:r w:rsidR="00871B4F">
        <w:rPr>
          <w:rFonts w:cstheme="minorBidi"/>
        </w:rPr>
        <w:instrText xml:space="preserve"> ADDIN EN.CITE </w:instrText>
      </w:r>
      <w:r w:rsidR="00871B4F">
        <w:rPr>
          <w:rFonts w:cstheme="minorBidi"/>
        </w:rPr>
        <w:fldChar w:fldCharType="begin">
          <w:fldData xml:space="preserve">PEVuZE5vdGU+PENpdGU+PEF1dGhvcj52YW4gSGVsbGVtb25kPC9BdXRob3I+PFllYXI+MjAwNjwv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252" w:tooltip="Ramakrishnan, 2013 #1283" w:history="1">
        <w:r w:rsidR="00950097" w:rsidRPr="00EE7FB9">
          <w:rPr>
            <w:rFonts w:cstheme="minorBidi"/>
            <w:noProof/>
          </w:rPr>
          <w:t>Ramakrishnan et al., 2013</w:t>
        </w:r>
      </w:hyperlink>
      <w:r w:rsidR="00D50EFF" w:rsidRPr="00EE7FB9">
        <w:rPr>
          <w:rFonts w:cstheme="minorBidi"/>
          <w:noProof/>
        </w:rPr>
        <w:t xml:space="preserve">; </w:t>
      </w:r>
      <w:hyperlink w:anchor="_ENREF_320" w:tooltip="Tavares, 2021 #1785" w:history="1">
        <w:r w:rsidR="00950097" w:rsidRPr="00EE7FB9">
          <w:rPr>
            <w:rFonts w:cstheme="minorBidi"/>
            <w:noProof/>
          </w:rPr>
          <w:t>Tavares et al., 2021</w:t>
        </w:r>
      </w:hyperlink>
      <w:r w:rsidR="00D50EFF" w:rsidRPr="00EE7FB9">
        <w:rPr>
          <w:rFonts w:cstheme="minorBidi"/>
          <w:noProof/>
        </w:rPr>
        <w:t xml:space="preserve">; </w:t>
      </w:r>
      <w:hyperlink w:anchor="_ENREF_339" w:tooltip="van Hellemond, 2006 #1281" w:history="1">
        <w:r w:rsidR="00950097" w:rsidRPr="00EE7FB9">
          <w:rPr>
            <w:rFonts w:cstheme="minorBidi"/>
            <w:noProof/>
          </w:rPr>
          <w:t>van Hellemond and Tielens, 2006</w:t>
        </w:r>
      </w:hyperlink>
      <w:r w:rsidR="00D50EFF" w:rsidRPr="00EE7FB9">
        <w:rPr>
          <w:rFonts w:cstheme="minorBidi"/>
          <w:noProof/>
        </w:rPr>
        <w:t>)</w:t>
      </w:r>
      <w:r w:rsidRPr="009819CE">
        <w:rPr>
          <w:rFonts w:cstheme="minorBidi"/>
        </w:rPr>
        <w:fldChar w:fldCharType="end"/>
      </w:r>
      <w:r w:rsidRPr="009819CE">
        <w:rPr>
          <w:rFonts w:cstheme="minorBidi"/>
        </w:rPr>
        <w:t xml:space="preserve">. This dependence on the host stems from their opportunistic lifestyle. </w:t>
      </w:r>
      <w:r w:rsidR="009D03F4" w:rsidRPr="009819CE">
        <w:rPr>
          <w:rFonts w:cstheme="minorBidi"/>
          <w:i/>
          <w:iCs/>
        </w:rPr>
        <w:t>Hematodinium</w:t>
      </w:r>
      <w:r w:rsidRPr="009819CE">
        <w:rPr>
          <w:rFonts w:cstheme="minorBidi"/>
        </w:rPr>
        <w:t xml:space="preserve"> sp. serves as an example of this, as it lacks the </w:t>
      </w:r>
      <w:r w:rsidRPr="009819CE">
        <w:rPr>
          <w:rFonts w:cstheme="minorBidi"/>
          <w:i/>
          <w:iCs/>
        </w:rPr>
        <w:t>de novo</w:t>
      </w:r>
      <w:r w:rsidRPr="009819CE">
        <w:rPr>
          <w:rFonts w:cstheme="minorBidi"/>
        </w:rPr>
        <w:t xml:space="preserve"> isoprenoid biosynthesis pathway </w:t>
      </w:r>
      <w:r w:rsidRPr="009819CE">
        <w:rPr>
          <w:rFonts w:cstheme="minorBidi"/>
        </w:rPr>
        <w:fldChar w:fldCharType="begin">
          <w:fldData xml:space="preserve">PEVuZE5vdGU+PENpdGU+PEF1dGhvcj5Hb3JuaWs8L0F1dGhvcj48WWVhcj4yMDE1PC9ZZWFyPjxS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PEVuZE5vdGU+PENpdGU+PEF1dGhvcj5Hb3JuaWs8L0F1dGhvcj48WWVhcj4yMDE1PC9ZZWFyPjxS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14" w:tooltip="Gornik, 2015 #71" w:history="1">
        <w:r w:rsidR="00950097" w:rsidRPr="001F4A34">
          <w:rPr>
            <w:rFonts w:cstheme="minorBidi"/>
          </w:rPr>
          <w:t>Gornik et al., 2015</w:t>
        </w:r>
      </w:hyperlink>
      <w:r w:rsidR="00D50EFF" w:rsidRPr="001F4A34">
        <w:rPr>
          <w:rFonts w:cstheme="minorBidi"/>
        </w:rPr>
        <w:t>)</w:t>
      </w:r>
      <w:r w:rsidRPr="009819CE">
        <w:rPr>
          <w:rFonts w:cstheme="minorBidi"/>
        </w:rPr>
        <w:fldChar w:fldCharType="end"/>
      </w:r>
      <w:r w:rsidRPr="009819CE">
        <w:rPr>
          <w:rFonts w:cstheme="minorBidi"/>
        </w:rPr>
        <w:t xml:space="preserve">. Furthermore, dinoflagellates like </w:t>
      </w:r>
      <w:r w:rsidR="009D03F4" w:rsidRPr="009819CE">
        <w:rPr>
          <w:rFonts w:cstheme="minorBidi"/>
          <w:i/>
          <w:iCs/>
        </w:rPr>
        <w:t>Hematodinium</w:t>
      </w:r>
      <w:r w:rsidRPr="009819CE">
        <w:rPr>
          <w:rFonts w:cstheme="minorBidi"/>
        </w:rPr>
        <w:t xml:space="preserve"> sp. possess a large, multi-giga base genome and lipids are thought to contribute to the structural stability of the genome (Wisecaver &amp; Hackett, 2011).</w:t>
      </w:r>
    </w:p>
    <w:p w14:paraId="439D8868" w14:textId="50AEC0A1" w:rsidR="006A0363" w:rsidRPr="009819CE" w:rsidRDefault="006A0363" w:rsidP="006A0363">
      <w:pPr>
        <w:ind w:left="-10"/>
        <w:rPr>
          <w:rFonts w:cstheme="minorBidi"/>
        </w:rPr>
      </w:pPr>
      <w:r w:rsidRPr="009819CE">
        <w:rPr>
          <w:rFonts w:cstheme="minorBidi"/>
        </w:rPr>
        <w:t xml:space="preserve">Lipids can be obtained by scavenging from the host or synthesized </w:t>
      </w:r>
      <w:r w:rsidRPr="009819CE">
        <w:rPr>
          <w:rFonts w:cstheme="minorBidi"/>
          <w:i/>
          <w:iCs/>
        </w:rPr>
        <w:t>de novo</w:t>
      </w:r>
      <w:r w:rsidRPr="009819CE">
        <w:rPr>
          <w:rFonts w:cstheme="minorBidi"/>
          <w:color w:val="000000"/>
        </w:rPr>
        <w:t xml:space="preserve"> </w:t>
      </w:r>
      <w:r w:rsidRPr="009819CE">
        <w:rPr>
          <w:rFonts w:cstheme="minorBidi"/>
          <w:color w:val="000000"/>
        </w:rPr>
        <w:fldChar w:fldCharType="begin">
          <w:fldData xml:space="preserve">PEVuZE5vdGU+PENpdGU+PEF1dGhvcj5DaHU8L0F1dGhvcj48WWVhcj4yMDAyPC9ZZWFyPjxSZWNO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</w:fldData>
        </w:fldChar>
      </w:r>
      <w:r w:rsidR="00871B4F">
        <w:rPr>
          <w:rFonts w:cstheme="minorBidi"/>
          <w:color w:val="000000"/>
        </w:rPr>
        <w:instrText xml:space="preserve"> ADDIN EN.CITE </w:instrText>
      </w:r>
      <w:r w:rsidR="00871B4F">
        <w:rPr>
          <w:rFonts w:cstheme="minorBidi"/>
          <w:color w:val="000000"/>
        </w:rPr>
        <w:fldChar w:fldCharType="begin">
          <w:fldData xml:space="preserve">PEVuZE5vdGU+PENpdGU+PEF1dGhvcj5DaHU8L0F1dGhvcj48WWVhcj4yMDAyPC9ZZWFyPjxSZWNO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</w:fldData>
        </w:fldChar>
      </w:r>
      <w:r w:rsidR="00871B4F">
        <w:rPr>
          <w:rFonts w:cstheme="minorBidi"/>
          <w:color w:val="000000"/>
        </w:rPr>
        <w:instrText xml:space="preserve"> ADDIN EN.CITE.DATA </w:instrText>
      </w:r>
      <w:r w:rsidR="00871B4F">
        <w:rPr>
          <w:rFonts w:cstheme="minorBidi"/>
          <w:color w:val="000000"/>
        </w:rPr>
      </w:r>
      <w:r w:rsidR="00871B4F">
        <w:rPr>
          <w:rFonts w:cstheme="minorBidi"/>
          <w:color w:val="000000"/>
        </w:rPr>
        <w:fldChar w:fldCharType="end"/>
      </w:r>
      <w:r w:rsidRPr="009819CE">
        <w:rPr>
          <w:rFonts w:cstheme="minorBidi"/>
          <w:color w:val="000000"/>
        </w:rPr>
      </w:r>
      <w:r w:rsidRPr="009819CE">
        <w:rPr>
          <w:rFonts w:cstheme="minorBidi"/>
          <w:color w:val="000000"/>
        </w:rPr>
        <w:fldChar w:fldCharType="separate"/>
      </w:r>
      <w:r w:rsidR="00D50EFF" w:rsidRPr="00871B4F">
        <w:rPr>
          <w:rFonts w:cstheme="minorBidi"/>
          <w:noProof/>
          <w:color w:val="000000"/>
        </w:rPr>
        <w:t>(</w:t>
      </w:r>
      <w:hyperlink w:anchor="_ENREF_52" w:tooltip="Chu, 2002 #1303" w:history="1">
        <w:r w:rsidR="00950097" w:rsidRPr="00871B4F">
          <w:rPr>
            <w:rFonts w:cstheme="minorBidi"/>
            <w:noProof/>
            <w:color w:val="000000"/>
          </w:rPr>
          <w:t>Chu et al., 2002</w:t>
        </w:r>
      </w:hyperlink>
      <w:r w:rsidR="00D50EFF" w:rsidRPr="00871B4F">
        <w:rPr>
          <w:rFonts w:cstheme="minorBidi"/>
          <w:noProof/>
          <w:color w:val="000000"/>
        </w:rPr>
        <w:t xml:space="preserve">; </w:t>
      </w:r>
      <w:hyperlink w:anchor="_ENREF_285" w:tooltip="Shunmugam, 2022 #1298" w:history="1">
        <w:r w:rsidR="00950097" w:rsidRPr="00871B4F">
          <w:rPr>
            <w:rFonts w:cstheme="minorBidi"/>
            <w:noProof/>
            <w:color w:val="000000"/>
          </w:rPr>
          <w:t>Shunmugam et al., 2022</w:t>
        </w:r>
      </w:hyperlink>
      <w:r w:rsidR="00D50EFF" w:rsidRPr="00871B4F">
        <w:rPr>
          <w:rFonts w:cstheme="minorBidi"/>
          <w:noProof/>
          <w:color w:val="000000"/>
        </w:rPr>
        <w:t>)</w:t>
      </w:r>
      <w:r w:rsidRPr="009819CE">
        <w:rPr>
          <w:rFonts w:cstheme="minorBidi"/>
          <w:color w:val="000000"/>
        </w:rPr>
        <w:fldChar w:fldCharType="end"/>
      </w:r>
      <w:r w:rsidRPr="009819CE">
        <w:rPr>
          <w:rFonts w:cstheme="minorBidi"/>
        </w:rPr>
        <w:t xml:space="preserve">. The striking similarity in the fatty acid composition and lipid classes between the </w:t>
      </w:r>
      <w:r w:rsidR="009D03F4" w:rsidRPr="009819CE">
        <w:rPr>
          <w:rFonts w:cstheme="minorBidi"/>
          <w:i/>
          <w:iCs/>
        </w:rPr>
        <w:t>Hematodinium</w:t>
      </w:r>
      <w:r w:rsidRPr="009819CE">
        <w:rPr>
          <w:rFonts w:cstheme="minorBidi"/>
        </w:rPr>
        <w:t xml:space="preserve"> sp. macrospores and the hepatopancreas suggests that the parasite relies on the host for its specific fatty acid needs, potentially allowing the parasite to allocate more resources to cell production by bypassing the requirement for </w:t>
      </w:r>
      <w:r w:rsidRPr="009819CE">
        <w:rPr>
          <w:rFonts w:cstheme="minorBidi"/>
          <w:i/>
          <w:iCs/>
        </w:rPr>
        <w:t>de novo</w:t>
      </w:r>
      <w:r w:rsidRPr="009819CE">
        <w:rPr>
          <w:rFonts w:cstheme="minorBidi"/>
        </w:rPr>
        <w:t xml:space="preserve"> synthesis or modification of fatty acids, and also suggest</w:t>
      </w:r>
      <w:r w:rsidR="00E467FC" w:rsidRPr="00FA7D47">
        <w:rPr>
          <w:rFonts w:cstheme="minorBidi"/>
        </w:rPr>
        <w:t>s</w:t>
      </w:r>
      <w:r w:rsidRPr="009819CE">
        <w:rPr>
          <w:rFonts w:cstheme="minorBidi"/>
        </w:rPr>
        <w:t xml:space="preserve"> an evolutionary adaptation of the parasite to its host </w:t>
      </w:r>
      <w:r w:rsidRPr="009819CE">
        <w:rPr>
          <w:rFonts w:cstheme="minorBidi"/>
        </w:rPr>
        <w:fldChar w:fldCharType="begin">
          <w:fldData xml:space="preserve">PEVuZE5vdGU+PENpdGU+PEF1dGhvcj5QYWdlbmtvcHAgTG9oYW48L0F1dGhvcj48WWVhcj4yMDEy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PEVuZE5vdGU+PENpdGU+PEF1dGhvcj5QYWdlbmtvcHAgTG9oYW48L0F1dGhvcj48WWVhcj4yMDEy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63" w:tooltip="Davies, 2022 #569" w:history="1">
        <w:r w:rsidR="00950097" w:rsidRPr="001F4A34">
          <w:rPr>
            <w:rFonts w:cstheme="minorBidi"/>
          </w:rPr>
          <w:t>Davies et al., 2022</w:t>
        </w:r>
      </w:hyperlink>
      <w:r w:rsidR="00D50EFF" w:rsidRPr="001F4A34">
        <w:rPr>
          <w:rFonts w:cstheme="minorBidi"/>
        </w:rPr>
        <w:t xml:space="preserve">; </w:t>
      </w:r>
      <w:hyperlink w:anchor="_ENREF_156" w:tooltip="Jensen, 2010 #16" w:history="1">
        <w:r w:rsidR="00950097" w:rsidRPr="001F4A34">
          <w:rPr>
            <w:rFonts w:cstheme="minorBidi"/>
          </w:rPr>
          <w:t>Jensen et al., 2010</w:t>
        </w:r>
      </w:hyperlink>
      <w:r w:rsidR="00D50EFF" w:rsidRPr="001F4A34">
        <w:rPr>
          <w:rFonts w:cstheme="minorBidi"/>
        </w:rPr>
        <w:t xml:space="preserve">; </w:t>
      </w:r>
      <w:hyperlink w:anchor="_ENREF_241" w:tooltip="Pagenkopp Lohan, 2012 #25" w:history="1">
        <w:r w:rsidR="00950097" w:rsidRPr="001F4A34">
          <w:rPr>
            <w:rFonts w:cstheme="minorBidi"/>
          </w:rPr>
          <w:t>Pagenkopp Lohan et al., 2012</w:t>
        </w:r>
      </w:hyperlink>
      <w:r w:rsidR="00D50EFF" w:rsidRPr="001F4A34">
        <w:rPr>
          <w:rFonts w:cstheme="minorBidi"/>
        </w:rPr>
        <w:t>)</w:t>
      </w:r>
      <w:r w:rsidRPr="009819CE">
        <w:rPr>
          <w:rFonts w:cstheme="minorBidi"/>
        </w:rPr>
        <w:fldChar w:fldCharType="end"/>
      </w:r>
      <w:r w:rsidRPr="009819CE">
        <w:rPr>
          <w:rFonts w:cstheme="minorBidi"/>
        </w:rPr>
        <w:t xml:space="preserve">. Similar patterns of fatty acid similarities between </w:t>
      </w:r>
      <w:r w:rsidR="004D632A" w:rsidRPr="00FA7D47">
        <w:rPr>
          <w:rFonts w:cstheme="minorBidi"/>
        </w:rPr>
        <w:t xml:space="preserve">protistan </w:t>
      </w:r>
      <w:r w:rsidRPr="009819CE">
        <w:rPr>
          <w:rFonts w:cstheme="minorBidi"/>
        </w:rPr>
        <w:t xml:space="preserve">parasites and their hosts have been observed in other </w:t>
      </w:r>
      <w:r w:rsidR="00F92806" w:rsidRPr="009819CE">
        <w:rPr>
          <w:rFonts w:cstheme="minorBidi"/>
        </w:rPr>
        <w:t>pathosystem</w:t>
      </w:r>
      <w:r w:rsidR="00D05542" w:rsidRPr="009819CE">
        <w:rPr>
          <w:rFonts w:cstheme="minorBidi"/>
        </w:rPr>
        <w:t>s</w:t>
      </w:r>
      <w:r w:rsidRPr="009819CE">
        <w:rPr>
          <w:rFonts w:cstheme="minorBidi"/>
        </w:rPr>
        <w:t xml:space="preserve"> </w:t>
      </w:r>
      <w:r w:rsidRPr="009819CE">
        <w:rPr>
          <w:rFonts w:cstheme="minorBidi"/>
        </w:rPr>
        <w:fldChar w:fldCharType="begin">
          <w:fldData xml:space="preserve">PEVuZE5vdGU+PENpdGU+PEF1dGhvcj5DaHU8L0F1dGhvcj48WWVhcj4yMDA0PC9ZZWFyPjxSZWNO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=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PEVuZE5vdGU+PENpdGU+PEF1dGhvcj5DaHU8L0F1dGhvcj48WWVhcj4yMDA0PC9ZZWFyPjxSZWNO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=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53" w:tooltip="Chu, 2006 #1279" w:history="1">
        <w:r w:rsidR="00950097" w:rsidRPr="001F4A34">
          <w:rPr>
            <w:rFonts w:cstheme="minorBidi"/>
          </w:rPr>
          <w:t>Chu and Lund, 2006</w:t>
        </w:r>
      </w:hyperlink>
      <w:r w:rsidR="00D50EFF" w:rsidRPr="001F4A34">
        <w:rPr>
          <w:rFonts w:cstheme="minorBidi"/>
        </w:rPr>
        <w:t xml:space="preserve">; </w:t>
      </w:r>
      <w:hyperlink w:anchor="_ENREF_54" w:tooltip="Chu, 2004 #1280" w:history="1">
        <w:r w:rsidR="00950097" w:rsidRPr="001F4A34">
          <w:rPr>
            <w:rFonts w:cstheme="minorBidi"/>
          </w:rPr>
          <w:t>Chu et al., 2004</w:t>
        </w:r>
      </w:hyperlink>
      <w:r w:rsidR="00D50EFF" w:rsidRPr="001F4A34">
        <w:rPr>
          <w:rFonts w:cstheme="minorBidi"/>
        </w:rPr>
        <w:t xml:space="preserve">; </w:t>
      </w:r>
      <w:hyperlink w:anchor="_ENREF_296" w:tooltip="Soudant, 2001 #1278" w:history="1">
        <w:r w:rsidR="00950097" w:rsidRPr="001F4A34">
          <w:rPr>
            <w:rFonts w:cstheme="minorBidi"/>
          </w:rPr>
          <w:t>Soudant and Chu, 2001</w:t>
        </w:r>
      </w:hyperlink>
      <w:r w:rsidR="00D50EFF" w:rsidRPr="001F4A34">
        <w:rPr>
          <w:rFonts w:cstheme="minorBidi"/>
        </w:rPr>
        <w:t>)</w:t>
      </w:r>
      <w:r w:rsidRPr="009819CE">
        <w:rPr>
          <w:rFonts w:cstheme="minorBidi"/>
        </w:rPr>
        <w:fldChar w:fldCharType="end"/>
      </w:r>
      <w:r w:rsidRPr="009819CE">
        <w:rPr>
          <w:rFonts w:cstheme="minorBidi"/>
        </w:rPr>
        <w:t>.</w:t>
      </w:r>
    </w:p>
    <w:p w14:paraId="07454D0D" w14:textId="2355939E" w:rsidR="00053642" w:rsidRPr="009819CE" w:rsidRDefault="006A0363" w:rsidP="000A66AC">
      <w:pPr>
        <w:ind w:left="-10"/>
        <w:rPr>
          <w:rFonts w:cstheme="minorBidi"/>
        </w:rPr>
      </w:pPr>
      <w:r w:rsidRPr="009819CE">
        <w:rPr>
          <w:rFonts w:cstheme="minorBidi"/>
        </w:rPr>
        <w:t xml:space="preserve">The overall lipid profiles of the hepatopancreas of </w:t>
      </w:r>
      <w:r w:rsidR="00C31E47" w:rsidRPr="009819CE">
        <w:rPr>
          <w:rFonts w:cstheme="minorBidi"/>
          <w:i/>
          <w:iCs/>
        </w:rPr>
        <w:t>Nephrops</w:t>
      </w:r>
      <w:r w:rsidRPr="009819CE">
        <w:rPr>
          <w:rFonts w:cstheme="minorBidi"/>
        </w:rPr>
        <w:t xml:space="preserve"> infected with varying levels of </w:t>
      </w:r>
      <w:r w:rsidR="009D03F4" w:rsidRPr="009819CE">
        <w:rPr>
          <w:rFonts w:cstheme="minorBidi"/>
          <w:i/>
          <w:iCs/>
        </w:rPr>
        <w:t>Hematodinium</w:t>
      </w:r>
      <w:r w:rsidRPr="009819CE">
        <w:rPr>
          <w:rFonts w:cstheme="minorBidi"/>
          <w:i/>
          <w:iCs/>
        </w:rPr>
        <w:t xml:space="preserve"> </w:t>
      </w:r>
      <w:r w:rsidRPr="009819CE">
        <w:rPr>
          <w:rFonts w:cstheme="minorBidi"/>
        </w:rPr>
        <w:t xml:space="preserve">sp. (pleopod stage 0-4) exhibited remarkable similarity. The mechanisms underlying the sustained and relatively unchanged profile of </w:t>
      </w:r>
      <w:r w:rsidR="009D03F4" w:rsidRPr="009819CE">
        <w:rPr>
          <w:rFonts w:cstheme="minorBidi"/>
          <w:i/>
          <w:iCs/>
        </w:rPr>
        <w:t>Hematodinium</w:t>
      </w:r>
      <w:r w:rsidRPr="009819CE">
        <w:rPr>
          <w:rFonts w:cstheme="minorBidi"/>
        </w:rPr>
        <w:t xml:space="preserve"> sp. during infection progression remain unclear. </w:t>
      </w:r>
      <w:r w:rsidR="00053642" w:rsidRPr="009819CE">
        <w:rPr>
          <w:rFonts w:cstheme="minorBidi"/>
        </w:rPr>
        <w:t xml:space="preserve">In </w:t>
      </w:r>
      <w:r w:rsidR="00146158" w:rsidRPr="00FA7D47">
        <w:rPr>
          <w:rFonts w:cstheme="minorBidi"/>
        </w:rPr>
        <w:t>this</w:t>
      </w:r>
      <w:r w:rsidR="00053642" w:rsidRPr="009819CE">
        <w:rPr>
          <w:rFonts w:cstheme="minorBidi"/>
        </w:rPr>
        <w:t xml:space="preserve"> experiment</w:t>
      </w:r>
      <w:r w:rsidR="00D05542" w:rsidRPr="009819CE">
        <w:rPr>
          <w:rFonts w:cstheme="minorBidi"/>
        </w:rPr>
        <w:t>,</w:t>
      </w:r>
      <w:r w:rsidR="00053642" w:rsidRPr="009819CE">
        <w:rPr>
          <w:rFonts w:cstheme="minorBidi"/>
        </w:rPr>
        <w:t xml:space="preserve"> the hepatopancreas </w:t>
      </w:r>
      <w:r w:rsidR="009659F6" w:rsidRPr="009819CE">
        <w:rPr>
          <w:rFonts w:cstheme="minorBidi"/>
        </w:rPr>
        <w:t xml:space="preserve">of infected </w:t>
      </w:r>
      <w:r w:rsidR="00C31E47" w:rsidRPr="009819CE">
        <w:rPr>
          <w:rFonts w:cstheme="minorBidi"/>
          <w:i/>
          <w:iCs/>
        </w:rPr>
        <w:t>Nephrops</w:t>
      </w:r>
      <w:r w:rsidR="009659F6" w:rsidRPr="009819CE">
        <w:rPr>
          <w:rFonts w:cstheme="minorBidi"/>
        </w:rPr>
        <w:t xml:space="preserve"> was mixed </w:t>
      </w:r>
      <w:r w:rsidR="00053642" w:rsidRPr="009819CE">
        <w:rPr>
          <w:rFonts w:cstheme="minorBidi"/>
        </w:rPr>
        <w:t xml:space="preserve">with </w:t>
      </w:r>
      <w:r w:rsidR="009D03F4" w:rsidRPr="009819CE">
        <w:rPr>
          <w:rFonts w:cstheme="minorBidi"/>
          <w:i/>
          <w:iCs/>
        </w:rPr>
        <w:t>Hematodinium</w:t>
      </w:r>
      <w:r w:rsidR="003B3629" w:rsidRPr="009819CE">
        <w:rPr>
          <w:rFonts w:cstheme="minorBidi"/>
          <w:i/>
          <w:iCs/>
        </w:rPr>
        <w:t xml:space="preserve"> </w:t>
      </w:r>
      <w:r w:rsidR="003B3629" w:rsidRPr="009819CE">
        <w:rPr>
          <w:rFonts w:cstheme="minorBidi"/>
        </w:rPr>
        <w:t>sp.</w:t>
      </w:r>
      <w:r w:rsidR="00EA22A4" w:rsidRPr="009819CE">
        <w:rPr>
          <w:rFonts w:cstheme="minorBidi"/>
        </w:rPr>
        <w:t xml:space="preserve"> cells</w:t>
      </w:r>
      <w:r w:rsidR="00053642" w:rsidRPr="009819CE">
        <w:rPr>
          <w:rFonts w:cstheme="minorBidi"/>
        </w:rPr>
        <w:t xml:space="preserve">, which bears implications for interpreting the resulting data. Specifically, the absence of a noticeable shift suggests that the parasite may not be actively metabolizing or synthesizing lipids. If there were significant metabolic activity occurring within the parasite, changes in lipid composition </w:t>
      </w:r>
      <w:r w:rsidR="00D1679F">
        <w:rPr>
          <w:rFonts w:cstheme="minorBidi"/>
        </w:rPr>
        <w:t xml:space="preserve">might be expected </w:t>
      </w:r>
      <w:r w:rsidR="00053642" w:rsidRPr="009819CE">
        <w:rPr>
          <w:rFonts w:cstheme="minorBidi"/>
        </w:rPr>
        <w:t xml:space="preserve">as the parasite biomass increases within the tissue. However, </w:t>
      </w:r>
      <w:r w:rsidR="00146158" w:rsidRPr="00FA7D47">
        <w:rPr>
          <w:rFonts w:cstheme="minorBidi"/>
        </w:rPr>
        <w:t>the</w:t>
      </w:r>
      <w:r w:rsidR="00053642" w:rsidRPr="009819CE">
        <w:rPr>
          <w:rFonts w:cstheme="minorBidi"/>
        </w:rPr>
        <w:t xml:space="preserve"> data demonstrate that while the </w:t>
      </w:r>
      <w:r w:rsidR="00720BFD" w:rsidRPr="009819CE">
        <w:rPr>
          <w:rFonts w:cstheme="minorBidi"/>
        </w:rPr>
        <w:t>HSI</w:t>
      </w:r>
      <w:r w:rsidR="00053642" w:rsidRPr="009819CE">
        <w:rPr>
          <w:rFonts w:cstheme="minorBidi"/>
        </w:rPr>
        <w:t xml:space="preserve"> increases alongside parasite mass, the overall lipid content remains relatively stable until the sporulation stage, at which point a decrease is evident</w:t>
      </w:r>
      <w:r w:rsidR="00C83E7B" w:rsidRPr="009819CE">
        <w:rPr>
          <w:rFonts w:cstheme="minorBidi"/>
        </w:rPr>
        <w:t xml:space="preserve"> (</w:t>
      </w:r>
      <w:r w:rsidR="00C83E7B" w:rsidRPr="009819CE">
        <w:rPr>
          <w:rFonts w:cstheme="minorBidi"/>
        </w:rPr>
        <w:fldChar w:fldCharType="begin"/>
      </w:r>
      <w:r w:rsidR="00C83E7B" w:rsidRPr="009819CE">
        <w:rPr>
          <w:rFonts w:cstheme="minorBidi"/>
        </w:rPr>
        <w:instrText xml:space="preserve"> REF _Ref136884404 \h </w:instrText>
      </w:r>
      <w:r w:rsidR="00EC4518" w:rsidRPr="009819CE">
        <w:rPr>
          <w:rFonts w:cstheme="minorBidi"/>
        </w:rPr>
        <w:instrText xml:space="preserve"> \* MERGEFORMAT </w:instrText>
      </w:r>
      <w:r w:rsidR="00C83E7B" w:rsidRPr="009819CE">
        <w:rPr>
          <w:rFonts w:cstheme="minorBidi"/>
        </w:rPr>
      </w:r>
      <w:r w:rsidR="00C83E7B" w:rsidRPr="009819CE">
        <w:rPr>
          <w:rFonts w:cstheme="minorBidi"/>
        </w:rPr>
        <w:fldChar w:fldCharType="separate"/>
      </w:r>
      <w:r w:rsidR="008549FC" w:rsidRPr="009819CE">
        <w:rPr>
          <w:rFonts w:cstheme="minorBidi"/>
          <w:b/>
          <w:bCs/>
          <w:sz w:val="22"/>
          <w:szCs w:val="18"/>
        </w:rPr>
        <w:t xml:space="preserve">Figure </w:t>
      </w:r>
      <w:r w:rsidR="008549FC">
        <w:rPr>
          <w:rFonts w:cstheme="minorBidi"/>
          <w:b/>
          <w:bCs/>
          <w:sz w:val="22"/>
          <w:szCs w:val="18"/>
        </w:rPr>
        <w:t>4</w:t>
      </w:r>
      <w:r w:rsidR="008549FC" w:rsidRPr="009819CE">
        <w:rPr>
          <w:rFonts w:cstheme="minorBidi"/>
          <w:b/>
          <w:bCs/>
          <w:sz w:val="22"/>
          <w:szCs w:val="18"/>
        </w:rPr>
        <w:t>.</w:t>
      </w:r>
      <w:r w:rsidR="008549FC">
        <w:rPr>
          <w:rFonts w:cstheme="minorBidi"/>
          <w:b/>
          <w:bCs/>
          <w:sz w:val="22"/>
          <w:szCs w:val="18"/>
        </w:rPr>
        <w:t>8</w:t>
      </w:r>
      <w:r w:rsidR="00C83E7B" w:rsidRPr="009819CE">
        <w:rPr>
          <w:rFonts w:cstheme="minorBidi"/>
        </w:rPr>
        <w:fldChar w:fldCharType="end"/>
      </w:r>
      <w:r w:rsidR="003E4D04" w:rsidRPr="009819CE">
        <w:rPr>
          <w:rFonts w:cstheme="minorBidi"/>
        </w:rPr>
        <w:t xml:space="preserve"> and </w:t>
      </w:r>
      <w:r w:rsidR="00C83E7B" w:rsidRPr="009819CE">
        <w:rPr>
          <w:rFonts w:cstheme="minorBidi"/>
        </w:rPr>
        <w:fldChar w:fldCharType="begin"/>
      </w:r>
      <w:r w:rsidR="00C83E7B" w:rsidRPr="009819CE">
        <w:rPr>
          <w:rFonts w:cstheme="minorBidi"/>
        </w:rPr>
        <w:instrText xml:space="preserve"> REF _Ref136888816 \h </w:instrText>
      </w:r>
      <w:r w:rsidR="00EC4518" w:rsidRPr="009819CE">
        <w:rPr>
          <w:rFonts w:cstheme="minorBidi"/>
        </w:rPr>
        <w:instrText xml:space="preserve"> \* MERGEFORMAT </w:instrText>
      </w:r>
      <w:r w:rsidR="00C83E7B" w:rsidRPr="009819CE">
        <w:rPr>
          <w:rFonts w:cstheme="minorBidi"/>
        </w:rPr>
      </w:r>
      <w:r w:rsidR="00C83E7B" w:rsidRPr="009819CE">
        <w:rPr>
          <w:rFonts w:cstheme="minorBidi"/>
        </w:rPr>
        <w:fldChar w:fldCharType="separate"/>
      </w:r>
      <w:r w:rsidR="008549FC" w:rsidRPr="009819CE">
        <w:rPr>
          <w:rFonts w:cstheme="minorBidi"/>
          <w:b/>
          <w:bCs/>
          <w:sz w:val="22"/>
          <w:szCs w:val="18"/>
        </w:rPr>
        <w:t xml:space="preserve">Figure </w:t>
      </w:r>
      <w:r w:rsidR="008549FC">
        <w:rPr>
          <w:rFonts w:cstheme="minorBidi"/>
          <w:b/>
          <w:bCs/>
          <w:sz w:val="22"/>
          <w:szCs w:val="18"/>
        </w:rPr>
        <w:t>4</w:t>
      </w:r>
      <w:r w:rsidR="008549FC" w:rsidRPr="009819CE">
        <w:rPr>
          <w:rFonts w:cstheme="minorBidi"/>
          <w:b/>
          <w:bCs/>
          <w:sz w:val="22"/>
          <w:szCs w:val="18"/>
        </w:rPr>
        <w:t>.</w:t>
      </w:r>
      <w:r w:rsidR="008549FC">
        <w:rPr>
          <w:rFonts w:cstheme="minorBidi"/>
          <w:b/>
          <w:bCs/>
          <w:sz w:val="22"/>
          <w:szCs w:val="18"/>
        </w:rPr>
        <w:t>9</w:t>
      </w:r>
      <w:r w:rsidR="00C83E7B" w:rsidRPr="009819CE">
        <w:rPr>
          <w:rFonts w:cstheme="minorBidi"/>
        </w:rPr>
        <w:fldChar w:fldCharType="end"/>
      </w:r>
      <w:r w:rsidR="00C83E7B" w:rsidRPr="009819CE">
        <w:rPr>
          <w:rFonts w:cstheme="minorBidi"/>
        </w:rPr>
        <w:t>)</w:t>
      </w:r>
      <w:r w:rsidR="00053642" w:rsidRPr="009819CE">
        <w:rPr>
          <w:rFonts w:cstheme="minorBidi"/>
        </w:rPr>
        <w:t xml:space="preserve">. </w:t>
      </w:r>
      <w:r w:rsidR="0029330C" w:rsidRPr="00FA7D47">
        <w:t xml:space="preserve">This decline in lipid content following sporulation may reflect </w:t>
      </w:r>
      <w:r w:rsidR="00D1679F">
        <w:t xml:space="preserve">the fact </w:t>
      </w:r>
      <w:r w:rsidR="0029330C" w:rsidRPr="00FA7D47">
        <w:t>that parasites depart</w:t>
      </w:r>
      <w:r w:rsidR="00D1679F">
        <w:t>ing</w:t>
      </w:r>
      <w:r w:rsidR="0029330C" w:rsidRPr="00FA7D47">
        <w:t xml:space="preserve"> the host carry their lipid reserves with them.</w:t>
      </w:r>
    </w:p>
    <w:p w14:paraId="6D4EB671" w14:textId="5B6F9562" w:rsidR="00B23039" w:rsidRPr="009819CE" w:rsidRDefault="006A0363" w:rsidP="003D7AE0">
      <w:pPr>
        <w:ind w:left="-10"/>
        <w:rPr>
          <w:rFonts w:cstheme="minorBidi"/>
        </w:rPr>
      </w:pPr>
      <w:r w:rsidRPr="009819CE">
        <w:rPr>
          <w:rFonts w:cstheme="minorBidi"/>
        </w:rPr>
        <w:t xml:space="preserve">Research has shown that the fatty acid compositions found in fish and crustacean tissues typically mirror the fatty acids present in their diets </w:t>
      </w:r>
      <w:r w:rsidRPr="009819CE">
        <w:rPr>
          <w:rFonts w:cstheme="minorBidi"/>
        </w:rPr>
        <w:fldChar w:fldCharType="begin">
          <w:fldData xml:space="preserve">PEVuZE5vdGU+PENpdGU+PEF1dGhvcj5Vbm5pa3Jpc2huYW48L0F1dGhvcj48WWVhcj4yMDEwPC9Z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</w:fldData>
        </w:fldChar>
      </w:r>
      <w:r w:rsidR="00EE7FB9">
        <w:rPr>
          <w:rFonts w:cstheme="minorBidi"/>
        </w:rPr>
        <w:instrText xml:space="preserve"> ADDIN EN.CITE </w:instrText>
      </w:r>
      <w:r w:rsidR="00EE7FB9">
        <w:rPr>
          <w:rFonts w:cstheme="minorBidi"/>
        </w:rPr>
        <w:fldChar w:fldCharType="begin">
          <w:fldData xml:space="preserve">PEVuZE5vdGU+PENpdGU+PEF1dGhvcj5Vbm5pa3Jpc2huYW48L0F1dGhvcj48WWVhcj4yMDEwPC9Z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334" w:tooltip="Unnikrishnan, 2010 #1802" w:history="1">
        <w:r w:rsidR="00950097" w:rsidRPr="00EE7FB9">
          <w:rPr>
            <w:rFonts w:cstheme="minorBidi"/>
            <w:noProof/>
          </w:rPr>
          <w:t>Unnikrishnan and Paulraj, 2010</w:t>
        </w:r>
      </w:hyperlink>
      <w:r w:rsidR="00D50EFF" w:rsidRPr="00EE7FB9">
        <w:rPr>
          <w:rFonts w:cstheme="minorBidi"/>
          <w:noProof/>
        </w:rPr>
        <w:t xml:space="preserve">; </w:t>
      </w:r>
      <w:hyperlink w:anchor="_ENREF_347" w:tooltip="Wang, 2021 #1799" w:history="1">
        <w:r w:rsidR="00950097" w:rsidRPr="00EE7FB9">
          <w:rPr>
            <w:rFonts w:cstheme="minorBidi"/>
            <w:noProof/>
          </w:rPr>
          <w:t>Wang et al., 2021</w:t>
        </w:r>
      </w:hyperlink>
      <w:r w:rsidR="00D50EFF" w:rsidRPr="00EE7FB9">
        <w:rPr>
          <w:rFonts w:cstheme="minorBidi"/>
          <w:noProof/>
        </w:rPr>
        <w:t xml:space="preserve">; </w:t>
      </w:r>
      <w:hyperlink w:anchor="_ENREF_373" w:tooltip="Zhang, 2019 #1803" w:history="1">
        <w:r w:rsidR="00950097" w:rsidRPr="00EE7FB9">
          <w:rPr>
            <w:rFonts w:cstheme="minorBidi"/>
            <w:noProof/>
          </w:rPr>
          <w:t>Zhang et al., 2019</w:t>
        </w:r>
      </w:hyperlink>
      <w:r w:rsidR="00D50EFF" w:rsidRPr="00EE7FB9">
        <w:rPr>
          <w:rFonts w:cstheme="minorBidi"/>
          <w:noProof/>
        </w:rPr>
        <w:t>)</w:t>
      </w:r>
      <w:r w:rsidRPr="009819CE">
        <w:rPr>
          <w:rFonts w:cstheme="minorBidi"/>
        </w:rPr>
        <w:fldChar w:fldCharType="end"/>
      </w:r>
      <w:r w:rsidRPr="009819CE">
        <w:rPr>
          <w:rFonts w:cstheme="minorBidi"/>
        </w:rPr>
        <w:t xml:space="preserve">. Notably, the continuous feeding behaviour of </w:t>
      </w:r>
      <w:r w:rsidR="00C31E47" w:rsidRPr="009819CE">
        <w:rPr>
          <w:rFonts w:cstheme="minorBidi"/>
          <w:i/>
          <w:iCs/>
        </w:rPr>
        <w:t>Nephrops</w:t>
      </w:r>
      <w:r w:rsidRPr="009819CE">
        <w:rPr>
          <w:rFonts w:cstheme="minorBidi"/>
        </w:rPr>
        <w:t xml:space="preserve">, remains unaffected by the level of </w:t>
      </w:r>
      <w:r w:rsidR="009D03F4" w:rsidRPr="009819CE">
        <w:rPr>
          <w:rFonts w:cstheme="minorBidi"/>
          <w:i/>
        </w:rPr>
        <w:t>Hematodinium</w:t>
      </w:r>
      <w:r w:rsidRPr="009819CE">
        <w:rPr>
          <w:rFonts w:cstheme="minorBidi"/>
        </w:rPr>
        <w:t xml:space="preserve"> sp. infection, as evidenced by the stomach content (personal observations; data not shown). In the wild</w:t>
      </w:r>
      <w:r w:rsidR="006F7D3B" w:rsidRPr="009819CE">
        <w:rPr>
          <w:rFonts w:cstheme="minorBidi"/>
        </w:rPr>
        <w:t>,</w:t>
      </w:r>
      <w:r w:rsidRPr="009819CE">
        <w:rPr>
          <w:rFonts w:cstheme="minorBidi"/>
        </w:rPr>
        <w:t xml:space="preserve"> </w:t>
      </w:r>
      <w:r w:rsidR="00FC0161" w:rsidRPr="009819CE">
        <w:rPr>
          <w:rFonts w:cstheme="minorBidi"/>
        </w:rPr>
        <w:t>t</w:t>
      </w:r>
      <w:r w:rsidRPr="009819CE">
        <w:rPr>
          <w:rFonts w:cstheme="minorBidi"/>
        </w:rPr>
        <w:t xml:space="preserve">his regular feeding ensures a constant supply of nutrients to the parasites throughout the progression of </w:t>
      </w:r>
      <w:r w:rsidR="009D03F4" w:rsidRPr="009819CE">
        <w:rPr>
          <w:rFonts w:cstheme="minorBidi"/>
          <w:i/>
          <w:iCs/>
        </w:rPr>
        <w:t>Hematodinium</w:t>
      </w:r>
      <w:r w:rsidRPr="009819CE">
        <w:rPr>
          <w:rFonts w:cstheme="minorBidi"/>
        </w:rPr>
        <w:t xml:space="preserve"> sp. infection. </w:t>
      </w:r>
      <w:r w:rsidR="002E6ABE" w:rsidRPr="009819CE">
        <w:rPr>
          <w:rFonts w:cstheme="minorBidi"/>
        </w:rPr>
        <w:t>In this experiment, animals were intentionally deprived of food</w:t>
      </w:r>
      <w:r w:rsidR="006F42A4" w:rsidRPr="009819CE">
        <w:rPr>
          <w:rFonts w:cstheme="minorBidi"/>
        </w:rPr>
        <w:t xml:space="preserve"> and therefore in a state of “starvation”</w:t>
      </w:r>
      <w:r w:rsidR="002E6ABE" w:rsidRPr="009819CE">
        <w:rPr>
          <w:rFonts w:cstheme="minorBidi"/>
        </w:rPr>
        <w:t xml:space="preserve">. </w:t>
      </w:r>
      <w:r w:rsidR="0088119C" w:rsidRPr="00FA7D47">
        <w:rPr>
          <w:rFonts w:cstheme="minorBidi"/>
        </w:rPr>
        <w:t>The</w:t>
      </w:r>
      <w:r w:rsidR="002E6ABE" w:rsidRPr="009819CE">
        <w:rPr>
          <w:rFonts w:cstheme="minorBidi"/>
        </w:rPr>
        <w:t xml:space="preserve"> findings reveal a significant transfer of energy, particularly in the form of lipids, from the host to the parasite</w:t>
      </w:r>
      <w:r w:rsidR="00D56821" w:rsidRPr="009819CE">
        <w:rPr>
          <w:rFonts w:cstheme="minorBidi"/>
        </w:rPr>
        <w:t xml:space="preserve"> </w:t>
      </w:r>
      <w:r w:rsidR="00B43033" w:rsidRPr="009819CE">
        <w:rPr>
          <w:rFonts w:cstheme="minorBidi"/>
        </w:rPr>
        <w:t>(</w:t>
      </w:r>
      <w:r w:rsidR="000A62B0" w:rsidRPr="009819CE">
        <w:rPr>
          <w:rFonts w:cstheme="minorBidi"/>
        </w:rPr>
        <w:fldChar w:fldCharType="begin"/>
      </w:r>
      <w:r w:rsidR="000A62B0" w:rsidRPr="009819CE">
        <w:rPr>
          <w:rFonts w:cstheme="minorBidi"/>
        </w:rPr>
        <w:instrText xml:space="preserve"> REF _Ref136884404 \h </w:instrText>
      </w:r>
      <w:r w:rsidR="00EC4518" w:rsidRPr="009819CE">
        <w:rPr>
          <w:rFonts w:cstheme="minorBidi"/>
        </w:rPr>
        <w:instrText xml:space="preserve"> \* MERGEFORMAT </w:instrText>
      </w:r>
      <w:r w:rsidR="000A62B0" w:rsidRPr="009819CE">
        <w:rPr>
          <w:rFonts w:cstheme="minorBidi"/>
        </w:rPr>
      </w:r>
      <w:r w:rsidR="000A62B0" w:rsidRPr="009819CE">
        <w:rPr>
          <w:rFonts w:cstheme="minorBidi"/>
        </w:rPr>
        <w:fldChar w:fldCharType="separate"/>
      </w:r>
      <w:r w:rsidR="008549FC" w:rsidRPr="009819CE">
        <w:rPr>
          <w:rFonts w:cstheme="minorBidi"/>
          <w:b/>
          <w:bCs/>
          <w:sz w:val="22"/>
          <w:szCs w:val="18"/>
        </w:rPr>
        <w:t xml:space="preserve">Figure </w:t>
      </w:r>
      <w:r w:rsidR="008549FC">
        <w:rPr>
          <w:rFonts w:cstheme="minorBidi"/>
          <w:b/>
          <w:bCs/>
          <w:sz w:val="22"/>
          <w:szCs w:val="18"/>
        </w:rPr>
        <w:t>4</w:t>
      </w:r>
      <w:r w:rsidR="008549FC" w:rsidRPr="009819CE">
        <w:rPr>
          <w:rFonts w:cstheme="minorBidi"/>
          <w:b/>
          <w:bCs/>
          <w:sz w:val="22"/>
          <w:szCs w:val="18"/>
        </w:rPr>
        <w:t>.</w:t>
      </w:r>
      <w:r w:rsidR="008549FC">
        <w:rPr>
          <w:rFonts w:cstheme="minorBidi"/>
          <w:b/>
          <w:bCs/>
          <w:sz w:val="22"/>
          <w:szCs w:val="18"/>
        </w:rPr>
        <w:t>8</w:t>
      </w:r>
      <w:r w:rsidR="000A62B0" w:rsidRPr="009819CE">
        <w:rPr>
          <w:rFonts w:cstheme="minorBidi"/>
        </w:rPr>
        <w:fldChar w:fldCharType="end"/>
      </w:r>
      <w:r w:rsidR="005F3105" w:rsidRPr="009819CE">
        <w:rPr>
          <w:rFonts w:cstheme="minorBidi"/>
        </w:rPr>
        <w:t>-</w:t>
      </w:r>
      <w:r w:rsidR="000A62B0" w:rsidRPr="009819CE">
        <w:rPr>
          <w:rFonts w:cstheme="minorBidi"/>
        </w:rPr>
        <w:fldChar w:fldCharType="begin"/>
      </w:r>
      <w:r w:rsidR="000A62B0" w:rsidRPr="009819CE">
        <w:rPr>
          <w:rFonts w:cstheme="minorBidi"/>
        </w:rPr>
        <w:instrText xml:space="preserve"> REF _Ref136888816 \h </w:instrText>
      </w:r>
      <w:r w:rsidR="00EC4518" w:rsidRPr="009819CE">
        <w:rPr>
          <w:rFonts w:cstheme="minorBidi"/>
        </w:rPr>
        <w:instrText xml:space="preserve"> \* MERGEFORMAT </w:instrText>
      </w:r>
      <w:r w:rsidR="000A62B0" w:rsidRPr="009819CE">
        <w:rPr>
          <w:rFonts w:cstheme="minorBidi"/>
        </w:rPr>
      </w:r>
      <w:r w:rsidR="000A62B0" w:rsidRPr="009819CE">
        <w:rPr>
          <w:rFonts w:cstheme="minorBidi"/>
        </w:rPr>
        <w:fldChar w:fldCharType="separate"/>
      </w:r>
      <w:r w:rsidR="008549FC" w:rsidRPr="009819CE">
        <w:rPr>
          <w:rFonts w:cstheme="minorBidi"/>
          <w:b/>
          <w:bCs/>
          <w:sz w:val="22"/>
          <w:szCs w:val="18"/>
        </w:rPr>
        <w:t xml:space="preserve">Figure </w:t>
      </w:r>
      <w:r w:rsidR="008549FC">
        <w:rPr>
          <w:rFonts w:cstheme="minorBidi"/>
          <w:b/>
          <w:bCs/>
          <w:sz w:val="22"/>
          <w:szCs w:val="18"/>
        </w:rPr>
        <w:t>4</w:t>
      </w:r>
      <w:r w:rsidR="008549FC" w:rsidRPr="009819CE">
        <w:rPr>
          <w:rFonts w:cstheme="minorBidi"/>
          <w:b/>
          <w:bCs/>
          <w:sz w:val="22"/>
          <w:szCs w:val="18"/>
        </w:rPr>
        <w:t>.</w:t>
      </w:r>
      <w:r w:rsidR="008549FC">
        <w:rPr>
          <w:rFonts w:cstheme="minorBidi"/>
          <w:b/>
          <w:bCs/>
          <w:sz w:val="22"/>
          <w:szCs w:val="18"/>
        </w:rPr>
        <w:t>9</w:t>
      </w:r>
      <w:r w:rsidR="000A62B0" w:rsidRPr="009819CE">
        <w:rPr>
          <w:rFonts w:cstheme="minorBidi"/>
        </w:rPr>
        <w:fldChar w:fldCharType="end"/>
      </w:r>
      <w:r w:rsidR="00B43033" w:rsidRPr="009819CE">
        <w:rPr>
          <w:rFonts w:cstheme="minorBidi"/>
        </w:rPr>
        <w:t>)</w:t>
      </w:r>
      <w:r w:rsidR="002E6ABE" w:rsidRPr="009819CE">
        <w:rPr>
          <w:rFonts w:cstheme="minorBidi"/>
        </w:rPr>
        <w:t>. This lipid transfer strongly suggests substantial changes in the host tissues, consistent with observations by other researchers who have noted similar alterations in muscle tissue under starvation conditions</w:t>
      </w:r>
      <w:r w:rsidR="007D339A" w:rsidRPr="009819CE">
        <w:rPr>
          <w:rFonts w:cstheme="minorBidi"/>
        </w:rPr>
        <w:t xml:space="preserve"> </w:t>
      </w:r>
      <w:r w:rsidR="00381082" w:rsidRPr="009819CE">
        <w:rPr>
          <w:rFonts w:cstheme="minorBidi"/>
        </w:rPr>
        <w:fldChar w:fldCharType="begin"/>
      </w:r>
      <w:r w:rsidR="00D50EFF" w:rsidRPr="009819CE">
        <w:rPr>
          <w:rFonts w:cstheme="minorBidi"/>
        </w:rPr>
        <w:instrText xml:space="preserve"> ADDIN EN.CITE &lt;EndNote&gt;&lt;Cite&gt;&lt;Author&gt;Gornik&lt;/Author&gt;&lt;Year&gt;2010&lt;/Year&gt;&lt;RecNum&gt;272&lt;/RecNum&gt;&lt;DisplayText&gt;(Gornik et al., 2010)&lt;/DisplayText&gt;&lt;record&gt;&lt;rec-number&gt;272&lt;/rec-number&gt;&lt;foreign-keys&gt;&lt;key app="EN" db-id="sd9wrx9fj09rx3erprsx999o0r5aprvp2zse" timestamp="1687855901" guid="14c2eb1c-dc62-464e-8726-b0d1e2a21e00"&gt;272&lt;/key&gt;&lt;/foreign-keys&gt;&lt;ref-type name="Journal Article"&gt;17&lt;/ref-type&gt;&lt;contributors&gt;&lt;authors&gt;&lt;author&gt;Gornik, Sebastian G.&lt;/author&gt;&lt;author&gt;Albalat, Amaya&lt;/author&gt;&lt;author&gt;Atkinson, Robert James A.&lt;/author&gt;&lt;author&gt;Coombs, Graham H.&lt;/author&gt;&lt;author&gt;Neil, Douglas M.&lt;/author&gt;&lt;/authors&gt;&lt;/contributors&gt;&lt;titles&gt;&lt;title&gt;&lt;style face="normal" font="default" size="100%"&gt;The influence of defined ante-mortem stressors on the early post-mortem biochemical processes in the abdominal muscle of the Norway lobster, &lt;/style&gt;&lt;style face="italic" font="default" size="100%"&gt;Nephrops norvegicus&lt;/style&gt;&lt;style face="normal" font="default" size="100%"&gt; (Linnaeus, 1758)&lt;/style&gt;&lt;/title&gt;&lt;secondary-title&gt;Marine Biology Research&lt;/secondary-title&gt;&lt;/titles&gt;&lt;periodical&gt;&lt;full-title&gt;Marine Biology Research&lt;/full-title&gt;&lt;/periodical&gt;&lt;pages&gt;223-238&lt;/pages&gt;&lt;volume&gt;6&lt;/volume&gt;&lt;number&gt;3&lt;/number&gt;&lt;keywords&gt;&lt;keyword&gt;Ante-mortem stress&lt;/keyword&gt;&lt;keyword&gt;Hematodinium sp.&lt;/keyword&gt;&lt;keyword&gt;Nephrops norvegicus fisheries&lt;/keyword&gt;&lt;keyword&gt;Post-harvest quality&lt;/keyword&gt;&lt;keyword&gt;Post-mortem physiology&lt;/keyword&gt;&lt;/keywords&gt;&lt;dates&gt;&lt;year&gt;2010&lt;/year&gt;&lt;pub-dates&gt;&lt;date&gt;2010/5//&lt;/date&gt;&lt;/pub-dates&gt;&lt;/dates&gt;&lt;urls&gt;&lt;related-urls&gt;&lt;url&gt;https://www.tandfonline.com/doi/full/10.1080/17451000903147468&lt;/url&gt;&lt;/related-urls&gt;&lt;/urls&gt;&lt;electronic-resource-num&gt;10.1080/17451000903147468&lt;/electronic-resource-num&gt;&lt;/record&gt;&lt;/Cite&gt;&lt;/EndNote&gt;</w:instrText>
      </w:r>
      <w:r w:rsidR="00381082" w:rsidRPr="009819CE">
        <w:rPr>
          <w:rFonts w:cstheme="minorBidi"/>
        </w:rPr>
        <w:fldChar w:fldCharType="separate"/>
      </w:r>
      <w:r w:rsidR="00D50EFF" w:rsidRPr="009819CE">
        <w:rPr>
          <w:rFonts w:cstheme="minorBidi"/>
        </w:rPr>
        <w:t>(</w:t>
      </w:r>
      <w:hyperlink w:anchor="_ENREF_112" w:tooltip="Gornik, 2010 #272" w:history="1">
        <w:r w:rsidR="00950097" w:rsidRPr="009819CE">
          <w:rPr>
            <w:rFonts w:cstheme="minorBidi"/>
          </w:rPr>
          <w:t>Gornik et al., 2010</w:t>
        </w:r>
      </w:hyperlink>
      <w:r w:rsidR="00D50EFF" w:rsidRPr="009819CE">
        <w:rPr>
          <w:rFonts w:cstheme="minorBidi"/>
        </w:rPr>
        <w:t>)</w:t>
      </w:r>
      <w:r w:rsidR="00381082" w:rsidRPr="009819CE">
        <w:rPr>
          <w:rFonts w:cstheme="minorBidi"/>
        </w:rPr>
        <w:fldChar w:fldCharType="end"/>
      </w:r>
      <w:r w:rsidR="0093404B" w:rsidRPr="009819CE">
        <w:rPr>
          <w:rFonts w:cstheme="minorBidi"/>
        </w:rPr>
        <w:t xml:space="preserve">. </w:t>
      </w:r>
      <w:r w:rsidRPr="009819CE">
        <w:rPr>
          <w:rFonts w:cstheme="minorBidi"/>
        </w:rPr>
        <w:t xml:space="preserve">The specific mechanisms of nutrient depletion by </w:t>
      </w:r>
      <w:r w:rsidR="009D03F4" w:rsidRPr="009819CE">
        <w:rPr>
          <w:rFonts w:cstheme="minorBidi"/>
          <w:i/>
        </w:rPr>
        <w:t>Hematodinium</w:t>
      </w:r>
      <w:r w:rsidRPr="009819CE">
        <w:rPr>
          <w:rFonts w:cstheme="minorBidi"/>
        </w:rPr>
        <w:t xml:space="preserve"> sp. and its impact on host nutrition may require further investigation.</w:t>
      </w:r>
      <w:r w:rsidR="00B23039" w:rsidRPr="009819CE">
        <w:rPr>
          <w:rFonts w:cstheme="minorBidi"/>
        </w:rPr>
        <w:t xml:space="preserve"> </w:t>
      </w:r>
    </w:p>
    <w:p w14:paraId="1DC1A099" w14:textId="33F1252F" w:rsidR="006D7022" w:rsidRPr="009819CE" w:rsidRDefault="006A0363" w:rsidP="006A0363">
      <w:pPr>
        <w:ind w:left="-10"/>
        <w:rPr>
          <w:rFonts w:cstheme="minorBidi"/>
        </w:rPr>
      </w:pPr>
      <w:r w:rsidRPr="009819CE">
        <w:rPr>
          <w:rFonts w:cstheme="minorBidi"/>
          <w:iCs/>
        </w:rPr>
        <w:t xml:space="preserve">Fatty acid composition of </w:t>
      </w:r>
      <w:r w:rsidR="009D03F4" w:rsidRPr="009819CE">
        <w:rPr>
          <w:rFonts w:cstheme="minorBidi"/>
          <w:i/>
        </w:rPr>
        <w:t>Hematodinium</w:t>
      </w:r>
      <w:r w:rsidRPr="009819CE">
        <w:rPr>
          <w:rFonts w:cstheme="minorBidi"/>
        </w:rPr>
        <w:t xml:space="preserve"> macrospores, predominantly consist of palmitic acid as their major saturated fatty acid, along with oleic and palmitoleic acids as the dominant unsaturated fatty acids. It </w:t>
      </w:r>
      <w:r w:rsidR="00CF6726" w:rsidRPr="009819CE">
        <w:rPr>
          <w:rFonts w:cstheme="minorBidi"/>
        </w:rPr>
        <w:t>may be possible</w:t>
      </w:r>
      <w:r w:rsidRPr="009819CE">
        <w:rPr>
          <w:rFonts w:cstheme="minorBidi"/>
        </w:rPr>
        <w:t xml:space="preserve"> that palmitic acid serves as a precursor for the synthesis of both saturated and unsaturated fatty acids </w:t>
      </w:r>
      <w:r w:rsidRPr="009819CE">
        <w:rPr>
          <w:rFonts w:cstheme="minorBidi"/>
        </w:rPr>
        <w:fldChar w:fldCharType="begin"/>
      </w:r>
      <w:r w:rsidR="00E11994" w:rsidRPr="009819CE">
        <w:rPr>
          <w:rFonts w:cstheme="minorBidi"/>
        </w:rPr>
        <w:instrText xml:space="preserve"> ADDIN EN.CITE &lt;EndNote&gt;&lt;Cite&gt;&lt;Author&gt;Mondal&lt;/Author&gt;&lt;Year&gt;2009&lt;/Year&gt;&lt;RecNum&gt;1783&lt;/RecNum&gt;&lt;DisplayText&gt;(Mondal et al., 2009)&lt;/DisplayText&gt;&lt;record&gt;&lt;rec-number&gt;1783&lt;/rec-number&gt;&lt;foreign-keys&gt;&lt;key app="EN" db-id="sd9wrx9fj09rx3erprsx999o0r5aprvp2zse" timestamp="1690705283" guid="cd05c766-a820-4ed7-aa21-0cfdc9409ac5"&gt;1783&lt;/key&gt;&lt;/foreign-keys&gt;&lt;ref-type name="Journal Article"&gt;17&lt;/ref-type&gt;&lt;contributors&gt;&lt;authors&gt;&lt;author&gt;Mondal, Madhumita&lt;/author&gt;&lt;author&gt;Mukhopadhyay, Debalina&lt;/author&gt;&lt;author&gt;Ghosh, Debasree&lt;/author&gt;&lt;author&gt;Dey, C.&lt;/author&gt;&lt;author&gt;Misra, K. K.&lt;/author&gt;&lt;/authors&gt;&lt;/contributors&gt;&lt;titles&gt;&lt;title&gt;&lt;style face="normal" font="default" size="100%"&gt;Analysis of major lipid classes and their fatty acids in a cestode parasite of domestic fowl, &lt;/style&gt;&lt;style face="italic" font="default" size="100%"&gt;Raillietina &lt;/style&gt;&lt;style face="normal" font="default" size="100%"&gt;(&lt;/style&gt;&lt;style face="italic" font="default" size="100%"&gt;Fuhrmannetta&lt;/style&gt;&lt;style face="normal" font="default" size="100%"&gt;) &lt;/style&gt;&lt;style face="italic" font="default" size="100%"&gt;echinobothrida&lt;/style&gt;&lt;/title&gt;&lt;secondary-title&gt;Proceedings of the Zoological Society&lt;/secondary-title&gt;&lt;/titles&gt;&lt;periodical&gt;&lt;full-title&gt;Proceedings of the Zoological Society&lt;/full-title&gt;&lt;/periodical&gt;&lt;pages&gt;131-137&lt;/pages&gt;&lt;volume&gt;62&lt;/volume&gt;&lt;number&gt;2&lt;/number&gt;&lt;dates&gt;&lt;year&gt;2009&lt;/year&gt;&lt;/dates&gt;&lt;publisher&gt;Springer Science and Business Media LLC&lt;/publisher&gt;&lt;isbn&gt;0373-5893&lt;/isbn&gt;&lt;urls&gt;&lt;related-urls&gt;&lt;url&gt;https://dx.doi.org/10.1007/s12595-009-0015-3&lt;/url&gt;&lt;/related-urls&gt;&lt;/urls&gt;&lt;electronic-resource-num&gt;10.1007/s12595-009-0015-3&lt;/electronic-resource-num&gt;&lt;/record&gt;&lt;/Cite&gt;&lt;/EndNote&gt;</w:instrText>
      </w:r>
      <w:r w:rsidRPr="009819CE">
        <w:rPr>
          <w:rFonts w:cstheme="minorBidi"/>
        </w:rPr>
        <w:fldChar w:fldCharType="separate"/>
      </w:r>
      <w:r w:rsidR="00D50EFF" w:rsidRPr="001F4A34">
        <w:rPr>
          <w:rFonts w:cstheme="minorBidi"/>
        </w:rPr>
        <w:t>(</w:t>
      </w:r>
      <w:hyperlink w:anchor="_ENREF_225" w:tooltip="Mondal, 2009 #1783" w:history="1">
        <w:r w:rsidR="00950097" w:rsidRPr="001F4A34">
          <w:rPr>
            <w:rFonts w:cstheme="minorBidi"/>
          </w:rPr>
          <w:t>Mondal et al., 2009</w:t>
        </w:r>
      </w:hyperlink>
      <w:r w:rsidR="00D50EFF" w:rsidRPr="001F4A34">
        <w:rPr>
          <w:rFonts w:cstheme="minorBidi"/>
        </w:rPr>
        <w:t>)</w:t>
      </w:r>
      <w:r w:rsidRPr="009819CE">
        <w:rPr>
          <w:rFonts w:cstheme="minorBidi"/>
        </w:rPr>
        <w:fldChar w:fldCharType="end"/>
      </w:r>
      <w:r w:rsidRPr="009819CE">
        <w:rPr>
          <w:rFonts w:cstheme="minorBidi"/>
        </w:rPr>
        <w:t xml:space="preserve">. </w:t>
      </w:r>
      <w:r w:rsidR="00317C18" w:rsidRPr="009819CE">
        <w:rPr>
          <w:rFonts w:cstheme="minorBidi"/>
        </w:rPr>
        <w:t xml:space="preserve">Elevated levels of unsaturated fatty acids detected within the dormant structures </w:t>
      </w:r>
      <w:r w:rsidR="00833BFE" w:rsidRPr="009819CE">
        <w:rPr>
          <w:rFonts w:cstheme="minorBidi"/>
        </w:rPr>
        <w:t xml:space="preserve">may </w:t>
      </w:r>
      <w:r w:rsidR="00317C18" w:rsidRPr="009819CE">
        <w:rPr>
          <w:rFonts w:cstheme="minorBidi"/>
        </w:rPr>
        <w:t>suggest the formation of a reservoir essential for triggering germination</w:t>
      </w:r>
      <w:r w:rsidR="00050C73" w:rsidRPr="009819CE">
        <w:rPr>
          <w:rFonts w:cstheme="minorBidi"/>
        </w:rPr>
        <w:t xml:space="preserve"> </w:t>
      </w:r>
      <w:r w:rsidR="00DD5914" w:rsidRPr="009819CE">
        <w:rPr>
          <w:rFonts w:cstheme="minorBidi"/>
        </w:rPr>
        <w:fldChar w:fldCharType="begin"/>
      </w:r>
      <w:r w:rsidR="00D50EFF" w:rsidRPr="009819CE">
        <w:rPr>
          <w:rFonts w:cstheme="minorBidi"/>
        </w:rPr>
        <w:instrText xml:space="preserve"> ADDIN EN.CITE &lt;EndNote&gt;&lt;Cite&gt;&lt;Author&gt;Feofilova&lt;/Author&gt;&lt;Year&gt;2015&lt;/Year&gt;&lt;RecNum&gt;1901&lt;/RecNum&gt;&lt;DisplayText&gt;(Feofilova et al., 2015)&lt;/DisplayText&gt;&lt;record&gt;&lt;rec-number&gt;1901&lt;/rec-number&gt;&lt;foreign-keys&gt;&lt;key app="EN" db-id="sd9wrx9fj09rx3erprsx999o0r5aprvp2zse" timestamp="1707661823" guid="8a6e332f-b49d-4d54-bc58-8e268b859bc9"&gt;1901&lt;/key&gt;&lt;/foreign-keys&gt;&lt;ref-type name="Journal Article"&gt;17&lt;/ref-type&gt;&lt;contributors&gt;&lt;authors&gt;&lt;author&gt;Feofilova, E. P.&lt;/author&gt;&lt;author&gt;Sergeeva, Ya E.&lt;/author&gt;&lt;author&gt;Mysyakina, I. S.&lt;/author&gt;&lt;author&gt;Bokareva, D. A.&lt;/author&gt;&lt;/authors&gt;&lt;/contributors&gt;&lt;titles&gt;&lt;title&gt;Lipid composition in cell walls and in mycelial and spore cells of mycelial fungi&lt;/title&gt;&lt;secondary-title&gt;Microbiology&lt;/secondary-title&gt;&lt;/titles&gt;&lt;periodical&gt;&lt;full-title&gt;Microbiology&lt;/full-title&gt;&lt;/periodical&gt;&lt;pages&gt;170-176&lt;/pages&gt;&lt;volume&gt;84&lt;/volume&gt;&lt;number&gt;2&lt;/number&gt;&lt;dates&gt;&lt;year&gt;2015&lt;/year&gt;&lt;/dates&gt;&lt;publisher&gt;Pleiades Publishing Ltd&lt;/publisher&gt;&lt;isbn&gt;0026-2617&lt;/isbn&gt;&lt;urls&gt;&lt;related-urls&gt;&lt;url&gt;https://dx.doi.org/10.1134/s0026261715020046&lt;/url&gt;&lt;/related-urls&gt;&lt;/urls&gt;&lt;electronic-resource-num&gt;10.1134/s0026261715020046&lt;/electronic-resource-num&gt;&lt;/record&gt;&lt;/Cite&gt;&lt;/EndNote&gt;</w:instrText>
      </w:r>
      <w:r w:rsidR="00DD5914" w:rsidRPr="009819CE">
        <w:rPr>
          <w:rFonts w:cstheme="minorBidi"/>
        </w:rPr>
        <w:fldChar w:fldCharType="separate"/>
      </w:r>
      <w:r w:rsidR="00D50EFF" w:rsidRPr="009819CE">
        <w:rPr>
          <w:rFonts w:cstheme="minorBidi"/>
        </w:rPr>
        <w:t>(</w:t>
      </w:r>
      <w:hyperlink w:anchor="_ENREF_90" w:tooltip="Feofilova, 2015 #1901" w:history="1">
        <w:r w:rsidR="00950097" w:rsidRPr="009819CE">
          <w:rPr>
            <w:rFonts w:cstheme="minorBidi"/>
          </w:rPr>
          <w:t>Feofilova et al., 2015</w:t>
        </w:r>
      </w:hyperlink>
      <w:r w:rsidR="00D50EFF" w:rsidRPr="009819CE">
        <w:rPr>
          <w:rFonts w:cstheme="minorBidi"/>
        </w:rPr>
        <w:t>)</w:t>
      </w:r>
      <w:r w:rsidR="00DD5914" w:rsidRPr="009819CE">
        <w:rPr>
          <w:rFonts w:cstheme="minorBidi"/>
        </w:rPr>
        <w:fldChar w:fldCharType="end"/>
      </w:r>
      <w:r w:rsidR="00317C18" w:rsidRPr="009819CE">
        <w:rPr>
          <w:rFonts w:cstheme="minorBidi"/>
        </w:rPr>
        <w:t xml:space="preserve">. </w:t>
      </w:r>
      <w:r w:rsidR="00A8366C" w:rsidRPr="009819CE">
        <w:rPr>
          <w:rFonts w:cstheme="minorBidi"/>
        </w:rPr>
        <w:t xml:space="preserve">Arachidonic acid </w:t>
      </w:r>
      <w:r w:rsidR="0098563B" w:rsidRPr="009819CE">
        <w:rPr>
          <w:rFonts w:cstheme="minorBidi"/>
        </w:rPr>
        <w:t>(ARA, 20:4n-6</w:t>
      </w:r>
      <w:r w:rsidR="00A55E86" w:rsidRPr="009819CE">
        <w:rPr>
          <w:rFonts w:cstheme="minorBidi"/>
        </w:rPr>
        <w:t>) specifically</w:t>
      </w:r>
      <w:r w:rsidR="00A8366C" w:rsidRPr="009819CE">
        <w:rPr>
          <w:rFonts w:cstheme="minorBidi"/>
        </w:rPr>
        <w:t xml:space="preserve"> functions as a stored source of carbon and energy, which is utilized in the initial phases of spore germination </w:t>
      </w:r>
      <w:r w:rsidR="00307B51" w:rsidRPr="009819CE">
        <w:rPr>
          <w:rFonts w:cstheme="minorBidi"/>
        </w:rPr>
        <w:t>of fungus</w:t>
      </w:r>
      <w:r w:rsidR="00990512" w:rsidRPr="009819CE">
        <w:rPr>
          <w:rFonts w:cstheme="minorBidi"/>
        </w:rPr>
        <w:t xml:space="preserve"> </w:t>
      </w:r>
      <w:r w:rsidR="00990512" w:rsidRPr="009819CE">
        <w:rPr>
          <w:rFonts w:cstheme="minorBidi"/>
          <w:i/>
          <w:iCs/>
        </w:rPr>
        <w:t>Morti</w:t>
      </w:r>
      <w:r w:rsidR="009A5A5B" w:rsidRPr="009819CE">
        <w:rPr>
          <w:rFonts w:cstheme="minorBidi"/>
          <w:i/>
          <w:iCs/>
        </w:rPr>
        <w:t>e</w:t>
      </w:r>
      <w:r w:rsidR="00990512" w:rsidRPr="009819CE">
        <w:rPr>
          <w:rFonts w:cstheme="minorBidi"/>
          <w:i/>
          <w:iCs/>
        </w:rPr>
        <w:t>rella</w:t>
      </w:r>
      <w:r w:rsidR="009A5A5B" w:rsidRPr="009819CE">
        <w:rPr>
          <w:rFonts w:cstheme="minorBidi"/>
          <w:i/>
          <w:iCs/>
        </w:rPr>
        <w:t xml:space="preserve"> alpina</w:t>
      </w:r>
      <w:r w:rsidR="00990512" w:rsidRPr="009819CE">
        <w:rPr>
          <w:rFonts w:cstheme="minorBidi"/>
        </w:rPr>
        <w:t xml:space="preserve"> </w:t>
      </w:r>
      <w:r w:rsidR="002B258C" w:rsidRPr="009819CE">
        <w:rPr>
          <w:rFonts w:cstheme="minorBidi"/>
        </w:rPr>
        <w:fldChar w:fldCharType="begin">
          <w:fldData xml:space="preserve">PEVuZE5vdGU+PENpdGU+PEF1dGhvcj5Mb3VuZHM8L0F1dGhvcj48WWVhcj4yMDA3PC9ZZWFyPjxS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==
</w:fldData>
        </w:fldChar>
      </w:r>
      <w:r w:rsidR="00E348BC" w:rsidRPr="009819CE">
        <w:rPr>
          <w:rFonts w:cstheme="minorBidi"/>
        </w:rPr>
        <w:instrText xml:space="preserve"> ADDIN EN.CITE </w:instrText>
      </w:r>
      <w:r w:rsidR="00E348BC" w:rsidRPr="009819CE">
        <w:rPr>
          <w:rFonts w:cstheme="minorBidi"/>
        </w:rPr>
        <w:fldChar w:fldCharType="begin">
          <w:fldData xml:space="preserve">PEVuZE5vdGU+PENpdGU+PEF1dGhvcj5Mb3VuZHM8L0F1dGhvcj48WWVhcj4yMDA3PC9ZZWFyPjxS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==
</w:fldData>
        </w:fldChar>
      </w:r>
      <w:r w:rsidR="00E348BC" w:rsidRPr="009819CE">
        <w:rPr>
          <w:rFonts w:cstheme="minorBidi"/>
        </w:rPr>
        <w:instrText xml:space="preserve"> ADDIN EN.CITE.DATA </w:instrText>
      </w:r>
      <w:r w:rsidR="00E348BC" w:rsidRPr="009819CE">
        <w:rPr>
          <w:rFonts w:cstheme="minorBidi"/>
        </w:rPr>
      </w:r>
      <w:r w:rsidR="00E348BC" w:rsidRPr="009819CE">
        <w:rPr>
          <w:rFonts w:cstheme="minorBidi"/>
        </w:rPr>
        <w:fldChar w:fldCharType="end"/>
      </w:r>
      <w:r w:rsidR="002B258C" w:rsidRPr="009819CE">
        <w:rPr>
          <w:rFonts w:cstheme="minorBidi"/>
        </w:rPr>
      </w:r>
      <w:r w:rsidR="002B258C" w:rsidRPr="009819CE">
        <w:rPr>
          <w:rFonts w:cstheme="minorBidi"/>
        </w:rPr>
        <w:fldChar w:fldCharType="separate"/>
      </w:r>
      <w:r w:rsidR="00D50EFF" w:rsidRPr="001F4A34">
        <w:rPr>
          <w:rFonts w:cstheme="minorBidi"/>
        </w:rPr>
        <w:t>(</w:t>
      </w:r>
      <w:hyperlink w:anchor="_ENREF_199" w:tooltip="Lounds, 2007 #1884" w:history="1">
        <w:r w:rsidR="00950097" w:rsidRPr="001F4A34">
          <w:rPr>
            <w:rFonts w:cstheme="minorBidi"/>
          </w:rPr>
          <w:t>Lounds et al., 2007</w:t>
        </w:r>
      </w:hyperlink>
      <w:r w:rsidR="00D50EFF" w:rsidRPr="001F4A34">
        <w:rPr>
          <w:rFonts w:cstheme="minorBidi"/>
        </w:rPr>
        <w:t>)</w:t>
      </w:r>
      <w:r w:rsidR="002B258C" w:rsidRPr="009819CE">
        <w:rPr>
          <w:rFonts w:cstheme="minorBidi"/>
        </w:rPr>
        <w:fldChar w:fldCharType="end"/>
      </w:r>
      <w:r w:rsidR="00FB3B23" w:rsidRPr="009819CE">
        <w:rPr>
          <w:rFonts w:cstheme="minorBidi"/>
        </w:rPr>
        <w:t xml:space="preserve"> and may serve a similar purpose in </w:t>
      </w:r>
      <w:r w:rsidR="009D03F4" w:rsidRPr="009819CE">
        <w:rPr>
          <w:rFonts w:cstheme="minorBidi"/>
          <w:i/>
          <w:iCs/>
        </w:rPr>
        <w:t>Hematodinium</w:t>
      </w:r>
      <w:r w:rsidR="00FB3B23" w:rsidRPr="009819CE">
        <w:rPr>
          <w:rFonts w:cstheme="minorBidi"/>
        </w:rPr>
        <w:t xml:space="preserve"> sp. </w:t>
      </w:r>
    </w:p>
    <w:p w14:paraId="7CE29308" w14:textId="0FBB1D6B" w:rsidR="006A0363" w:rsidRPr="009819CE" w:rsidRDefault="006A0363" w:rsidP="006A0363">
      <w:pPr>
        <w:ind w:left="-10"/>
        <w:rPr>
          <w:rFonts w:cstheme="minorBidi"/>
        </w:rPr>
      </w:pPr>
      <w:r w:rsidRPr="009819CE">
        <w:rPr>
          <w:rFonts w:cstheme="minorBidi"/>
        </w:rPr>
        <w:t>Overall, macrospores showed significantly elevated levels of EPA (20:5n-3), DHA (22:6n-3) but lower levels of n-6 PUFAs compared to the hepatopancreas host from which they sporulated. DHA and EPA may play a crucial role in maintaining the fluidity and stability of the parasite's cell membranes</w:t>
      </w:r>
      <w:r w:rsidR="00886BB8" w:rsidRPr="009819CE">
        <w:rPr>
          <w:rFonts w:cstheme="minorBidi"/>
        </w:rPr>
        <w:t xml:space="preserve"> </w:t>
      </w:r>
      <w:r w:rsidR="00AD33B7" w:rsidRPr="009819CE">
        <w:rPr>
          <w:rFonts w:cstheme="minorBidi"/>
        </w:rPr>
        <w:t xml:space="preserve">within the spore or in preparation for </w:t>
      </w:r>
      <w:r w:rsidR="00347EBC" w:rsidRPr="009819CE">
        <w:rPr>
          <w:rFonts w:cstheme="minorBidi"/>
        </w:rPr>
        <w:t xml:space="preserve">later stages after </w:t>
      </w:r>
      <w:r w:rsidR="00AD33B7" w:rsidRPr="009819CE">
        <w:rPr>
          <w:rFonts w:cstheme="minorBidi"/>
        </w:rPr>
        <w:t>germination</w:t>
      </w:r>
      <w:r w:rsidRPr="009819CE">
        <w:rPr>
          <w:rFonts w:cstheme="minorBidi"/>
        </w:rPr>
        <w:t xml:space="preserve"> </w:t>
      </w:r>
      <w:r w:rsidRPr="009819CE">
        <w:rPr>
          <w:rFonts w:cstheme="minorBidi"/>
        </w:rPr>
        <w:fldChar w:fldCharType="begin"/>
      </w:r>
      <w:r w:rsidR="00D50EFF" w:rsidRPr="009819CE">
        <w:rPr>
          <w:rFonts w:cstheme="minorBidi"/>
        </w:rPr>
        <w:instrText xml:space="preserve"> ADDIN EN.CITE &lt;EndNote&gt;&lt;Cite&gt;&lt;Author&gt;Wassall&lt;/Author&gt;&lt;Year&gt;2008&lt;/Year&gt;&lt;RecNum&gt;1804&lt;/RecNum&gt;&lt;DisplayText&gt;(Wassall and Stillwell, 2008)&lt;/DisplayText&gt;&lt;record&gt;&lt;rec-number&gt;1804&lt;/rec-number&gt;&lt;foreign-keys&gt;&lt;key app="EN" db-id="sd9wrx9fj09rx3erprsx999o0r5aprvp2zse" timestamp="1690809141" guid="c8867cf1-5444-44b3-abd8-e8ebffa973bc"&gt;1804&lt;/key&gt;&lt;/foreign-keys&gt;&lt;ref-type name="Journal Article"&gt;17&lt;/ref-type&gt;&lt;contributors&gt;&lt;authors&gt;&lt;author&gt;Wassall, Stephen R.&lt;/author&gt;&lt;author&gt;Stillwell, William&lt;/author&gt;&lt;/authors&gt;&lt;/contributors&gt;&lt;titles&gt;&lt;title&gt;Docosahexaenoic acid domains: the ultimate non-raft membrane domain&lt;/title&gt;&lt;secondary-title&gt;Chemistry and Physics of Lipids&lt;/secondary-title&gt;&lt;/titles&gt;&lt;periodical&gt;&lt;full-title&gt;Chemistry and Physics of Lipids&lt;/full-title&gt;&lt;/periodical&gt;&lt;pages&gt;57-63&lt;/pages&gt;&lt;volume&gt;153&lt;/volume&gt;&lt;number&gt;1&lt;/number&gt;&lt;keywords&gt;&lt;keyword&gt;Polyunsaturated fatty acids&lt;/keyword&gt;&lt;keyword&gt;Cholesterol&lt;/keyword&gt;&lt;keyword&gt;Lipid bilayer&lt;/keyword&gt;&lt;/keywords&gt;&lt;dates&gt;&lt;year&gt;2008&lt;/year&gt;&lt;pub-dates&gt;&lt;date&gt;2008/05/01/&lt;/date&gt;&lt;/pub-dates&gt;&lt;/dates&gt;&lt;isbn&gt;0009-3084&lt;/isbn&gt;&lt;urls&gt;&lt;related-urls&gt;&lt;url&gt;https://www.sciencedirect.com/science/article/pii/S0009308408000327&lt;/url&gt;&lt;/related-urls&gt;&lt;/urls&gt;&lt;electronic-resource-num&gt;https://doi.org/10.1016/j.chemphyslip.2008.02.010&lt;/electronic-resource-num&gt;&lt;/record&gt;&lt;/Cite&gt;&lt;/EndNote&gt;</w:instrText>
      </w:r>
      <w:r w:rsidRPr="009819CE">
        <w:rPr>
          <w:rFonts w:cstheme="minorBidi"/>
        </w:rPr>
        <w:fldChar w:fldCharType="separate"/>
      </w:r>
      <w:r w:rsidR="00D50EFF" w:rsidRPr="009819CE">
        <w:rPr>
          <w:rFonts w:cstheme="minorBidi"/>
        </w:rPr>
        <w:t>(</w:t>
      </w:r>
      <w:hyperlink w:anchor="_ENREF_350" w:tooltip="Wassall, 2008 #1804" w:history="1">
        <w:r w:rsidR="00950097" w:rsidRPr="009819CE">
          <w:rPr>
            <w:rFonts w:cstheme="minorBidi"/>
          </w:rPr>
          <w:t>Wassall and Stillwell, 2008</w:t>
        </w:r>
      </w:hyperlink>
      <w:r w:rsidR="00D50EFF" w:rsidRPr="009819CE">
        <w:rPr>
          <w:rFonts w:cstheme="minorBidi"/>
        </w:rPr>
        <w:t>)</w:t>
      </w:r>
      <w:r w:rsidRPr="009819CE">
        <w:rPr>
          <w:rFonts w:cstheme="minorBidi"/>
        </w:rPr>
        <w:fldChar w:fldCharType="end"/>
      </w:r>
      <w:r w:rsidRPr="009819CE">
        <w:rPr>
          <w:rFonts w:cstheme="minorBidi"/>
        </w:rPr>
        <w:t xml:space="preserve">, facilitating efficient nutrient uptake, waste removal, and overall cellular function </w:t>
      </w:r>
      <w:r w:rsidRPr="009819CE">
        <w:rPr>
          <w:rFonts w:cstheme="minorBidi"/>
        </w:rPr>
        <w:fldChar w:fldCharType="begin">
          <w:fldData xml:space="preserve">PEVuZE5vdGU+PENpdGU+PEF1dGhvcj5TaGVycmF0dDwvQXV0aG9yPjxZZWFyPjIwMjE8L1llYXI+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</w:fldData>
        </w:fldChar>
      </w:r>
      <w:r w:rsidR="00871B4F">
        <w:rPr>
          <w:rFonts w:cstheme="minorBidi"/>
        </w:rPr>
        <w:instrText xml:space="preserve"> ADDIN EN.CITE </w:instrText>
      </w:r>
      <w:r w:rsidR="00871B4F">
        <w:rPr>
          <w:rFonts w:cstheme="minorBidi"/>
        </w:rPr>
        <w:fldChar w:fldCharType="begin">
          <w:fldData xml:space="preserve">PEVuZE5vdGU+PENpdGU+PEF1dGhvcj5TaGVycmF0dDwvQXV0aG9yPjxZZWFyPjIwMjE8L1llYXI+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noProof/>
        </w:rPr>
        <w:t>(</w:t>
      </w:r>
      <w:hyperlink w:anchor="_ENREF_277" w:tooltip="Sherratt, 2021 #1762" w:history="1">
        <w:r w:rsidR="00950097" w:rsidRPr="009819CE">
          <w:rPr>
            <w:rFonts w:cstheme="minorBidi"/>
            <w:noProof/>
          </w:rPr>
          <w:t>Sherratt et al., 2021</w:t>
        </w:r>
      </w:hyperlink>
      <w:r w:rsidR="00D50EFF" w:rsidRPr="009819CE">
        <w:rPr>
          <w:rFonts w:cstheme="minorBidi"/>
          <w:noProof/>
        </w:rPr>
        <w:t xml:space="preserve">; </w:t>
      </w:r>
      <w:hyperlink w:anchor="_ENREF_336" w:tooltip="Valentine, 2004 #1763" w:history="1">
        <w:r w:rsidR="00950097" w:rsidRPr="009819CE">
          <w:rPr>
            <w:rFonts w:cstheme="minorBidi"/>
            <w:noProof/>
          </w:rPr>
          <w:t>Valentine and Valentine, 2004</w:t>
        </w:r>
      </w:hyperlink>
      <w:r w:rsidR="00D50EFF" w:rsidRPr="009819CE">
        <w:rPr>
          <w:rFonts w:cstheme="minorBidi"/>
          <w:noProof/>
        </w:rPr>
        <w:t>)</w:t>
      </w:r>
      <w:r w:rsidRPr="009819CE">
        <w:rPr>
          <w:rFonts w:cstheme="minorBidi"/>
        </w:rPr>
        <w:fldChar w:fldCharType="end"/>
      </w:r>
      <w:r w:rsidRPr="009819CE">
        <w:rPr>
          <w:rFonts w:cstheme="minorBidi"/>
        </w:rPr>
        <w:t xml:space="preserve">. EPA and DHA were also significantly increased in macrospores within the polar fraction. Since spores are bi-flagellated and flagella require fluid membranes </w:t>
      </w:r>
      <w:r w:rsidRPr="009819CE">
        <w:rPr>
          <w:rFonts w:cstheme="minorBidi"/>
        </w:rPr>
        <w:fldChar w:fldCharType="begin">
          <w:fldData xml:space="preserve">PEVuZE5vdGU+PENpdGU+PEF1dGhvcj5UaG9tYXNob3c8L0F1dGhvcj48WWVhcj4xOTg1PC9ZZWFy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PEVuZE5vdGU+PENpdGU+PEF1dGhvcj5UaG9tYXNob3c8L0F1dGhvcj48WWVhcj4xOTg1PC9ZZWFy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18" w:tooltip="Haidl, 1997 #1791" w:history="1">
        <w:r w:rsidR="00950097" w:rsidRPr="001F4A34">
          <w:rPr>
            <w:rFonts w:cstheme="minorBidi"/>
          </w:rPr>
          <w:t>Haidl and Opper, 1997</w:t>
        </w:r>
      </w:hyperlink>
      <w:r w:rsidR="00D50EFF" w:rsidRPr="001F4A34">
        <w:rPr>
          <w:rFonts w:cstheme="minorBidi"/>
        </w:rPr>
        <w:t xml:space="preserve">; </w:t>
      </w:r>
      <w:hyperlink w:anchor="_ENREF_326" w:tooltip="Thomashow, 1985 #1789" w:history="1">
        <w:r w:rsidR="00950097" w:rsidRPr="001F4A34">
          <w:rPr>
            <w:rFonts w:cstheme="minorBidi"/>
          </w:rPr>
          <w:t>Thomashow and Rittenberg, 1985</w:t>
        </w:r>
      </w:hyperlink>
      <w:r w:rsidR="00D50EFF" w:rsidRPr="001F4A34">
        <w:rPr>
          <w:rFonts w:cstheme="minorBidi"/>
        </w:rPr>
        <w:t>)</w:t>
      </w:r>
      <w:r w:rsidRPr="009819CE">
        <w:rPr>
          <w:rFonts w:cstheme="minorBidi"/>
        </w:rPr>
        <w:fldChar w:fldCharType="end"/>
      </w:r>
      <w:r w:rsidRPr="009819CE">
        <w:rPr>
          <w:rFonts w:cstheme="minorBidi"/>
        </w:rPr>
        <w:t xml:space="preserve">, these fatty acids may be involved in the motility of spores. DHA and EPA have been shown to prevent permeability transition in mitochondria, which is associated with cell death and damage </w:t>
      </w:r>
      <w:r w:rsidRPr="009819CE">
        <w:rPr>
          <w:rFonts w:cstheme="minorBidi"/>
        </w:rPr>
        <w:fldChar w:fldCharType="begin">
          <w:fldData xml:space="preserve">PEVuZE5vdGU+PENpdGU+PEF1dGhvcj5LaGFpcmFsbGFoPC9BdXRob3I+PFllYXI+MjAxMDwvWWVh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PEVuZE5vdGU+PENpdGU+PEF1dGhvcj5LaGFpcmFsbGFoPC9BdXRob3I+PFllYXI+MjAxMDwvWWVh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164" w:tooltip="Khairallah, 2010 #1796" w:history="1">
        <w:r w:rsidR="00950097" w:rsidRPr="001F4A34">
          <w:rPr>
            <w:rFonts w:cstheme="minorBidi"/>
          </w:rPr>
          <w:t>Khairallah et al., 2010</w:t>
        </w:r>
      </w:hyperlink>
      <w:r w:rsidR="00D50EFF" w:rsidRPr="001F4A34">
        <w:rPr>
          <w:rFonts w:cstheme="minorBidi"/>
        </w:rPr>
        <w:t>)</w:t>
      </w:r>
      <w:r w:rsidRPr="009819CE">
        <w:rPr>
          <w:rFonts w:cstheme="minorBidi"/>
        </w:rPr>
        <w:fldChar w:fldCharType="end"/>
      </w:r>
      <w:r w:rsidRPr="009819CE">
        <w:rPr>
          <w:rFonts w:cstheme="minorBidi"/>
        </w:rPr>
        <w:t xml:space="preserve">. By incorporating DHA and EPA into its spores, </w:t>
      </w:r>
      <w:r w:rsidR="009D03F4" w:rsidRPr="009819CE">
        <w:rPr>
          <w:rFonts w:cstheme="minorBidi"/>
          <w:i/>
        </w:rPr>
        <w:t>Hematodinium</w:t>
      </w:r>
      <w:r w:rsidRPr="009819CE">
        <w:rPr>
          <w:rFonts w:cstheme="minorBidi"/>
        </w:rPr>
        <w:t xml:space="preserve"> sp. may enhance the resistance of the spores to environmental stresses and improve their survival during transmission. </w:t>
      </w:r>
      <w:r w:rsidR="003C7EC9" w:rsidRPr="009819CE">
        <w:rPr>
          <w:rFonts w:cstheme="minorBidi"/>
        </w:rPr>
        <w:t>L</w:t>
      </w:r>
      <w:r w:rsidR="00735603" w:rsidRPr="009819CE">
        <w:rPr>
          <w:rFonts w:cstheme="minorBidi"/>
        </w:rPr>
        <w:t xml:space="preserve">inoleic acid (18:2n-6), </w:t>
      </w:r>
      <w:r w:rsidR="003C7EC9" w:rsidRPr="009819CE">
        <w:rPr>
          <w:rFonts w:cstheme="minorBidi"/>
        </w:rPr>
        <w:t>also</w:t>
      </w:r>
      <w:r w:rsidR="004448FF" w:rsidRPr="009819CE">
        <w:rPr>
          <w:rFonts w:cstheme="minorBidi"/>
        </w:rPr>
        <w:t xml:space="preserve"> plays an important role in permeability and in maintaining the integrity and fluidity of the membranes</w:t>
      </w:r>
      <w:r w:rsidR="008B1A52" w:rsidRPr="009819CE">
        <w:rPr>
          <w:rFonts w:cstheme="minorBidi"/>
        </w:rPr>
        <w:t xml:space="preserve"> which explains its abundance in all samples</w:t>
      </w:r>
      <w:r w:rsidR="003C7EC9" w:rsidRPr="009819CE">
        <w:rPr>
          <w:rFonts w:cstheme="minorBidi"/>
        </w:rPr>
        <w:t xml:space="preserve"> </w:t>
      </w:r>
      <w:r w:rsidR="00E90231" w:rsidRPr="009819CE">
        <w:rPr>
          <w:rFonts w:cstheme="minorBidi"/>
        </w:rPr>
        <w:fldChar w:fldCharType="begin"/>
      </w:r>
      <w:r w:rsidR="00D50EFF" w:rsidRPr="009819CE">
        <w:rPr>
          <w:rFonts w:cstheme="minorBidi"/>
        </w:rPr>
        <w:instrText xml:space="preserve"> ADDIN EN.CITE &lt;EndNote&gt;&lt;Cite&gt;&lt;Author&gt;Manocha&lt;/Author&gt;&lt;Year&gt;1980&lt;/Year&gt;&lt;RecNum&gt;1902&lt;/RecNum&gt;&lt;DisplayText&gt;(Manocha, 1980)&lt;/DisplayText&gt;&lt;record&gt;&lt;rec-number&gt;1902&lt;/rec-number&gt;&lt;foreign-keys&gt;&lt;key app="EN" db-id="sd9wrx9fj09rx3erprsx999o0r5aprvp2zse" timestamp="1707664135" guid="2bb5ee01-9df1-4b75-ae75-f2d6443dd12e"&gt;1902&lt;/key&gt;&lt;/foreign-keys&gt;&lt;ref-type name="Journal Article"&gt;17&lt;/ref-type&gt;&lt;contributors&gt;&lt;authors&gt;&lt;author&gt;Manocha, M. S.&lt;/author&gt;&lt;/authors&gt;&lt;/contributors&gt;&lt;titles&gt;&lt;title&gt;Role of lipids in host-parasite relations of a mycoparasite&lt;/title&gt;&lt;secondary-title&gt;Physiological Plant Pathology&lt;/secondary-title&gt;&lt;/titles&gt;&lt;periodical&gt;&lt;full-title&gt;Physiological Plant Pathology&lt;/full-title&gt;&lt;/periodical&gt;&lt;pages&gt;319-328&lt;/pages&gt;&lt;volume&gt;17&lt;/volume&gt;&lt;number&gt;3&lt;/number&gt;&lt;dates&gt;&lt;year&gt;1980&lt;/year&gt;&lt;pub-dates&gt;&lt;date&gt;1980/11/01/&lt;/date&gt;&lt;/pub-dates&gt;&lt;/dates&gt;&lt;isbn&gt;0048-4059&lt;/isbn&gt;&lt;urls&gt;&lt;related-urls&gt;&lt;url&gt;https://www.sciencedirect.com/science/article/pii/S0048405980800257&lt;/url&gt;&lt;/related-urls&gt;&lt;/urls&gt;&lt;electronic-resource-num&gt;https://doi.org/10.1016/S0048-4059(80)80025-7&lt;/electronic-resource-num&gt;&lt;/record&gt;&lt;/Cite&gt;&lt;/EndNote&gt;</w:instrText>
      </w:r>
      <w:r w:rsidR="00E90231" w:rsidRPr="009819CE">
        <w:rPr>
          <w:rFonts w:cstheme="minorBidi"/>
        </w:rPr>
        <w:fldChar w:fldCharType="separate"/>
      </w:r>
      <w:r w:rsidR="00D50EFF" w:rsidRPr="009819CE">
        <w:rPr>
          <w:rFonts w:cstheme="minorBidi"/>
        </w:rPr>
        <w:t>(</w:t>
      </w:r>
      <w:hyperlink w:anchor="_ENREF_203" w:tooltip="Manocha, 1980 #1902" w:history="1">
        <w:r w:rsidR="00950097" w:rsidRPr="009819CE">
          <w:rPr>
            <w:rFonts w:cstheme="minorBidi"/>
          </w:rPr>
          <w:t>Manocha, 1980</w:t>
        </w:r>
      </w:hyperlink>
      <w:r w:rsidR="00D50EFF" w:rsidRPr="009819CE">
        <w:rPr>
          <w:rFonts w:cstheme="minorBidi"/>
        </w:rPr>
        <w:t>)</w:t>
      </w:r>
      <w:r w:rsidR="00E90231" w:rsidRPr="009819CE">
        <w:rPr>
          <w:rFonts w:cstheme="minorBidi"/>
        </w:rPr>
        <w:fldChar w:fldCharType="end"/>
      </w:r>
      <w:r w:rsidR="004448FF" w:rsidRPr="009819CE">
        <w:rPr>
          <w:rFonts w:cstheme="minorBidi"/>
        </w:rPr>
        <w:t>.</w:t>
      </w:r>
      <w:r w:rsidR="00B15D20" w:rsidRPr="009819CE">
        <w:rPr>
          <w:rFonts w:cstheme="minorBidi"/>
        </w:rPr>
        <w:t xml:space="preserve"> </w:t>
      </w:r>
      <w:r w:rsidRPr="009819CE">
        <w:rPr>
          <w:rFonts w:cstheme="minorBidi"/>
        </w:rPr>
        <w:t xml:space="preserve">Further research is needed to fully understand the mechanisms by which </w:t>
      </w:r>
      <w:r w:rsidR="009D03F4" w:rsidRPr="009819CE">
        <w:rPr>
          <w:rFonts w:cstheme="minorBidi"/>
          <w:i/>
        </w:rPr>
        <w:t>Hematodinium</w:t>
      </w:r>
      <w:r w:rsidRPr="009819CE">
        <w:rPr>
          <w:rFonts w:cstheme="minorBidi"/>
        </w:rPr>
        <w:t xml:space="preserve"> sp. utilizes and benefits from these fatty acids. </w:t>
      </w:r>
    </w:p>
    <w:p w14:paraId="1B2F922B" w14:textId="380DC83A" w:rsidR="006A0363" w:rsidRPr="009819CE" w:rsidRDefault="006A0363" w:rsidP="006A0363">
      <w:pPr>
        <w:ind w:left="-10"/>
        <w:rPr>
          <w:rFonts w:cstheme="minorBidi"/>
        </w:rPr>
      </w:pPr>
      <w:r w:rsidRPr="009819CE">
        <w:rPr>
          <w:rFonts w:cstheme="minorBidi"/>
        </w:rPr>
        <w:t xml:space="preserve">Macrospores are constituted mostly of triacylglycerols, phosphatidylcholine, wax esters and cholesterol/sterols. Lipid bodies in dinoflagellates commonly contain wax esters, phosphatidylcholine (PC), and triacylglycerols (TAGs) </w:t>
      </w:r>
      <w:r w:rsidRPr="009819CE">
        <w:rPr>
          <w:rFonts w:cstheme="minorBidi"/>
          <w:color w:val="202124"/>
          <w:shd w:val="clear" w:color="auto" w:fill="FFFFFF"/>
        </w:rPr>
        <w:fldChar w:fldCharType="begin">
          <w:fldData xml:space="preserve">PEVuZE5vdGU+PENpdGU+PEF1dGhvcj5aaGFuZzwvQXV0aG9yPjxZZWFyPjIwMTA8L1llYXI+PFJl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</w:fldData>
        </w:fldChar>
      </w:r>
      <w:r w:rsidR="00EE7FB9">
        <w:rPr>
          <w:rFonts w:cstheme="minorBidi"/>
          <w:color w:val="202124"/>
          <w:shd w:val="clear" w:color="auto" w:fill="FFFFFF"/>
        </w:rPr>
        <w:instrText xml:space="preserve"> ADDIN EN.CITE </w:instrText>
      </w:r>
      <w:r w:rsidR="00EE7FB9">
        <w:rPr>
          <w:rFonts w:cstheme="minorBidi"/>
          <w:color w:val="202124"/>
          <w:shd w:val="clear" w:color="auto" w:fill="FFFFFF"/>
        </w:rPr>
        <w:fldChar w:fldCharType="begin">
          <w:fldData xml:space="preserve">PEVuZE5vdGU+PENpdGU+PEF1dGhvcj5aaGFuZzwvQXV0aG9yPjxZZWFyPjIwMTA8L1llYXI+PFJl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</w:fldData>
        </w:fldChar>
      </w:r>
      <w:r w:rsidR="00EE7FB9">
        <w:rPr>
          <w:rFonts w:cstheme="minorBidi"/>
          <w:color w:val="202124"/>
          <w:shd w:val="clear" w:color="auto" w:fill="FFFFFF"/>
        </w:rPr>
        <w:instrText xml:space="preserve"> ADDIN EN.CITE.DATA </w:instrText>
      </w:r>
      <w:r w:rsidR="00EE7FB9">
        <w:rPr>
          <w:rFonts w:cstheme="minorBidi"/>
          <w:color w:val="202124"/>
          <w:shd w:val="clear" w:color="auto" w:fill="FFFFFF"/>
        </w:rPr>
      </w:r>
      <w:r w:rsidR="00EE7FB9">
        <w:rPr>
          <w:rFonts w:cstheme="minorBidi"/>
          <w:color w:val="202124"/>
          <w:shd w:val="clear" w:color="auto" w:fill="FFFFFF"/>
        </w:rPr>
        <w:fldChar w:fldCharType="end"/>
      </w:r>
      <w:r w:rsidRPr="009819CE">
        <w:rPr>
          <w:rFonts w:cstheme="minorBidi"/>
          <w:color w:val="202124"/>
          <w:shd w:val="clear" w:color="auto" w:fill="FFFFFF"/>
        </w:rPr>
      </w:r>
      <w:r w:rsidRPr="009819CE">
        <w:rPr>
          <w:rFonts w:cstheme="minorBidi"/>
          <w:color w:val="202124"/>
          <w:shd w:val="clear" w:color="auto" w:fill="FFFFFF"/>
        </w:rPr>
        <w:fldChar w:fldCharType="separate"/>
      </w:r>
      <w:r w:rsidR="00D50EFF" w:rsidRPr="00EE7FB9">
        <w:rPr>
          <w:rFonts w:cstheme="minorBidi"/>
          <w:noProof/>
          <w:color w:val="202124"/>
          <w:shd w:val="clear" w:color="auto" w:fill="FFFFFF"/>
        </w:rPr>
        <w:t>(</w:t>
      </w:r>
      <w:hyperlink w:anchor="_ENREF_255" w:tooltip="Roohani, 2019 #1767" w:history="1">
        <w:r w:rsidR="00950097" w:rsidRPr="00EE7FB9">
          <w:rPr>
            <w:rFonts w:cstheme="minorBidi"/>
            <w:noProof/>
            <w:color w:val="202124"/>
            <w:shd w:val="clear" w:color="auto" w:fill="FFFFFF"/>
          </w:rPr>
          <w:t>Roohani et al., 2019</w:t>
        </w:r>
      </w:hyperlink>
      <w:r w:rsidR="00D50EFF" w:rsidRPr="00EE7FB9">
        <w:rPr>
          <w:rFonts w:cstheme="minorBidi"/>
          <w:noProof/>
          <w:color w:val="202124"/>
          <w:shd w:val="clear" w:color="auto" w:fill="FFFFFF"/>
        </w:rPr>
        <w:t xml:space="preserve">; </w:t>
      </w:r>
      <w:hyperlink w:anchor="_ENREF_286" w:tooltip="Sikorskaya, 2021 #1768" w:history="1">
        <w:r w:rsidR="00950097" w:rsidRPr="00EE7FB9">
          <w:rPr>
            <w:rFonts w:cstheme="minorBidi"/>
            <w:noProof/>
            <w:color w:val="202124"/>
            <w:shd w:val="clear" w:color="auto" w:fill="FFFFFF"/>
          </w:rPr>
          <w:t>Sikorskaya et al., 2021</w:t>
        </w:r>
      </w:hyperlink>
      <w:r w:rsidR="00D50EFF" w:rsidRPr="00EE7FB9">
        <w:rPr>
          <w:rFonts w:cstheme="minorBidi"/>
          <w:noProof/>
          <w:color w:val="202124"/>
          <w:shd w:val="clear" w:color="auto" w:fill="FFFFFF"/>
        </w:rPr>
        <w:t xml:space="preserve">; </w:t>
      </w:r>
      <w:hyperlink w:anchor="_ENREF_370" w:tooltip="Zhang, 2010 #1765" w:history="1">
        <w:r w:rsidR="00950097" w:rsidRPr="00EE7FB9">
          <w:rPr>
            <w:rFonts w:cstheme="minorBidi"/>
            <w:noProof/>
            <w:color w:val="202124"/>
            <w:shd w:val="clear" w:color="auto" w:fill="FFFFFF"/>
          </w:rPr>
          <w:t>Zhang et al., 2010</w:t>
        </w:r>
      </w:hyperlink>
      <w:r w:rsidR="00D50EFF" w:rsidRPr="00EE7FB9">
        <w:rPr>
          <w:rFonts w:cstheme="minorBidi"/>
          <w:noProof/>
          <w:color w:val="202124"/>
          <w:shd w:val="clear" w:color="auto" w:fill="FFFFFF"/>
        </w:rPr>
        <w:t>)</w:t>
      </w:r>
      <w:r w:rsidRPr="009819CE">
        <w:rPr>
          <w:rFonts w:cstheme="minorBidi"/>
          <w:color w:val="202124"/>
          <w:shd w:val="clear" w:color="auto" w:fill="FFFFFF"/>
        </w:rPr>
        <w:fldChar w:fldCharType="end"/>
      </w:r>
      <w:r w:rsidRPr="009819CE">
        <w:rPr>
          <w:rFonts w:cstheme="minorBidi"/>
          <w:color w:val="202124"/>
          <w:shd w:val="clear" w:color="auto" w:fill="FFFFFF"/>
        </w:rPr>
        <w:t>.</w:t>
      </w:r>
      <w:r w:rsidRPr="009819CE">
        <w:rPr>
          <w:rFonts w:cstheme="minorBidi"/>
        </w:rPr>
        <w:t xml:space="preserve"> Different lipid classes play important roles in dinoflagellate and host processes. Triglycerides serve as energy storage and participate in glycolipid biosynthesis and structural lipid formation </w:t>
      </w:r>
      <w:r w:rsidRPr="009819CE">
        <w:rPr>
          <w:rFonts w:cstheme="minorBidi"/>
        </w:rPr>
        <w:fldChar w:fldCharType="begin">
          <w:fldData xml:space="preserve">PEVuZE5vdGU+PENpdGU+PEF1dGhvcj5TaWtvcnNrYXlhPC9BdXRob3I+PFllYXI+MjAyMTwvWWVh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PEVuZE5vdGU+PENpdGU+PEF1dGhvcj5TaWtvcnNrYXlhPC9BdXRob3I+PFllYXI+MjAyMTwvWWVh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286" w:tooltip="Sikorskaya, 2021 #1768" w:history="1">
        <w:r w:rsidR="00950097" w:rsidRPr="009819CE">
          <w:rPr>
            <w:rFonts w:cstheme="minorBidi"/>
          </w:rPr>
          <w:t>Sikorskaya et al., 2021</w:t>
        </w:r>
      </w:hyperlink>
      <w:r w:rsidR="00D50EFF" w:rsidRPr="009819CE">
        <w:rPr>
          <w:rFonts w:cstheme="minorBidi"/>
        </w:rPr>
        <w:t>)</w:t>
      </w:r>
      <w:r w:rsidRPr="009819CE">
        <w:rPr>
          <w:rFonts w:cstheme="minorBidi"/>
        </w:rPr>
        <w:fldChar w:fldCharType="end"/>
      </w:r>
      <w:r w:rsidRPr="009819CE">
        <w:rPr>
          <w:rFonts w:cstheme="minorBidi"/>
        </w:rPr>
        <w:t xml:space="preserve">; phospholipids form cell membranes, while sterols provide structural support </w:t>
      </w:r>
      <w:r w:rsidRPr="009819CE">
        <w:rPr>
          <w:rFonts w:cstheme="minorBidi"/>
          <w:color w:val="202124"/>
          <w:shd w:val="clear" w:color="auto" w:fill="FFFFFF"/>
        </w:rPr>
        <w:fldChar w:fldCharType="begin">
          <w:fldData xml:space="preserve">PEVuZE5vdGU+PENpdGU+PEF1dGhvcj5LdW1hcmk8L0F1dGhvcj48WWVhcj4yMDEzPC9ZZWFyPjxS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Yy1yZXNvdXJjZS1udW0+MTAuMTAxNi9qLnByb3Rpcy4yMDIxLjEyNTgxNzwvZWxlY3Ryb25pYy1y
ZXNvdXJjZS1udW0+PHJlbW90ZS1kYXRhYmFzZS1uYW1lPk1lZGxpbmU8L3JlbW90ZS1kYXRhYmFz
ZS1uYW1lPjxyZW1vdGUtZGF0YWJhc2UtcHJvdmlkZXI+TkxNPC9yZW1vdGUtZGF0YWJhc2UtcHJv
dmlkZXI+PC9yZWNvcmQ+PC9DaXRlPjwvRW5kTm90ZT4A
</w:fldData>
        </w:fldChar>
      </w:r>
      <w:r w:rsidR="00ED1A9E" w:rsidRPr="009819CE">
        <w:rPr>
          <w:rFonts w:cstheme="minorBidi"/>
          <w:color w:val="202124"/>
          <w:shd w:val="clear" w:color="auto" w:fill="FFFFFF"/>
        </w:rPr>
        <w:instrText xml:space="preserve"> ADDIN EN.CITE </w:instrText>
      </w:r>
      <w:r w:rsidR="00ED1A9E" w:rsidRPr="009819CE">
        <w:rPr>
          <w:rFonts w:cstheme="minorBidi"/>
          <w:color w:val="202124"/>
          <w:shd w:val="clear" w:color="auto" w:fill="FFFFFF"/>
        </w:rPr>
        <w:fldChar w:fldCharType="begin">
          <w:fldData xml:space="preserve">PEVuZE5vdGU+PENpdGU+PEF1dGhvcj5LdW1hcmk8L0F1dGhvcj48WWVhcj4yMDEzPC9ZZWFyPjxS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</w:fldData>
        </w:fldChar>
      </w:r>
      <w:r w:rsidR="00ED1A9E" w:rsidRPr="009819CE">
        <w:rPr>
          <w:rFonts w:cstheme="minorBidi"/>
          <w:color w:val="202124"/>
          <w:shd w:val="clear" w:color="auto" w:fill="FFFFFF"/>
        </w:rPr>
        <w:instrText xml:space="preserve"> ADDIN EN.CITE.DATA </w:instrText>
      </w:r>
      <w:r w:rsidR="00ED1A9E" w:rsidRPr="009819CE">
        <w:rPr>
          <w:rFonts w:cstheme="minorBidi"/>
          <w:color w:val="202124"/>
          <w:shd w:val="clear" w:color="auto" w:fill="FFFFFF"/>
        </w:rPr>
      </w:r>
      <w:r w:rsidR="00ED1A9E" w:rsidRPr="009819CE">
        <w:rPr>
          <w:rFonts w:cstheme="minorBidi"/>
          <w:color w:val="202124"/>
          <w:shd w:val="clear" w:color="auto" w:fill="FFFFFF"/>
        </w:rPr>
        <w:fldChar w:fldCharType="end"/>
      </w:r>
      <w:r w:rsidRPr="009819CE">
        <w:rPr>
          <w:rFonts w:cstheme="minorBidi"/>
          <w:color w:val="202124"/>
          <w:shd w:val="clear" w:color="auto" w:fill="FFFFFF"/>
        </w:rPr>
      </w:r>
      <w:r w:rsidRPr="009819CE">
        <w:rPr>
          <w:rFonts w:cstheme="minorBidi"/>
          <w:color w:val="202124"/>
          <w:shd w:val="clear" w:color="auto" w:fill="FFFFFF"/>
        </w:rPr>
        <w:fldChar w:fldCharType="separate"/>
      </w:r>
      <w:r w:rsidR="00D50EFF" w:rsidRPr="001F4A34">
        <w:rPr>
          <w:rFonts w:cstheme="minorBidi"/>
          <w:color w:val="202124"/>
          <w:shd w:val="clear" w:color="auto" w:fill="FFFFFF"/>
        </w:rPr>
        <w:t>(</w:t>
      </w:r>
      <w:hyperlink w:anchor="_ENREF_115" w:tooltip="Graeff, 2021 #1769" w:history="1">
        <w:r w:rsidR="00950097" w:rsidRPr="001F4A34">
          <w:rPr>
            <w:rFonts w:cstheme="minorBidi"/>
            <w:color w:val="202124"/>
            <w:shd w:val="clear" w:color="auto" w:fill="FFFFFF"/>
          </w:rPr>
          <w:t>Graeff and Leblond, 2021</w:t>
        </w:r>
      </w:hyperlink>
      <w:r w:rsidR="00D50EFF" w:rsidRPr="001F4A34">
        <w:rPr>
          <w:rFonts w:cstheme="minorBidi"/>
          <w:color w:val="202124"/>
          <w:shd w:val="clear" w:color="auto" w:fill="FFFFFF"/>
        </w:rPr>
        <w:t xml:space="preserve">; </w:t>
      </w:r>
      <w:hyperlink w:anchor="_ENREF_170" w:tooltip="Kumari, 2013 #1770" w:history="1">
        <w:r w:rsidR="00950097" w:rsidRPr="001F4A34">
          <w:rPr>
            <w:rFonts w:cstheme="minorBidi"/>
            <w:color w:val="202124"/>
            <w:shd w:val="clear" w:color="auto" w:fill="FFFFFF"/>
          </w:rPr>
          <w:t>Kumari et al., 2013</w:t>
        </w:r>
      </w:hyperlink>
      <w:r w:rsidR="00D50EFF" w:rsidRPr="001F4A34">
        <w:rPr>
          <w:rFonts w:cstheme="minorBidi"/>
          <w:color w:val="202124"/>
          <w:shd w:val="clear" w:color="auto" w:fill="FFFFFF"/>
        </w:rPr>
        <w:t>)</w:t>
      </w:r>
      <w:r w:rsidRPr="009819CE">
        <w:rPr>
          <w:rFonts w:cstheme="minorBidi"/>
          <w:color w:val="202124"/>
          <w:shd w:val="clear" w:color="auto" w:fill="FFFFFF"/>
        </w:rPr>
        <w:fldChar w:fldCharType="end"/>
      </w:r>
      <w:r w:rsidRPr="009819CE">
        <w:rPr>
          <w:rFonts w:cstheme="minorBidi"/>
          <w:color w:val="202124"/>
          <w:shd w:val="clear" w:color="auto" w:fill="FFFFFF"/>
        </w:rPr>
        <w:t xml:space="preserve">. </w:t>
      </w:r>
      <w:r w:rsidRPr="009819CE">
        <w:rPr>
          <w:rFonts w:cstheme="minorBidi"/>
        </w:rPr>
        <w:t xml:space="preserve">Triacylglycerols are dominant in both the hepatopancreas of </w:t>
      </w:r>
      <w:r w:rsidR="00C31E47" w:rsidRPr="009819CE">
        <w:rPr>
          <w:rFonts w:cstheme="minorBidi"/>
          <w:i/>
          <w:iCs/>
        </w:rPr>
        <w:t>Nephrops</w:t>
      </w:r>
      <w:r w:rsidRPr="009819CE">
        <w:rPr>
          <w:rFonts w:cstheme="minorBidi"/>
        </w:rPr>
        <w:t xml:space="preserve"> </w:t>
      </w:r>
      <w:r w:rsidRPr="009819CE">
        <w:rPr>
          <w:rFonts w:cstheme="minorBidi"/>
        </w:rPr>
        <w:fldChar w:fldCharType="begin"/>
      </w:r>
      <w:r w:rsidR="00D50EFF" w:rsidRPr="009819CE">
        <w:rPr>
          <w:rFonts w:cstheme="minorBidi"/>
        </w:rPr>
        <w:instrText xml:space="preserve"> ADDIN EN.CITE &lt;EndNote&gt;&lt;Cite&gt;&lt;Author&gt;Rosa&lt;/Author&gt;&lt;Year&gt;2002&lt;/Year&gt;&lt;RecNum&gt;1690&lt;/RecNum&gt;&lt;DisplayText&gt;(Rosa and Nunes, 2002)&lt;/DisplayText&gt;&lt;record&gt;&lt;rec-number&gt;1690&lt;/rec-number&gt;&lt;foreign-keys&gt;&lt;key app="EN" db-id="sd9wrx9fj09rx3erprsx999o0r5aprvp2zse" timestamp="1688310100" guid="6be12b44-4209-402e-b55e-51cfe4c7541c"&gt;1690&lt;/key&gt;&lt;/foreign-keys&gt;&lt;ref-type name="Journal Article"&gt;17&lt;/ref-type&gt;&lt;contributors&gt;&lt;authors&gt;&lt;author&gt;Rosa,Rui&lt;/author&gt;&lt;author&gt;Nunes, Maria Leonor&lt;/author&gt;&lt;/authors&gt;&lt;/contributors&gt;&lt;titles&gt;&lt;title&gt;&lt;style face="normal" font="default" size="100%"&gt;Biochemical changes during the reproductive cycle of the deep-sea decapod &lt;/style&gt;&lt;style face="italic" font="default" size="100%"&gt;Nephrops norvegicus&lt;/style&gt;&lt;style face="normal" font="default" size="100%"&gt; on the south coast of Portugal&lt;/style&gt;&lt;/title&gt;&lt;secondary-title&gt;Marine Biology&lt;/secondary-title&gt;&lt;/titles&gt;&lt;periodical&gt;&lt;full-title&gt;Marine Biology&lt;/full-title&gt;&lt;/periodical&gt;&lt;pages&gt;1001-1009&lt;/pages&gt;&lt;volume&gt;141&lt;/volume&gt;&lt;number&gt;6&lt;/number&gt;&lt;dates&gt;&lt;year&gt;2002&lt;/year&gt;&lt;/dates&gt;&lt;publisher&gt;Springer Science and Business Media LLC&lt;/publisher&gt;&lt;isbn&gt;0025-3162&lt;/isbn&gt;&lt;urls&gt;&lt;related-urls&gt;&lt;url&gt;https://dx.doi.org/10.1007/s00227-002-0911-9&lt;/url&gt;&lt;/related-urls&gt;&lt;/urls&gt;&lt;electronic-resource-num&gt;10.1007/s00227-002-0911-9&lt;/electronic-resource-num&gt;&lt;/record&gt;&lt;/Cite&gt;&lt;/EndNote&gt;</w:instrText>
      </w:r>
      <w:r w:rsidRPr="009819CE">
        <w:rPr>
          <w:rFonts w:cstheme="minorBidi"/>
        </w:rPr>
        <w:fldChar w:fldCharType="separate"/>
      </w:r>
      <w:r w:rsidR="00D50EFF" w:rsidRPr="009819CE">
        <w:rPr>
          <w:rFonts w:cstheme="minorBidi"/>
        </w:rPr>
        <w:t>(</w:t>
      </w:r>
      <w:hyperlink w:anchor="_ENREF_257" w:tooltip="Rosa, 2002 #1690" w:history="1">
        <w:r w:rsidR="00950097" w:rsidRPr="009819CE">
          <w:rPr>
            <w:rFonts w:cstheme="minorBidi"/>
          </w:rPr>
          <w:t>Rosa and Nunes, 2002</w:t>
        </w:r>
      </w:hyperlink>
      <w:r w:rsidR="00D50EFF" w:rsidRPr="009819CE">
        <w:rPr>
          <w:rFonts w:cstheme="minorBidi"/>
        </w:rPr>
        <w:t>)</w:t>
      </w:r>
      <w:r w:rsidRPr="009819CE">
        <w:rPr>
          <w:rFonts w:cstheme="minorBidi"/>
        </w:rPr>
        <w:fldChar w:fldCharType="end"/>
      </w:r>
      <w:r w:rsidRPr="009819CE">
        <w:rPr>
          <w:rFonts w:cstheme="minorBidi"/>
        </w:rPr>
        <w:t xml:space="preserve"> and macrospores. Notably, parasites, </w:t>
      </w:r>
      <w:r w:rsidR="00BA421F" w:rsidRPr="009819CE">
        <w:rPr>
          <w:rFonts w:cstheme="minorBidi"/>
        </w:rPr>
        <w:t>including</w:t>
      </w:r>
      <w:r w:rsidRPr="009819CE">
        <w:rPr>
          <w:rFonts w:cstheme="minorBidi"/>
        </w:rPr>
        <w:t xml:space="preserve"> </w:t>
      </w:r>
      <w:r w:rsidR="009D03F4" w:rsidRPr="009819CE">
        <w:rPr>
          <w:rFonts w:cstheme="minorBidi"/>
          <w:i/>
          <w:iCs/>
        </w:rPr>
        <w:t>Hematodinium</w:t>
      </w:r>
      <w:r w:rsidRPr="009819CE">
        <w:rPr>
          <w:rFonts w:cstheme="minorBidi"/>
        </w:rPr>
        <w:t xml:space="preserve"> sp., have the ability to acquire host fatty acids and store them as TAGs in lipid droplets, ensuring a continuous lipid supply </w:t>
      </w:r>
      <w:r w:rsidRPr="009819CE">
        <w:rPr>
          <w:rFonts w:cstheme="minorBidi"/>
        </w:rPr>
        <w:fldChar w:fldCharType="begin"/>
      </w:r>
      <w:r w:rsidR="00871B4F">
        <w:rPr>
          <w:rFonts w:cstheme="minorBidi"/>
        </w:rPr>
        <w:instrText xml:space="preserve"> ADDIN EN.CITE &lt;EndNote&gt;&lt;Cite&gt;&lt;Author&gt;Shunmugam&lt;/Author&gt;&lt;Year&gt;2022&lt;/Year&gt;&lt;RecNum&gt;1298&lt;/RecNum&gt;&lt;DisplayText&gt;(Shunmugam et al., 2022)&lt;/DisplayText&gt;&lt;record&gt;&lt;rec-number&gt;1298&lt;/rec-number&gt;&lt;foreign-keys&gt;&lt;key app="EN" db-id="sd9wrx9fj09rx3erprsx999o0r5aprvp2zse" timestamp="1687855902" guid="b9c57255-5dc2-454f-a195-937aa150cc2d"&gt;1298&lt;/key&gt;&lt;/foreign-keys&gt;&lt;ref-type name="Journal Article"&gt;17&lt;/ref-type&gt;&lt;contributors&gt;&lt;authors&gt;&lt;author&gt;Shunmugam, Serena&lt;/author&gt;&lt;author&gt;Arnold, Christophe Sébastien&lt;/author&gt;&lt;author&gt;Dass, Sheena&lt;/author&gt;&lt;author&gt;Nicholas, J. Katris&lt;/author&gt;&lt;author&gt;Botté, Cyrille Y.&lt;/author&gt;&lt;/authors&gt;&lt;/contributors&gt;&lt;titles&gt;&lt;title&gt;The flexibility of Apicomplexa parasites in lipid metabolism&lt;/title&gt;&lt;secondary-title&gt;PLOS  Pathogens&lt;/secondary-title&gt;&lt;/titles&gt;&lt;periodical&gt;&lt;full-title&gt;PLOS  Pathogens&lt;/full-title&gt;&lt;/periodical&gt;&lt;volume&gt;18&lt;/volume&gt;&lt;number&gt;3&lt;/number&gt;&lt;dates&gt;&lt;year&gt;2022&lt;/year&gt;&lt;pub-dates&gt;&lt;date&gt;2022/3//&lt;/date&gt;&lt;/pub-dates&gt;&lt;/dates&gt;&lt;publisher&gt;PLOS&lt;/publisher&gt;&lt;urls&gt;&lt;related-urls&gt;&lt;url&gt;/pmc/articles/PMC8929637/&lt;/url&gt;&lt;url&gt;/pmc/articles/PMC8929637/?report=abstract&lt;/url&gt;&lt;url&gt;https://www.ncbi.nlm.nih.gov/pmc/articles/PMC8929637/&lt;/url&gt;&lt;/related-urls&gt;&lt;/urls&gt;&lt;electronic-resource-num&gt;10.1371/JOURNAL.PPAT.1010313&lt;/electronic-resource-num&gt;&lt;/record&gt;&lt;/Cite&gt;&lt;/EndNote&gt;</w:instrText>
      </w:r>
      <w:r w:rsidRPr="009819CE">
        <w:rPr>
          <w:rFonts w:cstheme="minorBidi"/>
        </w:rPr>
        <w:fldChar w:fldCharType="separate"/>
      </w:r>
      <w:r w:rsidR="00D50EFF" w:rsidRPr="009819CE">
        <w:rPr>
          <w:rFonts w:cstheme="minorBidi"/>
          <w:noProof/>
        </w:rPr>
        <w:t>(</w:t>
      </w:r>
      <w:hyperlink w:anchor="_ENREF_285" w:tooltip="Shunmugam, 2022 #1298" w:history="1">
        <w:r w:rsidR="00950097" w:rsidRPr="009819CE">
          <w:rPr>
            <w:rFonts w:cstheme="minorBidi"/>
            <w:noProof/>
          </w:rPr>
          <w:t>Shunmugam et al., 2022</w:t>
        </w:r>
      </w:hyperlink>
      <w:r w:rsidR="00D50EFF" w:rsidRPr="009819CE">
        <w:rPr>
          <w:rFonts w:cstheme="minorBidi"/>
          <w:noProof/>
        </w:rPr>
        <w:t>)</w:t>
      </w:r>
      <w:r w:rsidRPr="009819CE">
        <w:rPr>
          <w:rFonts w:cstheme="minorBidi"/>
        </w:rPr>
        <w:fldChar w:fldCharType="end"/>
      </w:r>
      <w:r w:rsidRPr="009819CE">
        <w:rPr>
          <w:rFonts w:cstheme="minorBidi"/>
        </w:rPr>
        <w:t xml:space="preserve">. The presence of lipid droplets in </w:t>
      </w:r>
      <w:r w:rsidR="009D03F4" w:rsidRPr="009819CE">
        <w:rPr>
          <w:rFonts w:cstheme="minorBidi"/>
          <w:i/>
        </w:rPr>
        <w:t>Hematodinium</w:t>
      </w:r>
      <w:r w:rsidRPr="009819CE">
        <w:rPr>
          <w:rFonts w:cstheme="minorBidi"/>
        </w:rPr>
        <w:t xml:space="preserve"> sp. spores suggests their involvement in energy storage. These organelles may serve as a reservoir of energy-rich lipids that can be utilized by the parasite during different stages of its life cycle</w:t>
      </w:r>
      <w:r w:rsidR="00716ACD" w:rsidRPr="009819CE">
        <w:rPr>
          <w:rFonts w:cstheme="minorBidi"/>
        </w:rPr>
        <w:t>, including germination</w:t>
      </w:r>
      <w:r w:rsidRPr="009819CE">
        <w:rPr>
          <w:rFonts w:cstheme="minorBidi"/>
        </w:rPr>
        <w:t xml:space="preserve">. Lipid droplets can provide a source of energy for </w:t>
      </w:r>
      <w:r w:rsidR="009D03F4" w:rsidRPr="009819CE">
        <w:rPr>
          <w:rFonts w:cstheme="minorBidi"/>
          <w:i/>
        </w:rPr>
        <w:t>Hematodinium</w:t>
      </w:r>
      <w:r w:rsidRPr="009819CE">
        <w:rPr>
          <w:rFonts w:cstheme="minorBidi"/>
        </w:rPr>
        <w:t xml:space="preserve"> sp. during periods of nutrient limitation or stress. Protozoan parasites have developed tactics to avoid or exploit lipid droplets as a lipid source for building cell membranes, supporting parasite growth, and functioning as an immune response suppressor </w:t>
      </w:r>
      <w:r w:rsidRPr="009819CE">
        <w:rPr>
          <w:rFonts w:cstheme="minorBidi"/>
        </w:rPr>
        <w:fldChar w:fldCharType="begin">
          <w:fldData xml:space="preserve">PEVuZE5vdGU+PENpdGU+PEF1dGhvcj5WYWxsb2NoaTwvQXV0aG9yPjxZZWFyPjIwMTg8L1llYXI+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==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PEVuZE5vdGU+PENpdGU+PEF1dGhvcj5WYWxsb2NoaTwvQXV0aG9yPjxZZWFyPjIwMTg8L1llYXI+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==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Pr="009819CE">
        <w:rPr>
          <w:rFonts w:cstheme="minorBidi"/>
        </w:rPr>
      </w:r>
      <w:r w:rsidRPr="009819CE">
        <w:rPr>
          <w:rFonts w:cstheme="minorBidi"/>
        </w:rPr>
        <w:fldChar w:fldCharType="separate"/>
      </w:r>
      <w:r w:rsidR="00D50EFF" w:rsidRPr="001F4A34">
        <w:rPr>
          <w:rFonts w:cstheme="minorBidi"/>
        </w:rPr>
        <w:t>(</w:t>
      </w:r>
      <w:hyperlink w:anchor="_ENREF_337" w:tooltip="Vallochi, 2018 #1794" w:history="1">
        <w:r w:rsidR="00950097" w:rsidRPr="001F4A34">
          <w:rPr>
            <w:rFonts w:cstheme="minorBidi"/>
          </w:rPr>
          <w:t>Vallochi et al., 2018</w:t>
        </w:r>
      </w:hyperlink>
      <w:r w:rsidR="00D50EFF" w:rsidRPr="001F4A34">
        <w:rPr>
          <w:rFonts w:cstheme="minorBidi"/>
        </w:rPr>
        <w:t>)</w:t>
      </w:r>
      <w:r w:rsidRPr="009819CE">
        <w:rPr>
          <w:rFonts w:cstheme="minorBidi"/>
        </w:rPr>
        <w:fldChar w:fldCharType="end"/>
      </w:r>
      <w:r w:rsidRPr="009819CE">
        <w:rPr>
          <w:rFonts w:cstheme="minorBidi"/>
        </w:rPr>
        <w:t xml:space="preserve">. </w:t>
      </w:r>
    </w:p>
    <w:p w14:paraId="0B0743A1" w14:textId="532931A0" w:rsidR="006A0363" w:rsidRPr="009819CE" w:rsidRDefault="006A0363" w:rsidP="006A0363">
      <w:pPr>
        <w:ind w:left="-10"/>
        <w:rPr>
          <w:rFonts w:cstheme="minorBidi"/>
        </w:rPr>
      </w:pPr>
      <w:r w:rsidRPr="009819CE">
        <w:rPr>
          <w:rFonts w:cstheme="minorBidi"/>
        </w:rPr>
        <w:t xml:space="preserve">Phosphatidylcholine (PC), wax esters and unknown polar lipids were significantly abundant in macrospores. PC plays a crucial role in cell membrane integrity and various cellular processes </w:t>
      </w:r>
      <w:r w:rsidRPr="009819CE">
        <w:rPr>
          <w:rFonts w:cstheme="minorBidi"/>
        </w:rPr>
        <w:fldChar w:fldCharType="begin"/>
      </w:r>
      <w:r w:rsidR="00871B4F">
        <w:rPr>
          <w:rFonts w:cstheme="minorBidi"/>
        </w:rPr>
        <w:instrText xml:space="preserve"> ADDIN EN.CITE &lt;EndNote&gt;&lt;Cite&gt;&lt;Author&gt;Dawaliby&lt;/Author&gt;&lt;Year&gt;2016&lt;/Year&gt;&lt;RecNum&gt;1294&lt;/RecNum&gt;&lt;DisplayText&gt;(Dawaliby et al., 2016)&lt;/DisplayText&gt;&lt;record&gt;&lt;rec-number&gt;1294&lt;/rec-number&gt;&lt;foreign-keys&gt;&lt;key app="EN" db-id="sd9wrx9fj09rx3erprsx999o0r5aprvp2zse" timestamp="1687855902" guid="fad090a3-b3b4-47f4-9477-08352801d9b9"&gt;1294&lt;/key&gt;&lt;/foreign-keys&gt;&lt;ref-type name="Journal Article"&gt;17&lt;/ref-type&gt;&lt;contributors&gt;&lt;authors&gt;&lt;author&gt;Dawaliby, Rosie&lt;/author&gt;&lt;author&gt;Trubbia, Cataldo&lt;/author&gt;&lt;author&gt;Delporte, Cédric&lt;/author&gt;&lt;author&gt;Noyon, Caroline&lt;/author&gt;&lt;author&gt;Ruysschaert, Jean Marie&lt;/author&gt;&lt;author&gt;Van Antwerpen, Pierre&lt;/author&gt;&lt;author&gt;Govaerts, Cédric&lt;/author&gt;&lt;/authors&gt;&lt;/contributors&gt;&lt;titles&gt;&lt;title&gt;Phosphatidylethanolamine is a key regulator of membrane fluidity in eukaryotic cells&lt;/title&gt;&lt;secondary-title&gt;Journal of Biological Chemistry&lt;/secondary-title&gt;&lt;/titles&gt;&lt;periodical&gt;&lt;full-title&gt;Journal of Biological Chemistry&lt;/full-title&gt;&lt;/periodical&gt;&lt;pages&gt;3658-3658&lt;/pages&gt;&lt;volume&gt;291&lt;/volume&gt;&lt;number&gt;7&lt;/number&gt;&lt;dates&gt;&lt;year&gt;2016&lt;/year&gt;&lt;pub-dates&gt;&lt;date&gt;2016/2//&lt;/date&gt;&lt;/pub-dates&gt;&lt;/dates&gt;&lt;publisher&gt;American Society for Biochemistry and Molecular Biology&lt;/publisher&gt;&lt;urls&gt;&lt;related-urls&gt;&lt;url&gt;/pmc/articles/PMC4751403/&lt;/url&gt;&lt;url&gt;/pmc/articles/PMC4751403/?report=abstract&lt;/url&gt;&lt;url&gt;https://www.ncbi.nlm.nih.gov/pmc/articles/PMC4751403/&lt;/url&gt;&lt;/related-urls&gt;&lt;/urls&gt;&lt;electronic-resource-num&gt;10.1074/JBC.M115.706523&lt;/electronic-resource-num&gt;&lt;/record&gt;&lt;/Cite&gt;&lt;/EndNote&gt;</w:instrText>
      </w:r>
      <w:r w:rsidRPr="009819CE">
        <w:rPr>
          <w:rFonts w:cstheme="minorBidi"/>
        </w:rPr>
        <w:fldChar w:fldCharType="separate"/>
      </w:r>
      <w:r w:rsidR="00D50EFF" w:rsidRPr="00871B4F">
        <w:rPr>
          <w:rFonts w:cstheme="minorBidi"/>
          <w:noProof/>
        </w:rPr>
        <w:t>(</w:t>
      </w:r>
      <w:hyperlink w:anchor="_ENREF_64" w:tooltip="Dawaliby, 2016 #1294" w:history="1">
        <w:r w:rsidR="00950097" w:rsidRPr="00871B4F">
          <w:rPr>
            <w:rFonts w:cstheme="minorBidi"/>
            <w:noProof/>
          </w:rPr>
          <w:t>Dawaliby et al., 2016</w:t>
        </w:r>
      </w:hyperlink>
      <w:r w:rsidR="00D50EFF" w:rsidRPr="00871B4F">
        <w:rPr>
          <w:rFonts w:cstheme="minorBidi"/>
          <w:noProof/>
        </w:rPr>
        <w:t>)</w:t>
      </w:r>
      <w:r w:rsidRPr="009819CE">
        <w:rPr>
          <w:rFonts w:cstheme="minorBidi"/>
        </w:rPr>
        <w:fldChar w:fldCharType="end"/>
      </w:r>
      <w:r w:rsidRPr="009819CE">
        <w:rPr>
          <w:rFonts w:cstheme="minorBidi"/>
        </w:rPr>
        <w:t xml:space="preserve">. Some protozoan parasites, such as </w:t>
      </w:r>
      <w:r w:rsidRPr="009819CE">
        <w:rPr>
          <w:rFonts w:cstheme="minorBidi"/>
          <w:i/>
          <w:iCs/>
        </w:rPr>
        <w:t>Plasmodium sporozoite</w:t>
      </w:r>
      <w:r w:rsidRPr="009819CE">
        <w:rPr>
          <w:rFonts w:cstheme="minorBidi"/>
        </w:rPr>
        <w:t xml:space="preserve"> and </w:t>
      </w:r>
      <w:r w:rsidRPr="009819CE">
        <w:rPr>
          <w:rFonts w:cstheme="minorBidi"/>
          <w:i/>
          <w:iCs/>
        </w:rPr>
        <w:t>Toxoplasma gondii</w:t>
      </w:r>
      <w:r w:rsidRPr="009819CE">
        <w:rPr>
          <w:rFonts w:cstheme="minorBidi"/>
        </w:rPr>
        <w:t xml:space="preserve">, rely on host-derived PC for successful colonization and proliferation </w:t>
      </w:r>
      <w:r w:rsidRPr="009819CE">
        <w:rPr>
          <w:rFonts w:cstheme="minorBidi"/>
        </w:rPr>
        <w:fldChar w:fldCharType="begin">
          <w:fldData xml:space="preserve">PEVuZE5vdGU+PENpdGU+PEF1dGhvcj5HdXB0YTwvQXV0aG9yPjxZZWFyPjIwMDU8L1llYXI+PFJl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</w:fldData>
        </w:fldChar>
      </w:r>
      <w:r w:rsidR="00871B4F">
        <w:rPr>
          <w:rFonts w:cstheme="minorBidi"/>
        </w:rPr>
        <w:instrText xml:space="preserve"> ADDIN EN.CITE </w:instrText>
      </w:r>
      <w:r w:rsidR="00871B4F">
        <w:rPr>
          <w:rFonts w:cstheme="minorBidi"/>
        </w:rPr>
        <w:fldChar w:fldCharType="begin">
          <w:fldData xml:space="preserve">PEVuZE5vdGU+PENpdGU+PEF1dGhvcj5HdXB0YTwvQXV0aG9yPjxZZWFyPjIwMDU8L1llYXI+PFJl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Pr="009819CE">
        <w:rPr>
          <w:rFonts w:cstheme="minorBidi"/>
        </w:rPr>
      </w:r>
      <w:r w:rsidRPr="009819CE">
        <w:rPr>
          <w:rFonts w:cstheme="minorBidi"/>
        </w:rPr>
        <w:fldChar w:fldCharType="separate"/>
      </w:r>
      <w:r w:rsidR="00D50EFF" w:rsidRPr="00871B4F">
        <w:rPr>
          <w:rFonts w:cstheme="minorBidi"/>
          <w:noProof/>
        </w:rPr>
        <w:t>(</w:t>
      </w:r>
      <w:hyperlink w:anchor="_ENREF_117" w:tooltip="Gupta, 2005 #1295" w:history="1">
        <w:r w:rsidR="00950097" w:rsidRPr="00871B4F">
          <w:rPr>
            <w:rFonts w:cstheme="minorBidi"/>
            <w:noProof/>
          </w:rPr>
          <w:t>Gupta et al., 2005</w:t>
        </w:r>
      </w:hyperlink>
      <w:r w:rsidR="00D50EFF" w:rsidRPr="00871B4F">
        <w:rPr>
          <w:rFonts w:cstheme="minorBidi"/>
          <w:noProof/>
        </w:rPr>
        <w:t xml:space="preserve">; </w:t>
      </w:r>
      <w:hyperlink w:anchor="_ENREF_154" w:tooltip="Itoe, 2014 #1296" w:history="1">
        <w:r w:rsidR="00950097" w:rsidRPr="00871B4F">
          <w:rPr>
            <w:rFonts w:cstheme="minorBidi"/>
            <w:noProof/>
          </w:rPr>
          <w:t>Itoe et al., 2014</w:t>
        </w:r>
      </w:hyperlink>
      <w:r w:rsidR="00D50EFF" w:rsidRPr="00871B4F">
        <w:rPr>
          <w:rFonts w:cstheme="minorBidi"/>
          <w:noProof/>
        </w:rPr>
        <w:t>)</w:t>
      </w:r>
      <w:r w:rsidRPr="009819CE">
        <w:rPr>
          <w:rFonts w:cstheme="minorBidi"/>
        </w:rPr>
        <w:fldChar w:fldCharType="end"/>
      </w:r>
      <w:r w:rsidRPr="009819CE">
        <w:rPr>
          <w:rFonts w:cstheme="minorBidi"/>
        </w:rPr>
        <w:t xml:space="preserve">. It is possible that PC could potentially have a comparable role in </w:t>
      </w:r>
      <w:r w:rsidR="009D03F4" w:rsidRPr="009819CE">
        <w:rPr>
          <w:rFonts w:cstheme="minorBidi"/>
          <w:i/>
          <w:iCs/>
        </w:rPr>
        <w:t>Hematodinium</w:t>
      </w:r>
      <w:r w:rsidRPr="009819CE">
        <w:rPr>
          <w:rFonts w:cstheme="minorBidi"/>
        </w:rPr>
        <w:t xml:space="preserve"> sp.. Wax ester production in dinoflagellates has been proposed to regulate buoyancy and act as a repository of energy-rich reserves during periods of low prey abundance </w:t>
      </w:r>
      <w:r w:rsidRPr="009819CE">
        <w:rPr>
          <w:rFonts w:cstheme="minorBidi"/>
          <w:color w:val="202124"/>
          <w:shd w:val="clear" w:color="auto" w:fill="FFFFFF"/>
        </w:rPr>
        <w:fldChar w:fldCharType="begin">
          <w:fldData xml:space="preserve">PEVuZE5vdGU+PENpdGU+PEF1dGhvcj5TYXJnZW50PC9BdXRob3I+PFllYXI+MTk3NzwvWWVhcj48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</w:fldData>
        </w:fldChar>
      </w:r>
      <w:r w:rsidR="00D50EFF" w:rsidRPr="009819CE">
        <w:rPr>
          <w:rFonts w:cstheme="minorBidi"/>
          <w:color w:val="202124"/>
          <w:shd w:val="clear" w:color="auto" w:fill="FFFFFF"/>
        </w:rPr>
        <w:instrText xml:space="preserve"> ADDIN EN.CITE </w:instrText>
      </w:r>
      <w:r w:rsidR="00D50EFF" w:rsidRPr="009819CE">
        <w:rPr>
          <w:rFonts w:cstheme="minorBidi"/>
          <w:color w:val="202124"/>
          <w:shd w:val="clear" w:color="auto" w:fill="FFFFFF"/>
        </w:rPr>
        <w:fldChar w:fldCharType="begin">
          <w:fldData xml:space="preserve">PEVuZE5vdGU+PENpdGU+PEF1dGhvcj5TYXJnZW50PC9BdXRob3I+PFllYXI+MTk3NzwvWWVhcj48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</w:fldData>
        </w:fldChar>
      </w:r>
      <w:r w:rsidR="00D50EFF" w:rsidRPr="009819CE">
        <w:rPr>
          <w:rFonts w:cstheme="minorBidi"/>
          <w:color w:val="202124"/>
          <w:shd w:val="clear" w:color="auto" w:fill="FFFFFF"/>
        </w:rPr>
        <w:instrText xml:space="preserve"> ADDIN EN.CITE.DATA </w:instrText>
      </w:r>
      <w:r w:rsidR="00D50EFF" w:rsidRPr="009819CE">
        <w:rPr>
          <w:rFonts w:cstheme="minorBidi"/>
          <w:color w:val="202124"/>
          <w:shd w:val="clear" w:color="auto" w:fill="FFFFFF"/>
        </w:rPr>
      </w:r>
      <w:r w:rsidR="00D50EFF" w:rsidRPr="009819CE">
        <w:rPr>
          <w:rFonts w:cstheme="minorBidi"/>
          <w:color w:val="202124"/>
          <w:shd w:val="clear" w:color="auto" w:fill="FFFFFF"/>
        </w:rPr>
        <w:fldChar w:fldCharType="end"/>
      </w:r>
      <w:r w:rsidRPr="009819CE">
        <w:rPr>
          <w:rFonts w:cstheme="minorBidi"/>
          <w:color w:val="202124"/>
          <w:shd w:val="clear" w:color="auto" w:fill="FFFFFF"/>
        </w:rPr>
      </w:r>
      <w:r w:rsidRPr="009819CE">
        <w:rPr>
          <w:rFonts w:cstheme="minorBidi"/>
          <w:color w:val="202124"/>
          <w:shd w:val="clear" w:color="auto" w:fill="FFFFFF"/>
        </w:rPr>
        <w:fldChar w:fldCharType="separate"/>
      </w:r>
      <w:r w:rsidR="00D50EFF" w:rsidRPr="009819CE">
        <w:rPr>
          <w:rFonts w:cstheme="minorBidi"/>
          <w:color w:val="202124"/>
          <w:shd w:val="clear" w:color="auto" w:fill="FFFFFF"/>
        </w:rPr>
        <w:t>(</w:t>
      </w:r>
      <w:hyperlink w:anchor="_ENREF_255" w:tooltip="Roohani, 2019 #1767" w:history="1">
        <w:r w:rsidR="00950097" w:rsidRPr="009819CE">
          <w:rPr>
            <w:rFonts w:cstheme="minorBidi"/>
            <w:color w:val="202124"/>
            <w:shd w:val="clear" w:color="auto" w:fill="FFFFFF"/>
          </w:rPr>
          <w:t>Roohani et al., 2019</w:t>
        </w:r>
      </w:hyperlink>
      <w:r w:rsidR="00D50EFF" w:rsidRPr="009819CE">
        <w:rPr>
          <w:rFonts w:cstheme="minorBidi"/>
          <w:color w:val="202124"/>
          <w:shd w:val="clear" w:color="auto" w:fill="FFFFFF"/>
        </w:rPr>
        <w:t xml:space="preserve">; </w:t>
      </w:r>
      <w:hyperlink w:anchor="_ENREF_268" w:tooltip="Sargent, 1977 #1766" w:history="1">
        <w:r w:rsidR="00950097" w:rsidRPr="009819CE">
          <w:rPr>
            <w:rFonts w:cstheme="minorBidi"/>
            <w:color w:val="202124"/>
            <w:shd w:val="clear" w:color="auto" w:fill="FFFFFF"/>
          </w:rPr>
          <w:t>Sargent et al., 1977</w:t>
        </w:r>
      </w:hyperlink>
      <w:r w:rsidR="00D50EFF" w:rsidRPr="009819CE">
        <w:rPr>
          <w:rFonts w:cstheme="minorBidi"/>
          <w:color w:val="202124"/>
          <w:shd w:val="clear" w:color="auto" w:fill="FFFFFF"/>
        </w:rPr>
        <w:t>)</w:t>
      </w:r>
      <w:r w:rsidRPr="009819CE">
        <w:rPr>
          <w:rFonts w:cstheme="minorBidi"/>
          <w:color w:val="202124"/>
          <w:shd w:val="clear" w:color="auto" w:fill="FFFFFF"/>
        </w:rPr>
        <w:fldChar w:fldCharType="end"/>
      </w:r>
      <w:r w:rsidRPr="009819CE">
        <w:rPr>
          <w:rFonts w:cstheme="minorBidi"/>
          <w:color w:val="202124"/>
          <w:shd w:val="clear" w:color="auto" w:fill="FFFFFF"/>
        </w:rPr>
        <w:t xml:space="preserve">, </w:t>
      </w:r>
      <w:r w:rsidRPr="009819CE">
        <w:rPr>
          <w:rFonts w:cstheme="minorBidi"/>
        </w:rPr>
        <w:t xml:space="preserve">and may serve a similar function in </w:t>
      </w:r>
      <w:r w:rsidR="009D03F4" w:rsidRPr="009819CE">
        <w:rPr>
          <w:rFonts w:cstheme="minorBidi"/>
          <w:i/>
          <w:iCs/>
        </w:rPr>
        <w:t>Hematodinium</w:t>
      </w:r>
      <w:r w:rsidRPr="009819CE">
        <w:rPr>
          <w:rFonts w:cstheme="minorBidi"/>
        </w:rPr>
        <w:t xml:space="preserve"> sp. macrospores facilitating their survival and transmission in the water column. The presence of unknown polar lipids in macrospores indicates the existence of unique lipid components with potential functional significance, necessitating further investigation to gain insights into the parasite's biology and pathogenesis.</w:t>
      </w:r>
    </w:p>
    <w:p w14:paraId="30BA4052" w14:textId="2D308811" w:rsidR="006A0363" w:rsidRPr="009819CE" w:rsidRDefault="006A0363" w:rsidP="006A0363">
      <w:pPr>
        <w:ind w:left="-10"/>
        <w:rPr>
          <w:rFonts w:cstheme="minorBidi"/>
        </w:rPr>
      </w:pPr>
      <w:r w:rsidRPr="009819CE">
        <w:rPr>
          <w:rFonts w:cstheme="minorBidi"/>
        </w:rPr>
        <w:t xml:space="preserve">From the four individuals that underwent sporulation, all produced macrospores. Different </w:t>
      </w:r>
      <w:r w:rsidR="009D03F4" w:rsidRPr="009819CE">
        <w:rPr>
          <w:rFonts w:cstheme="minorBidi"/>
          <w:i/>
          <w:iCs/>
        </w:rPr>
        <w:t>Hematodinium</w:t>
      </w:r>
      <w:r w:rsidRPr="009819CE">
        <w:rPr>
          <w:rFonts w:cstheme="minorBidi"/>
          <w:i/>
          <w:iCs/>
        </w:rPr>
        <w:t xml:space="preserve"> </w:t>
      </w:r>
      <w:r w:rsidRPr="009819CE">
        <w:rPr>
          <w:rFonts w:cstheme="minorBidi"/>
        </w:rPr>
        <w:t xml:space="preserve">sp. spore phenotypes might exhibit varying abilities to disperse when outside the host. Microspores, being faster swimmers and capable of spreading over greater distances, are more likely to be highly infectious propagules. On the other hand, macrospores might serve as resting stages in sediments, particularly in </w:t>
      </w:r>
      <w:r w:rsidR="00C31E47" w:rsidRPr="009819CE">
        <w:rPr>
          <w:rFonts w:cstheme="minorBidi"/>
          <w:i/>
          <w:iCs/>
        </w:rPr>
        <w:t>Nephrops</w:t>
      </w:r>
      <w:r w:rsidRPr="009819CE">
        <w:rPr>
          <w:rFonts w:cstheme="minorBidi"/>
          <w:i/>
          <w:iCs/>
        </w:rPr>
        <w:t xml:space="preserve"> </w:t>
      </w:r>
      <w:r w:rsidRPr="009819CE">
        <w:rPr>
          <w:rFonts w:cstheme="minorBidi"/>
        </w:rPr>
        <w:t xml:space="preserve"> habitats, as described by </w:t>
      </w:r>
      <w:hyperlink w:anchor="_ENREF_16" w:tooltip="Appleton, 1996 #108" w:history="1">
        <w:r w:rsidR="00950097" w:rsidRPr="009819CE">
          <w:rPr>
            <w:rFonts w:cstheme="minorBidi"/>
          </w:rPr>
          <w:fldChar w:fldCharType="begin"/>
        </w:r>
        <w:r w:rsidR="00950097">
          <w:rPr>
            <w:rFonts w:cstheme="minorBidi"/>
          </w:rPr>
          <w:instrText xml:space="preserve"> ADDIN EN.CITE &lt;EndNote&gt;&lt;Cite AuthorYear="1"&gt;&lt;Author&gt;Appleton&lt;/Author&gt;&lt;Year&gt;1996&lt;/Year&gt;&lt;RecNum&gt;108&lt;/RecNum&gt;&lt;DisplayText&gt;Appleton (1996)&lt;/DisplayText&gt;&lt;record&gt;&lt;rec-number&gt;108&lt;/rec-number&gt;&lt;foreign-keys&gt;&lt;key app="EN" db-id="sd9wrx9fj09rx3erprsx999o0r5aprvp2zse" timestamp="1687855901" guid="10fdb29e-717a-4078-9108-f00156f43d75"&gt;108&lt;/key&gt;&lt;/foreign-keys&gt;&lt;ref-type name="Thesis"&gt;32&lt;/ref-type&gt;&lt;contributors&gt;&lt;authors&gt;&lt;author&gt;Appleton, Paul Lawrence&lt;/author&gt;&lt;/authors&gt;&lt;tertiary-authors&gt;&lt;author&gt;Vickerman, K.&lt;/author&gt;&lt;/tertiary-authors&gt;&lt;/contributors&gt;&lt;titles&gt;&lt;title&gt;&lt;style face="normal" font="default" size="100%"&gt;Investigations on the cytology and life cycle of the parasitic dinoflagellate parasite &lt;/style&gt;&lt;style face="italic" font="default" size="100%"&gt;Hematodinium&lt;/style&gt;&lt;style face="normal" font="default" size="100%"&gt; sp. associated with mortality of &lt;/style&gt;&lt;style face="italic" font="default" size="100%"&gt;Nephrops norvegicus&lt;/style&gt;&lt;/title&gt;&lt;secondary-title&gt;College of Medical Veterinary and Life Sciences&lt;/secondary-title&gt;&lt;/titles&gt;&lt;pages&gt;1-204&lt;/pages&gt;&lt;volume&gt;PhD thesis&lt;/volume&gt;&lt;dates&gt;&lt;year&gt;1996&lt;/year&gt;&lt;pub-dates&gt;&lt;date&gt;24/08/2009&lt;/date&gt;&lt;/pub-dates&gt;&lt;/dates&gt;&lt;pub-location&gt;University of Glasgow&lt;/pub-location&gt;&lt;publisher&gt;University of Glasgow&lt;/publisher&gt;&lt;urls&gt;&lt;related-urls&gt;&lt;url&gt;http://theses.gla.ac.uk/967/&lt;/url&gt;&lt;/related-urls&gt;&lt;/urls&gt;&lt;/record&gt;&lt;/Cite&gt;&lt;/EndNote&gt;</w:instrText>
        </w:r>
        <w:r w:rsidR="00950097" w:rsidRPr="009819CE">
          <w:rPr>
            <w:rFonts w:cstheme="minorBidi"/>
          </w:rPr>
          <w:fldChar w:fldCharType="separate"/>
        </w:r>
        <w:r w:rsidR="00950097" w:rsidRPr="005F31D5">
          <w:rPr>
            <w:rFonts w:cstheme="minorBidi"/>
            <w:noProof/>
          </w:rPr>
          <w:t>Appleton (1996)</w:t>
        </w:r>
        <w:r w:rsidR="00950097" w:rsidRPr="009819CE">
          <w:rPr>
            <w:rFonts w:cstheme="minorBidi"/>
          </w:rPr>
          <w:fldChar w:fldCharType="end"/>
        </w:r>
      </w:hyperlink>
      <w:r w:rsidRPr="009819CE">
        <w:rPr>
          <w:rFonts w:cstheme="minorBidi"/>
        </w:rPr>
        <w:t xml:space="preserve">. Organisms possess phenotypic plasticity, allowing them to adjust their traits to different environments, both within and outside the host, in order to enhance their fitness </w:t>
      </w:r>
      <w:r w:rsidRPr="009819CE">
        <w:rPr>
          <w:rFonts w:cstheme="minorBidi"/>
        </w:rPr>
        <w:fldChar w:fldCharType="begin">
          <w:fldData xml:space="preserve">PEVuZE5vdGU+PENpdGU+PEF1dGhvcj5Qb3VsaW48L0F1dGhvcj48WWVhcj4yMDA2PC9ZZWFyPjxS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</w:fldData>
        </w:fldChar>
      </w:r>
      <w:r w:rsidR="00D50EFF" w:rsidRPr="009819CE">
        <w:rPr>
          <w:rFonts w:cstheme="minorBidi"/>
        </w:rPr>
        <w:instrText xml:space="preserve"> ADDIN EN.CITE </w:instrText>
      </w:r>
      <w:r w:rsidR="00D50EFF" w:rsidRPr="009819CE">
        <w:rPr>
          <w:rFonts w:cstheme="minorBidi"/>
        </w:rPr>
        <w:fldChar w:fldCharType="begin">
          <w:fldData xml:space="preserve">PEVuZE5vdGU+PENpdGU+PEF1dGhvcj5Qb3VsaW48L0F1dGhvcj48WWVhcj4yMDA2PC9ZZWFyPjxS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</w:fldData>
        </w:fldChar>
      </w:r>
      <w:r w:rsidR="00D50EFF" w:rsidRPr="009819CE">
        <w:rPr>
          <w:rFonts w:cstheme="minorBidi"/>
        </w:rPr>
        <w:instrText xml:space="preserve"> ADDIN EN.CITE.DATA </w:instrText>
      </w:r>
      <w:r w:rsidR="00D50EFF" w:rsidRPr="009819CE">
        <w:rPr>
          <w:rFonts w:cstheme="minorBidi"/>
        </w:rPr>
      </w:r>
      <w:r w:rsidR="00D50EFF" w:rsidRPr="009819CE">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rPr>
        <w:t>(</w:t>
      </w:r>
      <w:hyperlink w:anchor="_ENREF_245" w:tooltip="Poulin, 2006 #1274" w:history="1">
        <w:r w:rsidR="00950097" w:rsidRPr="009819CE">
          <w:rPr>
            <w:rFonts w:cstheme="minorBidi"/>
          </w:rPr>
          <w:t>Poulin and Lefebvre, 2006</w:t>
        </w:r>
      </w:hyperlink>
      <w:r w:rsidR="00D50EFF" w:rsidRPr="009819CE">
        <w:rPr>
          <w:rFonts w:cstheme="minorBidi"/>
        </w:rPr>
        <w:t xml:space="preserve">; </w:t>
      </w:r>
      <w:hyperlink w:anchor="_ENREF_342" w:tooltip="Vizoso, 2005 #822" w:history="1">
        <w:r w:rsidR="00950097" w:rsidRPr="009819CE">
          <w:rPr>
            <w:rFonts w:cstheme="minorBidi"/>
          </w:rPr>
          <w:t>Vizoso and Ebert, 2005</w:t>
        </w:r>
      </w:hyperlink>
      <w:r w:rsidR="00D50EFF" w:rsidRPr="009819CE">
        <w:rPr>
          <w:rFonts w:cstheme="minorBidi"/>
        </w:rPr>
        <w:t>)</w:t>
      </w:r>
      <w:r w:rsidRPr="009819CE">
        <w:rPr>
          <w:rFonts w:cstheme="minorBidi"/>
        </w:rPr>
        <w:fldChar w:fldCharType="end"/>
      </w:r>
      <w:r w:rsidRPr="009819CE">
        <w:rPr>
          <w:rFonts w:cstheme="minorBidi"/>
        </w:rPr>
        <w:t xml:space="preserve">. By adapting their disseminative capacity, they can maximize their chances of survival and successful reproduction, as highlighted by </w:t>
      </w:r>
      <w:hyperlink w:anchor="_ENREF_342" w:tooltip="Vizoso, 2005 #822" w:history="1">
        <w:r w:rsidR="00950097" w:rsidRPr="009819CE">
          <w:rPr>
            <w:rFonts w:cstheme="minorBidi"/>
          </w:rPr>
          <w:fldChar w:fldCharType="begin"/>
        </w:r>
        <w:r w:rsidR="00950097" w:rsidRPr="009819CE">
          <w:rPr>
            <w:rFonts w:cstheme="minorBidi"/>
          </w:rPr>
          <w:instrText xml:space="preserve"> ADDIN EN.CITE &lt;EndNote&gt;&lt;Cite AuthorYear="1"&gt;&lt;Author&gt;Vizoso&lt;/Author&gt;&lt;Year&gt;2005&lt;/Year&gt;&lt;RecNum&gt;822&lt;/RecNum&gt;&lt;DisplayText&gt;Vizoso and Ebert (2005)&lt;/DisplayText&gt;&lt;record&gt;&lt;rec-number&gt;822&lt;/rec-number&gt;&lt;foreign-keys&gt;&lt;key app="EN" db-id="sd9wrx9fj09rx3erprsx999o0r5aprvp2zse" timestamp="1687855901" guid="d72bf305-a6ca-4cab-b02a-b261e8367f71"&gt;822&lt;/key&gt;&lt;/foreign-keys&gt;&lt;ref-type name="Journal Article"&gt;17&lt;/ref-type&gt;&lt;contributors&gt;&lt;authors&gt;&lt;author&gt;Vizoso, D. B.&lt;/author&gt;&lt;author&gt;Ebert, D.&lt;/author&gt;&lt;/authors&gt;&lt;/contributors&gt;&lt;titles&gt;&lt;title&gt;Phenotypic plasticity of host–parasite interactions in response to the route of infection&lt;/title&gt;&lt;secondary-title&gt;Journal of Evolutionary Biology&lt;/secondary-title&gt;&lt;/titles&gt;&lt;periodical&gt;&lt;full-title&gt;Journal of Evolutionary Biology&lt;/full-title&gt;&lt;/periodical&gt;&lt;pages&gt;911-921&lt;/pages&gt;&lt;volume&gt;18&lt;/volume&gt;&lt;number&gt;4&lt;/number&gt;&lt;keywords&gt;&lt;keyword&gt;Daphnia magna&lt;/keyword&gt;&lt;keyword&gt;Octosporea bayeri&lt;/keyword&gt;&lt;keyword&gt;horizontal and vertical infection&lt;/keyword&gt;&lt;keyword&gt;microsporidia&lt;/keyword&gt;&lt;keyword&gt;off&lt;/keyword&gt;&lt;keyword&gt;parasite fitness components&lt;/keyword&gt;&lt;keyword&gt;trade&lt;/keyword&gt;&lt;/keywords&gt;&lt;dates&gt;&lt;year&gt;2005&lt;/year&gt;&lt;pub-dates&gt;&lt;date&gt;2005/7//&lt;/date&gt;&lt;/pub-dates&gt;&lt;/dates&gt;&lt;publisher&gt;John Wiley &amp;amp; Sons, Ltd&lt;/publisher&gt;&lt;urls&gt;&lt;related-urls&gt;&lt;url&gt;https://onlinelibrary.wiley.com/doi/full/10.1111/j.1420-9101.2005.00920.x&lt;/url&gt;&lt;url&gt;https://onlinelibrary.wiley.com/doi/abs/10.1111/j.1420-9101.2005.00920.x&lt;/url&gt;&lt;url&gt;https://onlinelibrary.wiley.com/doi/10.1111/j.1420-9101.2005.00920.x&lt;/url&gt;&lt;/related-urls&gt;&lt;/urls&gt;&lt;electronic-resource-num&gt;10.1111/J.1420-9101.2005.00920.X&lt;/electronic-resource-num&gt;&lt;/record&gt;&lt;/Cite&gt;&lt;/EndNote&gt;</w:instrText>
        </w:r>
        <w:r w:rsidR="00950097" w:rsidRPr="009819CE">
          <w:rPr>
            <w:rFonts w:cstheme="minorBidi"/>
          </w:rPr>
          <w:fldChar w:fldCharType="separate"/>
        </w:r>
        <w:r w:rsidR="00950097" w:rsidRPr="009819CE">
          <w:rPr>
            <w:rFonts w:cstheme="minorBidi"/>
          </w:rPr>
          <w:t>Vizoso and Ebert (2005)</w:t>
        </w:r>
        <w:r w:rsidR="00950097" w:rsidRPr="009819CE">
          <w:rPr>
            <w:rFonts w:cstheme="minorBidi"/>
          </w:rPr>
          <w:fldChar w:fldCharType="end"/>
        </w:r>
      </w:hyperlink>
      <w:r w:rsidRPr="009819CE">
        <w:rPr>
          <w:rFonts w:cstheme="minorBidi"/>
          <w:color w:val="000000"/>
        </w:rPr>
        <w:t>.</w:t>
      </w:r>
      <w:r w:rsidRPr="009819CE">
        <w:rPr>
          <w:rFonts w:cstheme="minorBidi"/>
        </w:rPr>
        <w:t xml:space="preserve"> Although this study does not </w:t>
      </w:r>
      <w:r w:rsidR="00884FF3" w:rsidRPr="009819CE">
        <w:rPr>
          <w:rFonts w:cstheme="minorBidi"/>
        </w:rPr>
        <w:t>investigate</w:t>
      </w:r>
      <w:r w:rsidRPr="009819CE">
        <w:rPr>
          <w:rFonts w:cstheme="minorBidi"/>
        </w:rPr>
        <w:t xml:space="preserve"> the underlying factors that lead to the production of specific spore phenotypes, it is worth considering that </w:t>
      </w:r>
      <w:r w:rsidR="009D03F4" w:rsidRPr="009819CE">
        <w:rPr>
          <w:rFonts w:cstheme="minorBidi"/>
          <w:i/>
          <w:iCs/>
        </w:rPr>
        <w:t>Hematodinium</w:t>
      </w:r>
      <w:r w:rsidRPr="009819CE">
        <w:rPr>
          <w:rFonts w:cstheme="minorBidi"/>
        </w:rPr>
        <w:t xml:space="preserve"> </w:t>
      </w:r>
      <w:r w:rsidR="00A7585A" w:rsidRPr="009819CE">
        <w:rPr>
          <w:rFonts w:cstheme="minorBidi"/>
        </w:rPr>
        <w:t xml:space="preserve">sp. </w:t>
      </w:r>
      <w:r w:rsidRPr="009819CE">
        <w:rPr>
          <w:rFonts w:cstheme="minorBidi"/>
        </w:rPr>
        <w:t xml:space="preserve">spore phenotype may exhibit plasticity in response to environmental cues </w:t>
      </w:r>
      <w:r w:rsidRPr="009819CE">
        <w:rPr>
          <w:rFonts w:cstheme="minorBidi"/>
        </w:rPr>
        <w:fldChar w:fldCharType="begin">
          <w:fldData xml:space="preserve">PEVuZE5vdGU+PENpdGU+PEF1dGhvcj5UaG9tYXM8L0F1dGhvcj48WWVhcj4yMDAyPC9ZZWFyPjxS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</w:fldData>
        </w:fldChar>
      </w:r>
      <w:r w:rsidR="00EE7FB9">
        <w:rPr>
          <w:rFonts w:cstheme="minorBidi"/>
        </w:rPr>
        <w:instrText xml:space="preserve"> ADDIN EN.CITE </w:instrText>
      </w:r>
      <w:r w:rsidR="00EE7FB9">
        <w:rPr>
          <w:rFonts w:cstheme="minorBidi"/>
        </w:rPr>
        <w:fldChar w:fldCharType="begin">
          <w:fldData xml:space="preserve">PEVuZE5vdGU+PENpdGU+PEF1dGhvcj5UaG9tYXM8L0F1dGhvcj48WWVhcj4yMDAyPC9ZZWFyPjxS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9819CE">
        <w:rPr>
          <w:rFonts w:cstheme="minorBidi"/>
          <w:noProof/>
        </w:rPr>
        <w:t>(</w:t>
      </w:r>
      <w:hyperlink w:anchor="_ENREF_315" w:tooltip="Sun, 2022 #1760" w:history="1">
        <w:r w:rsidR="00950097" w:rsidRPr="009819CE">
          <w:rPr>
            <w:rFonts w:cstheme="minorBidi"/>
            <w:noProof/>
          </w:rPr>
          <w:t>Sun et al., 2022</w:t>
        </w:r>
      </w:hyperlink>
      <w:r w:rsidR="00D50EFF" w:rsidRPr="009819CE">
        <w:rPr>
          <w:rFonts w:cstheme="minorBidi"/>
          <w:noProof/>
        </w:rPr>
        <w:t xml:space="preserve">; </w:t>
      </w:r>
      <w:hyperlink w:anchor="_ENREF_323" w:tooltip="Thomas, 2002 #1272" w:history="1">
        <w:r w:rsidR="00950097" w:rsidRPr="009819CE">
          <w:rPr>
            <w:rFonts w:cstheme="minorBidi"/>
            <w:noProof/>
          </w:rPr>
          <w:t>Thomas et al., 2002</w:t>
        </w:r>
      </w:hyperlink>
      <w:r w:rsidR="00D50EFF" w:rsidRPr="009819CE">
        <w:rPr>
          <w:rFonts w:cstheme="minorBidi"/>
          <w:noProof/>
        </w:rPr>
        <w:t>)</w:t>
      </w:r>
      <w:r w:rsidRPr="009819CE">
        <w:rPr>
          <w:rFonts w:cstheme="minorBidi"/>
        </w:rPr>
        <w:fldChar w:fldCharType="end"/>
      </w:r>
      <w:r w:rsidRPr="009819CE">
        <w:rPr>
          <w:rFonts w:cstheme="minorBidi"/>
          <w:color w:val="000000"/>
        </w:rPr>
        <w:t xml:space="preserve">. </w:t>
      </w:r>
      <w:r w:rsidRPr="009819CE">
        <w:rPr>
          <w:rFonts w:cstheme="minorBidi"/>
        </w:rPr>
        <w:t xml:space="preserve">Such plasticity could be a virulence trait that provides valuable insights into the persistence of the parasite in the CSA </w:t>
      </w:r>
      <w:r w:rsidR="00C31E47" w:rsidRPr="009819CE">
        <w:rPr>
          <w:rFonts w:cstheme="minorBidi"/>
          <w:i/>
          <w:iCs/>
        </w:rPr>
        <w:t>Nephrops</w:t>
      </w:r>
      <w:r w:rsidRPr="009819CE">
        <w:rPr>
          <w:rFonts w:cstheme="minorBidi"/>
        </w:rPr>
        <w:t xml:space="preserve"> population.</w:t>
      </w:r>
    </w:p>
    <w:p w14:paraId="7442528B" w14:textId="4E90E46D" w:rsidR="006A0363" w:rsidRPr="009819CE" w:rsidRDefault="006A0363" w:rsidP="006A0363">
      <w:pPr>
        <w:ind w:left="-10"/>
        <w:rPr>
          <w:rFonts w:cstheme="minorBidi"/>
        </w:rPr>
      </w:pPr>
      <w:r w:rsidRPr="009819CE">
        <w:rPr>
          <w:rFonts w:cstheme="minorBidi"/>
        </w:rPr>
        <w:t xml:space="preserve">Sporulated individuals in this study were classified as stage 3 and 4 by PM, indicating that </w:t>
      </w:r>
      <w:r w:rsidR="00C31E47" w:rsidRPr="009819CE">
        <w:rPr>
          <w:rFonts w:cstheme="minorBidi"/>
          <w:i/>
          <w:iCs/>
        </w:rPr>
        <w:t>Nephrops</w:t>
      </w:r>
      <w:r w:rsidRPr="009819CE">
        <w:rPr>
          <w:rFonts w:cstheme="minorBidi"/>
        </w:rPr>
        <w:t xml:space="preserve"> can undergo sporulation without necessarily reaching stage 4 of infection based on the pleopod method. The macrospores were observed exiting the host through the gills in pulsating streams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007964AB" w:rsidRPr="009819CE">
        <w:rPr>
          <w:rFonts w:cstheme="minorBidi"/>
        </w:rPr>
        <w:t xml:space="preserve"> (see</w:t>
      </w:r>
      <w:r w:rsidR="00BA200E" w:rsidRPr="009819CE">
        <w:rPr>
          <w:rFonts w:cstheme="minorBidi"/>
        </w:rPr>
        <w:t xml:space="preserve"> </w:t>
      </w:r>
      <w:r w:rsidR="00DC1039" w:rsidRPr="009819CE">
        <w:rPr>
          <w:rFonts w:cstheme="minorBidi"/>
        </w:rPr>
        <w:t xml:space="preserve">video links in </w:t>
      </w:r>
      <w:r w:rsidR="00BA200E" w:rsidRPr="009819CE">
        <w:rPr>
          <w:rFonts w:cstheme="minorBidi"/>
        </w:rPr>
        <w:t xml:space="preserve">supplementary </w:t>
      </w:r>
      <w:r w:rsidR="00BA200E" w:rsidRPr="009819CE">
        <w:rPr>
          <w:rFonts w:cstheme="minorBidi"/>
        </w:rPr>
        <w:fldChar w:fldCharType="begin"/>
      </w:r>
      <w:r w:rsidR="00BA200E" w:rsidRPr="009819CE">
        <w:rPr>
          <w:rFonts w:cstheme="minorBidi"/>
        </w:rPr>
        <w:instrText xml:space="preserve"> REF _Ref171449816 \h </w:instrText>
      </w:r>
      <w:r w:rsidR="00D945D4">
        <w:rPr>
          <w:rFonts w:cstheme="minorBidi"/>
        </w:rPr>
        <w:instrText xml:space="preserve"> \* MERGEFORMAT </w:instrText>
      </w:r>
      <w:r w:rsidR="00BA200E" w:rsidRPr="009819CE">
        <w:rPr>
          <w:rFonts w:cstheme="minorBidi"/>
        </w:rPr>
      </w:r>
      <w:r w:rsidR="00BA200E" w:rsidRPr="009819CE">
        <w:rPr>
          <w:rFonts w:cstheme="minorBidi"/>
        </w:rPr>
        <w:fldChar w:fldCharType="separate"/>
      </w:r>
      <w:r w:rsidR="008549FC" w:rsidRPr="008549FC">
        <w:rPr>
          <w:b/>
          <w:bCs/>
          <w:highlight w:val="yellow"/>
        </w:rPr>
        <w:t>Table S4. 1</w:t>
      </w:r>
      <w:r w:rsidR="00BA200E" w:rsidRPr="009819CE">
        <w:rPr>
          <w:rFonts w:cstheme="minorBidi"/>
        </w:rPr>
        <w:fldChar w:fldCharType="end"/>
      </w:r>
      <w:r w:rsidR="00BA200E" w:rsidRPr="009819CE">
        <w:rPr>
          <w:rFonts w:cstheme="minorBidi"/>
        </w:rPr>
        <w:t>)</w:t>
      </w:r>
      <w:r w:rsidRPr="009819CE">
        <w:rPr>
          <w:rFonts w:cstheme="minorBidi"/>
        </w:rPr>
        <w:t xml:space="preserve">. Following sporulation, three of the hosts died within a few hours </w:t>
      </w:r>
      <w:r w:rsidRPr="009819CE">
        <w:rPr>
          <w:rFonts w:cstheme="minorBidi"/>
        </w:rPr>
        <w:fldChar w:fldCharType="begin">
          <w:fldData xml:space="preserve">PEVuZE5vdGU+PENpdGU+PEF1dGhvcj5CZWV2ZXJzPC9BdXRob3I+PFllYXI+MjAxMDwvWWVhcj48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</w:fldData>
        </w:fldChar>
      </w:r>
      <w:r w:rsidR="00EE7FB9">
        <w:rPr>
          <w:rFonts w:cstheme="minorBidi"/>
        </w:rPr>
        <w:instrText xml:space="preserve"> ADDIN EN.CITE </w:instrText>
      </w:r>
      <w:r w:rsidR="00EE7FB9">
        <w:rPr>
          <w:rFonts w:cstheme="minorBidi"/>
        </w:rPr>
        <w:fldChar w:fldCharType="begin">
          <w:fldData xml:space="preserve">PEVuZE5vdGU+PENpdGU+PEF1dGhvcj5CZWV2ZXJzPC9BdXRob3I+PFllYXI+MjAxMDwvWWVhcj48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Pr="009819CE">
        <w:rPr>
          <w:rFonts w:cstheme="minorBidi"/>
        </w:rPr>
      </w:r>
      <w:r w:rsidRPr="009819CE">
        <w:rPr>
          <w:rFonts w:cstheme="minorBidi"/>
        </w:rPr>
        <w:fldChar w:fldCharType="separate"/>
      </w:r>
      <w:r w:rsidR="00D50EFF" w:rsidRPr="00EE7FB9">
        <w:rPr>
          <w:rFonts w:cstheme="minorBidi"/>
          <w:noProof/>
        </w:rPr>
        <w:t>(</w:t>
      </w:r>
      <w:hyperlink w:anchor="_ENREF_28" w:tooltip="Beevers, 2010 #247" w:history="1">
        <w:r w:rsidR="00950097" w:rsidRPr="00EE7FB9">
          <w:rPr>
            <w:rFonts w:cstheme="minorBidi"/>
            <w:noProof/>
          </w:rPr>
          <w:t>Beevers, 2010</w:t>
        </w:r>
      </w:hyperlink>
      <w:r w:rsidR="00D50EFF" w:rsidRPr="00EE7FB9">
        <w:rPr>
          <w:rFonts w:cstheme="minorBidi"/>
          <w:noProof/>
        </w:rPr>
        <w:t xml:space="preserve">; </w:t>
      </w:r>
      <w:hyperlink w:anchor="_ENREF_200" w:tooltip="Love, 1993 #356" w:history="1">
        <w:r w:rsidR="00950097" w:rsidRPr="00EE7FB9">
          <w:rPr>
            <w:rFonts w:cstheme="minorBidi"/>
            <w:noProof/>
          </w:rPr>
          <w:t>Love et al., 1993</w:t>
        </w:r>
      </w:hyperlink>
      <w:r w:rsidR="00D50EFF" w:rsidRPr="00EE7FB9">
        <w:rPr>
          <w:rFonts w:cstheme="minorBidi"/>
          <w:noProof/>
        </w:rPr>
        <w:t>)</w:t>
      </w:r>
      <w:r w:rsidRPr="009819CE">
        <w:rPr>
          <w:rFonts w:cstheme="minorBidi"/>
        </w:rPr>
        <w:fldChar w:fldCharType="end"/>
      </w:r>
      <w:r w:rsidRPr="009819CE">
        <w:rPr>
          <w:rFonts w:cstheme="minorBidi"/>
        </w:rPr>
        <w:t xml:space="preserve">. However, one individual survived for more than 24 hours after sporulation before it was euthanized. This finding suggests the possibility of survival and recovery in some individuals following sporulation. However, it is </w:t>
      </w:r>
      <w:r w:rsidR="007F5D17" w:rsidRPr="009819CE">
        <w:rPr>
          <w:rFonts w:cstheme="minorBidi"/>
        </w:rPr>
        <w:t xml:space="preserve">important </w:t>
      </w:r>
      <w:r w:rsidRPr="009819CE">
        <w:rPr>
          <w:rFonts w:cstheme="minorBidi"/>
        </w:rPr>
        <w:t xml:space="preserve">to note that such instances might be rare due to the substantial tissue structural damage that takes place during parasite proliferation and the subsequent sporulation process. During sporulation animals remained lethargic but responsive near the aerator, possibly seeking oxygen to meet the increased metabolic demands exerted by the parasites </w:t>
      </w:r>
      <w:r w:rsidRPr="009819CE">
        <w:rPr>
          <w:rFonts w:cstheme="minorBidi"/>
        </w:rPr>
        <w:fldChar w:fldCharType="begin"/>
      </w:r>
      <w:r w:rsidR="00D50EFF" w:rsidRPr="009819CE">
        <w:rPr>
          <w:rFonts w:cstheme="minorBidi"/>
        </w:rPr>
        <w:instrText xml:space="preserve"> ADDIN EN.CITE &lt;EndNote&gt;&lt;Cite&gt;&lt;Author&gt;Taylor&lt;/Author&gt;&lt;Year&gt;1996&lt;/Year&gt;&lt;RecNum&gt;353&lt;/RecNum&gt;&lt;DisplayText&gt;(Taylor et al., 1996)&lt;/DisplayText&gt;&lt;record&gt;&lt;rec-number&gt;353&lt;/rec-number&gt;&lt;foreign-keys&gt;&lt;key app="EN" db-id="sd9wrx9fj09rx3erprsx999o0r5aprvp2zse" timestamp="1687855901" guid="dddd3ecc-ca9d-4e59-b19c-651cf1f092a6"&gt;353&lt;/key&gt;&lt;/foreign-keys&gt;&lt;ref-type name="Journal Article"&gt;17&lt;/ref-type&gt;&lt;contributors&gt;&lt;authors&gt;&lt;author&gt;Taylor, A. C.&lt;/author&gt;&lt;author&gt;Field, Robert Henry&lt;/author&gt;&lt;author&gt;Parslow-Williams, P. J.&lt;/author&gt;&lt;/authors&gt;&lt;/contributors&gt;&lt;titles&gt;&lt;title&gt;&lt;style face="normal" font="default" size="100%"&gt;The effects of &lt;/style&gt;&lt;style face="italic" font="default" size="100%"&gt;Hematodinium&lt;/style&gt;&lt;style face="normal" font="default" size="100%"&gt; sp.-infection on aspects of the respiratory physiology of the Norway lobster, &lt;/style&gt;&lt;style face="italic" font="default" size="100%"&gt;Nephrops norvegicus&lt;/style&gt;&lt;style face="normal" font="default" size="100%"&gt; (L.)&lt;/style&gt;&lt;/title&gt;&lt;secondary-title&gt;Journal of Experimental Marine Biology and Ecology&lt;/secondary-title&gt;&lt;/titles&gt;&lt;periodical&gt;&lt;full-title&gt;Journal of Experimental Marine Biology and Ecology&lt;/full-title&gt;&lt;/periodical&gt;&lt;pages&gt;217-228&lt;/pages&gt;&lt;volume&gt;207&lt;/volume&gt;&lt;number&gt;1-2&lt;/number&gt;&lt;keywords&gt;&lt;keyword&gt;Crustacea&lt;/keyword&gt;&lt;keyword&gt;Decapoda&lt;/keyword&gt;&lt;keyword&gt;Hematodinium&lt;/keyword&gt;&lt;keyword&gt;Hemocyanin&lt;/keyword&gt;&lt;keyword&gt;Nephrops norvegicus&lt;/keyword&gt;&lt;keyword&gt;Respiration&lt;/keyword&gt;&lt;/keywords&gt;&lt;dates&gt;&lt;year&gt;1996&lt;/year&gt;&lt;pub-dates&gt;&lt;date&gt;1996/12//&lt;/date&gt;&lt;/pub-dates&gt;&lt;/dates&gt;&lt;isbn&gt;0022-0981&lt;/isbn&gt;&lt;urls&gt;&lt;related-urls&gt;&lt;url&gt;https://doi.org/10.1016/S0022-0981(96)02649-4&lt;/url&gt;&lt;/related-urls&gt;&lt;/urls&gt;&lt;electronic-resource-num&gt;10.1016/S0022-0981(96)02649-4&lt;/electronic-resource-num&gt;&lt;/record&gt;&lt;/Cite&gt;&lt;/EndNote&gt;</w:instrText>
      </w:r>
      <w:r w:rsidRPr="009819CE">
        <w:rPr>
          <w:rFonts w:cstheme="minorBidi"/>
        </w:rPr>
        <w:fldChar w:fldCharType="separate"/>
      </w:r>
      <w:r w:rsidR="00D50EFF" w:rsidRPr="009819CE">
        <w:rPr>
          <w:rFonts w:cstheme="minorBidi"/>
        </w:rPr>
        <w:t>(</w:t>
      </w:r>
      <w:hyperlink w:anchor="_ENREF_321" w:tooltip="Taylor, 1996 #353" w:history="1">
        <w:r w:rsidR="00950097" w:rsidRPr="009819CE">
          <w:rPr>
            <w:rFonts w:cstheme="minorBidi"/>
          </w:rPr>
          <w:t>Taylor et al., 1996</w:t>
        </w:r>
      </w:hyperlink>
      <w:r w:rsidR="00D50EFF" w:rsidRPr="009819CE">
        <w:rPr>
          <w:rFonts w:cstheme="minorBidi"/>
        </w:rPr>
        <w:t>)</w:t>
      </w:r>
      <w:r w:rsidRPr="009819CE">
        <w:rPr>
          <w:rFonts w:cstheme="minorBidi"/>
        </w:rPr>
        <w:fldChar w:fldCharType="end"/>
      </w:r>
      <w:r w:rsidRPr="009819CE">
        <w:rPr>
          <w:rFonts w:cstheme="minorBidi"/>
        </w:rPr>
        <w:t xml:space="preserve">. This observation aligns with previous reports indicating that infected animals spend more time outside their burrows </w:t>
      </w:r>
      <w:r w:rsidRPr="009819CE">
        <w:rPr>
          <w:rFonts w:cstheme="minorBidi"/>
        </w:rPr>
        <w:fldChar w:fldCharType="begin"/>
      </w:r>
      <w:r w:rsidR="00D50EFF" w:rsidRPr="009819CE">
        <w:rPr>
          <w:rFonts w:cstheme="minorBidi"/>
        </w:rPr>
        <w:instrText xml:space="preserve"> ADDIN EN.CITE &lt;EndNote&gt;&lt;Cite&gt;&lt;Author&gt;Stentiford&lt;/Author&gt;&lt;Year&gt;2001&lt;/Year&gt;&lt;RecNum&gt;362&lt;/RecNum&gt;&lt;DisplayText&gt;(Stentiford et al., 2001c)&lt;/DisplayText&gt;&lt;record&gt;&lt;rec-number&gt;362&lt;/rec-number&gt;&lt;foreign-keys&gt;&lt;key app="EN" db-id="sd9wrx9fj09rx3erprsx999o0r5aprvp2zse" timestamp="1687855901" guid="61cc2393-dfcc-431c-a92c-2419de2c720a"&gt;362&lt;/key&gt;&lt;/foreign-keys&gt;&lt;ref-type name="Journal Article"&gt;17&lt;/ref-type&gt;&lt;contributors&gt;&lt;authors&gt;&lt;author&gt;Stentiford, Grant D.&lt;/author&gt;&lt;author&gt;Neil, Douglas M.&lt;/author&gt;&lt;author&gt;Atkinson, Robert James A.&lt;/author&gt;&lt;/authors&gt;&lt;/contributors&gt;&lt;titles&gt;&lt;title&gt;&lt;style face="normal" font="default" size="100%"&gt;Alteration of burrow</w:instrText>
      </w:r>
      <w:r w:rsidR="00D50EFF" w:rsidRPr="009819CE">
        <w:rPr>
          <w:rFonts w:ascii="Cambria Math" w:hAnsi="Cambria Math" w:cs="Cambria Math"/>
        </w:rPr>
        <w:instrText>‐</w:instrText>
      </w:r>
      <w:r w:rsidR="00D50EFF" w:rsidRPr="009819CE">
        <w:rPr>
          <w:rFonts w:cstheme="minorBidi"/>
        </w:rPr>
        <w:instrText>related behaviour of the Norway lobster, &lt;/style&gt;&lt;style face="italic" font="default" size="100%"&gt;Nephrops norvegicus &lt;/style&gt;&lt;style face="normal" font="default" size="100%"&gt;during infection by the parasitic dinoflagellate &lt;/style&gt;&lt;style face="italic" font="default" size="100%"&gt;Hematodinium&lt;/style&gt;&lt;/title&gt;&lt;secondary-title&gt;Marine and Freshwater Behaviour and Physiology&lt;/secondary-title&gt;&lt;/titles&gt;&lt;periodical&gt;&lt;full-title&gt;Marine and Freshwater Behaviour and Physiology&lt;/full-title&gt;&lt;/periodical&gt;&lt;pages&gt;139-156&lt;/pages&gt;&lt;volume&gt;34&lt;/volume&gt;&lt;number&gt;3&lt;/number&gt;&lt;keywords&gt;&lt;keyword&gt;Behaviour&lt;/keyword&gt;&lt;keyword&gt;Dinoflagellate&lt;/keyword&gt;&lt;keyword&gt;Hematodinium&lt;/keyword&gt;&lt;keyword&gt;Lobster&lt;/keyword&gt;&lt;keyword&gt;Nephrops&lt;/keyword&gt;&lt;keyword&gt;Parasite&lt;/keyword&gt;&lt;/keywords&gt;&lt;dates&gt;&lt;year&gt;2001&lt;/year&gt;&lt;pub-dates&gt;&lt;date&gt;2001/2//&lt;/date&gt;&lt;/pub-dates&gt;&lt;/dates&gt;&lt;urls&gt;&lt;related-urls&gt;&lt;url&gt;http://www.tandfonline.com/doi/abs/10.1080/10236240109379068&lt;/url&gt;&lt;/related-urls&gt;&lt;/urls&gt;&lt;electronic-resource-num&gt;10.1080/10236240109379068&lt;/electronic-resource-num&gt;&lt;/record&gt;&lt;/Cite&gt;&lt;/EndNote&gt;</w:instrText>
      </w:r>
      <w:r w:rsidRPr="009819CE">
        <w:rPr>
          <w:rFonts w:cstheme="minorBidi"/>
        </w:rPr>
        <w:fldChar w:fldCharType="separate"/>
      </w:r>
      <w:r w:rsidR="00D50EFF" w:rsidRPr="009819CE">
        <w:rPr>
          <w:rFonts w:cstheme="minorBidi"/>
        </w:rPr>
        <w:t>(</w:t>
      </w:r>
      <w:hyperlink w:anchor="_ENREF_306" w:tooltip="Stentiford, 2001 #362" w:history="1">
        <w:r w:rsidR="00950097" w:rsidRPr="009819CE">
          <w:rPr>
            <w:rFonts w:cstheme="minorBidi"/>
          </w:rPr>
          <w:t>Stentiford et al., 2001c</w:t>
        </w:r>
      </w:hyperlink>
      <w:r w:rsidR="00D50EFF" w:rsidRPr="009819CE">
        <w:rPr>
          <w:rFonts w:cstheme="minorBidi"/>
        </w:rPr>
        <w:t>)</w:t>
      </w:r>
      <w:r w:rsidRPr="009819CE">
        <w:rPr>
          <w:rFonts w:cstheme="minorBidi"/>
        </w:rPr>
        <w:fldChar w:fldCharType="end"/>
      </w:r>
      <w:r w:rsidRPr="009819CE">
        <w:rPr>
          <w:rFonts w:cstheme="minorBidi"/>
        </w:rPr>
        <w:t xml:space="preserve"> where there is a higher oxygen flow, likely compensating for the increased demands imposed by the parasites in the host.</w:t>
      </w:r>
    </w:p>
    <w:p w14:paraId="2F6586A6" w14:textId="3AC3C17B" w:rsidR="006A0363" w:rsidRPr="009819CE" w:rsidRDefault="009D03F4" w:rsidP="006A0363">
      <w:pPr>
        <w:ind w:left="-10"/>
        <w:rPr>
          <w:rFonts w:cstheme="minorBidi"/>
        </w:rPr>
      </w:pPr>
      <w:r w:rsidRPr="009819CE">
        <w:rPr>
          <w:rFonts w:cstheme="minorBidi"/>
          <w:i/>
          <w:color w:val="07061D"/>
          <w:spacing w:val="2"/>
        </w:rPr>
        <w:t>Hematodinium</w:t>
      </w:r>
      <w:r w:rsidR="006A0363" w:rsidRPr="009819CE">
        <w:rPr>
          <w:rFonts w:cstheme="minorBidi"/>
          <w:color w:val="07061D"/>
          <w:spacing w:val="2"/>
        </w:rPr>
        <w:t xml:space="preserve"> trophonts and macrospores exhibited certain resemblances, but they also demonstrated differences as observed in electron microscopy (EM) studies </w:t>
      </w:r>
      <w:r w:rsidR="006A0363" w:rsidRPr="009819CE">
        <w:rPr>
          <w:rFonts w:cstheme="minorBidi"/>
        </w:rPr>
        <w:fldChar w:fldCharType="begin">
          <w:fldData xml:space="preserve">PEVuZE5vdGU+PENpdGU+PEF1dGhvcj5BcHBsZXRvbjwvQXV0aG9yPjxZZWFyPjE5OTY8L1llYXI+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</w:fldData>
        </w:fldChar>
      </w:r>
      <w:r w:rsidR="005F31D5">
        <w:rPr>
          <w:rFonts w:cstheme="minorBidi"/>
        </w:rPr>
        <w:instrText xml:space="preserve"> ADDIN EN.CITE </w:instrText>
      </w:r>
      <w:r w:rsidR="005F31D5">
        <w:rPr>
          <w:rFonts w:cstheme="minorBidi"/>
        </w:rPr>
        <w:fldChar w:fldCharType="begin">
          <w:fldData xml:space="preserve">PEVuZE5vdGU+PENpdGU+PEF1dGhvcj5BcHBsZXRvbjwvQXV0aG9yPjxZZWFyPjE5OTY8L1llYXI+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</w:fldData>
        </w:fldChar>
      </w:r>
      <w:r w:rsidR="005F31D5">
        <w:rPr>
          <w:rFonts w:cstheme="minorBidi"/>
        </w:rPr>
        <w:instrText xml:space="preserve"> ADDIN EN.CITE.DATA </w:instrText>
      </w:r>
      <w:r w:rsidR="005F31D5">
        <w:rPr>
          <w:rFonts w:cstheme="minorBidi"/>
        </w:rPr>
      </w:r>
      <w:r w:rsidR="005F31D5">
        <w:rPr>
          <w:rFonts w:cstheme="minorBidi"/>
        </w:rPr>
        <w:fldChar w:fldCharType="end"/>
      </w:r>
      <w:r w:rsidR="006A0363" w:rsidRPr="009819CE">
        <w:rPr>
          <w:rFonts w:cstheme="minorBidi"/>
        </w:rPr>
      </w:r>
      <w:r w:rsidR="006A0363" w:rsidRPr="009819CE">
        <w:rPr>
          <w:rFonts w:cstheme="minorBidi"/>
        </w:rPr>
        <w:fldChar w:fldCharType="separate"/>
      </w:r>
      <w:r w:rsidR="00A8698B" w:rsidRPr="005F31D5">
        <w:rPr>
          <w:rFonts w:cstheme="minorBidi"/>
          <w:noProof/>
        </w:rPr>
        <w:t>(</w:t>
      </w:r>
      <w:hyperlink w:anchor="_ENREF_16" w:tooltip="Appleton, 1996 #108" w:history="1">
        <w:r w:rsidR="00950097" w:rsidRPr="005F31D5">
          <w:rPr>
            <w:rFonts w:cstheme="minorBidi"/>
            <w:noProof/>
          </w:rPr>
          <w:t>Appleton, 1996</w:t>
        </w:r>
      </w:hyperlink>
      <w:r w:rsidR="00A8698B" w:rsidRPr="005F31D5">
        <w:rPr>
          <w:rFonts w:cstheme="minorBidi"/>
          <w:noProof/>
        </w:rPr>
        <w:t xml:space="preserve">; </w:t>
      </w:r>
      <w:hyperlink w:anchor="_ENREF_18" w:tooltip="Appleton, 1998 #373" w:history="1">
        <w:r w:rsidR="00950097" w:rsidRPr="005F31D5">
          <w:rPr>
            <w:rFonts w:cstheme="minorBidi"/>
            <w:noProof/>
          </w:rPr>
          <w:t>Appleton and Vickerman, 1998</w:t>
        </w:r>
      </w:hyperlink>
      <w:r w:rsidR="00A8698B" w:rsidRPr="005F31D5">
        <w:rPr>
          <w:rFonts w:cstheme="minorBidi"/>
          <w:noProof/>
        </w:rPr>
        <w:t xml:space="preserve">; </w:t>
      </w:r>
      <w:hyperlink w:anchor="_ENREF_28" w:tooltip="Beevers, 2010 #247" w:history="1">
        <w:r w:rsidR="00950097" w:rsidRPr="005F31D5">
          <w:rPr>
            <w:rFonts w:cstheme="minorBidi"/>
            <w:noProof/>
          </w:rPr>
          <w:t>Beevers, 2010</w:t>
        </w:r>
      </w:hyperlink>
      <w:r w:rsidR="00A8698B" w:rsidRPr="005F31D5">
        <w:rPr>
          <w:rFonts w:cstheme="minorBidi"/>
          <w:noProof/>
        </w:rPr>
        <w:t>)</w:t>
      </w:r>
      <w:r w:rsidR="006A0363" w:rsidRPr="009819CE">
        <w:rPr>
          <w:rFonts w:cstheme="minorBidi"/>
        </w:rPr>
        <w:fldChar w:fldCharType="end"/>
      </w:r>
      <w:r w:rsidR="006A0363" w:rsidRPr="009819CE">
        <w:rPr>
          <w:rFonts w:cstheme="minorBidi"/>
          <w:i/>
          <w:iCs/>
        </w:rPr>
        <w:t xml:space="preserve">. </w:t>
      </w:r>
      <w:r w:rsidR="006A0363" w:rsidRPr="009819CE">
        <w:rPr>
          <w:rFonts w:cstheme="minorBidi"/>
          <w:color w:val="07061D"/>
          <w:spacing w:val="2"/>
        </w:rPr>
        <w:t xml:space="preserve">In advanced stages of infection, trophonts displayed more polynucleated and elongated shapes, whereas macrospores contained only one nucleus and exhibited flagellar hair vesicles. </w:t>
      </w:r>
      <w:r w:rsidR="006A0363" w:rsidRPr="009819CE">
        <w:rPr>
          <w:rFonts w:cstheme="minorBidi"/>
        </w:rPr>
        <w:t xml:space="preserve">Lipid droplets were abundant in both macrospores and vegetative trophonts of </w:t>
      </w:r>
      <w:r w:rsidRPr="009819CE">
        <w:rPr>
          <w:rFonts w:cstheme="minorBidi"/>
          <w:i/>
          <w:iCs/>
        </w:rPr>
        <w:t>Hematodinium</w:t>
      </w:r>
      <w:r w:rsidR="006A0363" w:rsidRPr="009819CE">
        <w:rPr>
          <w:rFonts w:cstheme="minorBidi"/>
        </w:rPr>
        <w:t xml:space="preserve"> sp., however</w:t>
      </w:r>
      <w:r w:rsidR="006A0363" w:rsidRPr="009819CE">
        <w:rPr>
          <w:rFonts w:cstheme="minorBidi"/>
          <w:color w:val="07061D"/>
          <w:spacing w:val="2"/>
        </w:rPr>
        <w:t xml:space="preserve">, the size of the lipid droplets in macrospores were larger. </w:t>
      </w:r>
    </w:p>
    <w:p w14:paraId="64EB545C" w14:textId="54D299AC" w:rsidR="006A0363" w:rsidRPr="009819CE" w:rsidRDefault="006A0363" w:rsidP="006A0363">
      <w:pPr>
        <w:ind w:left="-10"/>
        <w:rPr>
          <w:rFonts w:cstheme="minorBidi"/>
        </w:rPr>
      </w:pPr>
      <w:r w:rsidRPr="009819CE">
        <w:rPr>
          <w:rFonts w:cstheme="minorBidi"/>
        </w:rPr>
        <w:t xml:space="preserve">The process of sporulation in </w:t>
      </w:r>
      <w:r w:rsidR="00C31E47" w:rsidRPr="009819CE">
        <w:rPr>
          <w:rFonts w:cstheme="minorBidi"/>
          <w:i/>
          <w:iCs/>
        </w:rPr>
        <w:t>Nephrops</w:t>
      </w:r>
      <w:r w:rsidRPr="009819CE">
        <w:rPr>
          <w:rFonts w:cstheme="minorBidi"/>
          <w:i/>
          <w:iCs/>
        </w:rPr>
        <w:t xml:space="preserve"> </w:t>
      </w:r>
      <w:r w:rsidRPr="009819CE">
        <w:rPr>
          <w:rFonts w:cstheme="minorBidi"/>
        </w:rPr>
        <w:t xml:space="preserve">resulted in nearly complete evacuation of </w:t>
      </w:r>
      <w:r w:rsidR="009D03F4" w:rsidRPr="009819CE">
        <w:rPr>
          <w:rFonts w:cstheme="minorBidi"/>
          <w:i/>
          <w:iCs/>
        </w:rPr>
        <w:t>Hematodinium</w:t>
      </w:r>
      <w:r w:rsidRPr="009819CE">
        <w:rPr>
          <w:rFonts w:cstheme="minorBidi"/>
        </w:rPr>
        <w:t xml:space="preserve"> sp. parasites and heavy tissue disruption, leaving behind some residual parasite cells, primarily mononucleated ameboid trophonts </w:t>
      </w:r>
      <w:r w:rsidRPr="009819CE">
        <w:rPr>
          <w:rFonts w:cstheme="minorBidi"/>
        </w:rPr>
        <w:fldChar w:fldCharType="begin">
          <w:fldData xml:space="preserve">PEVuZE5vdGU+PENpdGU+PEF1dGhvcj5BcHBsZXRvbjwvQXV0aG9yPjxZZWFyPjE5OTg8L1llYXI+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</w:fldData>
        </w:fldChar>
      </w:r>
      <w:r w:rsidR="005F31D5">
        <w:rPr>
          <w:rFonts w:cstheme="minorBidi"/>
        </w:rPr>
        <w:instrText xml:space="preserve"> ADDIN EN.CITE </w:instrText>
      </w:r>
      <w:r w:rsidR="005F31D5">
        <w:rPr>
          <w:rFonts w:cstheme="minorBidi"/>
        </w:rPr>
        <w:fldChar w:fldCharType="begin">
          <w:fldData xml:space="preserve">PEVuZE5vdGU+PENpdGU+PEF1dGhvcj5BcHBsZXRvbjwvQXV0aG9yPjxZZWFyPjE5OTg8L1llYXI+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</w:fldData>
        </w:fldChar>
      </w:r>
      <w:r w:rsidR="005F31D5">
        <w:rPr>
          <w:rFonts w:cstheme="minorBidi"/>
        </w:rPr>
        <w:instrText xml:space="preserve"> ADDIN EN.CITE.DATA </w:instrText>
      </w:r>
      <w:r w:rsidR="005F31D5">
        <w:rPr>
          <w:rFonts w:cstheme="minorBidi"/>
        </w:rPr>
      </w:r>
      <w:r w:rsidR="005F31D5">
        <w:rPr>
          <w:rFonts w:cstheme="minorBidi"/>
        </w:rPr>
        <w:fldChar w:fldCharType="end"/>
      </w:r>
      <w:r w:rsidRPr="009819CE">
        <w:rPr>
          <w:rFonts w:cstheme="minorBidi"/>
        </w:rPr>
      </w:r>
      <w:r w:rsidRPr="009819CE">
        <w:rPr>
          <w:rFonts w:cstheme="minorBidi"/>
        </w:rPr>
        <w:fldChar w:fldCharType="separate"/>
      </w:r>
      <w:r w:rsidR="00A8698B" w:rsidRPr="005F31D5">
        <w:rPr>
          <w:rFonts w:cstheme="minorBidi"/>
          <w:noProof/>
        </w:rPr>
        <w:t>(</w:t>
      </w:r>
      <w:hyperlink w:anchor="_ENREF_16" w:tooltip="Appleton, 1996 #108" w:history="1">
        <w:r w:rsidR="00950097" w:rsidRPr="005F31D5">
          <w:rPr>
            <w:rFonts w:cstheme="minorBidi"/>
            <w:noProof/>
          </w:rPr>
          <w:t>Appleton, 1996</w:t>
        </w:r>
      </w:hyperlink>
      <w:r w:rsidR="00A8698B" w:rsidRPr="005F31D5">
        <w:rPr>
          <w:rFonts w:cstheme="minorBidi"/>
          <w:noProof/>
        </w:rPr>
        <w:t xml:space="preserve">; </w:t>
      </w:r>
      <w:hyperlink w:anchor="_ENREF_18" w:tooltip="Appleton, 1998 #373" w:history="1">
        <w:r w:rsidR="00950097" w:rsidRPr="005F31D5">
          <w:rPr>
            <w:rFonts w:cstheme="minorBidi"/>
            <w:noProof/>
          </w:rPr>
          <w:t>Appleton and Vickerman, 1998</w:t>
        </w:r>
      </w:hyperlink>
      <w:r w:rsidR="00A8698B" w:rsidRPr="005F31D5">
        <w:rPr>
          <w:rFonts w:cstheme="minorBidi"/>
          <w:noProof/>
        </w:rPr>
        <w:t xml:space="preserve">; </w:t>
      </w:r>
      <w:hyperlink w:anchor="_ENREF_28" w:tooltip="Beevers, 2010 #247" w:history="1">
        <w:r w:rsidR="00950097" w:rsidRPr="005F31D5">
          <w:rPr>
            <w:rFonts w:cstheme="minorBidi"/>
            <w:noProof/>
          </w:rPr>
          <w:t>Beevers, 2010</w:t>
        </w:r>
      </w:hyperlink>
      <w:r w:rsidR="00A8698B" w:rsidRPr="005F31D5">
        <w:rPr>
          <w:rFonts w:cstheme="minorBidi"/>
          <w:noProof/>
        </w:rPr>
        <w:t>)</w:t>
      </w:r>
      <w:r w:rsidRPr="009819CE">
        <w:rPr>
          <w:rFonts w:cstheme="minorBidi"/>
        </w:rPr>
        <w:fldChar w:fldCharType="end"/>
      </w:r>
      <w:r w:rsidRPr="009819CE">
        <w:rPr>
          <w:rFonts w:cstheme="minorBidi"/>
        </w:rPr>
        <w:t xml:space="preserve">. No macrospores were observed within the tissue samples </w:t>
      </w:r>
      <w:r w:rsidRPr="009819CE">
        <w:rPr>
          <w:rFonts w:cstheme="minorBidi"/>
        </w:rPr>
        <w:fldChar w:fldCharType="begin"/>
      </w:r>
      <w:r w:rsidR="00A8698B" w:rsidRPr="009819CE">
        <w:rPr>
          <w:rFonts w:cstheme="minorBidi"/>
        </w:rPr>
        <w:instrText xml:space="preserve"> ADDIN EN.CITE &lt;EndNote&gt;&lt;Cite&gt;&lt;Author&gt;Appleton&lt;/Author&gt;&lt;Year&gt;1998&lt;/Year&gt;&lt;RecNum&gt;373&lt;/RecNum&gt;&lt;DisplayText&gt;(Appleton and Vickerman, 1998)&lt;/DisplayText&gt;&lt;record&gt;&lt;rec-number&gt;373&lt;/rec-number&gt;&lt;foreign-keys&gt;&lt;key app="EN" db-id="sd9wrx9fj09rx3erprsx999o0r5aprvp2zse" timestamp="1687855901" guid="3788cc43-9d28-4d27-975b-30943a030cea"&gt;373&lt;/key&gt;&lt;/foreign-keys&gt;&lt;ref-type name="Journal Article"&gt;17&lt;/ref-type&gt;&lt;contributors&gt;&lt;authors&gt;&lt;author&gt;Appleton, Paul Lauwrance&lt;/author&gt;&lt;author&gt;Vickerman, Keith&lt;/author&gt;&lt;/authors&gt;&lt;/contributors&gt;&lt;titles&gt;&lt;title&gt;&lt;style face="italic" font="default" size="100%"&gt;In vitro &lt;/style&gt;&lt;style face="normal" font="default" size="100%"&gt;cultivation and developmental cycle in culture of a parasitic dinoflagellate (&lt;/style&gt;&lt;style face="italic" font="default" size="100%"&gt;Hematodinium&lt;/style&gt;&lt;style face="normal" font="default" size="100%"&gt; sp.) associated with mortality of the Norway lobster (&lt;/style&gt;&lt;style face="italic" font="default" size="100%"&gt;Nephrops norvegicus&lt;/style&gt;&lt;style face="normal" font="default" size="100%"&gt;) in British waters&lt;/style&gt;&lt;/title&gt;&lt;secondary-title&gt;Parasitology&lt;/secondary-title&gt;&lt;/titles&gt;&lt;periodical&gt;&lt;full-title&gt;Parasitology&lt;/full-title&gt;&lt;/periodical&gt;&lt;pages&gt;115-130&lt;/pages&gt;&lt;volume&gt;116&lt;/volume&gt;&lt;number&gt;2&lt;/number&gt;&lt;keywords&gt;&lt;keyword&gt;Developmental cycle&lt;/keyword&gt;&lt;keyword&gt;Dinoflagellate&lt;/keyword&gt;&lt;keyword&gt;Hematodinium sp.&lt;/keyword&gt;&lt;keyword&gt;In vitro culture&lt;/keyword&gt;&lt;keyword&gt;Nephrops norvegicus&lt;/keyword&gt;&lt;keyword&gt;Syndinea&lt;/keyword&gt;&lt;/keywords&gt;&lt;dates&gt;&lt;year&gt;1998&lt;/year&gt;&lt;pub-dates&gt;&lt;date&gt;1998/2//&lt;/date&gt;&lt;/pub-dates&gt;&lt;/dates&gt;&lt;isbn&gt;0031182097&lt;/isbn&gt;&lt;urls&gt;&lt;related-urls&gt;&lt;url&gt;https://www.cambridge.org/core/product/identifier/S0031182097002096/type/journal_article&lt;/url&gt;&lt;/related-urls&gt;&lt;/urls&gt;&lt;electronic-resource-num&gt;10.1017/S0031182097002096&lt;/electronic-resource-num&gt;&lt;/record&gt;&lt;/Cite&gt;&lt;/EndNote&gt;</w:instrText>
      </w:r>
      <w:r w:rsidRPr="009819CE">
        <w:rPr>
          <w:rFonts w:cstheme="minorBidi"/>
        </w:rPr>
        <w:fldChar w:fldCharType="separate"/>
      </w:r>
      <w:r w:rsidR="00A8698B" w:rsidRPr="009819CE">
        <w:rPr>
          <w:rFonts w:cstheme="minorBidi"/>
        </w:rPr>
        <w:t>(</w:t>
      </w:r>
      <w:hyperlink w:anchor="_ENREF_18" w:tooltip="Appleton, 1998 #373" w:history="1">
        <w:r w:rsidR="00950097" w:rsidRPr="009819CE">
          <w:rPr>
            <w:rFonts w:cstheme="minorBidi"/>
          </w:rPr>
          <w:t>Appleton and Vickerman, 1998</w:t>
        </w:r>
      </w:hyperlink>
      <w:r w:rsidR="00A8698B" w:rsidRPr="009819CE">
        <w:rPr>
          <w:rFonts w:cstheme="minorBidi"/>
        </w:rPr>
        <w:t>)</w:t>
      </w:r>
      <w:r w:rsidRPr="009819CE">
        <w:rPr>
          <w:rFonts w:cstheme="minorBidi"/>
        </w:rPr>
        <w:fldChar w:fldCharType="end"/>
      </w:r>
      <w:r w:rsidRPr="009819CE">
        <w:rPr>
          <w:rFonts w:cstheme="minorBidi"/>
        </w:rPr>
        <w:t>.</w:t>
      </w:r>
      <w:r w:rsidRPr="009819CE">
        <w:rPr>
          <w:rFonts w:cstheme="minorBidi"/>
          <w:color w:val="000000"/>
        </w:rPr>
        <w:t xml:space="preserve"> </w:t>
      </w:r>
      <w:r w:rsidR="00D1692A" w:rsidRPr="00FA7D47">
        <w:t>Although the specific triggers of sporulation and the mechanisms of spore release remain unclear, the synchronized timing of sporulation across the host suggests that parasite cells respond to shared environmental cues or host signals. Understanding the processes behind this coordination could offer valuable insights and open new avenues for future research.</w:t>
      </w:r>
    </w:p>
    <w:p w14:paraId="128A6FCB" w14:textId="77777777" w:rsidR="006A0363" w:rsidRPr="009819CE" w:rsidRDefault="006A0363" w:rsidP="00B3468E">
      <w:pPr>
        <w:pStyle w:val="Heading2"/>
        <w:rPr>
          <w:rFonts w:cstheme="minorBidi"/>
        </w:rPr>
      </w:pPr>
      <w:bookmarkStart w:id="396" w:name="_Toc204106682"/>
      <w:r w:rsidRPr="009819CE">
        <w:rPr>
          <w:rFonts w:cstheme="minorBidi"/>
        </w:rPr>
        <w:t>Conclusions</w:t>
      </w:r>
      <w:bookmarkEnd w:id="396"/>
    </w:p>
    <w:p w14:paraId="1E9E5C05" w14:textId="7798A55D" w:rsidR="006A6E81" w:rsidRPr="009819CE" w:rsidRDefault="00B40C76" w:rsidP="00B40C76">
      <w:pPr>
        <w:rPr>
          <w:rFonts w:cstheme="minorBidi"/>
        </w:rPr>
        <w:sectPr w:rsidR="006A6E81" w:rsidRPr="009819CE" w:rsidSect="003A7A28">
          <w:headerReference w:type="default" r:id="rId123"/>
          <w:pgSz w:w="11900" w:h="16840"/>
          <w:pgMar w:top="1440" w:right="1440" w:bottom="1440" w:left="1440" w:header="720" w:footer="720" w:gutter="0"/>
          <w:cols w:space="720"/>
          <w:docGrid w:linePitch="360"/>
        </w:sectPr>
      </w:pPr>
      <w:r w:rsidRPr="009819CE">
        <w:rPr>
          <w:rFonts w:cstheme="minorBidi"/>
        </w:rPr>
        <w:t xml:space="preserve">The high similarity in fatty acid composition and lipid class profiles between the host and parasite suggests that </w:t>
      </w:r>
      <w:r w:rsidR="009D03F4" w:rsidRPr="009819CE">
        <w:rPr>
          <w:rFonts w:cstheme="minorBidi"/>
          <w:i/>
          <w:iCs/>
        </w:rPr>
        <w:t>Hematodinium</w:t>
      </w:r>
      <w:r w:rsidRPr="009819CE">
        <w:rPr>
          <w:rFonts w:cstheme="minorBidi"/>
        </w:rPr>
        <w:t xml:space="preserve"> sp. scavenges its fatty acids from the host. </w:t>
      </w:r>
      <w:r w:rsidR="0088119C" w:rsidRPr="00FA7D47">
        <w:rPr>
          <w:rFonts w:cstheme="minorBidi"/>
        </w:rPr>
        <w:t>The</w:t>
      </w:r>
      <w:r w:rsidRPr="009819CE">
        <w:rPr>
          <w:rFonts w:cstheme="minorBidi"/>
        </w:rPr>
        <w:t xml:space="preserve"> findings reveal a significant transfer of energy, particularly in the form of lipids, from the host to the parasite.</w:t>
      </w:r>
      <w:r w:rsidR="00433966" w:rsidRPr="009819CE">
        <w:rPr>
          <w:rFonts w:cstheme="minorBidi"/>
        </w:rPr>
        <w:t xml:space="preserve"> </w:t>
      </w:r>
      <w:r w:rsidRPr="009819CE">
        <w:rPr>
          <w:rFonts w:cstheme="minorBidi"/>
        </w:rPr>
        <w:t xml:space="preserve">Macrospores accumulate triacylglycerols in lipid droplets as energy reserves that can be used for long-term survival and subsequent consumption during germination. The elevated levels of DHA and EPA in the macrospores </w:t>
      </w:r>
      <w:r w:rsidR="00B45D58" w:rsidRPr="00FA7D47">
        <w:rPr>
          <w:rFonts w:cstheme="minorBidi"/>
        </w:rPr>
        <w:t xml:space="preserve">could play </w:t>
      </w:r>
      <w:r w:rsidRPr="009819CE">
        <w:rPr>
          <w:rFonts w:cstheme="minorBidi"/>
        </w:rPr>
        <w:t xml:space="preserve">a potential role in enhancing flagellar membrane fluidity and providing protection against environmental stress, potentially contributing to their survival and successful transmission. Further research into the lipid profiles of microspores would provide valuable information and understanding </w:t>
      </w:r>
      <w:r w:rsidR="00D945D4">
        <w:rPr>
          <w:rFonts w:cstheme="minorBidi"/>
        </w:rPr>
        <w:t xml:space="preserve">of </w:t>
      </w:r>
      <w:r w:rsidRPr="009819CE">
        <w:rPr>
          <w:rFonts w:cstheme="minorBidi"/>
        </w:rPr>
        <w:t xml:space="preserve">the differential role </w:t>
      </w:r>
      <w:r w:rsidR="000667C1" w:rsidRPr="00FA7D47">
        <w:rPr>
          <w:rFonts w:cstheme="minorBidi"/>
        </w:rPr>
        <w:t xml:space="preserve">played by </w:t>
      </w:r>
      <w:r w:rsidRPr="009819CE">
        <w:rPr>
          <w:rFonts w:cstheme="minorBidi"/>
        </w:rPr>
        <w:t>these spores</w:t>
      </w:r>
      <w:r w:rsidR="002779B1" w:rsidRPr="009819CE">
        <w:rPr>
          <w:rFonts w:cstheme="minorBidi"/>
        </w:rPr>
        <w:t>.</w:t>
      </w:r>
    </w:p>
    <w:p w14:paraId="344524D8" w14:textId="77777777" w:rsidR="003E34D4" w:rsidRPr="009819CE" w:rsidRDefault="003E34D4" w:rsidP="00E22ACF">
      <w:pPr>
        <w:pStyle w:val="Heading1"/>
      </w:pPr>
      <w:bookmarkStart w:id="397" w:name="_Toc204106683"/>
      <w:r w:rsidRPr="009819CE">
        <w:t>General discussion</w:t>
      </w:r>
      <w:bookmarkEnd w:id="397"/>
    </w:p>
    <w:p w14:paraId="5BA3420B" w14:textId="7E8DCE4E" w:rsidR="003E34D4" w:rsidRPr="009819CE" w:rsidRDefault="00235F02" w:rsidP="00B5020E">
      <w:pPr>
        <w:pStyle w:val="Heading2"/>
        <w:rPr>
          <w:rFonts w:eastAsiaTheme="minorHAnsi" w:cstheme="minorBidi"/>
        </w:rPr>
      </w:pPr>
      <w:bookmarkStart w:id="398" w:name="_Toc204106684"/>
      <w:r w:rsidRPr="009819CE">
        <w:rPr>
          <w:rFonts w:eastAsiaTheme="minorHAnsi" w:cstheme="minorBidi"/>
        </w:rPr>
        <w:t xml:space="preserve">Summary </w:t>
      </w:r>
      <w:r w:rsidR="00E507E7" w:rsidRPr="009819CE">
        <w:rPr>
          <w:rFonts w:eastAsiaTheme="minorHAnsi" w:cstheme="minorBidi"/>
        </w:rPr>
        <w:t xml:space="preserve">and insights </w:t>
      </w:r>
      <w:r w:rsidR="000667C1" w:rsidRPr="00FA7D47">
        <w:rPr>
          <w:rFonts w:eastAsiaTheme="minorHAnsi" w:cstheme="minorBidi"/>
        </w:rPr>
        <w:t xml:space="preserve">provided by </w:t>
      </w:r>
      <w:r w:rsidRPr="009819CE">
        <w:rPr>
          <w:rFonts w:eastAsiaTheme="minorHAnsi" w:cstheme="minorBidi"/>
        </w:rPr>
        <w:t>main findings</w:t>
      </w:r>
      <w:bookmarkEnd w:id="398"/>
    </w:p>
    <w:p w14:paraId="448C35A8" w14:textId="786FB435" w:rsidR="00BE3C52" w:rsidRPr="009819CE" w:rsidRDefault="003E34D4" w:rsidP="003E34D4">
      <w:pPr>
        <w:rPr>
          <w:rStyle w:val="Emphasis"/>
          <w:rFonts w:cstheme="minorBidi"/>
          <w:i w:val="0"/>
          <w:iCs w:val="0"/>
          <w:color w:val="0E101A"/>
        </w:rPr>
      </w:pPr>
      <w:r w:rsidRPr="009819CE">
        <w:rPr>
          <w:rFonts w:cstheme="minorBidi"/>
        </w:rPr>
        <w:t xml:space="preserve">The </w:t>
      </w:r>
      <w:r w:rsidRPr="009819CE">
        <w:rPr>
          <w:rFonts w:cstheme="minorBidi"/>
          <w:i/>
          <w:iCs/>
        </w:rPr>
        <w:t>Hem</w:t>
      </w:r>
      <w:r w:rsidR="00455203" w:rsidRPr="00FA7D47">
        <w:rPr>
          <w:rFonts w:cstheme="minorBidi"/>
          <w:i/>
          <w:iCs/>
        </w:rPr>
        <w:t>at</w:t>
      </w:r>
      <w:r w:rsidRPr="009819CE">
        <w:rPr>
          <w:rFonts w:cstheme="minorBidi"/>
          <w:i/>
          <w:iCs/>
        </w:rPr>
        <w:t>odinium</w:t>
      </w:r>
      <w:r w:rsidRPr="009819CE">
        <w:rPr>
          <w:rFonts w:cstheme="minorBidi"/>
        </w:rPr>
        <w:t>-</w:t>
      </w:r>
      <w:r w:rsidR="00C31E47" w:rsidRPr="009819CE">
        <w:rPr>
          <w:rFonts w:cstheme="minorBidi"/>
          <w:i/>
          <w:iCs/>
        </w:rPr>
        <w:t>Nephrops</w:t>
      </w:r>
      <w:r w:rsidRPr="009819CE">
        <w:rPr>
          <w:rFonts w:cstheme="minorBidi"/>
        </w:rPr>
        <w:t xml:space="preserve"> system, involving </w:t>
      </w:r>
      <w:r w:rsidR="009D03F4" w:rsidRPr="009819CE">
        <w:rPr>
          <w:rFonts w:cstheme="minorBidi"/>
          <w:i/>
          <w:iCs/>
        </w:rPr>
        <w:t>Hematodinium</w:t>
      </w:r>
      <w:r w:rsidRPr="009819CE">
        <w:rPr>
          <w:rFonts w:cstheme="minorBidi"/>
        </w:rPr>
        <w:t xml:space="preserve"> sp. infections in </w:t>
      </w:r>
      <w:r w:rsidR="00C31E47" w:rsidRPr="009819CE">
        <w:rPr>
          <w:rFonts w:cstheme="minorBidi"/>
          <w:i/>
          <w:iCs/>
        </w:rPr>
        <w:t>Nephrops</w:t>
      </w:r>
      <w:r w:rsidRPr="009819CE">
        <w:rPr>
          <w:rFonts w:cstheme="minorBidi"/>
          <w:i/>
          <w:iCs/>
        </w:rPr>
        <w:t xml:space="preserve"> norvegicus</w:t>
      </w:r>
      <w:r w:rsidRPr="009819CE">
        <w:rPr>
          <w:rFonts w:cstheme="minorBidi"/>
        </w:rPr>
        <w:t xml:space="preserve"> within the CSA (Clyde Sea Area), has been the subject of extensive research over the past three decades, with prevalence data available since the 1980s</w:t>
      </w:r>
      <w:r w:rsidR="00055634" w:rsidRPr="009819CE">
        <w:rPr>
          <w:rFonts w:cstheme="minorBidi"/>
        </w:rPr>
        <w:t xml:space="preserve"> </w:t>
      </w:r>
      <w:r w:rsidR="009A5856" w:rsidRPr="009819CE">
        <w:rPr>
          <w:rFonts w:cstheme="minorBidi"/>
        </w:rPr>
        <w:fldChar w:fldCharType="begin">
          <w:fldData xml:space="preserve">PEVuZE5vdGU+PENpdGU+PEF1dGhvcj5GaWVsZDwvQXV0aG9yPjxZZWFyPjE5OTI8L1llYXI+PFJl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PEVuZE5vdGU+PENpdGU+PEF1dGhvcj5GaWVsZDwvQXV0aG9yPjxZZWFyPjE5OTI8L1llYXI+PFJl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9A5856" w:rsidRPr="009819CE">
        <w:rPr>
          <w:rFonts w:cstheme="minorBidi"/>
        </w:rPr>
      </w:r>
      <w:r w:rsidR="009A5856" w:rsidRPr="009819CE">
        <w:rPr>
          <w:rFonts w:cstheme="minorBidi"/>
        </w:rPr>
        <w:fldChar w:fldCharType="separate"/>
      </w:r>
      <w:r w:rsidR="00A82560" w:rsidRPr="001F4A34">
        <w:rPr>
          <w:rFonts w:cstheme="minorBidi"/>
        </w:rPr>
        <w:t>(</w:t>
      </w:r>
      <w:hyperlink w:anchor="_ENREF_93" w:tooltip="Field, 1996 #105" w:history="1">
        <w:r w:rsidR="00950097" w:rsidRPr="001F4A34">
          <w:rPr>
            <w:rFonts w:cstheme="minorBidi"/>
          </w:rPr>
          <w:t>Field and Appleton, 1996</w:t>
        </w:r>
      </w:hyperlink>
      <w:r w:rsidR="00A82560" w:rsidRPr="001F4A34">
        <w:rPr>
          <w:rFonts w:cstheme="minorBidi"/>
        </w:rPr>
        <w:t xml:space="preserve">; </w:t>
      </w:r>
      <w:hyperlink w:anchor="_ENREF_95" w:tooltip="Field, 1992 #448" w:history="1">
        <w:r w:rsidR="00950097" w:rsidRPr="001F4A34">
          <w:rPr>
            <w:rFonts w:cstheme="minorBidi"/>
          </w:rPr>
          <w:t>Field et al., 1992</w:t>
        </w:r>
      </w:hyperlink>
      <w:r w:rsidR="00A82560" w:rsidRPr="001F4A34">
        <w:rPr>
          <w:rFonts w:cstheme="minorBidi"/>
        </w:rPr>
        <w:t xml:space="preserve">; </w:t>
      </w:r>
      <w:hyperlink w:anchor="_ENREF_96" w:tooltip="Field, 1998 #1686" w:history="1">
        <w:r w:rsidR="00950097" w:rsidRPr="001F4A34">
          <w:rPr>
            <w:rFonts w:cstheme="minorBidi"/>
          </w:rPr>
          <w:t>Field et al., 1998</w:t>
        </w:r>
      </w:hyperlink>
      <w:r w:rsidR="00A82560" w:rsidRPr="001F4A34">
        <w:rPr>
          <w:rFonts w:cstheme="minorBidi"/>
        </w:rPr>
        <w:t xml:space="preserve">; </w:t>
      </w:r>
      <w:hyperlink w:anchor="_ENREF_288" w:tooltip="Small, 2004 #242" w:history="1">
        <w:r w:rsidR="00950097" w:rsidRPr="001F4A34">
          <w:rPr>
            <w:rFonts w:cstheme="minorBidi"/>
          </w:rPr>
          <w:t>Small, 2004</w:t>
        </w:r>
      </w:hyperlink>
      <w:r w:rsidR="00A82560" w:rsidRPr="001F4A34">
        <w:rPr>
          <w:rFonts w:cstheme="minorBidi"/>
        </w:rPr>
        <w:t xml:space="preserve">; </w:t>
      </w:r>
      <w:hyperlink w:anchor="_ENREF_297" w:tooltip="Stentiford, 2001 #124" w:history="1">
        <w:r w:rsidR="00950097" w:rsidRPr="001F4A34">
          <w:rPr>
            <w:rFonts w:cstheme="minorBidi"/>
          </w:rPr>
          <w:t>Stentiford et al., 2001a</w:t>
        </w:r>
      </w:hyperlink>
      <w:r w:rsidR="00A82560" w:rsidRPr="001F4A34">
        <w:rPr>
          <w:rFonts w:cstheme="minorBidi"/>
        </w:rPr>
        <w:t xml:space="preserve">; </w:t>
      </w:r>
      <w:hyperlink w:anchor="_ENREF_309" w:tooltip="Stentiford, 2001 #1822" w:history="1">
        <w:r w:rsidR="00950097" w:rsidRPr="001F4A34">
          <w:rPr>
            <w:rFonts w:cstheme="minorBidi"/>
          </w:rPr>
          <w:t>Stentiford et al., 2001d</w:t>
        </w:r>
      </w:hyperlink>
      <w:r w:rsidR="00A82560" w:rsidRPr="001F4A34">
        <w:rPr>
          <w:rFonts w:cstheme="minorBidi"/>
        </w:rPr>
        <w:t>)</w:t>
      </w:r>
      <w:r w:rsidR="009A5856" w:rsidRPr="009819CE">
        <w:rPr>
          <w:rFonts w:cstheme="minorBidi"/>
        </w:rPr>
        <w:fldChar w:fldCharType="end"/>
      </w:r>
      <w:r w:rsidRPr="009819CE">
        <w:rPr>
          <w:rFonts w:cstheme="minorBidi"/>
        </w:rPr>
        <w:t xml:space="preserve">. However, </w:t>
      </w:r>
      <w:r w:rsidR="009D03F4" w:rsidRPr="009819CE">
        <w:rPr>
          <w:rFonts w:cstheme="minorBidi"/>
          <w:i/>
          <w:iCs/>
        </w:rPr>
        <w:t>Hematodinium</w:t>
      </w:r>
      <w:r w:rsidRPr="009819CE">
        <w:rPr>
          <w:rFonts w:cstheme="minorBidi"/>
        </w:rPr>
        <w:t xml:space="preserve"> prevalence values in this region had not been monitored since the last study a decade ago</w:t>
      </w:r>
      <w:r w:rsidR="00055634" w:rsidRPr="009819CE">
        <w:rPr>
          <w:rFonts w:cstheme="minorBidi"/>
        </w:rPr>
        <w:t xml:space="preserve"> </w:t>
      </w:r>
      <w:r w:rsidRPr="009819CE">
        <w:rPr>
          <w:rFonts w:cstheme="minorBidi"/>
        </w:rPr>
        <w:fldChar w:fldCharType="begin"/>
      </w:r>
      <w:r w:rsidR="001976BB" w:rsidRPr="009819CE">
        <w:rPr>
          <w:rFonts w:cstheme="minorBidi"/>
        </w:rPr>
        <w:instrText xml:space="preserve"> ADDIN EN.CITE &lt;EndNote&gt;&lt;Cite&gt;&lt;Author&gt;Beevers&lt;/Author&gt;&lt;Year&gt;2012&lt;/Year&gt;&lt;RecNum&gt;377&lt;/RecNum&gt;&lt;DisplayText&gt;(Beevers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Pr="009819CE">
        <w:rPr>
          <w:rFonts w:cstheme="minorBidi"/>
        </w:rPr>
        <w:fldChar w:fldCharType="separate"/>
      </w:r>
      <w:r w:rsidR="00A8698B" w:rsidRPr="001F4A34">
        <w:rPr>
          <w:rFonts w:cstheme="minorBidi"/>
        </w:rPr>
        <w:t>(</w:t>
      </w:r>
      <w:hyperlink w:anchor="_ENREF_29" w:tooltip="Beevers, 2012 #377" w:history="1">
        <w:r w:rsidR="00950097" w:rsidRPr="001F4A34">
          <w:rPr>
            <w:rFonts w:cstheme="minorBidi"/>
          </w:rPr>
          <w:t>Beevers et al., 2012</w:t>
        </w:r>
      </w:hyperlink>
      <w:r w:rsidR="00A8698B" w:rsidRPr="001F4A34">
        <w:rPr>
          <w:rFonts w:cstheme="minorBidi"/>
        </w:rPr>
        <w:t>)</w:t>
      </w:r>
      <w:r w:rsidRPr="009819CE">
        <w:rPr>
          <w:rFonts w:cstheme="minorBidi"/>
        </w:rPr>
        <w:fldChar w:fldCharType="end"/>
      </w:r>
      <w:r w:rsidRPr="009819CE">
        <w:rPr>
          <w:rFonts w:cstheme="minorBidi"/>
        </w:rPr>
        <w:t xml:space="preserve">. In chapter 2 of this </w:t>
      </w:r>
      <w:r w:rsidR="00CC4A62" w:rsidRPr="009819CE">
        <w:rPr>
          <w:rFonts w:cstheme="minorBidi"/>
        </w:rPr>
        <w:t>thesis</w:t>
      </w:r>
      <w:r w:rsidRPr="009819CE">
        <w:rPr>
          <w:rFonts w:cstheme="minorBidi"/>
        </w:rPr>
        <w:t xml:space="preserve"> patent prevalence values for this </w:t>
      </w:r>
      <w:r w:rsidR="00CC4A62" w:rsidRPr="009819CE">
        <w:rPr>
          <w:rFonts w:cstheme="minorBidi"/>
        </w:rPr>
        <w:t>patho</w:t>
      </w:r>
      <w:r w:rsidRPr="009819CE">
        <w:rPr>
          <w:rFonts w:cstheme="minorBidi"/>
        </w:rPr>
        <w:t>system</w:t>
      </w:r>
      <w:r w:rsidR="00323FB0" w:rsidRPr="00FA7D47">
        <w:rPr>
          <w:rFonts w:cstheme="minorBidi"/>
        </w:rPr>
        <w:t xml:space="preserve"> were provided</w:t>
      </w:r>
      <w:r w:rsidRPr="009819CE">
        <w:rPr>
          <w:rFonts w:cstheme="minorBidi"/>
        </w:rPr>
        <w:t xml:space="preserve"> using the pleopod </w:t>
      </w:r>
      <w:r w:rsidR="00F331C1" w:rsidRPr="009819CE">
        <w:rPr>
          <w:rFonts w:cstheme="minorBidi"/>
        </w:rPr>
        <w:t xml:space="preserve">(PM) </w:t>
      </w:r>
      <w:r w:rsidRPr="009819CE">
        <w:rPr>
          <w:rFonts w:cstheme="minorBidi"/>
        </w:rPr>
        <w:t>and body colour method</w:t>
      </w:r>
      <w:r w:rsidR="00F331C1" w:rsidRPr="009819CE">
        <w:rPr>
          <w:rFonts w:cstheme="minorBidi"/>
        </w:rPr>
        <w:t xml:space="preserve"> (BCM)</w:t>
      </w:r>
      <w:r w:rsidRPr="009819CE">
        <w:rPr>
          <w:rFonts w:cstheme="minorBidi"/>
        </w:rPr>
        <w:t xml:space="preserve">, </w:t>
      </w:r>
      <w:r w:rsidR="00D945D4">
        <w:rPr>
          <w:rFonts w:cstheme="minorBidi"/>
        </w:rPr>
        <w:t>t</w:t>
      </w:r>
      <w:r w:rsidRPr="009819CE">
        <w:rPr>
          <w:rFonts w:cstheme="minorBidi"/>
        </w:rPr>
        <w:t xml:space="preserve">hereby providing continuity </w:t>
      </w:r>
      <w:r w:rsidR="001710CE" w:rsidRPr="00FA7D47">
        <w:rPr>
          <w:rFonts w:cstheme="minorBidi"/>
        </w:rPr>
        <w:t xml:space="preserve">for </w:t>
      </w:r>
      <w:r w:rsidRPr="009819CE">
        <w:rPr>
          <w:rFonts w:cstheme="minorBidi"/>
        </w:rPr>
        <w:t xml:space="preserve">a long-term dataset in this system and region. </w:t>
      </w:r>
      <w:r w:rsidR="00B748E5" w:rsidRPr="00FA7D47">
        <w:rPr>
          <w:rFonts w:cstheme="minorBidi"/>
        </w:rPr>
        <w:t>Th</w:t>
      </w:r>
      <w:r w:rsidR="00462058" w:rsidRPr="00FA7D47">
        <w:rPr>
          <w:rFonts w:cstheme="minorBidi"/>
        </w:rPr>
        <w:t>is</w:t>
      </w:r>
      <w:r w:rsidR="00B748E5" w:rsidRPr="00FA7D47">
        <w:rPr>
          <w:rFonts w:cstheme="minorBidi"/>
        </w:rPr>
        <w:t xml:space="preserve"> study</w:t>
      </w:r>
      <w:r w:rsidRPr="009819CE">
        <w:rPr>
          <w:rFonts w:cstheme="minorBidi"/>
        </w:rPr>
        <w:t xml:space="preserve"> </w:t>
      </w:r>
      <w:r w:rsidR="00E621EE" w:rsidRPr="00FA7D47">
        <w:rPr>
          <w:rFonts w:cstheme="minorBidi"/>
        </w:rPr>
        <w:t xml:space="preserve">confirmed </w:t>
      </w:r>
      <w:r w:rsidRPr="009819CE">
        <w:rPr>
          <w:rFonts w:cstheme="minorBidi"/>
        </w:rPr>
        <w:t xml:space="preserve">that </w:t>
      </w:r>
      <w:r w:rsidR="009D03F4" w:rsidRPr="009819CE">
        <w:rPr>
          <w:rFonts w:cstheme="minorBidi"/>
          <w:i/>
        </w:rPr>
        <w:t>Hematodinium</w:t>
      </w:r>
      <w:r w:rsidRPr="009819CE">
        <w:rPr>
          <w:rFonts w:cstheme="minorBidi"/>
        </w:rPr>
        <w:t xml:space="preserve"> sp. infection is established, persistent and truly enzootic at least since 1993 in </w:t>
      </w:r>
      <w:r w:rsidR="00C31E47" w:rsidRPr="009819CE">
        <w:rPr>
          <w:rFonts w:cstheme="minorBidi"/>
          <w:i/>
          <w:iCs/>
        </w:rPr>
        <w:t>Nephrops</w:t>
      </w:r>
      <w:r w:rsidRPr="009819CE">
        <w:rPr>
          <w:rFonts w:cstheme="minorBidi"/>
        </w:rPr>
        <w:t xml:space="preserve"> inhabiting the CSA</w:t>
      </w:r>
      <w:r w:rsidR="00B51D6C" w:rsidRPr="009819CE">
        <w:rPr>
          <w:rFonts w:cstheme="minorBidi"/>
        </w:rPr>
        <w:t xml:space="preserve"> </w:t>
      </w:r>
      <w:r w:rsidR="00A8698B" w:rsidRPr="009819CE">
        <w:rPr>
          <w:rFonts w:cstheme="minorBidi"/>
        </w:rPr>
        <w:fldChar w:fldCharType="begin">
          <w:fldData xml:space="preserve">PEVuZE5vdGU+PENpdGU+PEF1dGhvcj5Nb2x0by1NYXJ0aW48L0F1dGhvcj48WWVhcj4yMDI0PC9Z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</w:fldData>
        </w:fldChar>
      </w:r>
      <w:r w:rsidR="00871B4F">
        <w:rPr>
          <w:rFonts w:cstheme="minorBidi"/>
        </w:rPr>
        <w:instrText xml:space="preserve"> ADDIN EN.CITE </w:instrText>
      </w:r>
      <w:r w:rsidR="00871B4F">
        <w:rPr>
          <w:rFonts w:cstheme="minorBidi"/>
        </w:rPr>
        <w:fldChar w:fldCharType="begin">
          <w:fldData xml:space="preserve">PEVuZE5vdGU+PENpdGU+PEF1dGhvcj5Nb2x0by1NYXJ0aW48L0F1dGhvcj48WWVhcj4yMDI0PC9Z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</w:fldData>
        </w:fldChar>
      </w:r>
      <w:r w:rsidR="00871B4F">
        <w:rPr>
          <w:rFonts w:cstheme="minorBidi"/>
        </w:rPr>
        <w:instrText xml:space="preserve"> ADDIN EN.CITE.DATA </w:instrText>
      </w:r>
      <w:r w:rsidR="00871B4F">
        <w:rPr>
          <w:rFonts w:cstheme="minorBidi"/>
        </w:rPr>
      </w:r>
      <w:r w:rsidR="00871B4F">
        <w:rPr>
          <w:rFonts w:cstheme="minorBidi"/>
        </w:rPr>
        <w:fldChar w:fldCharType="end"/>
      </w:r>
      <w:r w:rsidR="00A8698B" w:rsidRPr="009819CE">
        <w:rPr>
          <w:rFonts w:cstheme="minorBidi"/>
        </w:rPr>
      </w:r>
      <w:r w:rsidR="00A8698B" w:rsidRPr="009819CE">
        <w:rPr>
          <w:rFonts w:cstheme="minorBidi"/>
        </w:rPr>
        <w:fldChar w:fldCharType="separate"/>
      </w:r>
      <w:r w:rsidR="00D50EFF" w:rsidRPr="00871B4F">
        <w:rPr>
          <w:rFonts w:cstheme="minorBidi"/>
          <w:noProof/>
        </w:rPr>
        <w:t>(</w:t>
      </w:r>
      <w:hyperlink w:anchor="_ENREF_223" w:tooltip="Molto-Martin, 2024 #1892" w:history="1">
        <w:r w:rsidR="00950097" w:rsidRPr="00871B4F">
          <w:rPr>
            <w:rFonts w:cstheme="minorBidi"/>
            <w:noProof/>
          </w:rPr>
          <w:t>Molto-Martin et al., 2024</w:t>
        </w:r>
      </w:hyperlink>
      <w:r w:rsidR="00D50EFF" w:rsidRPr="00871B4F">
        <w:rPr>
          <w:rFonts w:cstheme="minorBidi"/>
          <w:noProof/>
        </w:rPr>
        <w:t>)</w:t>
      </w:r>
      <w:r w:rsidR="00A8698B" w:rsidRPr="009819CE">
        <w:rPr>
          <w:rFonts w:cstheme="minorBidi"/>
        </w:rPr>
        <w:fldChar w:fldCharType="end"/>
      </w:r>
      <w:r w:rsidRPr="009819CE">
        <w:rPr>
          <w:rFonts w:cstheme="minorBidi"/>
        </w:rPr>
        <w:t xml:space="preserve">. </w:t>
      </w:r>
      <w:r w:rsidR="00462058" w:rsidRPr="00FA7D47">
        <w:rPr>
          <w:rFonts w:cstheme="minorBidi"/>
        </w:rPr>
        <w:t xml:space="preserve">It </w:t>
      </w:r>
      <w:r w:rsidRPr="009819CE">
        <w:rPr>
          <w:rFonts w:cstheme="minorBidi"/>
        </w:rPr>
        <w:t>also establishe</w:t>
      </w:r>
      <w:r w:rsidR="00462058" w:rsidRPr="00FA7D47">
        <w:rPr>
          <w:rFonts w:cstheme="minorBidi"/>
        </w:rPr>
        <w:t>s</w:t>
      </w:r>
      <w:r w:rsidRPr="009819CE">
        <w:rPr>
          <w:rFonts w:cstheme="minorBidi"/>
        </w:rPr>
        <w:t xml:space="preserve"> that prevalence values have remained relatively stable with time and are consistent with previous data sets obtained through the body colour and pleopod method</w:t>
      </w:r>
      <w:r w:rsidR="00312DC2" w:rsidRPr="009819CE">
        <w:rPr>
          <w:rFonts w:cstheme="minorBidi"/>
        </w:rPr>
        <w:t>s</w:t>
      </w:r>
      <w:r w:rsidR="00F04FD6" w:rsidRPr="009819CE">
        <w:rPr>
          <w:rFonts w:cstheme="minorBidi"/>
        </w:rPr>
        <w:t xml:space="preserve"> </w:t>
      </w:r>
      <w:r w:rsidR="00F04FD6" w:rsidRPr="009819CE">
        <w:rPr>
          <w:rFonts w:cstheme="minorBidi"/>
        </w:rPr>
        <w:fldChar w:fldCharType="begin">
          <w:fldData xml:space="preserve">PEVuZE5vdGU+PENpdGU+PEF1dGhvcj5CZWV2ZXJzPC9BdXRob3I+PFllYXI+MjAxMjwvWWVhcj48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</w:fldData>
        </w:fldChar>
      </w:r>
      <w:r w:rsidR="001976BB" w:rsidRPr="009819CE">
        <w:rPr>
          <w:rFonts w:cstheme="minorBidi"/>
        </w:rPr>
        <w:instrText xml:space="preserve"> ADDIN EN.CITE </w:instrText>
      </w:r>
      <w:r w:rsidR="001976BB" w:rsidRPr="009819CE">
        <w:rPr>
          <w:rFonts w:cstheme="minorBidi"/>
        </w:rPr>
        <w:fldChar w:fldCharType="begin">
          <w:fldData xml:space="preserve">PEVuZE5vdGU+PENpdGU+PEF1dGhvcj5CZWV2ZXJzPC9BdXRob3I+PFllYXI+MjAxMjwvWWVhcj48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</w:fldData>
        </w:fldChar>
      </w:r>
      <w:r w:rsidR="001976BB" w:rsidRPr="009819CE">
        <w:rPr>
          <w:rFonts w:cstheme="minorBidi"/>
        </w:rPr>
        <w:instrText xml:space="preserve"> ADDIN EN.CITE.DATA </w:instrText>
      </w:r>
      <w:r w:rsidR="001976BB" w:rsidRPr="009819CE">
        <w:rPr>
          <w:rFonts w:cstheme="minorBidi"/>
        </w:rPr>
      </w:r>
      <w:r w:rsidR="001976BB" w:rsidRPr="009819CE">
        <w:rPr>
          <w:rFonts w:cstheme="minorBidi"/>
        </w:rPr>
        <w:fldChar w:fldCharType="end"/>
      </w:r>
      <w:r w:rsidR="00F04FD6" w:rsidRPr="009819CE">
        <w:rPr>
          <w:rFonts w:cstheme="minorBidi"/>
        </w:rPr>
      </w:r>
      <w:r w:rsidR="00F04FD6" w:rsidRPr="009819CE">
        <w:rPr>
          <w:rFonts w:cstheme="minorBidi"/>
        </w:rPr>
        <w:fldChar w:fldCharType="separate"/>
      </w:r>
      <w:r w:rsidR="00D50EFF" w:rsidRPr="001F4A34">
        <w:rPr>
          <w:rFonts w:cstheme="minorBidi"/>
        </w:rPr>
        <w:t>(</w:t>
      </w:r>
      <w:hyperlink w:anchor="_ENREF_29" w:tooltip="Beevers, 2012 #377" w:history="1">
        <w:r w:rsidR="00950097" w:rsidRPr="001F4A34">
          <w:rPr>
            <w:rFonts w:cstheme="minorBidi"/>
          </w:rPr>
          <w:t>Beevers et al., 2012</w:t>
        </w:r>
      </w:hyperlink>
      <w:r w:rsidR="00D50EFF" w:rsidRPr="001F4A34">
        <w:rPr>
          <w:rFonts w:cstheme="minorBidi"/>
        </w:rPr>
        <w:t xml:space="preserve">; </w:t>
      </w:r>
      <w:hyperlink w:anchor="_ENREF_95" w:tooltip="Field, 1992 #448" w:history="1">
        <w:r w:rsidR="00950097" w:rsidRPr="001F4A34">
          <w:rPr>
            <w:rFonts w:cstheme="minorBidi"/>
          </w:rPr>
          <w:t>Field et al., 1992</w:t>
        </w:r>
      </w:hyperlink>
      <w:r w:rsidR="00D50EFF" w:rsidRPr="001F4A34">
        <w:rPr>
          <w:rFonts w:cstheme="minorBidi"/>
        </w:rPr>
        <w:t xml:space="preserve">; </w:t>
      </w:r>
      <w:hyperlink w:anchor="_ENREF_297" w:tooltip="Stentiford, 2001 #124" w:history="1">
        <w:r w:rsidR="00950097" w:rsidRPr="001F4A34">
          <w:rPr>
            <w:rFonts w:cstheme="minorBidi"/>
          </w:rPr>
          <w:t>Stentiford et al., 2001a</w:t>
        </w:r>
      </w:hyperlink>
      <w:r w:rsidR="00D50EFF" w:rsidRPr="001F4A34">
        <w:rPr>
          <w:rFonts w:cstheme="minorBidi"/>
        </w:rPr>
        <w:t>)</w:t>
      </w:r>
      <w:r w:rsidR="00F04FD6" w:rsidRPr="009819CE">
        <w:rPr>
          <w:rFonts w:cstheme="minorBidi"/>
        </w:rPr>
        <w:fldChar w:fldCharType="end"/>
      </w:r>
      <w:r w:rsidRPr="009819CE">
        <w:rPr>
          <w:rFonts w:cstheme="minorBidi"/>
        </w:rPr>
        <w:t xml:space="preserve">. </w:t>
      </w:r>
      <w:r w:rsidR="00BE3C52" w:rsidRPr="009819CE">
        <w:rPr>
          <w:rFonts w:cstheme="minorBidi"/>
        </w:rPr>
        <w:t xml:space="preserve"> Th</w:t>
      </w:r>
      <w:r w:rsidR="00A90108" w:rsidRPr="009819CE">
        <w:rPr>
          <w:rFonts w:cstheme="minorBidi"/>
        </w:rPr>
        <w:t>is</w:t>
      </w:r>
      <w:r w:rsidR="00BE3C52" w:rsidRPr="009819CE">
        <w:rPr>
          <w:rFonts w:cstheme="minorBidi"/>
        </w:rPr>
        <w:t xml:space="preserve"> study found a primary peak of infection in March (15.6% BCM; 33.3% PM; high prevalence, high severity) followed by a smaller peak four months later (21.5% PM; high prevalence, low severity), aligning with previous observations of a bimodal prevalence pattern in </w:t>
      </w:r>
      <w:r w:rsidR="009D03F4" w:rsidRPr="009819CE">
        <w:rPr>
          <w:rFonts w:cstheme="minorBidi"/>
          <w:i/>
          <w:iCs/>
        </w:rPr>
        <w:t>Hematodinium</w:t>
      </w:r>
      <w:r w:rsidR="00BE3C52" w:rsidRPr="009819CE">
        <w:rPr>
          <w:rFonts w:cstheme="minorBidi"/>
        </w:rPr>
        <w:t xml:space="preserve"> </w:t>
      </w:r>
      <w:r w:rsidR="00965082" w:rsidRPr="009819CE">
        <w:rPr>
          <w:rFonts w:cstheme="minorBidi"/>
        </w:rPr>
        <w:t xml:space="preserve">sp. </w:t>
      </w:r>
      <w:r w:rsidR="00BE3C52" w:rsidRPr="009819CE">
        <w:rPr>
          <w:rFonts w:cstheme="minorBidi"/>
        </w:rPr>
        <w:t>infections, as documented by</w:t>
      </w:r>
      <w:r w:rsidR="00BE3C52" w:rsidRPr="009819CE">
        <w:rPr>
          <w:rStyle w:val="Emphasis"/>
          <w:rFonts w:cstheme="minorBidi"/>
          <w:i w:val="0"/>
          <w:iCs w:val="0"/>
          <w:color w:val="0E101A"/>
        </w:rPr>
        <w:t xml:space="preserve"> </w:t>
      </w:r>
      <w:hyperlink w:anchor="_ENREF_94" w:tooltip="Field, 1995 #1268" w:history="1">
        <w:r w:rsidR="00950097" w:rsidRPr="009819CE">
          <w:rPr>
            <w:rStyle w:val="Emphasis"/>
            <w:rFonts w:cstheme="minorBidi"/>
            <w:i w:val="0"/>
            <w:iCs w:val="0"/>
            <w:color w:val="0E101A"/>
          </w:rPr>
          <w:fldChar w:fldCharType="begin"/>
        </w:r>
        <w:r w:rsidR="00950097" w:rsidRPr="009819CE">
          <w:rPr>
            <w:rStyle w:val="Emphasis"/>
            <w:rFonts w:cstheme="minorBidi"/>
            <w:i w:val="0"/>
            <w:iCs w:val="0"/>
            <w:color w:val="0E101A"/>
          </w:rPr>
          <w:instrText xml:space="preserve"> ADDIN EN.CITE &lt;EndNote&gt;&lt;Cite AuthorYear="1"&gt;&lt;Author&gt;Field&lt;/Author&gt;&lt;Year&gt;1995&lt;/Year&gt;&lt;RecNum&gt;1268&lt;/RecNum&gt;&lt;DisplayText&gt;Field et al. (1995)&lt;/DisplayText&gt;&lt;record&gt;&lt;rec-number&gt;1268&lt;/rec-number&gt;&lt;foreign-keys&gt;&lt;key app="EN" db-id="sd9wrx9fj09rx3erprsx999o0r5aprvp2zse" timestamp="1687855902" guid="d92ab6ac-93ef-465d-bdc8-f801b7b16171"&gt;1268&lt;/key&gt;&lt;/foreign-keys&gt;&lt;ref-type name="Report"&gt;27&lt;/ref-type&gt;&lt;contributors&gt;&lt;authors&gt;&lt;author&gt;Field, Robert Henry&lt;/author&gt;&lt;author&gt;Appleton, Paul Lauwrance&lt;/author&gt;&lt;author&gt;Vickerman, Keith&lt;/author&gt;&lt;author&gt;Atkinson, Robert James A.&lt;/author&gt;&lt;author&gt;Taylor, A. C.&lt;/author&gt;&lt;author&gt;Rogerson, A.&lt;/author&gt;&lt;author&gt;Neil, Douglas M.&lt;/author&gt;&lt;author&gt;Shanks, A.&lt;/author&gt;&lt;/authors&gt;&lt;tertiary-authors&gt;&lt;author&gt;Ministry of Agriculture, Fisheries and Food, UK&lt;/author&gt;&lt;/tertiary-authors&gt;&lt;/contributors&gt;&lt;titles&gt;&lt;title&gt;&lt;style face="normal" font="default" size="100%"&gt;Mortality of &lt;/style&gt;&lt;style face="italic" font="default" size="100%"&gt;Nephrops norvegicus &lt;/style&gt;&lt;style face="normal" font="default" size="100%"&gt;on the West Coast of Scotland. Project reference: CSA 2139&lt;/style&gt;&lt;/title&gt;&lt;/titles&gt;&lt;dates&gt;&lt;year&gt;1995&lt;/year&gt;&lt;/dates&gt;&lt;publisher&gt;Report to the Ministry of Agriculture, Fisheries and Food, UK&lt;/publisher&gt;&lt;isbn&gt;CSA 2139&lt;/isbn&gt;&lt;urls&gt;&lt;/urls&gt;&lt;/record&gt;&lt;/Cite&gt;&lt;/EndNote&gt;</w:instrText>
        </w:r>
        <w:r w:rsidR="00950097" w:rsidRPr="009819CE">
          <w:rPr>
            <w:rStyle w:val="Emphasis"/>
            <w:rFonts w:cstheme="minorBidi"/>
            <w:i w:val="0"/>
            <w:iCs w:val="0"/>
            <w:color w:val="0E101A"/>
          </w:rPr>
          <w:fldChar w:fldCharType="separate"/>
        </w:r>
        <w:r w:rsidR="00950097" w:rsidRPr="001F4A34">
          <w:rPr>
            <w:rStyle w:val="Emphasis"/>
            <w:rFonts w:cstheme="minorBidi"/>
            <w:i w:val="0"/>
            <w:iCs w:val="0"/>
            <w:color w:val="0E101A"/>
          </w:rPr>
          <w:t>Field et al. (1995)</w:t>
        </w:r>
        <w:r w:rsidR="00950097" w:rsidRPr="009819CE">
          <w:rPr>
            <w:rStyle w:val="Emphasis"/>
            <w:rFonts w:cstheme="minorBidi"/>
            <w:i w:val="0"/>
            <w:iCs w:val="0"/>
            <w:color w:val="0E101A"/>
          </w:rPr>
          <w:fldChar w:fldCharType="end"/>
        </w:r>
      </w:hyperlink>
      <w:r w:rsidR="00BE3C52" w:rsidRPr="009819CE">
        <w:rPr>
          <w:rStyle w:val="Emphasis"/>
          <w:rFonts w:cstheme="minorBidi"/>
          <w:i w:val="0"/>
          <w:iCs w:val="0"/>
          <w:color w:val="0E101A"/>
        </w:rPr>
        <w:t xml:space="preserve"> </w:t>
      </w:r>
      <w:r w:rsidR="00BE3C52" w:rsidRPr="009819CE">
        <w:rPr>
          <w:rFonts w:cstheme="minorBidi"/>
        </w:rPr>
        <w:t>and observed in other crustacean species such as the A</w:t>
      </w:r>
      <w:r w:rsidR="00DF6E16" w:rsidRPr="009819CE">
        <w:rPr>
          <w:rFonts w:cstheme="minorBidi"/>
        </w:rPr>
        <w:t>tlantic</w:t>
      </w:r>
      <w:r w:rsidR="00BE3C52" w:rsidRPr="009819CE">
        <w:rPr>
          <w:rFonts w:cstheme="minorBidi"/>
        </w:rPr>
        <w:t xml:space="preserve"> blue crab (</w:t>
      </w:r>
      <w:r w:rsidR="00BE3C52" w:rsidRPr="009819CE">
        <w:rPr>
          <w:rFonts w:cstheme="minorBidi"/>
          <w:i/>
          <w:iCs/>
        </w:rPr>
        <w:t>Callinectes sapidus</w:t>
      </w:r>
      <w:r w:rsidR="00BE3C52" w:rsidRPr="009819CE">
        <w:rPr>
          <w:rFonts w:cstheme="minorBidi"/>
        </w:rPr>
        <w:t xml:space="preserve">) infected with </w:t>
      </w:r>
      <w:r w:rsidR="00BE3C52" w:rsidRPr="009819CE">
        <w:rPr>
          <w:rFonts w:cstheme="minorBidi"/>
          <w:i/>
          <w:iCs/>
        </w:rPr>
        <w:t>H</w:t>
      </w:r>
      <w:r w:rsidR="002B7135" w:rsidRPr="00FA7D47">
        <w:rPr>
          <w:rFonts w:cstheme="minorBidi"/>
          <w:i/>
          <w:iCs/>
        </w:rPr>
        <w:t xml:space="preserve">ematodinium </w:t>
      </w:r>
      <w:r w:rsidR="00BE3C52" w:rsidRPr="009819CE">
        <w:rPr>
          <w:rFonts w:cstheme="minorBidi"/>
          <w:i/>
          <w:iCs/>
        </w:rPr>
        <w:t>perezi</w:t>
      </w:r>
      <w:r w:rsidR="00BE3C52" w:rsidRPr="009819CE">
        <w:rPr>
          <w:rFonts w:cstheme="minorBidi"/>
        </w:rPr>
        <w:t xml:space="preserve"> </w:t>
      </w:r>
      <w:r w:rsidR="00BE3C52" w:rsidRPr="009819CE">
        <w:rPr>
          <w:rStyle w:val="Emphasis"/>
          <w:rFonts w:cstheme="minorBidi"/>
          <w:i w:val="0"/>
          <w:iCs w:val="0"/>
          <w:color w:val="0E101A"/>
        </w:rPr>
        <w:fldChar w:fldCharType="begin">
          <w:fldData xml:space="preserve">PEVuZE5vdGU+PENpdGU+PEF1dGhvcj5NZXNzaWNrPC9BdXRob3I+PFllYXI+MjAwMDwvWWVhcj48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</w:fldData>
        </w:fldChar>
      </w:r>
      <w:r w:rsidR="00686B37" w:rsidRPr="009819CE">
        <w:rPr>
          <w:rStyle w:val="Emphasis"/>
          <w:rFonts w:cstheme="minorBidi"/>
          <w:i w:val="0"/>
          <w:iCs w:val="0"/>
          <w:color w:val="0E101A"/>
        </w:rPr>
        <w:instrText xml:space="preserve"> ADDIN EN.CITE </w:instrText>
      </w:r>
      <w:r w:rsidR="00686B37" w:rsidRPr="009819CE">
        <w:rPr>
          <w:rStyle w:val="Emphasis"/>
          <w:rFonts w:cstheme="minorBidi"/>
          <w:i w:val="0"/>
          <w:iCs w:val="0"/>
          <w:color w:val="0E101A"/>
        </w:rPr>
        <w:fldChar w:fldCharType="begin">
          <w:fldData xml:space="preserve">PEVuZE5vdGU+PENpdGU+PEF1dGhvcj5NZXNzaWNrPC9BdXRob3I+PFllYXI+MjAwMDwvWWVhcj48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</w:fldData>
        </w:fldChar>
      </w:r>
      <w:r w:rsidR="00686B37" w:rsidRPr="009819CE">
        <w:rPr>
          <w:rStyle w:val="Emphasis"/>
          <w:rFonts w:cstheme="minorBidi"/>
          <w:i w:val="0"/>
          <w:iCs w:val="0"/>
          <w:color w:val="0E101A"/>
        </w:rPr>
        <w:instrText xml:space="preserve"> ADDIN EN.CITE.DATA </w:instrText>
      </w:r>
      <w:r w:rsidR="00686B37" w:rsidRPr="009819CE">
        <w:rPr>
          <w:rStyle w:val="Emphasis"/>
          <w:rFonts w:cstheme="minorBidi"/>
          <w:i w:val="0"/>
          <w:iCs w:val="0"/>
          <w:color w:val="0E101A"/>
        </w:rPr>
      </w:r>
      <w:r w:rsidR="00686B37" w:rsidRPr="009819CE">
        <w:rPr>
          <w:rStyle w:val="Emphasis"/>
          <w:rFonts w:cstheme="minorBidi"/>
          <w:i w:val="0"/>
          <w:iCs w:val="0"/>
          <w:color w:val="0E101A"/>
        </w:rPr>
        <w:fldChar w:fldCharType="end"/>
      </w:r>
      <w:r w:rsidR="00BE3C52" w:rsidRPr="009819CE">
        <w:rPr>
          <w:rStyle w:val="Emphasis"/>
          <w:rFonts w:cstheme="minorBidi"/>
          <w:i w:val="0"/>
          <w:iCs w:val="0"/>
          <w:color w:val="0E101A"/>
        </w:rPr>
      </w:r>
      <w:r w:rsidR="00BE3C52" w:rsidRPr="009819CE">
        <w:rPr>
          <w:rStyle w:val="Emphasis"/>
          <w:rFonts w:cstheme="minorBidi"/>
          <w:i w:val="0"/>
          <w:iCs w:val="0"/>
          <w:color w:val="0E101A"/>
        </w:rPr>
        <w:fldChar w:fldCharType="separate"/>
      </w:r>
      <w:r w:rsidR="00D50EFF" w:rsidRPr="001F4A34">
        <w:rPr>
          <w:rStyle w:val="Emphasis"/>
          <w:rFonts w:cstheme="minorBidi"/>
          <w:i w:val="0"/>
          <w:iCs w:val="0"/>
          <w:color w:val="0E101A"/>
        </w:rPr>
        <w:t>(</w:t>
      </w:r>
      <w:hyperlink w:anchor="_ENREF_216" w:tooltip="Messick, 2000 #335" w:history="1">
        <w:r w:rsidR="00950097" w:rsidRPr="001F4A34">
          <w:rPr>
            <w:rStyle w:val="Emphasis"/>
            <w:rFonts w:cstheme="minorBidi"/>
            <w:i w:val="0"/>
            <w:iCs w:val="0"/>
            <w:color w:val="0E101A"/>
          </w:rPr>
          <w:t>Messick and Shields, 2000</w:t>
        </w:r>
      </w:hyperlink>
      <w:r w:rsidR="00D50EFF" w:rsidRPr="001F4A34">
        <w:rPr>
          <w:rStyle w:val="Emphasis"/>
          <w:rFonts w:cstheme="minorBidi"/>
          <w:i w:val="0"/>
          <w:iCs w:val="0"/>
          <w:color w:val="0E101A"/>
        </w:rPr>
        <w:t xml:space="preserve">; </w:t>
      </w:r>
      <w:hyperlink w:anchor="_ENREF_276" w:tooltip="Sheppard, 2003 #134" w:history="1">
        <w:r w:rsidR="00950097" w:rsidRPr="001F4A34">
          <w:rPr>
            <w:rStyle w:val="Emphasis"/>
            <w:rFonts w:cstheme="minorBidi"/>
            <w:i w:val="0"/>
            <w:iCs w:val="0"/>
            <w:color w:val="0E101A"/>
          </w:rPr>
          <w:t>Sheppard et al., 2003</w:t>
        </w:r>
      </w:hyperlink>
      <w:r w:rsidR="00D50EFF" w:rsidRPr="001F4A34">
        <w:rPr>
          <w:rStyle w:val="Emphasis"/>
          <w:rFonts w:cstheme="minorBidi"/>
          <w:i w:val="0"/>
          <w:iCs w:val="0"/>
          <w:color w:val="0E101A"/>
        </w:rPr>
        <w:t>)</w:t>
      </w:r>
      <w:r w:rsidR="00BE3C52" w:rsidRPr="009819CE">
        <w:rPr>
          <w:rStyle w:val="Emphasis"/>
          <w:rFonts w:cstheme="minorBidi"/>
          <w:i w:val="0"/>
          <w:iCs w:val="0"/>
          <w:color w:val="0E101A"/>
        </w:rPr>
        <w:fldChar w:fldCharType="end"/>
      </w:r>
      <w:r w:rsidR="00BE3C52" w:rsidRPr="009819CE">
        <w:rPr>
          <w:rStyle w:val="Emphasis"/>
          <w:rFonts w:cstheme="minorBidi"/>
          <w:i w:val="0"/>
          <w:iCs w:val="0"/>
          <w:color w:val="0E101A"/>
        </w:rPr>
        <w:t>.</w:t>
      </w:r>
    </w:p>
    <w:p w14:paraId="729FAAD8" w14:textId="2468F1EA" w:rsidR="00010388" w:rsidRPr="009819CE" w:rsidRDefault="00010388" w:rsidP="003E34D4">
      <w:pPr>
        <w:rPr>
          <w:rStyle w:val="Emphasis"/>
          <w:rFonts w:cstheme="minorBidi"/>
          <w:i w:val="0"/>
          <w:iCs w:val="0"/>
          <w:color w:val="0E101A"/>
        </w:rPr>
      </w:pPr>
      <w:r w:rsidRPr="009819CE">
        <w:rPr>
          <w:rStyle w:val="Emphasis"/>
          <w:rFonts w:cstheme="minorBidi"/>
          <w:i w:val="0"/>
          <w:iCs w:val="0"/>
          <w:color w:val="0E101A"/>
        </w:rPr>
        <w:t xml:space="preserve">New insights into this pathosystem reveal that disease progression from low to high severity in </w:t>
      </w:r>
      <w:r w:rsidR="00C31E47" w:rsidRPr="009819CE">
        <w:rPr>
          <w:rStyle w:val="Emphasis"/>
          <w:rFonts w:cstheme="minorBidi"/>
          <w:color w:val="0E101A"/>
        </w:rPr>
        <w:t>Nephrops</w:t>
      </w:r>
      <w:r w:rsidRPr="009819CE">
        <w:rPr>
          <w:rStyle w:val="Emphasis"/>
          <w:rFonts w:cstheme="minorBidi"/>
          <w:i w:val="0"/>
          <w:iCs w:val="0"/>
          <w:color w:val="0E101A"/>
        </w:rPr>
        <w:t xml:space="preserve"> is associated with the size of the individual rather than inherent susceptibility, with smaller </w:t>
      </w:r>
      <w:r w:rsidR="00823C38" w:rsidRPr="009819CE">
        <w:rPr>
          <w:rStyle w:val="Emphasis"/>
          <w:rFonts w:cstheme="minorBidi"/>
          <w:i w:val="0"/>
          <w:iCs w:val="0"/>
          <w:color w:val="0E101A"/>
        </w:rPr>
        <w:t>individuals</w:t>
      </w:r>
      <w:r w:rsidRPr="009819CE">
        <w:rPr>
          <w:rStyle w:val="Emphasis"/>
          <w:rFonts w:cstheme="minorBidi"/>
          <w:i w:val="0"/>
          <w:iCs w:val="0"/>
          <w:color w:val="0E101A"/>
        </w:rPr>
        <w:t xml:space="preserve"> being more prone to developing severe infections. </w:t>
      </w:r>
      <w:r w:rsidR="0088119C" w:rsidRPr="00FA7D47">
        <w:rPr>
          <w:rStyle w:val="Emphasis"/>
          <w:rFonts w:cstheme="minorBidi"/>
          <w:i w:val="0"/>
          <w:iCs w:val="0"/>
          <w:color w:val="0E101A"/>
        </w:rPr>
        <w:t>Th</w:t>
      </w:r>
      <w:r w:rsidR="00D945D4">
        <w:rPr>
          <w:rStyle w:val="Emphasis"/>
          <w:rFonts w:cstheme="minorBidi"/>
          <w:i w:val="0"/>
          <w:iCs w:val="0"/>
          <w:color w:val="0E101A"/>
        </w:rPr>
        <w:t>ese</w:t>
      </w:r>
      <w:r w:rsidRPr="009819CE">
        <w:rPr>
          <w:rStyle w:val="Emphasis"/>
          <w:rFonts w:cstheme="minorBidi"/>
          <w:i w:val="0"/>
          <w:iCs w:val="0"/>
          <w:color w:val="0E101A"/>
        </w:rPr>
        <w:t xml:space="preserve"> data </w:t>
      </w:r>
      <w:r w:rsidR="007201F0" w:rsidRPr="009819CE">
        <w:rPr>
          <w:rStyle w:val="Emphasis"/>
          <w:rFonts w:cstheme="minorBidi"/>
          <w:i w:val="0"/>
          <w:iCs w:val="0"/>
          <w:color w:val="0E101A"/>
        </w:rPr>
        <w:t xml:space="preserve">indicated </w:t>
      </w:r>
      <w:r w:rsidRPr="009819CE">
        <w:rPr>
          <w:rStyle w:val="Emphasis"/>
          <w:rFonts w:cstheme="minorBidi"/>
          <w:i w:val="0"/>
          <w:iCs w:val="0"/>
          <w:color w:val="0E101A"/>
        </w:rPr>
        <w:t xml:space="preserve">that animals of all sizes are susceptible to </w:t>
      </w:r>
      <w:r w:rsidR="009D03F4" w:rsidRPr="009819CE">
        <w:rPr>
          <w:rStyle w:val="Emphasis"/>
          <w:rFonts w:cstheme="minorBidi"/>
          <w:color w:val="0E101A"/>
        </w:rPr>
        <w:t>Hematodinium</w:t>
      </w:r>
      <w:r w:rsidRPr="009819CE">
        <w:rPr>
          <w:rStyle w:val="Emphasis"/>
          <w:rFonts w:cstheme="minorBidi"/>
          <w:i w:val="0"/>
          <w:iCs w:val="0"/>
          <w:color w:val="0E101A"/>
        </w:rPr>
        <w:t xml:space="preserve"> sp., with smaller individuals showing a higher likelihood of developing severe infections. The mechanism underlying this size-dependent vulnerability remains unknown</w:t>
      </w:r>
      <w:r w:rsidR="00256801" w:rsidRPr="009819CE">
        <w:rPr>
          <w:rFonts w:cstheme="minorBidi"/>
        </w:rPr>
        <w:t>.</w:t>
      </w:r>
      <w:r w:rsidRPr="009819CE">
        <w:rPr>
          <w:rStyle w:val="Emphasis"/>
          <w:rFonts w:cstheme="minorBidi"/>
          <w:i w:val="0"/>
          <w:iCs w:val="0"/>
          <w:color w:val="0E101A"/>
        </w:rPr>
        <w:t xml:space="preserve"> Some hypotheses propose that larger hosts may possess humoral-mediated </w:t>
      </w:r>
      <w:r w:rsidR="0023119D" w:rsidRPr="009819CE">
        <w:rPr>
          <w:rStyle w:val="Emphasis"/>
          <w:rFonts w:cstheme="minorBidi"/>
          <w:i w:val="0"/>
          <w:iCs w:val="0"/>
          <w:color w:val="0E101A"/>
        </w:rPr>
        <w:t>defence</w:t>
      </w:r>
      <w:r w:rsidRPr="009819CE">
        <w:rPr>
          <w:rStyle w:val="Emphasis"/>
          <w:rFonts w:cstheme="minorBidi"/>
          <w:i w:val="0"/>
          <w:iCs w:val="0"/>
          <w:color w:val="0E101A"/>
        </w:rPr>
        <w:t xml:space="preserve"> mechanisms that smaller individuals lack, enabling them to counteract parasite proliferation at early stages. Studies on juvenile</w:t>
      </w:r>
      <w:r w:rsidR="00DC17F3" w:rsidRPr="009819CE">
        <w:rPr>
          <w:rStyle w:val="Emphasis"/>
          <w:rFonts w:cstheme="minorBidi"/>
          <w:i w:val="0"/>
          <w:iCs w:val="0"/>
          <w:color w:val="0E101A"/>
        </w:rPr>
        <w:t xml:space="preserve"> green shore crabs</w:t>
      </w:r>
      <w:r w:rsidRPr="009819CE">
        <w:rPr>
          <w:rStyle w:val="Emphasis"/>
          <w:rFonts w:cstheme="minorBidi"/>
          <w:i w:val="0"/>
          <w:iCs w:val="0"/>
          <w:color w:val="0E101A"/>
        </w:rPr>
        <w:t xml:space="preserve"> </w:t>
      </w:r>
      <w:r w:rsidR="00DC17F3" w:rsidRPr="009819CE">
        <w:rPr>
          <w:rStyle w:val="Emphasis"/>
          <w:rFonts w:cstheme="minorBidi"/>
          <w:i w:val="0"/>
          <w:iCs w:val="0"/>
          <w:color w:val="0E101A"/>
        </w:rPr>
        <w:t>(</w:t>
      </w:r>
      <w:r w:rsidRPr="009819CE">
        <w:rPr>
          <w:rStyle w:val="Emphasis"/>
          <w:rFonts w:cstheme="minorBidi"/>
          <w:color w:val="0E101A"/>
        </w:rPr>
        <w:t>C</w:t>
      </w:r>
      <w:r w:rsidR="00F33673" w:rsidRPr="009819CE">
        <w:rPr>
          <w:rStyle w:val="Emphasis"/>
          <w:rFonts w:cstheme="minorBidi"/>
          <w:color w:val="0E101A"/>
        </w:rPr>
        <w:t>arcinus</w:t>
      </w:r>
      <w:r w:rsidRPr="009819CE">
        <w:rPr>
          <w:rStyle w:val="Emphasis"/>
          <w:rFonts w:cstheme="minorBidi"/>
          <w:color w:val="0E101A"/>
        </w:rPr>
        <w:t xml:space="preserve"> maenas</w:t>
      </w:r>
      <w:r w:rsidR="00DC17F3" w:rsidRPr="009819CE">
        <w:rPr>
          <w:rStyle w:val="Emphasis"/>
          <w:rFonts w:cstheme="minorBidi"/>
          <w:i w:val="0"/>
          <w:iCs w:val="0"/>
          <w:color w:val="0E101A"/>
        </w:rPr>
        <w:t>)</w:t>
      </w:r>
      <w:r w:rsidRPr="009819CE">
        <w:rPr>
          <w:rStyle w:val="Emphasis"/>
          <w:rFonts w:cstheme="minorBidi"/>
          <w:i w:val="0"/>
          <w:iCs w:val="0"/>
          <w:color w:val="0E101A"/>
        </w:rPr>
        <w:t xml:space="preserve"> have shown lower immunocompetence in response to environmental contamination</w:t>
      </w:r>
      <w:r w:rsidR="0008012A" w:rsidRPr="009819CE">
        <w:rPr>
          <w:rStyle w:val="Emphasis"/>
          <w:rFonts w:cstheme="minorBidi"/>
          <w:i w:val="0"/>
          <w:iCs w:val="0"/>
          <w:color w:val="0E101A"/>
        </w:rPr>
        <w:t xml:space="preserve"> </w:t>
      </w:r>
      <w:r w:rsidR="00850188" w:rsidRPr="009819CE">
        <w:rPr>
          <w:rFonts w:cstheme="minorBidi"/>
        </w:rPr>
        <w:fldChar w:fldCharType="begin"/>
      </w:r>
      <w:r w:rsidR="00E348BC" w:rsidRPr="009819CE">
        <w:rPr>
          <w:rFonts w:cstheme="minorBidi"/>
        </w:rPr>
        <w:instrText xml:space="preserve"> ADDIN EN.CITE &lt;EndNote&gt;&lt;Cite&gt;&lt;Author&gt;Dissanayake&lt;/Author&gt;&lt;Year&gt;2008&lt;/Year&gt;&lt;RecNum&gt;1910&lt;/RecNum&gt;&lt;DisplayText&gt;(Dissanayake et al., 2008)&lt;/DisplayText&gt;&lt;record&gt;&lt;rec-number&gt;1910&lt;/rec-number&gt;&lt;foreign-keys&gt;&lt;key app="EN" db-id="sd9wrx9fj09rx3erprsx999o0r5aprvp2zse" timestamp="1707752308" guid="8e4aaf11-e3a4-44c9-8582-a5bcf95b6dbf"&gt;1910&lt;/key&gt;&lt;/foreign-keys&gt;&lt;ref-type name="Journal Article"&gt;17&lt;/ref-type&gt;&lt;contributors&gt;&lt;authors&gt;&lt;author&gt;Dissanayake, Awantha&lt;/author&gt;&lt;author&gt;Galloway, Tamara S.&lt;/author&gt;&lt;author&gt;Jones, Malcolm B.&lt;/author&gt;&lt;/authors&gt;&lt;/contributors&gt;&lt;titles&gt;&lt;title&gt;&lt;style face="normal" font="default" size="100%"&gt;Physiological responses of juvenile and adult shore crabs &lt;/style&gt;&lt;style face="italic" font="default" size="100%"&gt;Carcinus maenas &lt;/style&gt;&lt;style face="normal" font="default" size="100%"&gt;(Crustacea: Decapoda) to pyrene exposure&lt;/style&gt;&lt;/title&gt;&lt;secondary-title&gt;Marine Environmental Research&lt;/secondary-title&gt;&lt;/titles&gt;&lt;periodical&gt;&lt;full-title&gt;Marine Environmental Research&lt;/full-title&gt;&lt;/periodical&gt;&lt;pages&gt;445-450&lt;/pages&gt;&lt;volume&gt;66&lt;/volume&gt;&lt;number&gt;4&lt;/number&gt;&lt;dates&gt;&lt;year&gt;2008&lt;/year&gt;&lt;/dates&gt;&lt;publisher&gt;Elsevier BV&lt;/publisher&gt;&lt;isbn&gt;0141-1136&lt;/isbn&gt;&lt;urls&gt;&lt;related-urls&gt;&lt;url&gt;https://dx.doi.org/10.1016/j.marenvres.2008.07.006&lt;/url&gt;&lt;/related-urls&gt;&lt;/urls&gt;&lt;electronic-resource-num&gt;10.1016/j.marenvres.2008.07.006&lt;/electronic-resource-num&gt;&lt;/record&gt;&lt;/Cite&gt;&lt;/EndNote&gt;</w:instrText>
      </w:r>
      <w:r w:rsidR="00850188" w:rsidRPr="009819CE">
        <w:rPr>
          <w:rFonts w:cstheme="minorBidi"/>
        </w:rPr>
        <w:fldChar w:fldCharType="separate"/>
      </w:r>
      <w:r w:rsidR="00850188" w:rsidRPr="001F4A34">
        <w:rPr>
          <w:rFonts w:cstheme="minorBidi"/>
        </w:rPr>
        <w:t>(</w:t>
      </w:r>
      <w:hyperlink w:anchor="_ENREF_72" w:tooltip="Dissanayake, 2008 #1910" w:history="1">
        <w:r w:rsidR="00950097" w:rsidRPr="001F4A34">
          <w:rPr>
            <w:rFonts w:cstheme="minorBidi"/>
          </w:rPr>
          <w:t>Dissanayake et al., 2008</w:t>
        </w:r>
      </w:hyperlink>
      <w:r w:rsidR="00850188" w:rsidRPr="001F4A34">
        <w:rPr>
          <w:rFonts w:cstheme="minorBidi"/>
        </w:rPr>
        <w:t>)</w:t>
      </w:r>
      <w:r w:rsidR="00850188" w:rsidRPr="009819CE">
        <w:rPr>
          <w:rFonts w:cstheme="minorBidi"/>
        </w:rPr>
        <w:fldChar w:fldCharType="end"/>
      </w:r>
      <w:r w:rsidRPr="009819CE">
        <w:rPr>
          <w:rStyle w:val="Emphasis"/>
          <w:rFonts w:cstheme="minorBidi"/>
          <w:i w:val="0"/>
          <w:iCs w:val="0"/>
          <w:color w:val="0E101A"/>
        </w:rPr>
        <w:t>.</w:t>
      </w:r>
      <w:r w:rsidR="00DE75A8" w:rsidRPr="009819CE">
        <w:rPr>
          <w:rStyle w:val="Emphasis"/>
          <w:rFonts w:cstheme="minorBidi"/>
          <w:i w:val="0"/>
          <w:iCs w:val="0"/>
          <w:color w:val="0E101A"/>
        </w:rPr>
        <w:t xml:space="preserve"> H</w:t>
      </w:r>
      <w:r w:rsidR="00D166CC" w:rsidRPr="009819CE">
        <w:rPr>
          <w:rStyle w:val="Emphasis"/>
          <w:rFonts w:cstheme="minorBidi"/>
          <w:i w:val="0"/>
          <w:iCs w:val="0"/>
          <w:color w:val="0E101A"/>
        </w:rPr>
        <w:t xml:space="preserve">owever, </w:t>
      </w:r>
      <w:r w:rsidR="00DE75A8" w:rsidRPr="009819CE">
        <w:rPr>
          <w:rStyle w:val="Emphasis"/>
          <w:rFonts w:cstheme="minorBidi"/>
          <w:i w:val="0"/>
          <w:iCs w:val="0"/>
          <w:color w:val="0E101A"/>
        </w:rPr>
        <w:t xml:space="preserve">the lack of haemocyte reactivity to </w:t>
      </w:r>
      <w:r w:rsidR="009D03F4" w:rsidRPr="009819CE">
        <w:rPr>
          <w:rStyle w:val="Emphasis"/>
          <w:rFonts w:cstheme="minorBidi"/>
          <w:color w:val="0E101A"/>
        </w:rPr>
        <w:t>Hematodinium</w:t>
      </w:r>
      <w:r w:rsidR="00DE75A8" w:rsidRPr="009819CE">
        <w:rPr>
          <w:rStyle w:val="Emphasis"/>
          <w:rFonts w:cstheme="minorBidi"/>
          <w:color w:val="0E101A"/>
        </w:rPr>
        <w:t xml:space="preserve"> </w:t>
      </w:r>
      <w:r w:rsidR="00DE75A8" w:rsidRPr="009819CE">
        <w:rPr>
          <w:rStyle w:val="Emphasis"/>
          <w:rFonts w:cstheme="minorBidi"/>
          <w:i w:val="0"/>
          <w:iCs w:val="0"/>
          <w:color w:val="0E101A"/>
        </w:rPr>
        <w:t xml:space="preserve">sp. </w:t>
      </w:r>
      <w:r w:rsidR="00D66893" w:rsidRPr="009819CE">
        <w:rPr>
          <w:rStyle w:val="Emphasis"/>
          <w:rFonts w:cstheme="minorBidi"/>
          <w:i w:val="0"/>
          <w:iCs w:val="0"/>
          <w:color w:val="0E101A"/>
        </w:rPr>
        <w:t>in shore crabs (</w:t>
      </w:r>
      <w:r w:rsidR="00D66893" w:rsidRPr="009819CE">
        <w:rPr>
          <w:rStyle w:val="Emphasis"/>
          <w:rFonts w:cstheme="minorBidi"/>
          <w:color w:val="0E101A"/>
        </w:rPr>
        <w:t>Carcinus maenas</w:t>
      </w:r>
      <w:r w:rsidR="00D66893" w:rsidRPr="009819CE">
        <w:rPr>
          <w:rStyle w:val="Emphasis"/>
          <w:rFonts w:cstheme="minorBidi"/>
          <w:i w:val="0"/>
          <w:iCs w:val="0"/>
          <w:color w:val="0E101A"/>
        </w:rPr>
        <w:t xml:space="preserve">) </w:t>
      </w:r>
      <w:r w:rsidR="008D6EE4" w:rsidRPr="009819CE">
        <w:rPr>
          <w:rFonts w:cstheme="minorBidi"/>
        </w:rPr>
        <w:fldChar w:fldCharType="begin">
          <w:fldData xml:space="preserve">PEVuZE5vdGU+PENpdGU+PEF1dGhvcj5EYXZpZXM8L0F1dGhvcj48WWVhcj4yMDIyPC9ZZWFyPjxS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</w:fldData>
        </w:fldChar>
      </w:r>
      <w:r w:rsidR="00A17CF2" w:rsidRPr="009819CE">
        <w:rPr>
          <w:rFonts w:cstheme="minorBidi"/>
        </w:rPr>
        <w:instrText xml:space="preserve"> ADDIN EN.CITE </w:instrText>
      </w:r>
      <w:r w:rsidR="00A17CF2" w:rsidRPr="009819CE">
        <w:rPr>
          <w:rFonts w:cstheme="minorBidi"/>
        </w:rPr>
        <w:fldChar w:fldCharType="begin">
          <w:fldData xml:space="preserve">PEVuZE5vdGU+PENpdGU+PEF1dGhvcj5EYXZpZXM8L0F1dGhvcj48WWVhcj4yMDIyPC9ZZWFyPjxS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</w:fldData>
        </w:fldChar>
      </w:r>
      <w:r w:rsidR="00A17CF2" w:rsidRPr="009819CE">
        <w:rPr>
          <w:rFonts w:cstheme="minorBidi"/>
        </w:rPr>
        <w:instrText xml:space="preserve"> ADDIN EN.CITE.DATA </w:instrText>
      </w:r>
      <w:r w:rsidR="00A17CF2" w:rsidRPr="009819CE">
        <w:rPr>
          <w:rFonts w:cstheme="minorBidi"/>
        </w:rPr>
      </w:r>
      <w:r w:rsidR="00A17CF2" w:rsidRPr="009819CE">
        <w:rPr>
          <w:rFonts w:cstheme="minorBidi"/>
        </w:rPr>
        <w:fldChar w:fldCharType="end"/>
      </w:r>
      <w:r w:rsidR="008D6EE4" w:rsidRPr="009819CE">
        <w:rPr>
          <w:rFonts w:cstheme="minorBidi"/>
        </w:rPr>
      </w:r>
      <w:r w:rsidR="008D6EE4" w:rsidRPr="009819CE">
        <w:rPr>
          <w:rFonts w:cstheme="minorBidi"/>
        </w:rPr>
        <w:fldChar w:fldCharType="separate"/>
      </w:r>
      <w:r w:rsidR="00C44A69" w:rsidRPr="001F4A34">
        <w:rPr>
          <w:rFonts w:cstheme="minorBidi"/>
        </w:rPr>
        <w:t>(</w:t>
      </w:r>
      <w:hyperlink w:anchor="_ENREF_55" w:tooltip="Coates, 2023 #1304" w:history="1">
        <w:r w:rsidR="00950097" w:rsidRPr="001F4A34">
          <w:rPr>
            <w:rFonts w:cstheme="minorBidi"/>
          </w:rPr>
          <w:t>Coates et al., 2023</w:t>
        </w:r>
      </w:hyperlink>
      <w:r w:rsidR="00C44A69" w:rsidRPr="001F4A34">
        <w:rPr>
          <w:rFonts w:cstheme="minorBidi"/>
        </w:rPr>
        <w:t xml:space="preserve">; </w:t>
      </w:r>
      <w:hyperlink w:anchor="_ENREF_63" w:tooltip="Davies, 2022 #569" w:history="1">
        <w:r w:rsidR="00950097" w:rsidRPr="001F4A34">
          <w:rPr>
            <w:rFonts w:cstheme="minorBidi"/>
          </w:rPr>
          <w:t>Davies et al., 2022</w:t>
        </w:r>
      </w:hyperlink>
      <w:r w:rsidR="00C44A69" w:rsidRPr="001F4A34">
        <w:rPr>
          <w:rFonts w:cstheme="minorBidi"/>
        </w:rPr>
        <w:t>)</w:t>
      </w:r>
      <w:r w:rsidR="008D6EE4" w:rsidRPr="009819CE">
        <w:rPr>
          <w:rFonts w:cstheme="minorBidi"/>
        </w:rPr>
        <w:fldChar w:fldCharType="end"/>
      </w:r>
      <w:r w:rsidR="008D6EE4" w:rsidRPr="009819CE">
        <w:rPr>
          <w:rFonts w:cstheme="minorBidi"/>
        </w:rPr>
        <w:t xml:space="preserve"> p</w:t>
      </w:r>
      <w:r w:rsidR="00B95017" w:rsidRPr="009819CE">
        <w:rPr>
          <w:rStyle w:val="Emphasis"/>
          <w:rFonts w:cstheme="minorBidi"/>
          <w:i w:val="0"/>
          <w:iCs w:val="0"/>
          <w:color w:val="0E101A"/>
        </w:rPr>
        <w:t xml:space="preserve">resents a challenge when trying to explain the </w:t>
      </w:r>
      <w:r w:rsidR="008D6EE4" w:rsidRPr="009819CE">
        <w:rPr>
          <w:rStyle w:val="Emphasis"/>
          <w:rFonts w:cstheme="minorBidi"/>
          <w:i w:val="0"/>
          <w:iCs w:val="0"/>
          <w:color w:val="0E101A"/>
        </w:rPr>
        <w:t xml:space="preserve">increased susceptibility shown in smaller animals. </w:t>
      </w:r>
    </w:p>
    <w:p w14:paraId="2FC4050A" w14:textId="0ACC911B" w:rsidR="00B93F55" w:rsidRPr="009819CE" w:rsidRDefault="0088119C" w:rsidP="003E34D4">
      <w:pPr>
        <w:rPr>
          <w:rStyle w:val="Emphasis"/>
          <w:rFonts w:cstheme="minorBidi"/>
          <w:i w:val="0"/>
          <w:iCs w:val="0"/>
          <w:color w:val="0E101A"/>
        </w:rPr>
      </w:pPr>
      <w:r w:rsidRPr="00FA7D47">
        <w:rPr>
          <w:rFonts w:cstheme="minorBidi"/>
        </w:rPr>
        <w:t>Th</w:t>
      </w:r>
      <w:r w:rsidR="006565A7" w:rsidRPr="00FA7D47">
        <w:rPr>
          <w:rFonts w:cstheme="minorBidi"/>
        </w:rPr>
        <w:t>is</w:t>
      </w:r>
      <w:r w:rsidR="00B93F55" w:rsidRPr="009819CE">
        <w:rPr>
          <w:rFonts w:cstheme="minorBidi"/>
        </w:rPr>
        <w:t xml:space="preserve"> study also shows that females, due to their biology (burrow emergency and synchronised moulting in spring time)</w:t>
      </w:r>
      <w:r w:rsidR="00D35B1B" w:rsidRPr="009819CE">
        <w:rPr>
          <w:rFonts w:cstheme="minorBidi"/>
        </w:rPr>
        <w:t xml:space="preserve"> </w:t>
      </w:r>
      <w:r w:rsidR="00D35B1B" w:rsidRPr="009819CE">
        <w:rPr>
          <w:rFonts w:cstheme="minorBidi"/>
        </w:rPr>
        <w:fldChar w:fldCharType="begin">
          <w:fldData xml:space="preserve">PEVuZE5vdGU+PENpdGU+PEF1dGhvcj5UaG9tYXM8L0F1dGhvcj48WWVhcj4xOTY0PC9ZZWFyPjxS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=
</w:fldData>
        </w:fldChar>
      </w:r>
      <w:r w:rsidR="00EE7FB9">
        <w:rPr>
          <w:rFonts w:cstheme="minorBidi"/>
        </w:rPr>
        <w:instrText xml:space="preserve"> ADDIN EN.CITE </w:instrText>
      </w:r>
      <w:r w:rsidR="00EE7FB9">
        <w:rPr>
          <w:rFonts w:cstheme="minorBidi"/>
        </w:rPr>
        <w:fldChar w:fldCharType="begin">
          <w:fldData xml:space="preserve">PEVuZE5vdGU+PENpdGU+PEF1dGhvcj5UaG9tYXM8L0F1dGhvcj48WWVhcj4xOTY0PC9ZZWFyPjxS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=
</w:fldData>
        </w:fldChar>
      </w:r>
      <w:r w:rsidR="00EE7FB9">
        <w:rPr>
          <w:rFonts w:cstheme="minorBidi"/>
        </w:rPr>
        <w:instrText xml:space="preserve"> ADDIN EN.CITE.DATA </w:instrText>
      </w:r>
      <w:r w:rsidR="00EE7FB9">
        <w:rPr>
          <w:rFonts w:cstheme="minorBidi"/>
        </w:rPr>
      </w:r>
      <w:r w:rsidR="00EE7FB9">
        <w:rPr>
          <w:rFonts w:cstheme="minorBidi"/>
        </w:rPr>
        <w:fldChar w:fldCharType="end"/>
      </w:r>
      <w:r w:rsidR="00D35B1B" w:rsidRPr="009819CE">
        <w:rPr>
          <w:rFonts w:cstheme="minorBidi"/>
        </w:rPr>
      </w:r>
      <w:r w:rsidR="00D35B1B" w:rsidRPr="009819CE">
        <w:rPr>
          <w:rFonts w:cstheme="minorBidi"/>
        </w:rPr>
        <w:fldChar w:fldCharType="separate"/>
      </w:r>
      <w:r w:rsidR="00D35B1B" w:rsidRPr="00EE7FB9">
        <w:rPr>
          <w:rFonts w:cstheme="minorBidi"/>
          <w:noProof/>
        </w:rPr>
        <w:t>(</w:t>
      </w:r>
      <w:hyperlink w:anchor="_ENREF_28" w:tooltip="Beevers, 2010 #247" w:history="1">
        <w:r w:rsidR="00950097" w:rsidRPr="00EE7FB9">
          <w:rPr>
            <w:rFonts w:cstheme="minorBidi"/>
            <w:noProof/>
          </w:rPr>
          <w:t>Beevers, 2010</w:t>
        </w:r>
      </w:hyperlink>
      <w:r w:rsidR="00D35B1B" w:rsidRPr="00EE7FB9">
        <w:rPr>
          <w:rFonts w:cstheme="minorBidi"/>
          <w:noProof/>
        </w:rPr>
        <w:t xml:space="preserve">; </w:t>
      </w:r>
      <w:hyperlink w:anchor="_ENREF_221" w:tooltip="Milligan, 2009 #336" w:history="1">
        <w:r w:rsidR="00950097" w:rsidRPr="00EE7FB9">
          <w:rPr>
            <w:rFonts w:cstheme="minorBidi"/>
            <w:noProof/>
          </w:rPr>
          <w:t>Milligan et al., 2009</w:t>
        </w:r>
      </w:hyperlink>
      <w:r w:rsidR="00D35B1B" w:rsidRPr="00EE7FB9">
        <w:rPr>
          <w:rFonts w:cstheme="minorBidi"/>
          <w:noProof/>
        </w:rPr>
        <w:t xml:space="preserve">; </w:t>
      </w:r>
      <w:hyperlink w:anchor="_ENREF_298" w:tooltip="Stentiford, 2000 #281" w:history="1">
        <w:r w:rsidR="00950097" w:rsidRPr="00EE7FB9">
          <w:rPr>
            <w:rFonts w:cstheme="minorBidi"/>
            <w:noProof/>
          </w:rPr>
          <w:t>Stentiford, 2000</w:t>
        </w:r>
      </w:hyperlink>
      <w:r w:rsidR="00D35B1B" w:rsidRPr="00EE7FB9">
        <w:rPr>
          <w:rFonts w:cstheme="minorBidi"/>
          <w:noProof/>
        </w:rPr>
        <w:t xml:space="preserve">; </w:t>
      </w:r>
      <w:hyperlink w:anchor="_ENREF_324" w:tooltip="Thomas, 1964 #1911" w:history="1">
        <w:r w:rsidR="00950097" w:rsidRPr="00EE7FB9">
          <w:rPr>
            <w:rFonts w:cstheme="minorBidi"/>
            <w:noProof/>
          </w:rPr>
          <w:t>Thomas, 1964</w:t>
        </w:r>
      </w:hyperlink>
      <w:r w:rsidR="00D35B1B" w:rsidRPr="00EE7FB9">
        <w:rPr>
          <w:rFonts w:cstheme="minorBidi"/>
          <w:noProof/>
        </w:rPr>
        <w:t xml:space="preserve">; </w:t>
      </w:r>
      <w:hyperlink w:anchor="_ENREF_329" w:tooltip="Tuck, 1997 #113" w:history="1">
        <w:r w:rsidR="00950097" w:rsidRPr="00EE7FB9">
          <w:rPr>
            <w:rFonts w:cstheme="minorBidi"/>
            <w:noProof/>
          </w:rPr>
          <w:t>Tuck, 1997</w:t>
        </w:r>
      </w:hyperlink>
      <w:r w:rsidR="00D35B1B" w:rsidRPr="00EE7FB9">
        <w:rPr>
          <w:rFonts w:cstheme="minorBidi"/>
          <w:noProof/>
        </w:rPr>
        <w:t xml:space="preserve">; </w:t>
      </w:r>
      <w:hyperlink w:anchor="_ENREF_351" w:tooltip="Watts, 2012 #979" w:history="1">
        <w:r w:rsidR="00950097" w:rsidRPr="00EE7FB9">
          <w:rPr>
            <w:rFonts w:cstheme="minorBidi"/>
            <w:noProof/>
          </w:rPr>
          <w:t>Watts, 2012</w:t>
        </w:r>
      </w:hyperlink>
      <w:r w:rsidR="00D35B1B" w:rsidRPr="00EE7FB9">
        <w:rPr>
          <w:rFonts w:cstheme="minorBidi"/>
          <w:noProof/>
        </w:rPr>
        <w:t>)</w:t>
      </w:r>
      <w:r w:rsidR="00D35B1B" w:rsidRPr="009819CE">
        <w:rPr>
          <w:rFonts w:cstheme="minorBidi"/>
        </w:rPr>
        <w:fldChar w:fldCharType="end"/>
      </w:r>
      <w:r w:rsidR="00B93F55" w:rsidRPr="009819CE">
        <w:rPr>
          <w:rFonts w:cstheme="minorBidi"/>
        </w:rPr>
        <w:t xml:space="preserve">, are more exposed, and therefore more at risk of being infected by </w:t>
      </w:r>
      <w:r w:rsidR="009D03F4" w:rsidRPr="009819CE">
        <w:rPr>
          <w:rFonts w:cstheme="minorBidi"/>
          <w:i/>
        </w:rPr>
        <w:t>Hematodinium</w:t>
      </w:r>
      <w:r w:rsidR="00B93F55" w:rsidRPr="009819CE">
        <w:rPr>
          <w:rFonts w:cstheme="minorBidi"/>
        </w:rPr>
        <w:t xml:space="preserve"> sp. </w:t>
      </w:r>
      <w:r w:rsidR="000C7B80" w:rsidRPr="009819CE">
        <w:rPr>
          <w:rStyle w:val="Emphasis"/>
          <w:rFonts w:cstheme="minorBidi"/>
          <w:i w:val="0"/>
          <w:iCs w:val="0"/>
          <w:color w:val="0E101A"/>
        </w:rPr>
        <w:t>Females</w:t>
      </w:r>
      <w:r w:rsidR="00B93F55" w:rsidRPr="009819CE">
        <w:rPr>
          <w:rStyle w:val="Emphasis"/>
          <w:rFonts w:cstheme="minorBidi"/>
          <w:i w:val="0"/>
          <w:iCs w:val="0"/>
          <w:color w:val="0E101A"/>
        </w:rPr>
        <w:t xml:space="preserve"> dominate catches during May–August</w:t>
      </w:r>
      <w:r w:rsidR="00E445B2" w:rsidRPr="009819CE">
        <w:rPr>
          <w:rStyle w:val="Emphasis"/>
          <w:rFonts w:cstheme="minorBidi"/>
          <w:i w:val="0"/>
          <w:iCs w:val="0"/>
          <w:color w:val="0E101A"/>
        </w:rPr>
        <w:t xml:space="preserve"> </w:t>
      </w:r>
      <w:r w:rsidR="008965B0" w:rsidRPr="009819CE">
        <w:rPr>
          <w:rStyle w:val="Emphasis"/>
          <w:rFonts w:cstheme="minorBidi"/>
          <w:i w:val="0"/>
          <w:iCs w:val="0"/>
          <w:color w:val="0E101A"/>
        </w:rPr>
        <w:t xml:space="preserve">and </w:t>
      </w:r>
      <w:r w:rsidR="00C5668A" w:rsidRPr="009819CE">
        <w:rPr>
          <w:rStyle w:val="Emphasis"/>
          <w:rFonts w:cstheme="minorBidi"/>
          <w:i w:val="0"/>
          <w:iCs w:val="0"/>
          <w:color w:val="0E101A"/>
        </w:rPr>
        <w:t xml:space="preserve">during this period </w:t>
      </w:r>
      <w:r w:rsidR="00E3124B" w:rsidRPr="009819CE">
        <w:rPr>
          <w:rStyle w:val="Emphasis"/>
          <w:rFonts w:cstheme="minorBidi"/>
          <w:i w:val="0"/>
          <w:iCs w:val="0"/>
          <w:color w:val="0E101A"/>
        </w:rPr>
        <w:t>d</w:t>
      </w:r>
      <w:r w:rsidR="00B93F55" w:rsidRPr="009819CE">
        <w:rPr>
          <w:rStyle w:val="Emphasis"/>
          <w:rFonts w:cstheme="minorBidi"/>
          <w:i w:val="0"/>
          <w:iCs w:val="0"/>
          <w:color w:val="0E101A"/>
        </w:rPr>
        <w:t>inospores released during the peak of severity (March–April) likely remain available for 60–90 days</w:t>
      </w:r>
      <w:r w:rsidR="00903022" w:rsidRPr="009819CE">
        <w:rPr>
          <w:rStyle w:val="Emphasis"/>
          <w:rFonts w:cstheme="minorBidi"/>
          <w:i w:val="0"/>
          <w:iCs w:val="0"/>
          <w:color w:val="0E101A"/>
        </w:rPr>
        <w:t xml:space="preserve"> </w:t>
      </w:r>
      <w:r w:rsidR="001650FC" w:rsidRPr="009819CE">
        <w:rPr>
          <w:rStyle w:val="Emphasis"/>
          <w:rFonts w:cstheme="minorBidi"/>
          <w:i w:val="0"/>
          <w:iCs w:val="0"/>
          <w:color w:val="0E101A"/>
        </w:rPr>
        <w:fldChar w:fldCharType="begin">
          <w:fldData xml:space="preserve">PEVuZE5vdGU+PENpdGU+PEF1dGhvcj5NZXllcnM8L0F1dGhvcj48WWVhcj4xOTg3PC9ZZWFyPjxS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</w:fldData>
        </w:fldChar>
      </w:r>
      <w:r w:rsidR="003353A0" w:rsidRPr="009819CE">
        <w:rPr>
          <w:rStyle w:val="Emphasis"/>
          <w:rFonts w:cstheme="minorBidi"/>
          <w:i w:val="0"/>
          <w:iCs w:val="0"/>
          <w:color w:val="0E101A"/>
        </w:rPr>
        <w:instrText xml:space="preserve"> ADDIN EN.CITE </w:instrText>
      </w:r>
      <w:r w:rsidR="003353A0" w:rsidRPr="009819CE">
        <w:rPr>
          <w:rStyle w:val="Emphasis"/>
          <w:rFonts w:cstheme="minorBidi"/>
          <w:i w:val="0"/>
          <w:iCs w:val="0"/>
          <w:color w:val="0E101A"/>
        </w:rPr>
        <w:fldChar w:fldCharType="begin">
          <w:fldData xml:space="preserve">PEVuZE5vdGU+PENpdGU+PEF1dGhvcj5NZXllcnM8L0F1dGhvcj48WWVhcj4xOTg3PC9ZZWFyPjxS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</w:fldData>
        </w:fldChar>
      </w:r>
      <w:r w:rsidR="003353A0" w:rsidRPr="009819CE">
        <w:rPr>
          <w:rStyle w:val="Emphasis"/>
          <w:rFonts w:cstheme="minorBidi"/>
          <w:i w:val="0"/>
          <w:iCs w:val="0"/>
          <w:color w:val="0E101A"/>
        </w:rPr>
        <w:instrText xml:space="preserve"> ADDIN EN.CITE.DATA </w:instrText>
      </w:r>
      <w:r w:rsidR="003353A0" w:rsidRPr="009819CE">
        <w:rPr>
          <w:rStyle w:val="Emphasis"/>
          <w:rFonts w:cstheme="minorBidi"/>
          <w:i w:val="0"/>
          <w:iCs w:val="0"/>
          <w:color w:val="0E101A"/>
        </w:rPr>
      </w:r>
      <w:r w:rsidR="003353A0" w:rsidRPr="009819CE">
        <w:rPr>
          <w:rStyle w:val="Emphasis"/>
          <w:rFonts w:cstheme="minorBidi"/>
          <w:i w:val="0"/>
          <w:iCs w:val="0"/>
          <w:color w:val="0E101A"/>
        </w:rPr>
        <w:fldChar w:fldCharType="end"/>
      </w:r>
      <w:r w:rsidR="001650FC" w:rsidRPr="009819CE">
        <w:rPr>
          <w:rStyle w:val="Emphasis"/>
          <w:rFonts w:cstheme="minorBidi"/>
          <w:i w:val="0"/>
          <w:iCs w:val="0"/>
          <w:color w:val="0E101A"/>
        </w:rPr>
      </w:r>
      <w:r w:rsidR="001650FC" w:rsidRPr="009819CE">
        <w:rPr>
          <w:rStyle w:val="Emphasis"/>
          <w:rFonts w:cstheme="minorBidi"/>
          <w:i w:val="0"/>
          <w:iCs w:val="0"/>
          <w:color w:val="0E101A"/>
        </w:rPr>
        <w:fldChar w:fldCharType="separate"/>
      </w:r>
      <w:r w:rsidR="001E2705" w:rsidRPr="001F4A34">
        <w:rPr>
          <w:rStyle w:val="Emphasis"/>
          <w:rFonts w:cstheme="minorBidi"/>
          <w:i w:val="0"/>
          <w:iCs w:val="0"/>
          <w:color w:val="0E101A"/>
        </w:rPr>
        <w:t>(</w:t>
      </w:r>
      <w:hyperlink w:anchor="_ENREF_18" w:tooltip="Appleton, 1998 #373" w:history="1">
        <w:r w:rsidR="00950097" w:rsidRPr="001F4A34">
          <w:rPr>
            <w:rStyle w:val="Emphasis"/>
            <w:rFonts w:cstheme="minorBidi"/>
            <w:i w:val="0"/>
            <w:iCs w:val="0"/>
            <w:color w:val="0E101A"/>
          </w:rPr>
          <w:t>Appleton and Vickerman, 1998</w:t>
        </w:r>
      </w:hyperlink>
      <w:r w:rsidR="001E2705" w:rsidRPr="001F4A34">
        <w:rPr>
          <w:rStyle w:val="Emphasis"/>
          <w:rFonts w:cstheme="minorBidi"/>
          <w:i w:val="0"/>
          <w:iCs w:val="0"/>
          <w:color w:val="0E101A"/>
        </w:rPr>
        <w:t xml:space="preserve">; </w:t>
      </w:r>
      <w:hyperlink w:anchor="_ENREF_217" w:tooltip="Meyers, 1987 #428" w:history="1">
        <w:r w:rsidR="00950097" w:rsidRPr="001F4A34">
          <w:rPr>
            <w:rStyle w:val="Emphasis"/>
            <w:rFonts w:cstheme="minorBidi"/>
            <w:i w:val="0"/>
            <w:iCs w:val="0"/>
            <w:color w:val="0E101A"/>
          </w:rPr>
          <w:t>Meyers et al., 1987</w:t>
        </w:r>
      </w:hyperlink>
      <w:r w:rsidR="001E2705" w:rsidRPr="001F4A34">
        <w:rPr>
          <w:rStyle w:val="Emphasis"/>
          <w:rFonts w:cstheme="minorBidi"/>
          <w:i w:val="0"/>
          <w:iCs w:val="0"/>
          <w:color w:val="0E101A"/>
        </w:rPr>
        <w:t>)</w:t>
      </w:r>
      <w:r w:rsidR="001650FC" w:rsidRPr="009819CE">
        <w:rPr>
          <w:rStyle w:val="Emphasis"/>
          <w:rFonts w:cstheme="minorBidi"/>
          <w:i w:val="0"/>
          <w:iCs w:val="0"/>
          <w:color w:val="0E101A"/>
        </w:rPr>
        <w:fldChar w:fldCharType="end"/>
      </w:r>
      <w:r w:rsidR="00B93F55" w:rsidRPr="009819CE">
        <w:rPr>
          <w:rStyle w:val="Emphasis"/>
          <w:rFonts w:cstheme="minorBidi"/>
          <w:i w:val="0"/>
          <w:iCs w:val="0"/>
          <w:color w:val="0E101A"/>
        </w:rPr>
        <w:t xml:space="preserve">, potentially entering other </w:t>
      </w:r>
      <w:r w:rsidR="00C31E47" w:rsidRPr="009819CE">
        <w:rPr>
          <w:rStyle w:val="Emphasis"/>
          <w:rFonts w:cstheme="minorBidi"/>
          <w:color w:val="0E101A"/>
        </w:rPr>
        <w:t>Nephrops</w:t>
      </w:r>
      <w:r w:rsidR="00B93F55" w:rsidRPr="009819CE">
        <w:rPr>
          <w:rStyle w:val="Emphasis"/>
          <w:rFonts w:cstheme="minorBidi"/>
          <w:i w:val="0"/>
          <w:iCs w:val="0"/>
          <w:color w:val="0E101A"/>
        </w:rPr>
        <w:t xml:space="preserve"> </w:t>
      </w:r>
      <w:r w:rsidR="00954AAC" w:rsidRPr="009819CE">
        <w:rPr>
          <w:rFonts w:cstheme="minorBidi"/>
        </w:rPr>
        <w:t xml:space="preserve">via the gills or breaks in the integument </w:t>
      </w:r>
      <w:r w:rsidR="00564BE2" w:rsidRPr="009819CE">
        <w:rPr>
          <w:rFonts w:cstheme="minorBidi"/>
        </w:rPr>
        <w:fldChar w:fldCharType="begin"/>
      </w:r>
      <w:r w:rsidR="00564BE2" w:rsidRPr="009819CE">
        <w:rPr>
          <w:rFonts w:cstheme="minorBidi"/>
        </w:rPr>
        <w:instrText xml:space="preserve"> ADDIN EN.CITE &lt;EndNote&gt;&lt;Cite&gt;&lt;Author&gt;Hanif&lt;/Author&gt;&lt;Year&gt;2013&lt;/Year&gt;&lt;RecNum&gt;351&lt;/RecNum&gt;&lt;DisplayText&gt;(Hanif et al., 2013)&lt;/DisplayText&gt;&lt;record&gt;&lt;rec-number&gt;351&lt;/rec-number&gt;&lt;foreign-keys&gt;&lt;key app="EN" db-id="sd9wrx9fj09rx3erprsx999o0r5aprvp2zse" timestamp="1687855901" guid="7b7400aa-63cf-4c76-9f4b-b8ca499e4d14"&gt;351&lt;/key&gt;&lt;/foreign-keys&gt;&lt;ref-type name="Journal Article"&gt;17&lt;/ref-type&gt;&lt;contributors&gt;&lt;authors&gt;&lt;author&gt;Hanif, Ammar W.&lt;/author&gt;&lt;author&gt;Dyson, Whitney D.&lt;/author&gt;&lt;author&gt;Bowers, Holly A.&lt;/author&gt;&lt;author&gt;Pitula, Joseph S.&lt;/author&gt;&lt;author&gt;Messick, Gretchen A.&lt;/author&gt;&lt;author&gt;Jagus, Rosemary&lt;/author&gt;&lt;author&gt;Schott, Eric J.&lt;/author&gt;&lt;/authors&gt;&lt;/contributors&gt;&lt;titles&gt;&lt;title&gt;&lt;style face="normal" font="default" size="100%"&gt;Variation in spatial and temporal incidence of the crustacean pathogen &lt;/style&gt;&lt;style face="italic" font="default" size="100%"&gt;Hematodinium perezi&lt;/style&gt;&lt;style face="normal" font="default" size="100%"&gt; in environmental samples from Atlantic Coastal Bays&lt;/style&gt;&lt;/title&gt;&lt;secondary-title&gt;Aquatic Biosystems&lt;/secondary-title&gt;&lt;/titles&gt;&lt;periodical&gt;&lt;full-title&gt;Aquatic Biosystems&lt;/full-title&gt;&lt;/periodical&gt;&lt;pages&gt;11-11&lt;/pages&gt;&lt;volume&gt;9&lt;/volume&gt;&lt;number&gt;1&lt;/number&gt;&lt;keywords&gt;&lt;keyword&gt;Blue crab&lt;/keyword&gt;&lt;keyword&gt;Disease reservoir&lt;/keyword&gt;&lt;keyword&gt;Fishery&lt;/keyword&gt;&lt;keyword&gt;Hematodinium&lt;/keyword&gt;&lt;keyword&gt;Parasite&lt;/keyword&gt;&lt;/keywords&gt;&lt;dates&gt;&lt;year&gt;2013&lt;/year&gt;&lt;/dates&gt;&lt;urls&gt;&lt;related-urls&gt;&lt;url&gt;http://aquaticbiosystems.biomedcentral.com/articles/10.1186/2046-9063-9-11&lt;/url&gt;&lt;/related-urls&gt;&lt;/urls&gt;&lt;electronic-resource-num&gt;10.1186/2046-9063-9-11&lt;/electronic-resource-num&gt;&lt;/record&gt;&lt;/Cite&gt;&lt;/EndNote&gt;</w:instrText>
      </w:r>
      <w:r w:rsidR="00564BE2" w:rsidRPr="009819CE">
        <w:rPr>
          <w:rFonts w:cstheme="minorBidi"/>
        </w:rPr>
        <w:fldChar w:fldCharType="separate"/>
      </w:r>
      <w:r w:rsidR="00564BE2" w:rsidRPr="009819CE">
        <w:rPr>
          <w:rFonts w:cstheme="minorBidi"/>
        </w:rPr>
        <w:t>(</w:t>
      </w:r>
      <w:hyperlink w:anchor="_ENREF_125" w:tooltip="Hanif, 2013 #351" w:history="1">
        <w:r w:rsidR="00950097" w:rsidRPr="009819CE">
          <w:rPr>
            <w:rFonts w:cstheme="minorBidi"/>
          </w:rPr>
          <w:t>Hanif et al., 2013</w:t>
        </w:r>
      </w:hyperlink>
      <w:r w:rsidR="00564BE2" w:rsidRPr="009819CE">
        <w:rPr>
          <w:rFonts w:cstheme="minorBidi"/>
        </w:rPr>
        <w:t>)</w:t>
      </w:r>
      <w:r w:rsidR="00564BE2" w:rsidRPr="009819CE">
        <w:rPr>
          <w:rFonts w:cstheme="minorBidi"/>
        </w:rPr>
        <w:fldChar w:fldCharType="end"/>
      </w:r>
      <w:r w:rsidR="00954AAC" w:rsidRPr="009819CE">
        <w:rPr>
          <w:rFonts w:cstheme="minorBidi"/>
        </w:rPr>
        <w:t xml:space="preserve">, passively through suspension-feeding </w:t>
      </w:r>
      <w:r w:rsidR="00277373" w:rsidRPr="009819CE">
        <w:rPr>
          <w:rFonts w:cstheme="minorBidi"/>
        </w:rPr>
        <w:fldChar w:fldCharType="begin"/>
      </w:r>
      <w:r w:rsidR="00277373" w:rsidRPr="009819CE">
        <w:rPr>
          <w:rFonts w:cstheme="minorBidi"/>
        </w:rPr>
        <w:instrText xml:space="preserve"> ADDIN EN.CITE &lt;EndNote&gt;&lt;Cite&gt;&lt;Author&gt;Briggs&lt;/Author&gt;&lt;Year&gt;2002&lt;/Year&gt;&lt;RecNum&gt;374&lt;/RecNum&gt;&lt;DisplayText&gt;(Briggs and McAliskey, 2002)&lt;/DisplayText&gt;&lt;record&gt;&lt;rec-number&gt;374&lt;/rec-number&gt;&lt;foreign-keys&gt;&lt;key app="EN" db-id="sd9wrx9fj09rx3erprsx999o0r5aprvp2zse" timestamp="1687855901" guid="fffb00b5-cdee-4035-9ba9-fbd2e8e33433"&gt;374&lt;/key&gt;&lt;/foreign-keys&gt;&lt;ref-type name="Journal Article"&gt;17&lt;/ref-type&gt;&lt;contributors&gt;&lt;authors&gt;&lt;author&gt;Briggs, R. P.&lt;/author&gt;&lt;author&gt;McAliskey, M.&lt;/author&gt;&lt;/authors&gt;&lt;/contributors&gt;&lt;titles&gt;&lt;title&gt;&lt;style face="normal" font="default" size="100%"&gt;The prevalence of &lt;/style&gt;&lt;style face="italic" font="default" size="100%"&gt;Hematodinium&lt;/style&gt;&lt;style face="normal" font="default" size="100%"&gt; in &lt;/style&gt;&lt;style face="italic" font="default" size="100%"&gt;Nephrops norvegicus &lt;/style&gt;&lt;style face="normal" font="default" size="100%"&gt;from the western Irish Sea&lt;/style&gt;&lt;/title&gt;&lt;secondary-title&gt;Journal of the Marine Biological Association of the United Kingdom&lt;/secondary-title&gt;&lt;/titles&gt;&lt;periodical&gt;&lt;full-title&gt;Journal of the Marine Biological Association of the United Kingdom&lt;/full-title&gt;&lt;/periodical&gt;&lt;pages&gt;427-433&lt;/pages&gt;&lt;volume&gt;82&lt;/volume&gt;&lt;number&gt;3&lt;/number&gt;&lt;dates&gt;&lt;year&gt;2002&lt;/year&gt;&lt;pub-dates&gt;&lt;date&gt;2002/6//&lt;/date&gt;&lt;/pub-dates&gt;&lt;/dates&gt;&lt;urls&gt;&lt;related-urls&gt;&lt;url&gt;https://www.cambridge.org/core/product/identifier/S0025315402005684/type/journal_article&lt;/url&gt;&lt;url&gt;https://www.cambridge.org/core/journals/journal-of-the-marine-biological-association-of-the-united-kingdom/article/abs/prevalence-of-hematodinium-in-nephrops-norvegicus-from-the-western-irish-sea/F62274CA5D9F0DADB8129BB1E188BBD5&lt;/url&gt;&lt;/related-urls&gt;&lt;/urls&gt;&lt;electronic-resource-num&gt;10.1017/S0025315402005684&lt;/electronic-resource-num&gt;&lt;/record&gt;&lt;/Cite&gt;&lt;/EndNote&gt;</w:instrText>
      </w:r>
      <w:r w:rsidR="00277373" w:rsidRPr="009819CE">
        <w:rPr>
          <w:rFonts w:cstheme="minorBidi"/>
        </w:rPr>
        <w:fldChar w:fldCharType="separate"/>
      </w:r>
      <w:r w:rsidR="00277373" w:rsidRPr="009819CE">
        <w:rPr>
          <w:rFonts w:cstheme="minorBidi"/>
        </w:rPr>
        <w:t>(</w:t>
      </w:r>
      <w:hyperlink w:anchor="_ENREF_34" w:tooltip="Briggs, 2002 #374" w:history="1">
        <w:r w:rsidR="00950097" w:rsidRPr="009819CE">
          <w:rPr>
            <w:rFonts w:cstheme="minorBidi"/>
          </w:rPr>
          <w:t>Briggs and McAliskey, 2002</w:t>
        </w:r>
      </w:hyperlink>
      <w:r w:rsidR="00277373" w:rsidRPr="009819CE">
        <w:rPr>
          <w:rFonts w:cstheme="minorBidi"/>
        </w:rPr>
        <w:t>)</w:t>
      </w:r>
      <w:r w:rsidR="00277373" w:rsidRPr="009819CE">
        <w:rPr>
          <w:rFonts w:cstheme="minorBidi"/>
        </w:rPr>
        <w:fldChar w:fldCharType="end"/>
      </w:r>
      <w:r w:rsidR="00954AAC" w:rsidRPr="009819CE">
        <w:rPr>
          <w:rFonts w:cstheme="minorBidi"/>
        </w:rPr>
        <w:t xml:space="preserve">, or directly through ingestion of infected individuals </w:t>
      </w:r>
      <w:r w:rsidR="00443DBB" w:rsidRPr="009819CE">
        <w:rPr>
          <w:rFonts w:cstheme="minorBidi"/>
        </w:rPr>
        <w:fldChar w:fldCharType="begin"/>
      </w:r>
      <w:r w:rsidR="00443DBB" w:rsidRPr="009819CE">
        <w:rPr>
          <w:rFonts w:cstheme="minorBidi"/>
        </w:rPr>
        <w:instrText xml:space="preserve"> ADDIN EN.CITE &lt;EndNote&gt;&lt;Cite&gt;&lt;Author&gt;Shields&lt;/Author&gt;&lt;Year&gt;1994&lt;/Year&gt;&lt;RecNum&gt;100&lt;/RecNum&gt;&lt;DisplayText&gt;(Shields, 1994)&lt;/DisplayText&gt;&lt;record&gt;&lt;rec-number&gt;100&lt;/rec-number&gt;&lt;foreign-keys&gt;&lt;key app="EN" db-id="sd9wrx9fj09rx3erprsx999o0r5aprvp2zse" timestamp="1687855901" guid="e7949e2d-78a2-4920-aa7e-b3655adbb6b5"&gt;100&lt;/key&gt;&lt;/foreign-keys&gt;&lt;ref-type name="Journal Article"&gt;17&lt;/ref-type&gt;&lt;contributors&gt;&lt;authors&gt;&lt;author&gt;Shields, Jeffrey D.&lt;/author&gt;&lt;/authors&gt;&lt;/contributors&gt;&lt;titles&gt;&lt;title&gt;The parasitic dinoflagellates of marine crustaceans&lt;/title&gt;&lt;secondary-title&gt;Annual Review of Fish Diseases&lt;/secondary-title&gt;&lt;/titles&gt;&lt;periodical&gt;&lt;full-title&gt;Annual Review of Fish Diseases&lt;/full-title&gt;&lt;/periodical&gt;&lt;pages&gt;241-271&lt;/pages&gt;&lt;volume&gt;4&lt;/volume&gt;&lt;keywords&gt;&lt;keyword&gt;Actinodinium&lt;/keyword&gt;&lt;keyword&gt;Atelodinium&lt;/keyword&gt;&lt;keyword&gt;Blastodinium&lt;/keyword&gt;&lt;keyword&gt;Chytriodinium&lt;/keyword&gt;&lt;keyword&gt;Dissodinium&lt;/keyword&gt;&lt;keyword&gt;Ellobiocystis&lt;/keyword&gt;&lt;keyword&gt;Ellobiopsis&lt;/keyword&gt;&lt;keyword&gt;Epizootiology&lt;/keyword&gt;&lt;keyword&gt;Hematodinium&lt;/keyword&gt;&lt;keyword&gt;Life cycle&lt;/keyword&gt;&lt;keyword&gt;Paradinium&lt;/keyword&gt;&lt;keyword&gt;Parallobiopsis&lt;/keyword&gt;&lt;keyword&gt;Pathology&lt;/keyword&gt;&lt;keyword&gt;Rhizellobiopsis&lt;/keyword&gt;&lt;keyword&gt;Schizochytriodinium&lt;/keyword&gt;&lt;keyword&gt;Syltodinium&lt;/keyword&gt;&lt;keyword&gt;Syndinium&lt;/keyword&gt;&lt;keyword&gt;Taxonomy&lt;/keyword&gt;&lt;keyword&gt;Thalassomyces&lt;/keyword&gt;&lt;keyword&gt;Trypanodinium&lt;/keyword&gt;&lt;/keywords&gt;&lt;dates&gt;&lt;year&gt;1994&lt;/year&gt;&lt;pub-dates&gt;&lt;date&gt;1994/1//&lt;/date&gt;&lt;/pub-dates&gt;&lt;/dates&gt;&lt;urls&gt;&lt;related-urls&gt;&lt;url&gt;https://linkinghub.elsevier.com/retrieve/pii/0959803094900310&lt;/url&gt;&lt;url&gt;https://www.sciencedirect.com/science/article/abs/pii/0959803094900310?via%3Dihub&lt;/url&gt;&lt;/related-urls&gt;&lt;/urls&gt;&lt;electronic-resource-num&gt;10.1016/0959-8030(94)90031-0&lt;/electronic-resource-num&gt;&lt;/record&gt;&lt;/Cite&gt;&lt;/EndNote&gt;</w:instrText>
      </w:r>
      <w:r w:rsidR="00443DBB" w:rsidRPr="009819CE">
        <w:rPr>
          <w:rFonts w:cstheme="minorBidi"/>
        </w:rPr>
        <w:fldChar w:fldCharType="separate"/>
      </w:r>
      <w:r w:rsidR="00443DBB" w:rsidRPr="009819CE">
        <w:rPr>
          <w:rFonts w:cstheme="minorBidi"/>
        </w:rPr>
        <w:t>(</w:t>
      </w:r>
      <w:hyperlink w:anchor="_ENREF_278" w:tooltip="Shields, 1994 #100" w:history="1">
        <w:r w:rsidR="00950097" w:rsidRPr="009819CE">
          <w:rPr>
            <w:rFonts w:cstheme="minorBidi"/>
          </w:rPr>
          <w:t>Shields, 1994</w:t>
        </w:r>
      </w:hyperlink>
      <w:r w:rsidR="00443DBB" w:rsidRPr="009819CE">
        <w:rPr>
          <w:rFonts w:cstheme="minorBidi"/>
        </w:rPr>
        <w:t>)</w:t>
      </w:r>
      <w:r w:rsidR="00443DBB" w:rsidRPr="009819CE">
        <w:rPr>
          <w:rFonts w:cstheme="minorBidi"/>
        </w:rPr>
        <w:fldChar w:fldCharType="end"/>
      </w:r>
      <w:r w:rsidR="00954AAC" w:rsidRPr="009819CE">
        <w:rPr>
          <w:rFonts w:cstheme="minorBidi"/>
        </w:rPr>
        <w:t xml:space="preserve">. </w:t>
      </w:r>
      <w:r w:rsidR="00B93F55" w:rsidRPr="009819CE">
        <w:rPr>
          <w:rStyle w:val="Emphasis"/>
          <w:rFonts w:cstheme="minorBidi"/>
          <w:i w:val="0"/>
          <w:iCs w:val="0"/>
          <w:color w:val="0E101A"/>
        </w:rPr>
        <w:t>Th</w:t>
      </w:r>
      <w:r w:rsidR="00092864" w:rsidRPr="009819CE">
        <w:rPr>
          <w:rStyle w:val="Emphasis"/>
          <w:rFonts w:cstheme="minorBidi"/>
          <w:i w:val="0"/>
          <w:iCs w:val="0"/>
          <w:color w:val="0E101A"/>
        </w:rPr>
        <w:t>e</w:t>
      </w:r>
      <w:r w:rsidR="00CD73C7" w:rsidRPr="009819CE">
        <w:rPr>
          <w:rStyle w:val="Emphasis"/>
          <w:rFonts w:cstheme="minorBidi"/>
          <w:i w:val="0"/>
          <w:iCs w:val="0"/>
          <w:color w:val="0E101A"/>
        </w:rPr>
        <w:t xml:space="preserve"> </w:t>
      </w:r>
      <w:r w:rsidR="00B93F55" w:rsidRPr="009819CE">
        <w:rPr>
          <w:rStyle w:val="Emphasis"/>
          <w:rFonts w:cstheme="minorBidi"/>
          <w:i w:val="0"/>
          <w:iCs w:val="0"/>
          <w:color w:val="0E101A"/>
        </w:rPr>
        <w:t xml:space="preserve">presence of </w:t>
      </w:r>
      <w:r w:rsidR="009D03F4" w:rsidRPr="009819CE">
        <w:rPr>
          <w:rStyle w:val="Emphasis"/>
          <w:rFonts w:cstheme="minorBidi"/>
          <w:color w:val="0E101A"/>
        </w:rPr>
        <w:t>Hematodinium</w:t>
      </w:r>
      <w:r w:rsidR="00B93F55" w:rsidRPr="009819CE">
        <w:rPr>
          <w:rStyle w:val="Emphasis"/>
          <w:rFonts w:cstheme="minorBidi"/>
          <w:i w:val="0"/>
          <w:iCs w:val="0"/>
          <w:color w:val="0E101A"/>
        </w:rPr>
        <w:t xml:space="preserve"> sp. s</w:t>
      </w:r>
      <w:r w:rsidR="00B93F55" w:rsidRPr="009819CE">
        <w:t xml:space="preserve">pores in the environment (March to July) </w:t>
      </w:r>
      <w:r w:rsidR="00DC2278" w:rsidRPr="009819CE">
        <w:t>coincides</w:t>
      </w:r>
      <w:r w:rsidR="00B93F55" w:rsidRPr="009819CE">
        <w:t xml:space="preserve"> with the emergence of females and their moulting timing, which is highly synchronized</w:t>
      </w:r>
      <w:r w:rsidR="00B12FEF" w:rsidRPr="009819CE">
        <w:t xml:space="preserve"> in females but not in males,</w:t>
      </w:r>
      <w:r w:rsidR="00B93F55" w:rsidRPr="009819CE">
        <w:t xml:space="preserve"> may render them more susceptible to infection, </w:t>
      </w:r>
      <w:r w:rsidR="00DC2278" w:rsidRPr="009819CE">
        <w:t xml:space="preserve">at least </w:t>
      </w:r>
      <w:r w:rsidR="00B93F55" w:rsidRPr="009819CE">
        <w:t>at low severity levels.</w:t>
      </w:r>
    </w:p>
    <w:p w14:paraId="2B8F8865" w14:textId="3125674F" w:rsidR="00B07AAC" w:rsidRPr="009819CE" w:rsidRDefault="001028D1" w:rsidP="00894EC6">
      <w:pPr>
        <w:spacing w:after="0"/>
        <w:contextualSpacing/>
        <w:rPr>
          <w:rFonts w:cstheme="minorBidi"/>
        </w:rPr>
      </w:pPr>
      <w:r w:rsidRPr="00FA7D47">
        <w:rPr>
          <w:rFonts w:cstheme="minorBidi"/>
        </w:rPr>
        <w:t>C</w:t>
      </w:r>
      <w:r w:rsidR="003E34D4" w:rsidRPr="009819CE">
        <w:rPr>
          <w:rFonts w:cstheme="minorBidi"/>
        </w:rPr>
        <w:t>hapter 3</w:t>
      </w:r>
      <w:r w:rsidR="00EC2DA8" w:rsidRPr="009819CE">
        <w:rPr>
          <w:rFonts w:cstheme="minorBidi"/>
        </w:rPr>
        <w:t>,</w:t>
      </w:r>
      <w:r w:rsidR="003E34D4" w:rsidRPr="009819CE">
        <w:rPr>
          <w:rFonts w:cstheme="minorBidi"/>
        </w:rPr>
        <w:t xml:space="preserve">  aimed to characterise the haemolymph and gut microbiomes of </w:t>
      </w:r>
      <w:r w:rsidR="00C31E47" w:rsidRPr="009819CE">
        <w:rPr>
          <w:rFonts w:cstheme="minorBidi"/>
          <w:i/>
          <w:iCs/>
        </w:rPr>
        <w:t>Nephrops</w:t>
      </w:r>
      <w:r w:rsidR="003E34D4" w:rsidRPr="009819CE">
        <w:rPr>
          <w:rFonts w:cstheme="minorBidi"/>
          <w:i/>
          <w:iCs/>
        </w:rPr>
        <w:t xml:space="preserve"> norvegicus</w:t>
      </w:r>
      <w:r w:rsidR="003E34D4" w:rsidRPr="009819CE">
        <w:rPr>
          <w:rFonts w:cstheme="minorBidi"/>
        </w:rPr>
        <w:t xml:space="preserve"> and investigate the presence of a pathobiome associated with </w:t>
      </w:r>
      <w:r w:rsidR="009D03F4" w:rsidRPr="009819CE">
        <w:rPr>
          <w:rFonts w:cstheme="minorBidi"/>
          <w:i/>
          <w:iCs/>
        </w:rPr>
        <w:t>Hematodinium</w:t>
      </w:r>
      <w:r w:rsidR="003E34D4" w:rsidRPr="009819CE">
        <w:rPr>
          <w:rFonts w:cstheme="minorBidi"/>
        </w:rPr>
        <w:t xml:space="preserve"> sp. disease progression. The present study offers</w:t>
      </w:r>
      <w:r w:rsidR="009C3301" w:rsidRPr="009819CE">
        <w:rPr>
          <w:rFonts w:cstheme="minorBidi"/>
        </w:rPr>
        <w:t xml:space="preserve"> </w:t>
      </w:r>
      <w:r w:rsidR="00234F60" w:rsidRPr="009819CE">
        <w:rPr>
          <w:rFonts w:cstheme="minorBidi"/>
        </w:rPr>
        <w:t>a detailed</w:t>
      </w:r>
      <w:r w:rsidR="00A96246" w:rsidRPr="009819CE">
        <w:rPr>
          <w:rFonts w:cstheme="minorBidi"/>
        </w:rPr>
        <w:t xml:space="preserve"> </w:t>
      </w:r>
      <w:r w:rsidR="003E34D4" w:rsidRPr="009819CE">
        <w:rPr>
          <w:rFonts w:cstheme="minorBidi"/>
        </w:rPr>
        <w:t xml:space="preserve">characterization of the haemolymph and gut microbiomes of 'healthy' </w:t>
      </w:r>
      <w:r w:rsidR="009D03F4" w:rsidRPr="009819CE">
        <w:rPr>
          <w:rFonts w:cstheme="minorBidi"/>
          <w:i/>
          <w:iCs/>
        </w:rPr>
        <w:t>Hematodinium</w:t>
      </w:r>
      <w:r w:rsidR="009170AB" w:rsidRPr="009819CE">
        <w:rPr>
          <w:rFonts w:cstheme="minorBidi"/>
        </w:rPr>
        <w:t xml:space="preserve">-free </w:t>
      </w:r>
      <w:r w:rsidR="00C31E47" w:rsidRPr="009819CE">
        <w:rPr>
          <w:rFonts w:cstheme="minorBidi"/>
          <w:i/>
          <w:iCs/>
        </w:rPr>
        <w:t>Nephrops</w:t>
      </w:r>
      <w:r w:rsidR="003E34D4" w:rsidRPr="009819CE">
        <w:rPr>
          <w:rFonts w:cstheme="minorBidi"/>
        </w:rPr>
        <w:t xml:space="preserve"> </w:t>
      </w:r>
      <w:r w:rsidR="00234F60" w:rsidRPr="009819CE">
        <w:rPr>
          <w:rFonts w:cstheme="minorBidi"/>
        </w:rPr>
        <w:t>residing</w:t>
      </w:r>
      <w:r w:rsidR="003E34D4" w:rsidRPr="009819CE">
        <w:rPr>
          <w:rFonts w:cstheme="minorBidi"/>
        </w:rPr>
        <w:t xml:space="preserve"> in the CSA, elucidating </w:t>
      </w:r>
      <w:r w:rsidR="00D07DC9" w:rsidRPr="009819CE">
        <w:rPr>
          <w:rFonts w:cstheme="minorBidi"/>
        </w:rPr>
        <w:t>a diverse</w:t>
      </w:r>
      <w:r w:rsidR="003E34D4" w:rsidRPr="009819CE">
        <w:rPr>
          <w:rFonts w:cstheme="minorBidi"/>
        </w:rPr>
        <w:t xml:space="preserve"> taxonomic composition and core communities</w:t>
      </w:r>
      <w:r w:rsidR="006F2E4D" w:rsidRPr="009819CE">
        <w:rPr>
          <w:rFonts w:cstheme="minorBidi"/>
        </w:rPr>
        <w:t>.</w:t>
      </w:r>
      <w:r w:rsidR="006F2E4D" w:rsidRPr="009819CE">
        <w:t xml:space="preserve"> </w:t>
      </w:r>
      <w:r w:rsidR="006F2E4D" w:rsidRPr="009819CE">
        <w:rPr>
          <w:rFonts w:cstheme="minorBidi"/>
          <w:i/>
          <w:iCs/>
        </w:rPr>
        <w:t>Proteobacteria</w:t>
      </w:r>
      <w:r w:rsidR="006F2E4D" w:rsidRPr="009819CE">
        <w:rPr>
          <w:rFonts w:cstheme="minorBidi"/>
        </w:rPr>
        <w:t xml:space="preserve"> </w:t>
      </w:r>
      <w:r w:rsidR="00EF74C1" w:rsidRPr="009819CE">
        <w:rPr>
          <w:rFonts w:cstheme="minorBidi"/>
        </w:rPr>
        <w:t>appears</w:t>
      </w:r>
      <w:r w:rsidR="006F2E4D" w:rsidRPr="009819CE">
        <w:rPr>
          <w:rFonts w:cstheme="minorBidi"/>
        </w:rPr>
        <w:t xml:space="preserve"> as the dominant phylum in both the haemolymph and gut, constituting approximately 46.1% in the haemolymph and 26.7% in the gut, consistent with findings from previous research on various crustacean species </w:t>
      </w:r>
      <w:r w:rsidR="00696979" w:rsidRPr="009819CE">
        <w:rPr>
          <w:rFonts w:cstheme="minorBidi"/>
          <w:color w:val="000000" w:themeColor="text1"/>
        </w:rPr>
        <w:fldChar w:fldCharType="begin">
          <w:fldData xml:space="preserve">PEVuZE5vdGU+PENpdGU+PEF1dGhvcj5Hb256w6FsZXo8L0F1dGhvcj48WWVhcj4yMDIwPC9ZZWFy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</w:fldData>
        </w:fldChar>
      </w:r>
      <w:r w:rsidR="00ED1A9E" w:rsidRPr="009819CE">
        <w:rPr>
          <w:rFonts w:cstheme="minorBidi"/>
          <w:color w:val="000000" w:themeColor="text1"/>
        </w:rPr>
        <w:instrText xml:space="preserve"> ADDIN EN.CITE </w:instrText>
      </w:r>
      <w:r w:rsidR="00ED1A9E" w:rsidRPr="009819CE">
        <w:rPr>
          <w:rFonts w:cstheme="minorBidi"/>
          <w:color w:val="000000" w:themeColor="text1"/>
        </w:rPr>
        <w:fldChar w:fldCharType="begin">
          <w:fldData xml:space="preserve">PEVuZE5vdGU+PENpdGU+PEF1dGhvcj5Hb256w6FsZXo8L0F1dGhvcj48WWVhcj4yMDIwPC9ZZWFy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</w:fldData>
        </w:fldChar>
      </w:r>
      <w:r w:rsidR="00ED1A9E" w:rsidRPr="009819CE">
        <w:rPr>
          <w:rFonts w:cstheme="minorBidi"/>
          <w:color w:val="000000" w:themeColor="text1"/>
        </w:rPr>
        <w:instrText xml:space="preserve"> ADDIN EN.CITE.DATA </w:instrText>
      </w:r>
      <w:r w:rsidR="00ED1A9E" w:rsidRPr="009819CE">
        <w:rPr>
          <w:rFonts w:cstheme="minorBidi"/>
          <w:color w:val="000000" w:themeColor="text1"/>
        </w:rPr>
      </w:r>
      <w:r w:rsidR="00ED1A9E" w:rsidRPr="009819CE">
        <w:rPr>
          <w:rFonts w:cstheme="minorBidi"/>
          <w:color w:val="000000" w:themeColor="text1"/>
        </w:rPr>
        <w:fldChar w:fldCharType="end"/>
      </w:r>
      <w:r w:rsidR="00696979" w:rsidRPr="009819CE">
        <w:rPr>
          <w:rFonts w:cstheme="minorBidi"/>
          <w:color w:val="000000" w:themeColor="text1"/>
        </w:rPr>
      </w:r>
      <w:r w:rsidR="00696979" w:rsidRPr="009819CE">
        <w:rPr>
          <w:rFonts w:cstheme="minorBidi"/>
          <w:color w:val="000000" w:themeColor="text1"/>
        </w:rPr>
        <w:fldChar w:fldCharType="separate"/>
      </w:r>
      <w:r w:rsidR="008013F0" w:rsidRPr="001F4A34">
        <w:rPr>
          <w:rFonts w:cstheme="minorBidi"/>
          <w:color w:val="000000" w:themeColor="text1"/>
        </w:rPr>
        <w:t>(</w:t>
      </w:r>
      <w:hyperlink w:anchor="_ENREF_109" w:tooltip="Givens, 2013 #636" w:history="1">
        <w:r w:rsidR="00950097" w:rsidRPr="001F4A34">
          <w:rPr>
            <w:rFonts w:cstheme="minorBidi"/>
            <w:color w:val="000000" w:themeColor="text1"/>
          </w:rPr>
          <w:t>Givens et al., 2013</w:t>
        </w:r>
      </w:hyperlink>
      <w:r w:rsidR="008013F0" w:rsidRPr="001F4A34">
        <w:rPr>
          <w:rFonts w:cstheme="minorBidi"/>
          <w:color w:val="000000" w:themeColor="text1"/>
        </w:rPr>
        <w:t xml:space="preserve">; </w:t>
      </w:r>
      <w:hyperlink w:anchor="_ENREF_110" w:tooltip="González, 2020 #765" w:history="1">
        <w:r w:rsidR="00950097" w:rsidRPr="001F4A34">
          <w:rPr>
            <w:rFonts w:cstheme="minorBidi"/>
            <w:color w:val="000000" w:themeColor="text1"/>
          </w:rPr>
          <w:t>González et al., 2020</w:t>
        </w:r>
      </w:hyperlink>
      <w:r w:rsidR="008013F0" w:rsidRPr="001F4A34">
        <w:rPr>
          <w:rFonts w:cstheme="minorBidi"/>
          <w:color w:val="000000" w:themeColor="text1"/>
        </w:rPr>
        <w:t xml:space="preserve">; </w:t>
      </w:r>
      <w:hyperlink w:anchor="_ENREF_185" w:tooltip="Li, 2019 #766" w:history="1">
        <w:r w:rsidR="00950097" w:rsidRPr="001F4A34">
          <w:rPr>
            <w:rFonts w:cstheme="minorBidi"/>
            <w:color w:val="000000" w:themeColor="text1"/>
          </w:rPr>
          <w:t>Li et al., 2019b</w:t>
        </w:r>
      </w:hyperlink>
      <w:r w:rsidR="008013F0" w:rsidRPr="001F4A34">
        <w:rPr>
          <w:rFonts w:cstheme="minorBidi"/>
          <w:color w:val="000000" w:themeColor="text1"/>
        </w:rPr>
        <w:t xml:space="preserve">; </w:t>
      </w:r>
      <w:hyperlink w:anchor="_ENREF_197" w:tooltip="Lokmer, 2016 #638" w:history="1">
        <w:r w:rsidR="00950097" w:rsidRPr="001F4A34">
          <w:rPr>
            <w:rFonts w:cstheme="minorBidi"/>
            <w:color w:val="000000" w:themeColor="text1"/>
          </w:rPr>
          <w:t>Lokmer et al., 2016</w:t>
        </w:r>
      </w:hyperlink>
      <w:r w:rsidR="008013F0" w:rsidRPr="001F4A34">
        <w:rPr>
          <w:rFonts w:cstheme="minorBidi"/>
          <w:color w:val="000000" w:themeColor="text1"/>
        </w:rPr>
        <w:t xml:space="preserve">; </w:t>
      </w:r>
      <w:hyperlink w:anchor="_ENREF_271" w:tooltip="Scanes, 2021 #480" w:history="1">
        <w:r w:rsidR="00950097" w:rsidRPr="001F4A34">
          <w:rPr>
            <w:rFonts w:cstheme="minorBidi"/>
            <w:color w:val="000000" w:themeColor="text1"/>
          </w:rPr>
          <w:t>Scanes et al., 2021</w:t>
        </w:r>
      </w:hyperlink>
      <w:r w:rsidR="008013F0" w:rsidRPr="001F4A34">
        <w:rPr>
          <w:rFonts w:cstheme="minorBidi"/>
          <w:color w:val="000000" w:themeColor="text1"/>
        </w:rPr>
        <w:t>)</w:t>
      </w:r>
      <w:r w:rsidR="00696979" w:rsidRPr="009819CE">
        <w:rPr>
          <w:rFonts w:cstheme="minorBidi"/>
          <w:color w:val="000000" w:themeColor="text1"/>
        </w:rPr>
        <w:fldChar w:fldCharType="end"/>
      </w:r>
      <w:r w:rsidR="00696979" w:rsidRPr="009819CE">
        <w:rPr>
          <w:rFonts w:cstheme="minorBidi"/>
          <w:color w:val="000000" w:themeColor="text1"/>
        </w:rPr>
        <w:t xml:space="preserve">. </w:t>
      </w:r>
      <w:r w:rsidR="00337154" w:rsidRPr="009819CE">
        <w:rPr>
          <w:rFonts w:cstheme="minorBidi"/>
          <w:color w:val="000000" w:themeColor="text1"/>
        </w:rPr>
        <w:t xml:space="preserve">Additionally, the presence of phyla </w:t>
      </w:r>
      <w:r w:rsidR="00337154" w:rsidRPr="009819CE">
        <w:rPr>
          <w:rFonts w:cstheme="minorBidi"/>
          <w:i/>
          <w:iCs/>
          <w:color w:val="000000" w:themeColor="text1"/>
        </w:rPr>
        <w:t>Actinobacteriota</w:t>
      </w:r>
      <w:r w:rsidR="00337154" w:rsidRPr="009819CE">
        <w:rPr>
          <w:rFonts w:cstheme="minorBidi"/>
          <w:color w:val="000000" w:themeColor="text1"/>
        </w:rPr>
        <w:t xml:space="preserve">, </w:t>
      </w:r>
      <w:r w:rsidR="00337154" w:rsidRPr="009819CE">
        <w:rPr>
          <w:rFonts w:cstheme="minorBidi"/>
          <w:i/>
          <w:iCs/>
          <w:color w:val="000000" w:themeColor="text1"/>
        </w:rPr>
        <w:t>Bacteroidota, Desulfobacterota, Firmicutes, Fusobacteria</w:t>
      </w:r>
      <w:r w:rsidR="00337154" w:rsidRPr="009819CE">
        <w:rPr>
          <w:rFonts w:cstheme="minorBidi"/>
          <w:color w:val="000000" w:themeColor="text1"/>
        </w:rPr>
        <w:t xml:space="preserve">, and </w:t>
      </w:r>
      <w:r w:rsidR="00337154" w:rsidRPr="009819CE">
        <w:rPr>
          <w:rFonts w:cstheme="minorBidi"/>
          <w:i/>
          <w:iCs/>
          <w:color w:val="000000" w:themeColor="text1"/>
        </w:rPr>
        <w:t>Verrucomicrobiota</w:t>
      </w:r>
      <w:r w:rsidR="00337154" w:rsidRPr="009819CE">
        <w:rPr>
          <w:rFonts w:cstheme="minorBidi"/>
          <w:color w:val="000000" w:themeColor="text1"/>
        </w:rPr>
        <w:t xml:space="preserve"> was observed in both the haemolymph and gut samples, </w:t>
      </w:r>
      <w:r w:rsidR="00101622" w:rsidRPr="009819CE">
        <w:rPr>
          <w:rFonts w:cstheme="minorBidi"/>
          <w:color w:val="000000" w:themeColor="text1"/>
        </w:rPr>
        <w:t>also consistent with ot</w:t>
      </w:r>
      <w:r w:rsidR="00337154" w:rsidRPr="009819CE">
        <w:rPr>
          <w:rFonts w:cstheme="minorBidi"/>
          <w:color w:val="000000" w:themeColor="text1"/>
        </w:rPr>
        <w:t xml:space="preserve">her crustacean species </w:t>
      </w:r>
      <w:r w:rsidR="00696979" w:rsidRPr="009819CE">
        <w:rPr>
          <w:rFonts w:cstheme="minorBidi"/>
          <w:color w:val="000000" w:themeColor="text1"/>
        </w:rPr>
        <w:fldChar w:fldCharType="begin">
          <w:fldData xml:space="preserve">PEVuZE5vdGU+PENpdGU+PEF1dGhvcj5EaW5nPC9BdXRob3I+PFllYXI+MjAxNzwvWWVhcj48UmVj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</w:fldData>
        </w:fldChar>
      </w:r>
      <w:r w:rsidR="00EE7FB9">
        <w:rPr>
          <w:rFonts w:cstheme="minorBidi"/>
          <w:color w:val="000000" w:themeColor="text1"/>
        </w:rPr>
        <w:instrText xml:space="preserve"> ADDIN EN.CITE </w:instrText>
      </w:r>
      <w:r w:rsidR="00EE7FB9">
        <w:rPr>
          <w:rFonts w:cstheme="minorBidi"/>
          <w:color w:val="000000" w:themeColor="text1"/>
        </w:rPr>
        <w:fldChar w:fldCharType="begin">
          <w:fldData xml:space="preserve">PEVuZE5vdGU+PENpdGU+PEF1dGhvcj5EaW5nPC9BdXRob3I+PFllYXI+MjAxNzwvWWVhcj48UmVj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</w:fldData>
        </w:fldChar>
      </w:r>
      <w:r w:rsidR="00EE7FB9">
        <w:rPr>
          <w:rFonts w:cstheme="minorBidi"/>
          <w:color w:val="000000" w:themeColor="text1"/>
        </w:rPr>
        <w:instrText xml:space="preserve"> ADDIN EN.CITE.DATA </w:instrText>
      </w:r>
      <w:r w:rsidR="00EE7FB9">
        <w:rPr>
          <w:rFonts w:cstheme="minorBidi"/>
          <w:color w:val="000000" w:themeColor="text1"/>
        </w:rPr>
      </w:r>
      <w:r w:rsidR="00EE7FB9">
        <w:rPr>
          <w:rFonts w:cstheme="minorBidi"/>
          <w:color w:val="000000" w:themeColor="text1"/>
        </w:rPr>
        <w:fldChar w:fldCharType="end"/>
      </w:r>
      <w:r w:rsidR="00696979" w:rsidRPr="009819CE">
        <w:rPr>
          <w:rFonts w:cstheme="minorBidi"/>
          <w:color w:val="000000" w:themeColor="text1"/>
        </w:rPr>
      </w:r>
      <w:r w:rsidR="00696979" w:rsidRPr="009819CE">
        <w:rPr>
          <w:rFonts w:cstheme="minorBidi"/>
          <w:color w:val="000000" w:themeColor="text1"/>
        </w:rPr>
        <w:fldChar w:fldCharType="separate"/>
      </w:r>
      <w:r w:rsidR="00D50EFF" w:rsidRPr="00EE7FB9">
        <w:rPr>
          <w:rFonts w:cstheme="minorBidi"/>
          <w:noProof/>
          <w:color w:val="000000" w:themeColor="text1"/>
        </w:rPr>
        <w:t>(</w:t>
      </w:r>
      <w:hyperlink w:anchor="_ENREF_71" w:tooltip="Ding, 2017 #206" w:history="1">
        <w:r w:rsidR="00950097" w:rsidRPr="00EE7FB9">
          <w:rPr>
            <w:rFonts w:cstheme="minorBidi"/>
            <w:noProof/>
            <w:color w:val="000000" w:themeColor="text1"/>
          </w:rPr>
          <w:t>Ding et al., 2017</w:t>
        </w:r>
      </w:hyperlink>
      <w:r w:rsidR="00D50EFF" w:rsidRPr="00EE7FB9">
        <w:rPr>
          <w:rFonts w:cstheme="minorBidi"/>
          <w:noProof/>
          <w:color w:val="000000" w:themeColor="text1"/>
        </w:rPr>
        <w:t xml:space="preserve">; </w:t>
      </w:r>
      <w:hyperlink w:anchor="_ENREF_239" w:tooltip="Ooi, 2017 #202" w:history="1">
        <w:r w:rsidR="00950097" w:rsidRPr="00EE7FB9">
          <w:rPr>
            <w:rFonts w:cstheme="minorBidi"/>
            <w:noProof/>
            <w:color w:val="000000" w:themeColor="text1"/>
          </w:rPr>
          <w:t>Ooi et al., 2017</w:t>
        </w:r>
      </w:hyperlink>
      <w:r w:rsidR="00D50EFF" w:rsidRPr="00EE7FB9">
        <w:rPr>
          <w:rFonts w:cstheme="minorBidi"/>
          <w:noProof/>
          <w:color w:val="000000" w:themeColor="text1"/>
        </w:rPr>
        <w:t xml:space="preserve">; </w:t>
      </w:r>
      <w:hyperlink w:anchor="_ENREF_263" w:tooltip="Rungrassamee, 2014 #644" w:history="1">
        <w:r w:rsidR="00950097" w:rsidRPr="00EE7FB9">
          <w:rPr>
            <w:rFonts w:cstheme="minorBidi"/>
            <w:noProof/>
            <w:color w:val="000000" w:themeColor="text1"/>
          </w:rPr>
          <w:t>Rungrassamee et al., 2014</w:t>
        </w:r>
      </w:hyperlink>
      <w:r w:rsidR="00D50EFF" w:rsidRPr="00EE7FB9">
        <w:rPr>
          <w:rFonts w:cstheme="minorBidi"/>
          <w:noProof/>
          <w:color w:val="000000" w:themeColor="text1"/>
        </w:rPr>
        <w:t xml:space="preserve">; </w:t>
      </w:r>
      <w:hyperlink w:anchor="_ENREF_344" w:tooltip="Wang, 2019 #506" w:history="1">
        <w:r w:rsidR="00950097" w:rsidRPr="00EE7FB9">
          <w:rPr>
            <w:rFonts w:cstheme="minorBidi"/>
            <w:noProof/>
            <w:color w:val="000000" w:themeColor="text1"/>
          </w:rPr>
          <w:t>Wang et al., 2019</w:t>
        </w:r>
      </w:hyperlink>
      <w:r w:rsidR="00D50EFF" w:rsidRPr="00EE7FB9">
        <w:rPr>
          <w:rFonts w:cstheme="minorBidi"/>
          <w:noProof/>
          <w:color w:val="000000" w:themeColor="text1"/>
        </w:rPr>
        <w:t>)</w:t>
      </w:r>
      <w:r w:rsidR="00696979" w:rsidRPr="009819CE">
        <w:rPr>
          <w:rFonts w:cstheme="minorBidi"/>
          <w:color w:val="000000" w:themeColor="text1"/>
        </w:rPr>
        <w:fldChar w:fldCharType="end"/>
      </w:r>
      <w:r w:rsidR="003E34D4" w:rsidRPr="009819CE">
        <w:rPr>
          <w:rFonts w:cstheme="minorBidi"/>
        </w:rPr>
        <w:t>.</w:t>
      </w:r>
      <w:r w:rsidR="00835DA4" w:rsidRPr="009819CE">
        <w:rPr>
          <w:rFonts w:cstheme="minorBidi"/>
        </w:rPr>
        <w:t xml:space="preserve">The haemolymph included </w:t>
      </w:r>
      <w:r w:rsidR="00E162FE" w:rsidRPr="00FA7D47">
        <w:rPr>
          <w:rFonts w:cstheme="minorBidi"/>
        </w:rPr>
        <w:t xml:space="preserve">potentially </w:t>
      </w:r>
      <w:r w:rsidR="00835DA4" w:rsidRPr="009819CE">
        <w:rPr>
          <w:rFonts w:cstheme="minorBidi"/>
        </w:rPr>
        <w:t xml:space="preserve">beneficial genera such as </w:t>
      </w:r>
      <w:r w:rsidR="00835DA4" w:rsidRPr="009819CE">
        <w:rPr>
          <w:rFonts w:cstheme="minorBidi"/>
          <w:i/>
          <w:iCs/>
        </w:rPr>
        <w:t>Bifidobacterium</w:t>
      </w:r>
      <w:r w:rsidR="00835DA4" w:rsidRPr="009819CE">
        <w:rPr>
          <w:rFonts w:cstheme="minorBidi"/>
        </w:rPr>
        <w:t xml:space="preserve"> and </w:t>
      </w:r>
      <w:r w:rsidR="00835DA4" w:rsidRPr="009819CE">
        <w:rPr>
          <w:rFonts w:cstheme="minorBidi"/>
          <w:i/>
          <w:iCs/>
        </w:rPr>
        <w:t>Lactobacillus</w:t>
      </w:r>
      <w:r w:rsidR="00835DA4" w:rsidRPr="009819CE">
        <w:rPr>
          <w:rFonts w:cstheme="minorBidi"/>
        </w:rPr>
        <w:t xml:space="preserve">, along with opportunistic pathogens like </w:t>
      </w:r>
      <w:r w:rsidR="00835DA4" w:rsidRPr="009819CE">
        <w:rPr>
          <w:rFonts w:cstheme="minorBidi"/>
          <w:i/>
          <w:iCs/>
        </w:rPr>
        <w:t>Pseudomonas</w:t>
      </w:r>
      <w:r w:rsidR="00835DA4" w:rsidRPr="009819CE">
        <w:rPr>
          <w:rFonts w:cstheme="minorBidi"/>
        </w:rPr>
        <w:t xml:space="preserve">. The gut contained a variety of genera, including sulphate-reducing bacteria and a significant member, </w:t>
      </w:r>
      <w:r w:rsidR="00835DA4" w:rsidRPr="009819CE">
        <w:rPr>
          <w:rFonts w:cstheme="minorBidi"/>
          <w:i/>
          <w:iCs/>
        </w:rPr>
        <w:t>Candidatus Bacilloplasma</w:t>
      </w:r>
      <w:r w:rsidR="00835DA4" w:rsidRPr="009819CE">
        <w:rPr>
          <w:rFonts w:cstheme="minorBidi"/>
        </w:rPr>
        <w:t>, which can impact immune responses.</w:t>
      </w:r>
    </w:p>
    <w:p w14:paraId="193026E8" w14:textId="050C46B0" w:rsidR="008C1555" w:rsidRPr="009819CE" w:rsidRDefault="003E34D4" w:rsidP="003E34D4">
      <w:pPr>
        <w:spacing w:after="0"/>
        <w:contextualSpacing/>
        <w:rPr>
          <w:rFonts w:cstheme="minorBidi"/>
        </w:rPr>
      </w:pPr>
      <w:r w:rsidRPr="009819CE">
        <w:rPr>
          <w:rFonts w:cstheme="minorBidi"/>
        </w:rPr>
        <w:t xml:space="preserve">Furthermore, the dynamics of the haemolymph and gut microbiomes during </w:t>
      </w:r>
      <w:r w:rsidR="009D03F4" w:rsidRPr="009819CE">
        <w:rPr>
          <w:rFonts w:cstheme="minorBidi"/>
          <w:i/>
        </w:rPr>
        <w:t>Hematodinium</w:t>
      </w:r>
      <w:r w:rsidRPr="009819CE">
        <w:rPr>
          <w:rFonts w:cstheme="minorBidi"/>
        </w:rPr>
        <w:t xml:space="preserve"> sp. </w:t>
      </w:r>
      <w:r w:rsidR="00D21BC1" w:rsidRPr="009819CE">
        <w:rPr>
          <w:rFonts w:cstheme="minorBidi"/>
        </w:rPr>
        <w:t>i</w:t>
      </w:r>
      <w:r w:rsidRPr="009819CE">
        <w:rPr>
          <w:rFonts w:cstheme="minorBidi"/>
        </w:rPr>
        <w:t>nfection</w:t>
      </w:r>
      <w:r w:rsidR="008B5F12" w:rsidRPr="009819CE">
        <w:rPr>
          <w:rFonts w:cstheme="minorBidi"/>
        </w:rPr>
        <w:t xml:space="preserve"> were also studie</w:t>
      </w:r>
      <w:r w:rsidR="00A97026" w:rsidRPr="009819CE">
        <w:rPr>
          <w:rFonts w:cstheme="minorBidi"/>
        </w:rPr>
        <w:t>d</w:t>
      </w:r>
      <w:r w:rsidR="00C20DDE" w:rsidRPr="009819CE">
        <w:rPr>
          <w:rFonts w:cstheme="minorBidi"/>
        </w:rPr>
        <w:t xml:space="preserve">. </w:t>
      </w:r>
      <w:r w:rsidRPr="009819CE">
        <w:rPr>
          <w:rFonts w:cstheme="minorBidi"/>
        </w:rPr>
        <w:t xml:space="preserve">The findings </w:t>
      </w:r>
      <w:r w:rsidR="00773A81" w:rsidRPr="009819CE">
        <w:rPr>
          <w:rFonts w:cstheme="minorBidi"/>
        </w:rPr>
        <w:t xml:space="preserve">show a </w:t>
      </w:r>
      <w:r w:rsidRPr="009819CE">
        <w:rPr>
          <w:rFonts w:cstheme="minorBidi"/>
        </w:rPr>
        <w:t xml:space="preserve">substantial influence of </w:t>
      </w:r>
      <w:r w:rsidR="00A97026" w:rsidRPr="009819CE">
        <w:rPr>
          <w:rFonts w:cstheme="minorBidi"/>
        </w:rPr>
        <w:t xml:space="preserve">the </w:t>
      </w:r>
      <w:r w:rsidRPr="009819CE">
        <w:rPr>
          <w:rFonts w:cstheme="minorBidi"/>
        </w:rPr>
        <w:t>infection on</w:t>
      </w:r>
      <w:r w:rsidR="002A5753" w:rsidRPr="009819CE">
        <w:rPr>
          <w:rFonts w:cstheme="minorBidi"/>
        </w:rPr>
        <w:t xml:space="preserve"> the</w:t>
      </w:r>
      <w:r w:rsidRPr="009819CE">
        <w:rPr>
          <w:rFonts w:cstheme="minorBidi"/>
        </w:rPr>
        <w:t xml:space="preserve"> microbiome, evident through notable shifts in the bacterial richness of the haemolymph and a significant modification in the relative abundance of specific genera in both tissues, indicating the potential occurrence of dysbiosis. These alterations, discernible even during the initial phases of infection, signify a rapid an</w:t>
      </w:r>
      <w:r w:rsidR="00C7524D" w:rsidRPr="009819CE">
        <w:rPr>
          <w:rFonts w:cstheme="minorBidi"/>
        </w:rPr>
        <w:t>d sustained</w:t>
      </w:r>
      <w:r w:rsidRPr="009819CE">
        <w:rPr>
          <w:rFonts w:cstheme="minorBidi"/>
        </w:rPr>
        <w:t xml:space="preserve"> microbiome re</w:t>
      </w:r>
      <w:r w:rsidR="00C7524D" w:rsidRPr="009819CE">
        <w:rPr>
          <w:rFonts w:cstheme="minorBidi"/>
        </w:rPr>
        <w:t>sponse</w:t>
      </w:r>
      <w:r w:rsidRPr="009819CE">
        <w:rPr>
          <w:rFonts w:cstheme="minorBidi"/>
        </w:rPr>
        <w:t xml:space="preserve"> to </w:t>
      </w:r>
      <w:r w:rsidR="009D03F4" w:rsidRPr="009819CE">
        <w:rPr>
          <w:rFonts w:cstheme="minorBidi"/>
          <w:i/>
          <w:iCs/>
        </w:rPr>
        <w:t>Hematodinium</w:t>
      </w:r>
      <w:r w:rsidR="00E06D91" w:rsidRPr="009819CE">
        <w:rPr>
          <w:rFonts w:cstheme="minorBidi"/>
        </w:rPr>
        <w:t xml:space="preserve"> sp. infection</w:t>
      </w:r>
      <w:r w:rsidRPr="009819CE">
        <w:rPr>
          <w:rFonts w:cstheme="minorBidi"/>
        </w:rPr>
        <w:t>.</w:t>
      </w:r>
      <w:r w:rsidR="00821DA7" w:rsidRPr="009819CE">
        <w:rPr>
          <w:rFonts w:cstheme="minorBidi"/>
        </w:rPr>
        <w:t xml:space="preserve"> </w:t>
      </w:r>
      <w:r w:rsidR="000D1E8C" w:rsidRPr="009819CE">
        <w:rPr>
          <w:rFonts w:cstheme="minorBidi"/>
        </w:rPr>
        <w:t>I</w:t>
      </w:r>
      <w:r w:rsidR="00C7524D" w:rsidRPr="009819CE">
        <w:rPr>
          <w:rFonts w:cstheme="minorBidi"/>
        </w:rPr>
        <w:t xml:space="preserve">n this study, </w:t>
      </w:r>
      <w:r w:rsidR="00620DD5" w:rsidRPr="00FA7D47">
        <w:rPr>
          <w:rFonts w:cstheme="minorBidi"/>
        </w:rPr>
        <w:t>it was</w:t>
      </w:r>
      <w:r w:rsidR="00C7524D" w:rsidRPr="009819CE">
        <w:rPr>
          <w:rFonts w:cstheme="minorBidi"/>
        </w:rPr>
        <w:t xml:space="preserve"> also observed that heavily infected animals maintain their feeding habits, often with full or partially full stomachs. </w:t>
      </w:r>
      <w:r w:rsidR="007B60B5" w:rsidRPr="009819CE">
        <w:rPr>
          <w:rFonts w:cstheme="minorBidi"/>
        </w:rPr>
        <w:t xml:space="preserve">However, due to </w:t>
      </w:r>
      <w:r w:rsidR="00C7524D" w:rsidRPr="009819CE">
        <w:rPr>
          <w:rFonts w:cstheme="minorBidi"/>
        </w:rPr>
        <w:t xml:space="preserve">their compromised condition, these animals </w:t>
      </w:r>
      <w:r w:rsidR="007B60B5" w:rsidRPr="009819CE">
        <w:rPr>
          <w:rFonts w:cstheme="minorBidi"/>
        </w:rPr>
        <w:t xml:space="preserve">might </w:t>
      </w:r>
      <w:r w:rsidR="00C7524D" w:rsidRPr="009819CE">
        <w:rPr>
          <w:rFonts w:cstheme="minorBidi"/>
        </w:rPr>
        <w:t xml:space="preserve">shift towards plant-based and suspension feeding. </w:t>
      </w:r>
      <w:r w:rsidR="00ED4B56" w:rsidRPr="009819CE">
        <w:rPr>
          <w:rFonts w:cstheme="minorBidi"/>
        </w:rPr>
        <w:t xml:space="preserve">A </w:t>
      </w:r>
      <w:r w:rsidR="00C7524D" w:rsidRPr="009819CE">
        <w:rPr>
          <w:rFonts w:cstheme="minorBidi"/>
        </w:rPr>
        <w:t xml:space="preserve">change in dietary </w:t>
      </w:r>
      <w:r w:rsidR="00827660" w:rsidRPr="009819CE">
        <w:rPr>
          <w:rFonts w:cstheme="minorBidi"/>
        </w:rPr>
        <w:t>behaviour</w:t>
      </w:r>
      <w:r w:rsidR="00C7524D" w:rsidRPr="009819CE">
        <w:rPr>
          <w:rFonts w:cstheme="minorBidi"/>
        </w:rPr>
        <w:t xml:space="preserve"> may account for the higher prevalence of bacterial families capable of degrading complex polysaccharides</w:t>
      </w:r>
      <w:r w:rsidR="00827660" w:rsidRPr="009819CE">
        <w:rPr>
          <w:rFonts w:cstheme="minorBidi"/>
        </w:rPr>
        <w:t xml:space="preserve"> (</w:t>
      </w:r>
      <w:r w:rsidR="00827660" w:rsidRPr="009819CE">
        <w:t xml:space="preserve">such as </w:t>
      </w:r>
      <w:r w:rsidR="00827660" w:rsidRPr="009819CE">
        <w:rPr>
          <w:i/>
          <w:iCs/>
        </w:rPr>
        <w:t>Prevotellaceae</w:t>
      </w:r>
      <w:r w:rsidR="00827660" w:rsidRPr="009819CE">
        <w:t xml:space="preserve">, </w:t>
      </w:r>
      <w:r w:rsidR="00827660" w:rsidRPr="009819CE">
        <w:rPr>
          <w:i/>
          <w:iCs/>
        </w:rPr>
        <w:t>Bacteroidaceae</w:t>
      </w:r>
      <w:r w:rsidR="00827660" w:rsidRPr="009819CE">
        <w:t xml:space="preserve">, </w:t>
      </w:r>
      <w:r w:rsidR="00827660" w:rsidRPr="009819CE">
        <w:rPr>
          <w:i/>
          <w:iCs/>
        </w:rPr>
        <w:t>Muribaculaceae</w:t>
      </w:r>
      <w:r w:rsidR="00827660" w:rsidRPr="009819CE">
        <w:t xml:space="preserve">, </w:t>
      </w:r>
      <w:r w:rsidR="00827660" w:rsidRPr="009819CE">
        <w:rPr>
          <w:i/>
          <w:iCs/>
        </w:rPr>
        <w:t>Lachnospiraceae</w:t>
      </w:r>
      <w:r w:rsidR="00827660" w:rsidRPr="009819CE">
        <w:t xml:space="preserve">, </w:t>
      </w:r>
      <w:r w:rsidR="00827660" w:rsidRPr="009819CE">
        <w:rPr>
          <w:i/>
          <w:iCs/>
        </w:rPr>
        <w:t>Akkermansiaceae</w:t>
      </w:r>
      <w:r w:rsidR="00827660" w:rsidRPr="009819CE">
        <w:t>)</w:t>
      </w:r>
      <w:r w:rsidR="00C7524D" w:rsidRPr="009819CE">
        <w:rPr>
          <w:rFonts w:cstheme="minorBidi"/>
        </w:rPr>
        <w:t xml:space="preserve"> in infected individuals compared to their </w:t>
      </w:r>
      <w:r w:rsidR="00D94DC1" w:rsidRPr="00FA7D47">
        <w:rPr>
          <w:rFonts w:cstheme="minorBidi"/>
        </w:rPr>
        <w:t>“healthy”</w:t>
      </w:r>
      <w:r w:rsidR="00C7524D" w:rsidRPr="009819CE">
        <w:rPr>
          <w:rFonts w:cstheme="minorBidi"/>
        </w:rPr>
        <w:t xml:space="preserve"> counterparts.</w:t>
      </w:r>
      <w:r w:rsidR="008C1555" w:rsidRPr="009819CE">
        <w:rPr>
          <w:rFonts w:cstheme="minorBidi"/>
        </w:rPr>
        <w:t xml:space="preserve"> </w:t>
      </w:r>
    </w:p>
    <w:p w14:paraId="30759592" w14:textId="27E4C2DA" w:rsidR="00D217A0" w:rsidRPr="009819CE" w:rsidRDefault="00D217A0" w:rsidP="00D217A0">
      <w:pPr>
        <w:spacing w:after="0"/>
        <w:contextualSpacing/>
        <w:rPr>
          <w:rFonts w:cstheme="minorBidi"/>
        </w:rPr>
      </w:pPr>
      <w:r w:rsidRPr="009819CE">
        <w:rPr>
          <w:rFonts w:cstheme="minorBidi"/>
        </w:rPr>
        <w:t xml:space="preserve">Chapter 4, </w:t>
      </w:r>
      <w:r w:rsidR="009419BB" w:rsidRPr="009819CE">
        <w:rPr>
          <w:rFonts w:cstheme="minorBidi"/>
        </w:rPr>
        <w:t>analysed</w:t>
      </w:r>
      <w:r w:rsidRPr="009819CE">
        <w:rPr>
          <w:rFonts w:cstheme="minorBidi"/>
        </w:rPr>
        <w:t xml:space="preserve"> the lipid dynamics between </w:t>
      </w:r>
      <w:r w:rsidR="009D03F4" w:rsidRPr="009819CE">
        <w:rPr>
          <w:rFonts w:cstheme="minorBidi"/>
          <w:i/>
          <w:iCs/>
        </w:rPr>
        <w:t>Hematodinium</w:t>
      </w:r>
      <w:r w:rsidRPr="009819CE">
        <w:rPr>
          <w:rFonts w:cstheme="minorBidi"/>
        </w:rPr>
        <w:t xml:space="preserve"> sp. and </w:t>
      </w:r>
      <w:r w:rsidR="00C31E47" w:rsidRPr="009819CE">
        <w:rPr>
          <w:rFonts w:cstheme="minorBidi"/>
          <w:i/>
          <w:iCs/>
        </w:rPr>
        <w:t>Nephrops</w:t>
      </w:r>
      <w:r w:rsidRPr="009819CE">
        <w:rPr>
          <w:rFonts w:cstheme="minorBidi"/>
        </w:rPr>
        <w:t xml:space="preserve"> spores. The high similarity in lipid profiles between the host and the spores suggests that the parasite acquires nutrients by transferring lipids from the host. The lipid class profiles in </w:t>
      </w:r>
      <w:r w:rsidR="003C6092" w:rsidRPr="009819CE">
        <w:rPr>
          <w:rFonts w:cstheme="minorBidi"/>
        </w:rPr>
        <w:t>hepatopancreas samples and spores</w:t>
      </w:r>
      <w:r w:rsidRPr="009819CE">
        <w:rPr>
          <w:rFonts w:cstheme="minorBidi"/>
        </w:rPr>
        <w:t xml:space="preserve"> were dominated by triacylglycerols, followed by phosphatidylcholine, wax/sterol esters, and cholesterol/sterol. Macrospores accumulate triacylglycerols in lipid droplets as energy reserves for long-term survival and subsequent consumption during germination. The lipid profiles were consistent with previous data on </w:t>
      </w:r>
      <w:r w:rsidR="009D03F4" w:rsidRPr="009819CE">
        <w:rPr>
          <w:rFonts w:cstheme="minorBidi"/>
          <w:i/>
          <w:iCs/>
        </w:rPr>
        <w:t>Hematodinium</w:t>
      </w:r>
      <w:r w:rsidRPr="009819CE">
        <w:rPr>
          <w:rFonts w:cstheme="minorBidi"/>
        </w:rPr>
        <w:t xml:space="preserve"> sp. macrospores</w:t>
      </w:r>
      <w:r w:rsidR="00B62229" w:rsidRPr="009819CE">
        <w:rPr>
          <w:rFonts w:cstheme="minorBidi"/>
        </w:rPr>
        <w:t xml:space="preserve"> </w:t>
      </w:r>
      <w:r w:rsidR="00B62229" w:rsidRPr="009819CE">
        <w:rPr>
          <w:rFonts w:cstheme="minorBidi"/>
        </w:rPr>
        <w:fldChar w:fldCharType="begin"/>
      </w:r>
      <w:r w:rsidR="00CE4372" w:rsidRPr="009819CE">
        <w:rPr>
          <w:rFonts w:cstheme="minorBidi"/>
        </w:rPr>
        <w:instrText xml:space="preserve"> ADDIN EN.CITE &lt;EndNote&gt;&lt;Cite&gt;&lt;Author&gt;Beevers&lt;/Author&gt;&lt;Year&gt;2010&lt;/Year&gt;&lt;RecNum&gt;247&lt;/RecNum&gt;&lt;DisplayText&gt;(Beevers, 2010)&lt;/DisplayText&gt;&lt;record&gt;&lt;rec-number&gt;247&lt;/rec-number&gt;&lt;foreign-keys&gt;&lt;key app="EN" db-id="sd9wrx9fj09rx3erprsx999o0r5aprvp2zse" timestamp="1687855901" guid="ccc0fe42-bfdd-451d-a5a2-fee5f543cfe9"&gt;247&lt;/key&gt;&lt;/foreign-keys&gt;&lt;ref-type name="Thesis"&gt;32&lt;/ref-type&gt;&lt;contributors&gt;&lt;authors&gt;&lt;author&gt;Beevers, Nicholas D.&lt;/author&gt;&lt;/authors&gt;&lt;/contributors&gt;&lt;titles&gt;&lt;title&gt;&lt;style face="normal" font="default" size="100%"&gt;Prevalence and life cycle studies on the parasitic dinoflagellate &lt;/style&gt;&lt;style face="italic" font="default" size="100%"&gt;Hematodinium &lt;/style&gt;&lt;style face="normal" font="default" size="100%"&gt;sp. from &lt;/style&gt;&lt;style face="italic" font="default" size="100%"&gt;Nephrops norvegicus&lt;/style&gt;&lt;style face="normal" font="default" size="100%"&gt; (L.)&lt;/style&gt;&lt;/title&gt;&lt;secondary-title&gt;Division of Environmental and Evolutionary Biology, Faculty of Biomedical and Life Science&lt;/secondary-title&gt;&lt;/titles&gt;&lt;pages&gt;1-214&lt;/pages&gt;&lt;volume&gt;PhD thesis&lt;/volume&gt;&lt;dates&gt;&lt;year&gt;2010&lt;/year&gt;&lt;/dates&gt;&lt;pub-location&gt;University of Glasgow&lt;/pub-location&gt;&lt;publisher&gt;University of Glasgow&lt;/publisher&gt;&lt;urls&gt;&lt;related-urls&gt;&lt;url&gt;http://theses.gla.ac.uk/2889/&lt;/url&gt;&lt;/related-urls&gt;&lt;/urls&gt;&lt;electronic-resource-num&gt;glathesis:2010-3546&lt;/electronic-resource-num&gt;&lt;/record&gt;&lt;/Cite&gt;&lt;/EndNote&gt;</w:instrText>
      </w:r>
      <w:r w:rsidR="00B62229" w:rsidRPr="009819CE">
        <w:rPr>
          <w:rFonts w:cstheme="minorBidi"/>
        </w:rPr>
        <w:fldChar w:fldCharType="separate"/>
      </w:r>
      <w:r w:rsidR="00B62229" w:rsidRPr="001F4A34">
        <w:rPr>
          <w:rFonts w:cstheme="minorBidi"/>
        </w:rPr>
        <w:t>(</w:t>
      </w:r>
      <w:hyperlink w:anchor="_ENREF_28" w:tooltip="Beevers, 2010 #247" w:history="1">
        <w:r w:rsidR="00950097" w:rsidRPr="001F4A34">
          <w:rPr>
            <w:rFonts w:cstheme="minorBidi"/>
          </w:rPr>
          <w:t>Beevers, 2010</w:t>
        </w:r>
      </w:hyperlink>
      <w:r w:rsidR="00B62229" w:rsidRPr="001F4A34">
        <w:rPr>
          <w:rFonts w:cstheme="minorBidi"/>
        </w:rPr>
        <w:t>)</w:t>
      </w:r>
      <w:r w:rsidR="00B62229" w:rsidRPr="009819CE">
        <w:rPr>
          <w:rFonts w:cstheme="minorBidi"/>
        </w:rPr>
        <w:fldChar w:fldCharType="end"/>
      </w:r>
      <w:r w:rsidRPr="009819CE">
        <w:rPr>
          <w:rFonts w:cstheme="minorBidi"/>
        </w:rPr>
        <w:t>.</w:t>
      </w:r>
    </w:p>
    <w:p w14:paraId="31A622A5" w14:textId="17D494DC" w:rsidR="003E34D4" w:rsidRPr="009819CE" w:rsidRDefault="0088119C" w:rsidP="00D217A0">
      <w:pPr>
        <w:spacing w:after="0"/>
        <w:contextualSpacing/>
        <w:rPr>
          <w:rFonts w:cstheme="minorBidi"/>
        </w:rPr>
      </w:pPr>
      <w:r w:rsidRPr="00FA7D47">
        <w:rPr>
          <w:rFonts w:cstheme="minorBidi"/>
        </w:rPr>
        <w:t>The</w:t>
      </w:r>
      <w:r w:rsidR="00D217A0" w:rsidRPr="009819CE">
        <w:rPr>
          <w:rFonts w:cstheme="minorBidi"/>
        </w:rPr>
        <w:t xml:space="preserve"> study identified </w:t>
      </w:r>
      <w:r w:rsidR="00CD1CDE" w:rsidRPr="009819CE">
        <w:rPr>
          <w:rFonts w:cstheme="minorBidi"/>
        </w:rPr>
        <w:t>phospho</w:t>
      </w:r>
      <w:r w:rsidR="00D217A0" w:rsidRPr="009819CE">
        <w:rPr>
          <w:rFonts w:cstheme="minorBidi"/>
        </w:rPr>
        <w:t>lipids</w:t>
      </w:r>
      <w:r w:rsidR="00916452" w:rsidRPr="009819CE">
        <w:rPr>
          <w:rFonts w:cstheme="minorBidi"/>
        </w:rPr>
        <w:t>,</w:t>
      </w:r>
      <w:r w:rsidR="00D217A0" w:rsidRPr="009819CE">
        <w:rPr>
          <w:rFonts w:cstheme="minorBidi"/>
        </w:rPr>
        <w:t xml:space="preserve"> crucial for cell membrane formation, such as phosphatidylcholine, and</w:t>
      </w:r>
      <w:r w:rsidR="002B1EB0" w:rsidRPr="009819CE">
        <w:rPr>
          <w:rFonts w:cstheme="minorBidi"/>
        </w:rPr>
        <w:t xml:space="preserve"> lipids involved in</w:t>
      </w:r>
      <w:r w:rsidR="00D217A0" w:rsidRPr="009819CE">
        <w:rPr>
          <w:rFonts w:cstheme="minorBidi"/>
        </w:rPr>
        <w:t xml:space="preserve"> membrane fluidity, such as docosahexaenoic acid (DHA) and eicosapentaenoic acid (EPA), which were highly abundant in the macrospores. These lipids may provide protection against environmental stress, potentially contributing to the spores' survival and successful transmission.</w:t>
      </w:r>
    </w:p>
    <w:p w14:paraId="4D8BCFF5" w14:textId="363DAC9A" w:rsidR="003E34D4" w:rsidRPr="009819CE" w:rsidRDefault="009340D8" w:rsidP="00292716">
      <w:pPr>
        <w:pStyle w:val="Heading2"/>
        <w:rPr>
          <w:rFonts w:eastAsiaTheme="minorHAnsi" w:cstheme="minorBidi"/>
        </w:rPr>
      </w:pPr>
      <w:bookmarkStart w:id="399" w:name="_Toc204106685"/>
      <w:r w:rsidRPr="009819CE">
        <w:rPr>
          <w:rFonts w:eastAsiaTheme="minorHAnsi" w:cstheme="minorBidi"/>
        </w:rPr>
        <w:t>Future work</w:t>
      </w:r>
      <w:r w:rsidR="00B10E19" w:rsidRPr="009819CE">
        <w:rPr>
          <w:rFonts w:eastAsiaTheme="minorHAnsi" w:cstheme="minorBidi"/>
        </w:rPr>
        <w:t xml:space="preserve"> in this research</w:t>
      </w:r>
      <w:r w:rsidR="00780799" w:rsidRPr="00FA7D47">
        <w:rPr>
          <w:rFonts w:eastAsiaTheme="minorHAnsi" w:cstheme="minorBidi"/>
        </w:rPr>
        <w:t xml:space="preserve"> area</w:t>
      </w:r>
      <w:bookmarkEnd w:id="399"/>
    </w:p>
    <w:p w14:paraId="54D5F818" w14:textId="2E181CDF" w:rsidR="000009FE" w:rsidRPr="009819CE" w:rsidRDefault="003E34D4" w:rsidP="00324A70">
      <w:pPr>
        <w:rPr>
          <w:rFonts w:cstheme="minorBidi"/>
        </w:rPr>
      </w:pPr>
      <w:r w:rsidRPr="009819CE">
        <w:rPr>
          <w:rFonts w:cstheme="minorBidi"/>
        </w:rPr>
        <w:t xml:space="preserve">In Chapter 2, </w:t>
      </w:r>
      <w:r w:rsidR="00D945D4">
        <w:rPr>
          <w:rFonts w:cstheme="minorBidi"/>
        </w:rPr>
        <w:t>the</w:t>
      </w:r>
      <w:r w:rsidRPr="009819CE">
        <w:rPr>
          <w:rFonts w:cstheme="minorBidi"/>
        </w:rPr>
        <w:t xml:space="preserve"> approach encompassed the utilization of both the pleopod method and the body </w:t>
      </w:r>
      <w:r w:rsidR="00EF03BF" w:rsidRPr="009819CE">
        <w:rPr>
          <w:rFonts w:cstheme="minorBidi"/>
        </w:rPr>
        <w:t>colour</w:t>
      </w:r>
      <w:r w:rsidRPr="009819CE">
        <w:rPr>
          <w:rFonts w:cstheme="minorBidi"/>
        </w:rPr>
        <w:t xml:space="preserve"> method to assess </w:t>
      </w:r>
      <w:r w:rsidR="009D03F4" w:rsidRPr="009819CE">
        <w:rPr>
          <w:rFonts w:cstheme="minorBidi"/>
          <w:i/>
        </w:rPr>
        <w:t>Hematodinium</w:t>
      </w:r>
      <w:r w:rsidRPr="009819CE">
        <w:rPr>
          <w:rFonts w:cstheme="minorBidi"/>
        </w:rPr>
        <w:t xml:space="preserve"> sp. </w:t>
      </w:r>
      <w:r w:rsidR="00CE326E" w:rsidRPr="009819CE">
        <w:rPr>
          <w:rFonts w:cstheme="minorBidi"/>
        </w:rPr>
        <w:t xml:space="preserve">patent </w:t>
      </w:r>
      <w:r w:rsidRPr="009819CE">
        <w:rPr>
          <w:rFonts w:cstheme="minorBidi"/>
        </w:rPr>
        <w:t>infection</w:t>
      </w:r>
      <w:r w:rsidR="0068270E" w:rsidRPr="009819CE">
        <w:rPr>
          <w:rFonts w:cstheme="minorBidi"/>
        </w:rPr>
        <w:t>.</w:t>
      </w:r>
      <w:r w:rsidR="00DF2ED5" w:rsidRPr="009819CE">
        <w:t xml:space="preserve"> </w:t>
      </w:r>
      <w:r w:rsidR="00DF2ED5" w:rsidRPr="009819CE">
        <w:rPr>
          <w:rFonts w:cstheme="minorBidi"/>
        </w:rPr>
        <w:t xml:space="preserve">To assess subpatent levels of infection, one potential approach could have been to utilize </w:t>
      </w:r>
      <w:r w:rsidR="00331FCF" w:rsidRPr="00FA7D47">
        <w:rPr>
          <w:rFonts w:cstheme="minorBidi"/>
        </w:rPr>
        <w:t xml:space="preserve">a more sensitive technique </w:t>
      </w:r>
      <w:r w:rsidR="00DF2ED5" w:rsidRPr="009819CE">
        <w:rPr>
          <w:rFonts w:cstheme="minorBidi"/>
        </w:rPr>
        <w:t xml:space="preserve">on the comprehensive one-year sampling dataset (n=1790) to conclusively confirm the presence of </w:t>
      </w:r>
      <w:r w:rsidR="009D03F4" w:rsidRPr="009819CE">
        <w:rPr>
          <w:rFonts w:cstheme="minorBidi"/>
          <w:i/>
          <w:iCs/>
        </w:rPr>
        <w:t>Hematodinium</w:t>
      </w:r>
      <w:r w:rsidR="00DF2ED5" w:rsidRPr="009819CE">
        <w:rPr>
          <w:rFonts w:cstheme="minorBidi"/>
        </w:rPr>
        <w:t xml:space="preserve"> sp. in the haemolymph across all seasons, a presence that was already demonstrated by </w:t>
      </w:r>
      <w:hyperlink w:anchor="_ENREF_29" w:tooltip="Beevers, 2012 #377" w:history="1">
        <w:r w:rsidR="00950097" w:rsidRPr="009819CE">
          <w:rPr>
            <w:rFonts w:cstheme="minorBidi"/>
          </w:rPr>
          <w:fldChar w:fldCharType="begin"/>
        </w:r>
        <w:r w:rsidR="00950097" w:rsidRPr="009819CE">
          <w:rPr>
            <w:rFonts w:cstheme="minorBidi"/>
          </w:rPr>
          <w:instrText xml:space="preserve"> ADDIN EN.CITE &lt;EndNote&gt;&lt;Cite AuthorYear="1"&gt;&lt;Author&gt;Beevers&lt;/Author&gt;&lt;Year&gt;2012&lt;/Year&gt;&lt;RecNum&gt;377&lt;/RecNum&gt;&lt;DisplayText&gt;Beevers et al. (2012)&lt;/DisplayText&gt;&lt;record&gt;&lt;rec-number&gt;377&lt;/rec-number&gt;&lt;foreign-keys&gt;&lt;key app="EN" db-id="sd9wrx9fj09rx3erprsx999o0r5aprvp2zse" timestamp="1687855901" guid="a3e03366-8583-44de-9169-f7af91467d5f"&gt;377&lt;/key&gt;&lt;/foreign-keys&gt;&lt;ref-type name="Journal Article"&gt;17&lt;/ref-type&gt;&lt;contributors&gt;&lt;authors&gt;&lt;author&gt;Beevers, N. D.&lt;/author&gt;&lt;author&gt;Kilbride, E.&lt;/author&gt;&lt;author&gt;Atkinson, Robert James A.&lt;/author&gt;&lt;author&gt;Neil, D. M.&lt;/author&gt;&lt;/authors&gt;&lt;/contributors&gt;&lt;titles&gt;&lt;title&gt;&lt;style face="italic" font="default" size="100%"&gt;Hematodinium&lt;/style&gt;&lt;style face="normal" font="default" size="100%"&gt; infection seasonality in the Firth of Clyde (Scotland) &lt;/style&gt;&lt;style face="italic" font="default" size="100%"&gt;Nephrops norvegicus &lt;/style&gt;&lt;style face="normal" font="default" size="100%"&gt;population: a re-evaluation&lt;/style&gt;&lt;/title&gt;&lt;secondary-title&gt;Diseases of Aquatic Organisms&lt;/secondary-title&gt;&lt;/titles&gt;&lt;periodical&gt;&lt;full-title&gt;Diseases of Aquatic Organisms&lt;/full-title&gt;&lt;/periodical&gt;&lt;pages&gt;95-104&lt;/pages&gt;&lt;volume&gt;100&lt;/volume&gt;&lt;number&gt;2&lt;/number&gt;&lt;keywords&gt;&lt;keyword&gt;Diagnostic&lt;/keyword&gt;&lt;keyword&gt;Dinoflagellate&lt;/keyword&gt;&lt;keyword&gt;Disease&lt;/keyword&gt;&lt;keyword&gt;Fisheries&lt;/keyword&gt;&lt;keyword&gt;Lobster&lt;/keyword&gt;&lt;keyword&gt;Long-term dataset&lt;/keyword&gt;&lt;keyword&gt;Monitoring&lt;/keyword&gt;&lt;keyword&gt;Mortality&lt;/keyword&gt;&lt;keyword&gt;Parasite&lt;/keyword&gt;&lt;/keywords&gt;&lt;dates&gt;&lt;year&gt;2012&lt;/year&gt;&lt;pub-dates&gt;&lt;date&gt;2012/8//&lt;/date&gt;&lt;/pub-dates&gt;&lt;/dates&gt;&lt;urls&gt;&lt;related-urls&gt;&lt;url&gt;http://www.int-res.com/abstracts/dao/v100/n2/p95-104/&lt;/url&gt;&lt;/related-urls&gt;&lt;/urls&gt;&lt;electronic-resource-num&gt;10.3354/dao02473&lt;/electronic-resource-num&gt;&lt;/record&gt;&lt;/Cite&gt;&lt;/EndNote&gt;</w:instrText>
        </w:r>
        <w:r w:rsidR="00950097" w:rsidRPr="009819CE">
          <w:rPr>
            <w:rFonts w:cstheme="minorBidi"/>
          </w:rPr>
          <w:fldChar w:fldCharType="separate"/>
        </w:r>
        <w:r w:rsidR="00950097" w:rsidRPr="001F4A34">
          <w:rPr>
            <w:rFonts w:cstheme="minorBidi"/>
          </w:rPr>
          <w:t>Beevers et al. (2012)</w:t>
        </w:r>
        <w:r w:rsidR="00950097" w:rsidRPr="009819CE">
          <w:rPr>
            <w:rFonts w:cstheme="minorBidi"/>
          </w:rPr>
          <w:fldChar w:fldCharType="end"/>
        </w:r>
      </w:hyperlink>
      <w:r w:rsidR="00DF2ED5" w:rsidRPr="009819CE">
        <w:rPr>
          <w:rFonts w:cstheme="minorBidi"/>
        </w:rPr>
        <w:t xml:space="preserve"> throughout the entire year. </w:t>
      </w:r>
      <w:r w:rsidR="00442316" w:rsidRPr="009819CE">
        <w:rPr>
          <w:rFonts w:cstheme="minorBidi"/>
        </w:rPr>
        <w:t xml:space="preserve">Consequently, </w:t>
      </w:r>
      <w:r w:rsidR="00923DD1" w:rsidRPr="009819CE">
        <w:rPr>
          <w:rFonts w:cstheme="minorBidi"/>
        </w:rPr>
        <w:t>future research</w:t>
      </w:r>
      <w:r w:rsidR="00442316" w:rsidRPr="009819CE">
        <w:rPr>
          <w:rFonts w:cstheme="minorBidi"/>
        </w:rPr>
        <w:t xml:space="preserve"> </w:t>
      </w:r>
      <w:r w:rsidR="00F95EF1" w:rsidRPr="009819CE">
        <w:rPr>
          <w:rFonts w:cstheme="minorBidi"/>
        </w:rPr>
        <w:t>focus on</w:t>
      </w:r>
      <w:r w:rsidR="00442316" w:rsidRPr="009819CE">
        <w:rPr>
          <w:rFonts w:cstheme="minorBidi"/>
        </w:rPr>
        <w:t xml:space="preserve"> the development of a quantitative PCR (qPCR) assay aimed at quantifying </w:t>
      </w:r>
      <w:r w:rsidR="009D03F4" w:rsidRPr="009819CE">
        <w:rPr>
          <w:rFonts w:cstheme="minorBidi"/>
          <w:i/>
          <w:iCs/>
        </w:rPr>
        <w:t>Hematodinium</w:t>
      </w:r>
      <w:r w:rsidR="00442316" w:rsidRPr="009819CE">
        <w:rPr>
          <w:rFonts w:cstheme="minorBidi"/>
        </w:rPr>
        <w:t xml:space="preserve"> sp. levels during both infection peaks and non-peak periods, with emphasis on the timeframe from January to April. Additionally, by integrating environmental water</w:t>
      </w:r>
      <w:r w:rsidR="00923DD1" w:rsidRPr="009819CE">
        <w:rPr>
          <w:rFonts w:cstheme="minorBidi"/>
        </w:rPr>
        <w:t xml:space="preserve"> and benthos</w:t>
      </w:r>
      <w:r w:rsidR="00442316" w:rsidRPr="009819CE">
        <w:rPr>
          <w:rFonts w:cstheme="minorBidi"/>
        </w:rPr>
        <w:t xml:space="preserve"> samples into </w:t>
      </w:r>
      <w:r w:rsidR="00146158" w:rsidRPr="00FA7D47">
        <w:rPr>
          <w:rFonts w:cstheme="minorBidi"/>
        </w:rPr>
        <w:t>the</w:t>
      </w:r>
      <w:r w:rsidR="00442316" w:rsidRPr="009819CE">
        <w:rPr>
          <w:rFonts w:cstheme="minorBidi"/>
        </w:rPr>
        <w:t xml:space="preserve"> analysis, </w:t>
      </w:r>
      <w:r w:rsidR="0091423C" w:rsidRPr="00FA7D47">
        <w:rPr>
          <w:rFonts w:cstheme="minorBidi"/>
        </w:rPr>
        <w:t>it would be possible to</w:t>
      </w:r>
      <w:r w:rsidR="00442316" w:rsidRPr="009819CE">
        <w:rPr>
          <w:rFonts w:cstheme="minorBidi"/>
        </w:rPr>
        <w:t xml:space="preserve"> gain quantitative insights into </w:t>
      </w:r>
      <w:r w:rsidR="009D03F4" w:rsidRPr="009819CE">
        <w:rPr>
          <w:rFonts w:cstheme="minorBidi"/>
          <w:i/>
          <w:iCs/>
        </w:rPr>
        <w:t>Hematodinium</w:t>
      </w:r>
      <w:r w:rsidR="00442316" w:rsidRPr="009819CE">
        <w:rPr>
          <w:rFonts w:cstheme="minorBidi"/>
        </w:rPr>
        <w:t xml:space="preserve"> </w:t>
      </w:r>
      <w:r w:rsidR="00D02B30" w:rsidRPr="009819CE">
        <w:rPr>
          <w:rFonts w:cstheme="minorBidi"/>
        </w:rPr>
        <w:t xml:space="preserve">spp. </w:t>
      </w:r>
      <w:r w:rsidR="00442316" w:rsidRPr="009819CE">
        <w:rPr>
          <w:rFonts w:cstheme="minorBidi"/>
        </w:rPr>
        <w:t xml:space="preserve">levels before visible signs of infection manifest in the animals, as well as during the period </w:t>
      </w:r>
      <w:r w:rsidR="00B00E3D" w:rsidRPr="009819CE">
        <w:rPr>
          <w:rFonts w:cstheme="minorBidi"/>
        </w:rPr>
        <w:t xml:space="preserve">around </w:t>
      </w:r>
      <w:r w:rsidR="00442316" w:rsidRPr="009819CE">
        <w:rPr>
          <w:rFonts w:cstheme="minorBidi"/>
        </w:rPr>
        <w:t>sporulation timing.</w:t>
      </w:r>
    </w:p>
    <w:p w14:paraId="66E06FCE" w14:textId="574958AB" w:rsidR="003E34D4" w:rsidRPr="009819CE" w:rsidRDefault="003E34D4" w:rsidP="003E34D4">
      <w:pPr>
        <w:rPr>
          <w:rFonts w:cstheme="minorBidi"/>
        </w:rPr>
      </w:pPr>
      <w:r w:rsidRPr="009819CE">
        <w:rPr>
          <w:rFonts w:cstheme="minorBidi"/>
        </w:rPr>
        <w:t>Within this chapter, haemolymph samples</w:t>
      </w:r>
      <w:r w:rsidR="0061734A" w:rsidRPr="00FA7D47">
        <w:rPr>
          <w:rFonts w:cstheme="minorBidi"/>
        </w:rPr>
        <w:t xml:space="preserve"> were collected</w:t>
      </w:r>
      <w:r w:rsidRPr="009819CE">
        <w:rPr>
          <w:rFonts w:cstheme="minorBidi"/>
        </w:rPr>
        <w:t xml:space="preserve"> from additional crustacean species captured alongside </w:t>
      </w:r>
      <w:r w:rsidR="00C31E47" w:rsidRPr="009819CE">
        <w:rPr>
          <w:rFonts w:cstheme="minorBidi"/>
          <w:i/>
          <w:iCs/>
        </w:rPr>
        <w:t>Nephrops</w:t>
      </w:r>
      <w:r w:rsidRPr="009819CE">
        <w:rPr>
          <w:rFonts w:cstheme="minorBidi"/>
        </w:rPr>
        <w:t xml:space="preserve"> in monthly catches. Unfortunately, these samples remained unprocessed and were not included in the analysis. These co-occurring species could potentially act as alternate hosts, as observed in polyculture ponds in China</w:t>
      </w:r>
      <w:r w:rsidR="004441FC" w:rsidRPr="009819CE">
        <w:rPr>
          <w:rFonts w:cstheme="minorBidi"/>
        </w:rPr>
        <w:t xml:space="preserve"> </w:t>
      </w:r>
      <w:r w:rsidRPr="009819CE">
        <w:rPr>
          <w:rFonts w:cstheme="minorBidi"/>
        </w:rPr>
        <w:t xml:space="preserve">where they serve as both reservoirs and sources of </w:t>
      </w:r>
      <w:r w:rsidR="009D03F4" w:rsidRPr="009819CE">
        <w:rPr>
          <w:rFonts w:cstheme="minorBidi"/>
          <w:i/>
        </w:rPr>
        <w:t>Hematodinium</w:t>
      </w:r>
      <w:r w:rsidR="00D8349A" w:rsidRPr="009819CE">
        <w:rPr>
          <w:rFonts w:cstheme="minorBidi"/>
          <w:i/>
        </w:rPr>
        <w:t xml:space="preserve"> </w:t>
      </w:r>
      <w:r w:rsidR="002D3B27" w:rsidRPr="009819CE">
        <w:rPr>
          <w:rFonts w:cstheme="minorBidi"/>
          <w:iCs/>
        </w:rPr>
        <w:fldChar w:fldCharType="begin"/>
      </w:r>
      <w:r w:rsidR="00ED1A9E" w:rsidRPr="009819CE">
        <w:rPr>
          <w:rFonts w:cstheme="minorBidi"/>
          <w:iCs/>
        </w:rPr>
        <w:instrText xml:space="preserve"> ADDIN EN.CITE &lt;EndNote&gt;&lt;Cite&gt;&lt;Author&gt;Huang&lt;/Author&gt;&lt;Year&gt;2021&lt;/Year&gt;&lt;RecNum&gt;472&lt;/RecNum&gt;&lt;DisplayText&gt;(Huang et al., 2021)&lt;/DisplayText&gt;&lt;record&gt;&lt;rec-number&gt;472&lt;/rec-number&gt;&lt;foreign-keys&gt;&lt;key app="EN" db-id="sd9wrx9fj09rx3erprsx999o0r5aprvp2zse" timestamp="1687855901" guid="b0ecda04-9409-45da-8f5d-4f1aefe5ef59"&gt;472&lt;/key&gt;&lt;/foreign-keys&gt;&lt;ref-type name="Journal Article"&gt;17&lt;/ref-type&gt;&lt;contributors&gt;&lt;authors&gt;&lt;author&gt;Huang, Qian&lt;/author&gt;&lt;author&gt;Li, Meng&lt;/author&gt;&lt;author&gt;Wang, Fei&lt;/author&gt;&lt;author&gt;Song, Shuqun&lt;/author&gt;&lt;author&gt;Li, Caiwen&lt;/author&gt;&lt;/authors&gt;&lt;/contributors&gt;&lt;titles&gt;&lt;title&gt;&lt;style face="normal" font="default" size="100%"&gt;Transmission pattern of the parasitic dinoflagellate &lt;/style&gt;&lt;style face="italic" font="default" size="100%"&gt;Hematodinium perezi&lt;/style&gt;&lt;style face="normal" font="default" size="100%"&gt; in polyculture ponds of coastal China&lt;/style&gt;&lt;/title&gt;&lt;secondary-title&gt;Aquaculture&lt;/secondary-title&gt;&lt;/titles&gt;&lt;periodical&gt;&lt;full-title&gt;Aquaculture&lt;/full-title&gt;&lt;/periodical&gt;&lt;pages&gt;736549-736549&lt;/pages&gt;&lt;volume&gt;538&lt;/volume&gt;&lt;number&gt;736549&lt;/number&gt;&lt;keywords&gt;&lt;keyword&gt;Aquaculture&lt;/keyword&gt;&lt;keyword&gt;Epizootic&lt;/keyword&gt;&lt;keyword&gt;Marine crustacean&lt;/keyword&gt;&lt;keyword&gt;Parasite&lt;/keyword&gt;&lt;keyword&gt;Transmission&lt;/keyword&gt;&lt;/keywords&gt;&lt;dates&gt;&lt;year&gt;2021&lt;/year&gt;&lt;pub-dates&gt;&lt;date&gt;2021/5//&lt;/date&gt;&lt;/pub-dates&gt;&lt;/dates&gt;&lt;publisher&gt;Elsevier B.V.&lt;/publisher&gt;&lt;isbn&gt;0044-8486&lt;/isbn&gt;&lt;urls&gt;&lt;related-urls&gt;&lt;url&gt;https://doi.org/10.1016/j.aquaculture.2021.736549&lt;/url&gt;&lt;url&gt;https://linkinghub.elsevier.com/retrieve/pii/S0044848621002118&lt;/url&gt;&lt;/related-urls&gt;&lt;/urls&gt;&lt;electronic-resource-num&gt;10.1016/j.aquaculture.2021.736549&lt;/electronic-resource-num&gt;&lt;/record&gt;&lt;/Cite&gt;&lt;/EndNote&gt;</w:instrText>
      </w:r>
      <w:r w:rsidR="002D3B27" w:rsidRPr="009819CE">
        <w:rPr>
          <w:rFonts w:cstheme="minorBidi"/>
          <w:iCs/>
        </w:rPr>
        <w:fldChar w:fldCharType="separate"/>
      </w:r>
      <w:r w:rsidR="002D3B27" w:rsidRPr="001F4A34">
        <w:rPr>
          <w:rFonts w:cstheme="minorBidi"/>
          <w:iCs/>
        </w:rPr>
        <w:t>(</w:t>
      </w:r>
      <w:hyperlink w:anchor="_ENREF_144" w:tooltip="Huang, 2021 #472" w:history="1">
        <w:r w:rsidR="00950097" w:rsidRPr="001F4A34">
          <w:rPr>
            <w:rFonts w:cstheme="minorBidi"/>
            <w:iCs/>
          </w:rPr>
          <w:t>Huang et al., 2021</w:t>
        </w:r>
      </w:hyperlink>
      <w:r w:rsidR="002D3B27" w:rsidRPr="001F4A34">
        <w:rPr>
          <w:rFonts w:cstheme="minorBidi"/>
          <w:iCs/>
        </w:rPr>
        <w:t>)</w:t>
      </w:r>
      <w:r w:rsidR="002D3B27" w:rsidRPr="009819CE">
        <w:rPr>
          <w:rFonts w:cstheme="minorBidi"/>
          <w:iCs/>
        </w:rPr>
        <w:fldChar w:fldCharType="end"/>
      </w:r>
      <w:r w:rsidRPr="009819CE">
        <w:rPr>
          <w:rFonts w:cstheme="minorBidi"/>
          <w:iCs/>
        </w:rPr>
        <w:t xml:space="preserve">. </w:t>
      </w:r>
      <w:r w:rsidRPr="009819CE">
        <w:rPr>
          <w:rFonts w:cstheme="minorBidi"/>
        </w:rPr>
        <w:t xml:space="preserve">This highlights the significance of these alternate hosts, especially during periods when </w:t>
      </w:r>
      <w:r w:rsidR="009D03F4" w:rsidRPr="009819CE">
        <w:rPr>
          <w:rFonts w:cstheme="minorBidi"/>
          <w:i/>
        </w:rPr>
        <w:t>Hematodinium</w:t>
      </w:r>
      <w:r w:rsidRPr="009819CE">
        <w:rPr>
          <w:rFonts w:cstheme="minorBidi"/>
        </w:rPr>
        <w:t xml:space="preserve"> prevalence in </w:t>
      </w:r>
      <w:r w:rsidR="00C31E47" w:rsidRPr="009819CE">
        <w:rPr>
          <w:rFonts w:cstheme="minorBidi"/>
          <w:i/>
          <w:iCs/>
        </w:rPr>
        <w:t>Nephrops</w:t>
      </w:r>
      <w:r w:rsidRPr="009819CE">
        <w:rPr>
          <w:rFonts w:cstheme="minorBidi"/>
        </w:rPr>
        <w:t xml:space="preserve"> is at its lowest, potentially carrying and transmitting the disease. Future long-term prevalence investigations could encompass a variety of crustacean species cohabiting the same habitat, facilitating an assessment of potential correlations between </w:t>
      </w:r>
      <w:r w:rsidR="009D03F4" w:rsidRPr="009819CE">
        <w:rPr>
          <w:rFonts w:cstheme="minorBidi"/>
          <w:i/>
        </w:rPr>
        <w:t>Hematodinium</w:t>
      </w:r>
      <w:r w:rsidRPr="009819CE">
        <w:rPr>
          <w:rFonts w:cstheme="minorBidi"/>
        </w:rPr>
        <w:t xml:space="preserve"> </w:t>
      </w:r>
      <w:r w:rsidR="00AA1C7E" w:rsidRPr="009819CE">
        <w:rPr>
          <w:rFonts w:cstheme="minorBidi"/>
        </w:rPr>
        <w:t xml:space="preserve">sp. </w:t>
      </w:r>
      <w:r w:rsidRPr="009819CE">
        <w:rPr>
          <w:rFonts w:cstheme="minorBidi"/>
        </w:rPr>
        <w:t>prevalence in different species</w:t>
      </w:r>
      <w:r w:rsidR="00195546" w:rsidRPr="009819CE">
        <w:rPr>
          <w:rFonts w:cstheme="minorBidi"/>
        </w:rPr>
        <w:t xml:space="preserve"> </w:t>
      </w:r>
      <w:r w:rsidR="00E72AEC" w:rsidRPr="009819CE">
        <w:rPr>
          <w:rFonts w:cstheme="minorBidi"/>
        </w:rPr>
        <w:fldChar w:fldCharType="begin"/>
      </w:r>
      <w:r w:rsidR="00871B4F">
        <w:rPr>
          <w:rFonts w:cstheme="minorBidi"/>
        </w:rPr>
        <w:instrText xml:space="preserve"> ADDIN EN.CITE &lt;EndNote&gt;&lt;Cite&gt;&lt;Author&gt;Hamilton&lt;/Author&gt;&lt;Year&gt;2007&lt;/Year&gt;&lt;RecNum&gt;1669&lt;/RecNum&gt;&lt;DisplayText&gt;(Hamilton, 2007)&lt;/DisplayText&gt;&lt;record&gt;&lt;rec-number&gt;1669&lt;/rec-number&gt;&lt;foreign-keys&gt;&lt;key app="EN" db-id="sd9wrx9fj09rx3erprsx999o0r5aprvp2zse" timestamp="1687877089" guid="1be7a259-46d0-4257-bc67-74f1a0282d92"&gt;1669&lt;/key&gt;&lt;/foreign-keys&gt;&lt;ref-type name="Thesis"&gt;32&lt;/ref-type&gt;&lt;contributors&gt;&lt;authors&gt;&lt;author&gt;Hamilton, Kristina. &lt;/author&gt;&lt;/authors&gt;&lt;/contributors&gt;&lt;titles&gt;&lt;title&gt;&lt;style face="normal" font="default" size="100%"&gt;Infection of Clyde Sea crustaceans by the protist parasite &lt;/style&gt;&lt;style face="italic" font="default" size="100%"&gt;Hematodinium&lt;/style&gt;&lt;/title&gt;&lt;secondary-title&gt;Pathophysiology and Biochemistry&lt;/secondary-title&gt;&lt;/titles&gt;&lt;volume&gt;PhD thesis&lt;/volume&gt;&lt;dates&gt;&lt;year&gt;2007&lt;/year&gt;&lt;/dates&gt;&lt;publisher&gt;University of London&lt;/publisher&gt;&lt;urls&gt;&lt;/urls&gt;&lt;/record&gt;&lt;/Cite&gt;&lt;/EndNote&gt;</w:instrText>
      </w:r>
      <w:r w:rsidR="00E72AEC" w:rsidRPr="009819CE">
        <w:rPr>
          <w:rFonts w:cstheme="minorBidi"/>
        </w:rPr>
        <w:fldChar w:fldCharType="separate"/>
      </w:r>
      <w:r w:rsidR="00E72AEC" w:rsidRPr="00871B4F">
        <w:rPr>
          <w:rFonts w:cstheme="minorBidi"/>
          <w:noProof/>
        </w:rPr>
        <w:t>(</w:t>
      </w:r>
      <w:hyperlink w:anchor="_ENREF_119" w:tooltip="Hamilton, 2007 #1669" w:history="1">
        <w:r w:rsidR="00950097" w:rsidRPr="00871B4F">
          <w:rPr>
            <w:rFonts w:cstheme="minorBidi"/>
            <w:noProof/>
          </w:rPr>
          <w:t>Hamilton, 2007</w:t>
        </w:r>
      </w:hyperlink>
      <w:r w:rsidR="00E72AEC" w:rsidRPr="00871B4F">
        <w:rPr>
          <w:rFonts w:cstheme="minorBidi"/>
          <w:noProof/>
        </w:rPr>
        <w:t>)</w:t>
      </w:r>
      <w:r w:rsidR="00E72AEC" w:rsidRPr="009819CE">
        <w:rPr>
          <w:rFonts w:cstheme="minorBidi"/>
        </w:rPr>
        <w:fldChar w:fldCharType="end"/>
      </w:r>
      <w:r w:rsidRPr="009819CE">
        <w:rPr>
          <w:rFonts w:cstheme="minorBidi"/>
        </w:rPr>
        <w:t xml:space="preserve">. </w:t>
      </w:r>
      <w:r w:rsidR="00B61C63" w:rsidRPr="009819CE">
        <w:rPr>
          <w:rFonts w:cstheme="minorBidi"/>
        </w:rPr>
        <w:t xml:space="preserve">This approach could help us understand how </w:t>
      </w:r>
      <w:r w:rsidR="009D03F4" w:rsidRPr="009819CE">
        <w:rPr>
          <w:rFonts w:cstheme="minorBidi"/>
          <w:i/>
          <w:iCs/>
        </w:rPr>
        <w:t>Hematodinium</w:t>
      </w:r>
      <w:r w:rsidR="00B61C63" w:rsidRPr="009819CE">
        <w:rPr>
          <w:rFonts w:cstheme="minorBidi"/>
        </w:rPr>
        <w:t xml:space="preserve"> sp. spreads</w:t>
      </w:r>
      <w:r w:rsidR="00AF2F6A" w:rsidRPr="009819CE">
        <w:rPr>
          <w:rFonts w:cstheme="minorBidi"/>
        </w:rPr>
        <w:t xml:space="preserve"> or is sustained</w:t>
      </w:r>
      <w:r w:rsidR="00B61C63" w:rsidRPr="009819CE">
        <w:rPr>
          <w:rFonts w:cstheme="minorBidi"/>
        </w:rPr>
        <w:t xml:space="preserve"> in the CSA.</w:t>
      </w:r>
    </w:p>
    <w:p w14:paraId="4E63E887" w14:textId="0599F203" w:rsidR="00836F9A" w:rsidRPr="009819CE" w:rsidRDefault="003E34D4" w:rsidP="00550E54">
      <w:pPr>
        <w:rPr>
          <w:rFonts w:cstheme="minorBidi"/>
        </w:rPr>
      </w:pPr>
      <w:r w:rsidRPr="009819CE">
        <w:rPr>
          <w:rFonts w:cstheme="minorBidi"/>
        </w:rPr>
        <w:t xml:space="preserve">One crucial aspect necessitating further investigation is the mechanism underlying the susceptibility of smaller individuals to higher severity infections. Despite </w:t>
      </w:r>
      <w:r w:rsidR="00146158" w:rsidRPr="00FA7D47">
        <w:rPr>
          <w:rFonts w:cstheme="minorBidi"/>
        </w:rPr>
        <w:t>the</w:t>
      </w:r>
      <w:r w:rsidRPr="009819CE">
        <w:rPr>
          <w:rFonts w:cstheme="minorBidi"/>
        </w:rPr>
        <w:t xml:space="preserve"> current insights, the driving factors behind this phenomenon </w:t>
      </w:r>
      <w:r w:rsidR="009354EE" w:rsidRPr="009819CE">
        <w:rPr>
          <w:rFonts w:cstheme="minorBidi"/>
        </w:rPr>
        <w:t>are unknown</w:t>
      </w:r>
      <w:r w:rsidR="00550E54" w:rsidRPr="009819CE">
        <w:rPr>
          <w:rFonts w:cstheme="minorBidi"/>
        </w:rPr>
        <w:t>.</w:t>
      </w:r>
      <w:r w:rsidR="00A113B6" w:rsidRPr="009819CE">
        <w:rPr>
          <w:rFonts w:cstheme="minorBidi"/>
        </w:rPr>
        <w:t xml:space="preserve"> </w:t>
      </w:r>
    </w:p>
    <w:p w14:paraId="0BFC8A0A" w14:textId="04EEF933" w:rsidR="00671C2A" w:rsidRPr="009819CE" w:rsidRDefault="00836F9A" w:rsidP="003E34D4">
      <w:pPr>
        <w:rPr>
          <w:rFonts w:cstheme="minorBidi"/>
        </w:rPr>
      </w:pPr>
      <w:r w:rsidRPr="009819CE">
        <w:rPr>
          <w:rFonts w:cstheme="minorBidi"/>
        </w:rPr>
        <w:t xml:space="preserve">Another aspect that requires </w:t>
      </w:r>
      <w:r w:rsidR="00050C11" w:rsidRPr="009819CE">
        <w:rPr>
          <w:rFonts w:cstheme="minorBidi"/>
        </w:rPr>
        <w:t xml:space="preserve">further investigation </w:t>
      </w:r>
      <w:r w:rsidR="003E34D4" w:rsidRPr="009819CE">
        <w:rPr>
          <w:rFonts w:cstheme="minorBidi"/>
        </w:rPr>
        <w:t xml:space="preserve">is the synchronized seasonal pattern observed in parasites infecting hosts like </w:t>
      </w:r>
      <w:r w:rsidR="00C31E47" w:rsidRPr="009819CE">
        <w:rPr>
          <w:rFonts w:cstheme="minorBidi"/>
          <w:i/>
          <w:iCs/>
        </w:rPr>
        <w:t>Nephrops</w:t>
      </w:r>
      <w:r w:rsidR="00050C11" w:rsidRPr="009819CE">
        <w:rPr>
          <w:rFonts w:cstheme="minorBidi"/>
        </w:rPr>
        <w:t>.</w:t>
      </w:r>
      <w:r w:rsidR="006342C5" w:rsidRPr="009819CE">
        <w:rPr>
          <w:rFonts w:cstheme="minorBidi"/>
        </w:rPr>
        <w:t xml:space="preserve"> Several authors have suggested that moulting may play an important role in disease prevalence</w:t>
      </w:r>
      <w:r w:rsidR="00947CCA" w:rsidRPr="009819CE">
        <w:rPr>
          <w:rFonts w:cstheme="minorBidi"/>
        </w:rPr>
        <w:t>.</w:t>
      </w:r>
      <w:r w:rsidR="002250B1" w:rsidRPr="009819CE">
        <w:rPr>
          <w:rFonts w:cstheme="minorBidi"/>
        </w:rPr>
        <w:t xml:space="preserve"> </w:t>
      </w:r>
      <w:r w:rsidR="00653044" w:rsidRPr="009819CE">
        <w:rPr>
          <w:rFonts w:cstheme="minorBidi"/>
        </w:rPr>
        <w:t>The reasons behind seasonal synchronicity are not well understood, but temperature seems linked to when animals mo</w:t>
      </w:r>
      <w:r w:rsidR="00AF1680" w:rsidRPr="009819CE">
        <w:rPr>
          <w:rFonts w:cstheme="minorBidi"/>
        </w:rPr>
        <w:t>u</w:t>
      </w:r>
      <w:r w:rsidR="00653044" w:rsidRPr="009819CE">
        <w:rPr>
          <w:rFonts w:cstheme="minorBidi"/>
        </w:rPr>
        <w:t xml:space="preserve">lt. For parasites, their synchronized </w:t>
      </w:r>
      <w:r w:rsidR="009B3EC4" w:rsidRPr="009819CE">
        <w:rPr>
          <w:rFonts w:cstheme="minorBidi"/>
        </w:rPr>
        <w:t>multiplication</w:t>
      </w:r>
      <w:r w:rsidR="00653044" w:rsidRPr="009819CE">
        <w:rPr>
          <w:rFonts w:cstheme="minorBidi"/>
        </w:rPr>
        <w:t xml:space="preserve"> might be because they depend on the host's metabolic processes. </w:t>
      </w:r>
      <w:hyperlink w:anchor="_ENREF_114" w:tooltip="Gornik, 2015 #71" w:history="1">
        <w:r w:rsidR="00950097" w:rsidRPr="009819CE">
          <w:rPr>
            <w:rFonts w:cstheme="minorBidi"/>
          </w:rPr>
          <w:fldChar w:fldCharType="begin">
            <w:fldData xml:space="preserve">PEVuZE5vdGU+PENpdGUgQXV0aG9yWWVhcj0iMSI+PEF1dGhvcj5Hb3JuaWs8L0F1dGhvcj48WWVh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</w:fldData>
          </w:fldChar>
        </w:r>
        <w:r w:rsidR="00950097" w:rsidRPr="009819CE">
          <w:rPr>
            <w:rFonts w:cstheme="minorBidi"/>
          </w:rPr>
          <w:instrText xml:space="preserve"> ADDIN EN.CITE </w:instrText>
        </w:r>
        <w:r w:rsidR="00950097" w:rsidRPr="009819CE">
          <w:rPr>
            <w:rFonts w:cstheme="minorBidi"/>
          </w:rPr>
          <w:fldChar w:fldCharType="begin">
            <w:fldData xml:space="preserve">PEVuZE5vdGU+PENpdGUgQXV0aG9yWWVhcj0iMSI+PEF1dGhvcj5Hb3JuaWs8L0F1dGhvcj48WWVh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</w:fldData>
          </w:fldChar>
        </w:r>
        <w:r w:rsidR="00950097" w:rsidRPr="009819CE">
          <w:rPr>
            <w:rFonts w:cstheme="minorBidi"/>
          </w:rPr>
          <w:instrText xml:space="preserve"> ADDIN EN.CITE.DATA </w:instrText>
        </w:r>
        <w:r w:rsidR="00950097" w:rsidRPr="009819CE">
          <w:rPr>
            <w:rFonts w:cstheme="minorBidi"/>
          </w:rPr>
        </w:r>
        <w:r w:rsidR="00950097" w:rsidRPr="009819CE">
          <w:rPr>
            <w:rFonts w:cstheme="minorBidi"/>
          </w:rPr>
          <w:fldChar w:fldCharType="end"/>
        </w:r>
        <w:r w:rsidR="00950097" w:rsidRPr="009819CE">
          <w:rPr>
            <w:rFonts w:cstheme="minorBidi"/>
          </w:rPr>
        </w:r>
        <w:r w:rsidR="00950097" w:rsidRPr="009819CE">
          <w:rPr>
            <w:rFonts w:cstheme="minorBidi"/>
          </w:rPr>
          <w:fldChar w:fldCharType="separate"/>
        </w:r>
        <w:r w:rsidR="00950097" w:rsidRPr="001F4A34">
          <w:rPr>
            <w:rFonts w:cstheme="minorBidi"/>
          </w:rPr>
          <w:t>Gornik et al. (2015)</w:t>
        </w:r>
        <w:r w:rsidR="00950097" w:rsidRPr="009819CE">
          <w:rPr>
            <w:rFonts w:cstheme="minorBidi"/>
          </w:rPr>
          <w:fldChar w:fldCharType="end"/>
        </w:r>
      </w:hyperlink>
      <w:r w:rsidR="00F76517" w:rsidRPr="009819CE">
        <w:rPr>
          <w:rFonts w:cstheme="minorBidi"/>
        </w:rPr>
        <w:t xml:space="preserve"> </w:t>
      </w:r>
      <w:r w:rsidR="00653044" w:rsidRPr="009819CE">
        <w:rPr>
          <w:rFonts w:cstheme="minorBidi"/>
        </w:rPr>
        <w:t xml:space="preserve">suggest that </w:t>
      </w:r>
      <w:r w:rsidR="009D03F4" w:rsidRPr="009819CE">
        <w:rPr>
          <w:rFonts w:cstheme="minorBidi"/>
          <w:i/>
          <w:iCs/>
        </w:rPr>
        <w:t>Hematodinium</w:t>
      </w:r>
      <w:r w:rsidR="00653044" w:rsidRPr="009819CE">
        <w:rPr>
          <w:rFonts w:cstheme="minorBidi"/>
        </w:rPr>
        <w:t xml:space="preserve"> sp., having lost its plastid organelle, relies on the host's metabolism for essential nutrients. </w:t>
      </w:r>
      <w:r w:rsidR="002C5673" w:rsidRPr="009819CE">
        <w:rPr>
          <w:rFonts w:cstheme="minorBidi"/>
        </w:rPr>
        <w:t xml:space="preserve"> </w:t>
      </w:r>
      <w:r w:rsidR="00653044" w:rsidRPr="009819CE">
        <w:rPr>
          <w:rFonts w:cstheme="minorBidi"/>
        </w:rPr>
        <w:t xml:space="preserve">For instance, metabolites like methyl farnesoate, which the host needs for spring </w:t>
      </w:r>
      <w:r w:rsidR="00A065F5" w:rsidRPr="009819CE">
        <w:rPr>
          <w:rFonts w:cstheme="minorBidi"/>
        </w:rPr>
        <w:t>moulting</w:t>
      </w:r>
      <w:r w:rsidR="00653044" w:rsidRPr="009819CE">
        <w:rPr>
          <w:rFonts w:cstheme="minorBidi"/>
        </w:rPr>
        <w:t xml:space="preserve">, might be crucial for the parasite's </w:t>
      </w:r>
      <w:r w:rsidR="00B11629" w:rsidRPr="009819CE">
        <w:rPr>
          <w:rFonts w:cstheme="minorBidi"/>
        </w:rPr>
        <w:t>multiplication</w:t>
      </w:r>
      <w:r w:rsidR="00653044" w:rsidRPr="009819CE">
        <w:rPr>
          <w:rFonts w:cstheme="minorBidi"/>
        </w:rPr>
        <w:t xml:space="preserve">. This dependency could partly explain </w:t>
      </w:r>
      <w:r w:rsidR="00673A85" w:rsidRPr="009819CE">
        <w:rPr>
          <w:rFonts w:cstheme="minorBidi"/>
        </w:rPr>
        <w:t xml:space="preserve">the observed synchronization between </w:t>
      </w:r>
      <w:r w:rsidR="001B2495" w:rsidRPr="009819CE">
        <w:rPr>
          <w:rFonts w:cstheme="minorBidi"/>
        </w:rPr>
        <w:t>moulting</w:t>
      </w:r>
      <w:r w:rsidR="00673A85" w:rsidRPr="009819CE">
        <w:rPr>
          <w:rFonts w:cstheme="minorBidi"/>
        </w:rPr>
        <w:t xml:space="preserve"> and </w:t>
      </w:r>
      <w:r w:rsidR="00A141B4" w:rsidRPr="009819CE">
        <w:rPr>
          <w:rFonts w:cstheme="minorBidi"/>
        </w:rPr>
        <w:t>parasite multiplication</w:t>
      </w:r>
      <w:r w:rsidR="00673A85" w:rsidRPr="009819CE">
        <w:rPr>
          <w:rFonts w:cstheme="minorBidi"/>
        </w:rPr>
        <w:t>.</w:t>
      </w:r>
    </w:p>
    <w:p w14:paraId="4179F266" w14:textId="04E49C42" w:rsidR="003E34D4" w:rsidRPr="009819CE" w:rsidRDefault="003E34D4" w:rsidP="003E34D4">
      <w:pPr>
        <w:rPr>
          <w:rFonts w:cstheme="minorBidi"/>
        </w:rPr>
      </w:pPr>
      <w:r w:rsidRPr="009819CE">
        <w:rPr>
          <w:rFonts w:cstheme="minorBidi"/>
        </w:rPr>
        <w:t xml:space="preserve">Long-term monitoring of </w:t>
      </w:r>
      <w:r w:rsidR="009D03F4" w:rsidRPr="009819CE">
        <w:rPr>
          <w:rFonts w:cstheme="minorBidi"/>
          <w:i/>
        </w:rPr>
        <w:t>Hematodinium</w:t>
      </w:r>
      <w:r w:rsidRPr="009819CE">
        <w:rPr>
          <w:rFonts w:cstheme="minorBidi"/>
        </w:rPr>
        <w:t xml:space="preserve"> sp. prevalence holds critical implications for both ecological health and fisheries management. Given the interplay between climate change and disease dynamics</w:t>
      </w:r>
      <w:r w:rsidR="00A928C2" w:rsidRPr="009819CE">
        <w:rPr>
          <w:rFonts w:cstheme="minorBidi"/>
        </w:rPr>
        <w:t xml:space="preserve"> </w:t>
      </w:r>
      <w:r w:rsidR="000A123C" w:rsidRPr="009819CE">
        <w:rPr>
          <w:rFonts w:cstheme="minorBidi"/>
        </w:rPr>
        <w:fldChar w:fldCharType="begin">
          <w:fldData xml:space="preserve">PEVuZE5vdGU+PENpdGU+PEF1dGhvcj5CeWVyczwvQXV0aG9yPjxZZWFyPjIwMjA8L1llYXI+PFJl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==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PEVuZE5vdGU+PENpdGU+PEF1dGhvcj5CeWVyczwvQXV0aG9yPjxZZWFyPjIwMjA8L1llYXI+PFJl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==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0A123C" w:rsidRPr="009819CE">
        <w:rPr>
          <w:rFonts w:cstheme="minorBidi"/>
        </w:rPr>
      </w:r>
      <w:r w:rsidR="000A123C" w:rsidRPr="009819CE">
        <w:rPr>
          <w:rFonts w:cstheme="minorBidi"/>
        </w:rPr>
        <w:fldChar w:fldCharType="separate"/>
      </w:r>
      <w:r w:rsidR="005F3F13" w:rsidRPr="001F4A34">
        <w:rPr>
          <w:rFonts w:cstheme="minorBidi"/>
        </w:rPr>
        <w:t>(</w:t>
      </w:r>
      <w:hyperlink w:anchor="_ENREF_36" w:tooltip="Byers, 2020 #1917" w:history="1">
        <w:r w:rsidR="00950097" w:rsidRPr="001F4A34">
          <w:rPr>
            <w:rFonts w:cstheme="minorBidi"/>
          </w:rPr>
          <w:t>Byers, 2020</w:t>
        </w:r>
      </w:hyperlink>
      <w:r w:rsidR="005F3F13" w:rsidRPr="001F4A34">
        <w:rPr>
          <w:rFonts w:cstheme="minorBidi"/>
        </w:rPr>
        <w:t xml:space="preserve">; </w:t>
      </w:r>
      <w:hyperlink w:anchor="_ENREF_37" w:tooltip="Byers, 2021 #1919" w:history="1">
        <w:r w:rsidR="00950097" w:rsidRPr="001F4A34">
          <w:rPr>
            <w:rFonts w:cstheme="minorBidi"/>
          </w:rPr>
          <w:t>Byers, 2021</w:t>
        </w:r>
      </w:hyperlink>
      <w:r w:rsidR="005F3F13" w:rsidRPr="001F4A34">
        <w:rPr>
          <w:rFonts w:cstheme="minorBidi"/>
        </w:rPr>
        <w:t xml:space="preserve">; </w:t>
      </w:r>
      <w:hyperlink w:anchor="_ENREF_279" w:tooltip="Shields, 2019 #1918" w:history="1">
        <w:r w:rsidR="00950097" w:rsidRPr="001F4A34">
          <w:rPr>
            <w:rFonts w:cstheme="minorBidi"/>
          </w:rPr>
          <w:t>Shields, 2019</w:t>
        </w:r>
      </w:hyperlink>
      <w:r w:rsidR="005F3F13" w:rsidRPr="001F4A34">
        <w:rPr>
          <w:rFonts w:cstheme="minorBidi"/>
        </w:rPr>
        <w:t>)</w:t>
      </w:r>
      <w:r w:rsidR="000A123C" w:rsidRPr="009819CE">
        <w:rPr>
          <w:rFonts w:cstheme="minorBidi"/>
        </w:rPr>
        <w:fldChar w:fldCharType="end"/>
      </w:r>
      <w:r w:rsidRPr="009819CE">
        <w:rPr>
          <w:rFonts w:cstheme="minorBidi"/>
        </w:rPr>
        <w:t xml:space="preserve">, future investigations should prioritize exploring potential correlations between </w:t>
      </w:r>
      <w:r w:rsidR="009D03F4" w:rsidRPr="009819CE">
        <w:rPr>
          <w:rFonts w:cstheme="minorBidi"/>
          <w:i/>
        </w:rPr>
        <w:t>Hematodinium</w:t>
      </w:r>
      <w:r w:rsidRPr="009819CE">
        <w:rPr>
          <w:rFonts w:cstheme="minorBidi"/>
        </w:rPr>
        <w:t xml:space="preserve"> sp. prevalence and shifting climatic conditions. </w:t>
      </w:r>
      <w:r w:rsidR="00E413E7" w:rsidRPr="009819CE">
        <w:rPr>
          <w:rFonts w:cstheme="minorBidi"/>
        </w:rPr>
        <w:t>P</w:t>
      </w:r>
      <w:r w:rsidRPr="009819CE">
        <w:rPr>
          <w:rFonts w:cstheme="minorBidi"/>
        </w:rPr>
        <w:t>arameters such as temperature (seabed) and salinity must be holistically integrated into the research framework. Notably, temperature and salinity have been identified as pivotal environmental factors, exerting a pronounced influence on disease dynamics. A</w:t>
      </w:r>
      <w:r w:rsidR="00E12FFA" w:rsidRPr="009819CE">
        <w:rPr>
          <w:rFonts w:cstheme="minorBidi"/>
        </w:rPr>
        <w:t>n</w:t>
      </w:r>
      <w:r w:rsidRPr="009819CE">
        <w:rPr>
          <w:rFonts w:cstheme="minorBidi"/>
        </w:rPr>
        <w:t xml:space="preserve"> example is the rapid proliferation of </w:t>
      </w:r>
      <w:r w:rsidR="009D03F4" w:rsidRPr="009819CE">
        <w:rPr>
          <w:rFonts w:cstheme="minorBidi"/>
          <w:i/>
        </w:rPr>
        <w:t>Hematodinium</w:t>
      </w:r>
      <w:r w:rsidRPr="009819CE">
        <w:rPr>
          <w:rFonts w:cstheme="minorBidi"/>
        </w:rPr>
        <w:t xml:space="preserve"> </w:t>
      </w:r>
      <w:r w:rsidR="00105257" w:rsidRPr="00FA7D47">
        <w:rPr>
          <w:rFonts w:cstheme="minorBidi"/>
          <w:i/>
        </w:rPr>
        <w:t>perezi</w:t>
      </w:r>
      <w:r w:rsidRPr="009819CE">
        <w:rPr>
          <w:rFonts w:cstheme="minorBidi"/>
        </w:rPr>
        <w:t xml:space="preserve"> infections in juvenile </w:t>
      </w:r>
      <w:r w:rsidR="00DF6E16" w:rsidRPr="009819CE">
        <w:rPr>
          <w:rFonts w:cstheme="minorBidi"/>
        </w:rPr>
        <w:t xml:space="preserve">Atlantic </w:t>
      </w:r>
      <w:r w:rsidRPr="009819CE">
        <w:rPr>
          <w:rFonts w:cstheme="minorBidi"/>
        </w:rPr>
        <w:t>blue crabs (</w:t>
      </w:r>
      <w:r w:rsidRPr="009819CE">
        <w:rPr>
          <w:rFonts w:cstheme="minorBidi"/>
          <w:i/>
          <w:iCs/>
        </w:rPr>
        <w:t>Callinectes sapidus</w:t>
      </w:r>
      <w:r w:rsidRPr="009819CE">
        <w:rPr>
          <w:rFonts w:cstheme="minorBidi"/>
        </w:rPr>
        <w:t xml:space="preserve">) at elevated temperatures and salinity levels of 30 psu, as evidenced by </w:t>
      </w:r>
      <w:hyperlink w:anchor="_ENREF_149" w:tooltip="Huchin-Mian, 2018 #219" w:history="1">
        <w:r w:rsidR="00950097" w:rsidRPr="009819CE">
          <w:rPr>
            <w:rFonts w:cstheme="minorBidi"/>
          </w:rPr>
          <w:fldChar w:fldCharType="begin"/>
        </w:r>
        <w:r w:rsidR="00950097" w:rsidRPr="009819CE">
          <w:rPr>
            <w:rFonts w:cstheme="minorBidi"/>
          </w:rPr>
          <w:instrText xml:space="preserve"> ADDIN EN.CITE &lt;EndNote&gt;&lt;Cite AuthorYear="1"&gt;&lt;Author&gt;Huchin-Mian&lt;/Author&gt;&lt;Year&gt;2018&lt;/Year&gt;&lt;RecNum&gt;219&lt;/RecNum&gt;&lt;DisplayText&gt;Huchin-Mian et al. (2018)&lt;/DisplayText&gt;&lt;record&gt;&lt;rec-number&gt;219&lt;/rec-number&gt;&lt;foreign-keys&gt;&lt;key app="EN" db-id="sd9wrx9fj09rx3erprsx999o0r5aprvp2zse" timestamp="1687855901" guid="8ffbfa5c-5694-47dc-8c11-e10fb91fc93f"&gt;219&lt;/key&gt;&lt;/foreign-keys&gt;&lt;ref-type name="Journal Article"&gt;17&lt;/ref-type&gt;&lt;contributors&gt;&lt;authors&gt;&lt;author&gt;Huchin-Mian, Juan Pablo&lt;/author&gt;&lt;author&gt;Small, Hamish J.&lt;/author&gt;&lt;author&gt;Shields, Jeffrey D.&lt;/author&gt;&lt;/authors&gt;&lt;/contributors&gt;&lt;titles&gt;&lt;title&gt;&lt;style face="normal" font="default" size="100%"&gt;The influence of temperature and salinity on mortality of recently recruited blue crabs, &lt;/style&gt;&lt;style face="italic" font="default" size="100%"&gt;Callinectes sapidus&lt;/style&gt;&lt;style face="normal" font="default" size="100%"&gt;, naturally infected with &lt;/style&gt;&lt;style face="italic" font="default" size="100%"&gt;Hematodinium perezi &lt;/style&gt;&lt;style face="normal" font="default" size="100%"&gt;(Dinoflagellata)&lt;/style&gt;&lt;/title&gt;&lt;secondary-title&gt;Journal of Invertebrate Pathology&lt;/secondary-title&gt;&lt;/titles&gt;&lt;periodical&gt;&lt;full-title&gt;Journal of Invertebrate Pathology&lt;/full-title&gt;&lt;/periodical&gt;&lt;pages&gt;8-16&lt;/pages&gt;&lt;volume&gt;152&lt;/volume&gt;&lt;number&gt;November 2017&lt;/number&gt;&lt;keywords&gt;&lt;keyword&gt;Dinoflagellate&lt;/keyword&gt;&lt;keyword&gt;Environmental factors&lt;/keyword&gt;&lt;keyword&gt;Mortality&lt;/keyword&gt;&lt;keyword&gt;Parasite&lt;/keyword&gt;&lt;keyword&gt;Sporulation&lt;/keyword&gt;&lt;keyword&gt;Survival&lt;/keyword&gt;&lt;/keywords&gt;&lt;dates&gt;&lt;year&gt;2018&lt;/year&gt;&lt;pub-dates&gt;&lt;date&gt;2018/2//&lt;/date&gt;&lt;/pub-dates&gt;&lt;/dates&gt;&lt;urls&gt;&lt;related-urls&gt;&lt;url&gt;https://linkinghub.elsevier.com/retrieve/pii/S0022201117304810&lt;/url&gt;&lt;/related-urls&gt;&lt;/urls&gt;&lt;electronic-resource-num&gt;10.1016/j.jip.2018.01.003&lt;/electronic-resource-num&gt;&lt;/record&gt;&lt;/Cite&gt;&lt;/EndNote&gt;</w:instrText>
        </w:r>
        <w:r w:rsidR="00950097" w:rsidRPr="009819CE">
          <w:rPr>
            <w:rFonts w:cstheme="minorBidi"/>
          </w:rPr>
          <w:fldChar w:fldCharType="separate"/>
        </w:r>
        <w:r w:rsidR="00950097" w:rsidRPr="001F4A34">
          <w:rPr>
            <w:rFonts w:cstheme="minorBidi"/>
          </w:rPr>
          <w:t>Huchin-Mian et al. (2018)</w:t>
        </w:r>
        <w:r w:rsidR="00950097" w:rsidRPr="009819CE">
          <w:rPr>
            <w:rFonts w:cstheme="minorBidi"/>
          </w:rPr>
          <w:fldChar w:fldCharType="end"/>
        </w:r>
      </w:hyperlink>
      <w:r w:rsidRPr="009819CE">
        <w:rPr>
          <w:rFonts w:cstheme="minorBidi"/>
        </w:rPr>
        <w:t xml:space="preserve">. </w:t>
      </w:r>
    </w:p>
    <w:p w14:paraId="7506B530" w14:textId="4C9EAAE3" w:rsidR="00106C36" w:rsidRPr="009819CE" w:rsidRDefault="00106C36" w:rsidP="003E34D4">
      <w:pPr>
        <w:rPr>
          <w:rFonts w:cstheme="minorBidi"/>
        </w:rPr>
      </w:pPr>
      <w:r w:rsidRPr="009819CE">
        <w:t xml:space="preserve">To effectively mitigate and manage </w:t>
      </w:r>
      <w:r w:rsidRPr="009819CE">
        <w:rPr>
          <w:i/>
          <w:iCs/>
        </w:rPr>
        <w:t>Hematodinium</w:t>
      </w:r>
      <w:r w:rsidRPr="009819CE">
        <w:t xml:space="preserve"> sp. disease in the CSA, strategies should include improving overall host health and immune competence through habitat management to reduce environmental stressors like pollutants. Ensuring that fishers do not discard visibly infected individuals overboard will help prevent the spread of the parasite </w:t>
      </w:r>
      <w:r w:rsidRPr="009819CE">
        <w:fldChar w:fldCharType="begin"/>
      </w:r>
      <w:r w:rsidR="00871B4F">
        <w:instrText xml:space="preserve"> ADDIN EN.CITE &lt;EndNote&gt;&lt;Cite&gt;&lt;Author&gt;Smith&lt;/Author&gt;&lt;Year&gt;2021&lt;/Year&gt;&lt;RecNum&gt;451&lt;/RecNum&gt;&lt;DisplayText&gt;(Smith, 2021)&lt;/DisplayText&gt;&lt;record&gt;&lt;rec-number&gt;451&lt;/rec-number&gt;&lt;foreign-keys&gt;&lt;key app="EN" db-id="sd9wrx9fj09rx3erprsx999o0r5aprvp2zse" timestamp="1687855901" guid="85a593e7-bd40-4333-b175-f638ca278e45"&gt;451&lt;/key&gt;&lt;/foreign-keys&gt;&lt;ref-type name="Thesis"&gt;32&lt;/ref-type&gt;&lt;contributors&gt;&lt;authors&gt;&lt;author&gt;Smith, Hazel&lt;/author&gt;&lt;/authors&gt;&lt;/contributors&gt;&lt;titles&gt;&lt;title&gt;&lt;style face="normal" font="default" size="100%"&gt;Norway lobster and &lt;/style&gt;&lt;style face="italic" font="default" size="100%"&gt;Hematodinium&lt;/style&gt;&lt;style face="normal" font="default" size="100%"&gt; sp. in the Clyde: modelling the population dynamics of a commercially important host-parasite system&lt;/style&gt;&lt;/title&gt;&lt;secondary-title&gt;Department of Mathematics and Statistics&lt;/secondary-title&gt;&lt;/titles&gt;&lt;pages&gt;1-197&lt;/pages&gt;&lt;volume&gt;PhD thesis&lt;/volume&gt;&lt;number&gt;T15833&lt;/number&gt;&lt;dates&gt;&lt;year&gt;2021&lt;/year&gt;&lt;/dates&gt;&lt;publisher&gt;University of Glasgow&lt;/publisher&gt;&lt;urls&gt;&lt;related-urls&gt;&lt;url&gt;https://stax.strath.ac.uk/concern/theses/cr56n0995&lt;/url&gt;&lt;/related-urls&gt;&lt;/urls&gt;&lt;electronic-resource-num&gt;10.48730/4mce-kf56&lt;/electronic-resource-num&gt;&lt;/record&gt;&lt;/Cite&gt;&lt;/EndNote&gt;</w:instrText>
      </w:r>
      <w:r w:rsidRPr="009819CE">
        <w:fldChar w:fldCharType="separate"/>
      </w:r>
      <w:r w:rsidRPr="00871B4F">
        <w:rPr>
          <w:noProof/>
        </w:rPr>
        <w:t>(</w:t>
      </w:r>
      <w:hyperlink w:anchor="_ENREF_294" w:tooltip="Smith, 2021 #451" w:history="1">
        <w:r w:rsidR="00950097" w:rsidRPr="00871B4F">
          <w:rPr>
            <w:noProof/>
          </w:rPr>
          <w:t>Smith, 2021</w:t>
        </w:r>
      </w:hyperlink>
      <w:r w:rsidRPr="00871B4F">
        <w:rPr>
          <w:noProof/>
        </w:rPr>
        <w:t>)</w:t>
      </w:r>
      <w:r w:rsidRPr="009819CE">
        <w:fldChar w:fldCharType="end"/>
      </w:r>
      <w:r w:rsidRPr="009819CE">
        <w:t>.</w:t>
      </w:r>
      <w:r w:rsidRPr="009819CE">
        <w:rPr>
          <w:rFonts w:cstheme="minorBidi"/>
        </w:rPr>
        <w:t xml:space="preserve"> </w:t>
      </w:r>
      <w:r w:rsidRPr="009819CE">
        <w:t xml:space="preserve">Establishing a robust, long-term monitoring program to track </w:t>
      </w:r>
      <w:r w:rsidRPr="009819CE">
        <w:rPr>
          <w:i/>
          <w:iCs/>
        </w:rPr>
        <w:t>Hematodinium</w:t>
      </w:r>
      <w:r w:rsidRPr="009819CE">
        <w:t xml:space="preserve"> sp. prevalence in </w:t>
      </w:r>
      <w:r w:rsidRPr="009819CE">
        <w:rPr>
          <w:i/>
          <w:iCs/>
        </w:rPr>
        <w:t>Nephrops</w:t>
      </w:r>
      <w:r w:rsidRPr="009819CE">
        <w:t xml:space="preserve"> and related species is essential. Research should prioritize investigating correlations between climate change and </w:t>
      </w:r>
      <w:r w:rsidRPr="009819CE">
        <w:rPr>
          <w:i/>
          <w:iCs/>
        </w:rPr>
        <w:t>Hematodinium</w:t>
      </w:r>
      <w:r w:rsidRPr="009819CE">
        <w:t xml:space="preserve"> sp. prevalence to anticipate future trends. Engaging stakeholders, including fishermen, scientists, policymakers, and local communities, in understanding </w:t>
      </w:r>
      <w:r w:rsidRPr="009819CE">
        <w:rPr>
          <w:i/>
          <w:iCs/>
        </w:rPr>
        <w:t>Hematodinium</w:t>
      </w:r>
      <w:r w:rsidRPr="009819CE">
        <w:t xml:space="preserve"> sp. dynamics could enhance cooperative efforts in disease management and conservation by ensuring that management strategies benefit from diverse perspectives and local knowledge</w:t>
      </w:r>
      <w:r w:rsidR="004A1018" w:rsidRPr="009819CE">
        <w:t>.</w:t>
      </w:r>
    </w:p>
    <w:p w14:paraId="39165487" w14:textId="23F9256B" w:rsidR="00ED7C24" w:rsidRPr="009819CE" w:rsidRDefault="00E029D4" w:rsidP="00ED7C24">
      <w:pPr>
        <w:spacing w:before="0" w:after="0"/>
        <w:rPr>
          <w:rFonts w:cstheme="minorBidi"/>
        </w:rPr>
      </w:pPr>
      <w:r w:rsidRPr="00FA7D47">
        <w:rPr>
          <w:rFonts w:cstheme="minorBidi"/>
        </w:rPr>
        <w:t xml:space="preserve">This </w:t>
      </w:r>
      <w:r w:rsidR="003E34D4" w:rsidRPr="009819CE">
        <w:rPr>
          <w:rFonts w:cstheme="minorBidi"/>
        </w:rPr>
        <w:t xml:space="preserve">study examined the tissues of 200 </w:t>
      </w:r>
      <w:r w:rsidR="00C31E47" w:rsidRPr="009819CE">
        <w:rPr>
          <w:rFonts w:cstheme="minorBidi"/>
          <w:i/>
          <w:iCs/>
        </w:rPr>
        <w:t>Nephrops</w:t>
      </w:r>
      <w:r w:rsidR="003E34D4" w:rsidRPr="009819CE">
        <w:rPr>
          <w:rFonts w:cstheme="minorBidi"/>
        </w:rPr>
        <w:t xml:space="preserve"> displaying </w:t>
      </w:r>
      <w:r w:rsidR="009D03F4" w:rsidRPr="009819CE">
        <w:rPr>
          <w:rFonts w:cstheme="minorBidi"/>
          <w:i/>
        </w:rPr>
        <w:t>Hematodinium</w:t>
      </w:r>
      <w:r w:rsidR="003E34D4" w:rsidRPr="009819CE">
        <w:rPr>
          <w:rFonts w:cstheme="minorBidi"/>
        </w:rPr>
        <w:t xml:space="preserve"> sp. infection. </w:t>
      </w:r>
      <w:r w:rsidR="009D03F4" w:rsidRPr="009819CE">
        <w:rPr>
          <w:rFonts w:cstheme="minorBidi"/>
          <w:i/>
        </w:rPr>
        <w:t>Hematodinium</w:t>
      </w:r>
      <w:r w:rsidR="003E34D4" w:rsidRPr="009819CE">
        <w:rPr>
          <w:rFonts w:cstheme="minorBidi"/>
        </w:rPr>
        <w:t xml:space="preserve"> sp. presence or absence </w:t>
      </w:r>
      <w:r w:rsidR="00D945D4">
        <w:rPr>
          <w:rFonts w:cstheme="minorBidi"/>
        </w:rPr>
        <w:t xml:space="preserve">was documented </w:t>
      </w:r>
      <w:r w:rsidR="003E34D4" w:rsidRPr="009819CE">
        <w:rPr>
          <w:rFonts w:cstheme="minorBidi"/>
        </w:rPr>
        <w:t>within these tissues. Future investigations could adopt a similar approach, potentially categorizing tissue severity akin to the pleopod method and utilizing automated counting software</w:t>
      </w:r>
      <w:r w:rsidR="0060267C" w:rsidRPr="009819CE">
        <w:rPr>
          <w:rFonts w:cstheme="minorBidi"/>
        </w:rPr>
        <w:t xml:space="preserve"> </w:t>
      </w:r>
      <w:r w:rsidR="00350034" w:rsidRPr="009819CE">
        <w:rPr>
          <w:rFonts w:cstheme="minorBidi"/>
        </w:rPr>
        <w:t>t</w:t>
      </w:r>
      <w:r w:rsidR="0060267C" w:rsidRPr="009819CE">
        <w:rPr>
          <w:rFonts w:cstheme="minorBidi"/>
        </w:rPr>
        <w:t xml:space="preserve">o </w:t>
      </w:r>
      <w:r w:rsidR="001D7D3B" w:rsidRPr="009819CE">
        <w:rPr>
          <w:rFonts w:cstheme="minorBidi"/>
        </w:rPr>
        <w:t>speed the process</w:t>
      </w:r>
      <w:r w:rsidR="003E34D4" w:rsidRPr="009819CE">
        <w:rPr>
          <w:rFonts w:cstheme="minorBidi"/>
        </w:rPr>
        <w:t xml:space="preserve">. Notably, </w:t>
      </w:r>
      <w:r w:rsidR="00D945D4">
        <w:rPr>
          <w:rFonts w:cstheme="minorBidi"/>
        </w:rPr>
        <w:t>it was</w:t>
      </w:r>
      <w:r w:rsidR="003E34D4" w:rsidRPr="009819CE">
        <w:rPr>
          <w:rFonts w:cstheme="minorBidi"/>
        </w:rPr>
        <w:t xml:space="preserve"> observed </w:t>
      </w:r>
      <w:r w:rsidR="00D945D4">
        <w:rPr>
          <w:rFonts w:cstheme="minorBidi"/>
        </w:rPr>
        <w:t xml:space="preserve">that </w:t>
      </w:r>
      <w:r w:rsidR="003E34D4" w:rsidRPr="009819CE">
        <w:rPr>
          <w:rFonts w:cstheme="minorBidi"/>
        </w:rPr>
        <w:t xml:space="preserve">no discernible host reactivity against </w:t>
      </w:r>
      <w:r w:rsidR="009D03F4" w:rsidRPr="009819CE">
        <w:rPr>
          <w:rFonts w:cstheme="minorBidi"/>
          <w:i/>
        </w:rPr>
        <w:t>Hematodinium</w:t>
      </w:r>
      <w:r w:rsidR="003E34D4" w:rsidRPr="009819CE">
        <w:rPr>
          <w:rFonts w:cstheme="minorBidi"/>
        </w:rPr>
        <w:t xml:space="preserve">. </w:t>
      </w:r>
      <w:r w:rsidR="009D03F4" w:rsidRPr="009819CE">
        <w:rPr>
          <w:rFonts w:cstheme="minorBidi"/>
          <w:i/>
          <w:iCs/>
        </w:rPr>
        <w:t>Hematodinium</w:t>
      </w:r>
      <w:r w:rsidR="00F27B8F" w:rsidRPr="009819CE">
        <w:rPr>
          <w:rFonts w:cstheme="minorBidi"/>
        </w:rPr>
        <w:t xml:space="preserve"> infections do not show haemocyte-directed nodulation and melanisation events</w:t>
      </w:r>
      <w:r w:rsidR="00173B16" w:rsidRPr="009819CE">
        <w:rPr>
          <w:rFonts w:cstheme="minorBidi"/>
        </w:rPr>
        <w:t xml:space="preserve"> towards </w:t>
      </w:r>
      <w:r w:rsidR="009D03F4" w:rsidRPr="009819CE">
        <w:rPr>
          <w:rFonts w:cstheme="minorBidi"/>
          <w:i/>
          <w:iCs/>
        </w:rPr>
        <w:t>Hematodinium</w:t>
      </w:r>
      <w:r w:rsidR="00173B16" w:rsidRPr="009819CE">
        <w:rPr>
          <w:rFonts w:cstheme="minorBidi"/>
        </w:rPr>
        <w:t xml:space="preserve"> cells</w:t>
      </w:r>
      <w:r w:rsidR="00D21EAA" w:rsidRPr="009819CE">
        <w:rPr>
          <w:rFonts w:cstheme="minorBidi"/>
        </w:rPr>
        <w:t>,</w:t>
      </w:r>
      <w:r w:rsidR="00122C9F" w:rsidRPr="009819CE">
        <w:rPr>
          <w:rFonts w:cstheme="minorBidi"/>
        </w:rPr>
        <w:t xml:space="preserve"> unlike other infections</w:t>
      </w:r>
      <w:r w:rsidR="00FF33A0" w:rsidRPr="009819CE">
        <w:rPr>
          <w:rFonts w:cstheme="minorBidi"/>
        </w:rPr>
        <w:t xml:space="preserve"> and parasites</w:t>
      </w:r>
      <w:r w:rsidR="00F27B8F" w:rsidRPr="009819CE">
        <w:rPr>
          <w:rFonts w:cstheme="minorBidi"/>
        </w:rPr>
        <w:t>, suggesting an immune-evasion strategy at the cellular level rather than immune suppression</w:t>
      </w:r>
      <w:r w:rsidR="00CE13D1" w:rsidRPr="009819CE">
        <w:rPr>
          <w:rFonts w:cstheme="minorBidi"/>
        </w:rPr>
        <w:t xml:space="preserve"> </w:t>
      </w:r>
      <w:r w:rsidR="005F44CD" w:rsidRPr="009819CE">
        <w:rPr>
          <w:rFonts w:cstheme="minorBidi"/>
        </w:rPr>
        <w:fldChar w:fldCharType="begin"/>
      </w:r>
      <w:r w:rsidR="005F44CD" w:rsidRPr="009819CE">
        <w:rPr>
          <w:rFonts w:cstheme="minorBidi"/>
        </w:rPr>
        <w:instrText xml:space="preserve"> ADDIN EN.CITE &lt;EndNote&gt;&lt;Cite&gt;&lt;Author&gt;Davies&lt;/Author&gt;&lt;Year&gt;2022&lt;/Year&gt;&lt;RecNum&gt;569&lt;/RecNum&gt;&lt;DisplayText&gt;(Davies et al., 2022)&lt;/DisplayText&gt;&lt;record&gt;&lt;rec-number&gt;569&lt;/rec-number&gt;&lt;foreign-keys&gt;&lt;key app="EN" db-id="sd9wrx9fj09rx3erprsx999o0r5aprvp2zse" timestamp="1687855901" guid="0ce1cc65-331e-411e-928f-b260b3cc0eb0"&gt;569&lt;/key&gt;&lt;/foreign-keys&gt;&lt;ref-type name="Journal Article"&gt;17&lt;/ref-type&gt;&lt;contributors&gt;&lt;authors&gt;&lt;author&gt;Davies, Charlotte E.&lt;/author&gt;&lt;author&gt;Thomas, Jessica E.&lt;/author&gt;&lt;author&gt;Malkin, Sophie H.&lt;/author&gt;&lt;author&gt;Batista, Frederico M.&lt;/author&gt;&lt;author&gt;Rowley, Andrew F.&lt;/author&gt;&lt;author&gt;Coates, Christopher J.&lt;/author&gt;&lt;/authors&gt;&lt;/contributors&gt;&lt;titles&gt;&lt;title&gt;&lt;style face="italic" font="default" size="100%"&gt;Hematodinium &lt;/style&gt;&lt;style face="normal" font="default" size="100%"&gt;sp. infection does not drive collateral disease contraction in a crustacean host&lt;/style&gt;&lt;/title&gt;&lt;secondary-title&gt;eLife&lt;/secondary-title&gt;&lt;/titles&gt;&lt;periodical&gt;&lt;full-title&gt;eLife&lt;/full-title&gt;&lt;/periodical&gt;&lt;volume&gt;11&lt;/volume&gt;&lt;keywords&gt;&lt;keyword&gt;Charlotte E Davies&lt;/keyword&gt;&lt;keyword&gt;Christopher J Coates&lt;/keyword&gt;&lt;keyword&gt;Jessica E Thomas&lt;/keyword&gt;&lt;keyword&gt;MEDLINE&lt;/keyword&gt;&lt;keyword&gt;NCBI&lt;/keyword&gt;&lt;keyword&gt;NIH&lt;/keyword&gt;&lt;keyword&gt;NLM&lt;/keyword&gt;&lt;keyword&gt;National Center for Biotechnology Information&lt;/keyword&gt;&lt;keyword&gt;National Institutes of Health&lt;/keyword&gt;&lt;keyword&gt;National Library of Medicine&lt;/keyword&gt;&lt;keyword&gt;PubMed Abstract&lt;/keyword&gt;&lt;keyword&gt;doi:10.7554/eLife.70356&lt;/keyword&gt;&lt;keyword&gt;pmid:35179494&lt;/keyword&gt;&lt;/keywords&gt;&lt;dates&gt;&lt;year&gt;2022&lt;/year&gt;&lt;pub-dates&gt;&lt;date&gt;2022/2//&lt;/date&gt;&lt;/pub-dates&gt;&lt;/dates&gt;&lt;publisher&gt;Elife&lt;/publisher&gt;&lt;urls&gt;&lt;related-urls&gt;&lt;url&gt;https://pubmed.ncbi.nlm.nih.gov/35179494/&lt;/url&gt;&lt;/related-urls&gt;&lt;/urls&gt;&lt;electronic-resource-num&gt;10.7554/ELIFE.70356&lt;/electronic-resource-num&gt;&lt;/record&gt;&lt;/Cite&gt;&lt;/EndNote&gt;</w:instrText>
      </w:r>
      <w:r w:rsidR="005F44CD" w:rsidRPr="009819CE">
        <w:rPr>
          <w:rFonts w:cstheme="minorBidi"/>
        </w:rPr>
        <w:fldChar w:fldCharType="separate"/>
      </w:r>
      <w:r w:rsidR="005F44CD" w:rsidRPr="001F4A34">
        <w:rPr>
          <w:rFonts w:cstheme="minorBidi"/>
        </w:rPr>
        <w:t>(</w:t>
      </w:r>
      <w:hyperlink w:anchor="_ENREF_63" w:tooltip="Davies, 2022 #569" w:history="1">
        <w:r w:rsidR="00950097" w:rsidRPr="001F4A34">
          <w:rPr>
            <w:rFonts w:cstheme="minorBidi"/>
          </w:rPr>
          <w:t>Davies et al., 2022</w:t>
        </w:r>
      </w:hyperlink>
      <w:r w:rsidR="005F44CD" w:rsidRPr="001F4A34">
        <w:rPr>
          <w:rFonts w:cstheme="minorBidi"/>
        </w:rPr>
        <w:t>)</w:t>
      </w:r>
      <w:r w:rsidR="005F44CD" w:rsidRPr="009819CE">
        <w:rPr>
          <w:rFonts w:cstheme="minorBidi"/>
        </w:rPr>
        <w:fldChar w:fldCharType="end"/>
      </w:r>
      <w:r w:rsidR="00F27B8F" w:rsidRPr="009819CE">
        <w:rPr>
          <w:rFonts w:cstheme="minorBidi"/>
        </w:rPr>
        <w:t xml:space="preserve">. Conversely, </w:t>
      </w:r>
      <w:r w:rsidR="00C972A4" w:rsidRPr="009819CE">
        <w:rPr>
          <w:rFonts w:cstheme="minorBidi"/>
        </w:rPr>
        <w:t xml:space="preserve">other </w:t>
      </w:r>
      <w:r w:rsidR="00F27B8F" w:rsidRPr="009819CE">
        <w:rPr>
          <w:rFonts w:cstheme="minorBidi"/>
        </w:rPr>
        <w:t>studies provide evidence of immune activation in the Japanese blue crab (</w:t>
      </w:r>
      <w:r w:rsidR="00F27B8F" w:rsidRPr="009819CE">
        <w:rPr>
          <w:rFonts w:cstheme="minorBidi"/>
          <w:i/>
          <w:iCs/>
        </w:rPr>
        <w:t>Portunus trituberculatus</w:t>
      </w:r>
      <w:r w:rsidR="00F27B8F" w:rsidRPr="009819CE">
        <w:rPr>
          <w:rFonts w:cstheme="minorBidi"/>
        </w:rPr>
        <w:t xml:space="preserve">) with </w:t>
      </w:r>
      <w:r w:rsidR="00F27B8F" w:rsidRPr="009819CE">
        <w:rPr>
          <w:rFonts w:cstheme="minorBidi"/>
          <w:i/>
          <w:iCs/>
        </w:rPr>
        <w:t xml:space="preserve">H. </w:t>
      </w:r>
      <w:r w:rsidR="00105257" w:rsidRPr="00FA7D47">
        <w:rPr>
          <w:rFonts w:cstheme="minorBidi"/>
          <w:i/>
          <w:iCs/>
        </w:rPr>
        <w:t>perezi</w:t>
      </w:r>
      <w:r w:rsidR="00F27B8F" w:rsidRPr="009819CE">
        <w:rPr>
          <w:rFonts w:cstheme="minorBidi"/>
        </w:rPr>
        <w:t>, showing increased immune gene expression, differential protein expression in the hepatopancreas, and elevated enzymatic activities such as phenoloxidase</w:t>
      </w:r>
      <w:r w:rsidR="00C972A4" w:rsidRPr="009819CE">
        <w:rPr>
          <w:rFonts w:cstheme="minorBidi"/>
        </w:rPr>
        <w:t xml:space="preserve"> </w:t>
      </w:r>
      <w:r w:rsidR="00C972A4" w:rsidRPr="009819CE">
        <w:rPr>
          <w:rFonts w:cstheme="minorBidi"/>
        </w:rPr>
        <w:fldChar w:fldCharType="begin">
          <w:fldData xml:space="preserve">PEVuZE5vdGU+PENpdGU+PEF1dGhvcj5MaTwvQXV0aG9yPjxZZWFyPjIwMTk8L1llYXI+PFJlY051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</w:fldData>
        </w:fldChar>
      </w:r>
      <w:r w:rsidR="003353A0" w:rsidRPr="009819CE">
        <w:rPr>
          <w:rFonts w:cstheme="minorBidi"/>
        </w:rPr>
        <w:instrText xml:space="preserve"> ADDIN EN.CITE </w:instrText>
      </w:r>
      <w:r w:rsidR="003353A0" w:rsidRPr="009819CE">
        <w:rPr>
          <w:rFonts w:cstheme="minorBidi"/>
        </w:rPr>
        <w:fldChar w:fldCharType="begin">
          <w:fldData xml:space="preserve">PEVuZE5vdGU+PENpdGU+PEF1dGhvcj5MaTwvQXV0aG9yPjxZZWFyPjIwMTk8L1llYXI+PFJlY051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</w:fldData>
        </w:fldChar>
      </w:r>
      <w:r w:rsidR="003353A0" w:rsidRPr="009819CE">
        <w:rPr>
          <w:rFonts w:cstheme="minorBidi"/>
        </w:rPr>
        <w:instrText xml:space="preserve"> ADDIN EN.CITE.DATA </w:instrText>
      </w:r>
      <w:r w:rsidR="003353A0" w:rsidRPr="009819CE">
        <w:rPr>
          <w:rFonts w:cstheme="minorBidi"/>
        </w:rPr>
      </w:r>
      <w:r w:rsidR="003353A0" w:rsidRPr="009819CE">
        <w:rPr>
          <w:rFonts w:cstheme="minorBidi"/>
        </w:rPr>
        <w:fldChar w:fldCharType="end"/>
      </w:r>
      <w:r w:rsidR="00C972A4" w:rsidRPr="009819CE">
        <w:rPr>
          <w:rFonts w:cstheme="minorBidi"/>
        </w:rPr>
      </w:r>
      <w:r w:rsidR="00C972A4" w:rsidRPr="009819CE">
        <w:rPr>
          <w:rFonts w:cstheme="minorBidi"/>
        </w:rPr>
        <w:fldChar w:fldCharType="separate"/>
      </w:r>
      <w:r w:rsidR="00C972A4" w:rsidRPr="001F4A34">
        <w:rPr>
          <w:rFonts w:cstheme="minorBidi"/>
        </w:rPr>
        <w:t>(</w:t>
      </w:r>
      <w:hyperlink w:anchor="_ENREF_181" w:tooltip="Li, 2015 #460" w:history="1">
        <w:r w:rsidR="00950097" w:rsidRPr="001F4A34">
          <w:rPr>
            <w:rFonts w:cstheme="minorBidi"/>
          </w:rPr>
          <w:t>Li et al., 2015a</w:t>
        </w:r>
      </w:hyperlink>
      <w:r w:rsidR="00C972A4" w:rsidRPr="001F4A34">
        <w:rPr>
          <w:rFonts w:cstheme="minorBidi"/>
        </w:rPr>
        <w:t xml:space="preserve">; </w:t>
      </w:r>
      <w:hyperlink w:anchor="_ENREF_182" w:tooltip="Li, 2019 #456" w:history="1">
        <w:r w:rsidR="00950097" w:rsidRPr="001F4A34">
          <w:rPr>
            <w:rFonts w:cstheme="minorBidi"/>
          </w:rPr>
          <w:t>Li et al., 2019a</w:t>
        </w:r>
      </w:hyperlink>
      <w:r w:rsidR="00C972A4" w:rsidRPr="001F4A34">
        <w:rPr>
          <w:rFonts w:cstheme="minorBidi"/>
        </w:rPr>
        <w:t xml:space="preserve">; </w:t>
      </w:r>
      <w:hyperlink w:anchor="_ENREF_183" w:tooltip="Li, 2015 #461" w:history="1">
        <w:r w:rsidR="00950097" w:rsidRPr="001F4A34">
          <w:rPr>
            <w:rFonts w:cstheme="minorBidi"/>
          </w:rPr>
          <w:t>Li et al., 2015b</w:t>
        </w:r>
      </w:hyperlink>
      <w:r w:rsidR="00C972A4" w:rsidRPr="001F4A34">
        <w:rPr>
          <w:rFonts w:cstheme="minorBidi"/>
        </w:rPr>
        <w:t>)</w:t>
      </w:r>
      <w:r w:rsidR="00C972A4" w:rsidRPr="009819CE">
        <w:rPr>
          <w:rFonts w:cstheme="minorBidi"/>
        </w:rPr>
        <w:fldChar w:fldCharType="end"/>
      </w:r>
      <w:r w:rsidR="00F27B8F" w:rsidRPr="009819CE">
        <w:rPr>
          <w:rFonts w:cstheme="minorBidi"/>
        </w:rPr>
        <w:t>.</w:t>
      </w:r>
      <w:r w:rsidR="00826FD2" w:rsidRPr="009819CE">
        <w:rPr>
          <w:rFonts w:cstheme="minorBidi"/>
        </w:rPr>
        <w:t xml:space="preserve"> </w:t>
      </w:r>
      <w:r w:rsidR="00B96F5B" w:rsidRPr="009819CE">
        <w:rPr>
          <w:rFonts w:cstheme="minorBidi"/>
        </w:rPr>
        <w:t xml:space="preserve">Further research is necessary to elucidate this mechanism of immune evasion in </w:t>
      </w:r>
      <w:r w:rsidR="00C31E47" w:rsidRPr="009819CE">
        <w:rPr>
          <w:rFonts w:cstheme="minorBidi"/>
          <w:i/>
          <w:iCs/>
        </w:rPr>
        <w:t>Nephrops</w:t>
      </w:r>
      <w:r w:rsidR="00B96F5B" w:rsidRPr="009819CE">
        <w:rPr>
          <w:rFonts w:cstheme="minorBidi"/>
        </w:rPr>
        <w:t>.</w:t>
      </w:r>
    </w:p>
    <w:p w14:paraId="45C6CBD2" w14:textId="7771A4D3" w:rsidR="003E34D4" w:rsidRPr="009819CE" w:rsidRDefault="00862317" w:rsidP="00ED7C24">
      <w:pPr>
        <w:spacing w:before="0" w:after="0"/>
      </w:pPr>
      <w:r w:rsidRPr="009819CE">
        <w:t>In future microbiome studies, it</w:t>
      </w:r>
      <w:r w:rsidR="00743E6A" w:rsidRPr="00FA7D47">
        <w:t xml:space="preserve"> is</w:t>
      </w:r>
      <w:r w:rsidRPr="009819CE">
        <w:t xml:space="preserve"> helpful to include water samples</w:t>
      </w:r>
      <w:r w:rsidR="00CC0E48" w:rsidRPr="009819CE">
        <w:t>,</w:t>
      </w:r>
      <w:r w:rsidR="002000D6" w:rsidRPr="009819CE">
        <w:t xml:space="preserve"> as well as </w:t>
      </w:r>
      <w:r w:rsidR="00CC0E48" w:rsidRPr="009819CE">
        <w:t xml:space="preserve">samples </w:t>
      </w:r>
      <w:r w:rsidR="002000D6" w:rsidRPr="009819CE">
        <w:t>from the benthos where the animals construct their burrows.</w:t>
      </w:r>
      <w:r w:rsidRPr="009819CE">
        <w:t xml:space="preserve"> </w:t>
      </w:r>
      <w:r w:rsidR="003E34D4" w:rsidRPr="009819CE">
        <w:rPr>
          <w:rFonts w:cstheme="minorBidi"/>
        </w:rPr>
        <w:t xml:space="preserve">This integration would provide a comprehensive view of microbiome communities in both host gut and haemolymph. Correlating these findings with the presence of </w:t>
      </w:r>
      <w:r w:rsidR="009D03F4" w:rsidRPr="009819CE">
        <w:rPr>
          <w:rFonts w:cstheme="minorBidi"/>
          <w:i/>
        </w:rPr>
        <w:t>Hematodinium</w:t>
      </w:r>
      <w:r w:rsidR="003E34D4" w:rsidRPr="009819CE">
        <w:rPr>
          <w:rFonts w:cstheme="minorBidi"/>
        </w:rPr>
        <w:t xml:space="preserve"> parasites in surrounding water</w:t>
      </w:r>
      <w:r w:rsidR="00670F80" w:rsidRPr="009819CE">
        <w:rPr>
          <w:rFonts w:cstheme="minorBidi"/>
        </w:rPr>
        <w:t xml:space="preserve"> and benthos would</w:t>
      </w:r>
      <w:r w:rsidR="003E34D4" w:rsidRPr="009819CE">
        <w:rPr>
          <w:rFonts w:cstheme="minorBidi"/>
        </w:rPr>
        <w:t xml:space="preserve"> offer a </w:t>
      </w:r>
      <w:r w:rsidR="00670F80" w:rsidRPr="009819CE">
        <w:rPr>
          <w:rFonts w:cstheme="minorBidi"/>
        </w:rPr>
        <w:t xml:space="preserve">better </w:t>
      </w:r>
      <w:r w:rsidR="003E34D4" w:rsidRPr="009819CE">
        <w:rPr>
          <w:rFonts w:cstheme="minorBidi"/>
        </w:rPr>
        <w:t xml:space="preserve">understanding of potential transmission mechanisms. Such environmental comparisons are </w:t>
      </w:r>
      <w:r w:rsidR="00D402CB" w:rsidRPr="009819CE">
        <w:rPr>
          <w:rFonts w:cstheme="minorBidi"/>
        </w:rPr>
        <w:t>important</w:t>
      </w:r>
      <w:r w:rsidR="003E34D4" w:rsidRPr="009819CE">
        <w:rPr>
          <w:rFonts w:cstheme="minorBidi"/>
        </w:rPr>
        <w:t>, offering insights into the ecological relationships between</w:t>
      </w:r>
      <w:r w:rsidR="00D402CB" w:rsidRPr="009819CE">
        <w:rPr>
          <w:rFonts w:cstheme="minorBidi"/>
        </w:rPr>
        <w:t xml:space="preserve"> the environment,</w:t>
      </w:r>
      <w:r w:rsidR="003E34D4" w:rsidRPr="009819CE">
        <w:rPr>
          <w:rFonts w:cstheme="minorBidi"/>
        </w:rPr>
        <w:t xml:space="preserve"> host, microbiome, and </w:t>
      </w:r>
      <w:r w:rsidR="004C7898" w:rsidRPr="009819CE">
        <w:rPr>
          <w:rFonts w:cstheme="minorBidi"/>
        </w:rPr>
        <w:t>pa</w:t>
      </w:r>
      <w:r w:rsidR="00DF2956" w:rsidRPr="009819CE">
        <w:rPr>
          <w:rFonts w:cstheme="minorBidi"/>
        </w:rPr>
        <w:t>thogens</w:t>
      </w:r>
      <w:r w:rsidR="009F10C1" w:rsidRPr="009819CE">
        <w:rPr>
          <w:rFonts w:cstheme="minorBidi"/>
        </w:rPr>
        <w:t xml:space="preserve"> </w:t>
      </w:r>
      <w:r w:rsidR="0057516E" w:rsidRPr="009819CE">
        <w:rPr>
          <w:rFonts w:cstheme="minorBidi"/>
        </w:rPr>
        <w:fldChar w:fldCharType="begin">
          <w:fldData xml:space="preserve">PEVuZE5vdGU+PENpdGU+PEF1dGhvcj5QYXRpbjwvQXV0aG9yPjxZZWFyPjIwMjI8L1llYXI+PFJl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PEVuZE5vdGU+PENpdGU+PEF1dGhvcj5QYXRpbjwvQXV0aG9yPjxZZWFyPjIwMjI8L1llYXI+PFJl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57516E" w:rsidRPr="009819CE">
        <w:rPr>
          <w:rFonts w:cstheme="minorBidi"/>
        </w:rPr>
      </w:r>
      <w:r w:rsidR="0057516E" w:rsidRPr="009819CE">
        <w:rPr>
          <w:rFonts w:cstheme="minorBidi"/>
        </w:rPr>
        <w:fldChar w:fldCharType="separate"/>
      </w:r>
      <w:r w:rsidR="0057516E" w:rsidRPr="001F4A34">
        <w:rPr>
          <w:rFonts w:cstheme="minorBidi"/>
        </w:rPr>
        <w:t>(</w:t>
      </w:r>
      <w:hyperlink w:anchor="_ENREF_161" w:tooltip="Jurelevicius, 2021 #1921" w:history="1">
        <w:r w:rsidR="00950097" w:rsidRPr="001F4A34">
          <w:rPr>
            <w:rFonts w:cstheme="minorBidi"/>
          </w:rPr>
          <w:t>Jurelevicius et al., 2021</w:t>
        </w:r>
      </w:hyperlink>
      <w:r w:rsidR="0057516E" w:rsidRPr="001F4A34">
        <w:rPr>
          <w:rFonts w:cstheme="minorBidi"/>
        </w:rPr>
        <w:t xml:space="preserve">; </w:t>
      </w:r>
      <w:hyperlink w:anchor="_ENREF_242" w:tooltip="Patin, 2022 #1920" w:history="1">
        <w:r w:rsidR="00950097" w:rsidRPr="001F4A34">
          <w:rPr>
            <w:rFonts w:cstheme="minorBidi"/>
          </w:rPr>
          <w:t>Patin and Goodwin, 2022</w:t>
        </w:r>
      </w:hyperlink>
      <w:r w:rsidR="0057516E" w:rsidRPr="001F4A34">
        <w:rPr>
          <w:rFonts w:cstheme="minorBidi"/>
        </w:rPr>
        <w:t>)</w:t>
      </w:r>
      <w:r w:rsidR="0057516E" w:rsidRPr="009819CE">
        <w:rPr>
          <w:rFonts w:cstheme="minorBidi"/>
        </w:rPr>
        <w:fldChar w:fldCharType="end"/>
      </w:r>
      <w:r w:rsidR="003E34D4" w:rsidRPr="009819CE">
        <w:rPr>
          <w:rFonts w:cstheme="minorBidi"/>
        </w:rPr>
        <w:t xml:space="preserve">. </w:t>
      </w:r>
    </w:p>
    <w:p w14:paraId="768609DB" w14:textId="2A985E0B" w:rsidR="003E34D4" w:rsidRPr="009819CE" w:rsidRDefault="003E34D4" w:rsidP="003E34D4">
      <w:pPr>
        <w:rPr>
          <w:rFonts w:cstheme="minorBidi"/>
        </w:rPr>
      </w:pPr>
      <w:r w:rsidRPr="009819CE">
        <w:rPr>
          <w:rFonts w:cstheme="minorBidi"/>
        </w:rPr>
        <w:t>The observed alterations in microbial community composition, correlated with infection, present opportunities to explore the microbiome's potential significance in host-parasite interactions. However, the mechanisms behind these changes remain largely unexplored. A comprehensive exploration is essential to uncover the functional roles and interactions of the identified microbiota, alongside the host's immune response</w:t>
      </w:r>
      <w:r w:rsidR="00BD50C1" w:rsidRPr="009819CE">
        <w:rPr>
          <w:rFonts w:cstheme="minorBidi"/>
        </w:rPr>
        <w:t xml:space="preserve"> </w:t>
      </w:r>
      <w:r w:rsidR="00BD50C1" w:rsidRPr="009819CE">
        <w:rPr>
          <w:rFonts w:cstheme="minorBidi"/>
        </w:rPr>
        <w:fldChar w:fldCharType="begin">
          <w:fldData xml:space="preserve">PEVuZE5vdGU+PENpdGU+PEF1dGhvcj5CZWxrYWlkPC9BdXRob3I+PFllYXI+MjAxNDwvWWVhcj48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</w:fldData>
        </w:fldChar>
      </w:r>
      <w:r w:rsidR="00ED1A9E" w:rsidRPr="009819CE">
        <w:rPr>
          <w:rFonts w:cstheme="minorBidi"/>
        </w:rPr>
        <w:instrText xml:space="preserve"> ADDIN EN.CITE </w:instrText>
      </w:r>
      <w:r w:rsidR="00ED1A9E" w:rsidRPr="009819CE">
        <w:rPr>
          <w:rFonts w:cstheme="minorBidi"/>
        </w:rPr>
        <w:fldChar w:fldCharType="begin">
          <w:fldData xml:space="preserve">PEVuZE5vdGU+PENpdGU+PEF1dGhvcj5CZWxrYWlkPC9BdXRob3I+PFllYXI+MjAxNDwvWWVhcj48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</w:fldData>
        </w:fldChar>
      </w:r>
      <w:r w:rsidR="00ED1A9E" w:rsidRPr="009819CE">
        <w:rPr>
          <w:rFonts w:cstheme="minorBidi"/>
        </w:rPr>
        <w:instrText xml:space="preserve"> ADDIN EN.CITE.DATA </w:instrText>
      </w:r>
      <w:r w:rsidR="00ED1A9E" w:rsidRPr="009819CE">
        <w:rPr>
          <w:rFonts w:cstheme="minorBidi"/>
        </w:rPr>
      </w:r>
      <w:r w:rsidR="00ED1A9E" w:rsidRPr="009819CE">
        <w:rPr>
          <w:rFonts w:cstheme="minorBidi"/>
        </w:rPr>
        <w:fldChar w:fldCharType="end"/>
      </w:r>
      <w:r w:rsidR="00BD50C1" w:rsidRPr="009819CE">
        <w:rPr>
          <w:rFonts w:cstheme="minorBidi"/>
        </w:rPr>
      </w:r>
      <w:r w:rsidR="00BD50C1" w:rsidRPr="009819CE">
        <w:rPr>
          <w:rFonts w:cstheme="minorBidi"/>
        </w:rPr>
        <w:fldChar w:fldCharType="separate"/>
      </w:r>
      <w:r w:rsidR="00F86D7A" w:rsidRPr="001F4A34">
        <w:rPr>
          <w:rFonts w:cstheme="minorBidi"/>
        </w:rPr>
        <w:t>(</w:t>
      </w:r>
      <w:hyperlink w:anchor="_ENREF_30" w:tooltip="Belkaid, 2014 #1670" w:history="1">
        <w:r w:rsidR="00950097" w:rsidRPr="001F4A34">
          <w:rPr>
            <w:rFonts w:cstheme="minorBidi"/>
          </w:rPr>
          <w:t>Belkaid and Timothy, 2014</w:t>
        </w:r>
      </w:hyperlink>
      <w:r w:rsidR="00F86D7A" w:rsidRPr="001F4A34">
        <w:rPr>
          <w:rFonts w:cstheme="minorBidi"/>
        </w:rPr>
        <w:t xml:space="preserve">; </w:t>
      </w:r>
      <w:hyperlink w:anchor="_ENREF_130" w:tooltip="Hernández-Pérez, 2022 #1338" w:history="1">
        <w:r w:rsidR="00950097" w:rsidRPr="001F4A34">
          <w:rPr>
            <w:rFonts w:cstheme="minorBidi"/>
          </w:rPr>
          <w:t>Hernández-Pérez et al., 2022</w:t>
        </w:r>
      </w:hyperlink>
      <w:r w:rsidR="00F86D7A" w:rsidRPr="001F4A34">
        <w:rPr>
          <w:rFonts w:cstheme="minorBidi"/>
        </w:rPr>
        <w:t xml:space="preserve">; </w:t>
      </w:r>
      <w:hyperlink w:anchor="_ENREF_135" w:tooltip="Holt, 2021 #1740" w:history="1">
        <w:r w:rsidR="00950097" w:rsidRPr="001F4A34">
          <w:rPr>
            <w:rFonts w:cstheme="minorBidi"/>
          </w:rPr>
          <w:t>Holt et al., 2021</w:t>
        </w:r>
      </w:hyperlink>
      <w:r w:rsidR="00F86D7A" w:rsidRPr="001F4A34">
        <w:rPr>
          <w:rFonts w:cstheme="minorBidi"/>
        </w:rPr>
        <w:t>)</w:t>
      </w:r>
      <w:r w:rsidR="00BD50C1" w:rsidRPr="009819CE">
        <w:rPr>
          <w:rFonts w:cstheme="minorBidi"/>
        </w:rPr>
        <w:fldChar w:fldCharType="end"/>
      </w:r>
      <w:r w:rsidRPr="009819CE">
        <w:rPr>
          <w:rFonts w:cstheme="minorBidi"/>
        </w:rPr>
        <w:t xml:space="preserve">. </w:t>
      </w:r>
    </w:p>
    <w:p w14:paraId="3FC11ED7" w14:textId="42FF389B" w:rsidR="00F90F4B" w:rsidRPr="009819CE" w:rsidRDefault="003E34D4" w:rsidP="004C1C91">
      <w:pPr>
        <w:rPr>
          <w:rFonts w:cstheme="minorBidi"/>
        </w:rPr>
      </w:pPr>
      <w:r w:rsidRPr="009819CE">
        <w:rPr>
          <w:rFonts w:cstheme="minorBidi"/>
        </w:rPr>
        <w:t xml:space="preserve">In future microbiome investigations, it is </w:t>
      </w:r>
      <w:r w:rsidR="0077407A" w:rsidRPr="009819CE">
        <w:rPr>
          <w:rFonts w:cstheme="minorBidi"/>
        </w:rPr>
        <w:t xml:space="preserve">also important </w:t>
      </w:r>
      <w:r w:rsidRPr="009819CE">
        <w:rPr>
          <w:rFonts w:cstheme="minorBidi"/>
        </w:rPr>
        <w:t xml:space="preserve">to account for host and parasite genetic diversity. Notably, host genetics significantly shape the microbial community within the crustacean gut </w:t>
      </w:r>
      <w:r w:rsidRPr="009819CE">
        <w:rPr>
          <w:rFonts w:cstheme="minorBidi"/>
        </w:rPr>
        <w:fldChar w:fldCharType="begin"/>
      </w:r>
      <w:r w:rsidR="00EE7FB9">
        <w:rPr>
          <w:rFonts w:cstheme="minorBidi"/>
        </w:rPr>
        <w:instrText xml:space="preserve"> ADDIN EN.CITE &lt;EndNote&gt;&lt;Cite&gt;&lt;Author&gt;Tzeng&lt;/Author&gt;&lt;Year&gt;2015&lt;/Year&gt;&lt;RecNum&gt;1812&lt;/RecNum&gt;&lt;DisplayText&gt;(Tzeng et al., 2015)&lt;/DisplayText&gt;&lt;record&gt;&lt;rec-number&gt;1812&lt;/rec-number&gt;&lt;foreign-keys&gt;&lt;key app="EN" db-id="sd9wrx9fj09rx3erprsx999o0r5aprvp2zse" timestamp="1690914896" guid="e01b56e9-95b3-46c8-99ec-0798d803cca4"&gt;1812&lt;/key&gt;&lt;/foreign-keys&gt;&lt;ref-type name="Journal Article"&gt;17&lt;/ref-type&gt;&lt;contributors&gt;&lt;authors&gt;&lt;author&gt;Tzeng, Tzong-Der&lt;/author&gt;&lt;author&gt;Pao, Yueh-Yang&lt;/author&gt;&lt;author&gt;Chen, Po-Cheng&lt;/author&gt;&lt;author&gt;Weng, Francis Cheng-Hsuan&lt;/author&gt;&lt;author&gt;Jean, Wen Dar&lt;/author&gt;&lt;author&gt;Wang, Daryi&lt;/author&gt;&lt;/authors&gt;&lt;/contributors&gt;&lt;titles&gt;&lt;title&gt;&lt;style face="normal" font="default" size="100%"&gt;Effects of host phylogeny and habitats on gut microbiomes of oriental river prawn (&lt;/style&gt;&lt;style face="italic" font="default" size="100%"&gt;Macrobrachium nipponense&lt;/style&gt;&lt;style face="normal" font="default" size="100%"&gt;)&lt;/style&gt;&lt;/title&gt;&lt;secondary-title&gt;PLOS ONE&lt;/secondary-title&gt;&lt;/titles&gt;&lt;periodical&gt;&lt;full-title&gt;PLOS ONE&lt;/full-title&gt;&lt;/periodical&gt;&lt;pages&gt;e0132860&lt;/pages&gt;&lt;volume&gt;10&lt;/volume&gt;&lt;number&gt;7&lt;/number&gt;&lt;dates&gt;&lt;year&gt;2015&lt;/year&gt;&lt;/dates&gt;&lt;publisher&gt;Public Library of Science (PLoS)&lt;/publisher&gt;&lt;isbn&gt;1932-6203&lt;/isbn&gt;&lt;urls&gt;&lt;related-urls&gt;&lt;url&gt;https://dx.doi.org/10.1371/journal.pone.0132860&lt;/url&gt;&lt;/related-urls&gt;&lt;/urls&gt;&lt;electronic-resource-num&gt;10.1371/journal.pone.0132860&lt;/electronic-resource-num&gt;&lt;/record&gt;&lt;/Cite&gt;&lt;/EndNote&gt;</w:instrText>
      </w:r>
      <w:r w:rsidRPr="009819CE">
        <w:rPr>
          <w:rFonts w:cstheme="minorBidi"/>
        </w:rPr>
        <w:fldChar w:fldCharType="separate"/>
      </w:r>
      <w:r w:rsidR="00D50EFF" w:rsidRPr="00EE7FB9">
        <w:rPr>
          <w:rFonts w:cstheme="minorBidi"/>
          <w:noProof/>
        </w:rPr>
        <w:t>(</w:t>
      </w:r>
      <w:hyperlink w:anchor="_ENREF_332" w:tooltip="Tzeng, 2015 #1812" w:history="1">
        <w:r w:rsidR="00950097" w:rsidRPr="00EE7FB9">
          <w:rPr>
            <w:rFonts w:cstheme="minorBidi"/>
            <w:noProof/>
          </w:rPr>
          <w:t>Tzeng et al., 2015</w:t>
        </w:r>
      </w:hyperlink>
      <w:r w:rsidR="00D50EFF" w:rsidRPr="00EE7FB9">
        <w:rPr>
          <w:rFonts w:cstheme="minorBidi"/>
          <w:noProof/>
        </w:rPr>
        <w:t>)</w:t>
      </w:r>
      <w:r w:rsidRPr="009819CE">
        <w:rPr>
          <w:rFonts w:cstheme="minorBidi"/>
        </w:rPr>
        <w:fldChar w:fldCharType="end"/>
      </w:r>
      <w:r w:rsidRPr="009819CE">
        <w:rPr>
          <w:rFonts w:cstheme="minorBidi"/>
        </w:rPr>
        <w:t>.</w:t>
      </w:r>
      <w:r w:rsidR="00FE23B0" w:rsidRPr="009819CE">
        <w:rPr>
          <w:rFonts w:cstheme="minorBidi"/>
        </w:rPr>
        <w:t xml:space="preserve"> </w:t>
      </w:r>
      <w:r w:rsidRPr="009819CE">
        <w:rPr>
          <w:rFonts w:cstheme="minorBidi"/>
        </w:rPr>
        <w:t xml:space="preserve"> </w:t>
      </w:r>
      <w:r w:rsidR="00933D5B" w:rsidRPr="009819CE">
        <w:rPr>
          <w:rFonts w:cstheme="minorBidi"/>
        </w:rPr>
        <w:t xml:space="preserve">The </w:t>
      </w:r>
      <w:r w:rsidR="009A65E2" w:rsidRPr="009819CE">
        <w:rPr>
          <w:rFonts w:cstheme="minorBidi"/>
        </w:rPr>
        <w:t>CSA</w:t>
      </w:r>
      <w:r w:rsidR="00933D5B" w:rsidRPr="009819CE">
        <w:rPr>
          <w:rFonts w:cstheme="minorBidi"/>
        </w:rPr>
        <w:t xml:space="preserve">, characterized by a patchy distribution and low adult </w:t>
      </w:r>
      <w:r w:rsidR="00C31E47" w:rsidRPr="009819CE">
        <w:rPr>
          <w:rFonts w:cstheme="minorBidi"/>
          <w:i/>
          <w:iCs/>
        </w:rPr>
        <w:t>Nephrops</w:t>
      </w:r>
      <w:r w:rsidR="009A65E2" w:rsidRPr="009819CE">
        <w:rPr>
          <w:rFonts w:cstheme="minorBidi"/>
        </w:rPr>
        <w:t xml:space="preserve"> </w:t>
      </w:r>
      <w:r w:rsidR="00933D5B" w:rsidRPr="009819CE">
        <w:rPr>
          <w:rFonts w:cstheme="minorBidi"/>
        </w:rPr>
        <w:t>migration</w:t>
      </w:r>
      <w:r w:rsidR="009A65E2" w:rsidRPr="009819CE">
        <w:rPr>
          <w:rFonts w:cstheme="minorBidi"/>
        </w:rPr>
        <w:t xml:space="preserve"> </w:t>
      </w:r>
      <w:r w:rsidR="00056ACA" w:rsidRPr="009819CE">
        <w:rPr>
          <w:rFonts w:cstheme="minorBidi"/>
        </w:rPr>
        <w:fldChar w:fldCharType="begin">
          <w:fldData xml:space="preserve">PEVuZE5vdGU+PENpdGU+PEF1dGhvcj5CZXJnbWFubjwvQXV0aG9yPjxZZWFyPjIwMDI8L1llYXI+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=
</w:fldData>
        </w:fldChar>
      </w:r>
      <w:r w:rsidR="009A65E2" w:rsidRPr="009819CE">
        <w:rPr>
          <w:rFonts w:cstheme="minorBidi"/>
        </w:rPr>
        <w:instrText xml:space="preserve"> ADDIN EN.CITE </w:instrText>
      </w:r>
      <w:r w:rsidR="009A65E2" w:rsidRPr="009819CE">
        <w:rPr>
          <w:rFonts w:cstheme="minorBidi"/>
        </w:rPr>
        <w:fldChar w:fldCharType="begin">
          <w:fldData xml:space="preserve">PEVuZE5vdGU+PENpdGU+PEF1dGhvcj5CZXJnbWFubjwvQXV0aG9yPjxZZWFyPjIwMDI8L1llYXI+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=
</w:fldData>
        </w:fldChar>
      </w:r>
      <w:r w:rsidR="009A65E2" w:rsidRPr="009819CE">
        <w:rPr>
          <w:rFonts w:cstheme="minorBidi"/>
        </w:rPr>
        <w:instrText xml:space="preserve"> ADDIN EN.CITE.DATA </w:instrText>
      </w:r>
      <w:r w:rsidR="009A65E2" w:rsidRPr="009819CE">
        <w:rPr>
          <w:rFonts w:cstheme="minorBidi"/>
        </w:rPr>
      </w:r>
      <w:r w:rsidR="009A65E2" w:rsidRPr="009819CE">
        <w:rPr>
          <w:rFonts w:cstheme="minorBidi"/>
        </w:rPr>
        <w:fldChar w:fldCharType="end"/>
      </w:r>
      <w:r w:rsidR="00056ACA" w:rsidRPr="009819CE">
        <w:rPr>
          <w:rFonts w:cstheme="minorBidi"/>
        </w:rPr>
      </w:r>
      <w:r w:rsidR="00056ACA" w:rsidRPr="009819CE">
        <w:rPr>
          <w:rFonts w:cstheme="minorBidi"/>
        </w:rPr>
        <w:fldChar w:fldCharType="separate"/>
      </w:r>
      <w:r w:rsidR="009A65E2" w:rsidRPr="001F4A34">
        <w:rPr>
          <w:rFonts w:cstheme="minorBidi"/>
        </w:rPr>
        <w:t>(</w:t>
      </w:r>
      <w:hyperlink w:anchor="_ENREF_21" w:tooltip="Atkinson, 1974 #187" w:history="1">
        <w:r w:rsidR="00950097" w:rsidRPr="001F4A34">
          <w:rPr>
            <w:rFonts w:cstheme="minorBidi"/>
          </w:rPr>
          <w:t>Atkinson, 1974</w:t>
        </w:r>
      </w:hyperlink>
      <w:r w:rsidR="009A65E2" w:rsidRPr="001F4A34">
        <w:rPr>
          <w:rFonts w:cstheme="minorBidi"/>
        </w:rPr>
        <w:t xml:space="preserve">; </w:t>
      </w:r>
      <w:hyperlink w:anchor="_ENREF_33" w:tooltip="Bergmann, 2002 #132" w:history="1">
        <w:r w:rsidR="00950097" w:rsidRPr="001F4A34">
          <w:rPr>
            <w:rFonts w:cstheme="minorBidi"/>
          </w:rPr>
          <w:t>Bergmann et al., 2002</w:t>
        </w:r>
      </w:hyperlink>
      <w:r w:rsidR="009A65E2" w:rsidRPr="001F4A34">
        <w:rPr>
          <w:rFonts w:cstheme="minorBidi"/>
        </w:rPr>
        <w:t>)</w:t>
      </w:r>
      <w:r w:rsidR="00056ACA" w:rsidRPr="009819CE">
        <w:rPr>
          <w:rFonts w:cstheme="minorBidi"/>
        </w:rPr>
        <w:fldChar w:fldCharType="end"/>
      </w:r>
      <w:r w:rsidR="00933D5B" w:rsidRPr="009819CE">
        <w:rPr>
          <w:rFonts w:cstheme="minorBidi"/>
        </w:rPr>
        <w:t xml:space="preserve">, has low genetic variability among </w:t>
      </w:r>
      <w:r w:rsidR="00C31E47" w:rsidRPr="009819CE">
        <w:rPr>
          <w:rFonts w:cstheme="minorBidi"/>
          <w:i/>
          <w:iCs/>
        </w:rPr>
        <w:t>Nephrops</w:t>
      </w:r>
      <w:r w:rsidR="00933D5B" w:rsidRPr="009819CE">
        <w:rPr>
          <w:rFonts w:cstheme="minorBidi"/>
        </w:rPr>
        <w:t xml:space="preserve"> stocks despite extensive larval dispersal </w:t>
      </w:r>
      <w:r w:rsidR="0031715B" w:rsidRPr="009819CE">
        <w:rPr>
          <w:rFonts w:cstheme="minorBidi"/>
        </w:rPr>
        <w:t>due to</w:t>
      </w:r>
      <w:r w:rsidR="00933D5B" w:rsidRPr="009819CE">
        <w:rPr>
          <w:rFonts w:cstheme="minorBidi"/>
        </w:rPr>
        <w:t xml:space="preserve"> hydrolog</w:t>
      </w:r>
      <w:r w:rsidR="0031715B" w:rsidRPr="009819CE">
        <w:rPr>
          <w:rFonts w:cstheme="minorBidi"/>
        </w:rPr>
        <w:t>y</w:t>
      </w:r>
      <w:r w:rsidR="00933D5B" w:rsidRPr="009819CE">
        <w:rPr>
          <w:rFonts w:cstheme="minorBidi"/>
        </w:rPr>
        <w:t xml:space="preserve"> effects</w:t>
      </w:r>
      <w:r w:rsidR="001A0999" w:rsidRPr="009819CE">
        <w:rPr>
          <w:rFonts w:cstheme="minorBidi"/>
        </w:rPr>
        <w:t xml:space="preserve"> </w:t>
      </w:r>
      <w:r w:rsidR="00E122BB" w:rsidRPr="009819CE">
        <w:rPr>
          <w:rFonts w:cstheme="minorBidi"/>
        </w:rPr>
        <w:fldChar w:fldCharType="begin"/>
      </w:r>
      <w:r w:rsidR="00EE7FB9">
        <w:rPr>
          <w:rFonts w:cstheme="minorBidi"/>
        </w:rPr>
        <w:instrText xml:space="preserve"> ADDIN EN.CITE &lt;EndNote&gt;&lt;Cite&gt;&lt;Author&gt;Che Harun&lt;/Author&gt;&lt;Year&gt;2013&lt;/Year&gt;&lt;RecNum&gt;1925&lt;/RecNum&gt;&lt;DisplayText&gt;(Che Harun, 2013)&lt;/DisplayText&gt;&lt;record&gt;&lt;rec-number&gt;1925&lt;/rec-number&gt;&lt;foreign-keys&gt;&lt;key app="EN" db-id="sd9wrx9fj09rx3erprsx999o0r5aprvp2zse" timestamp="1719308631" guid="91ad7f4d-9e52-44da-bec0-6b56dfeefe8b"&gt;1925&lt;/key&gt;&lt;/foreign-keys&gt;&lt;ref-type name="Thesis"&gt;32&lt;/ref-type&gt;&lt;contributors&gt;&lt;authors&gt;&lt;author&gt;Che Harun, Hasnita Binti&lt;/author&gt;&lt;/authors&gt;&lt;/contributors&gt;&lt;titles&gt;&lt;title&gt;&lt;style face="normal" font="default" size="100%"&gt;Molecular ecology of two commercially important crustacean species, &lt;/style&gt;&lt;style face="italic" font="default" size="100%"&gt;Nephrops norvegicus&lt;/style&gt;&lt;style face="normal" font="default" size="100%"&gt; and &lt;/style&gt;&lt;style face="italic" font="default" size="100%"&gt;Macrobrachium rosenbergii&lt;/style&gt;&lt;style face="normal" font="default" size="100%"&gt;: Implications for the management of fisheries and aquaculture&lt;/style&gt;&lt;/title&gt;&lt;secondary-title&gt;College of Medical Veterinary and Life Sciences, Institute of Biodiversity Animal, Health and Comparative Medicine&lt;/secondary-title&gt;&lt;/titles&gt;&lt;volume&gt;PhD thesis&lt;/volume&gt;&lt;number&gt;glathesis:2013-4101&lt;/number&gt;&lt;dates&gt;&lt;year&gt;2013&lt;/year&gt;&lt;pub-dates&gt;&lt;date&gt;14/03/2013&lt;/date&gt;&lt;/pub-dates&gt;&lt;/dates&gt;&lt;pub-location&gt;University of Glasgow&lt;/pub-location&gt;&lt;publisher&gt;University of Glasgow&lt;/publisher&gt;&lt;urls&gt;&lt;related-urls&gt;&lt;url&gt;https://theses.gla.ac.uk/id/eprint/4101&lt;/url&gt;&lt;/related-urls&gt;&lt;/urls&gt;&lt;electronic-resource-num&gt;https://theses.gla.ac.uk/4101/&lt;/electronic-resource-num&gt;&lt;/record&gt;&lt;/Cite&gt;&lt;/EndNote&gt;</w:instrText>
      </w:r>
      <w:r w:rsidR="00E122BB" w:rsidRPr="009819CE">
        <w:rPr>
          <w:rFonts w:cstheme="minorBidi"/>
        </w:rPr>
        <w:fldChar w:fldCharType="separate"/>
      </w:r>
      <w:r w:rsidR="00E122BB" w:rsidRPr="00EE7FB9">
        <w:rPr>
          <w:rFonts w:cstheme="minorBidi"/>
          <w:noProof/>
        </w:rPr>
        <w:t>(</w:t>
      </w:r>
      <w:hyperlink w:anchor="_ENREF_46" w:tooltip="Che Harun, 2013 #1925" w:history="1">
        <w:r w:rsidR="00950097" w:rsidRPr="00EE7FB9">
          <w:rPr>
            <w:rFonts w:cstheme="minorBidi"/>
            <w:noProof/>
          </w:rPr>
          <w:t>Che Harun, 2013</w:t>
        </w:r>
      </w:hyperlink>
      <w:r w:rsidR="00E122BB" w:rsidRPr="00EE7FB9">
        <w:rPr>
          <w:rFonts w:cstheme="minorBidi"/>
          <w:noProof/>
        </w:rPr>
        <w:t>)</w:t>
      </w:r>
      <w:r w:rsidR="00E122BB" w:rsidRPr="009819CE">
        <w:rPr>
          <w:rFonts w:cstheme="minorBidi"/>
        </w:rPr>
        <w:fldChar w:fldCharType="end"/>
      </w:r>
      <w:r w:rsidR="00933D5B" w:rsidRPr="009819CE">
        <w:rPr>
          <w:rFonts w:cstheme="minorBidi"/>
        </w:rPr>
        <w:t xml:space="preserve">. Additionally, the global overexploitation of </w:t>
      </w:r>
      <w:r w:rsidR="00C31E47" w:rsidRPr="009819CE">
        <w:rPr>
          <w:rFonts w:cstheme="minorBidi"/>
          <w:i/>
          <w:iCs/>
        </w:rPr>
        <w:t>Nephrops</w:t>
      </w:r>
      <w:r w:rsidR="00933D5B" w:rsidRPr="009819CE">
        <w:rPr>
          <w:rFonts w:cstheme="minorBidi"/>
        </w:rPr>
        <w:t xml:space="preserve"> stocks further exacerbates their low genetic variability</w:t>
      </w:r>
      <w:r w:rsidR="001D6FA4" w:rsidRPr="009819CE">
        <w:rPr>
          <w:rFonts w:cstheme="minorBidi"/>
        </w:rPr>
        <w:t xml:space="preserve"> </w:t>
      </w:r>
      <w:r w:rsidR="001D6FA4" w:rsidRPr="009819CE">
        <w:rPr>
          <w:rFonts w:cstheme="minorBidi"/>
        </w:rPr>
        <w:fldChar w:fldCharType="begin">
          <w:fldData xml:space="preserve">PEVuZE5vdGU+PENpdGU+PEF1dGhvcj5BZ3V6emk8L0F1dGhvcj48WWVhcj4yMDIyPC9ZZWFyPjxS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</w:fldData>
        </w:fldChar>
      </w:r>
      <w:r w:rsidR="00E06A6C" w:rsidRPr="009819CE">
        <w:rPr>
          <w:rFonts w:cstheme="minorBidi"/>
        </w:rPr>
        <w:instrText xml:space="preserve"> ADDIN EN.CITE </w:instrText>
      </w:r>
      <w:r w:rsidR="00E06A6C" w:rsidRPr="009819CE">
        <w:rPr>
          <w:rFonts w:cstheme="minorBidi"/>
        </w:rPr>
        <w:fldChar w:fldCharType="begin">
          <w:fldData xml:space="preserve">PEVuZE5vdGU+PENpdGU+PEF1dGhvcj5BZ3V6emk8L0F1dGhvcj48WWVhcj4yMDIyPC9ZZWFyPjxS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</w:fldData>
        </w:fldChar>
      </w:r>
      <w:r w:rsidR="00E06A6C" w:rsidRPr="009819CE">
        <w:rPr>
          <w:rFonts w:cstheme="minorBidi"/>
        </w:rPr>
        <w:instrText xml:space="preserve"> ADDIN EN.CITE.DATA </w:instrText>
      </w:r>
      <w:r w:rsidR="00E06A6C" w:rsidRPr="009819CE">
        <w:rPr>
          <w:rFonts w:cstheme="minorBidi"/>
        </w:rPr>
      </w:r>
      <w:r w:rsidR="00E06A6C" w:rsidRPr="009819CE">
        <w:rPr>
          <w:rFonts w:cstheme="minorBidi"/>
        </w:rPr>
        <w:fldChar w:fldCharType="end"/>
      </w:r>
      <w:r w:rsidR="001D6FA4" w:rsidRPr="009819CE">
        <w:rPr>
          <w:rFonts w:cstheme="minorBidi"/>
        </w:rPr>
      </w:r>
      <w:r w:rsidR="001D6FA4" w:rsidRPr="009819CE">
        <w:rPr>
          <w:rFonts w:cstheme="minorBidi"/>
        </w:rPr>
        <w:fldChar w:fldCharType="separate"/>
      </w:r>
      <w:r w:rsidR="001D6FA4" w:rsidRPr="001F4A34">
        <w:rPr>
          <w:rFonts w:cstheme="minorBidi"/>
        </w:rPr>
        <w:t>(</w:t>
      </w:r>
      <w:hyperlink w:anchor="_ENREF_3" w:tooltip="Aguzzi, 2022 #1923" w:history="1">
        <w:r w:rsidR="00950097" w:rsidRPr="001F4A34">
          <w:rPr>
            <w:rFonts w:cstheme="minorBidi"/>
          </w:rPr>
          <w:t>Aguzzi et al., 2022</w:t>
        </w:r>
      </w:hyperlink>
      <w:r w:rsidR="001D6FA4" w:rsidRPr="001F4A34">
        <w:rPr>
          <w:rFonts w:cstheme="minorBidi"/>
        </w:rPr>
        <w:t>)</w:t>
      </w:r>
      <w:r w:rsidR="001D6FA4" w:rsidRPr="009819CE">
        <w:rPr>
          <w:rFonts w:cstheme="minorBidi"/>
        </w:rPr>
        <w:fldChar w:fldCharType="end"/>
      </w:r>
      <w:r w:rsidR="00933D5B" w:rsidRPr="009819CE">
        <w:rPr>
          <w:rFonts w:cstheme="minorBidi"/>
        </w:rPr>
        <w:t>.</w:t>
      </w:r>
      <w:r w:rsidR="004C1C91" w:rsidRPr="009819CE">
        <w:t xml:space="preserve"> </w:t>
      </w:r>
      <w:r w:rsidR="004C1C91" w:rsidRPr="009819CE">
        <w:rPr>
          <w:rFonts w:cstheme="minorBidi"/>
        </w:rPr>
        <w:t>A population with very low genetic diversity means that its individuals have similar genetic makeup. This can make the population more vulnerable to diseases because there is less likelihood of some individuals possessing genetic traits that could help resist infections. Low genetic diversity reduces the ability of the population to adapt to new or changing environmental conditions, including the emergence of new diseases.</w:t>
      </w:r>
      <w:r w:rsidR="001129C7" w:rsidRPr="009819CE">
        <w:rPr>
          <w:rFonts w:cstheme="minorBidi"/>
        </w:rPr>
        <w:t xml:space="preserve"> </w:t>
      </w:r>
    </w:p>
    <w:p w14:paraId="279152EF" w14:textId="7DB83041" w:rsidR="00734571" w:rsidRPr="009819CE" w:rsidRDefault="003E34D4" w:rsidP="003E34D4">
      <w:pPr>
        <w:rPr>
          <w:rFonts w:cstheme="minorBidi"/>
        </w:rPr>
      </w:pPr>
      <w:r w:rsidRPr="009819CE">
        <w:rPr>
          <w:rFonts w:cstheme="minorBidi"/>
        </w:rPr>
        <w:t xml:space="preserve">In Chapter 4, </w:t>
      </w:r>
      <w:r w:rsidR="00146158" w:rsidRPr="00FA7D47">
        <w:rPr>
          <w:rFonts w:cstheme="minorBidi"/>
        </w:rPr>
        <w:t>th</w:t>
      </w:r>
      <w:r w:rsidR="001D09A3" w:rsidRPr="00FA7D47">
        <w:rPr>
          <w:rFonts w:cstheme="minorBidi"/>
        </w:rPr>
        <w:t>is</w:t>
      </w:r>
      <w:r w:rsidRPr="009819CE">
        <w:rPr>
          <w:rFonts w:cstheme="minorBidi"/>
        </w:rPr>
        <w:t xml:space="preserve"> study focused on capturing infected individuals during the period from January to March. </w:t>
      </w:r>
      <w:r w:rsidR="0088119C" w:rsidRPr="00FA7D47">
        <w:rPr>
          <w:rFonts w:cstheme="minorBidi"/>
        </w:rPr>
        <w:t xml:space="preserve">The </w:t>
      </w:r>
      <w:r w:rsidRPr="009819CE">
        <w:rPr>
          <w:rFonts w:cstheme="minorBidi"/>
        </w:rPr>
        <w:t xml:space="preserve">initial aim was to collect haemolymph samples from all individuals at biweekly intervals. However, this proved challenging, particularly for heavily infected animals whose compromised health due to </w:t>
      </w:r>
      <w:r w:rsidR="009D03F4" w:rsidRPr="009819CE">
        <w:rPr>
          <w:rFonts w:cstheme="minorBidi"/>
          <w:i/>
        </w:rPr>
        <w:t>Hematodinium</w:t>
      </w:r>
      <w:r w:rsidRPr="009819CE">
        <w:rPr>
          <w:rFonts w:cstheme="minorBidi"/>
        </w:rPr>
        <w:t xml:space="preserve"> sp. infection hindered the sampling process. As a result, the decision</w:t>
      </w:r>
      <w:r w:rsidR="00221F92" w:rsidRPr="00FA7D47">
        <w:rPr>
          <w:rFonts w:cstheme="minorBidi"/>
        </w:rPr>
        <w:t xml:space="preserve"> was made</w:t>
      </w:r>
      <w:r w:rsidRPr="009819CE">
        <w:rPr>
          <w:rFonts w:cstheme="minorBidi"/>
        </w:rPr>
        <w:t xml:space="preserve"> not to subject the animals to additional stress and refrained from extracting haemolymph samples. </w:t>
      </w:r>
      <w:r w:rsidR="00CB51C1" w:rsidRPr="009819CE">
        <w:rPr>
          <w:rFonts w:cstheme="minorBidi"/>
        </w:rPr>
        <w:t>Future research could</w:t>
      </w:r>
      <w:r w:rsidRPr="009819CE">
        <w:rPr>
          <w:rFonts w:cstheme="minorBidi"/>
        </w:rPr>
        <w:t xml:space="preserve"> include qPCR analysis to monitor the progressive </w:t>
      </w:r>
      <w:r w:rsidR="009D03F4" w:rsidRPr="009819CE">
        <w:rPr>
          <w:rFonts w:cstheme="minorBidi"/>
          <w:i/>
        </w:rPr>
        <w:t>Hematodinium</w:t>
      </w:r>
      <w:r w:rsidRPr="009819CE">
        <w:rPr>
          <w:rFonts w:cstheme="minorBidi"/>
        </w:rPr>
        <w:t xml:space="preserve"> sp. levels in the haemolymph, leading to sporulation, with the goal of identifying potential correlations. </w:t>
      </w:r>
      <w:r w:rsidR="00C870E8" w:rsidRPr="009819CE">
        <w:rPr>
          <w:rFonts w:cstheme="minorBidi"/>
        </w:rPr>
        <w:t xml:space="preserve">During this study, </w:t>
      </w:r>
      <w:r w:rsidRPr="009819CE">
        <w:rPr>
          <w:rFonts w:cstheme="minorBidi"/>
        </w:rPr>
        <w:t xml:space="preserve">Ethovision software </w:t>
      </w:r>
      <w:r w:rsidR="006D09E7" w:rsidRPr="00FA7D47">
        <w:rPr>
          <w:rFonts w:cstheme="minorBidi"/>
        </w:rPr>
        <w:t xml:space="preserve">was employed </w:t>
      </w:r>
      <w:r w:rsidRPr="009819CE">
        <w:rPr>
          <w:rFonts w:cstheme="minorBidi"/>
        </w:rPr>
        <w:t xml:space="preserve">to observe </w:t>
      </w:r>
      <w:r w:rsidR="00C31E47" w:rsidRPr="009819CE">
        <w:rPr>
          <w:rFonts w:cstheme="minorBidi"/>
          <w:i/>
          <w:iCs/>
        </w:rPr>
        <w:t>Nephrops</w:t>
      </w:r>
      <w:r w:rsidRPr="009819CE">
        <w:rPr>
          <w:rFonts w:cstheme="minorBidi"/>
        </w:rPr>
        <w:t xml:space="preserve"> behaviour before, during, and after sporulation within a camera-equipped booth. However, sporulation did not occur in any of the animals within the booth, and the presence of spores in the tank impeded visibility, making behavioural observations impractical. Moreover, the hourly responsiveness checks further challenged behavioural monitoring. </w:t>
      </w:r>
      <w:r w:rsidR="00E270A2" w:rsidRPr="009819CE">
        <w:rPr>
          <w:rFonts w:cstheme="minorBidi"/>
        </w:rPr>
        <w:t xml:space="preserve">For future experiments on sporulation, </w:t>
      </w:r>
      <w:r w:rsidR="00D945D4">
        <w:rPr>
          <w:rFonts w:cstheme="minorBidi"/>
        </w:rPr>
        <w:t>it is</w:t>
      </w:r>
      <w:r w:rsidR="00E270A2" w:rsidRPr="009819CE">
        <w:rPr>
          <w:rFonts w:cstheme="minorBidi"/>
        </w:rPr>
        <w:t xml:space="preserve"> suggest</w:t>
      </w:r>
      <w:r w:rsidR="00D945D4">
        <w:rPr>
          <w:rFonts w:cstheme="minorBidi"/>
        </w:rPr>
        <w:t>ed</w:t>
      </w:r>
      <w:r w:rsidR="00E270A2" w:rsidRPr="009819CE">
        <w:rPr>
          <w:rFonts w:cstheme="minorBidi"/>
        </w:rPr>
        <w:t xml:space="preserve"> </w:t>
      </w:r>
      <w:r w:rsidR="00D945D4">
        <w:rPr>
          <w:rFonts w:cstheme="minorBidi"/>
        </w:rPr>
        <w:t xml:space="preserve">that </w:t>
      </w:r>
      <w:r w:rsidR="00E270A2" w:rsidRPr="009819CE">
        <w:rPr>
          <w:rFonts w:cstheme="minorBidi"/>
        </w:rPr>
        <w:t>temperature-controlled tanks</w:t>
      </w:r>
      <w:r w:rsidR="00D945D4">
        <w:rPr>
          <w:rFonts w:cstheme="minorBidi"/>
        </w:rPr>
        <w:t xml:space="preserve"> be employed</w:t>
      </w:r>
      <w:r w:rsidR="00E270A2" w:rsidRPr="009819CE">
        <w:rPr>
          <w:rFonts w:cstheme="minorBidi"/>
        </w:rPr>
        <w:t xml:space="preserve">. These tanks should have a </w:t>
      </w:r>
      <w:r w:rsidR="00707964" w:rsidRPr="00FA7D47">
        <w:rPr>
          <w:rFonts w:cstheme="minorBidi"/>
        </w:rPr>
        <w:t>sea</w:t>
      </w:r>
      <w:r w:rsidR="00E270A2" w:rsidRPr="009819CE">
        <w:rPr>
          <w:rFonts w:cstheme="minorBidi"/>
        </w:rPr>
        <w:t xml:space="preserve">water supply and be able to hold a large number of individuals. To better track </w:t>
      </w:r>
      <w:r w:rsidR="00734571" w:rsidRPr="009819CE">
        <w:rPr>
          <w:rFonts w:cstheme="minorBidi"/>
        </w:rPr>
        <w:t>behaviour</w:t>
      </w:r>
      <w:r w:rsidR="00E270A2" w:rsidRPr="009819CE">
        <w:rPr>
          <w:rFonts w:cstheme="minorBidi"/>
        </w:rPr>
        <w:t xml:space="preserve"> before sporulation, placing waterproof video cameras in each tank would be helpful. It's important to include many individuals at advanced infection stages (stage 3 and 4) to reduce the impact of potential deaths and to collect both types of spores</w:t>
      </w:r>
      <w:r w:rsidR="00B87081" w:rsidRPr="009819CE">
        <w:rPr>
          <w:rFonts w:cstheme="minorBidi"/>
        </w:rPr>
        <w:t xml:space="preserve"> (micro/macrospores)</w:t>
      </w:r>
      <w:r w:rsidR="00E270A2" w:rsidRPr="009819CE">
        <w:rPr>
          <w:rFonts w:cstheme="minorBidi"/>
        </w:rPr>
        <w:t xml:space="preserve">. </w:t>
      </w:r>
      <w:r w:rsidR="00F93EA8" w:rsidRPr="009819CE">
        <w:rPr>
          <w:rFonts w:cstheme="minorBidi"/>
        </w:rPr>
        <w:t xml:space="preserve">Additionally, establishing a culture from these spores could enable detailed metabolic analysis. </w:t>
      </w:r>
      <w:r w:rsidR="00E270A2" w:rsidRPr="009819CE">
        <w:rPr>
          <w:rFonts w:cstheme="minorBidi"/>
        </w:rPr>
        <w:t xml:space="preserve">At the same time, starting an infectivity trial </w:t>
      </w:r>
      <w:r w:rsidR="00063E65" w:rsidRPr="009819CE">
        <w:rPr>
          <w:rFonts w:cstheme="minorBidi"/>
        </w:rPr>
        <w:t xml:space="preserve">would </w:t>
      </w:r>
      <w:r w:rsidR="00E270A2" w:rsidRPr="009819CE">
        <w:rPr>
          <w:rFonts w:cstheme="minorBidi"/>
        </w:rPr>
        <w:t>help confirm</w:t>
      </w:r>
      <w:r w:rsidR="00063E65" w:rsidRPr="009819CE">
        <w:rPr>
          <w:rFonts w:cstheme="minorBidi"/>
        </w:rPr>
        <w:t>ing</w:t>
      </w:r>
      <w:r w:rsidR="00E270A2" w:rsidRPr="009819CE">
        <w:rPr>
          <w:rFonts w:cstheme="minorBidi"/>
        </w:rPr>
        <w:t xml:space="preserve"> </w:t>
      </w:r>
      <w:r w:rsidR="009D03F4" w:rsidRPr="009819CE">
        <w:rPr>
          <w:rFonts w:cstheme="minorBidi"/>
          <w:i/>
          <w:iCs/>
        </w:rPr>
        <w:t>Hematodinium</w:t>
      </w:r>
      <w:r w:rsidR="00E44697" w:rsidRPr="009819CE">
        <w:rPr>
          <w:rFonts w:cstheme="minorBidi"/>
          <w:i/>
          <w:iCs/>
        </w:rPr>
        <w:t xml:space="preserve"> </w:t>
      </w:r>
      <w:r w:rsidR="00E44697" w:rsidRPr="009819CE">
        <w:rPr>
          <w:rFonts w:cstheme="minorBidi"/>
        </w:rPr>
        <w:t xml:space="preserve">sp. </w:t>
      </w:r>
      <w:r w:rsidR="00E270A2" w:rsidRPr="009819CE">
        <w:rPr>
          <w:rFonts w:cstheme="minorBidi"/>
        </w:rPr>
        <w:t xml:space="preserve">transmission via spores. </w:t>
      </w:r>
      <w:r w:rsidR="00467664" w:rsidRPr="009819CE">
        <w:rPr>
          <w:rFonts w:cstheme="minorBidi"/>
          <w:i/>
          <w:iCs/>
        </w:rPr>
        <w:t>In</w:t>
      </w:r>
      <w:r w:rsidR="00A35469" w:rsidRPr="009819CE">
        <w:rPr>
          <w:rFonts w:cstheme="minorBidi"/>
          <w:i/>
          <w:iCs/>
        </w:rPr>
        <w:t>-</w:t>
      </w:r>
      <w:r w:rsidR="00467664" w:rsidRPr="009819CE">
        <w:rPr>
          <w:rFonts w:cstheme="minorBidi"/>
          <w:i/>
          <w:iCs/>
        </w:rPr>
        <w:t>vitro</w:t>
      </w:r>
      <w:r w:rsidR="00467664" w:rsidRPr="009819CE">
        <w:rPr>
          <w:rFonts w:cstheme="minorBidi"/>
        </w:rPr>
        <w:t xml:space="preserve"> studies could also help explain how</w:t>
      </w:r>
      <w:r w:rsidR="000B7291" w:rsidRPr="00FA7D47">
        <w:rPr>
          <w:rFonts w:cstheme="minorBidi"/>
        </w:rPr>
        <w:t>/if</w:t>
      </w:r>
      <w:r w:rsidR="00467664" w:rsidRPr="009819CE">
        <w:rPr>
          <w:rFonts w:cstheme="minorBidi"/>
        </w:rPr>
        <w:t xml:space="preserve"> parasites communicate and what triggers their rapid and nearly synchronous sporulation, although these processes might differ from what happens </w:t>
      </w:r>
      <w:r w:rsidR="00467664" w:rsidRPr="009819CE">
        <w:rPr>
          <w:rFonts w:cstheme="minorBidi"/>
          <w:i/>
          <w:iCs/>
        </w:rPr>
        <w:t>in</w:t>
      </w:r>
      <w:r w:rsidR="00A35469" w:rsidRPr="009819CE">
        <w:rPr>
          <w:rFonts w:cstheme="minorBidi"/>
          <w:i/>
          <w:iCs/>
        </w:rPr>
        <w:t>- vivo</w:t>
      </w:r>
      <w:r w:rsidR="00467664" w:rsidRPr="009819CE">
        <w:rPr>
          <w:rFonts w:cstheme="minorBidi"/>
        </w:rPr>
        <w:t xml:space="preserve">. </w:t>
      </w:r>
      <w:r w:rsidR="00E270A2" w:rsidRPr="009819CE">
        <w:rPr>
          <w:rFonts w:cstheme="minorBidi"/>
        </w:rPr>
        <w:t>Finally, formally</w:t>
      </w:r>
      <w:r w:rsidR="003C1770" w:rsidRPr="00FA7D47">
        <w:rPr>
          <w:rFonts w:cstheme="minorBidi"/>
        </w:rPr>
        <w:t xml:space="preserve"> describing</w:t>
      </w:r>
      <w:r w:rsidR="009D03F4" w:rsidRPr="009819CE">
        <w:rPr>
          <w:rFonts w:cstheme="minorBidi"/>
          <w:i/>
          <w:iCs/>
        </w:rPr>
        <w:t>Hematodinium</w:t>
      </w:r>
      <w:r w:rsidR="00E270A2" w:rsidRPr="009819CE">
        <w:rPr>
          <w:rFonts w:cstheme="minorBidi"/>
        </w:rPr>
        <w:t xml:space="preserve"> sp. will be the next important step.</w:t>
      </w:r>
    </w:p>
    <w:p w14:paraId="4FC15576" w14:textId="0C13AD57" w:rsidR="00C4359D" w:rsidRPr="009819CE" w:rsidRDefault="003E34D4" w:rsidP="00540F9F">
      <w:pPr>
        <w:rPr>
          <w:rFonts w:cstheme="minorBidi"/>
        </w:rPr>
      </w:pPr>
      <w:r w:rsidRPr="009819CE">
        <w:rPr>
          <w:rFonts w:cstheme="minorBidi"/>
        </w:rPr>
        <w:t xml:space="preserve">In conclusion, this study has </w:t>
      </w:r>
      <w:r w:rsidR="000A53F2" w:rsidRPr="009819CE">
        <w:rPr>
          <w:rFonts w:cstheme="minorBidi"/>
        </w:rPr>
        <w:t xml:space="preserve">made a significant contribution </w:t>
      </w:r>
      <w:r w:rsidR="003C1770" w:rsidRPr="00FA7D47">
        <w:rPr>
          <w:rFonts w:cstheme="minorBidi"/>
        </w:rPr>
        <w:t xml:space="preserve">to </w:t>
      </w:r>
      <w:r w:rsidR="00DD4F9A" w:rsidRPr="009819CE">
        <w:rPr>
          <w:rFonts w:cstheme="minorBidi"/>
        </w:rPr>
        <w:t>exploring</w:t>
      </w:r>
      <w:r w:rsidRPr="009819CE">
        <w:rPr>
          <w:rFonts w:cstheme="minorBidi"/>
        </w:rPr>
        <w:t xml:space="preserve"> </w:t>
      </w:r>
      <w:r w:rsidR="009D03F4" w:rsidRPr="009819CE">
        <w:rPr>
          <w:rFonts w:cstheme="minorBidi"/>
          <w:i/>
        </w:rPr>
        <w:t>Hematodinium</w:t>
      </w:r>
      <w:r w:rsidRPr="009819CE">
        <w:rPr>
          <w:rFonts w:cstheme="minorBidi"/>
        </w:rPr>
        <w:t xml:space="preserve"> sp. infection dynamics within </w:t>
      </w:r>
      <w:r w:rsidR="00C31E47" w:rsidRPr="009819CE">
        <w:rPr>
          <w:rFonts w:cstheme="minorBidi"/>
          <w:i/>
          <w:iCs/>
        </w:rPr>
        <w:t>Nephrops</w:t>
      </w:r>
      <w:r w:rsidRPr="009819CE">
        <w:rPr>
          <w:rFonts w:cstheme="minorBidi"/>
          <w:i/>
          <w:iCs/>
        </w:rPr>
        <w:t xml:space="preserve"> norvegicus</w:t>
      </w:r>
      <w:r w:rsidRPr="009819CE">
        <w:rPr>
          <w:rFonts w:cstheme="minorBidi"/>
        </w:rPr>
        <w:t xml:space="preserve">. The potential utilization of PCR on a broader sampling scale and the optimization of qPCR assays were hindered by technical complexities and time constraints. </w:t>
      </w:r>
      <w:r w:rsidR="00F77CA7" w:rsidRPr="009819CE">
        <w:rPr>
          <w:rFonts w:cstheme="minorBidi"/>
        </w:rPr>
        <w:t xml:space="preserve">Despite these challenges, the study has emphasized the need for ongoing research to better understand host-parasite interactions. Future investigations should focus on comparing environmental factors and exploring the genetics of both hosts and parasites. </w:t>
      </w:r>
      <w:r w:rsidR="009819C4" w:rsidRPr="009819CE">
        <w:rPr>
          <w:rFonts w:cstheme="minorBidi"/>
        </w:rPr>
        <w:t xml:space="preserve">The changes observed in microbial community composition suggest a need for further exploration into their functional roles. Studying immune responses could help explain why there is no histological </w:t>
      </w:r>
      <w:r w:rsidR="00FC0C4E" w:rsidRPr="009819CE">
        <w:rPr>
          <w:rFonts w:cstheme="minorBidi"/>
        </w:rPr>
        <w:t xml:space="preserve">reactivity </w:t>
      </w:r>
      <w:r w:rsidR="009819C4" w:rsidRPr="009819CE">
        <w:rPr>
          <w:rFonts w:cstheme="minorBidi"/>
        </w:rPr>
        <w:t xml:space="preserve">to </w:t>
      </w:r>
      <w:r w:rsidR="009D03F4" w:rsidRPr="009819CE">
        <w:rPr>
          <w:rFonts w:cstheme="minorBidi"/>
          <w:i/>
          <w:iCs/>
        </w:rPr>
        <w:t>Hematodinium</w:t>
      </w:r>
      <w:r w:rsidR="009819C4" w:rsidRPr="009819CE">
        <w:rPr>
          <w:rFonts w:cstheme="minorBidi"/>
        </w:rPr>
        <w:t xml:space="preserve"> sp.. </w:t>
      </w:r>
      <w:r w:rsidR="00573211" w:rsidRPr="009819CE">
        <w:rPr>
          <w:rFonts w:cstheme="minorBidi"/>
        </w:rPr>
        <w:t xml:space="preserve">Investigating the metabolic needs, communication methods, and dynamics of spore release in Hematodinium spp., along with conducting controlled experiments on these aspects, is crucial for future research and will provide critical insights. Additionally, examining the mechanisms underlying disease progression, particularly why smaller individuals are more susceptible, will further enhance </w:t>
      </w:r>
      <w:r w:rsidR="00146158" w:rsidRPr="00FA7D47">
        <w:rPr>
          <w:rFonts w:cstheme="minorBidi"/>
        </w:rPr>
        <w:t>the</w:t>
      </w:r>
      <w:r w:rsidR="00573211" w:rsidRPr="009819CE">
        <w:rPr>
          <w:rFonts w:cstheme="minorBidi"/>
        </w:rPr>
        <w:t xml:space="preserve"> understanding of this pathosystem.</w:t>
      </w:r>
    </w:p>
    <w:p w14:paraId="4B811760" w14:textId="36B03F9E" w:rsidR="00D45CC2" w:rsidRPr="009819CE" w:rsidRDefault="00ED5FE3" w:rsidP="008629C8">
      <w:pPr>
        <w:rPr>
          <w:rFonts w:cstheme="minorBidi"/>
        </w:rPr>
      </w:pPr>
      <w:r w:rsidRPr="009819CE">
        <w:rPr>
          <w:rFonts w:cstheme="minorBidi"/>
        </w:rPr>
        <w:t>Finally,</w:t>
      </w:r>
      <w:r w:rsidR="00540F9F" w:rsidRPr="009819CE">
        <w:rPr>
          <w:rFonts w:cstheme="minorBidi"/>
        </w:rPr>
        <w:t xml:space="preserve"> </w:t>
      </w:r>
      <w:r w:rsidRPr="009819CE">
        <w:rPr>
          <w:rFonts w:cstheme="minorBidi"/>
        </w:rPr>
        <w:t>c</w:t>
      </w:r>
      <w:r w:rsidR="00540F9F" w:rsidRPr="009819CE">
        <w:rPr>
          <w:rFonts w:cstheme="minorBidi"/>
        </w:rPr>
        <w:t xml:space="preserve">ontinuous monitoring through a robust, long-term program is crucial to track </w:t>
      </w:r>
      <w:r w:rsidR="009D03F4" w:rsidRPr="009819CE">
        <w:rPr>
          <w:rFonts w:cstheme="minorBidi"/>
          <w:i/>
          <w:iCs/>
        </w:rPr>
        <w:t>Hematodinium</w:t>
      </w:r>
      <w:r w:rsidR="00540F9F" w:rsidRPr="009819CE">
        <w:rPr>
          <w:rFonts w:cstheme="minorBidi"/>
        </w:rPr>
        <w:t xml:space="preserve"> sp. prevalence in </w:t>
      </w:r>
      <w:r w:rsidR="00C31E47" w:rsidRPr="009819CE">
        <w:rPr>
          <w:rFonts w:cstheme="minorBidi"/>
          <w:i/>
          <w:iCs/>
        </w:rPr>
        <w:t>Nephrops</w:t>
      </w:r>
      <w:r w:rsidR="00540F9F" w:rsidRPr="009819CE">
        <w:rPr>
          <w:rFonts w:cstheme="minorBidi"/>
        </w:rPr>
        <w:t xml:space="preserve"> populations over time</w:t>
      </w:r>
      <w:r w:rsidR="00785AA9" w:rsidRPr="009819CE">
        <w:rPr>
          <w:rFonts w:cstheme="minorBidi"/>
        </w:rPr>
        <w:t>.</w:t>
      </w:r>
      <w:r w:rsidR="00540F9F" w:rsidRPr="009819CE">
        <w:rPr>
          <w:rFonts w:cstheme="minorBidi"/>
        </w:rPr>
        <w:t xml:space="preserve"> Integrating climate and environmental data, such as seabed temperature and salinity, into these efforts will enhance </w:t>
      </w:r>
      <w:r w:rsidR="00146158" w:rsidRPr="00FA7D47">
        <w:rPr>
          <w:rFonts w:cstheme="minorBidi"/>
        </w:rPr>
        <w:t>the</w:t>
      </w:r>
      <w:r w:rsidR="00540F9F" w:rsidRPr="009819CE">
        <w:rPr>
          <w:rFonts w:cstheme="minorBidi"/>
        </w:rPr>
        <w:t xml:space="preserve"> ability to predict </w:t>
      </w:r>
      <w:r w:rsidR="00785AA9" w:rsidRPr="009819CE">
        <w:rPr>
          <w:rFonts w:cstheme="minorBidi"/>
        </w:rPr>
        <w:t>future prevalence</w:t>
      </w:r>
      <w:r w:rsidR="00540F9F" w:rsidRPr="009819CE">
        <w:rPr>
          <w:rFonts w:cstheme="minorBidi"/>
        </w:rPr>
        <w:t>.</w:t>
      </w:r>
      <w:r w:rsidR="006B6868" w:rsidRPr="009819CE">
        <w:t xml:space="preserve"> </w:t>
      </w:r>
      <w:r w:rsidR="00FC7A4F" w:rsidRPr="009819CE">
        <w:rPr>
          <w:rFonts w:cstheme="minorBidi"/>
        </w:rPr>
        <w:t xml:space="preserve">Lastly, formally identifying </w:t>
      </w:r>
      <w:r w:rsidR="00FC7A4F" w:rsidRPr="009819CE">
        <w:rPr>
          <w:rFonts w:cstheme="minorBidi"/>
          <w:i/>
          <w:iCs/>
        </w:rPr>
        <w:t>Hematodinium</w:t>
      </w:r>
      <w:r w:rsidR="00FC7A4F" w:rsidRPr="009819CE">
        <w:rPr>
          <w:rFonts w:cstheme="minorBidi"/>
        </w:rPr>
        <w:t xml:space="preserve"> sp. in the CSA will be a necessary step for future research.</w:t>
      </w:r>
    </w:p>
    <w:p w14:paraId="493F7FDF" w14:textId="77777777" w:rsidR="008D7610" w:rsidRPr="009819CE" w:rsidRDefault="008D7610" w:rsidP="008629C8">
      <w:pPr>
        <w:rPr>
          <w:rFonts w:cstheme="minorBidi"/>
        </w:rPr>
        <w:sectPr w:rsidR="008D7610" w:rsidRPr="009819CE" w:rsidSect="003A7A28">
          <w:headerReference w:type="default" r:id="rId124"/>
          <w:pgSz w:w="11900" w:h="16840"/>
          <w:pgMar w:top="1440" w:right="1440" w:bottom="1440" w:left="1440" w:header="720" w:footer="720" w:gutter="0"/>
          <w:cols w:space="720"/>
          <w:docGrid w:linePitch="360"/>
        </w:sectPr>
      </w:pPr>
    </w:p>
    <w:p w14:paraId="6EA2FB24" w14:textId="074C650A" w:rsidR="00AB13AB" w:rsidRPr="009819CE" w:rsidRDefault="006506F2" w:rsidP="00E22ACF">
      <w:pPr>
        <w:pStyle w:val="Heading1"/>
      </w:pPr>
      <w:bookmarkStart w:id="400" w:name="_Toc204106686"/>
      <w:r w:rsidRPr="009819CE">
        <w:t>References</w:t>
      </w:r>
      <w:bookmarkEnd w:id="246"/>
      <w:bookmarkEnd w:id="247"/>
      <w:bookmarkEnd w:id="400"/>
    </w:p>
    <w:p w14:paraId="08D7BE5C" w14:textId="77777777" w:rsidR="00214500" w:rsidRPr="009819CE" w:rsidRDefault="00214500" w:rsidP="00DA29AB">
      <w:pPr>
        <w:spacing w:before="0" w:after="0"/>
        <w:rPr>
          <w:rFonts w:cstheme="minorBidi"/>
          <w:color w:val="000000" w:themeColor="text1"/>
        </w:rPr>
      </w:pPr>
    </w:p>
    <w:p w14:paraId="013AE4C8" w14:textId="77777777" w:rsidR="00950097" w:rsidRPr="00950097" w:rsidRDefault="00A70AE5" w:rsidP="00950097">
      <w:pPr>
        <w:pStyle w:val="EndNoteBibliography"/>
        <w:spacing w:after="0"/>
        <w:ind w:left="720" w:hanging="720"/>
      </w:pPr>
      <w:r w:rsidRPr="009819CE">
        <w:rPr>
          <w:rFonts w:asciiTheme="minorBidi" w:hAnsiTheme="minorBidi" w:cstheme="minorBidi"/>
          <w:noProof w:val="0"/>
          <w:color w:val="000000" w:themeColor="text1"/>
          <w:lang w:val="en-GB"/>
        </w:rPr>
        <w:fldChar w:fldCharType="begin"/>
      </w:r>
      <w:r w:rsidRPr="009819CE">
        <w:rPr>
          <w:rFonts w:asciiTheme="minorBidi" w:hAnsiTheme="minorBidi" w:cstheme="minorBidi"/>
          <w:noProof w:val="0"/>
          <w:color w:val="000000" w:themeColor="text1"/>
          <w:lang w:val="en-GB"/>
        </w:rPr>
        <w:instrText xml:space="preserve"> ADDIN EN.REFLIST </w:instrText>
      </w:r>
      <w:r w:rsidRPr="009819CE">
        <w:rPr>
          <w:rFonts w:asciiTheme="minorBidi" w:hAnsiTheme="minorBidi" w:cstheme="minorBidi"/>
          <w:noProof w:val="0"/>
          <w:color w:val="000000" w:themeColor="text1"/>
          <w:lang w:val="en-GB"/>
        </w:rPr>
        <w:fldChar w:fldCharType="separate"/>
      </w:r>
      <w:bookmarkStart w:id="401" w:name="_ENREF_1"/>
      <w:r w:rsidR="00950097" w:rsidRPr="00950097">
        <w:t xml:space="preserve">Abt, M. C. &amp; Pamer, E. G. (2014) Commensal bacteria mediated defenses against pathogens. </w:t>
      </w:r>
      <w:r w:rsidR="00950097" w:rsidRPr="00950097">
        <w:rPr>
          <w:i/>
        </w:rPr>
        <w:t>Current Opinion in Immunology,</w:t>
      </w:r>
      <w:r w:rsidR="00950097" w:rsidRPr="00950097">
        <w:t xml:space="preserve"> 29(1)</w:t>
      </w:r>
      <w:r w:rsidR="00950097" w:rsidRPr="00950097">
        <w:rPr>
          <w:b/>
        </w:rPr>
        <w:t>,</w:t>
      </w:r>
      <w:r w:rsidR="00950097" w:rsidRPr="00950097">
        <w:t xml:space="preserve"> 16-22. 10.1016/j.coi.2014.03.003.</w:t>
      </w:r>
      <w:bookmarkEnd w:id="401"/>
    </w:p>
    <w:p w14:paraId="315AA0D8" w14:textId="77777777" w:rsidR="00950097" w:rsidRPr="00950097" w:rsidRDefault="00950097" w:rsidP="00950097">
      <w:pPr>
        <w:pStyle w:val="EndNoteBibliography"/>
        <w:spacing w:after="0"/>
        <w:ind w:left="720" w:hanging="720"/>
      </w:pPr>
      <w:bookmarkStart w:id="402" w:name="_ENREF_2"/>
      <w:r w:rsidRPr="00950097">
        <w:t xml:space="preserve">Aguzzi, J., Bahamon, N., Doyle, J., Lordan, C., Tuck, I. D., Chiarini, M., Martinelli, M. &amp; Company, J. B. (2021) Burrow emergence rhythms of </w:t>
      </w:r>
      <w:r w:rsidRPr="00950097">
        <w:rPr>
          <w:i/>
        </w:rPr>
        <w:t>Nephrops norvegicus</w:t>
      </w:r>
      <w:r w:rsidRPr="00950097">
        <w:t xml:space="preserve"> by UWTV and surveying biases. </w:t>
      </w:r>
      <w:r w:rsidRPr="00950097">
        <w:rPr>
          <w:i/>
        </w:rPr>
        <w:t>Scientific Reports,</w:t>
      </w:r>
      <w:r w:rsidRPr="00950097">
        <w:t xml:space="preserve"> 11(1)</w:t>
      </w:r>
      <w:r w:rsidRPr="00950097">
        <w:rPr>
          <w:b/>
        </w:rPr>
        <w:t>,</w:t>
      </w:r>
      <w:r w:rsidRPr="00950097">
        <w:t xml:space="preserve"> 1-13. 10.1038/s41598-021-85240-3.</w:t>
      </w:r>
      <w:bookmarkEnd w:id="402"/>
    </w:p>
    <w:p w14:paraId="17793730" w14:textId="77777777" w:rsidR="00950097" w:rsidRPr="00950097" w:rsidRDefault="00950097" w:rsidP="00950097">
      <w:pPr>
        <w:pStyle w:val="EndNoteBibliography"/>
        <w:spacing w:after="0"/>
        <w:ind w:left="720" w:hanging="720"/>
      </w:pPr>
      <w:bookmarkStart w:id="403" w:name="_ENREF_3"/>
      <w:r w:rsidRPr="00950097">
        <w:t>Aguzzi, J., Chatzievangelou, D., Robinson, N. J., Bahamon, N., Berry, A., Carreras, M., Company, J. B., Costa, C., del Rio Fernandez, J., Falahzadeh, A., Fifas, S., Flögel, S., Grinyó, J., Jónasson, J. P., Jonsson, P., Lordan, C., Lundy, M., Marini, S., Martinelli, M., Masmitja, I., Mirimin, L., Naseer, A., Navarro, J., Palomeras, N., Picardi, G., Silva, C., Stefanni, S., Vigo, M., Vila, Y., Weetman, A. &amp; Doyle, J. (2022) Advancing fishery-independent stock assessments for the Norway lobster (</w:t>
      </w:r>
      <w:r w:rsidRPr="00950097">
        <w:rPr>
          <w:i/>
        </w:rPr>
        <w:t>Nephrops norvegicus</w:t>
      </w:r>
      <w:r w:rsidRPr="00950097">
        <w:t xml:space="preserve">) with new monitoring technologies. </w:t>
      </w:r>
      <w:r w:rsidRPr="00950097">
        <w:rPr>
          <w:i/>
        </w:rPr>
        <w:t>Frontiers in Marine Science,</w:t>
      </w:r>
      <w:r w:rsidRPr="00950097">
        <w:t xml:space="preserve"> 9. 10.3389/fmars.2022.969071.</w:t>
      </w:r>
      <w:bookmarkEnd w:id="403"/>
    </w:p>
    <w:p w14:paraId="5C562B2B" w14:textId="77777777" w:rsidR="00950097" w:rsidRPr="00950097" w:rsidRDefault="00950097" w:rsidP="00950097">
      <w:pPr>
        <w:pStyle w:val="EndNoteBibliography"/>
        <w:spacing w:after="0"/>
        <w:ind w:left="720" w:hanging="720"/>
      </w:pPr>
      <w:bookmarkStart w:id="404" w:name="_ENREF_4"/>
      <w:r w:rsidRPr="00950097">
        <w:t xml:space="preserve">Aguzzi, J., Company, J. B. &amp; Sarda, F. (2004a) Feeding activity rhythm of </w:t>
      </w:r>
      <w:r w:rsidRPr="00950097">
        <w:rPr>
          <w:i/>
        </w:rPr>
        <w:t>Nephrops norvegicus</w:t>
      </w:r>
      <w:r w:rsidRPr="00950097">
        <w:t xml:space="preserve"> of the western Mediterranean shelf and slope grounds. </w:t>
      </w:r>
      <w:r w:rsidRPr="00950097">
        <w:rPr>
          <w:i/>
        </w:rPr>
        <w:t>Marine Biology,</w:t>
      </w:r>
      <w:r w:rsidRPr="00950097">
        <w:t xml:space="preserve"> 144(3)</w:t>
      </w:r>
      <w:r w:rsidRPr="00950097">
        <w:rPr>
          <w:b/>
        </w:rPr>
        <w:t>,</w:t>
      </w:r>
      <w:r w:rsidRPr="00950097">
        <w:t xml:space="preserve"> 463-472. 10.1007/s00227-003-1221-6.</w:t>
      </w:r>
      <w:bookmarkEnd w:id="404"/>
    </w:p>
    <w:p w14:paraId="2F54B975" w14:textId="77777777" w:rsidR="00950097" w:rsidRPr="00950097" w:rsidRDefault="00950097" w:rsidP="00950097">
      <w:pPr>
        <w:pStyle w:val="EndNoteBibliography"/>
        <w:spacing w:after="0"/>
        <w:ind w:left="720" w:hanging="720"/>
      </w:pPr>
      <w:bookmarkStart w:id="405" w:name="_ENREF_5"/>
      <w:r w:rsidRPr="00950097">
        <w:t xml:space="preserve">Aguzzi, J., Maynou, F., Company, J. B., Rotllant, G. &amp; Sardà, F. (2004b) The dimensional units of </w:t>
      </w:r>
      <w:r w:rsidRPr="00950097">
        <w:rPr>
          <w:i/>
        </w:rPr>
        <w:t xml:space="preserve">Nephrops norvegicus </w:t>
      </w:r>
      <w:r w:rsidRPr="00950097">
        <w:t xml:space="preserve">(L.) distribution: from burrows to populations. </w:t>
      </w:r>
      <w:r w:rsidRPr="00950097">
        <w:rPr>
          <w:i/>
        </w:rPr>
        <w:t>Biogeographia – The Journal of Integrative Biogeography,</w:t>
      </w:r>
      <w:r w:rsidRPr="00950097">
        <w:t xml:space="preserve"> 25. 10.21426/b6110087.</w:t>
      </w:r>
      <w:bookmarkEnd w:id="405"/>
    </w:p>
    <w:p w14:paraId="6E6CC739" w14:textId="77777777" w:rsidR="00950097" w:rsidRPr="00950097" w:rsidRDefault="00950097" w:rsidP="00950097">
      <w:pPr>
        <w:pStyle w:val="EndNoteBibliography"/>
        <w:spacing w:after="0"/>
        <w:ind w:left="720" w:hanging="720"/>
      </w:pPr>
      <w:bookmarkStart w:id="406" w:name="_ENREF_6"/>
      <w:r w:rsidRPr="00950097">
        <w:t xml:space="preserve">Aguzzi, J. &amp; Sardà, F. (2008) A history of recent advancements on </w:t>
      </w:r>
      <w:r w:rsidRPr="00950097">
        <w:rPr>
          <w:i/>
        </w:rPr>
        <w:t>Nephrops norvegicus</w:t>
      </w:r>
      <w:r w:rsidRPr="00950097">
        <w:t xml:space="preserve"> behavioral and physiological rhythms. </w:t>
      </w:r>
      <w:r w:rsidRPr="00950097">
        <w:rPr>
          <w:i/>
        </w:rPr>
        <w:t>Reviews in Fish Biology and Fisheries,</w:t>
      </w:r>
      <w:r w:rsidRPr="00950097">
        <w:t xml:space="preserve"> 18(2)</w:t>
      </w:r>
      <w:r w:rsidRPr="00950097">
        <w:rPr>
          <w:b/>
        </w:rPr>
        <w:t>,</w:t>
      </w:r>
      <w:r w:rsidRPr="00950097">
        <w:t xml:space="preserve"> 235-248. 10.1007/s11160-007-9071-9.</w:t>
      </w:r>
      <w:bookmarkEnd w:id="406"/>
    </w:p>
    <w:p w14:paraId="337D7157" w14:textId="77777777" w:rsidR="00950097" w:rsidRPr="00950097" w:rsidRDefault="00950097" w:rsidP="00950097">
      <w:pPr>
        <w:pStyle w:val="EndNoteBibliography"/>
        <w:spacing w:after="0"/>
        <w:ind w:left="720" w:hanging="720"/>
      </w:pPr>
      <w:bookmarkStart w:id="407" w:name="_ENREF_7"/>
      <w:r w:rsidRPr="00950097">
        <w:t xml:space="preserve">Aguzzi, J., Violino, S., Costa, C., Bahamon, N., Navarro, J., Chatzievangelou, D., Robinson, N. J., Doyle, J., Martinelli, M., Lordan, C. &amp; Company, J. B. (2023) Established and emerging research trends in Norway lobster, </w:t>
      </w:r>
      <w:r w:rsidRPr="00950097">
        <w:rPr>
          <w:i/>
        </w:rPr>
        <w:t>Nephrops norvegicus</w:t>
      </w:r>
      <w:r w:rsidRPr="00950097">
        <w:t xml:space="preserve">. </w:t>
      </w:r>
      <w:r w:rsidRPr="00950097">
        <w:rPr>
          <w:i/>
        </w:rPr>
        <w:t>Biology,</w:t>
      </w:r>
      <w:r w:rsidRPr="00950097">
        <w:t xml:space="preserve"> 12(2). 10.3390/biology12020225.</w:t>
      </w:r>
      <w:bookmarkEnd w:id="407"/>
    </w:p>
    <w:p w14:paraId="69ECB3D5" w14:textId="77777777" w:rsidR="00950097" w:rsidRPr="00950097" w:rsidRDefault="00950097" w:rsidP="00950097">
      <w:pPr>
        <w:pStyle w:val="EndNoteBibliography"/>
        <w:spacing w:after="0"/>
        <w:ind w:left="720" w:hanging="720"/>
      </w:pPr>
      <w:bookmarkStart w:id="408" w:name="_ENREF_8"/>
      <w:r w:rsidRPr="00950097">
        <w:t xml:space="preserve">Ahmmed, M. K., Bhowmik, S., Giteru, S. G., Zilani, M. N. H., Adadi, P., Islam, S. S., Kanwugu, O. N., Haq, M., Ahmmed, F., Ng, C. C. W., Chan, Y. S., Asadujjaman, M., Chan, G. H. H., Naude, R., Bekhit, A. E. D. A., Ng, T. B. &amp; Wong, J. H. (2022) An update of lectins from marine organisms: Characterization, extraction methodology, and potential biofunctional applications. </w:t>
      </w:r>
      <w:r w:rsidRPr="00950097">
        <w:rPr>
          <w:i/>
        </w:rPr>
        <w:t>Marine Drugs,</w:t>
      </w:r>
      <w:r w:rsidRPr="00950097">
        <w:t xml:space="preserve"> 20(7). 10.3390/MD20070430.</w:t>
      </w:r>
      <w:bookmarkEnd w:id="408"/>
    </w:p>
    <w:p w14:paraId="44E7CAB4" w14:textId="77777777" w:rsidR="00950097" w:rsidRPr="00950097" w:rsidRDefault="00950097" w:rsidP="00950097">
      <w:pPr>
        <w:pStyle w:val="EndNoteBibliography"/>
        <w:spacing w:after="0"/>
        <w:ind w:left="720" w:hanging="720"/>
      </w:pPr>
      <w:bookmarkStart w:id="409" w:name="_ENREF_9"/>
      <w:r w:rsidRPr="00950097">
        <w:t xml:space="preserve">Al Bander, Z., Nitert, M. D., Mousa, A. &amp; Naderpoor, N. (2020) The gut microbiota and inflammation: an overview. </w:t>
      </w:r>
      <w:r w:rsidRPr="00950097">
        <w:rPr>
          <w:i/>
        </w:rPr>
        <w:t>International Journal of Environmental Research and Public Health,</w:t>
      </w:r>
      <w:r w:rsidRPr="00950097">
        <w:t xml:space="preserve"> 17(20)</w:t>
      </w:r>
      <w:r w:rsidRPr="00950097">
        <w:rPr>
          <w:b/>
        </w:rPr>
        <w:t>,</w:t>
      </w:r>
      <w:r w:rsidRPr="00950097">
        <w:t xml:space="preserve"> 7618. 10.3390/ijerph17207618.</w:t>
      </w:r>
      <w:bookmarkEnd w:id="409"/>
    </w:p>
    <w:p w14:paraId="2BD36F5E" w14:textId="77777777" w:rsidR="00950097" w:rsidRPr="00950097" w:rsidRDefault="00950097" w:rsidP="00950097">
      <w:pPr>
        <w:pStyle w:val="EndNoteBibliography"/>
        <w:spacing w:after="0"/>
        <w:ind w:left="720" w:hanging="720"/>
      </w:pPr>
      <w:bookmarkStart w:id="410" w:name="_ENREF_10"/>
      <w:r w:rsidRPr="00950097">
        <w:t xml:space="preserve">Albalat, A., Gornik, S. G., Beevers, N. D., Atkinson, R. J. A., Miskin, D. &amp; Neil, D. M. (2012) </w:t>
      </w:r>
      <w:r w:rsidRPr="00950097">
        <w:rPr>
          <w:i/>
        </w:rPr>
        <w:t>Hematodinium</w:t>
      </w:r>
      <w:r w:rsidRPr="00950097">
        <w:t xml:space="preserve"> sp. infection in Norway lobster </w:t>
      </w:r>
      <w:r w:rsidRPr="00950097">
        <w:rPr>
          <w:i/>
        </w:rPr>
        <w:t xml:space="preserve">Nephrops norvegicus </w:t>
      </w:r>
      <w:r w:rsidRPr="00950097">
        <w:t xml:space="preserve">and its effects on meat quality. </w:t>
      </w:r>
      <w:r w:rsidRPr="00950097">
        <w:rPr>
          <w:i/>
        </w:rPr>
        <w:t>Diseases of Aquatic Organisms,</w:t>
      </w:r>
      <w:r w:rsidRPr="00950097">
        <w:t xml:space="preserve"> 100(2)</w:t>
      </w:r>
      <w:r w:rsidRPr="00950097">
        <w:rPr>
          <w:b/>
        </w:rPr>
        <w:t>,</w:t>
      </w:r>
      <w:r w:rsidRPr="00950097">
        <w:t xml:space="preserve"> 105-112. 10.3354/dao02500.</w:t>
      </w:r>
      <w:bookmarkEnd w:id="410"/>
    </w:p>
    <w:p w14:paraId="01104255" w14:textId="77777777" w:rsidR="00950097" w:rsidRPr="00950097" w:rsidRDefault="00950097" w:rsidP="00950097">
      <w:pPr>
        <w:pStyle w:val="EndNoteBibliography"/>
        <w:spacing w:after="0"/>
        <w:ind w:left="720" w:hanging="720"/>
      </w:pPr>
      <w:bookmarkStart w:id="411" w:name="_ENREF_11"/>
      <w:r w:rsidRPr="00950097">
        <w:t>Albalat, A., Nadler, L., Foo, N., Dick, J., Watts, A., Philp, H., Neil, D. &amp; Monroig, O. (2016) Lipid composition of oil extracted from wasted Norway lobster (</w:t>
      </w:r>
      <w:r w:rsidRPr="00950097">
        <w:rPr>
          <w:i/>
        </w:rPr>
        <w:t>Nephrops norvegicus</w:t>
      </w:r>
      <w:r w:rsidRPr="00950097">
        <w:t>) heads and comparison with oil extracted from Antarctic krill (</w:t>
      </w:r>
      <w:r w:rsidRPr="00950097">
        <w:rPr>
          <w:i/>
        </w:rPr>
        <w:t>Euphasia superba</w:t>
      </w:r>
      <w:r w:rsidRPr="00950097">
        <w:t xml:space="preserve">). </w:t>
      </w:r>
      <w:r w:rsidRPr="00950097">
        <w:rPr>
          <w:i/>
        </w:rPr>
        <w:t>Marine Drugs,</w:t>
      </w:r>
      <w:r w:rsidRPr="00950097">
        <w:t xml:space="preserve"> 14(12)</w:t>
      </w:r>
      <w:r w:rsidRPr="00950097">
        <w:rPr>
          <w:b/>
        </w:rPr>
        <w:t>,</w:t>
      </w:r>
      <w:r w:rsidRPr="00950097">
        <w:t xml:space="preserve"> 219-219. 10.3390/md14120219.</w:t>
      </w:r>
      <w:bookmarkEnd w:id="411"/>
    </w:p>
    <w:p w14:paraId="4A3196CC" w14:textId="77777777" w:rsidR="00950097" w:rsidRPr="00950097" w:rsidRDefault="00950097" w:rsidP="00950097">
      <w:pPr>
        <w:pStyle w:val="EndNoteBibliography"/>
        <w:spacing w:after="0"/>
        <w:ind w:left="720" w:hanging="720"/>
      </w:pPr>
      <w:bookmarkStart w:id="412" w:name="_ENREF_12"/>
      <w:r w:rsidRPr="00950097">
        <w:t>Albalat, A., Sinclair, S. &amp; Neil, D. (2017) Validation of a vigour index for trawl-caught Norway lobsters (</w:t>
      </w:r>
      <w:r w:rsidRPr="00950097">
        <w:rPr>
          <w:i/>
        </w:rPr>
        <w:t>Nephrops norvegicus</w:t>
      </w:r>
      <w:r w:rsidRPr="00950097">
        <w:t xml:space="preserve">) destined for the live market: underlying links to both physiological condition and survivability. </w:t>
      </w:r>
      <w:r w:rsidRPr="00950097">
        <w:rPr>
          <w:i/>
        </w:rPr>
        <w:t>Fisheries Research,</w:t>
      </w:r>
      <w:r w:rsidRPr="00950097">
        <w:t xml:space="preserve"> 191</w:t>
      </w:r>
      <w:r w:rsidRPr="00950097">
        <w:rPr>
          <w:b/>
        </w:rPr>
        <w:t>,</w:t>
      </w:r>
      <w:r w:rsidRPr="00950097">
        <w:t xml:space="preserve"> 25-29. 10.1016/J.FISHRES.2017.02.016.</w:t>
      </w:r>
      <w:bookmarkEnd w:id="412"/>
    </w:p>
    <w:p w14:paraId="6CFE5A78" w14:textId="77777777" w:rsidR="00950097" w:rsidRPr="00950097" w:rsidRDefault="00950097" w:rsidP="00950097">
      <w:pPr>
        <w:pStyle w:val="EndNoteBibliography"/>
        <w:spacing w:after="0"/>
        <w:ind w:left="720" w:hanging="720"/>
      </w:pPr>
      <w:bookmarkStart w:id="413" w:name="_ENREF_13"/>
      <w:r w:rsidRPr="00950097">
        <w:t xml:space="preserve">Alimin, A. W. F., Yusoff, N. A. H., Kadriah, I. A. K., Anshary, H., Abdullah, F., Jabir, N., Susianingsih, E. &amp; Hassan, M. (2023) Parasitic dinoflagellate </w:t>
      </w:r>
      <w:r w:rsidRPr="00950097">
        <w:rPr>
          <w:i/>
        </w:rPr>
        <w:t>Hematodinium</w:t>
      </w:r>
      <w:r w:rsidRPr="00950097">
        <w:t xml:space="preserve"> in marine decapod crustaceans: a review on current knowledge and future perspectives. </w:t>
      </w:r>
      <w:r w:rsidRPr="00950097">
        <w:rPr>
          <w:i/>
        </w:rPr>
        <w:t>Parasitology Research,</w:t>
      </w:r>
      <w:r w:rsidRPr="00950097">
        <w:t xml:space="preserve"> 123(1)</w:t>
      </w:r>
      <w:r w:rsidRPr="00950097">
        <w:rPr>
          <w:b/>
        </w:rPr>
        <w:t>,</w:t>
      </w:r>
      <w:r w:rsidRPr="00950097">
        <w:t xml:space="preserve"> 49. 10.1007/s00436-023-08067-z.</w:t>
      </w:r>
      <w:bookmarkEnd w:id="413"/>
    </w:p>
    <w:p w14:paraId="2E9D3096" w14:textId="77777777" w:rsidR="00950097" w:rsidRPr="00950097" w:rsidRDefault="00950097" w:rsidP="00950097">
      <w:pPr>
        <w:pStyle w:val="EndNoteBibliography"/>
        <w:spacing w:after="0"/>
        <w:ind w:left="720" w:hanging="720"/>
      </w:pPr>
      <w:bookmarkStart w:id="414" w:name="_ENREF_14"/>
      <w:r w:rsidRPr="00950097">
        <w:t xml:space="preserve">Alimin, A. W. F., Yusoff, N. A. H., Kadriah, I. A. K., Atmomarsono, M., Parenrengi, A., Nurhidayah, N., Susianingsih, E. &amp; Hassan, M. (2024) Hemolymph as a biomarker to access the health of decapod crustaceans: a review. </w:t>
      </w:r>
      <w:r w:rsidRPr="00950097">
        <w:rPr>
          <w:i/>
        </w:rPr>
        <w:t>International Aquatic Research,</w:t>
      </w:r>
      <w:r w:rsidRPr="00950097">
        <w:t xml:space="preserve"> 16(4)</w:t>
      </w:r>
      <w:r w:rsidRPr="00950097">
        <w:rPr>
          <w:b/>
        </w:rPr>
        <w:t>,</w:t>
      </w:r>
      <w:r w:rsidRPr="00950097">
        <w:t xml:space="preserve"> 327-342. 10.22034/iar.2024.2008915.1736.</w:t>
      </w:r>
      <w:bookmarkEnd w:id="414"/>
    </w:p>
    <w:p w14:paraId="280BA78A" w14:textId="77777777" w:rsidR="00950097" w:rsidRPr="00950097" w:rsidRDefault="00950097" w:rsidP="00950097">
      <w:pPr>
        <w:pStyle w:val="EndNoteBibliography"/>
        <w:spacing w:after="0"/>
        <w:ind w:left="720" w:hanging="720"/>
      </w:pPr>
      <w:bookmarkStart w:id="415" w:name="_ENREF_15"/>
      <w:r w:rsidRPr="00950097">
        <w:t xml:space="preserve">Andersen, K. S., Kirkegaard, R. H., Karst, S. M. &amp; Albertsen, M. (2018) ampvis2: an R package to analyse and visualise 16S rRNA amplicon data. </w:t>
      </w:r>
      <w:r w:rsidRPr="00950097">
        <w:rPr>
          <w:i/>
        </w:rPr>
        <w:t>bioRxiv</w:t>
      </w:r>
      <w:r w:rsidRPr="00950097">
        <w:rPr>
          <w:b/>
        </w:rPr>
        <w:t>,</w:t>
      </w:r>
      <w:r w:rsidRPr="00950097">
        <w:t xml:space="preserve"> 299537-299537. 10.1101/299537.</w:t>
      </w:r>
      <w:bookmarkEnd w:id="415"/>
    </w:p>
    <w:p w14:paraId="7B4F2F8E" w14:textId="77777777" w:rsidR="00950097" w:rsidRPr="00950097" w:rsidRDefault="00950097" w:rsidP="00950097">
      <w:pPr>
        <w:pStyle w:val="EndNoteBibliography"/>
        <w:spacing w:after="0"/>
        <w:ind w:left="720" w:hanging="720"/>
      </w:pPr>
      <w:bookmarkStart w:id="416" w:name="_ENREF_16"/>
      <w:r w:rsidRPr="00950097">
        <w:t xml:space="preserve">Appleton, P. L. (1996) </w:t>
      </w:r>
      <w:r w:rsidRPr="00950097">
        <w:rPr>
          <w:i/>
        </w:rPr>
        <w:t>Investigations on the cytology and life cycle of the parasitic dinoflagellate parasite Hematodinium sp. associated with mortality of Nephrops norvegicus.</w:t>
      </w:r>
      <w:r w:rsidRPr="00950097">
        <w:t xml:space="preserve"> PhD thesis  University of Glasgow.</w:t>
      </w:r>
      <w:bookmarkEnd w:id="416"/>
    </w:p>
    <w:p w14:paraId="08345360" w14:textId="77777777" w:rsidR="00950097" w:rsidRPr="00950097" w:rsidRDefault="00950097" w:rsidP="00950097">
      <w:pPr>
        <w:pStyle w:val="EndNoteBibliography"/>
        <w:spacing w:after="0"/>
        <w:ind w:left="720" w:hanging="720"/>
      </w:pPr>
      <w:bookmarkStart w:id="417" w:name="_ENREF_17"/>
      <w:r w:rsidRPr="00950097">
        <w:t xml:space="preserve">Appleton, P. L. &amp; Vickerman, K. (1996) Presence of apicomplexan-type micropores in a parasitic dinoflagellate, </w:t>
      </w:r>
      <w:r w:rsidRPr="00950097">
        <w:rPr>
          <w:i/>
        </w:rPr>
        <w:t>Hematodinium</w:t>
      </w:r>
      <w:r w:rsidRPr="00950097">
        <w:t xml:space="preserve"> sp. </w:t>
      </w:r>
      <w:r w:rsidRPr="00950097">
        <w:rPr>
          <w:i/>
        </w:rPr>
        <w:t>Parasitology Research,</w:t>
      </w:r>
      <w:r w:rsidRPr="00950097">
        <w:t xml:space="preserve"> 82(3)</w:t>
      </w:r>
      <w:r w:rsidRPr="00950097">
        <w:rPr>
          <w:b/>
        </w:rPr>
        <w:t>,</w:t>
      </w:r>
      <w:r w:rsidRPr="00950097">
        <w:t xml:space="preserve"> 279-282. 10.1007/s004360050113.</w:t>
      </w:r>
      <w:bookmarkEnd w:id="417"/>
    </w:p>
    <w:p w14:paraId="059010F2" w14:textId="77777777" w:rsidR="00950097" w:rsidRPr="00950097" w:rsidRDefault="00950097" w:rsidP="00950097">
      <w:pPr>
        <w:pStyle w:val="EndNoteBibliography"/>
        <w:spacing w:after="0"/>
        <w:ind w:left="720" w:hanging="720"/>
      </w:pPr>
      <w:bookmarkStart w:id="418" w:name="_ENREF_18"/>
      <w:r w:rsidRPr="00950097">
        <w:t xml:space="preserve">Appleton, P. L. &amp; Vickerman, K. (1998) </w:t>
      </w:r>
      <w:r w:rsidRPr="00950097">
        <w:rPr>
          <w:i/>
        </w:rPr>
        <w:t xml:space="preserve">In vitro </w:t>
      </w:r>
      <w:r w:rsidRPr="00950097">
        <w:t>cultivation and developmental cycle in culture of a parasitic dinoflagellate (</w:t>
      </w:r>
      <w:r w:rsidRPr="00950097">
        <w:rPr>
          <w:i/>
        </w:rPr>
        <w:t>Hematodinium</w:t>
      </w:r>
      <w:r w:rsidRPr="00950097">
        <w:t xml:space="preserve"> sp.) associated with mortality of the Norway lobster (</w:t>
      </w:r>
      <w:r w:rsidRPr="00950097">
        <w:rPr>
          <w:i/>
        </w:rPr>
        <w:t>Nephrops norvegicus</w:t>
      </w:r>
      <w:r w:rsidRPr="00950097">
        <w:t xml:space="preserve">) in British waters. </w:t>
      </w:r>
      <w:r w:rsidRPr="00950097">
        <w:rPr>
          <w:i/>
        </w:rPr>
        <w:t>Parasitology,</w:t>
      </w:r>
      <w:r w:rsidRPr="00950097">
        <w:t xml:space="preserve"> 116(2)</w:t>
      </w:r>
      <w:r w:rsidRPr="00950097">
        <w:rPr>
          <w:b/>
        </w:rPr>
        <w:t>,</w:t>
      </w:r>
      <w:r w:rsidRPr="00950097">
        <w:t xml:space="preserve"> 115-130. 10.1017/S0031182097002096.</w:t>
      </w:r>
      <w:bookmarkEnd w:id="418"/>
    </w:p>
    <w:p w14:paraId="0A0E8348" w14:textId="77777777" w:rsidR="00950097" w:rsidRPr="00950097" w:rsidRDefault="00950097" w:rsidP="00950097">
      <w:pPr>
        <w:pStyle w:val="EndNoteBibliography"/>
        <w:spacing w:after="0"/>
        <w:ind w:left="720" w:hanging="720"/>
      </w:pPr>
      <w:bookmarkStart w:id="419" w:name="_ENREF_19"/>
      <w:r w:rsidRPr="00950097">
        <w:t xml:space="preserve">Arai, H., Shomura, Y., Higuchi, Y. &amp; Ishii, M. (2018) Complete genome sequence of a moderately thermophilic facultative chemolithoautotrophic hydrogen-oxidizing bacterium, </w:t>
      </w:r>
      <w:r w:rsidRPr="00950097">
        <w:rPr>
          <w:i/>
        </w:rPr>
        <w:t>Hydrogenophilus thermoluteolus</w:t>
      </w:r>
      <w:r w:rsidRPr="00950097">
        <w:t xml:space="preserve"> TH-1. </w:t>
      </w:r>
      <w:r w:rsidRPr="00950097">
        <w:rPr>
          <w:i/>
        </w:rPr>
        <w:t>Microbiology Resource Announcements,</w:t>
      </w:r>
      <w:r w:rsidRPr="00950097">
        <w:t xml:space="preserve"> 7(6). 10.1128/MRA.00857-18.</w:t>
      </w:r>
      <w:bookmarkEnd w:id="419"/>
    </w:p>
    <w:p w14:paraId="6DF01590" w14:textId="77777777" w:rsidR="00950097" w:rsidRPr="00950097" w:rsidRDefault="00950097" w:rsidP="00950097">
      <w:pPr>
        <w:pStyle w:val="EndNoteBibliography"/>
        <w:spacing w:after="0"/>
        <w:ind w:left="720" w:hanging="720"/>
      </w:pPr>
      <w:bookmarkStart w:id="420" w:name="_ENREF_20"/>
      <w:r w:rsidRPr="00950097">
        <w:t xml:space="preserve">Aranda, M., Li, Y., Liew, Y. J., Baumgarten, S., Simakov, O., Wilson, M. C., Piel, J., Ashoor, H., Bougouffa, S., Bajic, V. B., Ryu, T., Ravasi, T., Bayer, T., Micklem, G., Kim, H., Bhak, J., Lajeunesse, T. C. &amp; Voolstra, C. R. (2016) Genomes of coral dinoflagellate symbionts highlight evolutionary adaptations conducive to a symbiotic lifestyle. </w:t>
      </w:r>
      <w:r w:rsidRPr="00950097">
        <w:rPr>
          <w:i/>
        </w:rPr>
        <w:t>Scientific Reports,</w:t>
      </w:r>
      <w:r w:rsidRPr="00950097">
        <w:t xml:space="preserve"> 6(1)</w:t>
      </w:r>
      <w:r w:rsidRPr="00950097">
        <w:rPr>
          <w:b/>
        </w:rPr>
        <w:t>,</w:t>
      </w:r>
      <w:r w:rsidRPr="00950097">
        <w:t xml:space="preserve"> 39734. 10.1038/srep39734.</w:t>
      </w:r>
      <w:bookmarkEnd w:id="420"/>
    </w:p>
    <w:p w14:paraId="53CF6487" w14:textId="77777777" w:rsidR="00950097" w:rsidRPr="00950097" w:rsidRDefault="00950097" w:rsidP="00950097">
      <w:pPr>
        <w:pStyle w:val="EndNoteBibliography"/>
        <w:spacing w:after="0"/>
        <w:ind w:left="720" w:hanging="720"/>
      </w:pPr>
      <w:bookmarkStart w:id="421" w:name="_ENREF_21"/>
      <w:r w:rsidRPr="00950097">
        <w:t xml:space="preserve">Atkinson, R. J. A. (1974) Spatial distribution of </w:t>
      </w:r>
      <w:r w:rsidRPr="00950097">
        <w:rPr>
          <w:i/>
        </w:rPr>
        <w:t xml:space="preserve">Nephrops </w:t>
      </w:r>
      <w:r w:rsidRPr="00950097">
        <w:t xml:space="preserve">burrows. </w:t>
      </w:r>
      <w:r w:rsidRPr="00950097">
        <w:rPr>
          <w:i/>
        </w:rPr>
        <w:t>Estuarine and Coastal Marine Science,</w:t>
      </w:r>
      <w:r w:rsidRPr="00950097">
        <w:t xml:space="preserve"> 2(2)</w:t>
      </w:r>
      <w:r w:rsidRPr="00950097">
        <w:rPr>
          <w:b/>
        </w:rPr>
        <w:t>,</w:t>
      </w:r>
      <w:r w:rsidRPr="00950097">
        <w:t xml:space="preserve"> 171-176. 10.1016/0302-3524(74)90038-3.</w:t>
      </w:r>
      <w:bookmarkEnd w:id="421"/>
    </w:p>
    <w:p w14:paraId="4C0C7B9F" w14:textId="77777777" w:rsidR="00950097" w:rsidRPr="00950097" w:rsidRDefault="00950097" w:rsidP="00950097">
      <w:pPr>
        <w:pStyle w:val="EndNoteBibliography"/>
        <w:spacing w:after="0"/>
        <w:ind w:left="720" w:hanging="720"/>
      </w:pPr>
      <w:bookmarkStart w:id="422" w:name="_ENREF_22"/>
      <w:r w:rsidRPr="00950097">
        <w:t xml:space="preserve">Bailey, N. &amp; Chapman, C. J. (1983) A comparison of density, length composition and growth of two </w:t>
      </w:r>
      <w:r w:rsidRPr="00950097">
        <w:rPr>
          <w:i/>
        </w:rPr>
        <w:t>Nephrops</w:t>
      </w:r>
      <w:r w:rsidRPr="00950097">
        <w:t xml:space="preserve"> populations off the West coast of Scotland. </w:t>
      </w:r>
      <w:r w:rsidRPr="00950097">
        <w:rPr>
          <w:i/>
        </w:rPr>
        <w:t>ICES Journal of Marine Science,</w:t>
      </w:r>
      <w:r w:rsidRPr="00950097">
        <w:t xml:space="preserve"> CM K:42.</w:t>
      </w:r>
      <w:bookmarkEnd w:id="422"/>
    </w:p>
    <w:p w14:paraId="5ABDB73B" w14:textId="77777777" w:rsidR="00950097" w:rsidRPr="00950097" w:rsidRDefault="00950097" w:rsidP="00950097">
      <w:pPr>
        <w:pStyle w:val="EndNoteBibliography"/>
        <w:spacing w:after="0"/>
        <w:ind w:left="720" w:hanging="720"/>
      </w:pPr>
      <w:bookmarkStart w:id="423" w:name="_ENREF_23"/>
      <w:r w:rsidRPr="00950097">
        <w:t xml:space="preserve">Bär, A. K., Phukan, N., Pinheiro, J. &amp; Simoes-Barbosa, A. (2015) The interplay of host microbiota and parasitic protozoans at mucosal interfaces: implications for the outcomes of infections and diseases. </w:t>
      </w:r>
      <w:r w:rsidRPr="00950097">
        <w:rPr>
          <w:i/>
        </w:rPr>
        <w:t>PLOS Neglected Tropical Disease,</w:t>
      </w:r>
      <w:r w:rsidRPr="00950097">
        <w:t xml:space="preserve"> 9(12)</w:t>
      </w:r>
      <w:r w:rsidRPr="00950097">
        <w:rPr>
          <w:b/>
        </w:rPr>
        <w:t>,</w:t>
      </w:r>
      <w:r w:rsidRPr="00950097">
        <w:t xml:space="preserve"> e0004176. 10.1371/journal.pntd.0004176.</w:t>
      </w:r>
      <w:bookmarkEnd w:id="423"/>
    </w:p>
    <w:p w14:paraId="29BAE9FD" w14:textId="77777777" w:rsidR="00950097" w:rsidRPr="00950097" w:rsidRDefault="00950097" w:rsidP="00950097">
      <w:pPr>
        <w:pStyle w:val="EndNoteBibliography"/>
        <w:spacing w:after="0"/>
        <w:ind w:left="720" w:hanging="720"/>
      </w:pPr>
      <w:bookmarkStart w:id="424" w:name="_ENREF_24"/>
      <w:r w:rsidRPr="00950097">
        <w:t xml:space="preserve">Bass, D., Stentiford, G. D., Wang, H. C., Koskella, B. &amp; Tyler, C. R. (2019) The pathobiome in animal and plant diseases. </w:t>
      </w:r>
      <w:r w:rsidRPr="00950097">
        <w:rPr>
          <w:i/>
        </w:rPr>
        <w:t>Trends in Ecology and Evolution,</w:t>
      </w:r>
      <w:r w:rsidRPr="00950097">
        <w:t xml:space="preserve"> 34(11)</w:t>
      </w:r>
      <w:r w:rsidRPr="00950097">
        <w:rPr>
          <w:b/>
        </w:rPr>
        <w:t>,</w:t>
      </w:r>
      <w:r w:rsidRPr="00950097">
        <w:t xml:space="preserve"> 996-1008. 10.1016/j.tree.2019.07.012.</w:t>
      </w:r>
      <w:bookmarkEnd w:id="424"/>
    </w:p>
    <w:p w14:paraId="6B78B345" w14:textId="77777777" w:rsidR="00950097" w:rsidRPr="00950097" w:rsidRDefault="00950097" w:rsidP="00950097">
      <w:pPr>
        <w:pStyle w:val="EndNoteBibliography"/>
        <w:spacing w:after="0"/>
        <w:ind w:left="720" w:hanging="720"/>
      </w:pPr>
      <w:bookmarkStart w:id="425" w:name="_ENREF_25"/>
      <w:r w:rsidRPr="00950097">
        <w:t xml:space="preserve">Bates, D., Mächler, M., Bolker, B. M. &amp; Walker, S. C. (2015) Fitting linear mixed-effects models using lme4. </w:t>
      </w:r>
      <w:r w:rsidRPr="00950097">
        <w:rPr>
          <w:i/>
        </w:rPr>
        <w:t>Journal of Statistical Software,</w:t>
      </w:r>
      <w:r w:rsidRPr="00950097">
        <w:t xml:space="preserve"> 67(1)</w:t>
      </w:r>
      <w:r w:rsidRPr="00950097">
        <w:rPr>
          <w:b/>
        </w:rPr>
        <w:t>,</w:t>
      </w:r>
      <w:r w:rsidRPr="00950097">
        <w:t xml:space="preserve"> 1-48. 10.18637/JSS.V067.I01.</w:t>
      </w:r>
      <w:bookmarkEnd w:id="425"/>
    </w:p>
    <w:p w14:paraId="29679790" w14:textId="77777777" w:rsidR="00950097" w:rsidRPr="00950097" w:rsidRDefault="00950097" w:rsidP="00950097">
      <w:pPr>
        <w:pStyle w:val="EndNoteBibliography"/>
        <w:spacing w:after="0"/>
        <w:ind w:left="720" w:hanging="720"/>
      </w:pPr>
      <w:bookmarkStart w:id="426" w:name="_ENREF_26"/>
      <w:r w:rsidRPr="00950097">
        <w:t>Becker, C., Cunningham, E. M., Dick, J. T. A. A., Eagling, L. E. &amp; Sigwart, J. D. (2018) A unified scale for female reproductive stages in the Norway lobster (</w:t>
      </w:r>
      <w:r w:rsidRPr="00950097">
        <w:rPr>
          <w:i/>
        </w:rPr>
        <w:t>Nephrops norvegicus</w:t>
      </w:r>
      <w:r w:rsidRPr="00950097">
        <w:t xml:space="preserve">): Evidence from macroscopic and microscopic characterization. </w:t>
      </w:r>
      <w:r w:rsidRPr="00950097">
        <w:rPr>
          <w:i/>
        </w:rPr>
        <w:t>Journal of Morphology,</w:t>
      </w:r>
      <w:r w:rsidRPr="00950097">
        <w:t xml:space="preserve"> 279(12)</w:t>
      </w:r>
      <w:r w:rsidRPr="00950097">
        <w:rPr>
          <w:b/>
        </w:rPr>
        <w:t>,</w:t>
      </w:r>
      <w:r w:rsidRPr="00950097">
        <w:t xml:space="preserve"> 1700-1715. 10.1002/jmor.20852.</w:t>
      </w:r>
      <w:bookmarkEnd w:id="426"/>
    </w:p>
    <w:p w14:paraId="1C7416BB" w14:textId="77777777" w:rsidR="00950097" w:rsidRPr="00950097" w:rsidRDefault="00950097" w:rsidP="00950097">
      <w:pPr>
        <w:pStyle w:val="EndNoteBibliography"/>
        <w:spacing w:after="0"/>
        <w:ind w:left="720" w:hanging="720"/>
      </w:pPr>
      <w:bookmarkStart w:id="427" w:name="_ENREF_27"/>
      <w:r w:rsidRPr="00950097">
        <w:t>Becker, C., Dick, J. T. A. A., Mánus Cunningham, E., Lundy, M., Bell, E., Eagling, L. &amp; Sigwart, J. D. (2020) Ovary resorption in the Norway lobster (</w:t>
      </w:r>
      <w:r w:rsidRPr="00950097">
        <w:rPr>
          <w:i/>
        </w:rPr>
        <w:t>Nephrops norvegicus</w:t>
      </w:r>
      <w:r w:rsidRPr="00950097">
        <w:t xml:space="preserve">) and its possible causes with special reference to sperm storage. </w:t>
      </w:r>
      <w:r w:rsidRPr="00950097">
        <w:rPr>
          <w:i/>
        </w:rPr>
        <w:t>Helgoland Marine Research,</w:t>
      </w:r>
      <w:r w:rsidRPr="00950097">
        <w:t xml:space="preserve"> 74(1)</w:t>
      </w:r>
      <w:r w:rsidRPr="00950097">
        <w:rPr>
          <w:b/>
        </w:rPr>
        <w:t>,</w:t>
      </w:r>
      <w:r w:rsidRPr="00950097">
        <w:t xml:space="preserve"> 12-12. 10.1186/s10152-020-00543-8.</w:t>
      </w:r>
      <w:bookmarkEnd w:id="427"/>
    </w:p>
    <w:p w14:paraId="06DF6A88" w14:textId="77777777" w:rsidR="00950097" w:rsidRPr="00950097" w:rsidRDefault="00950097" w:rsidP="00950097">
      <w:pPr>
        <w:pStyle w:val="EndNoteBibliography"/>
        <w:spacing w:after="0"/>
        <w:ind w:left="720" w:hanging="720"/>
      </w:pPr>
      <w:bookmarkStart w:id="428" w:name="_ENREF_28"/>
      <w:r w:rsidRPr="00950097">
        <w:t xml:space="preserve">Beevers, N. D. (2010) </w:t>
      </w:r>
      <w:r w:rsidRPr="00950097">
        <w:rPr>
          <w:i/>
        </w:rPr>
        <w:t>Prevalence and life cycle studies on the parasitic dinoflagellate Hematodinium sp. from Nephrops norvegicus (L.).</w:t>
      </w:r>
      <w:r w:rsidRPr="00950097">
        <w:t xml:space="preserve"> PhD thesis  University of Glasgow.</w:t>
      </w:r>
      <w:bookmarkEnd w:id="428"/>
    </w:p>
    <w:p w14:paraId="4637B912" w14:textId="77777777" w:rsidR="00950097" w:rsidRPr="00950097" w:rsidRDefault="00950097" w:rsidP="00950097">
      <w:pPr>
        <w:pStyle w:val="EndNoteBibliography"/>
        <w:spacing w:after="0"/>
        <w:ind w:left="720" w:hanging="720"/>
      </w:pPr>
      <w:bookmarkStart w:id="429" w:name="_ENREF_29"/>
      <w:r w:rsidRPr="00950097">
        <w:t xml:space="preserve">Beevers, N. D., Kilbride, E., Atkinson, R. J. A. &amp; Neil, D. M. (2012) </w:t>
      </w:r>
      <w:r w:rsidRPr="00950097">
        <w:rPr>
          <w:i/>
        </w:rPr>
        <w:t>Hematodinium</w:t>
      </w:r>
      <w:r w:rsidRPr="00950097">
        <w:t xml:space="preserve"> infection seasonality in the Firth of Clyde (Scotland) </w:t>
      </w:r>
      <w:r w:rsidRPr="00950097">
        <w:rPr>
          <w:i/>
        </w:rPr>
        <w:t xml:space="preserve">Nephrops norvegicus </w:t>
      </w:r>
      <w:r w:rsidRPr="00950097">
        <w:t xml:space="preserve">population: a re-evaluation. </w:t>
      </w:r>
      <w:r w:rsidRPr="00950097">
        <w:rPr>
          <w:i/>
        </w:rPr>
        <w:t>Diseases of Aquatic Organisms,</w:t>
      </w:r>
      <w:r w:rsidRPr="00950097">
        <w:t xml:space="preserve"> 100(2)</w:t>
      </w:r>
      <w:r w:rsidRPr="00950097">
        <w:rPr>
          <w:b/>
        </w:rPr>
        <w:t>,</w:t>
      </w:r>
      <w:r w:rsidRPr="00950097">
        <w:t xml:space="preserve"> 95-104. 10.3354/dao02473.</w:t>
      </w:r>
      <w:bookmarkEnd w:id="429"/>
    </w:p>
    <w:p w14:paraId="0BD2CCEC" w14:textId="77777777" w:rsidR="00950097" w:rsidRPr="00950097" w:rsidRDefault="00950097" w:rsidP="00950097">
      <w:pPr>
        <w:pStyle w:val="EndNoteBibliography"/>
        <w:spacing w:after="0"/>
        <w:ind w:left="720" w:hanging="720"/>
      </w:pPr>
      <w:bookmarkStart w:id="430" w:name="_ENREF_30"/>
      <w:r w:rsidRPr="00950097">
        <w:t xml:space="preserve">Belkaid, Y. &amp; Timothy (2014) Role of the microbiota in immunity and inflammation. </w:t>
      </w:r>
      <w:r w:rsidRPr="00950097">
        <w:rPr>
          <w:i/>
        </w:rPr>
        <w:t>Cell,</w:t>
      </w:r>
      <w:r w:rsidRPr="00950097">
        <w:t xml:space="preserve"> 157(1)</w:t>
      </w:r>
      <w:r w:rsidRPr="00950097">
        <w:rPr>
          <w:b/>
        </w:rPr>
        <w:t>,</w:t>
      </w:r>
      <w:r w:rsidRPr="00950097">
        <w:t xml:space="preserve"> 121-141. 10.1016/j.cell.2014.03.011.</w:t>
      </w:r>
      <w:bookmarkEnd w:id="430"/>
    </w:p>
    <w:p w14:paraId="2CFAB841" w14:textId="77777777" w:rsidR="00950097" w:rsidRPr="00950097" w:rsidRDefault="00950097" w:rsidP="00950097">
      <w:pPr>
        <w:pStyle w:val="EndNoteBibliography"/>
        <w:spacing w:after="0"/>
        <w:ind w:left="720" w:hanging="720"/>
      </w:pPr>
      <w:bookmarkStart w:id="431" w:name="_ENREF_31"/>
      <w:r w:rsidRPr="00950097">
        <w:t xml:space="preserve">Bell, M., Tuck, I. D. &amp; Dobby, H. (2013) </w:t>
      </w:r>
      <w:r w:rsidRPr="00950097">
        <w:rPr>
          <w:i/>
        </w:rPr>
        <w:t>Nephrops</w:t>
      </w:r>
      <w:r w:rsidRPr="00950097">
        <w:t xml:space="preserve"> species. In:  </w:t>
      </w:r>
      <w:r w:rsidRPr="00950097">
        <w:rPr>
          <w:i/>
        </w:rPr>
        <w:t>Lobsters: biology, management, aquaculture and fisheries.</w:t>
      </w:r>
      <w:r w:rsidRPr="00950097">
        <w:t xml:space="preserve"> Oxford, UK: John Wiley &amp; Sons, Ltd.</w:t>
      </w:r>
      <w:bookmarkEnd w:id="431"/>
    </w:p>
    <w:p w14:paraId="026063D5" w14:textId="77777777" w:rsidR="00950097" w:rsidRPr="00950097" w:rsidRDefault="00950097" w:rsidP="00950097">
      <w:pPr>
        <w:pStyle w:val="EndNoteBibliography"/>
        <w:spacing w:after="0"/>
        <w:ind w:left="720" w:hanging="720"/>
      </w:pPr>
      <w:bookmarkStart w:id="432" w:name="_ENREF_32"/>
      <w:r w:rsidRPr="00950097">
        <w:t xml:space="preserve">Benjamini, Y. &amp; Hochberg, Y. (1995) Controlling the false discovery rate: a practical and powerful approach to multiple testing. </w:t>
      </w:r>
      <w:r w:rsidRPr="00950097">
        <w:rPr>
          <w:i/>
        </w:rPr>
        <w:t>Journal of the Royal Statistical Society: Series B (Methodological),</w:t>
      </w:r>
      <w:r w:rsidRPr="00950097">
        <w:t xml:space="preserve"> 57(1)</w:t>
      </w:r>
      <w:r w:rsidRPr="00950097">
        <w:rPr>
          <w:b/>
        </w:rPr>
        <w:t>,</w:t>
      </w:r>
      <w:r w:rsidRPr="00950097">
        <w:t xml:space="preserve"> 289-300. 10.1111/j.2517-6161.1995.tb02031.x.</w:t>
      </w:r>
      <w:bookmarkEnd w:id="432"/>
    </w:p>
    <w:p w14:paraId="4A67BD09" w14:textId="77777777" w:rsidR="00950097" w:rsidRPr="00950097" w:rsidRDefault="00950097" w:rsidP="00950097">
      <w:pPr>
        <w:pStyle w:val="EndNoteBibliography"/>
        <w:spacing w:after="0"/>
        <w:ind w:left="720" w:hanging="720"/>
      </w:pPr>
      <w:bookmarkStart w:id="433" w:name="_ENREF_33"/>
      <w:r w:rsidRPr="00950097">
        <w:t xml:space="preserve">Bergmann, M., Wieczorek, S. K., Moore, P. G. &amp; Atkinson, R. J. A. (2002) Discard composition of the Nephrops fishery in the Clyde Sea area, Scotland. </w:t>
      </w:r>
      <w:r w:rsidRPr="00950097">
        <w:rPr>
          <w:i/>
        </w:rPr>
        <w:t>Fisheries Research,</w:t>
      </w:r>
      <w:r w:rsidRPr="00950097">
        <w:t xml:space="preserve"> 57(2)</w:t>
      </w:r>
      <w:r w:rsidRPr="00950097">
        <w:rPr>
          <w:b/>
        </w:rPr>
        <w:t>,</w:t>
      </w:r>
      <w:r w:rsidRPr="00950097">
        <w:t xml:space="preserve"> 169-183. 10.1016/S0165-7836(01)00345-9.</w:t>
      </w:r>
      <w:bookmarkEnd w:id="433"/>
    </w:p>
    <w:p w14:paraId="130F4A15" w14:textId="77777777" w:rsidR="00950097" w:rsidRPr="00950097" w:rsidRDefault="00950097" w:rsidP="00950097">
      <w:pPr>
        <w:pStyle w:val="EndNoteBibliography"/>
        <w:spacing w:after="0"/>
        <w:ind w:left="720" w:hanging="720"/>
      </w:pPr>
      <w:bookmarkStart w:id="434" w:name="_ENREF_34"/>
      <w:r w:rsidRPr="00950097">
        <w:t xml:space="preserve">Briggs, R. P. &amp; McAliskey, M. (2002) The prevalence of </w:t>
      </w:r>
      <w:r w:rsidRPr="00950097">
        <w:rPr>
          <w:i/>
        </w:rPr>
        <w:t>Hematodinium</w:t>
      </w:r>
      <w:r w:rsidRPr="00950097">
        <w:t xml:space="preserve"> in </w:t>
      </w:r>
      <w:r w:rsidRPr="00950097">
        <w:rPr>
          <w:i/>
        </w:rPr>
        <w:t xml:space="preserve">Nephrops norvegicus </w:t>
      </w:r>
      <w:r w:rsidRPr="00950097">
        <w:t xml:space="preserve">from the western Irish Sea. </w:t>
      </w:r>
      <w:r w:rsidRPr="00950097">
        <w:rPr>
          <w:i/>
        </w:rPr>
        <w:t>Journal of the Marine Biological Association of the United Kingdom,</w:t>
      </w:r>
      <w:r w:rsidRPr="00950097">
        <w:t xml:space="preserve"> 82(3)</w:t>
      </w:r>
      <w:r w:rsidRPr="00950097">
        <w:rPr>
          <w:b/>
        </w:rPr>
        <w:t>,</w:t>
      </w:r>
      <w:r w:rsidRPr="00950097">
        <w:t xml:space="preserve"> 427-433. 10.1017/S0025315402005684.</w:t>
      </w:r>
      <w:bookmarkEnd w:id="434"/>
    </w:p>
    <w:p w14:paraId="03679B9C" w14:textId="77777777" w:rsidR="00950097" w:rsidRPr="00950097" w:rsidRDefault="00950097" w:rsidP="00950097">
      <w:pPr>
        <w:pStyle w:val="EndNoteBibliography"/>
        <w:spacing w:after="0"/>
        <w:ind w:left="720" w:hanging="720"/>
      </w:pPr>
      <w:bookmarkStart w:id="435" w:name="_ENREF_35"/>
      <w:r w:rsidRPr="00950097">
        <w:t xml:space="preserve">Butler, M. J., Tiggelaar, J. M., Shields, J. D. &amp; Butler, M. J. (2014) Effects of the parasitic dinoflagellate </w:t>
      </w:r>
      <w:r w:rsidRPr="00950097">
        <w:rPr>
          <w:i/>
        </w:rPr>
        <w:t xml:space="preserve">Hematodinium perezi </w:t>
      </w:r>
      <w:r w:rsidRPr="00950097">
        <w:t>on blue crab (</w:t>
      </w:r>
      <w:r w:rsidRPr="00950097">
        <w:rPr>
          <w:i/>
        </w:rPr>
        <w:t>Callinectes sapidus</w:t>
      </w:r>
      <w:r w:rsidRPr="00950097">
        <w:t xml:space="preserve">) behavior and predation. </w:t>
      </w:r>
      <w:r w:rsidRPr="00950097">
        <w:rPr>
          <w:i/>
        </w:rPr>
        <w:t>Journal of Experimental Marine Biology and Ecology,</w:t>
      </w:r>
      <w:r w:rsidRPr="00950097">
        <w:t xml:space="preserve"> 461</w:t>
      </w:r>
      <w:r w:rsidRPr="00950097">
        <w:rPr>
          <w:b/>
        </w:rPr>
        <w:t>,</w:t>
      </w:r>
      <w:r w:rsidRPr="00950097">
        <w:t xml:space="preserve"> 381-388. 10.1016/j.jembe.2014.09.008.</w:t>
      </w:r>
      <w:bookmarkEnd w:id="435"/>
    </w:p>
    <w:p w14:paraId="23771D40" w14:textId="77777777" w:rsidR="00950097" w:rsidRPr="00950097" w:rsidRDefault="00950097" w:rsidP="00950097">
      <w:pPr>
        <w:pStyle w:val="EndNoteBibliography"/>
        <w:spacing w:after="0"/>
        <w:ind w:left="720" w:hanging="720"/>
      </w:pPr>
      <w:bookmarkStart w:id="436" w:name="_ENREF_36"/>
      <w:r w:rsidRPr="00950097">
        <w:t xml:space="preserve">Byers, J. E. (2020) Effects of climate change on parasites and disease in estuarine and nearshore environments. </w:t>
      </w:r>
      <w:r w:rsidRPr="00950097">
        <w:rPr>
          <w:i/>
        </w:rPr>
        <w:t>PLOS Biology,</w:t>
      </w:r>
      <w:r w:rsidRPr="00950097">
        <w:t xml:space="preserve"> 18(11)</w:t>
      </w:r>
      <w:r w:rsidRPr="00950097">
        <w:rPr>
          <w:b/>
        </w:rPr>
        <w:t>,</w:t>
      </w:r>
      <w:r w:rsidRPr="00950097">
        <w:t xml:space="preserve"> e3000743. 10.1371/journal.pbio.3000743.</w:t>
      </w:r>
      <w:bookmarkEnd w:id="436"/>
    </w:p>
    <w:p w14:paraId="6560AC1D" w14:textId="77777777" w:rsidR="00950097" w:rsidRPr="00950097" w:rsidRDefault="00950097" w:rsidP="00950097">
      <w:pPr>
        <w:pStyle w:val="EndNoteBibliography"/>
        <w:spacing w:after="0"/>
        <w:ind w:left="720" w:hanging="720"/>
      </w:pPr>
      <w:bookmarkStart w:id="437" w:name="_ENREF_37"/>
      <w:r w:rsidRPr="00950097">
        <w:t xml:space="preserve">Byers, J. E. (2021) Marine parasites and disease in the era of global climate change. </w:t>
      </w:r>
      <w:r w:rsidRPr="00950097">
        <w:rPr>
          <w:i/>
        </w:rPr>
        <w:t>Annual Review of Marine Science,</w:t>
      </w:r>
      <w:r w:rsidRPr="00950097">
        <w:t xml:space="preserve"> 13</w:t>
      </w:r>
      <w:r w:rsidRPr="00950097">
        <w:rPr>
          <w:b/>
        </w:rPr>
        <w:t>,</w:t>
      </w:r>
      <w:r w:rsidRPr="00950097">
        <w:t xml:space="preserve"> 397-420. 10.1146/annurev-marine-031920-100429.</w:t>
      </w:r>
      <w:bookmarkEnd w:id="437"/>
    </w:p>
    <w:p w14:paraId="14E4B226" w14:textId="77777777" w:rsidR="00950097" w:rsidRPr="00950097" w:rsidRDefault="00950097" w:rsidP="00950097">
      <w:pPr>
        <w:pStyle w:val="EndNoteBibliography"/>
        <w:spacing w:after="0"/>
        <w:ind w:left="720" w:hanging="720"/>
      </w:pPr>
      <w:bookmarkStart w:id="438" w:name="_ENREF_38"/>
      <w:r w:rsidRPr="00950097">
        <w:t xml:space="preserve">Cachon, J. &amp; Cachon, M. (1987) Parasitic dinoflagellates. In: Taylor, F. J. R. (ed.) </w:t>
      </w:r>
      <w:r w:rsidRPr="00950097">
        <w:rPr>
          <w:i/>
        </w:rPr>
        <w:t>The Biology of Dinoflagellates: Botanical Monographs.</w:t>
      </w:r>
      <w:r w:rsidRPr="00950097">
        <w:t xml:space="preserve"> Oxford: Blackwell Scientific Publications.</w:t>
      </w:r>
      <w:bookmarkEnd w:id="438"/>
    </w:p>
    <w:p w14:paraId="387ED1AD" w14:textId="77777777" w:rsidR="00950097" w:rsidRPr="00950097" w:rsidRDefault="00950097" w:rsidP="00950097">
      <w:pPr>
        <w:pStyle w:val="EndNoteBibliography"/>
        <w:spacing w:after="0"/>
        <w:ind w:left="720" w:hanging="720"/>
      </w:pPr>
      <w:bookmarkStart w:id="439" w:name="_ENREF_39"/>
      <w:r w:rsidRPr="00950097">
        <w:t xml:space="preserve">Cantrell, D. L., Groner, M. L., Ben-Horin, T., Grant, J. &amp; Revie, C. W. (2020) Modelling pathogen dispersal in marine fish and shellfish. </w:t>
      </w:r>
      <w:r w:rsidRPr="00950097">
        <w:rPr>
          <w:i/>
        </w:rPr>
        <w:t>Trends in Parasitology,</w:t>
      </w:r>
      <w:r w:rsidRPr="00950097">
        <w:t xml:space="preserve"> 36(3)</w:t>
      </w:r>
      <w:r w:rsidRPr="00950097">
        <w:rPr>
          <w:b/>
        </w:rPr>
        <w:t>,</w:t>
      </w:r>
      <w:r w:rsidRPr="00950097">
        <w:t xml:space="preserve"> 239-249. 10.1016/J.PT.2019.12.013.</w:t>
      </w:r>
      <w:bookmarkEnd w:id="439"/>
    </w:p>
    <w:p w14:paraId="62B73E82" w14:textId="77777777" w:rsidR="00950097" w:rsidRPr="00950097" w:rsidRDefault="00950097" w:rsidP="00950097">
      <w:pPr>
        <w:pStyle w:val="EndNoteBibliography"/>
        <w:spacing w:after="0"/>
        <w:ind w:left="720" w:hanging="720"/>
      </w:pPr>
      <w:bookmarkStart w:id="440" w:name="_ENREF_40"/>
      <w:r w:rsidRPr="00950097">
        <w:t>Cao, Q., Najnine, F., Han, H., Wu, B. &amp; Cai, J. (2020) BALOs improved gut microbiota health in postlarval shrimp (</w:t>
      </w:r>
      <w:r w:rsidRPr="00950097">
        <w:rPr>
          <w:i/>
        </w:rPr>
        <w:t>Litopenaeus vannamei</w:t>
      </w:r>
      <w:r w:rsidRPr="00950097">
        <w:t xml:space="preserve">) after being subjected to salinity reduction treatment. </w:t>
      </w:r>
      <w:r w:rsidRPr="00950097">
        <w:rPr>
          <w:i/>
        </w:rPr>
        <w:t>Frontiers Microbiology,</w:t>
      </w:r>
      <w:r w:rsidRPr="00950097">
        <w:t xml:space="preserve"> 11</w:t>
      </w:r>
      <w:r w:rsidRPr="00950097">
        <w:rPr>
          <w:b/>
        </w:rPr>
        <w:t>,</w:t>
      </w:r>
      <w:r w:rsidRPr="00950097">
        <w:t xml:space="preserve"> 1296. 10.3389/fmicb.2020.01296.</w:t>
      </w:r>
      <w:bookmarkEnd w:id="440"/>
    </w:p>
    <w:p w14:paraId="7AF76A68" w14:textId="77777777" w:rsidR="00950097" w:rsidRPr="00950097" w:rsidRDefault="00950097" w:rsidP="00950097">
      <w:pPr>
        <w:pStyle w:val="EndNoteBibliography"/>
        <w:spacing w:after="0"/>
        <w:ind w:left="720" w:hanging="720"/>
      </w:pPr>
      <w:bookmarkStart w:id="441" w:name="_ENREF_41"/>
      <w:r w:rsidRPr="00950097">
        <w:t>Castro, M., Encarnação, P. &amp; Henriques, P. (2003) Increment at molt for the Norway lobster (</w:t>
      </w:r>
      <w:r w:rsidRPr="00950097">
        <w:rPr>
          <w:i/>
        </w:rPr>
        <w:t>Nephrops norvegicus</w:t>
      </w:r>
      <w:r w:rsidRPr="00950097">
        <w:t xml:space="preserve">) from the south coast of Portugal. </w:t>
      </w:r>
      <w:r w:rsidRPr="00950097">
        <w:rPr>
          <w:i/>
        </w:rPr>
        <w:t>ICES Journal of Marine Science,</w:t>
      </w:r>
      <w:r w:rsidRPr="00950097">
        <w:t xml:space="preserve"> 60(5)</w:t>
      </w:r>
      <w:r w:rsidRPr="00950097">
        <w:rPr>
          <w:b/>
        </w:rPr>
        <w:t>,</w:t>
      </w:r>
      <w:r w:rsidRPr="00950097">
        <w:t xml:space="preserve"> 1159-1164. 10.1016/S1054-3139(03)00119-X.</w:t>
      </w:r>
      <w:bookmarkEnd w:id="441"/>
    </w:p>
    <w:p w14:paraId="16F8A16B" w14:textId="77777777" w:rsidR="00950097" w:rsidRPr="00950097" w:rsidRDefault="00950097" w:rsidP="00950097">
      <w:pPr>
        <w:pStyle w:val="EndNoteBibliography"/>
        <w:spacing w:after="0"/>
        <w:ind w:left="720" w:hanging="720"/>
      </w:pPr>
      <w:bookmarkStart w:id="442" w:name="_ENREF_42"/>
      <w:r w:rsidRPr="00950097">
        <w:t xml:space="preserve">Cavalli, R. O., Menschaert, G., Lavens, P. &amp; Sorgeloos, P. (2000) Maturation performance, offspring quality and lipid composition of </w:t>
      </w:r>
      <w:r w:rsidRPr="00950097">
        <w:rPr>
          <w:i/>
        </w:rPr>
        <w:t xml:space="preserve">Macrobrachium rosenbergii </w:t>
      </w:r>
      <w:r w:rsidRPr="00950097">
        <w:t xml:space="preserve">females fed increasing levels of dietary phospholipids. </w:t>
      </w:r>
      <w:r w:rsidRPr="00950097">
        <w:rPr>
          <w:i/>
        </w:rPr>
        <w:t>Aquaculture International,</w:t>
      </w:r>
      <w:r w:rsidRPr="00950097">
        <w:t xml:space="preserve"> 8(1)</w:t>
      </w:r>
      <w:r w:rsidRPr="00950097">
        <w:rPr>
          <w:b/>
        </w:rPr>
        <w:t>,</w:t>
      </w:r>
      <w:r w:rsidRPr="00950097">
        <w:t xml:space="preserve"> 41-58. 10.1023/a:1009220932268.</w:t>
      </w:r>
      <w:bookmarkEnd w:id="442"/>
    </w:p>
    <w:p w14:paraId="4E6189F0" w14:textId="77777777" w:rsidR="00950097" w:rsidRPr="00950097" w:rsidRDefault="00950097" w:rsidP="00950097">
      <w:pPr>
        <w:pStyle w:val="EndNoteBibliography"/>
        <w:spacing w:after="0"/>
        <w:ind w:left="720" w:hanging="720"/>
      </w:pPr>
      <w:bookmarkStart w:id="443" w:name="_ENREF_43"/>
      <w:r w:rsidRPr="00950097">
        <w:t xml:space="preserve">Ceccaldi, H. J. (1989) Anatomy and physiology of digestive tract of crustaceans decapods reared in aquaculture. </w:t>
      </w:r>
      <w:r w:rsidRPr="00950097">
        <w:rPr>
          <w:i/>
        </w:rPr>
        <w:t>Aquaculture,</w:t>
      </w:r>
      <w:r w:rsidRPr="00950097">
        <w:t xml:space="preserve"> 9</w:t>
      </w:r>
      <w:r w:rsidRPr="00950097">
        <w:rPr>
          <w:b/>
        </w:rPr>
        <w:t>,</w:t>
      </w:r>
      <w:r w:rsidRPr="00950097">
        <w:t xml:space="preserve"> 243-259.</w:t>
      </w:r>
      <w:bookmarkEnd w:id="443"/>
    </w:p>
    <w:p w14:paraId="7DD7243B" w14:textId="77777777" w:rsidR="00950097" w:rsidRPr="00950097" w:rsidRDefault="00950097" w:rsidP="00950097">
      <w:pPr>
        <w:pStyle w:val="EndNoteBibliography"/>
        <w:spacing w:after="0"/>
        <w:ind w:left="720" w:hanging="720"/>
      </w:pPr>
      <w:bookmarkStart w:id="444" w:name="_ENREF_44"/>
      <w:r w:rsidRPr="00950097">
        <w:t xml:space="preserve">Chambers, J. M. &amp; Hastie, T. (1992) </w:t>
      </w:r>
      <w:r w:rsidRPr="00950097">
        <w:rPr>
          <w:i/>
        </w:rPr>
        <w:t>Statistical models in S.</w:t>
      </w:r>
      <w:r w:rsidRPr="00950097">
        <w:t xml:space="preserve"> Chapman &amp; Hall/CRC.</w:t>
      </w:r>
      <w:bookmarkEnd w:id="444"/>
    </w:p>
    <w:p w14:paraId="779F5267" w14:textId="77777777" w:rsidR="00950097" w:rsidRPr="00950097" w:rsidRDefault="00950097" w:rsidP="00950097">
      <w:pPr>
        <w:pStyle w:val="EndNoteBibliography"/>
        <w:spacing w:after="0"/>
        <w:ind w:left="720" w:hanging="720"/>
      </w:pPr>
      <w:bookmarkStart w:id="445" w:name="_ENREF_45"/>
      <w:r w:rsidRPr="00950097">
        <w:t xml:space="preserve">Chatton, E. &amp; Poisson, R. (1930) </w:t>
      </w:r>
      <w:r w:rsidRPr="00950097">
        <w:rPr>
          <w:i/>
        </w:rPr>
        <w:t>The existence, in blood of crabs, dinoflagellate parasite: Hematodinium perezi n.g. s.sp. (Syndinidae).</w:t>
      </w:r>
      <w:r w:rsidRPr="00950097">
        <w:t xml:space="preserve"> La Societe De Biologie Et De Ses Filiales.</w:t>
      </w:r>
      <w:bookmarkEnd w:id="445"/>
    </w:p>
    <w:p w14:paraId="58B97AFC" w14:textId="77777777" w:rsidR="00950097" w:rsidRPr="00950097" w:rsidRDefault="00950097" w:rsidP="00950097">
      <w:pPr>
        <w:pStyle w:val="EndNoteBibliography"/>
        <w:spacing w:after="0"/>
        <w:ind w:left="720" w:hanging="720"/>
      </w:pPr>
      <w:bookmarkStart w:id="446" w:name="_ENREF_46"/>
      <w:r w:rsidRPr="00950097">
        <w:t xml:space="preserve">Che Harun, H. B. (2013) </w:t>
      </w:r>
      <w:r w:rsidRPr="00950097">
        <w:rPr>
          <w:i/>
        </w:rPr>
        <w:t>Molecular ecology of two commercially important crustacean species, Nephrops norvegicus and Macrobrachium rosenbergii: Implications for the management of fisheries and aquaculture.</w:t>
      </w:r>
      <w:r w:rsidRPr="00950097">
        <w:t xml:space="preserve"> PhD thesis  University of Glasgow.</w:t>
      </w:r>
      <w:bookmarkEnd w:id="446"/>
    </w:p>
    <w:p w14:paraId="052F6E9F" w14:textId="77777777" w:rsidR="00950097" w:rsidRPr="00950097" w:rsidRDefault="00950097" w:rsidP="00950097">
      <w:pPr>
        <w:pStyle w:val="EndNoteBibliography"/>
        <w:spacing w:after="0"/>
        <w:ind w:left="720" w:hanging="720"/>
      </w:pPr>
      <w:bookmarkStart w:id="447" w:name="_ENREF_47"/>
      <w:r w:rsidRPr="00950097">
        <w:t xml:space="preserve">Chen, C. Y., Chen, P. C., Weng, F. C. H., Shaw, G. T. W. &amp; Wang, D. (2017a) Habitat and indigenous gut microbes contribute to the plasticity of gut microbiome in oriental river prawn during rapid environmental change. </w:t>
      </w:r>
      <w:r w:rsidRPr="00950097">
        <w:rPr>
          <w:i/>
        </w:rPr>
        <w:t>PLOS ONE,</w:t>
      </w:r>
      <w:r w:rsidRPr="00950097">
        <w:t xml:space="preserve"> 12(7). 10.1371/JOURNAL.PONE.0181427.</w:t>
      </w:r>
      <w:bookmarkEnd w:id="447"/>
    </w:p>
    <w:p w14:paraId="2BB7A3BB" w14:textId="227BCCFC" w:rsidR="00950097" w:rsidRPr="00950097" w:rsidRDefault="00950097" w:rsidP="00950097">
      <w:pPr>
        <w:pStyle w:val="EndNoteBibliography"/>
        <w:spacing w:after="0"/>
        <w:ind w:left="720" w:hanging="720"/>
      </w:pPr>
      <w:bookmarkStart w:id="448" w:name="_ENREF_48"/>
      <w:r w:rsidRPr="00950097">
        <w:t>Chen, H., Pan, J., Wang, Y., Qiao, Y., Han, F., Xu, C., Farhadi, A. &amp; Li, E. (2023) Growth, health status and gut microbiota of the scalloped spiny lobster (</w:t>
      </w:r>
      <w:r w:rsidRPr="00950097">
        <w:rPr>
          <w:i/>
        </w:rPr>
        <w:t>Panulirus homarus</w:t>
      </w:r>
      <w:r w:rsidRPr="00950097">
        <w:t xml:space="preserve">) at different salinities. </w:t>
      </w:r>
      <w:r w:rsidRPr="00950097">
        <w:rPr>
          <w:i/>
        </w:rPr>
        <w:t>Aquaculture,</w:t>
      </w:r>
      <w:r w:rsidRPr="00950097">
        <w:t xml:space="preserve"> 562</w:t>
      </w:r>
      <w:r w:rsidRPr="00950097">
        <w:rPr>
          <w:b/>
        </w:rPr>
        <w:t>,</w:t>
      </w:r>
      <w:r w:rsidRPr="00950097">
        <w:t xml:space="preserve"> 738779. </w:t>
      </w:r>
      <w:hyperlink r:id="rId125" w:history="1">
        <w:r w:rsidRPr="00950097">
          <w:rPr>
            <w:rStyle w:val="Hyperlink"/>
          </w:rPr>
          <w:t>https://doi.org/10.1016/j.aquaculture.2022.738779</w:t>
        </w:r>
      </w:hyperlink>
      <w:r w:rsidRPr="00950097">
        <w:t>.</w:t>
      </w:r>
      <w:bookmarkEnd w:id="448"/>
    </w:p>
    <w:p w14:paraId="2E6F8C0E" w14:textId="77777777" w:rsidR="00950097" w:rsidRPr="00950097" w:rsidRDefault="00950097" w:rsidP="00950097">
      <w:pPr>
        <w:pStyle w:val="EndNoteBibliography"/>
        <w:spacing w:after="0"/>
        <w:ind w:left="720" w:hanging="720"/>
      </w:pPr>
      <w:bookmarkStart w:id="449" w:name="_ENREF_49"/>
      <w:r w:rsidRPr="00950097">
        <w:t xml:space="preserve">Chen, W.-Y., Ng, T. H., Wu, J.-H., Chen, J.-W. &amp; Wang, H.-C. (2017b) Microbiome dynamics in a shrimp grow-out pond with possible outbreak of Acute Hepatopancreatic Necrosis Disease. </w:t>
      </w:r>
      <w:r w:rsidRPr="00950097">
        <w:rPr>
          <w:i/>
        </w:rPr>
        <w:t>Scientific Reports,</w:t>
      </w:r>
      <w:r w:rsidRPr="00950097">
        <w:t xml:space="preserve"> 7(1)</w:t>
      </w:r>
      <w:r w:rsidRPr="00950097">
        <w:rPr>
          <w:b/>
        </w:rPr>
        <w:t>,</w:t>
      </w:r>
      <w:r w:rsidRPr="00950097">
        <w:t xml:space="preserve"> 9395-9395. 10.1038/s41598-017-09923-6.</w:t>
      </w:r>
      <w:bookmarkEnd w:id="449"/>
    </w:p>
    <w:p w14:paraId="6FE68F7D" w14:textId="77777777" w:rsidR="00950097" w:rsidRPr="00950097" w:rsidRDefault="00950097" w:rsidP="00950097">
      <w:pPr>
        <w:pStyle w:val="EndNoteBibliography"/>
        <w:spacing w:after="0"/>
        <w:ind w:left="720" w:hanging="720"/>
        <w:rPr>
          <w:i/>
        </w:rPr>
      </w:pPr>
      <w:bookmarkStart w:id="450" w:name="_ENREF_50"/>
      <w:r w:rsidRPr="00950097">
        <w:t xml:space="preserve">Chow, J., Lee, S. M., Shen, Y., Khosravi, A. &amp; Mazmanian, S. K. (2010) Host–Bacterial Symbiosis in Health and Disease. In:  </w:t>
      </w:r>
      <w:r w:rsidRPr="00950097">
        <w:rPr>
          <w:i/>
        </w:rPr>
        <w:t>Advances in Immunology.</w:t>
      </w:r>
      <w:bookmarkEnd w:id="450"/>
    </w:p>
    <w:p w14:paraId="6D492E56" w14:textId="77777777" w:rsidR="00950097" w:rsidRPr="00950097" w:rsidRDefault="00950097" w:rsidP="00950097">
      <w:pPr>
        <w:pStyle w:val="EndNoteBibliography"/>
        <w:spacing w:after="0"/>
        <w:ind w:left="720" w:hanging="720"/>
      </w:pPr>
      <w:bookmarkStart w:id="451" w:name="_ENREF_51"/>
      <w:r w:rsidRPr="00950097">
        <w:t xml:space="preserve">Christie, W. W. &amp; Han, X. (2010) </w:t>
      </w:r>
      <w:r w:rsidRPr="00950097">
        <w:rPr>
          <w:i/>
        </w:rPr>
        <w:t xml:space="preserve">Lipid analysis: isolation, separation, identification and lipidomic analysis: fourth edition. </w:t>
      </w:r>
      <w:r w:rsidRPr="00950097">
        <w:t>In Oily Press Lipid Library Series: Woodhead Publishing.</w:t>
      </w:r>
      <w:bookmarkEnd w:id="451"/>
    </w:p>
    <w:p w14:paraId="3F975BCE" w14:textId="77777777" w:rsidR="00950097" w:rsidRPr="00950097" w:rsidRDefault="00950097" w:rsidP="00950097">
      <w:pPr>
        <w:pStyle w:val="EndNoteBibliography"/>
        <w:spacing w:after="0"/>
        <w:ind w:left="720" w:hanging="720"/>
      </w:pPr>
      <w:bookmarkStart w:id="452" w:name="_ENREF_52"/>
      <w:r w:rsidRPr="00950097">
        <w:t xml:space="preserve">Chu, F. L. E., Lund, E., Soudant, P. &amp; Harvey, E. (2002) </w:t>
      </w:r>
      <w:r w:rsidRPr="00950097">
        <w:rPr>
          <w:i/>
        </w:rPr>
        <w:t>De novo</w:t>
      </w:r>
      <w:r w:rsidRPr="00950097">
        <w:t xml:space="preserve"> arachidonic acid synthesis in </w:t>
      </w:r>
      <w:r w:rsidRPr="00950097">
        <w:rPr>
          <w:i/>
        </w:rPr>
        <w:t>Perkinsus marinus</w:t>
      </w:r>
      <w:r w:rsidRPr="00950097">
        <w:t xml:space="preserve">, a protozoan parasite of the eastern oyster </w:t>
      </w:r>
      <w:r w:rsidRPr="00950097">
        <w:rPr>
          <w:i/>
        </w:rPr>
        <w:t>Crassostrea virginica</w:t>
      </w:r>
      <w:r w:rsidRPr="00950097">
        <w:t xml:space="preserve">. </w:t>
      </w:r>
      <w:r w:rsidRPr="00950097">
        <w:rPr>
          <w:i/>
        </w:rPr>
        <w:t>Molecular and Biochemical Parasitology,</w:t>
      </w:r>
      <w:r w:rsidRPr="00950097">
        <w:t xml:space="preserve"> 119(2)</w:t>
      </w:r>
      <w:r w:rsidRPr="00950097">
        <w:rPr>
          <w:b/>
        </w:rPr>
        <w:t>,</w:t>
      </w:r>
      <w:r w:rsidRPr="00950097">
        <w:t xml:space="preserve"> 179-190. 10.1016/S0166-6851(01)00413-3.</w:t>
      </w:r>
      <w:bookmarkEnd w:id="452"/>
    </w:p>
    <w:p w14:paraId="0D4FD043" w14:textId="77777777" w:rsidR="00950097" w:rsidRPr="00950097" w:rsidRDefault="00950097" w:rsidP="00950097">
      <w:pPr>
        <w:pStyle w:val="EndNoteBibliography"/>
        <w:spacing w:after="0"/>
        <w:ind w:left="720" w:hanging="720"/>
      </w:pPr>
      <w:bookmarkStart w:id="453" w:name="_ENREF_53"/>
      <w:r w:rsidRPr="00950097">
        <w:t xml:space="preserve">Chu, F. L. E. &amp; Lund, E. D. (2006) Viability, infectivity and fatty acid synthetic activity of </w:t>
      </w:r>
      <w:r w:rsidRPr="00950097">
        <w:rPr>
          <w:i/>
        </w:rPr>
        <w:t>Perkinsus marinus</w:t>
      </w:r>
      <w:r w:rsidRPr="00950097">
        <w:t xml:space="preserve"> meront cells incubated in estuarine and artificial seawater. </w:t>
      </w:r>
      <w:r w:rsidRPr="00950097">
        <w:rPr>
          <w:i/>
        </w:rPr>
        <w:t>Diseases of Aquatic Organisms,</w:t>
      </w:r>
      <w:r w:rsidRPr="00950097">
        <w:t xml:space="preserve"> 71(2)</w:t>
      </w:r>
      <w:r w:rsidRPr="00950097">
        <w:rPr>
          <w:b/>
        </w:rPr>
        <w:t>,</w:t>
      </w:r>
      <w:r w:rsidRPr="00950097">
        <w:t xml:space="preserve"> 131-139. 10.3354/DAO071131.</w:t>
      </w:r>
      <w:bookmarkEnd w:id="453"/>
    </w:p>
    <w:p w14:paraId="4518FFBE" w14:textId="77777777" w:rsidR="00950097" w:rsidRPr="00950097" w:rsidRDefault="00950097" w:rsidP="00950097">
      <w:pPr>
        <w:pStyle w:val="EndNoteBibliography"/>
        <w:spacing w:after="0"/>
        <w:ind w:left="720" w:hanging="720"/>
      </w:pPr>
      <w:bookmarkStart w:id="454" w:name="_ENREF_54"/>
      <w:r w:rsidRPr="00950097">
        <w:t xml:space="preserve">Chu, F. L. E., Lund, E. D., Harvey, E. &amp; Adlof, R. (2004) Arachidonic acid synthetic pathways of the oyster protozoan parasite, </w:t>
      </w:r>
      <w:r w:rsidRPr="00950097">
        <w:rPr>
          <w:i/>
        </w:rPr>
        <w:t>Perkinsus marinus</w:t>
      </w:r>
      <w:r w:rsidRPr="00950097">
        <w:t xml:space="preserve">: Evidence for usage of a delta-8 pathway. </w:t>
      </w:r>
      <w:r w:rsidRPr="00950097">
        <w:rPr>
          <w:i/>
        </w:rPr>
        <w:t>Molecular and Biochemical Parasitology,</w:t>
      </w:r>
      <w:r w:rsidRPr="00950097">
        <w:t xml:space="preserve"> 133(1)</w:t>
      </w:r>
      <w:r w:rsidRPr="00950097">
        <w:rPr>
          <w:b/>
        </w:rPr>
        <w:t>,</w:t>
      </w:r>
      <w:r w:rsidRPr="00950097">
        <w:t xml:space="preserve"> 45-51. 10.1016/j.molbiopara.2003.08.012.</w:t>
      </w:r>
      <w:bookmarkEnd w:id="454"/>
    </w:p>
    <w:p w14:paraId="27FE1B2D" w14:textId="77777777" w:rsidR="00950097" w:rsidRPr="00950097" w:rsidRDefault="00950097" w:rsidP="00950097">
      <w:pPr>
        <w:pStyle w:val="EndNoteBibliography"/>
        <w:spacing w:after="0"/>
        <w:ind w:left="720" w:hanging="720"/>
      </w:pPr>
      <w:bookmarkStart w:id="455" w:name="_ENREF_55"/>
      <w:r w:rsidRPr="00950097">
        <w:t>Coates, C. J., Kraev, I., Rowley, A. F. &amp; Lange, S. (2023) Extracellular vesicle signatures and protein citrullination are modified in shore crabs (</w:t>
      </w:r>
      <w:r w:rsidRPr="00950097">
        <w:rPr>
          <w:i/>
        </w:rPr>
        <w:t>Carcinus maenas</w:t>
      </w:r>
      <w:r w:rsidRPr="00950097">
        <w:t xml:space="preserve">) infected with </w:t>
      </w:r>
      <w:r w:rsidRPr="00950097">
        <w:rPr>
          <w:i/>
        </w:rPr>
        <w:t>Hematodinium</w:t>
      </w:r>
      <w:r w:rsidRPr="00950097">
        <w:t xml:space="preserve"> sp. </w:t>
      </w:r>
      <w:r w:rsidRPr="00950097">
        <w:rPr>
          <w:i/>
        </w:rPr>
        <w:t>Virulence,</w:t>
      </w:r>
      <w:r w:rsidRPr="00950097">
        <w:t xml:space="preserve"> 14(1). 10.1080/21505594.2023.2180932.</w:t>
      </w:r>
      <w:bookmarkEnd w:id="455"/>
    </w:p>
    <w:p w14:paraId="4B8AAA67" w14:textId="77777777" w:rsidR="00950097" w:rsidRPr="00950097" w:rsidRDefault="00950097" w:rsidP="00950097">
      <w:pPr>
        <w:pStyle w:val="EndNoteBibliography"/>
        <w:spacing w:after="0"/>
        <w:ind w:left="720" w:hanging="720"/>
      </w:pPr>
      <w:bookmarkStart w:id="456" w:name="_ENREF_56"/>
      <w:r w:rsidRPr="00950097">
        <w:t xml:space="preserve">Coates, C. J. &amp; Nairn, J. (2014) Diverse immune functions of hemocyanins. </w:t>
      </w:r>
      <w:r w:rsidRPr="00950097">
        <w:rPr>
          <w:i/>
        </w:rPr>
        <w:t>Developmental and Comparative Immunology,</w:t>
      </w:r>
      <w:r w:rsidRPr="00950097">
        <w:t xml:space="preserve"> 45(1)</w:t>
      </w:r>
      <w:r w:rsidRPr="00950097">
        <w:rPr>
          <w:b/>
        </w:rPr>
        <w:t>,</w:t>
      </w:r>
      <w:r w:rsidRPr="00950097">
        <w:t xml:space="preserve"> 43-55. 10.1016/j.dci.2014.01.021.</w:t>
      </w:r>
      <w:bookmarkEnd w:id="456"/>
    </w:p>
    <w:p w14:paraId="55E434F2" w14:textId="77777777" w:rsidR="00950097" w:rsidRPr="00950097" w:rsidRDefault="00950097" w:rsidP="00950097">
      <w:pPr>
        <w:pStyle w:val="EndNoteBibliography"/>
        <w:spacing w:after="0"/>
        <w:ind w:left="720" w:hanging="720"/>
      </w:pPr>
      <w:bookmarkStart w:id="457" w:name="_ENREF_57"/>
      <w:r w:rsidRPr="00950097">
        <w:t xml:space="preserve">Coram, A., Kingston, A. &amp; Northridge, S. (2022) Cod catches from demersal and pelagic trawl gears in the Clyde estuary: results from an industry-led survey in 2016: a report on behalf of the Clyde Fishermen’s Association. </w:t>
      </w:r>
      <w:r w:rsidRPr="00950097">
        <w:rPr>
          <w:i/>
        </w:rPr>
        <w:t>In:</w:t>
      </w:r>
      <w:r w:rsidRPr="00950097">
        <w:t xml:space="preserve"> (MASTS), M. A. f. S. a. T. f. S. (ed.). Marine Alliance for Science and Technology for Scotland (MASTS).</w:t>
      </w:r>
      <w:bookmarkEnd w:id="457"/>
    </w:p>
    <w:p w14:paraId="45D3C19F" w14:textId="77777777" w:rsidR="00950097" w:rsidRPr="00950097" w:rsidRDefault="00950097" w:rsidP="00950097">
      <w:pPr>
        <w:pStyle w:val="EndNoteBibliography"/>
        <w:spacing w:after="0"/>
        <w:ind w:left="720" w:hanging="720"/>
      </w:pPr>
      <w:bookmarkStart w:id="458" w:name="_ENREF_58"/>
      <w:r w:rsidRPr="00950097">
        <w:t xml:space="preserve">Cornejo-Granados, F., Gallardo-Becerra, L., Leonardo-Reza, M., Ochoa-Romo, J. P. &amp; Ochoa-Leyva, A. (2018) A meta-analysis reveals the environmental and host factors shaping the structure and function of the shrimp microbiota. </w:t>
      </w:r>
      <w:r w:rsidRPr="00950097">
        <w:rPr>
          <w:i/>
        </w:rPr>
        <w:t>PeerJ,</w:t>
      </w:r>
      <w:r w:rsidRPr="00950097">
        <w:t xml:space="preserve"> 2018(8)</w:t>
      </w:r>
      <w:r w:rsidRPr="00950097">
        <w:rPr>
          <w:b/>
        </w:rPr>
        <w:t>,</w:t>
      </w:r>
      <w:r w:rsidRPr="00950097">
        <w:t xml:space="preserve"> e5382-e5382. 10.7717/PEERJ.5382/SUPP-18.</w:t>
      </w:r>
      <w:bookmarkEnd w:id="458"/>
    </w:p>
    <w:p w14:paraId="46498A57" w14:textId="77777777" w:rsidR="00950097" w:rsidRPr="00950097" w:rsidRDefault="00950097" w:rsidP="00950097">
      <w:pPr>
        <w:pStyle w:val="EndNoteBibliography"/>
        <w:spacing w:after="0"/>
        <w:ind w:left="720" w:hanging="720"/>
      </w:pPr>
      <w:bookmarkStart w:id="459" w:name="_ENREF_59"/>
      <w:r w:rsidRPr="00950097">
        <w:t xml:space="preserve">Cornejo-Granados, F., Lopez-Zavala, A. A., Gallardo-Becerra, L., Mendoza-Vargas, A., Sánchez, F., Vichido, R., Brieba, L. G., Viana, M. T., Sotelo-Mundo, R. R. &amp; Ochoa-Leyva, A. (2017) Microbiome of Pacific whiteleg shrimp reveals differential bacterial community composition between Wild, Aquacultured and AHPND/EMS outbreak conditions. </w:t>
      </w:r>
      <w:r w:rsidRPr="00950097">
        <w:rPr>
          <w:i/>
        </w:rPr>
        <w:t>Scientific Reports,</w:t>
      </w:r>
      <w:r w:rsidRPr="00950097">
        <w:t xml:space="preserve"> 7(1). 10.1038/S41598-017-11805-W.</w:t>
      </w:r>
      <w:bookmarkEnd w:id="459"/>
    </w:p>
    <w:p w14:paraId="2F48F8B3" w14:textId="2A76D557" w:rsidR="00950097" w:rsidRPr="00950097" w:rsidRDefault="00950097" w:rsidP="00950097">
      <w:pPr>
        <w:pStyle w:val="EndNoteBibliography"/>
        <w:spacing w:after="0"/>
        <w:ind w:left="720" w:hanging="720"/>
      </w:pPr>
      <w:bookmarkStart w:id="460" w:name="_ENREF_60"/>
      <w:r w:rsidRPr="00950097">
        <w:t xml:space="preserve">Cristo, M. &amp; Cartes, J. E. (1998) A comparative study of the feeding ecology of </w:t>
      </w:r>
      <w:r w:rsidRPr="00950097">
        <w:rPr>
          <w:i/>
        </w:rPr>
        <w:t>Nephrops norvegicus</w:t>
      </w:r>
      <w:r w:rsidRPr="00950097">
        <w:t xml:space="preserve">(L.), (Decapoda: </w:t>
      </w:r>
      <w:r w:rsidRPr="00950097">
        <w:rPr>
          <w:i/>
        </w:rPr>
        <w:t>Nephropidae</w:t>
      </w:r>
      <w:r w:rsidRPr="00950097">
        <w:t xml:space="preserve">) in the bathyal Mediterranean and the adjacent Atlantic. </w:t>
      </w:r>
      <w:r w:rsidRPr="00950097">
        <w:rPr>
          <w:i/>
        </w:rPr>
        <w:t>Scientia Marina,</w:t>
      </w:r>
      <w:r w:rsidRPr="00950097">
        <w:t xml:space="preserve"> 62</w:t>
      </w:r>
      <w:r w:rsidRPr="00950097">
        <w:rPr>
          <w:b/>
        </w:rPr>
        <w:t>,</w:t>
      </w:r>
      <w:r w:rsidRPr="00950097">
        <w:t xml:space="preserve"> 81-90. </w:t>
      </w:r>
      <w:hyperlink r:id="rId126" w:history="1">
        <w:r w:rsidRPr="00950097">
          <w:rPr>
            <w:rStyle w:val="Hyperlink"/>
          </w:rPr>
          <w:t>https://doi.org/10.3989/scimar.1998.62s181</w:t>
        </w:r>
      </w:hyperlink>
      <w:r w:rsidRPr="00950097">
        <w:t>.</w:t>
      </w:r>
      <w:bookmarkEnd w:id="460"/>
    </w:p>
    <w:p w14:paraId="1E7C08B1" w14:textId="77777777" w:rsidR="00950097" w:rsidRPr="00950097" w:rsidRDefault="00950097" w:rsidP="00950097">
      <w:pPr>
        <w:pStyle w:val="EndNoteBibliography"/>
        <w:spacing w:after="0"/>
        <w:ind w:left="720" w:hanging="720"/>
      </w:pPr>
      <w:bookmarkStart w:id="461" w:name="_ENREF_61"/>
      <w:r w:rsidRPr="00950097">
        <w:t xml:space="preserve">Davies, C. E., Batista, F. M., Malkin, S. H., Thomas, J. E., Bryan, C. C., Crocombe, P., Coates, C. J. &amp; Rowley, A. F. (2019) Spatial and temporal disease dynamics of the parasite </w:t>
      </w:r>
      <w:r w:rsidRPr="00950097">
        <w:rPr>
          <w:i/>
        </w:rPr>
        <w:t>Hematodinium</w:t>
      </w:r>
      <w:r w:rsidRPr="00950097">
        <w:t xml:space="preserve"> sp. in shore crabs, </w:t>
      </w:r>
      <w:r w:rsidRPr="00950097">
        <w:rPr>
          <w:i/>
        </w:rPr>
        <w:t>Carcinus maenas</w:t>
      </w:r>
      <w:r w:rsidRPr="00950097">
        <w:t xml:space="preserve">. </w:t>
      </w:r>
      <w:r w:rsidRPr="00950097">
        <w:rPr>
          <w:i/>
        </w:rPr>
        <w:t>Parasites &amp; Vectors,</w:t>
      </w:r>
      <w:r w:rsidRPr="00950097">
        <w:t xml:space="preserve"> 12(1)</w:t>
      </w:r>
      <w:r w:rsidRPr="00950097">
        <w:rPr>
          <w:b/>
        </w:rPr>
        <w:t>,</w:t>
      </w:r>
      <w:r w:rsidRPr="00950097">
        <w:t xml:space="preserve"> 472-472. 10.1186/s13071-019-3727-x.</w:t>
      </w:r>
      <w:bookmarkEnd w:id="461"/>
    </w:p>
    <w:p w14:paraId="25CD81AB" w14:textId="77777777" w:rsidR="00950097" w:rsidRPr="00950097" w:rsidRDefault="00950097" w:rsidP="00950097">
      <w:pPr>
        <w:pStyle w:val="EndNoteBibliography"/>
        <w:spacing w:after="0"/>
        <w:ind w:left="720" w:hanging="720"/>
      </w:pPr>
      <w:bookmarkStart w:id="462" w:name="_ENREF_62"/>
      <w:r w:rsidRPr="00950097">
        <w:t xml:space="preserve">Davies, C. E., Briones-Fourzán, P., Barradas-Ortiz, C., Negrete-Soto, F., Moo-Cocom, G. &amp; Lozano-Álvarez, E. (2020) Do ecological characteristics drive the prevalence of </w:t>
      </w:r>
      <w:r w:rsidRPr="00950097">
        <w:rPr>
          <w:i/>
        </w:rPr>
        <w:t>Panulirus argus</w:t>
      </w:r>
      <w:r w:rsidRPr="00950097">
        <w:t xml:space="preserve"> virus 1 (PaV1) in juvenile Caribbean spiny lobsters in a tropical reef lagoon? </w:t>
      </w:r>
      <w:r w:rsidRPr="00950097">
        <w:rPr>
          <w:i/>
        </w:rPr>
        <w:t>PLOS ONE,</w:t>
      </w:r>
      <w:r w:rsidRPr="00950097">
        <w:t xml:space="preserve"> 15(2)</w:t>
      </w:r>
      <w:r w:rsidRPr="00950097">
        <w:rPr>
          <w:b/>
        </w:rPr>
        <w:t>,</w:t>
      </w:r>
      <w:r w:rsidRPr="00950097">
        <w:t xml:space="preserve"> e0229827-e0229827. 10.1371/JOURNAL.PONE.0229827.</w:t>
      </w:r>
      <w:bookmarkEnd w:id="462"/>
    </w:p>
    <w:p w14:paraId="4156CBA1" w14:textId="77777777" w:rsidR="00950097" w:rsidRPr="00950097" w:rsidRDefault="00950097" w:rsidP="00950097">
      <w:pPr>
        <w:pStyle w:val="EndNoteBibliography"/>
        <w:spacing w:after="0"/>
        <w:ind w:left="720" w:hanging="720"/>
      </w:pPr>
      <w:bookmarkStart w:id="463" w:name="_ENREF_63"/>
      <w:r w:rsidRPr="00950097">
        <w:t xml:space="preserve">Davies, C. E., Thomas, J. E., Malkin, S. H., Batista, F. M., Rowley, A. F. &amp; Coates, C. J. (2022) </w:t>
      </w:r>
      <w:r w:rsidRPr="00950097">
        <w:rPr>
          <w:i/>
        </w:rPr>
        <w:t xml:space="preserve">Hematodinium </w:t>
      </w:r>
      <w:r w:rsidRPr="00950097">
        <w:t xml:space="preserve">sp. infection does not drive collateral disease contraction in a crustacean host. </w:t>
      </w:r>
      <w:r w:rsidRPr="00950097">
        <w:rPr>
          <w:i/>
        </w:rPr>
        <w:t>eLife,</w:t>
      </w:r>
      <w:r w:rsidRPr="00950097">
        <w:t xml:space="preserve"> 11. 10.7554/ELIFE.70356.</w:t>
      </w:r>
      <w:bookmarkEnd w:id="463"/>
    </w:p>
    <w:p w14:paraId="76727ED5" w14:textId="77777777" w:rsidR="00950097" w:rsidRPr="00950097" w:rsidRDefault="00950097" w:rsidP="00950097">
      <w:pPr>
        <w:pStyle w:val="EndNoteBibliography"/>
        <w:spacing w:after="0"/>
        <w:ind w:left="720" w:hanging="720"/>
      </w:pPr>
      <w:bookmarkStart w:id="464" w:name="_ENREF_64"/>
      <w:r w:rsidRPr="00950097">
        <w:t xml:space="preserve">Dawaliby, R., Trubbia, C., Delporte, C., Noyon, C., Ruysschaert, J. M., Van Antwerpen, P. &amp; Govaerts, C. (2016) Phosphatidylethanolamine is a key regulator of membrane fluidity in eukaryotic cells. </w:t>
      </w:r>
      <w:r w:rsidRPr="00950097">
        <w:rPr>
          <w:i/>
        </w:rPr>
        <w:t>Journal of Biological Chemistry,</w:t>
      </w:r>
      <w:r w:rsidRPr="00950097">
        <w:t xml:space="preserve"> 291(7)</w:t>
      </w:r>
      <w:r w:rsidRPr="00950097">
        <w:rPr>
          <w:b/>
        </w:rPr>
        <w:t>,</w:t>
      </w:r>
      <w:r w:rsidRPr="00950097">
        <w:t xml:space="preserve"> 3658-3658. 10.1074/JBC.M115.706523.</w:t>
      </w:r>
      <w:bookmarkEnd w:id="464"/>
    </w:p>
    <w:p w14:paraId="49A165CE" w14:textId="77777777" w:rsidR="00950097" w:rsidRPr="00950097" w:rsidRDefault="00950097" w:rsidP="00950097">
      <w:pPr>
        <w:pStyle w:val="EndNoteBibliography"/>
        <w:spacing w:after="0"/>
        <w:ind w:left="720" w:hanging="720"/>
      </w:pPr>
      <w:bookmarkStart w:id="465" w:name="_ENREF_65"/>
      <w:r w:rsidRPr="00950097">
        <w:t xml:space="preserve">de Figueiredo, M. J. &amp; Vilela, M. H. (1972) On the artificial culture of </w:t>
      </w:r>
      <w:r w:rsidRPr="00950097">
        <w:rPr>
          <w:i/>
        </w:rPr>
        <w:t>Nephrops norvegicus</w:t>
      </w:r>
      <w:r w:rsidRPr="00950097">
        <w:t xml:space="preserve"> reared from the egg. </w:t>
      </w:r>
      <w:r w:rsidRPr="00950097">
        <w:rPr>
          <w:i/>
        </w:rPr>
        <w:t>Aquaculture,</w:t>
      </w:r>
      <w:r w:rsidRPr="00950097">
        <w:t xml:space="preserve"> 1(C)</w:t>
      </w:r>
      <w:r w:rsidRPr="00950097">
        <w:rPr>
          <w:b/>
        </w:rPr>
        <w:t>,</w:t>
      </w:r>
      <w:r w:rsidRPr="00950097">
        <w:t xml:space="preserve"> 173-180. 10.1016/0044-8486(72)90017-8.</w:t>
      </w:r>
      <w:bookmarkEnd w:id="465"/>
    </w:p>
    <w:p w14:paraId="154C8B70" w14:textId="45EE72CF" w:rsidR="00950097" w:rsidRPr="00950097" w:rsidRDefault="00950097" w:rsidP="00950097">
      <w:pPr>
        <w:pStyle w:val="EndNoteBibliography"/>
        <w:spacing w:after="0"/>
        <w:ind w:left="720" w:hanging="720"/>
      </w:pPr>
      <w:bookmarkStart w:id="466" w:name="_ENREF_66"/>
      <w:r w:rsidRPr="00950097">
        <w:t xml:space="preserve">de Souza Valente, C. &amp; Wan, A. H. L. (2021) </w:t>
      </w:r>
      <w:r w:rsidRPr="00950097">
        <w:rPr>
          <w:i/>
        </w:rPr>
        <w:t>Vibrio</w:t>
      </w:r>
      <w:r w:rsidRPr="00950097">
        <w:t xml:space="preserve"> and major commercially important vibriosis diseases in decapod crustaceans. </w:t>
      </w:r>
      <w:r w:rsidRPr="00950097">
        <w:rPr>
          <w:i/>
        </w:rPr>
        <w:t>Journal of Invertebrate Pathology,</w:t>
      </w:r>
      <w:r w:rsidRPr="00950097">
        <w:t xml:space="preserve"> 181</w:t>
      </w:r>
      <w:r w:rsidRPr="00950097">
        <w:rPr>
          <w:b/>
        </w:rPr>
        <w:t>,</w:t>
      </w:r>
      <w:r w:rsidRPr="00950097">
        <w:t xml:space="preserve"> 107527. </w:t>
      </w:r>
      <w:hyperlink r:id="rId127" w:history="1">
        <w:r w:rsidRPr="00950097">
          <w:rPr>
            <w:rStyle w:val="Hyperlink"/>
          </w:rPr>
          <w:t>https://doi.org/10.1016/j.jip.2020.107527</w:t>
        </w:r>
      </w:hyperlink>
      <w:r w:rsidRPr="00950097">
        <w:t>.</w:t>
      </w:r>
      <w:bookmarkEnd w:id="466"/>
    </w:p>
    <w:p w14:paraId="48BACB78" w14:textId="77777777" w:rsidR="00950097" w:rsidRPr="00950097" w:rsidRDefault="00950097" w:rsidP="00950097">
      <w:pPr>
        <w:pStyle w:val="EndNoteBibliography"/>
        <w:spacing w:after="0"/>
        <w:ind w:left="720" w:hanging="720"/>
      </w:pPr>
      <w:bookmarkStart w:id="467" w:name="_ENREF_67"/>
      <w:r w:rsidRPr="00950097">
        <w:t xml:space="preserve">De Vos, W. M., Tilg, H., Van Hul, M. &amp; Cani, P. D. (2022) Gut microbiome and health: mechanistic insights. </w:t>
      </w:r>
      <w:r w:rsidRPr="00950097">
        <w:rPr>
          <w:i/>
        </w:rPr>
        <w:t>Gut,</w:t>
      </w:r>
      <w:r w:rsidRPr="00950097">
        <w:t xml:space="preserve"> 71(5)</w:t>
      </w:r>
      <w:r w:rsidRPr="00950097">
        <w:rPr>
          <w:b/>
        </w:rPr>
        <w:t>,</w:t>
      </w:r>
      <w:r w:rsidRPr="00950097">
        <w:t xml:space="preserve"> 1020-1032. 10.1136/gutjnl-2021-326789.</w:t>
      </w:r>
      <w:bookmarkEnd w:id="467"/>
    </w:p>
    <w:p w14:paraId="123F6B9C" w14:textId="77777777" w:rsidR="00950097" w:rsidRPr="00950097" w:rsidRDefault="00950097" w:rsidP="00950097">
      <w:pPr>
        <w:pStyle w:val="EndNoteBibliography"/>
        <w:spacing w:after="0"/>
        <w:ind w:left="720" w:hanging="720"/>
      </w:pPr>
      <w:bookmarkStart w:id="468" w:name="_ENREF_68"/>
      <w:r w:rsidRPr="00950097">
        <w:t xml:space="preserve">Defazio, J., Fleming, I. D., Shakhsheer, B., Zaborina, O. &amp; Alverdy, J. C. (2014) The opposing forces of the intestinal microbiome and the emerging pathobiome. </w:t>
      </w:r>
      <w:r w:rsidRPr="00950097">
        <w:rPr>
          <w:i/>
        </w:rPr>
        <w:t>Surgical Clinics of North America,</w:t>
      </w:r>
      <w:r w:rsidRPr="00950097">
        <w:t xml:space="preserve"> 94(6)</w:t>
      </w:r>
      <w:r w:rsidRPr="00950097">
        <w:rPr>
          <w:b/>
        </w:rPr>
        <w:t>,</w:t>
      </w:r>
      <w:r w:rsidRPr="00950097">
        <w:t xml:space="preserve"> 1151-1161. 10.1016/j.suc.2014.08.002.</w:t>
      </w:r>
      <w:bookmarkEnd w:id="468"/>
    </w:p>
    <w:p w14:paraId="632F85B2" w14:textId="77777777" w:rsidR="00950097" w:rsidRPr="00950097" w:rsidRDefault="00950097" w:rsidP="00950097">
      <w:pPr>
        <w:pStyle w:val="EndNoteBibliography"/>
        <w:spacing w:after="0"/>
        <w:ind w:left="720" w:hanging="720"/>
      </w:pPr>
      <w:bookmarkStart w:id="469" w:name="_ENREF_69"/>
      <w:r w:rsidRPr="00950097">
        <w:t xml:space="preserve">Dheilly, N. M., Poulin, R. &amp; Thomas, F. (2015) Biological warfare: Microorganisms as drivers of host–parasite interactions. </w:t>
      </w:r>
      <w:r w:rsidRPr="00950097">
        <w:rPr>
          <w:i/>
        </w:rPr>
        <w:t>Infection, Genetics and Evolution,</w:t>
      </w:r>
      <w:r w:rsidRPr="00950097">
        <w:t xml:space="preserve"> 34</w:t>
      </w:r>
      <w:r w:rsidRPr="00950097">
        <w:rPr>
          <w:b/>
        </w:rPr>
        <w:t>,</w:t>
      </w:r>
      <w:r w:rsidRPr="00950097">
        <w:t xml:space="preserve"> 251-259. 10.1016/J.MEEGID.2015.05.027.</w:t>
      </w:r>
      <w:bookmarkEnd w:id="469"/>
    </w:p>
    <w:p w14:paraId="7724C9B0" w14:textId="77777777" w:rsidR="00950097" w:rsidRPr="00950097" w:rsidRDefault="00950097" w:rsidP="00950097">
      <w:pPr>
        <w:pStyle w:val="EndNoteBibliography"/>
        <w:spacing w:after="0"/>
        <w:ind w:left="720" w:hanging="720"/>
      </w:pPr>
      <w:bookmarkStart w:id="470" w:name="_ENREF_70"/>
      <w:r w:rsidRPr="00950097">
        <w:t xml:space="preserve">Dickey-Collas, M., Briggs, R. P., Armstrong, M. J. &amp; Milligan, S. P. (2000) Production of </w:t>
      </w:r>
      <w:r w:rsidRPr="00950097">
        <w:rPr>
          <w:i/>
        </w:rPr>
        <w:t>Nephrops norvegicus</w:t>
      </w:r>
      <w:r w:rsidRPr="00950097">
        <w:t xml:space="preserve"> larvae in the Irish Sea. </w:t>
      </w:r>
      <w:r w:rsidRPr="00950097">
        <w:rPr>
          <w:i/>
        </w:rPr>
        <w:t>Marine Biology,</w:t>
      </w:r>
      <w:r w:rsidRPr="00950097">
        <w:t xml:space="preserve"> 137(5-6)</w:t>
      </w:r>
      <w:r w:rsidRPr="00950097">
        <w:rPr>
          <w:b/>
        </w:rPr>
        <w:t>,</w:t>
      </w:r>
      <w:r w:rsidRPr="00950097">
        <w:t xml:space="preserve"> 973-981. 10.1007/S002270000404/METRICS.</w:t>
      </w:r>
      <w:bookmarkEnd w:id="470"/>
    </w:p>
    <w:p w14:paraId="4AE4268A" w14:textId="77777777" w:rsidR="00950097" w:rsidRPr="00950097" w:rsidRDefault="00950097" w:rsidP="00950097">
      <w:pPr>
        <w:pStyle w:val="EndNoteBibliography"/>
        <w:spacing w:after="0"/>
        <w:ind w:left="720" w:hanging="720"/>
      </w:pPr>
      <w:bookmarkStart w:id="471" w:name="_ENREF_71"/>
      <w:r w:rsidRPr="00950097">
        <w:t>Ding, Z. F., Cao, M. J., Zhu, X. S., Xu, G. H. &amp; Wang, R. L. (2017) Changes in the gut microbiome of the Chinese mitten crab (</w:t>
      </w:r>
      <w:r w:rsidRPr="00950097">
        <w:rPr>
          <w:i/>
        </w:rPr>
        <w:t>Eriocheir sinensis</w:t>
      </w:r>
      <w:r w:rsidRPr="00950097">
        <w:t xml:space="preserve">) in response to White Spot Syndrome Virus (WSSV) infection. </w:t>
      </w:r>
      <w:r w:rsidRPr="00950097">
        <w:rPr>
          <w:i/>
        </w:rPr>
        <w:t>Journal of Fish Diseases,</w:t>
      </w:r>
      <w:r w:rsidRPr="00950097">
        <w:t xml:space="preserve"> 40(11)</w:t>
      </w:r>
      <w:r w:rsidRPr="00950097">
        <w:rPr>
          <w:b/>
        </w:rPr>
        <w:t>,</w:t>
      </w:r>
      <w:r w:rsidRPr="00950097">
        <w:t xml:space="preserve"> 1561-1571. 10.1111/jfd.12624.</w:t>
      </w:r>
      <w:bookmarkEnd w:id="471"/>
    </w:p>
    <w:p w14:paraId="52427C00" w14:textId="77777777" w:rsidR="00950097" w:rsidRPr="00950097" w:rsidRDefault="00950097" w:rsidP="00950097">
      <w:pPr>
        <w:pStyle w:val="EndNoteBibliography"/>
        <w:spacing w:after="0"/>
        <w:ind w:left="720" w:hanging="720"/>
      </w:pPr>
      <w:bookmarkStart w:id="472" w:name="_ENREF_72"/>
      <w:r w:rsidRPr="00950097">
        <w:t xml:space="preserve">Dissanayake, A., Galloway, T. S. &amp; Jones, M. B. (2008) Physiological responses of juvenile and adult shore crabs </w:t>
      </w:r>
      <w:r w:rsidRPr="00950097">
        <w:rPr>
          <w:i/>
        </w:rPr>
        <w:t xml:space="preserve">Carcinus maenas </w:t>
      </w:r>
      <w:r w:rsidRPr="00950097">
        <w:t xml:space="preserve">(Crustacea: Decapoda) to pyrene exposure. </w:t>
      </w:r>
      <w:r w:rsidRPr="00950097">
        <w:rPr>
          <w:i/>
        </w:rPr>
        <w:t>Marine Environmental Research,</w:t>
      </w:r>
      <w:r w:rsidRPr="00950097">
        <w:t xml:space="preserve"> 66(4)</w:t>
      </w:r>
      <w:r w:rsidRPr="00950097">
        <w:rPr>
          <w:b/>
        </w:rPr>
        <w:t>,</w:t>
      </w:r>
      <w:r w:rsidRPr="00950097">
        <w:t xml:space="preserve"> 445-450. 10.1016/j.marenvres.2008.07.006.</w:t>
      </w:r>
      <w:bookmarkEnd w:id="472"/>
    </w:p>
    <w:p w14:paraId="498068C2" w14:textId="77777777" w:rsidR="00950097" w:rsidRPr="00950097" w:rsidRDefault="00950097" w:rsidP="00950097">
      <w:pPr>
        <w:pStyle w:val="EndNoteBibliography"/>
        <w:spacing w:after="0"/>
        <w:ind w:left="720" w:hanging="720"/>
      </w:pPr>
      <w:bookmarkStart w:id="473" w:name="_ENREF_73"/>
      <w:r w:rsidRPr="00950097">
        <w:t xml:space="preserve">Diwan, A. D., Harke, S. N., Gopalkrishna &amp; Panche, A. N. (2022) Aquaculture industry prospective from gut microbiome of fish and shellfish: An overview. </w:t>
      </w:r>
      <w:r w:rsidRPr="00950097">
        <w:rPr>
          <w:i/>
        </w:rPr>
        <w:t>Journal of Animal Physiology and Animal Nutrition,</w:t>
      </w:r>
      <w:r w:rsidRPr="00950097">
        <w:t xml:space="preserve"> 106(2)</w:t>
      </w:r>
      <w:r w:rsidRPr="00950097">
        <w:rPr>
          <w:b/>
        </w:rPr>
        <w:t>,</w:t>
      </w:r>
      <w:r w:rsidRPr="00950097">
        <w:t xml:space="preserve"> 441-469. 10.1111/jpn.13619.</w:t>
      </w:r>
      <w:bookmarkEnd w:id="473"/>
    </w:p>
    <w:p w14:paraId="7F73EFCF" w14:textId="7D125AF5" w:rsidR="00950097" w:rsidRPr="00950097" w:rsidRDefault="00950097" w:rsidP="00950097">
      <w:pPr>
        <w:pStyle w:val="EndNoteBibliography"/>
        <w:spacing w:after="0"/>
        <w:ind w:left="720" w:hanging="720"/>
      </w:pPr>
      <w:bookmarkStart w:id="474" w:name="_ENREF_74"/>
      <w:r w:rsidRPr="00950097">
        <w:t xml:space="preserve">Dong, P., Guo, H., Wang, Y., Wang, R., Chen, H., Zhao, Y., Wang, K. &amp; Zhang, D. (2021) Gastrointestinal microbiota imbalance is triggered by the enrichment of </w:t>
      </w:r>
      <w:r w:rsidRPr="00950097">
        <w:rPr>
          <w:i/>
        </w:rPr>
        <w:t xml:space="preserve">Vibrio </w:t>
      </w:r>
      <w:r w:rsidRPr="00950097">
        <w:t xml:space="preserve">in subadult </w:t>
      </w:r>
      <w:r w:rsidRPr="00950097">
        <w:rPr>
          <w:i/>
        </w:rPr>
        <w:t xml:space="preserve">Litopenaeus vannamei </w:t>
      </w:r>
      <w:r w:rsidRPr="00950097">
        <w:t xml:space="preserve">with acute hepatopancreatic necrosis disease. </w:t>
      </w:r>
      <w:r w:rsidRPr="00950097">
        <w:rPr>
          <w:i/>
        </w:rPr>
        <w:t>Aquaculture,</w:t>
      </w:r>
      <w:r w:rsidRPr="00950097">
        <w:t xml:space="preserve"> 533</w:t>
      </w:r>
      <w:r w:rsidRPr="00950097">
        <w:rPr>
          <w:b/>
        </w:rPr>
        <w:t>,</w:t>
      </w:r>
      <w:r w:rsidRPr="00950097">
        <w:t xml:space="preserve"> 736199. </w:t>
      </w:r>
      <w:hyperlink r:id="rId128" w:history="1">
        <w:r w:rsidRPr="00950097">
          <w:rPr>
            <w:rStyle w:val="Hyperlink"/>
          </w:rPr>
          <w:t>https://doi.org/10.1016/j.aquaculture.2020.736199</w:t>
        </w:r>
      </w:hyperlink>
      <w:r w:rsidRPr="00950097">
        <w:t>.</w:t>
      </w:r>
      <w:bookmarkEnd w:id="474"/>
    </w:p>
    <w:p w14:paraId="1FA9F72A" w14:textId="77777777" w:rsidR="00950097" w:rsidRPr="00950097" w:rsidRDefault="00950097" w:rsidP="00950097">
      <w:pPr>
        <w:pStyle w:val="EndNoteBibliography"/>
        <w:spacing w:after="0"/>
        <w:ind w:left="720" w:hanging="720"/>
      </w:pPr>
      <w:bookmarkStart w:id="475" w:name="_ENREF_75"/>
      <w:r w:rsidRPr="00950097">
        <w:t xml:space="preserve">Drew, G. C., Stevens, E. J. &amp; King, K. C. (2021) Microbial evolution and transitions along the parasite–mutualist continuum. </w:t>
      </w:r>
      <w:r w:rsidRPr="00950097">
        <w:rPr>
          <w:i/>
        </w:rPr>
        <w:t>Nature Reviews Microbiology,</w:t>
      </w:r>
      <w:r w:rsidRPr="00950097">
        <w:t xml:space="preserve"> 19(10)</w:t>
      </w:r>
      <w:r w:rsidRPr="00950097">
        <w:rPr>
          <w:b/>
        </w:rPr>
        <w:t>,</w:t>
      </w:r>
      <w:r w:rsidRPr="00950097">
        <w:t xml:space="preserve"> 623-638. 10.1038/s41579-021-00550-7.</w:t>
      </w:r>
      <w:bookmarkEnd w:id="475"/>
    </w:p>
    <w:p w14:paraId="582AF59C" w14:textId="42543192" w:rsidR="00950097" w:rsidRPr="00950097" w:rsidRDefault="00950097" w:rsidP="00950097">
      <w:pPr>
        <w:pStyle w:val="EndNoteBibliography"/>
        <w:spacing w:after="0"/>
        <w:ind w:left="720" w:hanging="720"/>
      </w:pPr>
      <w:bookmarkStart w:id="476" w:name="_ENREF_76"/>
      <w:r w:rsidRPr="00950097">
        <w:t xml:space="preserve">Duan, Y., Lu, Z., Zeng, S., Dan, X., Mo, Z., Zhang, J. &amp; Li, Y. (2021) Integration of intestinal microbiota and transcriptomic and metabolomic responses reveals the toxic responses of </w:t>
      </w:r>
      <w:r w:rsidRPr="00950097">
        <w:rPr>
          <w:i/>
        </w:rPr>
        <w:t>Litopenaeus vannamei</w:t>
      </w:r>
      <w:r w:rsidRPr="00950097">
        <w:t xml:space="preserve"> to microcystin-LR. </w:t>
      </w:r>
      <w:r w:rsidRPr="00950097">
        <w:rPr>
          <w:i/>
        </w:rPr>
        <w:t>Ecotoxicology and Environmental Safety,</w:t>
      </w:r>
      <w:r w:rsidRPr="00950097">
        <w:t xml:space="preserve"> 228</w:t>
      </w:r>
      <w:r w:rsidRPr="00950097">
        <w:rPr>
          <w:b/>
        </w:rPr>
        <w:t>,</w:t>
      </w:r>
      <w:r w:rsidRPr="00950097">
        <w:t xml:space="preserve"> 113030. </w:t>
      </w:r>
      <w:hyperlink r:id="rId129" w:history="1">
        <w:r w:rsidRPr="00950097">
          <w:rPr>
            <w:rStyle w:val="Hyperlink"/>
          </w:rPr>
          <w:t>https://doi.org/10.1016/j.ecoenv.2021.113030</w:t>
        </w:r>
      </w:hyperlink>
      <w:r w:rsidRPr="00950097">
        <w:t>.</w:t>
      </w:r>
      <w:bookmarkEnd w:id="476"/>
    </w:p>
    <w:p w14:paraId="20D7C952" w14:textId="6A5EEC85" w:rsidR="00950097" w:rsidRPr="00950097" w:rsidRDefault="00950097" w:rsidP="00950097">
      <w:pPr>
        <w:pStyle w:val="EndNoteBibliography"/>
        <w:spacing w:after="0"/>
        <w:ind w:left="720" w:hanging="720"/>
      </w:pPr>
      <w:bookmarkStart w:id="477" w:name="_ENREF_77"/>
      <w:r w:rsidRPr="00950097">
        <w:t xml:space="preserve">Duan, Y., Wang, Y., Liu, Q., Zhang, J. &amp; Xiong, D. (2019) Changes in the intestine barrier function of </w:t>
      </w:r>
      <w:r w:rsidRPr="00950097">
        <w:rPr>
          <w:i/>
        </w:rPr>
        <w:t>Litopenaeus vannamei</w:t>
      </w:r>
      <w:r w:rsidRPr="00950097">
        <w:t xml:space="preserve"> in response to pH stress. </w:t>
      </w:r>
      <w:r w:rsidRPr="00950097">
        <w:rPr>
          <w:i/>
        </w:rPr>
        <w:t>Fish and Shellfish Immunology,</w:t>
      </w:r>
      <w:r w:rsidRPr="00950097">
        <w:t xml:space="preserve"> 88</w:t>
      </w:r>
      <w:r w:rsidRPr="00950097">
        <w:rPr>
          <w:b/>
        </w:rPr>
        <w:t>,</w:t>
      </w:r>
      <w:r w:rsidRPr="00950097">
        <w:t xml:space="preserve"> 142-149. </w:t>
      </w:r>
      <w:hyperlink r:id="rId130" w:history="1">
        <w:r w:rsidRPr="00950097">
          <w:rPr>
            <w:rStyle w:val="Hyperlink"/>
          </w:rPr>
          <w:t>https://doi.org/10.1016/j.fsi.2019.02.047</w:t>
        </w:r>
      </w:hyperlink>
      <w:r w:rsidRPr="00950097">
        <w:t>.</w:t>
      </w:r>
      <w:bookmarkEnd w:id="477"/>
    </w:p>
    <w:p w14:paraId="257ED18A" w14:textId="77777777" w:rsidR="00950097" w:rsidRPr="00950097" w:rsidRDefault="00950097" w:rsidP="00950097">
      <w:pPr>
        <w:pStyle w:val="EndNoteBibliography"/>
        <w:spacing w:after="0"/>
        <w:ind w:left="720" w:hanging="720"/>
      </w:pPr>
      <w:bookmarkStart w:id="478" w:name="_ENREF_78"/>
      <w:r w:rsidRPr="00950097">
        <w:t xml:space="preserve">Durack, J. &amp; Lynch, S. V. (2019) The gut microbiome: relationships with disease and opportunities for therapy. </w:t>
      </w:r>
      <w:r w:rsidRPr="00950097">
        <w:rPr>
          <w:i/>
        </w:rPr>
        <w:t>Journal of Experimental Medicine,</w:t>
      </w:r>
      <w:r w:rsidRPr="00950097">
        <w:t xml:space="preserve"> 216(1)</w:t>
      </w:r>
      <w:r w:rsidRPr="00950097">
        <w:rPr>
          <w:b/>
        </w:rPr>
        <w:t>,</w:t>
      </w:r>
      <w:r w:rsidRPr="00950097">
        <w:t xml:space="preserve"> 20-40. 10.1084/jem.20180448.</w:t>
      </w:r>
      <w:bookmarkEnd w:id="478"/>
    </w:p>
    <w:p w14:paraId="7034FAA4" w14:textId="77777777" w:rsidR="00950097" w:rsidRPr="00950097" w:rsidRDefault="00950097" w:rsidP="00950097">
      <w:pPr>
        <w:pStyle w:val="EndNoteBibliography"/>
        <w:spacing w:after="0"/>
        <w:ind w:left="720" w:hanging="720"/>
      </w:pPr>
      <w:bookmarkStart w:id="479" w:name="_ENREF_79"/>
      <w:r w:rsidRPr="00950097">
        <w:t>Eaton, W. D., Love, D. C., Botelho, C., Meyers, T. R., Imamura, K. &amp; Koeneman, T. (1991) Preliminary results on the seasonality and life cycle of the parasitic dinoflagellate causing bitter crab disease in Alaskan Tanner crabs (</w:t>
      </w:r>
      <w:r w:rsidRPr="00950097">
        <w:rPr>
          <w:i/>
        </w:rPr>
        <w:t>Chionoecetes bairdi</w:t>
      </w:r>
      <w:r w:rsidRPr="00950097">
        <w:t xml:space="preserve">). </w:t>
      </w:r>
      <w:r w:rsidRPr="00950097">
        <w:rPr>
          <w:i/>
        </w:rPr>
        <w:t>Journal of Invertebrate Pathology,</w:t>
      </w:r>
      <w:r w:rsidRPr="00950097">
        <w:t xml:space="preserve"> 57(3)</w:t>
      </w:r>
      <w:r w:rsidRPr="00950097">
        <w:rPr>
          <w:b/>
        </w:rPr>
        <w:t>,</w:t>
      </w:r>
      <w:r w:rsidRPr="00950097">
        <w:t xml:space="preserve"> 426-434. 10.1016/0022-2011(91)90147-I.</w:t>
      </w:r>
      <w:bookmarkEnd w:id="479"/>
    </w:p>
    <w:p w14:paraId="609B3204" w14:textId="77777777" w:rsidR="00950097" w:rsidRPr="00950097" w:rsidRDefault="00950097" w:rsidP="00950097">
      <w:pPr>
        <w:pStyle w:val="EndNoteBibliography"/>
        <w:spacing w:after="0"/>
        <w:ind w:left="720" w:hanging="720"/>
      </w:pPr>
      <w:bookmarkStart w:id="480" w:name="_ENREF_80"/>
      <w:r w:rsidRPr="00950097">
        <w:t xml:space="preserve">Ebert, D. (2005) Population dynamics and community ecology. In:  </w:t>
      </w:r>
      <w:r w:rsidRPr="00950097">
        <w:rPr>
          <w:i/>
        </w:rPr>
        <w:t>Ecology, epidemiology, and evolution of parasitism in Daphnia.</w:t>
      </w:r>
      <w:r w:rsidRPr="00950097">
        <w:t xml:space="preserve"> National Center for Biotechnology Information (US).</w:t>
      </w:r>
      <w:bookmarkEnd w:id="480"/>
    </w:p>
    <w:p w14:paraId="743BE6FE" w14:textId="77777777" w:rsidR="00950097" w:rsidRPr="00950097" w:rsidRDefault="00950097" w:rsidP="00950097">
      <w:pPr>
        <w:pStyle w:val="EndNoteBibliography"/>
        <w:spacing w:after="0"/>
        <w:ind w:left="720" w:hanging="720"/>
      </w:pPr>
      <w:bookmarkStart w:id="481" w:name="_ENREF_81"/>
      <w:r w:rsidRPr="00950097">
        <w:t xml:space="preserve">Egan, S. &amp; Gardiner, M. (2016) Microbial dysbiosis: Rethinking disease in marine ecosystems. </w:t>
      </w:r>
      <w:r w:rsidRPr="00950097">
        <w:rPr>
          <w:i/>
        </w:rPr>
        <w:t>Frontiers in Microbiology,</w:t>
      </w:r>
      <w:r w:rsidRPr="00950097">
        <w:t xml:space="preserve"> 7(JUN)</w:t>
      </w:r>
      <w:r w:rsidRPr="00950097">
        <w:rPr>
          <w:b/>
        </w:rPr>
        <w:t>,</w:t>
      </w:r>
      <w:r w:rsidRPr="00950097">
        <w:t xml:space="preserve"> 1-8. 10.3389/fmicb.2016.00991.</w:t>
      </w:r>
      <w:bookmarkEnd w:id="481"/>
    </w:p>
    <w:p w14:paraId="272F1CA7" w14:textId="77777777" w:rsidR="00950097" w:rsidRPr="00950097" w:rsidRDefault="00950097" w:rsidP="00950097">
      <w:pPr>
        <w:pStyle w:val="EndNoteBibliography"/>
        <w:spacing w:after="0"/>
        <w:ind w:left="720" w:hanging="720"/>
      </w:pPr>
      <w:bookmarkStart w:id="482" w:name="_ENREF_82"/>
      <w:r w:rsidRPr="00950097">
        <w:t xml:space="preserve">Eigemann, F., Burmeister, A. &amp; Skovgaard, A. (2010) </w:t>
      </w:r>
      <w:r w:rsidRPr="00950097">
        <w:rPr>
          <w:i/>
        </w:rPr>
        <w:t xml:space="preserve">Hematodinium </w:t>
      </w:r>
      <w:r w:rsidRPr="00950097">
        <w:t xml:space="preserve">sp. (Alveolata, </w:t>
      </w:r>
      <w:r w:rsidRPr="00950097">
        <w:rPr>
          <w:i/>
        </w:rPr>
        <w:t>Syndinea</w:t>
      </w:r>
      <w:r w:rsidRPr="00950097">
        <w:t xml:space="preserve">) detected in marine decapod crustaceans from waters of Denmark and Greenland. </w:t>
      </w:r>
      <w:r w:rsidRPr="00950097">
        <w:rPr>
          <w:i/>
        </w:rPr>
        <w:t>Diseases of Aquatic Organisms,</w:t>
      </w:r>
      <w:r w:rsidRPr="00950097">
        <w:t xml:space="preserve"> 92(1)</w:t>
      </w:r>
      <w:r w:rsidRPr="00950097">
        <w:rPr>
          <w:b/>
        </w:rPr>
        <w:t>,</w:t>
      </w:r>
      <w:r w:rsidRPr="00950097">
        <w:t xml:space="preserve"> 59-68. 10.3354/dao02257.</w:t>
      </w:r>
      <w:bookmarkEnd w:id="482"/>
    </w:p>
    <w:p w14:paraId="42D11DAB" w14:textId="77777777" w:rsidR="00950097" w:rsidRPr="00950097" w:rsidRDefault="00950097" w:rsidP="00950097">
      <w:pPr>
        <w:pStyle w:val="EndNoteBibliography"/>
        <w:spacing w:after="0"/>
        <w:ind w:left="720" w:hanging="720"/>
      </w:pPr>
      <w:bookmarkStart w:id="483" w:name="_ENREF_83"/>
      <w:r w:rsidRPr="00950097">
        <w:t xml:space="preserve">Ellerbroek, A. (2018) The effect of ketogenic diets on the gut microbiota. </w:t>
      </w:r>
      <w:r w:rsidRPr="00950097">
        <w:rPr>
          <w:i/>
        </w:rPr>
        <w:t>Journal of Exercise and Nutrition,</w:t>
      </w:r>
      <w:r w:rsidRPr="00950097">
        <w:t xml:space="preserve"> 1(5).</w:t>
      </w:r>
      <w:bookmarkEnd w:id="483"/>
    </w:p>
    <w:p w14:paraId="18C290CD" w14:textId="77777777" w:rsidR="00950097" w:rsidRPr="00950097" w:rsidRDefault="00950097" w:rsidP="00950097">
      <w:pPr>
        <w:pStyle w:val="EndNoteBibliography"/>
        <w:spacing w:after="0"/>
        <w:ind w:left="720" w:hanging="720"/>
      </w:pPr>
      <w:bookmarkStart w:id="484" w:name="_ENREF_84"/>
      <w:r w:rsidRPr="00950097">
        <w:t xml:space="preserve">Elsheshtawy, A., Clokie, B. G. J., Albalat, A., Beveridge, A., Hamza, A., Ibrahim, A. &amp; MacKenzie, S. (2021) Characterization of external mucosal microbiomes of Nile tilapia and grey mullet co-cultured in semi-intensive pond systems. </w:t>
      </w:r>
      <w:r w:rsidRPr="00950097">
        <w:rPr>
          <w:i/>
        </w:rPr>
        <w:t>Frontiers in Microbiology,</w:t>
      </w:r>
      <w:r w:rsidRPr="00950097">
        <w:t xml:space="preserve"> 12</w:t>
      </w:r>
      <w:r w:rsidRPr="00950097">
        <w:rPr>
          <w:b/>
        </w:rPr>
        <w:t>,</w:t>
      </w:r>
      <w:r w:rsidRPr="00950097">
        <w:t xml:space="preserve"> 3729-3729. 10.3389/FMICB.2021.773860/BIBTEX.</w:t>
      </w:r>
      <w:bookmarkEnd w:id="484"/>
    </w:p>
    <w:p w14:paraId="58BDB579" w14:textId="77777777" w:rsidR="00950097" w:rsidRPr="00950097" w:rsidRDefault="00950097" w:rsidP="00950097">
      <w:pPr>
        <w:pStyle w:val="EndNoteBibliography"/>
        <w:spacing w:after="0"/>
        <w:ind w:left="720" w:hanging="720"/>
      </w:pPr>
      <w:bookmarkStart w:id="485" w:name="_ENREF_85"/>
      <w:r w:rsidRPr="00950097">
        <w:t xml:space="preserve">Fan, J., Chen, L., Mai, G., Zhang, H., Yang, J., Deng, D. &amp; Ma, Y. (2019) Dynamics of the gut microbiota in developmental stages of </w:t>
      </w:r>
      <w:r w:rsidRPr="00950097">
        <w:rPr>
          <w:i/>
        </w:rPr>
        <w:t>Litopenaeus vannamei</w:t>
      </w:r>
      <w:r w:rsidRPr="00950097">
        <w:t xml:space="preserve"> reveal its association with body weight. </w:t>
      </w:r>
      <w:r w:rsidRPr="00950097">
        <w:rPr>
          <w:i/>
        </w:rPr>
        <w:t>Scientific Reports,</w:t>
      </w:r>
      <w:r w:rsidRPr="00950097">
        <w:t xml:space="preserve"> 9(1). 10.1038/s41598-018-37042-3.</w:t>
      </w:r>
      <w:bookmarkEnd w:id="485"/>
    </w:p>
    <w:p w14:paraId="1004E065" w14:textId="77777777" w:rsidR="00950097" w:rsidRPr="00950097" w:rsidRDefault="00950097" w:rsidP="00950097">
      <w:pPr>
        <w:pStyle w:val="EndNoteBibliography"/>
        <w:spacing w:after="0"/>
        <w:ind w:left="720" w:hanging="720"/>
      </w:pPr>
      <w:bookmarkStart w:id="486" w:name="_ENREF_86"/>
      <w:r w:rsidRPr="00950097">
        <w:t xml:space="preserve">Farmer, A. S. (1973) Age and growth in </w:t>
      </w:r>
      <w:r w:rsidRPr="00950097">
        <w:rPr>
          <w:i/>
        </w:rPr>
        <w:t>Nephrops norvegicus</w:t>
      </w:r>
      <w:r w:rsidRPr="00950097">
        <w:t xml:space="preserve"> (Decapoda: </w:t>
      </w:r>
      <w:r w:rsidRPr="00950097">
        <w:rPr>
          <w:i/>
        </w:rPr>
        <w:t>Nephropidae</w:t>
      </w:r>
      <w:r w:rsidRPr="00950097">
        <w:t xml:space="preserve">). </w:t>
      </w:r>
      <w:r w:rsidRPr="00950097">
        <w:rPr>
          <w:i/>
        </w:rPr>
        <w:t>Marine Biology,</w:t>
      </w:r>
      <w:r w:rsidRPr="00950097">
        <w:t xml:space="preserve"> 23(4)</w:t>
      </w:r>
      <w:r w:rsidRPr="00950097">
        <w:rPr>
          <w:b/>
        </w:rPr>
        <w:t>,</w:t>
      </w:r>
      <w:r w:rsidRPr="00950097">
        <w:t xml:space="preserve"> 315-325. 10.1007/BF00389339.</w:t>
      </w:r>
      <w:bookmarkEnd w:id="486"/>
    </w:p>
    <w:p w14:paraId="63785DAC" w14:textId="77777777" w:rsidR="00950097" w:rsidRPr="00950097" w:rsidRDefault="00950097" w:rsidP="00950097">
      <w:pPr>
        <w:pStyle w:val="EndNoteBibliography"/>
        <w:spacing w:after="0"/>
        <w:ind w:left="720" w:hanging="720"/>
      </w:pPr>
      <w:bookmarkStart w:id="487" w:name="_ENREF_87"/>
      <w:r w:rsidRPr="00950097">
        <w:t xml:space="preserve">Farmer, A. S. (1974) The development of the external sexual characters of </w:t>
      </w:r>
      <w:r w:rsidRPr="00950097">
        <w:rPr>
          <w:i/>
        </w:rPr>
        <w:t>Nephrops norvegicus</w:t>
      </w:r>
      <w:r w:rsidRPr="00950097">
        <w:t xml:space="preserve"> (L.) (Decapoda: </w:t>
      </w:r>
      <w:r w:rsidRPr="00950097">
        <w:rPr>
          <w:i/>
        </w:rPr>
        <w:t>Nephropidae</w:t>
      </w:r>
      <w:r w:rsidRPr="00950097">
        <w:t xml:space="preserve">). </w:t>
      </w:r>
      <w:r w:rsidRPr="00950097">
        <w:rPr>
          <w:i/>
        </w:rPr>
        <w:t>Journal of Natural History,</w:t>
      </w:r>
      <w:r w:rsidRPr="00950097">
        <w:t xml:space="preserve"> 8(3)</w:t>
      </w:r>
      <w:r w:rsidRPr="00950097">
        <w:rPr>
          <w:b/>
        </w:rPr>
        <w:t>,</w:t>
      </w:r>
      <w:r w:rsidRPr="00950097">
        <w:t xml:space="preserve"> 241-255. 10.1080/00222937400770231.</w:t>
      </w:r>
      <w:bookmarkEnd w:id="487"/>
    </w:p>
    <w:p w14:paraId="3AB46323" w14:textId="77777777" w:rsidR="00950097" w:rsidRPr="00950097" w:rsidRDefault="00950097" w:rsidP="00950097">
      <w:pPr>
        <w:pStyle w:val="EndNoteBibliography"/>
        <w:spacing w:after="0"/>
        <w:ind w:left="720" w:hanging="720"/>
      </w:pPr>
      <w:bookmarkStart w:id="488" w:name="_ENREF_88"/>
      <w:r w:rsidRPr="00950097">
        <w:t xml:space="preserve">Farmer, A. S. (2009) Reproduction in </w:t>
      </w:r>
      <w:r w:rsidRPr="00950097">
        <w:rPr>
          <w:i/>
        </w:rPr>
        <w:t xml:space="preserve">Nephrops norvegicus </w:t>
      </w:r>
      <w:r w:rsidRPr="00950097">
        <w:t xml:space="preserve">(Decapoda: </w:t>
      </w:r>
      <w:r w:rsidRPr="00950097">
        <w:rPr>
          <w:i/>
        </w:rPr>
        <w:t>Nephropidae</w:t>
      </w:r>
      <w:r w:rsidRPr="00950097">
        <w:t xml:space="preserve">). </w:t>
      </w:r>
      <w:r w:rsidRPr="00950097">
        <w:rPr>
          <w:i/>
        </w:rPr>
        <w:t>Journal of Zoology,</w:t>
      </w:r>
      <w:r w:rsidRPr="00950097">
        <w:t xml:space="preserve"> 174(2)</w:t>
      </w:r>
      <w:r w:rsidRPr="00950097">
        <w:rPr>
          <w:b/>
        </w:rPr>
        <w:t>,</w:t>
      </w:r>
      <w:r w:rsidRPr="00950097">
        <w:t xml:space="preserve"> 161-183. 10.1111/j.1469-7998.1974.tb03150.x.</w:t>
      </w:r>
      <w:bookmarkEnd w:id="488"/>
    </w:p>
    <w:p w14:paraId="6897CDC7" w14:textId="77777777" w:rsidR="00950097" w:rsidRPr="00950097" w:rsidRDefault="00950097" w:rsidP="00950097">
      <w:pPr>
        <w:pStyle w:val="EndNoteBibliography"/>
        <w:spacing w:after="0"/>
        <w:ind w:left="720" w:hanging="720"/>
      </w:pPr>
      <w:bookmarkStart w:id="489" w:name="_ENREF_89"/>
      <w:r w:rsidRPr="00950097">
        <w:t xml:space="preserve">Fazhan, H., Waiho, K., Glenner, H., Moh, J. H. Z., Hassan, M. &amp; Ikhwanuddin, M. (2020) Gonadal degeneration and hepatopancreas alteration in orange mud crab </w:t>
      </w:r>
      <w:r w:rsidRPr="00950097">
        <w:rPr>
          <w:i/>
        </w:rPr>
        <w:t>Scylla olivacea</w:t>
      </w:r>
      <w:r w:rsidRPr="00950097">
        <w:t xml:space="preserve"> infected with </w:t>
      </w:r>
      <w:r w:rsidRPr="00950097">
        <w:rPr>
          <w:i/>
        </w:rPr>
        <w:t>Sacculina beauforti</w:t>
      </w:r>
      <w:r w:rsidRPr="00950097">
        <w:t xml:space="preserve"> (Crustacea; Rhizocephala; </w:t>
      </w:r>
      <w:r w:rsidRPr="00950097">
        <w:rPr>
          <w:i/>
        </w:rPr>
        <w:t>Sacculinidae</w:t>
      </w:r>
      <w:r w:rsidRPr="00950097">
        <w:t xml:space="preserve">). </w:t>
      </w:r>
      <w:r w:rsidRPr="00950097">
        <w:rPr>
          <w:i/>
        </w:rPr>
        <w:t>Frontiers in Marine Science,</w:t>
      </w:r>
      <w:r w:rsidRPr="00950097">
        <w:t xml:space="preserve"> 7</w:t>
      </w:r>
      <w:r w:rsidRPr="00950097">
        <w:rPr>
          <w:b/>
        </w:rPr>
        <w:t>,</w:t>
      </w:r>
      <w:r w:rsidRPr="00950097">
        <w:t xml:space="preserve"> 534443-534443. 10.3389/FMARS.2020.534443/BIBTEX.</w:t>
      </w:r>
      <w:bookmarkEnd w:id="489"/>
    </w:p>
    <w:p w14:paraId="36D30FA5" w14:textId="77777777" w:rsidR="00950097" w:rsidRPr="00950097" w:rsidRDefault="00950097" w:rsidP="00950097">
      <w:pPr>
        <w:pStyle w:val="EndNoteBibliography"/>
        <w:spacing w:after="0"/>
        <w:ind w:left="720" w:hanging="720"/>
      </w:pPr>
      <w:bookmarkStart w:id="490" w:name="_ENREF_90"/>
      <w:r w:rsidRPr="00950097">
        <w:t xml:space="preserve">Feofilova, E. P., Sergeeva, Y. E., Mysyakina, I. S. &amp; Bokareva, D. A. (2015) Lipid composition in cell walls and in mycelial and spore cells of mycelial fungi. </w:t>
      </w:r>
      <w:r w:rsidRPr="00950097">
        <w:rPr>
          <w:i/>
        </w:rPr>
        <w:t>Microbiology,</w:t>
      </w:r>
      <w:r w:rsidRPr="00950097">
        <w:t xml:space="preserve"> 84(2)</w:t>
      </w:r>
      <w:r w:rsidRPr="00950097">
        <w:rPr>
          <w:b/>
        </w:rPr>
        <w:t>,</w:t>
      </w:r>
      <w:r w:rsidRPr="00950097">
        <w:t xml:space="preserve"> 170-176. 10.1134/s0026261715020046.</w:t>
      </w:r>
      <w:bookmarkEnd w:id="490"/>
    </w:p>
    <w:p w14:paraId="2640C211" w14:textId="77777777" w:rsidR="00950097" w:rsidRPr="00950097" w:rsidRDefault="00950097" w:rsidP="00950097">
      <w:pPr>
        <w:pStyle w:val="EndNoteBibliography"/>
        <w:spacing w:after="0"/>
        <w:ind w:left="720" w:hanging="720"/>
      </w:pPr>
      <w:bookmarkStart w:id="491" w:name="_ENREF_91"/>
      <w:r w:rsidRPr="00950097">
        <w:t xml:space="preserve">Field, R. H. (1992) </w:t>
      </w:r>
      <w:r w:rsidRPr="00950097">
        <w:rPr>
          <w:i/>
        </w:rPr>
        <w:t>The control of escape behaviour in, and the histopathology of, the Norway lobster, Nephrops norvegicus (L.).</w:t>
      </w:r>
      <w:r w:rsidRPr="00950097">
        <w:t xml:space="preserve"> PhD thesis  University of Glasgow.</w:t>
      </w:r>
      <w:bookmarkEnd w:id="491"/>
    </w:p>
    <w:p w14:paraId="675CA1BD" w14:textId="77777777" w:rsidR="00950097" w:rsidRPr="00950097" w:rsidRDefault="00950097" w:rsidP="00950097">
      <w:pPr>
        <w:pStyle w:val="EndNoteBibliography"/>
        <w:spacing w:after="0"/>
        <w:ind w:left="720" w:hanging="720"/>
      </w:pPr>
      <w:bookmarkStart w:id="492" w:name="_ENREF_92"/>
      <w:r w:rsidRPr="00950097">
        <w:t xml:space="preserve">Field, R. H. &amp; Appleton, P. L. (1995) A </w:t>
      </w:r>
      <w:r w:rsidRPr="00950097">
        <w:rPr>
          <w:i/>
        </w:rPr>
        <w:t>Hematodinium</w:t>
      </w:r>
      <w:r w:rsidRPr="00950097">
        <w:t xml:space="preserve">-like dinoflagellate infection of the Norway lobster </w:t>
      </w:r>
      <w:r w:rsidRPr="00950097">
        <w:rPr>
          <w:i/>
        </w:rPr>
        <w:t>Nephrops norvegicus</w:t>
      </w:r>
      <w:r w:rsidRPr="00950097">
        <w:t xml:space="preserve">: observations on pathology and progression of infection. </w:t>
      </w:r>
      <w:r w:rsidRPr="00950097">
        <w:rPr>
          <w:i/>
        </w:rPr>
        <w:t>Diseases of Aquatic Organisms,</w:t>
      </w:r>
      <w:r w:rsidRPr="00950097">
        <w:t xml:space="preserve"> 22(2)</w:t>
      </w:r>
      <w:r w:rsidRPr="00950097">
        <w:rPr>
          <w:b/>
        </w:rPr>
        <w:t>,</w:t>
      </w:r>
      <w:r w:rsidRPr="00950097">
        <w:t xml:space="preserve"> 115-128. 10.3354/dao022115.</w:t>
      </w:r>
      <w:bookmarkEnd w:id="492"/>
    </w:p>
    <w:p w14:paraId="59849202" w14:textId="77777777" w:rsidR="00950097" w:rsidRPr="00950097" w:rsidRDefault="00950097" w:rsidP="00950097">
      <w:pPr>
        <w:pStyle w:val="EndNoteBibliography"/>
        <w:spacing w:after="0"/>
        <w:ind w:left="720" w:hanging="720"/>
      </w:pPr>
      <w:bookmarkStart w:id="493" w:name="_ENREF_93"/>
      <w:r w:rsidRPr="00950097">
        <w:t xml:space="preserve">Field, R. H. &amp; Appleton, P. L. (1996) An indirect fluorescent antibody technique for the diagnosis of </w:t>
      </w:r>
      <w:r w:rsidRPr="00950097">
        <w:rPr>
          <w:i/>
        </w:rPr>
        <w:t xml:space="preserve">Hematodinium </w:t>
      </w:r>
      <w:r w:rsidRPr="00950097">
        <w:t xml:space="preserve">sp. infection of the Norway lobster </w:t>
      </w:r>
      <w:r w:rsidRPr="00950097">
        <w:rPr>
          <w:i/>
        </w:rPr>
        <w:t>Nephrops norvegicus</w:t>
      </w:r>
      <w:r w:rsidRPr="00950097">
        <w:t xml:space="preserve">. </w:t>
      </w:r>
      <w:r w:rsidRPr="00950097">
        <w:rPr>
          <w:i/>
        </w:rPr>
        <w:t>Diseases of Aquatic Organisms,</w:t>
      </w:r>
      <w:r w:rsidRPr="00950097">
        <w:t xml:space="preserve"> 24(3)</w:t>
      </w:r>
      <w:r w:rsidRPr="00950097">
        <w:rPr>
          <w:b/>
        </w:rPr>
        <w:t>,</w:t>
      </w:r>
      <w:r w:rsidRPr="00950097">
        <w:t xml:space="preserve"> 199-204. 10.3354/dao024199.</w:t>
      </w:r>
      <w:bookmarkEnd w:id="493"/>
    </w:p>
    <w:p w14:paraId="34413CD0" w14:textId="77777777" w:rsidR="00950097" w:rsidRPr="00950097" w:rsidRDefault="00950097" w:rsidP="00950097">
      <w:pPr>
        <w:pStyle w:val="EndNoteBibliography"/>
        <w:spacing w:after="0"/>
        <w:ind w:left="720" w:hanging="720"/>
      </w:pPr>
      <w:bookmarkStart w:id="494" w:name="_ENREF_94"/>
      <w:r w:rsidRPr="00950097">
        <w:t xml:space="preserve">Field, R. H., Appleton, P. L., Vickerman, K., Atkinson, R. J. A., Taylor, A. C., Rogerson, A., Neil, D. M. &amp; Shanks, A. (1995) Mortality of </w:t>
      </w:r>
      <w:r w:rsidRPr="00950097">
        <w:rPr>
          <w:i/>
        </w:rPr>
        <w:t xml:space="preserve">Nephrops norvegicus </w:t>
      </w:r>
      <w:r w:rsidRPr="00950097">
        <w:t>on the West Coast of Scotland. Project reference: CSA 2139. Report to the Ministry of Agriculture, Fisheries and Food, UK.</w:t>
      </w:r>
      <w:bookmarkEnd w:id="494"/>
    </w:p>
    <w:p w14:paraId="63C4E5DC" w14:textId="77777777" w:rsidR="00950097" w:rsidRPr="00950097" w:rsidRDefault="00950097" w:rsidP="00950097">
      <w:pPr>
        <w:pStyle w:val="EndNoteBibliography"/>
        <w:spacing w:after="0"/>
        <w:ind w:left="720" w:hanging="720"/>
      </w:pPr>
      <w:bookmarkStart w:id="495" w:name="_ENREF_95"/>
      <w:r w:rsidRPr="00950097">
        <w:t xml:space="preserve">Field, R. H., Chapman, C. J., Taylor, A. C., Neil, D. M. &amp; Vickerman, K. (1992) Infection of the Norway lobster </w:t>
      </w:r>
      <w:r w:rsidRPr="00950097">
        <w:rPr>
          <w:i/>
        </w:rPr>
        <w:t>Nephrons norvegicus</w:t>
      </w:r>
      <w:r w:rsidRPr="00950097">
        <w:t xml:space="preserve"> by a </w:t>
      </w:r>
      <w:r w:rsidRPr="00950097">
        <w:rPr>
          <w:i/>
        </w:rPr>
        <w:t>Hematodinium</w:t>
      </w:r>
      <w:r w:rsidRPr="00950097">
        <w:t xml:space="preserve">-like species of dinoflagellate on the west coast of Scotland. </w:t>
      </w:r>
      <w:r w:rsidRPr="00950097">
        <w:rPr>
          <w:i/>
        </w:rPr>
        <w:t>Diseases of Aquatic Organisms,</w:t>
      </w:r>
      <w:r w:rsidRPr="00950097">
        <w:t xml:space="preserve"> 13(1)</w:t>
      </w:r>
      <w:r w:rsidRPr="00950097">
        <w:rPr>
          <w:b/>
        </w:rPr>
        <w:t>,</w:t>
      </w:r>
      <w:r w:rsidRPr="00950097">
        <w:t xml:space="preserve"> 1-15. 10.3354/dao013001.</w:t>
      </w:r>
      <w:bookmarkEnd w:id="495"/>
    </w:p>
    <w:p w14:paraId="57FBC877" w14:textId="77777777" w:rsidR="00950097" w:rsidRPr="00950097" w:rsidRDefault="00950097" w:rsidP="00950097">
      <w:pPr>
        <w:pStyle w:val="EndNoteBibliography"/>
        <w:spacing w:after="0"/>
        <w:ind w:left="720" w:hanging="720"/>
      </w:pPr>
      <w:bookmarkStart w:id="496" w:name="_ENREF_96"/>
      <w:r w:rsidRPr="00950097">
        <w:t xml:space="preserve">Field, R. H., Hills, J. M., Atkinson, R. J. A., Magill, S. &amp; Shanks, A. M. (1998) Distribution and seasonal prevalence of </w:t>
      </w:r>
      <w:r w:rsidRPr="00950097">
        <w:rPr>
          <w:i/>
        </w:rPr>
        <w:t>Hematodinium</w:t>
      </w:r>
      <w:r w:rsidRPr="00950097">
        <w:t xml:space="preserve"> sp. infection of the Norway lobster (</w:t>
      </w:r>
      <w:r w:rsidRPr="00950097">
        <w:rPr>
          <w:i/>
        </w:rPr>
        <w:t>Nephrops norvegicus</w:t>
      </w:r>
      <w:r w:rsidRPr="00950097">
        <w:t xml:space="preserve">) around the west coast of Scotland. </w:t>
      </w:r>
      <w:r w:rsidRPr="00950097">
        <w:rPr>
          <w:i/>
        </w:rPr>
        <w:t>ICES Journal of Marine Science,</w:t>
      </w:r>
      <w:r w:rsidRPr="00950097">
        <w:t xml:space="preserve"> 55(5)</w:t>
      </w:r>
      <w:r w:rsidRPr="00950097">
        <w:rPr>
          <w:b/>
        </w:rPr>
        <w:t>,</w:t>
      </w:r>
      <w:r w:rsidRPr="00950097">
        <w:t xml:space="preserve"> 846-858. 10.1006/jmsc.1998.0357.</w:t>
      </w:r>
      <w:bookmarkEnd w:id="496"/>
    </w:p>
    <w:p w14:paraId="1C337663" w14:textId="77777777" w:rsidR="00950097" w:rsidRPr="00950097" w:rsidRDefault="00950097" w:rsidP="00950097">
      <w:pPr>
        <w:pStyle w:val="EndNoteBibliography"/>
        <w:spacing w:after="0"/>
        <w:ind w:left="720" w:hanging="720"/>
      </w:pPr>
      <w:bookmarkStart w:id="497" w:name="_ENREF_97"/>
      <w:r w:rsidRPr="00950097">
        <w:t xml:space="preserve">Flint, H. J., Scott, K. P., Duncan, S. H., Louis, P. &amp; Forano, E. (2012) Microbial degradation of complex carbohydrates in the gut. </w:t>
      </w:r>
      <w:r w:rsidRPr="00950097">
        <w:rPr>
          <w:i/>
        </w:rPr>
        <w:t>Gut Microbes,</w:t>
      </w:r>
      <w:r w:rsidRPr="00950097">
        <w:t xml:space="preserve"> 3(4)</w:t>
      </w:r>
      <w:r w:rsidRPr="00950097">
        <w:rPr>
          <w:b/>
        </w:rPr>
        <w:t>,</w:t>
      </w:r>
      <w:r w:rsidRPr="00950097">
        <w:t xml:space="preserve"> 289-306. 10.4161/gmic.19897.</w:t>
      </w:r>
      <w:bookmarkEnd w:id="497"/>
    </w:p>
    <w:p w14:paraId="69B20FEF" w14:textId="77777777" w:rsidR="00950097" w:rsidRPr="00950097" w:rsidRDefault="00950097" w:rsidP="00950097">
      <w:pPr>
        <w:pStyle w:val="EndNoteBibliography"/>
        <w:spacing w:after="0"/>
        <w:ind w:left="720" w:hanging="720"/>
      </w:pPr>
      <w:bookmarkStart w:id="498" w:name="_ENREF_98"/>
      <w:r w:rsidRPr="00950097">
        <w:t xml:space="preserve">Folch, J., Lees, M. &amp; Stanley, G. H. S. (1957) A simple method for the isolation and purification of total lipides from animal tissues. </w:t>
      </w:r>
      <w:r w:rsidRPr="00950097">
        <w:rPr>
          <w:i/>
        </w:rPr>
        <w:t>Journal of Biological Chemistry,</w:t>
      </w:r>
      <w:r w:rsidRPr="00950097">
        <w:t xml:space="preserve"> 226(1)</w:t>
      </w:r>
      <w:r w:rsidRPr="00950097">
        <w:rPr>
          <w:b/>
        </w:rPr>
        <w:t>,</w:t>
      </w:r>
      <w:r w:rsidRPr="00950097">
        <w:t xml:space="preserve"> 497-509. 10.1016/S0021-9258(18)64849-5.</w:t>
      </w:r>
      <w:bookmarkEnd w:id="498"/>
    </w:p>
    <w:p w14:paraId="5ACDD373" w14:textId="77777777" w:rsidR="00950097" w:rsidRPr="00950097" w:rsidRDefault="00950097" w:rsidP="00950097">
      <w:pPr>
        <w:pStyle w:val="EndNoteBibliography"/>
        <w:spacing w:after="0"/>
        <w:ind w:left="720" w:hanging="720"/>
      </w:pPr>
      <w:bookmarkStart w:id="499" w:name="_ENREF_99"/>
      <w:r w:rsidRPr="00950097">
        <w:t xml:space="preserve">Fox, J. &amp; Weisberg, S. (2019) </w:t>
      </w:r>
      <w:r w:rsidRPr="00950097">
        <w:rPr>
          <w:i/>
        </w:rPr>
        <w:t xml:space="preserve">An R Companion to Applied Regression - John Fox, Sanford Weisberg - Google Books. </w:t>
      </w:r>
      <w:r w:rsidRPr="00950097">
        <w:t>United States of America.</w:t>
      </w:r>
      <w:bookmarkEnd w:id="499"/>
    </w:p>
    <w:p w14:paraId="5952DD78" w14:textId="77777777" w:rsidR="00950097" w:rsidRPr="00950097" w:rsidRDefault="00950097" w:rsidP="00950097">
      <w:pPr>
        <w:pStyle w:val="EndNoteBibliography"/>
        <w:spacing w:after="0"/>
        <w:ind w:left="720" w:hanging="720"/>
      </w:pPr>
      <w:bookmarkStart w:id="500" w:name="_ENREF_100"/>
      <w:r w:rsidRPr="00950097">
        <w:t xml:space="preserve">Foysal, M. J. (2023) Host habitat shapes the core gut bacteria of decapod crustaceans: A meta-analysis. </w:t>
      </w:r>
      <w:r w:rsidRPr="00950097">
        <w:rPr>
          <w:i/>
        </w:rPr>
        <w:t>Heliyon,</w:t>
      </w:r>
      <w:r w:rsidRPr="00950097">
        <w:t xml:space="preserve"> 9(6)</w:t>
      </w:r>
      <w:r w:rsidRPr="00950097">
        <w:rPr>
          <w:b/>
        </w:rPr>
        <w:t>,</w:t>
      </w:r>
      <w:r w:rsidRPr="00950097">
        <w:t xml:space="preserve"> e16511. 10.1016/j.heliyon.2023.e16511.</w:t>
      </w:r>
      <w:bookmarkEnd w:id="500"/>
    </w:p>
    <w:p w14:paraId="223F94A7" w14:textId="77777777" w:rsidR="00950097" w:rsidRPr="00950097" w:rsidRDefault="00950097" w:rsidP="00950097">
      <w:pPr>
        <w:pStyle w:val="EndNoteBibliography"/>
        <w:spacing w:after="0"/>
        <w:ind w:left="720" w:hanging="720"/>
      </w:pPr>
      <w:bookmarkStart w:id="501" w:name="_ENREF_101"/>
      <w:r w:rsidRPr="00950097">
        <w:t>Foysal, M. J., Dao, T. T. T., Fotedar, R., Gupta, S. K., Tay, A. &amp; Chaklader, M. R. (2022) Sources of protein diet differentially stimulate the gut and water microbiota under freshwater crayfish, marron (</w:t>
      </w:r>
      <w:r w:rsidRPr="00950097">
        <w:rPr>
          <w:i/>
        </w:rPr>
        <w:t>Cherax cainii</w:t>
      </w:r>
      <w:r w:rsidRPr="00950097">
        <w:t xml:space="preserve">, Austin 2002) culture. </w:t>
      </w:r>
      <w:r w:rsidRPr="00950097">
        <w:rPr>
          <w:i/>
        </w:rPr>
        <w:t>Environmental Microbiology Reports,</w:t>
      </w:r>
      <w:r w:rsidRPr="00950097">
        <w:t xml:space="preserve"> 14(2)</w:t>
      </w:r>
      <w:r w:rsidRPr="00950097">
        <w:rPr>
          <w:b/>
        </w:rPr>
        <w:t>,</w:t>
      </w:r>
      <w:r w:rsidRPr="00950097">
        <w:t xml:space="preserve"> 286-298. 10.1111/1758-2229.13049.</w:t>
      </w:r>
      <w:bookmarkEnd w:id="501"/>
    </w:p>
    <w:p w14:paraId="7FF46213" w14:textId="77777777" w:rsidR="00950097" w:rsidRPr="00950097" w:rsidRDefault="00950097" w:rsidP="00950097">
      <w:pPr>
        <w:pStyle w:val="EndNoteBibliography"/>
        <w:spacing w:after="0"/>
        <w:ind w:left="720" w:hanging="720"/>
      </w:pPr>
      <w:bookmarkStart w:id="502" w:name="_ENREF_102"/>
      <w:r w:rsidRPr="00950097">
        <w:t xml:space="preserve">Foysal, M. J., Fotedar, R., Siddik, M. A. B. &amp; Tay, A. (2020) </w:t>
      </w:r>
      <w:r w:rsidRPr="00950097">
        <w:rPr>
          <w:i/>
        </w:rPr>
        <w:t>Lactobacillus acidophilus</w:t>
      </w:r>
      <w:r w:rsidRPr="00950097">
        <w:t xml:space="preserve"> and</w:t>
      </w:r>
      <w:r w:rsidRPr="00950097">
        <w:rPr>
          <w:i/>
        </w:rPr>
        <w:t xml:space="preserve"> L. plantarum </w:t>
      </w:r>
      <w:r w:rsidRPr="00950097">
        <w:t>improve health status, modulate gut microbiota and innate immune response of marron (</w:t>
      </w:r>
      <w:r w:rsidRPr="00950097">
        <w:rPr>
          <w:i/>
        </w:rPr>
        <w:t>Cherax cainii</w:t>
      </w:r>
      <w:r w:rsidRPr="00950097">
        <w:t xml:space="preserve">). </w:t>
      </w:r>
      <w:r w:rsidRPr="00950097">
        <w:rPr>
          <w:i/>
        </w:rPr>
        <w:t>Scientific Reports,</w:t>
      </w:r>
      <w:r w:rsidRPr="00950097">
        <w:t xml:space="preserve"> 10(1). 10.1038/s41598-020-62655-y.</w:t>
      </w:r>
      <w:bookmarkEnd w:id="502"/>
    </w:p>
    <w:p w14:paraId="22C7036B" w14:textId="77777777" w:rsidR="00950097" w:rsidRPr="00950097" w:rsidRDefault="00950097" w:rsidP="00950097">
      <w:pPr>
        <w:pStyle w:val="EndNoteBibliography"/>
        <w:spacing w:after="0"/>
        <w:ind w:left="720" w:hanging="720"/>
      </w:pPr>
      <w:bookmarkStart w:id="503" w:name="_ENREF_103"/>
      <w:r w:rsidRPr="00950097">
        <w:t xml:space="preserve">Fredrick, W. S. &amp; Ravichandran, S. (2012) Hemolymph proteins in marine crustaceans. </w:t>
      </w:r>
      <w:r w:rsidRPr="00950097">
        <w:rPr>
          <w:i/>
        </w:rPr>
        <w:t>Asian Pacific Journal of Tropical Biomedicine,</w:t>
      </w:r>
      <w:r w:rsidRPr="00950097">
        <w:t xml:space="preserve"> 2(6)</w:t>
      </w:r>
      <w:r w:rsidRPr="00950097">
        <w:rPr>
          <w:b/>
        </w:rPr>
        <w:t>,</w:t>
      </w:r>
      <w:r w:rsidRPr="00950097">
        <w:t xml:space="preserve"> 496-502. 10.1016/S2221-1691(12)60084-7.</w:t>
      </w:r>
      <w:bookmarkEnd w:id="503"/>
    </w:p>
    <w:p w14:paraId="7740F3CC" w14:textId="77777777" w:rsidR="00950097" w:rsidRPr="00950097" w:rsidRDefault="00950097" w:rsidP="00950097">
      <w:pPr>
        <w:pStyle w:val="EndNoteBibliography"/>
        <w:spacing w:after="0"/>
        <w:ind w:left="720" w:hanging="720"/>
      </w:pPr>
      <w:bookmarkStart w:id="504" w:name="_ENREF_104"/>
      <w:r w:rsidRPr="00950097">
        <w:t xml:space="preserve">Frischer, M. E., Lee, R. F., Sheppard, M. A., Mauer, A., Rambow, F., Neumann, M., Brofft, J. E., Wizenmann, T. &amp; Danforth, J. M. (2006) Evidence for a free-living life stage of the blue crab parasitic dinoflagelate, </w:t>
      </w:r>
      <w:r w:rsidRPr="00950097">
        <w:rPr>
          <w:i/>
        </w:rPr>
        <w:t>Hematodinium</w:t>
      </w:r>
      <w:r w:rsidRPr="00950097">
        <w:t xml:space="preserve"> sp. </w:t>
      </w:r>
      <w:r w:rsidRPr="00950097">
        <w:rPr>
          <w:i/>
        </w:rPr>
        <w:t>Harmful Algae,</w:t>
      </w:r>
      <w:r w:rsidRPr="00950097">
        <w:t xml:space="preserve"> 5(5)</w:t>
      </w:r>
      <w:r w:rsidRPr="00950097">
        <w:rPr>
          <w:b/>
        </w:rPr>
        <w:t>,</w:t>
      </w:r>
      <w:r w:rsidRPr="00950097">
        <w:t xml:space="preserve"> 548-557. 10.1016/j.hal.2005.11.002.</w:t>
      </w:r>
      <w:bookmarkEnd w:id="504"/>
    </w:p>
    <w:p w14:paraId="556BB375" w14:textId="77777777" w:rsidR="00950097" w:rsidRPr="00950097" w:rsidRDefault="00950097" w:rsidP="00950097">
      <w:pPr>
        <w:pStyle w:val="EndNoteBibliography"/>
        <w:spacing w:after="0"/>
        <w:ind w:left="720" w:hanging="720"/>
      </w:pPr>
      <w:bookmarkStart w:id="505" w:name="_ENREF_105"/>
      <w:r w:rsidRPr="00950097">
        <w:t xml:space="preserve">Furlong, S. T. (1991) Unique roles for lipids in </w:t>
      </w:r>
      <w:r w:rsidRPr="00950097">
        <w:rPr>
          <w:i/>
        </w:rPr>
        <w:t>Schistosoma mansoni</w:t>
      </w:r>
      <w:r w:rsidRPr="00950097">
        <w:t xml:space="preserve">. </w:t>
      </w:r>
      <w:r w:rsidRPr="00950097">
        <w:rPr>
          <w:i/>
        </w:rPr>
        <w:t>Parasitology Today,</w:t>
      </w:r>
      <w:r w:rsidRPr="00950097">
        <w:t xml:space="preserve"> 7(2)</w:t>
      </w:r>
      <w:r w:rsidRPr="00950097">
        <w:rPr>
          <w:b/>
        </w:rPr>
        <w:t>,</w:t>
      </w:r>
      <w:r w:rsidRPr="00950097">
        <w:t xml:space="preserve"> 59-62. 10.1016/0169-4758(91)90192-Q.</w:t>
      </w:r>
      <w:bookmarkEnd w:id="505"/>
    </w:p>
    <w:p w14:paraId="6849C3EC" w14:textId="77777777" w:rsidR="00950097" w:rsidRPr="00950097" w:rsidRDefault="00950097" w:rsidP="00950097">
      <w:pPr>
        <w:pStyle w:val="EndNoteBibliography"/>
        <w:spacing w:after="0"/>
        <w:ind w:left="720" w:hanging="720"/>
      </w:pPr>
      <w:bookmarkStart w:id="506" w:name="_ENREF_106"/>
      <w:r w:rsidRPr="00950097">
        <w:t xml:space="preserve">Gaten, E., Moss, S. &amp; Johnson, M. L. (2013) Chapter Four - The Reniform Reflecting Superposition Compound Eyes of </w:t>
      </w:r>
      <w:r w:rsidRPr="00950097">
        <w:rPr>
          <w:i/>
        </w:rPr>
        <w:t>Nephrops norvegicus</w:t>
      </w:r>
      <w:r w:rsidRPr="00950097">
        <w:t xml:space="preserve">: Optics, Susceptibility to Light-Induced Damage, Electrophysiology and a Ray Tracing Model. In:  </w:t>
      </w:r>
      <w:r w:rsidRPr="00950097">
        <w:rPr>
          <w:i/>
        </w:rPr>
        <w:t xml:space="preserve">Advances in Marine Biology. </w:t>
      </w:r>
      <w:r w:rsidRPr="00950097">
        <w:t>1 ed.: Elsevier Ltd.</w:t>
      </w:r>
      <w:bookmarkEnd w:id="506"/>
    </w:p>
    <w:p w14:paraId="797AFA82" w14:textId="77777777" w:rsidR="00950097" w:rsidRPr="00950097" w:rsidRDefault="00950097" w:rsidP="00950097">
      <w:pPr>
        <w:pStyle w:val="EndNoteBibliography"/>
        <w:spacing w:after="0"/>
        <w:ind w:left="720" w:hanging="720"/>
      </w:pPr>
      <w:bookmarkStart w:id="507" w:name="_ENREF_107"/>
      <w:r w:rsidRPr="00950097">
        <w:t>Gilk, S. D. (2012) Role of lipids in</w:t>
      </w:r>
      <w:r w:rsidRPr="00950097">
        <w:rPr>
          <w:i/>
        </w:rPr>
        <w:t xml:space="preserve"> Coxiella burnetii </w:t>
      </w:r>
      <w:r w:rsidRPr="00950097">
        <w:t xml:space="preserve">infection. </w:t>
      </w:r>
      <w:r w:rsidRPr="00950097">
        <w:rPr>
          <w:i/>
        </w:rPr>
        <w:t>Advances in Experimental Medicine and Biology,</w:t>
      </w:r>
      <w:r w:rsidRPr="00950097">
        <w:t xml:space="preserve"> 984</w:t>
      </w:r>
      <w:r w:rsidRPr="00950097">
        <w:rPr>
          <w:b/>
        </w:rPr>
        <w:t>,</w:t>
      </w:r>
      <w:r w:rsidRPr="00950097">
        <w:t xml:space="preserve"> 199-213. 10.1007/978-94-007-4315-1_10.</w:t>
      </w:r>
      <w:bookmarkEnd w:id="507"/>
    </w:p>
    <w:p w14:paraId="0A9A6738" w14:textId="77777777" w:rsidR="00950097" w:rsidRPr="00950097" w:rsidRDefault="00950097" w:rsidP="00950097">
      <w:pPr>
        <w:pStyle w:val="EndNoteBibliography"/>
        <w:spacing w:after="0"/>
        <w:ind w:left="720" w:hanging="720"/>
      </w:pPr>
      <w:bookmarkStart w:id="508" w:name="_ENREF_108"/>
      <w:r w:rsidRPr="00950097">
        <w:t xml:space="preserve">Giménez-Romero, À., Grau, A., Hendriks, I. E. &amp; Matias, M. A. (2021) Modelling parasite-produced marine diseases: The case of the mass mortality event of </w:t>
      </w:r>
      <w:r w:rsidRPr="00950097">
        <w:rPr>
          <w:i/>
        </w:rPr>
        <w:t>Pinna nobilis</w:t>
      </w:r>
      <w:r w:rsidRPr="00950097">
        <w:t xml:space="preserve">. </w:t>
      </w:r>
      <w:r w:rsidRPr="00950097">
        <w:rPr>
          <w:i/>
        </w:rPr>
        <w:t>Ecological Modelling,</w:t>
      </w:r>
      <w:r w:rsidRPr="00950097">
        <w:t xml:space="preserve"> 459</w:t>
      </w:r>
      <w:r w:rsidRPr="00950097">
        <w:rPr>
          <w:b/>
        </w:rPr>
        <w:t>,</w:t>
      </w:r>
      <w:r w:rsidRPr="00950097">
        <w:t xml:space="preserve"> 109705-109705. 10.1016/J.ECOLMODEL.2021.109705.</w:t>
      </w:r>
      <w:bookmarkEnd w:id="508"/>
    </w:p>
    <w:p w14:paraId="47CCF79B" w14:textId="77777777" w:rsidR="00950097" w:rsidRPr="00950097" w:rsidRDefault="00950097" w:rsidP="00950097">
      <w:pPr>
        <w:pStyle w:val="EndNoteBibliography"/>
        <w:spacing w:after="0"/>
        <w:ind w:left="720" w:hanging="720"/>
      </w:pPr>
      <w:bookmarkStart w:id="509" w:name="_ENREF_109"/>
      <w:r w:rsidRPr="00950097">
        <w:t xml:space="preserve">Givens, C. E., Burnett, K. G., Burnett, L. E. &amp; Hollibaugh, J. T. (2013) Microbial communities of the carapace, gut, and hemolymph of the Atlantic blue crab, </w:t>
      </w:r>
      <w:r w:rsidRPr="00950097">
        <w:rPr>
          <w:i/>
        </w:rPr>
        <w:t>Callinectes sapidus</w:t>
      </w:r>
      <w:r w:rsidRPr="00950097">
        <w:t xml:space="preserve">. </w:t>
      </w:r>
      <w:r w:rsidRPr="00950097">
        <w:rPr>
          <w:i/>
        </w:rPr>
        <w:t>Marine Biology,</w:t>
      </w:r>
      <w:r w:rsidRPr="00950097">
        <w:t xml:space="preserve"> 160(11)</w:t>
      </w:r>
      <w:r w:rsidRPr="00950097">
        <w:rPr>
          <w:b/>
        </w:rPr>
        <w:t>,</w:t>
      </w:r>
      <w:r w:rsidRPr="00950097">
        <w:t xml:space="preserve"> 2841-2851. 10.1007/S00227-013-2275-8/TABLES/2.</w:t>
      </w:r>
      <w:bookmarkEnd w:id="509"/>
    </w:p>
    <w:p w14:paraId="6230ABE3" w14:textId="77777777" w:rsidR="00950097" w:rsidRPr="00950097" w:rsidRDefault="00950097" w:rsidP="00950097">
      <w:pPr>
        <w:pStyle w:val="EndNoteBibliography"/>
        <w:spacing w:after="0"/>
        <w:ind w:left="720" w:hanging="720"/>
      </w:pPr>
      <w:bookmarkStart w:id="510" w:name="_ENREF_110"/>
      <w:r w:rsidRPr="00950097">
        <w:t xml:space="preserve">González, R., Gonçalves, A. T., Rojas, R., Brokordt, K., Rosa, R. D. &amp; Schmitt, P. (2020) Host defense effectors expressed by hemocytes shape the bacterial microbiota from the scallop hemolymph. </w:t>
      </w:r>
      <w:r w:rsidRPr="00950097">
        <w:rPr>
          <w:i/>
        </w:rPr>
        <w:t>Frontiers in Immunology,</w:t>
      </w:r>
      <w:r w:rsidRPr="00950097">
        <w:t xml:space="preserve"> 11</w:t>
      </w:r>
      <w:r w:rsidRPr="00950097">
        <w:rPr>
          <w:b/>
        </w:rPr>
        <w:t>,</w:t>
      </w:r>
      <w:r w:rsidRPr="00950097">
        <w:t xml:space="preserve"> 2933-2933. 10.3389/FIMMU.2020.599625/BIBTEX.</w:t>
      </w:r>
      <w:bookmarkEnd w:id="510"/>
    </w:p>
    <w:p w14:paraId="4C333CEF" w14:textId="77777777" w:rsidR="00950097" w:rsidRPr="00950097" w:rsidRDefault="00950097" w:rsidP="00950097">
      <w:pPr>
        <w:pStyle w:val="EndNoteBibliography"/>
        <w:spacing w:after="0"/>
        <w:ind w:left="720" w:hanging="720"/>
      </w:pPr>
      <w:bookmarkStart w:id="511" w:name="_ENREF_111"/>
      <w:r w:rsidRPr="00950097">
        <w:t xml:space="preserve">Gopal, S., Otta, S. K., Kumar, S., Karunasagar, I., Nishibuchi, M. &amp; Karunasagar, I. (2005) The occurrence of </w:t>
      </w:r>
      <w:r w:rsidRPr="00950097">
        <w:rPr>
          <w:i/>
        </w:rPr>
        <w:t xml:space="preserve">Vibrio </w:t>
      </w:r>
      <w:r w:rsidRPr="00950097">
        <w:t xml:space="preserve">species in tropical shrimp culture environments; implications for food safety. </w:t>
      </w:r>
      <w:r w:rsidRPr="00950097">
        <w:rPr>
          <w:i/>
        </w:rPr>
        <w:t>International Journal of Food Microbiology,</w:t>
      </w:r>
      <w:r w:rsidRPr="00950097">
        <w:t xml:space="preserve"> 102(2)</w:t>
      </w:r>
      <w:r w:rsidRPr="00950097">
        <w:rPr>
          <w:b/>
        </w:rPr>
        <w:t>,</w:t>
      </w:r>
      <w:r w:rsidRPr="00950097">
        <w:t xml:space="preserve"> 151-159. 10.1016/j.ijfoodmicro.2004.12.011.</w:t>
      </w:r>
      <w:bookmarkEnd w:id="511"/>
    </w:p>
    <w:p w14:paraId="48C670EB" w14:textId="77777777" w:rsidR="00950097" w:rsidRPr="00950097" w:rsidRDefault="00950097" w:rsidP="00950097">
      <w:pPr>
        <w:pStyle w:val="EndNoteBibliography"/>
        <w:spacing w:after="0"/>
        <w:ind w:left="720" w:hanging="720"/>
      </w:pPr>
      <w:bookmarkStart w:id="512" w:name="_ENREF_112"/>
      <w:r w:rsidRPr="00950097">
        <w:t xml:space="preserve">Gornik, S. G., Albalat, A., Atkinson, R. J. A., Coombs, G. H. &amp; Neil, D. M. (2010) The influence of defined ante-mortem stressors on the early post-mortem biochemical processes in the abdominal muscle of the Norway lobster, </w:t>
      </w:r>
      <w:r w:rsidRPr="00950097">
        <w:rPr>
          <w:i/>
        </w:rPr>
        <w:t>Nephrops norvegicus</w:t>
      </w:r>
      <w:r w:rsidRPr="00950097">
        <w:t xml:space="preserve"> (Linnaeus, 1758). </w:t>
      </w:r>
      <w:r w:rsidRPr="00950097">
        <w:rPr>
          <w:i/>
        </w:rPr>
        <w:t>Marine Biology Research,</w:t>
      </w:r>
      <w:r w:rsidRPr="00950097">
        <w:t xml:space="preserve"> 6(3)</w:t>
      </w:r>
      <w:r w:rsidRPr="00950097">
        <w:rPr>
          <w:b/>
        </w:rPr>
        <w:t>,</w:t>
      </w:r>
      <w:r w:rsidRPr="00950097">
        <w:t xml:space="preserve"> 223-238. 10.1080/17451000903147468.</w:t>
      </w:r>
      <w:bookmarkEnd w:id="512"/>
    </w:p>
    <w:p w14:paraId="545DD177" w14:textId="77777777" w:rsidR="00950097" w:rsidRPr="00950097" w:rsidRDefault="00950097" w:rsidP="00950097">
      <w:pPr>
        <w:pStyle w:val="EndNoteBibliography"/>
        <w:spacing w:after="0"/>
        <w:ind w:left="720" w:hanging="720"/>
      </w:pPr>
      <w:bookmarkStart w:id="513" w:name="_ENREF_113"/>
      <w:r w:rsidRPr="00950097">
        <w:t xml:space="preserve">Gornik, S. G., Cranenburgh, A. &amp; Waller, R. F. (2013) New host range for </w:t>
      </w:r>
      <w:r w:rsidRPr="00950097">
        <w:rPr>
          <w:i/>
        </w:rPr>
        <w:t>Hematodinium</w:t>
      </w:r>
      <w:r w:rsidRPr="00950097">
        <w:t xml:space="preserve"> in Southern Australia and novel tools for sensitive detection of parasitic dinoflagellates. </w:t>
      </w:r>
      <w:r w:rsidRPr="00950097">
        <w:rPr>
          <w:i/>
        </w:rPr>
        <w:t>PLOS ONE,</w:t>
      </w:r>
      <w:r w:rsidRPr="00950097">
        <w:t xml:space="preserve"> 8(12)</w:t>
      </w:r>
      <w:r w:rsidRPr="00950097">
        <w:rPr>
          <w:b/>
        </w:rPr>
        <w:t>,</w:t>
      </w:r>
      <w:r w:rsidRPr="00950097">
        <w:t xml:space="preserve"> e82774-e82774. 10.1371/journal.pone.0082774.</w:t>
      </w:r>
      <w:bookmarkEnd w:id="513"/>
    </w:p>
    <w:p w14:paraId="5030E036" w14:textId="77777777" w:rsidR="00950097" w:rsidRPr="00950097" w:rsidRDefault="00950097" w:rsidP="00950097">
      <w:pPr>
        <w:pStyle w:val="EndNoteBibliography"/>
        <w:spacing w:after="0"/>
        <w:ind w:left="720" w:hanging="720"/>
      </w:pPr>
      <w:bookmarkStart w:id="514" w:name="_ENREF_114"/>
      <w:r w:rsidRPr="00950097">
        <w:t xml:space="preserve">Gornik, S. G., Febrimarsa, Cassin, A. M., MacRae, J. I., Ramaprasad, A., Rchiad, Z., McConville, M. J., Bacic, A., McFadden, G. I., Pain, A. &amp; Waller, R. F. (2015) Endosymbiosis undone by stepwise elimination of the plastid in a parasitic dinoflagellate. </w:t>
      </w:r>
      <w:r w:rsidRPr="00950097">
        <w:rPr>
          <w:i/>
        </w:rPr>
        <w:t>The Proceedings of the National Academy of Sciences,</w:t>
      </w:r>
      <w:r w:rsidRPr="00950097">
        <w:t xml:space="preserve"> 112(18)</w:t>
      </w:r>
      <w:r w:rsidRPr="00950097">
        <w:rPr>
          <w:b/>
        </w:rPr>
        <w:t>,</w:t>
      </w:r>
      <w:r w:rsidRPr="00950097">
        <w:t xml:space="preserve"> 5767-72. 10.1073/pnas.1423400112.</w:t>
      </w:r>
      <w:bookmarkEnd w:id="514"/>
    </w:p>
    <w:p w14:paraId="17C36D45" w14:textId="77777777" w:rsidR="00950097" w:rsidRPr="00950097" w:rsidRDefault="00950097" w:rsidP="00950097">
      <w:pPr>
        <w:pStyle w:val="EndNoteBibliography"/>
        <w:spacing w:after="0"/>
        <w:ind w:left="720" w:hanging="720"/>
      </w:pPr>
      <w:bookmarkStart w:id="515" w:name="_ENREF_115"/>
      <w:r w:rsidRPr="00950097">
        <w:t xml:space="preserve">Graeff, J. E. &amp; Leblond, J. D. (2021) Sterol composition of the peridinioid dinoflagellate </w:t>
      </w:r>
      <w:r w:rsidRPr="00950097">
        <w:rPr>
          <w:i/>
        </w:rPr>
        <w:t>Zooxanthella nutricula</w:t>
      </w:r>
      <w:r w:rsidRPr="00950097">
        <w:t xml:space="preserve">, a symbiont of </w:t>
      </w:r>
      <w:r w:rsidRPr="00950097">
        <w:rPr>
          <w:i/>
        </w:rPr>
        <w:t>Polycystine Radiolarians</w:t>
      </w:r>
      <w:r w:rsidRPr="00950097">
        <w:t xml:space="preserve">. </w:t>
      </w:r>
      <w:r w:rsidRPr="00950097">
        <w:rPr>
          <w:i/>
        </w:rPr>
        <w:t>Protist,</w:t>
      </w:r>
      <w:r w:rsidRPr="00950097">
        <w:t xml:space="preserve"> 172(3)</w:t>
      </w:r>
      <w:r w:rsidRPr="00950097">
        <w:rPr>
          <w:b/>
        </w:rPr>
        <w:t>,</w:t>
      </w:r>
      <w:r w:rsidRPr="00950097">
        <w:t xml:space="preserve"> 125817. 10.1016/j.protis.2021.125817.</w:t>
      </w:r>
      <w:bookmarkEnd w:id="515"/>
    </w:p>
    <w:p w14:paraId="1539A312" w14:textId="77777777" w:rsidR="00950097" w:rsidRPr="00950097" w:rsidRDefault="00950097" w:rsidP="00950097">
      <w:pPr>
        <w:pStyle w:val="EndNoteBibliography"/>
        <w:spacing w:after="0"/>
        <w:ind w:left="720" w:hanging="720"/>
      </w:pPr>
      <w:bookmarkStart w:id="516" w:name="_ENREF_116"/>
      <w:r w:rsidRPr="00950097">
        <w:t xml:space="preserve">Gruebl, T., Frischer, M. E., Sheppard, M., Neumann, M., Maurer, A. N. &amp; Lee, R. F. (2002) Development of an 18S rRNA gene targeted PCR based diagnostic for the blue crab parasite </w:t>
      </w:r>
      <w:r w:rsidRPr="00950097">
        <w:rPr>
          <w:i/>
        </w:rPr>
        <w:t>Hematodinium</w:t>
      </w:r>
      <w:r w:rsidRPr="00950097">
        <w:t xml:space="preserve"> sp. </w:t>
      </w:r>
      <w:r w:rsidRPr="00950097">
        <w:rPr>
          <w:i/>
        </w:rPr>
        <w:t>Diseases of Aquatic Organisms,</w:t>
      </w:r>
      <w:r w:rsidRPr="00950097">
        <w:t xml:space="preserve"> 49(1)</w:t>
      </w:r>
      <w:r w:rsidRPr="00950097">
        <w:rPr>
          <w:b/>
        </w:rPr>
        <w:t>,</w:t>
      </w:r>
      <w:r w:rsidRPr="00950097">
        <w:t xml:space="preserve"> 61-70. 10.3354/dao049061.</w:t>
      </w:r>
      <w:bookmarkEnd w:id="516"/>
    </w:p>
    <w:p w14:paraId="179A6737" w14:textId="77777777" w:rsidR="00950097" w:rsidRPr="00950097" w:rsidRDefault="00950097" w:rsidP="00950097">
      <w:pPr>
        <w:pStyle w:val="EndNoteBibliography"/>
        <w:spacing w:after="0"/>
        <w:ind w:left="720" w:hanging="720"/>
      </w:pPr>
      <w:bookmarkStart w:id="517" w:name="_ENREF_117"/>
      <w:r w:rsidRPr="00950097">
        <w:t xml:space="preserve">Gupta, N., Zahn, M. M., Coppens, I., Joiner, K. A. &amp; Voelker, D. R. (2005) Selective disruption of phosphatidylcholine metabolism of the intracellular parasite </w:t>
      </w:r>
      <w:r w:rsidRPr="00950097">
        <w:rPr>
          <w:i/>
        </w:rPr>
        <w:t xml:space="preserve">Toxoplasma gondii </w:t>
      </w:r>
      <w:r w:rsidRPr="00950097">
        <w:t xml:space="preserve">arrests its growth. </w:t>
      </w:r>
      <w:r w:rsidRPr="00950097">
        <w:rPr>
          <w:i/>
        </w:rPr>
        <w:t>Journal of Biological Chemistry,</w:t>
      </w:r>
      <w:r w:rsidRPr="00950097">
        <w:t xml:space="preserve"> 280(16)</w:t>
      </w:r>
      <w:r w:rsidRPr="00950097">
        <w:rPr>
          <w:b/>
        </w:rPr>
        <w:t>,</w:t>
      </w:r>
      <w:r w:rsidRPr="00950097">
        <w:t xml:space="preserve"> 16345-16353. 10.1074/JBC.M501523200.</w:t>
      </w:r>
      <w:bookmarkEnd w:id="517"/>
    </w:p>
    <w:p w14:paraId="6896EFA0" w14:textId="77777777" w:rsidR="00950097" w:rsidRPr="00950097" w:rsidRDefault="00950097" w:rsidP="00950097">
      <w:pPr>
        <w:pStyle w:val="EndNoteBibliography"/>
        <w:spacing w:after="0"/>
        <w:ind w:left="720" w:hanging="720"/>
      </w:pPr>
      <w:bookmarkStart w:id="518" w:name="_ENREF_118"/>
      <w:r w:rsidRPr="00950097">
        <w:t xml:space="preserve">Haidl, G. &amp; Opper, C. (1997) Changes in lipids and membrane anisotropy in human spermatozoa during epididymal maturation. </w:t>
      </w:r>
      <w:r w:rsidRPr="00950097">
        <w:rPr>
          <w:i/>
        </w:rPr>
        <w:t>Human Reproduction,</w:t>
      </w:r>
      <w:r w:rsidRPr="00950097">
        <w:t xml:space="preserve"> 12(12)</w:t>
      </w:r>
      <w:r w:rsidRPr="00950097">
        <w:rPr>
          <w:b/>
        </w:rPr>
        <w:t>,</w:t>
      </w:r>
      <w:r w:rsidRPr="00950097">
        <w:t xml:space="preserve"> 2720–2723. 10.1093/humrep/12.12.2720.</w:t>
      </w:r>
      <w:bookmarkEnd w:id="518"/>
    </w:p>
    <w:p w14:paraId="50EF7454" w14:textId="77777777" w:rsidR="00950097" w:rsidRPr="00950097" w:rsidRDefault="00950097" w:rsidP="00950097">
      <w:pPr>
        <w:pStyle w:val="EndNoteBibliography"/>
        <w:spacing w:after="0"/>
        <w:ind w:left="720" w:hanging="720"/>
      </w:pPr>
      <w:bookmarkStart w:id="519" w:name="_ENREF_119"/>
      <w:r w:rsidRPr="00950097">
        <w:t xml:space="preserve">Hamilton, K. (2007) </w:t>
      </w:r>
      <w:r w:rsidRPr="00950097">
        <w:rPr>
          <w:i/>
        </w:rPr>
        <w:t>Infection of Clyde Sea crustaceans by the protist parasite Hematodinium.</w:t>
      </w:r>
      <w:r w:rsidRPr="00950097">
        <w:t xml:space="preserve"> PhD thesis  University of London.</w:t>
      </w:r>
      <w:bookmarkEnd w:id="519"/>
    </w:p>
    <w:p w14:paraId="48B705E1" w14:textId="77777777" w:rsidR="00950097" w:rsidRPr="00950097" w:rsidRDefault="00950097" w:rsidP="00950097">
      <w:pPr>
        <w:pStyle w:val="EndNoteBibliography"/>
        <w:spacing w:after="0"/>
        <w:ind w:left="720" w:hanging="720"/>
      </w:pPr>
      <w:bookmarkStart w:id="520" w:name="_ENREF_120"/>
      <w:r w:rsidRPr="00950097">
        <w:t xml:space="preserve">Hamilton, K. M., Morritt, D. &amp; Shaw, P. W. (2007) Molecular and histological identification of the crustacean parasite </w:t>
      </w:r>
      <w:r w:rsidRPr="00950097">
        <w:rPr>
          <w:i/>
        </w:rPr>
        <w:t>Hematodinium</w:t>
      </w:r>
      <w:r w:rsidRPr="00950097">
        <w:t xml:space="preserve"> sp. (Alveolata, </w:t>
      </w:r>
      <w:r w:rsidRPr="00950097">
        <w:rPr>
          <w:i/>
        </w:rPr>
        <w:t>Syndinea</w:t>
      </w:r>
      <w:r w:rsidRPr="00950097">
        <w:t xml:space="preserve">) in the shore crab </w:t>
      </w:r>
      <w:r w:rsidRPr="00950097">
        <w:rPr>
          <w:i/>
        </w:rPr>
        <w:t>Carcinus maenas</w:t>
      </w:r>
      <w:r w:rsidRPr="00950097">
        <w:t xml:space="preserve">. </w:t>
      </w:r>
      <w:r w:rsidRPr="00950097">
        <w:rPr>
          <w:i/>
        </w:rPr>
        <w:t>Acta Protozoologica,</w:t>
      </w:r>
      <w:r w:rsidRPr="00950097">
        <w:t xml:space="preserve"> 46(3)</w:t>
      </w:r>
      <w:r w:rsidRPr="00950097">
        <w:rPr>
          <w:b/>
        </w:rPr>
        <w:t>,</w:t>
      </w:r>
      <w:r w:rsidRPr="00950097">
        <w:t xml:space="preserve"> 183-192.</w:t>
      </w:r>
      <w:bookmarkEnd w:id="520"/>
    </w:p>
    <w:p w14:paraId="63DDB022" w14:textId="77777777" w:rsidR="00950097" w:rsidRPr="00950097" w:rsidRDefault="00950097" w:rsidP="00950097">
      <w:pPr>
        <w:pStyle w:val="EndNoteBibliography"/>
        <w:spacing w:after="0"/>
        <w:ind w:left="720" w:hanging="720"/>
      </w:pPr>
      <w:bookmarkStart w:id="521" w:name="_ENREF_121"/>
      <w:r w:rsidRPr="00950097">
        <w:t xml:space="preserve">Hamilton, K. M., Morritt, D. &amp; Shaw, P. W. (2010) Genetic diversity of the crustacean parasite </w:t>
      </w:r>
      <w:r w:rsidRPr="00950097">
        <w:rPr>
          <w:i/>
        </w:rPr>
        <w:t>Hematodinium</w:t>
      </w:r>
      <w:r w:rsidRPr="00950097">
        <w:t xml:space="preserve"> (Alveolata, </w:t>
      </w:r>
      <w:r w:rsidRPr="00950097">
        <w:rPr>
          <w:i/>
        </w:rPr>
        <w:t>Syndinea</w:t>
      </w:r>
      <w:r w:rsidRPr="00950097">
        <w:t xml:space="preserve">). </w:t>
      </w:r>
      <w:r w:rsidRPr="00950097">
        <w:rPr>
          <w:i/>
        </w:rPr>
        <w:t>European Journal of Protistology,</w:t>
      </w:r>
      <w:r w:rsidRPr="00950097">
        <w:t xml:space="preserve"> 46(1)</w:t>
      </w:r>
      <w:r w:rsidRPr="00950097">
        <w:rPr>
          <w:b/>
        </w:rPr>
        <w:t>,</w:t>
      </w:r>
      <w:r w:rsidRPr="00950097">
        <w:t xml:space="preserve"> 17-28. 10.1016/j.ejop.2009.10.002.</w:t>
      </w:r>
      <w:bookmarkEnd w:id="521"/>
    </w:p>
    <w:p w14:paraId="0998229F" w14:textId="77777777" w:rsidR="00950097" w:rsidRPr="00950097" w:rsidRDefault="00950097" w:rsidP="00950097">
      <w:pPr>
        <w:pStyle w:val="EndNoteBibliography"/>
        <w:spacing w:after="0"/>
        <w:ind w:left="720" w:hanging="720"/>
      </w:pPr>
      <w:bookmarkStart w:id="522" w:name="_ENREF_122"/>
      <w:r w:rsidRPr="00950097">
        <w:t xml:space="preserve">Hamilton, K. M., Shaw, P. W. &amp; Morritt, D. (2009) Prevalence and seasonality of </w:t>
      </w:r>
      <w:r w:rsidRPr="00950097">
        <w:rPr>
          <w:i/>
        </w:rPr>
        <w:t>Hematodinium</w:t>
      </w:r>
      <w:r w:rsidRPr="00950097">
        <w:t xml:space="preserve"> (Alveolata: </w:t>
      </w:r>
      <w:r w:rsidRPr="00950097">
        <w:rPr>
          <w:i/>
        </w:rPr>
        <w:t>Syndinea</w:t>
      </w:r>
      <w:r w:rsidRPr="00950097">
        <w:t xml:space="preserve">) in a Scottish crustacean community. </w:t>
      </w:r>
      <w:r w:rsidRPr="00950097">
        <w:rPr>
          <w:i/>
        </w:rPr>
        <w:t>ICES Journal of Marine Science,</w:t>
      </w:r>
      <w:r w:rsidRPr="00950097">
        <w:t xml:space="preserve"> 66(9)</w:t>
      </w:r>
      <w:r w:rsidRPr="00950097">
        <w:rPr>
          <w:b/>
        </w:rPr>
        <w:t>,</w:t>
      </w:r>
      <w:r w:rsidRPr="00950097">
        <w:t xml:space="preserve"> 1837-1845. 10.1093/icesjms/fsp152.</w:t>
      </w:r>
      <w:bookmarkEnd w:id="522"/>
    </w:p>
    <w:p w14:paraId="00E36ED4" w14:textId="77777777" w:rsidR="00950097" w:rsidRPr="00950097" w:rsidRDefault="00950097" w:rsidP="00950097">
      <w:pPr>
        <w:pStyle w:val="EndNoteBibliography"/>
        <w:spacing w:after="0"/>
        <w:ind w:left="720" w:hanging="720"/>
      </w:pPr>
      <w:bookmarkStart w:id="523" w:name="_ENREF_123"/>
      <w:r w:rsidRPr="00950097">
        <w:t xml:space="preserve">Hamilton, K. M., Tew, I. F., Atkinson, R. J. A. &amp; Roberts, E. C. (2011) Occurrence of the parasite genus </w:t>
      </w:r>
      <w:r w:rsidRPr="00950097">
        <w:rPr>
          <w:i/>
        </w:rPr>
        <w:t>Hematodinium</w:t>
      </w:r>
      <w:r w:rsidRPr="00950097">
        <w:t xml:space="preserve"> (Alveolata: </w:t>
      </w:r>
      <w:r w:rsidRPr="00950097">
        <w:rPr>
          <w:i/>
        </w:rPr>
        <w:t>Syndinea</w:t>
      </w:r>
      <w:r w:rsidRPr="00950097">
        <w:t xml:space="preserve">) in the water column. </w:t>
      </w:r>
      <w:r w:rsidRPr="00950097">
        <w:rPr>
          <w:i/>
        </w:rPr>
        <w:t>Journal of Eukaryotic Microbiology,</w:t>
      </w:r>
      <w:r w:rsidRPr="00950097">
        <w:t xml:space="preserve"> 58(5)</w:t>
      </w:r>
      <w:r w:rsidRPr="00950097">
        <w:rPr>
          <w:b/>
        </w:rPr>
        <w:t>,</w:t>
      </w:r>
      <w:r w:rsidRPr="00950097">
        <w:t xml:space="preserve"> 446-451. 10.1111/j.1550-7408.2011.00570.x.</w:t>
      </w:r>
      <w:bookmarkEnd w:id="523"/>
    </w:p>
    <w:p w14:paraId="3E46A752" w14:textId="77777777" w:rsidR="00950097" w:rsidRPr="00950097" w:rsidRDefault="00950097" w:rsidP="00950097">
      <w:pPr>
        <w:pStyle w:val="EndNoteBibliography"/>
        <w:spacing w:after="0"/>
        <w:ind w:left="720" w:hanging="720"/>
      </w:pPr>
      <w:bookmarkStart w:id="524" w:name="_ENREF_124"/>
      <w:r w:rsidRPr="00950097">
        <w:t xml:space="preserve">Hammami, R., Fernandez, B., Lacroix, C. &amp; Fliss, I. (2013) Anti-infective properties of bacteriocins: an update. </w:t>
      </w:r>
      <w:r w:rsidRPr="00950097">
        <w:rPr>
          <w:i/>
        </w:rPr>
        <w:t>Cellular and Molecular Life Sciences,</w:t>
      </w:r>
      <w:r w:rsidRPr="00950097">
        <w:t xml:space="preserve"> 70(16)</w:t>
      </w:r>
      <w:r w:rsidRPr="00950097">
        <w:rPr>
          <w:b/>
        </w:rPr>
        <w:t>,</w:t>
      </w:r>
      <w:r w:rsidRPr="00950097">
        <w:t xml:space="preserve"> 2947-2967. 10.1007/s00018-012-1202-3.</w:t>
      </w:r>
      <w:bookmarkEnd w:id="524"/>
    </w:p>
    <w:p w14:paraId="46164A72" w14:textId="77777777" w:rsidR="00950097" w:rsidRPr="00950097" w:rsidRDefault="00950097" w:rsidP="00950097">
      <w:pPr>
        <w:pStyle w:val="EndNoteBibliography"/>
        <w:spacing w:after="0"/>
        <w:ind w:left="720" w:hanging="720"/>
      </w:pPr>
      <w:bookmarkStart w:id="525" w:name="_ENREF_125"/>
      <w:r w:rsidRPr="00950097">
        <w:t xml:space="preserve">Hanif, A. W., Dyson, W. D., Bowers, H. A., Pitula, J. S., Messick, G. A., Jagus, R. &amp; Schott, E. J. (2013) Variation in spatial and temporal incidence of the crustacean pathogen </w:t>
      </w:r>
      <w:r w:rsidRPr="00950097">
        <w:rPr>
          <w:i/>
        </w:rPr>
        <w:t>Hematodinium perezi</w:t>
      </w:r>
      <w:r w:rsidRPr="00950097">
        <w:t xml:space="preserve"> in environmental samples from Atlantic Coastal Bays. </w:t>
      </w:r>
      <w:r w:rsidRPr="00950097">
        <w:rPr>
          <w:i/>
        </w:rPr>
        <w:t>Aquatic Biosystems,</w:t>
      </w:r>
      <w:r w:rsidRPr="00950097">
        <w:t xml:space="preserve"> 9(1)</w:t>
      </w:r>
      <w:r w:rsidRPr="00950097">
        <w:rPr>
          <w:b/>
        </w:rPr>
        <w:t>,</w:t>
      </w:r>
      <w:r w:rsidRPr="00950097">
        <w:t xml:space="preserve"> 11-11. 10.1186/2046-9063-9-11.</w:t>
      </w:r>
      <w:bookmarkEnd w:id="525"/>
    </w:p>
    <w:p w14:paraId="1778C8F6" w14:textId="77777777" w:rsidR="00950097" w:rsidRPr="00950097" w:rsidRDefault="00950097" w:rsidP="00950097">
      <w:pPr>
        <w:pStyle w:val="EndNoteBibliography"/>
        <w:spacing w:after="0"/>
        <w:ind w:left="720" w:hanging="720"/>
      </w:pPr>
      <w:bookmarkStart w:id="526" w:name="_ENREF_126"/>
      <w:r w:rsidRPr="00950097">
        <w:t xml:space="preserve">Hartnoll, R. G. (1962) Parasitic castration of </w:t>
      </w:r>
      <w:r w:rsidRPr="00950097">
        <w:rPr>
          <w:i/>
        </w:rPr>
        <w:t>Macropodia longirostris</w:t>
      </w:r>
      <w:r w:rsidRPr="00950097">
        <w:t xml:space="preserve"> (Fabricius) by a sacculinid. </w:t>
      </w:r>
      <w:r w:rsidRPr="00950097">
        <w:rPr>
          <w:i/>
        </w:rPr>
        <w:t>Crustaceana,</w:t>
      </w:r>
      <w:r w:rsidRPr="00950097">
        <w:t xml:space="preserve"> 4(4)</w:t>
      </w:r>
      <w:r w:rsidRPr="00950097">
        <w:rPr>
          <w:b/>
        </w:rPr>
        <w:t>,</w:t>
      </w:r>
      <w:r w:rsidRPr="00950097">
        <w:t xml:space="preserve"> 295-300.</w:t>
      </w:r>
      <w:bookmarkEnd w:id="526"/>
    </w:p>
    <w:p w14:paraId="730FD99A" w14:textId="77777777" w:rsidR="00950097" w:rsidRPr="00950097" w:rsidRDefault="00950097" w:rsidP="00950097">
      <w:pPr>
        <w:pStyle w:val="EndNoteBibliography"/>
        <w:spacing w:after="0"/>
        <w:ind w:left="720" w:hanging="720"/>
      </w:pPr>
      <w:bookmarkStart w:id="527" w:name="_ENREF_127"/>
      <w:r w:rsidRPr="00950097">
        <w:t xml:space="preserve">Heath, M. R. &amp; Speirs, D. C. (2012) Changes in species diversity and size composition in the Firth of Clyde demersal fish community (1927–2009). </w:t>
      </w:r>
      <w:r w:rsidRPr="00950097">
        <w:rPr>
          <w:i/>
        </w:rPr>
        <w:t>Proceedings of the Royal Society B: Biological Sciences,</w:t>
      </w:r>
      <w:r w:rsidRPr="00950097">
        <w:t xml:space="preserve"> 279(1728)</w:t>
      </w:r>
      <w:r w:rsidRPr="00950097">
        <w:rPr>
          <w:b/>
        </w:rPr>
        <w:t>,</w:t>
      </w:r>
      <w:r w:rsidRPr="00950097">
        <w:t xml:space="preserve"> 543-552. 10.1098/rspb.2011.1015.</w:t>
      </w:r>
      <w:bookmarkEnd w:id="527"/>
    </w:p>
    <w:p w14:paraId="3A2E3446" w14:textId="77777777" w:rsidR="00950097" w:rsidRPr="00950097" w:rsidRDefault="00950097" w:rsidP="00950097">
      <w:pPr>
        <w:pStyle w:val="EndNoteBibliography"/>
        <w:spacing w:after="0"/>
        <w:ind w:left="720" w:hanging="720"/>
      </w:pPr>
      <w:bookmarkStart w:id="528" w:name="_ENREF_128"/>
      <w:r w:rsidRPr="00950097">
        <w:t xml:space="preserve">Henry, R. P., Lucu, C., Onken, H. &amp; Weihrauch, D. (2012) Multiple functions of the crustacean gill: osmotic/ionic regulation, acid-base balance, ammonia excretion, and bioaccumulation of toxic metals. </w:t>
      </w:r>
      <w:r w:rsidRPr="00950097">
        <w:rPr>
          <w:i/>
        </w:rPr>
        <w:t>Frontiers in Physiology,</w:t>
      </w:r>
      <w:r w:rsidRPr="00950097">
        <w:t xml:space="preserve"> 3</w:t>
      </w:r>
      <w:r w:rsidRPr="00950097">
        <w:rPr>
          <w:b/>
        </w:rPr>
        <w:t>,</w:t>
      </w:r>
      <w:r w:rsidRPr="00950097">
        <w:t xml:space="preserve"> 431. 10.3389/fphys.2012.00431.</w:t>
      </w:r>
      <w:bookmarkEnd w:id="528"/>
    </w:p>
    <w:p w14:paraId="420BBEE5" w14:textId="77777777" w:rsidR="00950097" w:rsidRPr="00950097" w:rsidRDefault="00950097" w:rsidP="00950097">
      <w:pPr>
        <w:pStyle w:val="EndNoteBibliography"/>
        <w:spacing w:after="0"/>
        <w:ind w:left="720" w:hanging="720"/>
      </w:pPr>
      <w:bookmarkStart w:id="529" w:name="_ENREF_129"/>
      <w:r w:rsidRPr="00950097">
        <w:t xml:space="preserve">Herberholz, J. (2007) The neural basis of communication in crustaceans. In: Duffy, J. E. &amp; Thiel, M. (eds.) </w:t>
      </w:r>
      <w:r w:rsidRPr="00950097">
        <w:rPr>
          <w:i/>
        </w:rPr>
        <w:t>Evolutionary Ecology of Social and Sexual Systems.</w:t>
      </w:r>
      <w:r w:rsidRPr="00950097">
        <w:t xml:space="preserve"> Oxford University Press.</w:t>
      </w:r>
      <w:bookmarkEnd w:id="529"/>
    </w:p>
    <w:p w14:paraId="699D3A8A" w14:textId="77777777" w:rsidR="00950097" w:rsidRPr="00950097" w:rsidRDefault="00950097" w:rsidP="00950097">
      <w:pPr>
        <w:pStyle w:val="EndNoteBibliography"/>
        <w:spacing w:after="0"/>
        <w:ind w:left="720" w:hanging="720"/>
      </w:pPr>
      <w:bookmarkStart w:id="530" w:name="_ENREF_130"/>
      <w:r w:rsidRPr="00950097">
        <w:t xml:space="preserve">Hernández-Pérez, A., Zamora-Briseño, J. A., Söderhäll, K. &amp; Söderhäll, I. (2022) Gut microbiome alterations in the crustacean </w:t>
      </w:r>
      <w:r w:rsidRPr="00950097">
        <w:rPr>
          <w:i/>
        </w:rPr>
        <w:t xml:space="preserve">Pacifastacus leniusculus </w:t>
      </w:r>
      <w:r w:rsidRPr="00950097">
        <w:t xml:space="preserve">exposed to environmental concentrations of antibiotics and effects on susceptibility to bacteria challenges. </w:t>
      </w:r>
      <w:r w:rsidRPr="00950097">
        <w:rPr>
          <w:i/>
        </w:rPr>
        <w:t>Developmental and Comparative Immunology,</w:t>
      </w:r>
      <w:r w:rsidRPr="00950097">
        <w:t xml:space="preserve"> 126</w:t>
      </w:r>
      <w:r w:rsidRPr="00950097">
        <w:rPr>
          <w:b/>
        </w:rPr>
        <w:t>,</w:t>
      </w:r>
      <w:r w:rsidRPr="00950097">
        <w:t xml:space="preserve"> 104181-104181. 10.1016/J.DCI.2021.104181.</w:t>
      </w:r>
      <w:bookmarkEnd w:id="530"/>
    </w:p>
    <w:p w14:paraId="0519941F" w14:textId="02EFC75E" w:rsidR="00950097" w:rsidRPr="00950097" w:rsidRDefault="00950097" w:rsidP="00950097">
      <w:pPr>
        <w:pStyle w:val="EndNoteBibliography"/>
        <w:spacing w:after="0"/>
        <w:ind w:left="720" w:hanging="720"/>
      </w:pPr>
      <w:bookmarkStart w:id="531" w:name="_ENREF_131"/>
      <w:r w:rsidRPr="00950097">
        <w:t xml:space="preserve">Heussner, S., Durrieu de Madron, X., Calafat, A., Canals, M., Carbonne, J., Delsaut, N. &amp; Saragoni, G. (2006) Spatial and temporal variability of downward particle fluxes on a continental slope: Lessons from an 8-yr experiment in the Gulf of Lions (NW Mediterranean). </w:t>
      </w:r>
      <w:r w:rsidRPr="00950097">
        <w:rPr>
          <w:i/>
        </w:rPr>
        <w:t>Marine Geology,</w:t>
      </w:r>
      <w:r w:rsidRPr="00950097">
        <w:t xml:space="preserve"> 234(1)</w:t>
      </w:r>
      <w:r w:rsidRPr="00950097">
        <w:rPr>
          <w:b/>
        </w:rPr>
        <w:t>,</w:t>
      </w:r>
      <w:r w:rsidRPr="00950097">
        <w:t xml:space="preserve"> 63-92. </w:t>
      </w:r>
      <w:hyperlink r:id="rId131" w:history="1">
        <w:r w:rsidRPr="00950097">
          <w:rPr>
            <w:rStyle w:val="Hyperlink"/>
          </w:rPr>
          <w:t>https://doi.org/10.1016/j.margeo.2006.09.003</w:t>
        </w:r>
      </w:hyperlink>
      <w:r w:rsidRPr="00950097">
        <w:t>.</w:t>
      </w:r>
      <w:bookmarkEnd w:id="531"/>
    </w:p>
    <w:p w14:paraId="5469359B" w14:textId="77777777" w:rsidR="00950097" w:rsidRPr="00950097" w:rsidRDefault="00950097" w:rsidP="00950097">
      <w:pPr>
        <w:pStyle w:val="EndNoteBibliography"/>
        <w:spacing w:after="0"/>
        <w:ind w:left="720" w:hanging="720"/>
      </w:pPr>
      <w:bookmarkStart w:id="532" w:name="_ENREF_132"/>
      <w:r w:rsidRPr="00950097">
        <w:t xml:space="preserve">Hobbs, H. H. &amp; Lodge, D. M. (2009) Decapoda. In: Covich, J. H. T. a. A. P. (ed.) </w:t>
      </w:r>
      <w:r w:rsidRPr="00950097">
        <w:rPr>
          <w:i/>
        </w:rPr>
        <w:t>Ecology and classification of North American freshwater invertebrates.</w:t>
      </w:r>
      <w:r w:rsidRPr="00950097">
        <w:t xml:space="preserve"> Academic Press.</w:t>
      </w:r>
      <w:bookmarkEnd w:id="532"/>
    </w:p>
    <w:p w14:paraId="02834E12" w14:textId="77777777" w:rsidR="00950097" w:rsidRPr="00950097" w:rsidRDefault="00950097" w:rsidP="00950097">
      <w:pPr>
        <w:pStyle w:val="EndNoteBibliography"/>
        <w:spacing w:after="0"/>
        <w:ind w:left="720" w:hanging="720"/>
      </w:pPr>
      <w:bookmarkStart w:id="533" w:name="_ENREF_133"/>
      <w:r w:rsidRPr="00950097">
        <w:t xml:space="preserve">Hollander, M., Wolfe, D. A. &amp; Chicken, E. (2013) </w:t>
      </w:r>
      <w:r w:rsidRPr="00950097">
        <w:rPr>
          <w:i/>
        </w:rPr>
        <w:t>Nonparametric statistical methods, Wiley Series in Probability and Statistics.</w:t>
      </w:r>
      <w:r w:rsidRPr="00950097">
        <w:t xml:space="preserve"> Wiley.</w:t>
      </w:r>
      <w:bookmarkEnd w:id="533"/>
    </w:p>
    <w:p w14:paraId="53C85F04" w14:textId="77777777" w:rsidR="00950097" w:rsidRPr="00950097" w:rsidRDefault="00950097" w:rsidP="00950097">
      <w:pPr>
        <w:pStyle w:val="EndNoteBibliography"/>
        <w:spacing w:after="0"/>
        <w:ind w:left="720" w:hanging="720"/>
      </w:pPr>
      <w:bookmarkStart w:id="534" w:name="_ENREF_134"/>
      <w:r w:rsidRPr="00950097">
        <w:t xml:space="preserve">Holt, C. C. (2019) </w:t>
      </w:r>
      <w:r w:rsidRPr="00950097">
        <w:rPr>
          <w:i/>
        </w:rPr>
        <w:t>Gut health in European lobster - the gut microbiome as a health marker in offshore sea culture.</w:t>
      </w:r>
      <w:r w:rsidRPr="00950097">
        <w:t xml:space="preserve"> Doctor of Philosophy  University of Exeter.</w:t>
      </w:r>
      <w:bookmarkEnd w:id="534"/>
    </w:p>
    <w:p w14:paraId="7482244B" w14:textId="3B14ED9A" w:rsidR="00950097" w:rsidRPr="00950097" w:rsidRDefault="00950097" w:rsidP="00950097">
      <w:pPr>
        <w:pStyle w:val="EndNoteBibliography"/>
        <w:spacing w:after="0"/>
        <w:ind w:left="720" w:hanging="720"/>
      </w:pPr>
      <w:bookmarkStart w:id="535" w:name="_ENREF_135"/>
      <w:r w:rsidRPr="00950097">
        <w:t xml:space="preserve">Holt, C. C., Bass, D., Stentiford, G. D. &amp; van der Giezen, M. (2021) Understanding the role of the shrimp gut microbiome in health and disease. </w:t>
      </w:r>
      <w:r w:rsidRPr="00950097">
        <w:rPr>
          <w:i/>
        </w:rPr>
        <w:t>Journal of Invertebrate Pathology,</w:t>
      </w:r>
      <w:r w:rsidRPr="00950097">
        <w:t xml:space="preserve"> 186</w:t>
      </w:r>
      <w:r w:rsidRPr="00950097">
        <w:rPr>
          <w:b/>
        </w:rPr>
        <w:t>,</w:t>
      </w:r>
      <w:r w:rsidRPr="00950097">
        <w:t xml:space="preserve"> 107387. </w:t>
      </w:r>
      <w:hyperlink r:id="rId132" w:history="1">
        <w:r w:rsidRPr="00950097">
          <w:rPr>
            <w:rStyle w:val="Hyperlink"/>
          </w:rPr>
          <w:t>https://doi.org/10.1016/j.jip.2020.107387</w:t>
        </w:r>
      </w:hyperlink>
      <w:r w:rsidRPr="00950097">
        <w:t>.</w:t>
      </w:r>
      <w:bookmarkEnd w:id="535"/>
    </w:p>
    <w:p w14:paraId="7F3A10E0" w14:textId="77777777" w:rsidR="00950097" w:rsidRPr="00950097" w:rsidRDefault="00950097" w:rsidP="00950097">
      <w:pPr>
        <w:pStyle w:val="EndNoteBibliography"/>
        <w:spacing w:after="0"/>
        <w:ind w:left="720" w:hanging="720"/>
      </w:pPr>
      <w:bookmarkStart w:id="536" w:name="_ENREF_136"/>
      <w:r w:rsidRPr="00950097">
        <w:t>Holt, C. C., van der Giezen, M., Daniels, C. L., Stentiford, G. D. &amp; Bass, D. (2020) Spatial and temporal axes impact ecology of the gut microbiome in juvenile European lobster (</w:t>
      </w:r>
      <w:r w:rsidRPr="00950097">
        <w:rPr>
          <w:i/>
        </w:rPr>
        <w:t>Homarus gammarus</w:t>
      </w:r>
      <w:r w:rsidRPr="00950097">
        <w:t xml:space="preserve">). </w:t>
      </w:r>
      <w:r w:rsidRPr="00950097">
        <w:rPr>
          <w:i/>
        </w:rPr>
        <w:t>Multidisciplinary Journal of Microbial Ecology,</w:t>
      </w:r>
      <w:r w:rsidRPr="00950097">
        <w:t xml:space="preserve"> 14(2)</w:t>
      </w:r>
      <w:r w:rsidRPr="00950097">
        <w:rPr>
          <w:b/>
        </w:rPr>
        <w:t>,</w:t>
      </w:r>
      <w:r w:rsidRPr="00950097">
        <w:t xml:space="preserve"> 531-543. 10.1038/s41396-019-0546-1.</w:t>
      </w:r>
      <w:bookmarkEnd w:id="536"/>
    </w:p>
    <w:p w14:paraId="677236B7" w14:textId="77777777" w:rsidR="00950097" w:rsidRPr="00950097" w:rsidRDefault="00950097" w:rsidP="00950097">
      <w:pPr>
        <w:pStyle w:val="EndNoteBibliography"/>
        <w:spacing w:after="0"/>
        <w:ind w:left="720" w:hanging="720"/>
      </w:pPr>
      <w:bookmarkStart w:id="537" w:name="_ENREF_137"/>
      <w:r w:rsidRPr="00950097">
        <w:t xml:space="preserve">Hoppes, J. L. (2011) </w:t>
      </w:r>
      <w:r w:rsidRPr="00950097">
        <w:rPr>
          <w:i/>
        </w:rPr>
        <w:t>Effects of the dinoflagellate parasite Hematodinium sp . on the immune response of its crustacean hosts.</w:t>
      </w:r>
      <w:r w:rsidRPr="00950097">
        <w:t xml:space="preserve"> PhD thesis  University of Southampton.</w:t>
      </w:r>
      <w:bookmarkEnd w:id="537"/>
    </w:p>
    <w:p w14:paraId="4C7EB97E" w14:textId="77777777" w:rsidR="00950097" w:rsidRPr="00950097" w:rsidRDefault="00950097" w:rsidP="00950097">
      <w:pPr>
        <w:pStyle w:val="EndNoteBibliography"/>
        <w:spacing w:after="0"/>
        <w:ind w:left="720" w:hanging="720"/>
      </w:pPr>
      <w:bookmarkStart w:id="538" w:name="_ENREF_138"/>
      <w:r w:rsidRPr="00950097">
        <w:t xml:space="preserve">Hopwood, D. (1996) Fixation and fixatives. In: Bamcroft, J. D. &amp; Stevens, A. (eds.) </w:t>
      </w:r>
      <w:r w:rsidRPr="00950097">
        <w:rPr>
          <w:i/>
        </w:rPr>
        <w:t>Theory and Practice of Histological Techniques.</w:t>
      </w:r>
      <w:r w:rsidRPr="00950097">
        <w:t xml:space="preserve"> Hong Kong: Churchill Livingston.</w:t>
      </w:r>
      <w:bookmarkEnd w:id="538"/>
    </w:p>
    <w:p w14:paraId="3B691B47" w14:textId="77777777" w:rsidR="00950097" w:rsidRPr="00950097" w:rsidRDefault="00950097" w:rsidP="00950097">
      <w:pPr>
        <w:pStyle w:val="EndNoteBibliography"/>
        <w:spacing w:after="0"/>
        <w:ind w:left="720" w:hanging="720"/>
      </w:pPr>
      <w:bookmarkStart w:id="539" w:name="_ENREF_139"/>
      <w:r w:rsidRPr="00950097">
        <w:t xml:space="preserve">Hou, D., Huang, Z., Zeng, S., Liu, J., Wei, D., Deng, X., Weng, S., Yan, Q. &amp; He, J. (2018) Intestinal bacterial signatures of white feces syndrome in shrimp. </w:t>
      </w:r>
      <w:r w:rsidRPr="00950097">
        <w:rPr>
          <w:i/>
        </w:rPr>
        <w:t>Applied Microbiology and Biotechnology,</w:t>
      </w:r>
      <w:r w:rsidRPr="00950097">
        <w:t xml:space="preserve"> 102(8)</w:t>
      </w:r>
      <w:r w:rsidRPr="00950097">
        <w:rPr>
          <w:b/>
        </w:rPr>
        <w:t>,</w:t>
      </w:r>
      <w:r w:rsidRPr="00950097">
        <w:t xml:space="preserve"> 3701-3709. 10.1007/S00253-018-8855-2.</w:t>
      </w:r>
      <w:bookmarkEnd w:id="539"/>
    </w:p>
    <w:p w14:paraId="44CE47A4" w14:textId="77777777" w:rsidR="00950097" w:rsidRPr="00950097" w:rsidRDefault="00950097" w:rsidP="00950097">
      <w:pPr>
        <w:pStyle w:val="EndNoteBibliography"/>
        <w:spacing w:after="0"/>
        <w:ind w:left="720" w:hanging="720"/>
      </w:pPr>
      <w:bookmarkStart w:id="540" w:name="_ENREF_140"/>
      <w:r w:rsidRPr="00950097">
        <w:t xml:space="preserve">Hou, K., Wu, Z.-X., Chen, X.-Y., Wang, J.-Q., Zhang, D., Xiao, C., Zhu, D., Koya, J. B., Wei, L., Li, J. &amp; Chen, Z.-S. (2022) Microbiota in health and diseases. </w:t>
      </w:r>
      <w:r w:rsidRPr="00950097">
        <w:rPr>
          <w:i/>
        </w:rPr>
        <w:t>Signal Transduction and Targeted Therapy,</w:t>
      </w:r>
      <w:r w:rsidRPr="00950097">
        <w:t xml:space="preserve"> 7(1)</w:t>
      </w:r>
      <w:r w:rsidRPr="00950097">
        <w:rPr>
          <w:b/>
        </w:rPr>
        <w:t>,</w:t>
      </w:r>
      <w:r w:rsidRPr="00950097">
        <w:t xml:space="preserve"> 135. 10.1038/s41392-022-00974-4.</w:t>
      </w:r>
      <w:bookmarkEnd w:id="540"/>
    </w:p>
    <w:p w14:paraId="4EF975E8" w14:textId="77777777" w:rsidR="00950097" w:rsidRPr="00950097" w:rsidRDefault="00950097" w:rsidP="00950097">
      <w:pPr>
        <w:pStyle w:val="EndNoteBibliography"/>
        <w:spacing w:after="0"/>
        <w:ind w:left="720" w:hanging="720"/>
      </w:pPr>
      <w:bookmarkStart w:id="541" w:name="_ENREF_141"/>
      <w:r w:rsidRPr="00950097">
        <w:t xml:space="preserve">Howarth, L. M., Roberts, C. M., Thurstan, R. H. &amp; Stewart, B. D. (2014) The unintended consequences of simplifying the sea: making the case for complexity. </w:t>
      </w:r>
      <w:r w:rsidRPr="00950097">
        <w:rPr>
          <w:i/>
        </w:rPr>
        <w:t>Fish and Fisheries,</w:t>
      </w:r>
      <w:r w:rsidRPr="00950097">
        <w:t xml:space="preserve"> 15(4)</w:t>
      </w:r>
      <w:r w:rsidRPr="00950097">
        <w:rPr>
          <w:b/>
        </w:rPr>
        <w:t>,</w:t>
      </w:r>
      <w:r w:rsidRPr="00950097">
        <w:t xml:space="preserve"> 690-711. 10.1111/faf.12041.</w:t>
      </w:r>
      <w:bookmarkEnd w:id="541"/>
    </w:p>
    <w:p w14:paraId="5F88F87F" w14:textId="77777777" w:rsidR="00950097" w:rsidRPr="00950097" w:rsidRDefault="00950097" w:rsidP="00950097">
      <w:pPr>
        <w:pStyle w:val="EndNoteBibliography"/>
        <w:spacing w:after="0"/>
        <w:ind w:left="720" w:hanging="720"/>
      </w:pPr>
      <w:bookmarkStart w:id="542" w:name="_ENREF_142"/>
      <w:r w:rsidRPr="00950097">
        <w:t xml:space="preserve">Hsiao, E. Y., McBride, S. W., Hsien, S., Sharon, G., Hyde, E. R., McCue, T., Codelli, J. A., Chow, J., Reisman, S. E., Petrosino, J. F., Patterson, P. H. &amp; Mazmanian, S. K. (2013) Microbiota modulate behavioral and physiological abnormalities associated with neurodevelopmental disorders. </w:t>
      </w:r>
      <w:r w:rsidRPr="00950097">
        <w:rPr>
          <w:i/>
        </w:rPr>
        <w:t>Cell,</w:t>
      </w:r>
      <w:r w:rsidRPr="00950097">
        <w:t xml:space="preserve"> 155(7)</w:t>
      </w:r>
      <w:r w:rsidRPr="00950097">
        <w:rPr>
          <w:b/>
        </w:rPr>
        <w:t>,</w:t>
      </w:r>
      <w:r w:rsidRPr="00950097">
        <w:t xml:space="preserve"> 1451-63. 10.1016/j.cell.2013.11.024.</w:t>
      </w:r>
      <w:bookmarkEnd w:id="542"/>
    </w:p>
    <w:p w14:paraId="7A8B30F8" w14:textId="77777777" w:rsidR="00950097" w:rsidRPr="00950097" w:rsidRDefault="00950097" w:rsidP="00950097">
      <w:pPr>
        <w:pStyle w:val="EndNoteBibliography"/>
        <w:spacing w:after="0"/>
        <w:ind w:left="720" w:hanging="720"/>
      </w:pPr>
      <w:bookmarkStart w:id="543" w:name="_ENREF_143"/>
      <w:r w:rsidRPr="00950097">
        <w:t xml:space="preserve">Huang, Q., Li, M., Wang, F. &amp; Li, C. (2019) The parasitic dinoflagellate </w:t>
      </w:r>
      <w:r w:rsidRPr="00950097">
        <w:rPr>
          <w:i/>
        </w:rPr>
        <w:t xml:space="preserve">Hematodinium perezi </w:t>
      </w:r>
      <w:r w:rsidRPr="00950097">
        <w:t xml:space="preserve">infecting mudflat crabs, </w:t>
      </w:r>
      <w:r w:rsidRPr="00950097">
        <w:rPr>
          <w:i/>
        </w:rPr>
        <w:t>Helice tientsinensis</w:t>
      </w:r>
      <w:r w:rsidRPr="00950097">
        <w:t xml:space="preserve">, in polyculture system in China. </w:t>
      </w:r>
      <w:r w:rsidRPr="00950097">
        <w:rPr>
          <w:i/>
        </w:rPr>
        <w:t>Journal of Invertebrate Pathology,</w:t>
      </w:r>
      <w:r w:rsidRPr="00950097">
        <w:t xml:space="preserve"> 166(August)</w:t>
      </w:r>
      <w:r w:rsidRPr="00950097">
        <w:rPr>
          <w:b/>
        </w:rPr>
        <w:t>,</w:t>
      </w:r>
      <w:r w:rsidRPr="00950097">
        <w:t xml:space="preserve"> 107229-107229. 10.1016/j.jip.2019.107229.</w:t>
      </w:r>
      <w:bookmarkEnd w:id="543"/>
    </w:p>
    <w:p w14:paraId="7A0C7990" w14:textId="77777777" w:rsidR="00950097" w:rsidRPr="00950097" w:rsidRDefault="00950097" w:rsidP="00950097">
      <w:pPr>
        <w:pStyle w:val="EndNoteBibliography"/>
        <w:spacing w:after="0"/>
        <w:ind w:left="720" w:hanging="720"/>
      </w:pPr>
      <w:bookmarkStart w:id="544" w:name="_ENREF_144"/>
      <w:r w:rsidRPr="00950097">
        <w:t xml:space="preserve">Huang, Q., Li, M., Wang, F., Song, S. &amp; Li, C. (2021) Transmission pattern of the parasitic dinoflagellate </w:t>
      </w:r>
      <w:r w:rsidRPr="00950097">
        <w:rPr>
          <w:i/>
        </w:rPr>
        <w:t>Hematodinium perezi</w:t>
      </w:r>
      <w:r w:rsidRPr="00950097">
        <w:t xml:space="preserve"> in polyculture ponds of coastal China. </w:t>
      </w:r>
      <w:r w:rsidRPr="00950097">
        <w:rPr>
          <w:i/>
        </w:rPr>
        <w:t>Aquaculture,</w:t>
      </w:r>
      <w:r w:rsidRPr="00950097">
        <w:t xml:space="preserve"> 538(736549)</w:t>
      </w:r>
      <w:r w:rsidRPr="00950097">
        <w:rPr>
          <w:b/>
        </w:rPr>
        <w:t>,</w:t>
      </w:r>
      <w:r w:rsidRPr="00950097">
        <w:t xml:space="preserve"> 736549-736549. 10.1016/j.aquaculture.2021.736549.</w:t>
      </w:r>
      <w:bookmarkEnd w:id="544"/>
    </w:p>
    <w:p w14:paraId="2AD94B6B" w14:textId="77777777" w:rsidR="00950097" w:rsidRPr="00950097" w:rsidRDefault="00950097" w:rsidP="00950097">
      <w:pPr>
        <w:pStyle w:val="EndNoteBibliography"/>
        <w:spacing w:after="0"/>
        <w:ind w:left="720" w:hanging="720"/>
      </w:pPr>
      <w:bookmarkStart w:id="545" w:name="_ENREF_145"/>
      <w:r w:rsidRPr="00950097">
        <w:t>Huang, Q., Sham, R. C., Deng, Y., Mao, Y., Wang, C., Zhang, T. &amp; Leung, K. M. Y. (2020a) Diversity of gut microbiomes in marine fishes is shaped by host</w:t>
      </w:r>
      <w:r w:rsidRPr="00950097">
        <w:rPr>
          <w:rFonts w:ascii="Cambria Math" w:hAnsi="Cambria Math" w:cs="Cambria Math"/>
        </w:rPr>
        <w:t>‐</w:t>
      </w:r>
      <w:r w:rsidRPr="00950097">
        <w:t xml:space="preserve">related factors. </w:t>
      </w:r>
      <w:r w:rsidRPr="00950097">
        <w:rPr>
          <w:i/>
        </w:rPr>
        <w:t>Molecular Ecology,</w:t>
      </w:r>
      <w:r w:rsidRPr="00950097">
        <w:t xml:space="preserve"> 29(24)</w:t>
      </w:r>
      <w:r w:rsidRPr="00950097">
        <w:rPr>
          <w:b/>
        </w:rPr>
        <w:t>,</w:t>
      </w:r>
      <w:r w:rsidRPr="00950097">
        <w:t xml:space="preserve"> 5019-5019. 10.1111/MEC.15699.</w:t>
      </w:r>
      <w:bookmarkEnd w:id="545"/>
    </w:p>
    <w:p w14:paraId="5F81C00A" w14:textId="77777777" w:rsidR="00950097" w:rsidRPr="00950097" w:rsidRDefault="00950097" w:rsidP="00950097">
      <w:pPr>
        <w:pStyle w:val="EndNoteBibliography"/>
        <w:spacing w:after="0"/>
        <w:ind w:left="720" w:hanging="720"/>
      </w:pPr>
      <w:bookmarkStart w:id="546" w:name="_ENREF_146"/>
      <w:r w:rsidRPr="00950097">
        <w:t>Huang, X., Feng, Y., Duan, J., Xiong, G., Fan, W., Liu, S., Zhong, L., Wang, K., Geng, Y., Ouyang, P., Chen, D., Yang, S. &amp; Yin, L. (2020b) Antistarvation strategies of</w:t>
      </w:r>
      <w:r w:rsidRPr="00950097">
        <w:rPr>
          <w:i/>
        </w:rPr>
        <w:t xml:space="preserve"> E. sinensis</w:t>
      </w:r>
      <w:r w:rsidRPr="00950097">
        <w:t xml:space="preserve">: Regulatory networks under hepatopancreas consumption. </w:t>
      </w:r>
      <w:r w:rsidRPr="00950097">
        <w:rPr>
          <w:i/>
        </w:rPr>
        <w:t>Oxidative Medicine and Cellular Longevity,</w:t>
      </w:r>
      <w:r w:rsidRPr="00950097">
        <w:t xml:space="preserve"> 2020</w:t>
      </w:r>
      <w:r w:rsidRPr="00950097">
        <w:rPr>
          <w:b/>
        </w:rPr>
        <w:t>,</w:t>
      </w:r>
      <w:r w:rsidRPr="00950097">
        <w:t xml:space="preserve"> 1-16. 10.1155/2020/6085343.</w:t>
      </w:r>
      <w:bookmarkEnd w:id="546"/>
    </w:p>
    <w:p w14:paraId="451D1621" w14:textId="77777777" w:rsidR="00950097" w:rsidRPr="00950097" w:rsidRDefault="00950097" w:rsidP="00950097">
      <w:pPr>
        <w:pStyle w:val="EndNoteBibliography"/>
        <w:spacing w:after="0"/>
        <w:ind w:left="720" w:hanging="720"/>
      </w:pPr>
      <w:bookmarkStart w:id="547" w:name="_ENREF_147"/>
      <w:r w:rsidRPr="00950097">
        <w:t xml:space="preserve">Huang, Z., Li, X., Wang, L. &amp; Shao, Z. (2016) Changes in the intestinal bacterial community during the growth of white shrimp, </w:t>
      </w:r>
      <w:r w:rsidRPr="00950097">
        <w:rPr>
          <w:i/>
        </w:rPr>
        <w:t>Litopenaeus vannamei</w:t>
      </w:r>
      <w:r w:rsidRPr="00950097">
        <w:t xml:space="preserve">. </w:t>
      </w:r>
      <w:r w:rsidRPr="00950097">
        <w:rPr>
          <w:i/>
        </w:rPr>
        <w:t>Aquaculture Research,</w:t>
      </w:r>
      <w:r w:rsidRPr="00950097">
        <w:t xml:space="preserve"> 47(6)</w:t>
      </w:r>
      <w:r w:rsidRPr="00950097">
        <w:rPr>
          <w:b/>
        </w:rPr>
        <w:t>,</w:t>
      </w:r>
      <w:r w:rsidRPr="00950097">
        <w:t xml:space="preserve"> 1737-1746. 10.1111/are.12628.</w:t>
      </w:r>
      <w:bookmarkEnd w:id="547"/>
    </w:p>
    <w:p w14:paraId="2A045075" w14:textId="77777777" w:rsidR="00950097" w:rsidRPr="00950097" w:rsidRDefault="00950097" w:rsidP="00950097">
      <w:pPr>
        <w:pStyle w:val="EndNoteBibliography"/>
        <w:spacing w:after="0"/>
        <w:ind w:left="720" w:hanging="720"/>
      </w:pPr>
      <w:bookmarkStart w:id="548" w:name="_ENREF_148"/>
      <w:r w:rsidRPr="00950097">
        <w:t xml:space="preserve">Huang, Z., Zeng, S., Xiong, J., Hou, D., Zhou, R., Xing, C., Wei, D., Deng, X., Yu, L., Wang, H., Deng, Z., Weng, S., Kriengkrai, S., Ning, D., Zhou, J. &amp; He, J. (2020c) Microecological Koch's postulates reveal that intestinal microbiota dysbiosis contributes to shrimp white feces syndrome. </w:t>
      </w:r>
      <w:r w:rsidRPr="00950097">
        <w:rPr>
          <w:i/>
        </w:rPr>
        <w:t>Microbiome,</w:t>
      </w:r>
      <w:r w:rsidRPr="00950097">
        <w:t xml:space="preserve"> 8(1). 10.1186/S40168-020-00802-3.</w:t>
      </w:r>
      <w:bookmarkEnd w:id="548"/>
    </w:p>
    <w:p w14:paraId="09174F8A" w14:textId="77777777" w:rsidR="00950097" w:rsidRPr="00950097" w:rsidRDefault="00950097" w:rsidP="00950097">
      <w:pPr>
        <w:pStyle w:val="EndNoteBibliography"/>
        <w:spacing w:after="0"/>
        <w:ind w:left="720" w:hanging="720"/>
      </w:pPr>
      <w:bookmarkStart w:id="549" w:name="_ENREF_149"/>
      <w:r w:rsidRPr="00950097">
        <w:t xml:space="preserve">Huchin-Mian, J. P., Small, H. J. &amp; Shields, J. D. (2018) The influence of temperature and salinity on mortality of recently recruited blue crabs, </w:t>
      </w:r>
      <w:r w:rsidRPr="00950097">
        <w:rPr>
          <w:i/>
        </w:rPr>
        <w:t>Callinectes sapidus</w:t>
      </w:r>
      <w:r w:rsidRPr="00950097">
        <w:t xml:space="preserve">, naturally infected with </w:t>
      </w:r>
      <w:r w:rsidRPr="00950097">
        <w:rPr>
          <w:i/>
        </w:rPr>
        <w:t xml:space="preserve">Hematodinium perezi </w:t>
      </w:r>
      <w:r w:rsidRPr="00950097">
        <w:t xml:space="preserve">(Dinoflagellata). </w:t>
      </w:r>
      <w:r w:rsidRPr="00950097">
        <w:rPr>
          <w:i/>
        </w:rPr>
        <w:t>Journal of Invertebrate Pathology,</w:t>
      </w:r>
      <w:r w:rsidRPr="00950097">
        <w:t xml:space="preserve"> 152(November 2017)</w:t>
      </w:r>
      <w:r w:rsidRPr="00950097">
        <w:rPr>
          <w:b/>
        </w:rPr>
        <w:t>,</w:t>
      </w:r>
      <w:r w:rsidRPr="00950097">
        <w:t xml:space="preserve"> 8-16. 10.1016/j.jip.2018.01.003.</w:t>
      </w:r>
      <w:bookmarkEnd w:id="549"/>
    </w:p>
    <w:p w14:paraId="0FC030A2" w14:textId="77777777" w:rsidR="00950097" w:rsidRPr="00950097" w:rsidRDefault="00950097" w:rsidP="00950097">
      <w:pPr>
        <w:pStyle w:val="EndNoteBibliography"/>
        <w:spacing w:after="0"/>
        <w:ind w:left="720" w:hanging="720"/>
      </w:pPr>
      <w:bookmarkStart w:id="550" w:name="_ENREF_150"/>
      <w:r w:rsidRPr="00950097">
        <w:t xml:space="preserve">Hudson, D. A. &amp; Adlard, R. D. (1995) PCR techniques applied to </w:t>
      </w:r>
      <w:r w:rsidRPr="00950097">
        <w:rPr>
          <w:i/>
        </w:rPr>
        <w:t xml:space="preserve">Hematodinium </w:t>
      </w:r>
      <w:r w:rsidRPr="00950097">
        <w:t xml:space="preserve">spp. and </w:t>
      </w:r>
      <w:r w:rsidRPr="00950097">
        <w:rPr>
          <w:i/>
        </w:rPr>
        <w:t>Hematodinium</w:t>
      </w:r>
      <w:r w:rsidRPr="00950097">
        <w:t xml:space="preserve">-like dinoflagellates in decapod crustaceans. </w:t>
      </w:r>
      <w:r w:rsidRPr="00950097">
        <w:rPr>
          <w:i/>
        </w:rPr>
        <w:t>Diseases of Aquatic Organisms,</w:t>
      </w:r>
      <w:r w:rsidRPr="00950097">
        <w:t xml:space="preserve"> 20(3)</w:t>
      </w:r>
      <w:r w:rsidRPr="00950097">
        <w:rPr>
          <w:b/>
        </w:rPr>
        <w:t>,</w:t>
      </w:r>
      <w:r w:rsidRPr="00950097">
        <w:t xml:space="preserve"> 203-206. 10.3354/dao020203.</w:t>
      </w:r>
      <w:bookmarkEnd w:id="550"/>
    </w:p>
    <w:p w14:paraId="168E961D" w14:textId="77777777" w:rsidR="00950097" w:rsidRPr="00950097" w:rsidRDefault="00950097" w:rsidP="00950097">
      <w:pPr>
        <w:pStyle w:val="EndNoteBibliography"/>
        <w:spacing w:after="0"/>
        <w:ind w:left="720" w:hanging="720"/>
      </w:pPr>
      <w:bookmarkStart w:id="551" w:name="_ENREF_151"/>
      <w:r w:rsidRPr="00950097">
        <w:t xml:space="preserve">Hudson, D. A. &amp; Shields, J. D. (1994) </w:t>
      </w:r>
      <w:r w:rsidRPr="00950097">
        <w:rPr>
          <w:i/>
        </w:rPr>
        <w:t xml:space="preserve">Hematodinium australis </w:t>
      </w:r>
      <w:r w:rsidRPr="00950097">
        <w:t xml:space="preserve">n. sp., a parasitic dinoflagellate of the sand crab </w:t>
      </w:r>
      <w:r w:rsidRPr="00950097">
        <w:rPr>
          <w:i/>
        </w:rPr>
        <w:t>Portunus pelagicus</w:t>
      </w:r>
      <w:r w:rsidRPr="00950097">
        <w:t xml:space="preserve"> from Moreton Bay, Australia. </w:t>
      </w:r>
      <w:r w:rsidRPr="00950097">
        <w:rPr>
          <w:i/>
        </w:rPr>
        <w:t>Diseases of Aquatic Organisms,</w:t>
      </w:r>
      <w:r w:rsidRPr="00950097">
        <w:t xml:space="preserve"> 19(2)</w:t>
      </w:r>
      <w:r w:rsidRPr="00950097">
        <w:rPr>
          <w:b/>
        </w:rPr>
        <w:t>,</w:t>
      </w:r>
      <w:r w:rsidRPr="00950097">
        <w:t xml:space="preserve"> 109-119. 10.3354/dao019109.</w:t>
      </w:r>
      <w:bookmarkEnd w:id="551"/>
    </w:p>
    <w:p w14:paraId="776FB1AC" w14:textId="77777777" w:rsidR="00950097" w:rsidRPr="00950097" w:rsidRDefault="00950097" w:rsidP="00950097">
      <w:pPr>
        <w:pStyle w:val="EndNoteBibliography"/>
        <w:spacing w:after="0"/>
        <w:ind w:left="720" w:hanging="720"/>
      </w:pPr>
      <w:bookmarkStart w:id="552" w:name="_ENREF_152"/>
      <w:r w:rsidRPr="00950097">
        <w:t xml:space="preserve">Hunter, A., Speirs, D. C. &amp; Heath, M. R. (2016) Investigating trends in the growth of five demersal fish species from the Firth of Clyde and the wider western shelf of Scotland. </w:t>
      </w:r>
      <w:r w:rsidRPr="00950097">
        <w:rPr>
          <w:i/>
        </w:rPr>
        <w:t>Fisheries Research,</w:t>
      </w:r>
      <w:r w:rsidRPr="00950097">
        <w:t xml:space="preserve"> 177</w:t>
      </w:r>
      <w:r w:rsidRPr="00950097">
        <w:rPr>
          <w:b/>
        </w:rPr>
        <w:t>,</w:t>
      </w:r>
      <w:r w:rsidRPr="00950097">
        <w:t xml:space="preserve"> 71-81. 10.1016/J.FISHRES.2016.01.005.</w:t>
      </w:r>
      <w:bookmarkEnd w:id="552"/>
    </w:p>
    <w:p w14:paraId="1AEACBA5" w14:textId="77777777" w:rsidR="00950097" w:rsidRPr="00950097" w:rsidRDefault="00950097" w:rsidP="00950097">
      <w:pPr>
        <w:pStyle w:val="EndNoteBibliography"/>
        <w:spacing w:after="0"/>
        <w:ind w:left="720" w:hanging="720"/>
      </w:pPr>
      <w:bookmarkStart w:id="553" w:name="_ENREF_153"/>
      <w:r w:rsidRPr="00950097">
        <w:t xml:space="preserve">Infante-Villamil, S., Huerlimann, R. &amp; Jerry, D. R. (2021) Microbiome diversity and dysbiosis in aquaculture. </w:t>
      </w:r>
      <w:r w:rsidRPr="00950097">
        <w:rPr>
          <w:i/>
        </w:rPr>
        <w:t>Reviews in Aquaculture,</w:t>
      </w:r>
      <w:r w:rsidRPr="00950097">
        <w:t xml:space="preserve"> 13(2)</w:t>
      </w:r>
      <w:r w:rsidRPr="00950097">
        <w:rPr>
          <w:b/>
        </w:rPr>
        <w:t>,</w:t>
      </w:r>
      <w:r w:rsidRPr="00950097">
        <w:t xml:space="preserve"> 1077-1096. 10.1111/RAQ.12513.</w:t>
      </w:r>
      <w:bookmarkEnd w:id="553"/>
    </w:p>
    <w:p w14:paraId="5B458EBD" w14:textId="77777777" w:rsidR="00950097" w:rsidRPr="00950097" w:rsidRDefault="00950097" w:rsidP="00950097">
      <w:pPr>
        <w:pStyle w:val="EndNoteBibliography"/>
        <w:spacing w:after="0"/>
        <w:ind w:left="720" w:hanging="720"/>
      </w:pPr>
      <w:bookmarkStart w:id="554" w:name="_ENREF_154"/>
      <w:r w:rsidRPr="00950097">
        <w:t xml:space="preserve">Itoe, M. A., Sampaio, J. L., Cabal, G. G., Real, E., Zuzarte-Luis, V., March, S., Bhatia, S. N., Frischknecht, F., Thiele, C., Shevchenko, A. &amp; Mota, M. M. (2014) Host cell phosphatidylcholine is a key mediator of malaria parasite survival during liver stage infection. </w:t>
      </w:r>
      <w:r w:rsidRPr="00950097">
        <w:rPr>
          <w:i/>
        </w:rPr>
        <w:t>Cell Host and Microbe,</w:t>
      </w:r>
      <w:r w:rsidRPr="00950097">
        <w:t xml:space="preserve"> 16(6)</w:t>
      </w:r>
      <w:r w:rsidRPr="00950097">
        <w:rPr>
          <w:b/>
        </w:rPr>
        <w:t>,</w:t>
      </w:r>
      <w:r w:rsidRPr="00950097">
        <w:t xml:space="preserve"> 778-778. 10.1016/J.CHOM.2014.11.006.</w:t>
      </w:r>
      <w:bookmarkEnd w:id="554"/>
    </w:p>
    <w:p w14:paraId="0ABEFDCC" w14:textId="77777777" w:rsidR="00950097" w:rsidRPr="00950097" w:rsidRDefault="00950097" w:rsidP="00950097">
      <w:pPr>
        <w:pStyle w:val="EndNoteBibliography"/>
        <w:spacing w:after="0"/>
        <w:ind w:left="720" w:hanging="720"/>
      </w:pPr>
      <w:bookmarkStart w:id="555" w:name="_ENREF_155"/>
      <w:r w:rsidRPr="00950097">
        <w:t xml:space="preserve">Jarc, E. &amp; Petan, T. (2019) Lipid droplets and the management of cellular stress. </w:t>
      </w:r>
      <w:r w:rsidRPr="00950097">
        <w:rPr>
          <w:i/>
        </w:rPr>
        <w:t>The Yale Journal of Biology and Medicine,</w:t>
      </w:r>
      <w:r w:rsidRPr="00950097">
        <w:t xml:space="preserve"> 92(3)</w:t>
      </w:r>
      <w:r w:rsidRPr="00950097">
        <w:rPr>
          <w:b/>
        </w:rPr>
        <w:t>,</w:t>
      </w:r>
      <w:r w:rsidRPr="00950097">
        <w:t xml:space="preserve"> 435-452.</w:t>
      </w:r>
      <w:bookmarkEnd w:id="555"/>
    </w:p>
    <w:p w14:paraId="0BEE0ADF" w14:textId="77777777" w:rsidR="00950097" w:rsidRPr="00950097" w:rsidRDefault="00950097" w:rsidP="00950097">
      <w:pPr>
        <w:pStyle w:val="EndNoteBibliography"/>
        <w:spacing w:after="0"/>
        <w:ind w:left="720" w:hanging="720"/>
      </w:pPr>
      <w:bookmarkStart w:id="556" w:name="_ENREF_156"/>
      <w:r w:rsidRPr="00950097">
        <w:t xml:space="preserve">Jensen, P. C., Califf, K., Lowe, V., Hauser, L. &amp; Morado, J. F. (2010) Molecular detection of </w:t>
      </w:r>
      <w:r w:rsidRPr="00950097">
        <w:rPr>
          <w:i/>
        </w:rPr>
        <w:t>Hematodinium</w:t>
      </w:r>
      <w:r w:rsidRPr="00950097">
        <w:t xml:space="preserve"> sp. in Northeast Pacific</w:t>
      </w:r>
      <w:r w:rsidRPr="00950097">
        <w:rPr>
          <w:i/>
        </w:rPr>
        <w:t xml:space="preserve"> Chionoecetes </w:t>
      </w:r>
      <w:r w:rsidRPr="00950097">
        <w:t xml:space="preserve">spp. and evidence of two species in the Northern Hemisphere. </w:t>
      </w:r>
      <w:r w:rsidRPr="00950097">
        <w:rPr>
          <w:i/>
        </w:rPr>
        <w:t>Diseases of Aquatic Organisms,</w:t>
      </w:r>
      <w:r w:rsidRPr="00950097">
        <w:t xml:space="preserve"> 89(2)</w:t>
      </w:r>
      <w:r w:rsidRPr="00950097">
        <w:rPr>
          <w:b/>
        </w:rPr>
        <w:t>,</w:t>
      </w:r>
      <w:r w:rsidRPr="00950097">
        <w:t xml:space="preserve"> 155-166. 10.3354/dao02193.</w:t>
      </w:r>
      <w:bookmarkEnd w:id="556"/>
    </w:p>
    <w:p w14:paraId="47E3B80F" w14:textId="77777777" w:rsidR="00950097" w:rsidRPr="00950097" w:rsidRDefault="00950097" w:rsidP="00950097">
      <w:pPr>
        <w:pStyle w:val="EndNoteBibliography"/>
        <w:spacing w:after="0"/>
        <w:ind w:left="720" w:hanging="720"/>
      </w:pPr>
      <w:bookmarkStart w:id="557" w:name="_ENREF_157"/>
      <w:r w:rsidRPr="00950097">
        <w:t xml:space="preserve">Johnson, M. L. &amp; Johnson, M. P. (2013) </w:t>
      </w:r>
      <w:r w:rsidRPr="00950097">
        <w:rPr>
          <w:i/>
        </w:rPr>
        <w:t>Nephrops norvegicus</w:t>
      </w:r>
      <w:r w:rsidRPr="00950097">
        <w:t xml:space="preserve">: Introduction to the Issue. In:  </w:t>
      </w:r>
      <w:r w:rsidRPr="00950097">
        <w:rPr>
          <w:i/>
        </w:rPr>
        <w:t xml:space="preserve">Advances in Marine Biology. </w:t>
      </w:r>
      <w:r w:rsidRPr="00950097">
        <w:t>1 ed.: Elsevier Ltd.</w:t>
      </w:r>
      <w:bookmarkEnd w:id="557"/>
    </w:p>
    <w:p w14:paraId="75DDD529" w14:textId="77777777" w:rsidR="00950097" w:rsidRPr="00950097" w:rsidRDefault="00950097" w:rsidP="00950097">
      <w:pPr>
        <w:pStyle w:val="EndNoteBibliography"/>
        <w:spacing w:after="0"/>
        <w:ind w:left="720" w:hanging="720"/>
      </w:pPr>
      <w:bookmarkStart w:id="558" w:name="_ENREF_158"/>
      <w:r w:rsidRPr="00950097">
        <w:t xml:space="preserve">Johnson, M. P., Lordan, C. &amp; Power, A. M. (2013) Chapter Two - Habitat and Ecology of </w:t>
      </w:r>
      <w:r w:rsidRPr="00950097">
        <w:rPr>
          <w:i/>
        </w:rPr>
        <w:t>Nephrops norvegicus</w:t>
      </w:r>
      <w:r w:rsidRPr="00950097">
        <w:t xml:space="preserve">. In:  </w:t>
      </w:r>
      <w:r w:rsidRPr="00950097">
        <w:rPr>
          <w:i/>
        </w:rPr>
        <w:t xml:space="preserve">Advances in Marine Biology. </w:t>
      </w:r>
      <w:r w:rsidRPr="00950097">
        <w:t>1 ed.: Elsevier Ltd.</w:t>
      </w:r>
      <w:bookmarkEnd w:id="558"/>
    </w:p>
    <w:p w14:paraId="0F852E66" w14:textId="746E6E77" w:rsidR="00950097" w:rsidRPr="00950097" w:rsidRDefault="00950097" w:rsidP="00950097">
      <w:pPr>
        <w:pStyle w:val="EndNoteBibliography"/>
        <w:spacing w:after="0"/>
        <w:ind w:left="720" w:hanging="720"/>
      </w:pPr>
      <w:bookmarkStart w:id="559" w:name="_ENREF_159"/>
      <w:r w:rsidRPr="00950097">
        <w:t xml:space="preserve">Johnston, D. J., Calvert, K. A., Crear, B. J. &amp; Carter, C. G. (2003) Dietary carbohydrate/lipid ratios and nutritional condition in juvenile southern rock lobster, </w:t>
      </w:r>
      <w:r w:rsidRPr="00950097">
        <w:rPr>
          <w:i/>
        </w:rPr>
        <w:t>Jasus edwardsii</w:t>
      </w:r>
      <w:r w:rsidRPr="00950097">
        <w:t xml:space="preserve">. </w:t>
      </w:r>
      <w:r w:rsidRPr="00950097">
        <w:rPr>
          <w:i/>
        </w:rPr>
        <w:t>Aquaculture,</w:t>
      </w:r>
      <w:r w:rsidRPr="00950097">
        <w:t xml:space="preserve"> 220(1)</w:t>
      </w:r>
      <w:r w:rsidRPr="00950097">
        <w:rPr>
          <w:b/>
        </w:rPr>
        <w:t>,</w:t>
      </w:r>
      <w:r w:rsidRPr="00950097">
        <w:t xml:space="preserve"> 667-682. </w:t>
      </w:r>
      <w:hyperlink r:id="rId133" w:history="1">
        <w:r w:rsidRPr="00950097">
          <w:rPr>
            <w:rStyle w:val="Hyperlink"/>
          </w:rPr>
          <w:t>https://doi.org/10.1016/S0044-8486(02)00562-8</w:t>
        </w:r>
      </w:hyperlink>
      <w:r w:rsidRPr="00950097">
        <w:t>.</w:t>
      </w:r>
      <w:bookmarkEnd w:id="559"/>
    </w:p>
    <w:p w14:paraId="58027312" w14:textId="77777777" w:rsidR="00950097" w:rsidRPr="00950097" w:rsidRDefault="00950097" w:rsidP="00950097">
      <w:pPr>
        <w:pStyle w:val="EndNoteBibliography"/>
        <w:spacing w:after="0"/>
        <w:ind w:left="720" w:hanging="720"/>
      </w:pPr>
      <w:bookmarkStart w:id="560" w:name="_ENREF_160"/>
      <w:r w:rsidRPr="00950097">
        <w:t xml:space="preserve">Jung, J., Gillevet, P. M., Sikaroodi, M., Andrews, J., Song, B. &amp; Shields, J. D. (2021) Comparative study of the hemolymph microbiome between live and recently dead American lobsters </w:t>
      </w:r>
      <w:r w:rsidRPr="00950097">
        <w:rPr>
          <w:i/>
        </w:rPr>
        <w:t>Homarus americanus</w:t>
      </w:r>
      <w:r w:rsidRPr="00950097">
        <w:t xml:space="preserve">. </w:t>
      </w:r>
      <w:r w:rsidRPr="00950097">
        <w:rPr>
          <w:i/>
        </w:rPr>
        <w:t>Diseases of Aquatic Organisms,</w:t>
      </w:r>
      <w:r w:rsidRPr="00950097">
        <w:t xml:space="preserve"> 143</w:t>
      </w:r>
      <w:r w:rsidRPr="00950097">
        <w:rPr>
          <w:b/>
        </w:rPr>
        <w:t>,</w:t>
      </w:r>
      <w:r w:rsidRPr="00950097">
        <w:t xml:space="preserve"> 147-158. 10.3354/dao03568.</w:t>
      </w:r>
      <w:bookmarkEnd w:id="560"/>
    </w:p>
    <w:p w14:paraId="21E38771" w14:textId="0D632CDE" w:rsidR="00950097" w:rsidRPr="00950097" w:rsidRDefault="00950097" w:rsidP="00950097">
      <w:pPr>
        <w:pStyle w:val="EndNoteBibliography"/>
        <w:spacing w:after="0"/>
        <w:ind w:left="720" w:hanging="720"/>
      </w:pPr>
      <w:bookmarkStart w:id="561" w:name="_ENREF_161"/>
      <w:r w:rsidRPr="00950097">
        <w:t xml:space="preserve">Jurelevicius, D., Cotta, S. R., Montezzi, L. F., Dias, A. C. F., Mason, O. U., Picão, R. C., Jansson, J. K. &amp; Seldin, L. (2021) Enrichment of potential pathogens in marine microbiomes with different degrees of anthropogenic activity. </w:t>
      </w:r>
      <w:r w:rsidRPr="00950097">
        <w:rPr>
          <w:i/>
        </w:rPr>
        <w:t>Environmental Pollution,</w:t>
      </w:r>
      <w:r w:rsidRPr="00950097">
        <w:t xml:space="preserve"> 268</w:t>
      </w:r>
      <w:r w:rsidRPr="00950097">
        <w:rPr>
          <w:b/>
        </w:rPr>
        <w:t>,</w:t>
      </w:r>
      <w:r w:rsidRPr="00950097">
        <w:t xml:space="preserve"> 115757. </w:t>
      </w:r>
      <w:hyperlink r:id="rId134" w:history="1">
        <w:r w:rsidRPr="00950097">
          <w:rPr>
            <w:rStyle w:val="Hyperlink"/>
          </w:rPr>
          <w:t>https://doi.org/10.1016/j.envpol.2020.115757</w:t>
        </w:r>
      </w:hyperlink>
      <w:r w:rsidRPr="00950097">
        <w:t>.</w:t>
      </w:r>
      <w:bookmarkEnd w:id="561"/>
    </w:p>
    <w:p w14:paraId="2D09C5A5" w14:textId="77777777" w:rsidR="00950097" w:rsidRPr="00950097" w:rsidRDefault="00950097" w:rsidP="00950097">
      <w:pPr>
        <w:pStyle w:val="EndNoteBibliography"/>
        <w:spacing w:after="0"/>
        <w:ind w:left="720" w:hanging="720"/>
        <w:rPr>
          <w:i/>
        </w:rPr>
      </w:pPr>
      <w:bookmarkStart w:id="562" w:name="_ENREF_162"/>
      <w:r w:rsidRPr="00950097">
        <w:t xml:space="preserve">Kassambara, A. (2020) Pipe-Friendly Framework for Basic Statistical Tests. </w:t>
      </w:r>
      <w:r w:rsidRPr="00950097">
        <w:rPr>
          <w:i/>
        </w:rPr>
        <w:t>rstatix.</w:t>
      </w:r>
      <w:bookmarkEnd w:id="562"/>
    </w:p>
    <w:p w14:paraId="10E2EE6D" w14:textId="5C026064" w:rsidR="00950097" w:rsidRPr="00950097" w:rsidRDefault="00950097" w:rsidP="00950097">
      <w:pPr>
        <w:pStyle w:val="EndNoteBibliography"/>
        <w:spacing w:after="0"/>
        <w:ind w:left="720" w:hanging="720"/>
      </w:pPr>
      <w:bookmarkStart w:id="563" w:name="_ENREF_163"/>
      <w:r w:rsidRPr="00950097">
        <w:t xml:space="preserve">Katoh, E., Johnson, M. &amp; Breithaupt, T. (2008) Fighting behaviour and the role of urinary signals in dominance assessment of Norway lobsters, </w:t>
      </w:r>
      <w:r w:rsidRPr="00950097">
        <w:rPr>
          <w:i/>
        </w:rPr>
        <w:t>Nephrops norvegicus</w:t>
      </w:r>
      <w:r w:rsidRPr="00950097">
        <w:t xml:space="preserve">. </w:t>
      </w:r>
      <w:r w:rsidRPr="00950097">
        <w:rPr>
          <w:i/>
        </w:rPr>
        <w:t>Behaviour,</w:t>
      </w:r>
      <w:r w:rsidRPr="00950097">
        <w:t xml:space="preserve"> 145(10)</w:t>
      </w:r>
      <w:r w:rsidRPr="00950097">
        <w:rPr>
          <w:b/>
        </w:rPr>
        <w:t>,</w:t>
      </w:r>
      <w:r w:rsidRPr="00950097">
        <w:t xml:space="preserve"> 1447-1464. </w:t>
      </w:r>
      <w:hyperlink r:id="rId135" w:history="1">
        <w:r w:rsidRPr="00950097">
          <w:rPr>
            <w:rStyle w:val="Hyperlink"/>
          </w:rPr>
          <w:t>https://doi.org/10.1163/156853908785765917</w:t>
        </w:r>
      </w:hyperlink>
      <w:r w:rsidRPr="00950097">
        <w:t>.</w:t>
      </w:r>
      <w:bookmarkEnd w:id="563"/>
    </w:p>
    <w:p w14:paraId="22014C10" w14:textId="77777777" w:rsidR="00950097" w:rsidRPr="00950097" w:rsidRDefault="00950097" w:rsidP="00950097">
      <w:pPr>
        <w:pStyle w:val="EndNoteBibliography"/>
        <w:spacing w:after="0"/>
        <w:ind w:left="720" w:hanging="720"/>
      </w:pPr>
      <w:bookmarkStart w:id="564" w:name="_ENREF_164"/>
      <w:r w:rsidRPr="00950097">
        <w:t xml:space="preserve">Khairallah, R. J., Sparagna, G. C., Khanna, N., O'Shea, K. M., Hecker, P. A., Kristian, T., Fiskum, G., Des Rosiers, C., Polster, B. M. &amp; Stanley, W. C. (2010) Dietary supplementation with docosahexaenoic acid, but not eicosapentaenoic acid, dramatically alters cardiac mitochondrial phospholipid fatty acid composition and prevents permeability transition. </w:t>
      </w:r>
      <w:r w:rsidRPr="00950097">
        <w:rPr>
          <w:i/>
        </w:rPr>
        <w:t>Biochimica et Biophysica Acta,</w:t>
      </w:r>
      <w:r w:rsidRPr="00950097">
        <w:t xml:space="preserve"> 1797(8)</w:t>
      </w:r>
      <w:r w:rsidRPr="00950097">
        <w:rPr>
          <w:b/>
        </w:rPr>
        <w:t>,</w:t>
      </w:r>
      <w:r w:rsidRPr="00950097">
        <w:t xml:space="preserve"> 1555-62. 10.1016/j.bbabio.2010.05.007.</w:t>
      </w:r>
      <w:bookmarkEnd w:id="564"/>
    </w:p>
    <w:p w14:paraId="6BAB1AE9" w14:textId="77777777" w:rsidR="00950097" w:rsidRPr="00950097" w:rsidRDefault="00950097" w:rsidP="00950097">
      <w:pPr>
        <w:pStyle w:val="EndNoteBibliography"/>
        <w:spacing w:after="0"/>
        <w:ind w:left="720" w:hanging="720"/>
      </w:pPr>
      <w:bookmarkStart w:id="565" w:name="_ENREF_165"/>
      <w:r w:rsidRPr="00950097">
        <w:t xml:space="preserve">Khan, I., Bai, Y., Zha, L., Ullah, N., Ullah, H., Shah, S. R. H., Sun, H. &amp; Zhang, C. (2021) Mechanism of the gut microbiota colonization resistance and enteric pathogen infection. </w:t>
      </w:r>
      <w:r w:rsidRPr="00950097">
        <w:rPr>
          <w:i/>
        </w:rPr>
        <w:t>Frontiers in Cellular and Infection Microbiology,</w:t>
      </w:r>
      <w:r w:rsidRPr="00950097">
        <w:t xml:space="preserve"> 11</w:t>
      </w:r>
      <w:r w:rsidRPr="00950097">
        <w:rPr>
          <w:b/>
        </w:rPr>
        <w:t>,</w:t>
      </w:r>
      <w:r w:rsidRPr="00950097">
        <w:t xml:space="preserve"> 716299. 10.3389/fcimb.2021.716299.</w:t>
      </w:r>
      <w:bookmarkEnd w:id="565"/>
    </w:p>
    <w:p w14:paraId="424473E5" w14:textId="77777777" w:rsidR="00950097" w:rsidRPr="00950097" w:rsidRDefault="00950097" w:rsidP="00950097">
      <w:pPr>
        <w:pStyle w:val="EndNoteBibliography"/>
        <w:spacing w:after="0"/>
        <w:ind w:left="720" w:hanging="720"/>
      </w:pPr>
      <w:bookmarkStart w:id="566" w:name="_ENREF_166"/>
      <w:r w:rsidRPr="00950097">
        <w:t>Kong, T., Fan, X. &amp; Tran, N. T. (2023) Changes in haemolymph microbiota of Chinese mitten crab (</w:t>
      </w:r>
      <w:r w:rsidRPr="00950097">
        <w:rPr>
          <w:i/>
        </w:rPr>
        <w:t>Eriocheir sinensis</w:t>
      </w:r>
      <w:r w:rsidRPr="00950097">
        <w:t>) in response to</w:t>
      </w:r>
      <w:r w:rsidRPr="00950097">
        <w:rPr>
          <w:i/>
        </w:rPr>
        <w:t xml:space="preserve"> Aeromonas hydrophila </w:t>
      </w:r>
      <w:r w:rsidRPr="00950097">
        <w:t xml:space="preserve">or </w:t>
      </w:r>
      <w:r w:rsidRPr="00950097">
        <w:rPr>
          <w:i/>
        </w:rPr>
        <w:t>Staphylococcus aureus</w:t>
      </w:r>
      <w:r w:rsidRPr="00950097">
        <w:t xml:space="preserve"> infection. </w:t>
      </w:r>
      <w:r w:rsidRPr="00950097">
        <w:rPr>
          <w:i/>
        </w:rPr>
        <w:t>Animals,</w:t>
      </w:r>
      <w:r w:rsidRPr="00950097">
        <w:t xml:space="preserve"> 13(19)</w:t>
      </w:r>
      <w:r w:rsidRPr="00950097">
        <w:rPr>
          <w:b/>
        </w:rPr>
        <w:t>,</w:t>
      </w:r>
      <w:r w:rsidRPr="00950097">
        <w:t xml:space="preserve"> 3058.</w:t>
      </w:r>
      <w:bookmarkEnd w:id="566"/>
    </w:p>
    <w:p w14:paraId="3E855A4E" w14:textId="360D31A5" w:rsidR="00950097" w:rsidRPr="00950097" w:rsidRDefault="00950097" w:rsidP="00950097">
      <w:pPr>
        <w:pStyle w:val="EndNoteBibliography"/>
        <w:spacing w:after="0"/>
        <w:ind w:left="720" w:hanging="720"/>
      </w:pPr>
      <w:bookmarkStart w:id="567" w:name="_ENREF_167"/>
      <w:r w:rsidRPr="00950097">
        <w:t xml:space="preserve">Koriem, K. M. M. (2017) A lipidomic concept in infectious diseases. </w:t>
      </w:r>
      <w:r w:rsidRPr="00950097">
        <w:rPr>
          <w:i/>
        </w:rPr>
        <w:t>Asian Pacific Journal of Tropical Biomedicine,</w:t>
      </w:r>
      <w:r w:rsidRPr="00950097">
        <w:t xml:space="preserve"> 7(3)</w:t>
      </w:r>
      <w:r w:rsidRPr="00950097">
        <w:rPr>
          <w:b/>
        </w:rPr>
        <w:t>,</w:t>
      </w:r>
      <w:r w:rsidRPr="00950097">
        <w:t xml:space="preserve"> 265-274. </w:t>
      </w:r>
      <w:hyperlink r:id="rId136" w:history="1">
        <w:r w:rsidRPr="00950097">
          <w:rPr>
            <w:rStyle w:val="Hyperlink"/>
          </w:rPr>
          <w:t>https://doi.org/10.1016/j.apjtb.2016.12.010</w:t>
        </w:r>
      </w:hyperlink>
      <w:r w:rsidRPr="00950097">
        <w:t>.</w:t>
      </w:r>
      <w:bookmarkEnd w:id="567"/>
    </w:p>
    <w:p w14:paraId="3C4FC9EE" w14:textId="77777777" w:rsidR="00950097" w:rsidRPr="00950097" w:rsidRDefault="00950097" w:rsidP="00950097">
      <w:pPr>
        <w:pStyle w:val="EndNoteBibliography"/>
        <w:spacing w:after="0"/>
        <w:ind w:left="720" w:hanging="720"/>
      </w:pPr>
      <w:bookmarkStart w:id="568" w:name="_ENREF_168"/>
      <w:r w:rsidRPr="00950097">
        <w:t xml:space="preserve">Krezalek, M. A., Defazio, J., Zaborina, O., Zaborin, A. &amp; Alverdy, J. C. (2016) The shift of an intestinal “microbiome” to a “pathobiome” governs the course and outcome of sepsis following surgical injury. </w:t>
      </w:r>
      <w:r w:rsidRPr="00950097">
        <w:rPr>
          <w:i/>
        </w:rPr>
        <w:t>Shock,</w:t>
      </w:r>
      <w:r w:rsidRPr="00950097">
        <w:t xml:space="preserve"> 45(5)</w:t>
      </w:r>
      <w:r w:rsidRPr="00950097">
        <w:rPr>
          <w:b/>
        </w:rPr>
        <w:t>,</w:t>
      </w:r>
      <w:r w:rsidRPr="00950097">
        <w:t xml:space="preserve"> 475-482. 10.1097/shk.0000000000000534.</w:t>
      </w:r>
      <w:bookmarkEnd w:id="568"/>
    </w:p>
    <w:p w14:paraId="681523BF" w14:textId="77777777" w:rsidR="00950097" w:rsidRPr="00950097" w:rsidRDefault="00950097" w:rsidP="00950097">
      <w:pPr>
        <w:pStyle w:val="EndNoteBibliography"/>
        <w:spacing w:after="0"/>
        <w:ind w:left="720" w:hanging="720"/>
      </w:pPr>
      <w:bookmarkStart w:id="569" w:name="_ENREF_169"/>
      <w:r w:rsidRPr="00950097">
        <w:t xml:space="preserve">Kumar, Y., Cocchiaro, J. &amp; Valdivia, R. H. (2006) The obligate intracellular pathogen </w:t>
      </w:r>
      <w:r w:rsidRPr="00950097">
        <w:rPr>
          <w:i/>
        </w:rPr>
        <w:t>Chlamydia</w:t>
      </w:r>
      <w:r w:rsidRPr="00950097">
        <w:t xml:space="preserve"> </w:t>
      </w:r>
      <w:r w:rsidRPr="00950097">
        <w:rPr>
          <w:i/>
        </w:rPr>
        <w:t xml:space="preserve">trachomatis </w:t>
      </w:r>
      <w:r w:rsidRPr="00950097">
        <w:t xml:space="preserve">targets host lipid droplets. </w:t>
      </w:r>
      <w:r w:rsidRPr="00950097">
        <w:rPr>
          <w:i/>
        </w:rPr>
        <w:t>Current Biology,</w:t>
      </w:r>
      <w:r w:rsidRPr="00950097">
        <w:t xml:space="preserve"> 16(16)</w:t>
      </w:r>
      <w:r w:rsidRPr="00950097">
        <w:rPr>
          <w:b/>
        </w:rPr>
        <w:t>,</w:t>
      </w:r>
      <w:r w:rsidRPr="00950097">
        <w:t xml:space="preserve"> 1646-1651. 10.1016/j.cub.2006.06.060.</w:t>
      </w:r>
      <w:bookmarkEnd w:id="569"/>
    </w:p>
    <w:p w14:paraId="2CB030B5" w14:textId="77777777" w:rsidR="00950097" w:rsidRPr="00950097" w:rsidRDefault="00950097" w:rsidP="00950097">
      <w:pPr>
        <w:pStyle w:val="EndNoteBibliography"/>
        <w:spacing w:after="0"/>
        <w:ind w:left="720" w:hanging="720"/>
        <w:rPr>
          <w:i/>
        </w:rPr>
      </w:pPr>
      <w:bookmarkStart w:id="570" w:name="_ENREF_170"/>
      <w:r w:rsidRPr="00950097">
        <w:t xml:space="preserve">Kumari, P., Kumar, M., Reddy, C. R. K. &amp; Jha, B. (2013) Algal lipids, fatty acids and sterols. In:  </w:t>
      </w:r>
      <w:r w:rsidRPr="00950097">
        <w:rPr>
          <w:i/>
        </w:rPr>
        <w:t>Functional Ingredients from Algae for Foods and Nutraceuticals.</w:t>
      </w:r>
      <w:bookmarkEnd w:id="570"/>
    </w:p>
    <w:p w14:paraId="208BFDA5" w14:textId="481D4AF9" w:rsidR="00950097" w:rsidRPr="00950097" w:rsidRDefault="00950097" w:rsidP="00950097">
      <w:pPr>
        <w:pStyle w:val="EndNoteBibliography"/>
        <w:spacing w:after="0"/>
        <w:ind w:left="720" w:hanging="720"/>
      </w:pPr>
      <w:bookmarkStart w:id="571" w:name="_ENREF_171"/>
      <w:r w:rsidRPr="00950097">
        <w:t xml:space="preserve">Lawrence, J. M. &amp; Fernandes, P. G. (2021) A switch in species dominance of a recovering pelagic ecosystem. </w:t>
      </w:r>
      <w:r w:rsidRPr="00950097">
        <w:rPr>
          <w:i/>
        </w:rPr>
        <w:t>Current Biology,</w:t>
      </w:r>
      <w:r w:rsidRPr="00950097">
        <w:t xml:space="preserve"> 31(19)</w:t>
      </w:r>
      <w:r w:rsidRPr="00950097">
        <w:rPr>
          <w:b/>
        </w:rPr>
        <w:t>,</w:t>
      </w:r>
      <w:r w:rsidRPr="00950097">
        <w:t xml:space="preserve"> 4354-4360.e3. </w:t>
      </w:r>
      <w:hyperlink r:id="rId137" w:history="1">
        <w:r w:rsidRPr="00950097">
          <w:rPr>
            <w:rStyle w:val="Hyperlink"/>
          </w:rPr>
          <w:t>https://doi.org/10.1016/j.cub.2021.07.020</w:t>
        </w:r>
      </w:hyperlink>
      <w:r w:rsidRPr="00950097">
        <w:t>.</w:t>
      </w:r>
      <w:bookmarkEnd w:id="571"/>
    </w:p>
    <w:p w14:paraId="6935AA79" w14:textId="77777777" w:rsidR="00950097" w:rsidRPr="00950097" w:rsidRDefault="00950097" w:rsidP="00950097">
      <w:pPr>
        <w:pStyle w:val="EndNoteBibliography"/>
        <w:spacing w:after="0"/>
        <w:ind w:left="720" w:hanging="720"/>
      </w:pPr>
      <w:bookmarkStart w:id="572" w:name="_ENREF_172"/>
      <w:r w:rsidRPr="00950097">
        <w:t xml:space="preserve">Lee, J. L.-N., Chiang, K.-P. &amp; Tsai, S.-F. (2021) Sexual reproduction in dinoflagellates—the case of </w:t>
      </w:r>
      <w:r w:rsidRPr="00950097">
        <w:rPr>
          <w:i/>
        </w:rPr>
        <w:t>Noctiluca scintillans</w:t>
      </w:r>
      <w:r w:rsidRPr="00950097">
        <w:t xml:space="preserve"> and its ecological implications. </w:t>
      </w:r>
      <w:r w:rsidRPr="00950097">
        <w:rPr>
          <w:i/>
        </w:rPr>
        <w:t>Frontiers in Marine Science,</w:t>
      </w:r>
      <w:r w:rsidRPr="00950097">
        <w:t xml:space="preserve"> 8. 10.3389/fmars.2021.704398.</w:t>
      </w:r>
      <w:bookmarkEnd w:id="572"/>
    </w:p>
    <w:p w14:paraId="74C6D7E5" w14:textId="77777777" w:rsidR="00950097" w:rsidRPr="00950097" w:rsidRDefault="00950097" w:rsidP="00950097">
      <w:pPr>
        <w:pStyle w:val="EndNoteBibliography"/>
        <w:spacing w:after="0"/>
        <w:ind w:left="720" w:hanging="720"/>
      </w:pPr>
      <w:bookmarkStart w:id="573" w:name="_ENREF_173"/>
      <w:r w:rsidRPr="00950097">
        <w:t xml:space="preserve">Letschert, J., Stollberg, N., Rambo, H., Kempf, A., Berkenhagen, J. &amp; Stelzenmüller, V. (2021) The uncertain future of the Norway lobster fisheries in the North Sea calls for new management strategies. </w:t>
      </w:r>
      <w:r w:rsidRPr="00950097">
        <w:rPr>
          <w:i/>
        </w:rPr>
        <w:t>ICES Journal of Marine Science,</w:t>
      </w:r>
      <w:r w:rsidRPr="00950097">
        <w:t xml:space="preserve"> 78(10)</w:t>
      </w:r>
      <w:r w:rsidRPr="00950097">
        <w:rPr>
          <w:b/>
        </w:rPr>
        <w:t>,</w:t>
      </w:r>
      <w:r w:rsidRPr="00950097">
        <w:t xml:space="preserve"> 3639-3649. 10.1093/icesjms/fsab204.</w:t>
      </w:r>
      <w:bookmarkEnd w:id="573"/>
    </w:p>
    <w:p w14:paraId="4F4F9D13" w14:textId="6633CE7E" w:rsidR="00950097" w:rsidRPr="00950097" w:rsidRDefault="00950097" w:rsidP="00950097">
      <w:pPr>
        <w:pStyle w:val="EndNoteBibliography"/>
        <w:spacing w:after="0"/>
        <w:ind w:left="720" w:hanging="720"/>
      </w:pPr>
      <w:bookmarkStart w:id="574" w:name="_ENREF_174"/>
      <w:r w:rsidRPr="00950097">
        <w:t xml:space="preserve">Li, C.-C. &amp; Chen, J.-C. (2008) The immune response of white shrimp </w:t>
      </w:r>
      <w:r w:rsidRPr="00950097">
        <w:rPr>
          <w:i/>
        </w:rPr>
        <w:t>Litopenaeus vannamei</w:t>
      </w:r>
      <w:r w:rsidRPr="00950097">
        <w:t xml:space="preserve"> and its susceptibility to </w:t>
      </w:r>
      <w:r w:rsidRPr="00950097">
        <w:rPr>
          <w:i/>
        </w:rPr>
        <w:t xml:space="preserve">Vibrio alginolyticus </w:t>
      </w:r>
      <w:r w:rsidRPr="00950097">
        <w:t xml:space="preserve">under low and high pH stress. </w:t>
      </w:r>
      <w:r w:rsidRPr="00950097">
        <w:rPr>
          <w:i/>
        </w:rPr>
        <w:t>Fish and Shellfish Immunology,</w:t>
      </w:r>
      <w:r w:rsidRPr="00950097">
        <w:t xml:space="preserve"> 25(6)</w:t>
      </w:r>
      <w:r w:rsidRPr="00950097">
        <w:rPr>
          <w:b/>
        </w:rPr>
        <w:t>,</w:t>
      </w:r>
      <w:r w:rsidRPr="00950097">
        <w:t xml:space="preserve"> 701-709. </w:t>
      </w:r>
      <w:hyperlink r:id="rId138" w:history="1">
        <w:r w:rsidRPr="00950097">
          <w:rPr>
            <w:rStyle w:val="Hyperlink"/>
          </w:rPr>
          <w:t>https://doi.org/10.1016/j.fsi.2008.01.007</w:t>
        </w:r>
      </w:hyperlink>
      <w:r w:rsidRPr="00950097">
        <w:t>.</w:t>
      </w:r>
      <w:bookmarkEnd w:id="574"/>
    </w:p>
    <w:p w14:paraId="742174C7" w14:textId="77777777" w:rsidR="00950097" w:rsidRPr="00950097" w:rsidRDefault="00950097" w:rsidP="00950097">
      <w:pPr>
        <w:pStyle w:val="EndNoteBibliography"/>
        <w:spacing w:after="0"/>
        <w:ind w:left="720" w:hanging="720"/>
      </w:pPr>
      <w:bookmarkStart w:id="575" w:name="_ENREF_175"/>
      <w:r w:rsidRPr="00950097">
        <w:t xml:space="preserve">Li, C., Li, M. &amp; Huang, Q. (2021a) The parasitic dinoflagellate </w:t>
      </w:r>
      <w:r w:rsidRPr="00950097">
        <w:rPr>
          <w:i/>
        </w:rPr>
        <w:t xml:space="preserve">Hematodinium </w:t>
      </w:r>
      <w:r w:rsidRPr="00950097">
        <w:t xml:space="preserve">infects marine crustaceans. </w:t>
      </w:r>
      <w:r w:rsidRPr="00950097">
        <w:rPr>
          <w:i/>
        </w:rPr>
        <w:t>Marine life science and technology,</w:t>
      </w:r>
      <w:r w:rsidRPr="00950097">
        <w:t xml:space="preserve"> 3(3)</w:t>
      </w:r>
      <w:r w:rsidRPr="00950097">
        <w:rPr>
          <w:b/>
        </w:rPr>
        <w:t>,</w:t>
      </w:r>
      <w:r w:rsidRPr="00950097">
        <w:t xml:space="preserve"> 313-325. 10.1007/s42995-020-00061-z.</w:t>
      </w:r>
      <w:bookmarkEnd w:id="575"/>
    </w:p>
    <w:p w14:paraId="5A16A43D" w14:textId="77777777" w:rsidR="00950097" w:rsidRPr="00950097" w:rsidRDefault="00950097" w:rsidP="00950097">
      <w:pPr>
        <w:pStyle w:val="EndNoteBibliography"/>
        <w:spacing w:after="0"/>
        <w:ind w:left="720" w:hanging="720"/>
      </w:pPr>
      <w:bookmarkStart w:id="576" w:name="_ENREF_176"/>
      <w:r w:rsidRPr="00950097">
        <w:t xml:space="preserve">Li, C., Shields, J. D., Miller, T. L., Small, H. J., Pagenkopp Lohan, K. M. &amp; Reece, K. S. (2010) Detection and quantification of the free-living stage of the parasitic dinoflagellate </w:t>
      </w:r>
      <w:r w:rsidRPr="00950097">
        <w:rPr>
          <w:i/>
        </w:rPr>
        <w:t>Hematodinium</w:t>
      </w:r>
      <w:r w:rsidRPr="00950097">
        <w:t xml:space="preserve"> sp. in laboratory and environmental samples. </w:t>
      </w:r>
      <w:r w:rsidRPr="00950097">
        <w:rPr>
          <w:i/>
        </w:rPr>
        <w:t>Harmful Algae,</w:t>
      </w:r>
      <w:r w:rsidRPr="00950097">
        <w:t xml:space="preserve"> 9(5)</w:t>
      </w:r>
      <w:r w:rsidRPr="00950097">
        <w:rPr>
          <w:b/>
        </w:rPr>
        <w:t>,</w:t>
      </w:r>
      <w:r w:rsidRPr="00950097">
        <w:t xml:space="preserve"> 515-521. 10.1016/j.hal.2010.04.001.</w:t>
      </w:r>
      <w:bookmarkEnd w:id="576"/>
    </w:p>
    <w:p w14:paraId="04E0B871" w14:textId="77777777" w:rsidR="00950097" w:rsidRPr="00950097" w:rsidRDefault="00950097" w:rsidP="00950097">
      <w:pPr>
        <w:pStyle w:val="EndNoteBibliography"/>
        <w:spacing w:after="0"/>
        <w:ind w:left="720" w:hanging="720"/>
      </w:pPr>
      <w:bookmarkStart w:id="577" w:name="_ENREF_177"/>
      <w:r w:rsidRPr="00950097">
        <w:t xml:space="preserve">Li, C., Song, S., Liu, Y. &amp; Chen, T. (2013) </w:t>
      </w:r>
      <w:r w:rsidRPr="00950097">
        <w:rPr>
          <w:i/>
        </w:rPr>
        <w:t>Hematodinium i</w:t>
      </w:r>
      <w:r w:rsidRPr="00950097">
        <w:t xml:space="preserve">nfections in cultured chinese swimming crab, </w:t>
      </w:r>
      <w:r w:rsidRPr="00950097">
        <w:rPr>
          <w:i/>
        </w:rPr>
        <w:t>Portunus trituberculatus</w:t>
      </w:r>
      <w:r w:rsidRPr="00950097">
        <w:t xml:space="preserve">, in northern China. </w:t>
      </w:r>
      <w:r w:rsidRPr="00950097">
        <w:rPr>
          <w:i/>
        </w:rPr>
        <w:t>Aquaculture,</w:t>
      </w:r>
      <w:r w:rsidRPr="00950097">
        <w:t xml:space="preserve"> 396-399</w:t>
      </w:r>
      <w:r w:rsidRPr="00950097">
        <w:rPr>
          <w:b/>
        </w:rPr>
        <w:t>,</w:t>
      </w:r>
      <w:r w:rsidRPr="00950097">
        <w:t xml:space="preserve"> 59-65. 10.1016/j.aquaculture.2013.02.022.</w:t>
      </w:r>
      <w:bookmarkEnd w:id="577"/>
    </w:p>
    <w:p w14:paraId="7B9588EB" w14:textId="77777777" w:rsidR="00950097" w:rsidRPr="00950097" w:rsidRDefault="00950097" w:rsidP="00950097">
      <w:pPr>
        <w:pStyle w:val="EndNoteBibliography"/>
        <w:spacing w:after="0"/>
        <w:ind w:left="720" w:hanging="720"/>
      </w:pPr>
      <w:bookmarkStart w:id="578" w:name="_ENREF_178"/>
      <w:r w:rsidRPr="00950097">
        <w:t xml:space="preserve">Li, C., Wheeler, K. N. &amp; Shields, J. D. (2011) Lack of transmission of </w:t>
      </w:r>
      <w:r w:rsidRPr="00950097">
        <w:rPr>
          <w:i/>
        </w:rPr>
        <w:t>Hematodinium</w:t>
      </w:r>
      <w:r w:rsidRPr="00950097">
        <w:t xml:space="preserve"> sp. in the blue crab </w:t>
      </w:r>
      <w:r w:rsidRPr="00950097">
        <w:rPr>
          <w:i/>
        </w:rPr>
        <w:t>Callinectes sapidus</w:t>
      </w:r>
      <w:r w:rsidRPr="00950097">
        <w:t xml:space="preserve"> through cannibalism. </w:t>
      </w:r>
      <w:r w:rsidRPr="00950097">
        <w:rPr>
          <w:i/>
        </w:rPr>
        <w:t>Diseases of Aquatic Organisms,</w:t>
      </w:r>
      <w:r w:rsidRPr="00950097">
        <w:t xml:space="preserve"> 96(3)</w:t>
      </w:r>
      <w:r w:rsidRPr="00950097">
        <w:rPr>
          <w:b/>
        </w:rPr>
        <w:t>,</w:t>
      </w:r>
      <w:r w:rsidRPr="00950097">
        <w:t xml:space="preserve"> 249-258. 10.3354/dao02399.</w:t>
      </w:r>
      <w:bookmarkEnd w:id="578"/>
    </w:p>
    <w:p w14:paraId="7747EA5A" w14:textId="5BB71FA1" w:rsidR="00950097" w:rsidRPr="00950097" w:rsidRDefault="00950097" w:rsidP="00950097">
      <w:pPr>
        <w:pStyle w:val="EndNoteBibliography"/>
        <w:spacing w:after="0"/>
        <w:ind w:left="720" w:hanging="720"/>
      </w:pPr>
      <w:bookmarkStart w:id="579" w:name="_ENREF_179"/>
      <w:r w:rsidRPr="00950097">
        <w:t xml:space="preserve">Li, M., Huang, Q., Lv, X., Small, H. J. &amp; Li, C. (2022) Integrative omics analysis highlights the immunomodulatory effects of the parasitic dinoflagellate </w:t>
      </w:r>
      <w:r w:rsidRPr="00950097">
        <w:rPr>
          <w:i/>
        </w:rPr>
        <w:t>Hematodinium</w:t>
      </w:r>
      <w:r w:rsidRPr="00950097">
        <w:t xml:space="preserve"> on crustacean hemocytes. </w:t>
      </w:r>
      <w:r w:rsidRPr="00950097">
        <w:rPr>
          <w:i/>
        </w:rPr>
        <w:t>Fish and Shellfish Immunology,</w:t>
      </w:r>
      <w:r w:rsidRPr="00950097">
        <w:t xml:space="preserve"> 125</w:t>
      </w:r>
      <w:r w:rsidRPr="00950097">
        <w:rPr>
          <w:b/>
        </w:rPr>
        <w:t>,</w:t>
      </w:r>
      <w:r w:rsidRPr="00950097">
        <w:t xml:space="preserve"> 35-47. </w:t>
      </w:r>
      <w:hyperlink r:id="rId139" w:history="1">
        <w:r w:rsidRPr="00950097">
          <w:rPr>
            <w:rStyle w:val="Hyperlink"/>
          </w:rPr>
          <w:t>https://doi.org/10.1016/j.fsi.2022.04.050</w:t>
        </w:r>
      </w:hyperlink>
      <w:r w:rsidRPr="00950097">
        <w:t>.</w:t>
      </w:r>
      <w:bookmarkEnd w:id="579"/>
    </w:p>
    <w:p w14:paraId="549B953B" w14:textId="77777777" w:rsidR="00950097" w:rsidRPr="00950097" w:rsidRDefault="00950097" w:rsidP="00950097">
      <w:pPr>
        <w:pStyle w:val="EndNoteBibliography"/>
        <w:spacing w:after="0"/>
        <w:ind w:left="720" w:hanging="720"/>
      </w:pPr>
      <w:bookmarkStart w:id="580" w:name="_ENREF_180"/>
      <w:r w:rsidRPr="00950097">
        <w:t>Li, M., Huang, Q., Lv, X., Song, S. &amp; Li, C. (2021b) The parasitic dinoflagellate</w:t>
      </w:r>
      <w:r w:rsidRPr="00950097">
        <w:rPr>
          <w:i/>
        </w:rPr>
        <w:t xml:space="preserve"> Hematodinium</w:t>
      </w:r>
      <w:r w:rsidRPr="00950097">
        <w:t xml:space="preserve"> infects multiple crustaceans in the polyculture systems of Shandong Province, China. </w:t>
      </w:r>
      <w:r w:rsidRPr="00950097">
        <w:rPr>
          <w:i/>
        </w:rPr>
        <w:t>Journal of Invertebrate Pathology,</w:t>
      </w:r>
      <w:r w:rsidRPr="00950097">
        <w:t xml:space="preserve"> 178</w:t>
      </w:r>
      <w:r w:rsidRPr="00950097">
        <w:rPr>
          <w:b/>
        </w:rPr>
        <w:t>,</w:t>
      </w:r>
      <w:r w:rsidRPr="00950097">
        <w:t xml:space="preserve"> 107523. 10.1016/j.jip.2020.107523.</w:t>
      </w:r>
      <w:bookmarkEnd w:id="580"/>
    </w:p>
    <w:p w14:paraId="67019E7B" w14:textId="77777777" w:rsidR="00950097" w:rsidRPr="00950097" w:rsidRDefault="00950097" w:rsidP="00950097">
      <w:pPr>
        <w:pStyle w:val="EndNoteBibliography"/>
        <w:spacing w:after="0"/>
        <w:ind w:left="720" w:hanging="720"/>
      </w:pPr>
      <w:bookmarkStart w:id="581" w:name="_ENREF_181"/>
      <w:r w:rsidRPr="00950097">
        <w:t>Li, M., Li, C., Wang, J. &amp; Song, S. (2015a) Immune response and gene expression in hemocytes of</w:t>
      </w:r>
      <w:r w:rsidRPr="00950097">
        <w:rPr>
          <w:i/>
        </w:rPr>
        <w:t xml:space="preserve"> Portunus trituberculatus </w:t>
      </w:r>
      <w:r w:rsidRPr="00950097">
        <w:t xml:space="preserve">inoculated with the parasitic dinoflagellate </w:t>
      </w:r>
      <w:r w:rsidRPr="00950097">
        <w:rPr>
          <w:i/>
        </w:rPr>
        <w:t>Hematodinium</w:t>
      </w:r>
      <w:r w:rsidRPr="00950097">
        <w:t xml:space="preserve">. </w:t>
      </w:r>
      <w:r w:rsidRPr="00950097">
        <w:rPr>
          <w:i/>
        </w:rPr>
        <w:t>Molecular Immunology,</w:t>
      </w:r>
      <w:r w:rsidRPr="00950097">
        <w:t xml:space="preserve"> 65(1)</w:t>
      </w:r>
      <w:r w:rsidRPr="00950097">
        <w:rPr>
          <w:b/>
        </w:rPr>
        <w:t>,</w:t>
      </w:r>
      <w:r w:rsidRPr="00950097">
        <w:t xml:space="preserve"> 113-122. 10.1016/j.molimm.2015.01.002.</w:t>
      </w:r>
      <w:bookmarkEnd w:id="581"/>
    </w:p>
    <w:p w14:paraId="17B59133" w14:textId="77777777" w:rsidR="00950097" w:rsidRPr="00950097" w:rsidRDefault="00950097" w:rsidP="00950097">
      <w:pPr>
        <w:pStyle w:val="EndNoteBibliography"/>
        <w:spacing w:after="0"/>
        <w:ind w:left="720" w:hanging="720"/>
      </w:pPr>
      <w:bookmarkStart w:id="582" w:name="_ENREF_182"/>
      <w:r w:rsidRPr="00950097">
        <w:t xml:space="preserve">Li, M., Wang, J., Huang, Q. &amp; Li, C. (2019a) Proteomic analysis highlights the immune responses of the hepatopancreas against </w:t>
      </w:r>
      <w:r w:rsidRPr="00950097">
        <w:rPr>
          <w:i/>
        </w:rPr>
        <w:t>Hematodinium</w:t>
      </w:r>
      <w:r w:rsidRPr="00950097">
        <w:t xml:space="preserve"> infection in </w:t>
      </w:r>
      <w:r w:rsidRPr="00950097">
        <w:rPr>
          <w:i/>
        </w:rPr>
        <w:t>Portunus trituberculatus</w:t>
      </w:r>
      <w:r w:rsidRPr="00950097">
        <w:t xml:space="preserve">. </w:t>
      </w:r>
      <w:r w:rsidRPr="00950097">
        <w:rPr>
          <w:i/>
        </w:rPr>
        <w:t>Journal of Proteomics,</w:t>
      </w:r>
      <w:r w:rsidRPr="00950097">
        <w:t xml:space="preserve"> 197(May 2018)</w:t>
      </w:r>
      <w:r w:rsidRPr="00950097">
        <w:rPr>
          <w:b/>
        </w:rPr>
        <w:t>,</w:t>
      </w:r>
      <w:r w:rsidRPr="00950097">
        <w:t xml:space="preserve"> 92-105. 10.1016/j.jprot.2018.11.012.</w:t>
      </w:r>
      <w:bookmarkEnd w:id="582"/>
    </w:p>
    <w:p w14:paraId="0A5B662B" w14:textId="77777777" w:rsidR="00950097" w:rsidRPr="00950097" w:rsidRDefault="00950097" w:rsidP="00950097">
      <w:pPr>
        <w:pStyle w:val="EndNoteBibliography"/>
        <w:spacing w:after="0"/>
        <w:ind w:left="720" w:hanging="720"/>
      </w:pPr>
      <w:bookmarkStart w:id="583" w:name="_ENREF_183"/>
      <w:r w:rsidRPr="00950097">
        <w:t xml:space="preserve">Li, M., Wang, J., Song, S. &amp; Li, C. (2015b) Early transcriptional response to the parasitic dinoflagellate </w:t>
      </w:r>
      <w:r w:rsidRPr="00950097">
        <w:rPr>
          <w:i/>
        </w:rPr>
        <w:t>Hematodinium</w:t>
      </w:r>
      <w:r w:rsidRPr="00950097">
        <w:t xml:space="preserve"> in hepatopancreas of </w:t>
      </w:r>
      <w:r w:rsidRPr="00950097">
        <w:rPr>
          <w:i/>
        </w:rPr>
        <w:t>Portunus trituberculatus</w:t>
      </w:r>
      <w:r w:rsidRPr="00950097">
        <w:t xml:space="preserve">. </w:t>
      </w:r>
      <w:r w:rsidRPr="00950097">
        <w:rPr>
          <w:i/>
        </w:rPr>
        <w:t>Journal of Invertebrate Pathology,</w:t>
      </w:r>
      <w:r w:rsidRPr="00950097">
        <w:t xml:space="preserve"> 130</w:t>
      </w:r>
      <w:r w:rsidRPr="00950097">
        <w:rPr>
          <w:b/>
        </w:rPr>
        <w:t>,</w:t>
      </w:r>
      <w:r w:rsidRPr="00950097">
        <w:t xml:space="preserve"> 28-36. 10.1016/j.jip.2015.06.005.</w:t>
      </w:r>
      <w:bookmarkEnd w:id="583"/>
    </w:p>
    <w:p w14:paraId="5CF52409" w14:textId="77777777" w:rsidR="00950097" w:rsidRPr="00950097" w:rsidRDefault="00950097" w:rsidP="00950097">
      <w:pPr>
        <w:pStyle w:val="EndNoteBibliography"/>
        <w:spacing w:after="0"/>
        <w:ind w:left="720" w:hanging="720"/>
      </w:pPr>
      <w:bookmarkStart w:id="584" w:name="_ENREF_184"/>
      <w:r w:rsidRPr="00950097">
        <w:t>Li, S., Sun, L., Wu, H., Hu, Z., Liu, W., Li, Y. &amp; Wen, X. (2012) The intestinal microbial diversity in mud crab (</w:t>
      </w:r>
      <w:r w:rsidRPr="00950097">
        <w:rPr>
          <w:i/>
        </w:rPr>
        <w:t>Scylla paramamosain</w:t>
      </w:r>
      <w:r w:rsidRPr="00950097">
        <w:t xml:space="preserve">) as determined by PCR-DGGE and clone library analysis. </w:t>
      </w:r>
      <w:r w:rsidRPr="00950097">
        <w:rPr>
          <w:i/>
        </w:rPr>
        <w:t>Journal of Applied Microbiology,</w:t>
      </w:r>
      <w:r w:rsidRPr="00950097">
        <w:t xml:space="preserve"> 113(6)</w:t>
      </w:r>
      <w:r w:rsidRPr="00950097">
        <w:rPr>
          <w:b/>
        </w:rPr>
        <w:t>,</w:t>
      </w:r>
      <w:r w:rsidRPr="00950097">
        <w:t xml:space="preserve"> 1341-1351. 10.1111/jam.12008.</w:t>
      </w:r>
      <w:bookmarkEnd w:id="584"/>
    </w:p>
    <w:p w14:paraId="7396DA5E" w14:textId="77777777" w:rsidR="00950097" w:rsidRPr="00950097" w:rsidRDefault="00950097" w:rsidP="00950097">
      <w:pPr>
        <w:pStyle w:val="EndNoteBibliography"/>
        <w:spacing w:after="0"/>
        <w:ind w:left="720" w:hanging="720"/>
      </w:pPr>
      <w:bookmarkStart w:id="585" w:name="_ENREF_185"/>
      <w:r w:rsidRPr="00950097">
        <w:t xml:space="preserve">Li, Y. F., Chen, Y. W., Xu, J. K., Ding, W. Y., Shao, A. Q., Zhu, Y. T., Wang, C., Liang, X. &amp; Yang, J. L. (2019b) Temperature elevation and </w:t>
      </w:r>
      <w:r w:rsidRPr="00950097">
        <w:rPr>
          <w:i/>
        </w:rPr>
        <w:t>Vibrio</w:t>
      </w:r>
      <w:r w:rsidRPr="00950097">
        <w:t xml:space="preserve"> cyclitrophicus infection reduce the diversity of haemolymph microbiome of the mussel </w:t>
      </w:r>
      <w:r w:rsidRPr="00950097">
        <w:rPr>
          <w:i/>
        </w:rPr>
        <w:t>Mytilus coruscus</w:t>
      </w:r>
      <w:r w:rsidRPr="00950097">
        <w:t xml:space="preserve">. </w:t>
      </w:r>
      <w:r w:rsidRPr="00950097">
        <w:rPr>
          <w:i/>
        </w:rPr>
        <w:t>Scientific Reports 2019 9:1,</w:t>
      </w:r>
      <w:r w:rsidRPr="00950097">
        <w:t xml:space="preserve"> 9(1)</w:t>
      </w:r>
      <w:r w:rsidRPr="00950097">
        <w:rPr>
          <w:b/>
        </w:rPr>
        <w:t>,</w:t>
      </w:r>
      <w:r w:rsidRPr="00950097">
        <w:t xml:space="preserve"> 1-10. 10.1038/s41598-019-52752-y.</w:t>
      </w:r>
      <w:bookmarkEnd w:id="585"/>
    </w:p>
    <w:p w14:paraId="24DDE2C5" w14:textId="77777777" w:rsidR="00950097" w:rsidRPr="00950097" w:rsidRDefault="00950097" w:rsidP="00950097">
      <w:pPr>
        <w:pStyle w:val="EndNoteBibliography"/>
        <w:spacing w:after="0"/>
        <w:ind w:left="720" w:hanging="720"/>
      </w:pPr>
      <w:bookmarkStart w:id="586" w:name="_ENREF_186"/>
      <w:r w:rsidRPr="00950097">
        <w:t xml:space="preserve">Liang, Q.-Y., Zhang, J.-Y., Ning, D., Yu, W.-X., Chen, G.-J., Tao, X., Zhou, J., Du, Z.-J. &amp; Mu, D.-S. (2023) Niche modification by sulfate-reducing bacteria drives microbial community assembly in anoxic marine sediments. </w:t>
      </w:r>
      <w:r w:rsidRPr="00950097">
        <w:rPr>
          <w:i/>
        </w:rPr>
        <w:t>mBio,</w:t>
      </w:r>
      <w:r w:rsidRPr="00950097">
        <w:t xml:space="preserve"> 14(2)</w:t>
      </w:r>
      <w:r w:rsidRPr="00950097">
        <w:rPr>
          <w:b/>
        </w:rPr>
        <w:t>,</w:t>
      </w:r>
      <w:r w:rsidRPr="00950097">
        <w:t xml:space="preserve"> e03535-22. doi:10.1128/mbio.03535-22.</w:t>
      </w:r>
      <w:bookmarkEnd w:id="586"/>
    </w:p>
    <w:p w14:paraId="2785D63E" w14:textId="77777777" w:rsidR="00950097" w:rsidRPr="00950097" w:rsidRDefault="00950097" w:rsidP="00950097">
      <w:pPr>
        <w:pStyle w:val="EndNoteBibliography"/>
        <w:spacing w:after="0"/>
        <w:ind w:left="720" w:hanging="720"/>
      </w:pPr>
      <w:bookmarkStart w:id="587" w:name="_ENREF_187"/>
      <w:r w:rsidRPr="00950097">
        <w:t xml:space="preserve">Liang, Q. J., Li, Z. H., Ou, M., Wu, X. J., Qiao, X., Wei, W., Liu, Y., Ye, J. M. &amp; Wang, W. (2020) Hypoimmunity and intestinal bacterial imbalance are closely associated with blue body syndrome in cultured </w:t>
      </w:r>
      <w:r w:rsidRPr="00950097">
        <w:rPr>
          <w:i/>
        </w:rPr>
        <w:t>Penaeus vannamei</w:t>
      </w:r>
      <w:r w:rsidRPr="00950097">
        <w:t xml:space="preserve">. </w:t>
      </w:r>
      <w:r w:rsidRPr="00950097">
        <w:rPr>
          <w:i/>
        </w:rPr>
        <w:t>Aquaculture,</w:t>
      </w:r>
      <w:r w:rsidRPr="00950097">
        <w:t xml:space="preserve"> 522</w:t>
      </w:r>
      <w:r w:rsidRPr="00950097">
        <w:rPr>
          <w:b/>
        </w:rPr>
        <w:t>,</w:t>
      </w:r>
      <w:r w:rsidRPr="00950097">
        <w:t xml:space="preserve"> 735118-735118. 10.1016/J.AQUACULTURE.2020.735118.</w:t>
      </w:r>
      <w:bookmarkEnd w:id="587"/>
    </w:p>
    <w:p w14:paraId="3C42AC4E" w14:textId="77777777" w:rsidR="00950097" w:rsidRPr="00950097" w:rsidRDefault="00950097" w:rsidP="00950097">
      <w:pPr>
        <w:pStyle w:val="EndNoteBibliography"/>
        <w:spacing w:after="0"/>
        <w:ind w:left="720" w:hanging="720"/>
      </w:pPr>
      <w:bookmarkStart w:id="588" w:name="_ENREF_188"/>
      <w:r w:rsidRPr="00950097">
        <w:t xml:space="preserve">Lin, H., Guo, Q., Ran, Y., Lin, L., Chen, P., He, J., Chen, Y. &amp; Wen, J. (2021) Multiomics Study Reveals </w:t>
      </w:r>
      <w:r w:rsidRPr="00950097">
        <w:rPr>
          <w:i/>
        </w:rPr>
        <w:t xml:space="preserve">Enterococcus </w:t>
      </w:r>
      <w:r w:rsidRPr="00950097">
        <w:t xml:space="preserve">and </w:t>
      </w:r>
      <w:r w:rsidRPr="00950097">
        <w:rPr>
          <w:i/>
        </w:rPr>
        <w:t>Subdoligranulum</w:t>
      </w:r>
      <w:r w:rsidRPr="00950097">
        <w:t xml:space="preserve"> Are Beneficial to Necrotizing</w:t>
      </w:r>
      <w:r w:rsidRPr="00950097">
        <w:rPr>
          <w:i/>
        </w:rPr>
        <w:t xml:space="preserve"> Enterocolitis</w:t>
      </w:r>
      <w:r w:rsidRPr="00950097">
        <w:t xml:space="preserve">. </w:t>
      </w:r>
      <w:r w:rsidRPr="00950097">
        <w:rPr>
          <w:i/>
        </w:rPr>
        <w:t>Frontiers in Microbiology,</w:t>
      </w:r>
      <w:r w:rsidRPr="00950097">
        <w:t xml:space="preserve"> 12</w:t>
      </w:r>
      <w:r w:rsidRPr="00950097">
        <w:rPr>
          <w:b/>
        </w:rPr>
        <w:t>,</w:t>
      </w:r>
      <w:r w:rsidRPr="00950097">
        <w:t xml:space="preserve"> 3196-3196. 10.3389/FMICB.2021.752102/BIBTEX.</w:t>
      </w:r>
      <w:bookmarkEnd w:id="588"/>
    </w:p>
    <w:p w14:paraId="3C438345" w14:textId="77777777" w:rsidR="00950097" w:rsidRPr="00950097" w:rsidRDefault="00950097" w:rsidP="00950097">
      <w:pPr>
        <w:pStyle w:val="EndNoteBibliography"/>
        <w:spacing w:after="0"/>
        <w:ind w:left="720" w:hanging="720"/>
      </w:pPr>
      <w:bookmarkStart w:id="589" w:name="_ENREF_189"/>
      <w:r w:rsidRPr="00950097">
        <w:t xml:space="preserve">Lin, S., Kong, T., Ren, X., Li, S. &amp; Gong, Y. (2020) Elucidation of Gut Microbiota in Mud Crab </w:t>
      </w:r>
      <w:r w:rsidRPr="00950097">
        <w:rPr>
          <w:i/>
        </w:rPr>
        <w:t xml:space="preserve">Scylla paramamosain </w:t>
      </w:r>
      <w:r w:rsidRPr="00950097">
        <w:t xml:space="preserve">Challenged to WSSV and </w:t>
      </w:r>
      <w:r w:rsidRPr="00950097">
        <w:rPr>
          <w:i/>
        </w:rPr>
        <w:t>Aeromonas hydrophila</w:t>
      </w:r>
      <w:r w:rsidRPr="00950097">
        <w:t xml:space="preserve">. </w:t>
      </w:r>
      <w:r w:rsidRPr="00950097">
        <w:rPr>
          <w:i/>
        </w:rPr>
        <w:t>Marine Biotechnology,</w:t>
      </w:r>
      <w:r w:rsidRPr="00950097">
        <w:t xml:space="preserve"> 22(5)</w:t>
      </w:r>
      <w:r w:rsidRPr="00950097">
        <w:rPr>
          <w:b/>
        </w:rPr>
        <w:t>,</w:t>
      </w:r>
      <w:r w:rsidRPr="00950097">
        <w:t xml:space="preserve"> 661-672. 10.1007/s10126-020-09987-y.</w:t>
      </w:r>
      <w:bookmarkEnd w:id="589"/>
    </w:p>
    <w:p w14:paraId="570D8B30" w14:textId="49F85511" w:rsidR="00950097" w:rsidRPr="00950097" w:rsidRDefault="00950097" w:rsidP="00950097">
      <w:pPr>
        <w:pStyle w:val="EndNoteBibliography"/>
        <w:spacing w:after="0"/>
        <w:ind w:left="720" w:hanging="720"/>
      </w:pPr>
      <w:bookmarkStart w:id="590" w:name="_ENREF_190"/>
      <w:r w:rsidRPr="00950097">
        <w:t xml:space="preserve">Lin, S., Yu, L., Wu, X., Li, M., Zhang, Y., Luo, H., Li, H., Li, T. &amp; Li, L. (2022) Active meiosis during dinoflagellate blooms: A ‘sex for proliferation’ hypothesis. </w:t>
      </w:r>
      <w:r w:rsidRPr="00950097">
        <w:rPr>
          <w:i/>
        </w:rPr>
        <w:t>Harmful Algae,</w:t>
      </w:r>
      <w:r w:rsidRPr="00950097">
        <w:t xml:space="preserve"> 118</w:t>
      </w:r>
      <w:r w:rsidRPr="00950097">
        <w:rPr>
          <w:b/>
        </w:rPr>
        <w:t>,</w:t>
      </w:r>
      <w:r w:rsidRPr="00950097">
        <w:t xml:space="preserve"> 102307. </w:t>
      </w:r>
      <w:hyperlink r:id="rId140" w:history="1">
        <w:r w:rsidRPr="00950097">
          <w:rPr>
            <w:rStyle w:val="Hyperlink"/>
          </w:rPr>
          <w:t>https://doi.org/10.1016/j.hal.2022.102307</w:t>
        </w:r>
      </w:hyperlink>
      <w:r w:rsidRPr="00950097">
        <w:t>.</w:t>
      </w:r>
      <w:bookmarkEnd w:id="590"/>
    </w:p>
    <w:p w14:paraId="78FABAB2" w14:textId="77777777" w:rsidR="00950097" w:rsidRPr="00950097" w:rsidRDefault="00950097" w:rsidP="00950097">
      <w:pPr>
        <w:pStyle w:val="EndNoteBibliography"/>
        <w:spacing w:after="0"/>
        <w:ind w:left="720" w:hanging="720"/>
      </w:pPr>
      <w:bookmarkStart w:id="591" w:name="_ENREF_191"/>
      <w:r w:rsidRPr="00950097">
        <w:t xml:space="preserve">Lingelbach, K. &amp; Joiner, K. A. (1998) The parasitophorous vacuole membrane surrounding </w:t>
      </w:r>
      <w:r w:rsidRPr="00950097">
        <w:rPr>
          <w:i/>
        </w:rPr>
        <w:t xml:space="preserve">Plasmodium </w:t>
      </w:r>
      <w:r w:rsidRPr="00950097">
        <w:t xml:space="preserve">and </w:t>
      </w:r>
      <w:r w:rsidRPr="00950097">
        <w:rPr>
          <w:i/>
        </w:rPr>
        <w:t>Toxoplasma</w:t>
      </w:r>
      <w:r w:rsidRPr="00950097">
        <w:t xml:space="preserve">: An unusual compartment in infected cells. </w:t>
      </w:r>
      <w:r w:rsidRPr="00950097">
        <w:rPr>
          <w:i/>
        </w:rPr>
        <w:t>Journal of Cell Science,</w:t>
      </w:r>
      <w:r w:rsidRPr="00950097">
        <w:t xml:space="preserve"> 111(11)</w:t>
      </w:r>
      <w:r w:rsidRPr="00950097">
        <w:rPr>
          <w:b/>
        </w:rPr>
        <w:t>,</w:t>
      </w:r>
      <w:r w:rsidRPr="00950097">
        <w:t xml:space="preserve"> 1467-1475. 10.1242/JCS.111.11.1467.</w:t>
      </w:r>
      <w:bookmarkEnd w:id="591"/>
    </w:p>
    <w:p w14:paraId="5E83BB70" w14:textId="77777777" w:rsidR="00950097" w:rsidRPr="00950097" w:rsidRDefault="00950097" w:rsidP="00950097">
      <w:pPr>
        <w:pStyle w:val="EndNoteBibliography"/>
        <w:spacing w:after="0"/>
        <w:ind w:left="720" w:hanging="720"/>
      </w:pPr>
      <w:bookmarkStart w:id="592" w:name="_ENREF_192"/>
      <w:r w:rsidRPr="00950097">
        <w:t xml:space="preserve">Linnaeus, C. (1758) </w:t>
      </w:r>
      <w:r w:rsidRPr="00950097">
        <w:rPr>
          <w:i/>
        </w:rPr>
        <w:t xml:space="preserve">Systema Naturae. </w:t>
      </w:r>
      <w:r w:rsidRPr="00950097">
        <w:t>1 ed.</w:t>
      </w:r>
      <w:bookmarkEnd w:id="592"/>
    </w:p>
    <w:p w14:paraId="56CF7551" w14:textId="77777777" w:rsidR="00950097" w:rsidRPr="00950097" w:rsidRDefault="00950097" w:rsidP="00950097">
      <w:pPr>
        <w:pStyle w:val="EndNoteBibliography"/>
        <w:spacing w:after="0"/>
        <w:ind w:left="720" w:hanging="720"/>
      </w:pPr>
      <w:bookmarkStart w:id="593" w:name="_ENREF_193"/>
      <w:r w:rsidRPr="00950097">
        <w:t xml:space="preserve">Liu, J., Liu, X., Wang, Z. &amp; Zhang, Q. (2022) Immunological characterization and function analysis of L-type lectin from spotted knifejaw, </w:t>
      </w:r>
      <w:r w:rsidRPr="00950097">
        <w:rPr>
          <w:i/>
        </w:rPr>
        <w:t>Oplegnathus punctatus</w:t>
      </w:r>
      <w:r w:rsidRPr="00950097">
        <w:t xml:space="preserve">. </w:t>
      </w:r>
      <w:r w:rsidRPr="00950097">
        <w:rPr>
          <w:i/>
        </w:rPr>
        <w:t>Frontiers in Immunology,</w:t>
      </w:r>
      <w:r w:rsidRPr="00950097">
        <w:t xml:space="preserve"> 13. 10.3389/FIMMU.2022.993777/FULL.</w:t>
      </w:r>
      <w:bookmarkEnd w:id="593"/>
    </w:p>
    <w:p w14:paraId="24EF099C" w14:textId="77777777" w:rsidR="00950097" w:rsidRPr="00950097" w:rsidRDefault="00950097" w:rsidP="00950097">
      <w:pPr>
        <w:pStyle w:val="EndNoteBibliography"/>
        <w:spacing w:after="0"/>
        <w:ind w:left="720" w:hanging="720"/>
      </w:pPr>
      <w:bookmarkStart w:id="594" w:name="_ENREF_194"/>
      <w:r w:rsidRPr="00950097">
        <w:t xml:space="preserve">Liu, S., Qi, C., Jia, Y., Gu, Z. &amp; Li, E. (2020a) Growth and intestinal health of the red claw crayfish, </w:t>
      </w:r>
      <w:r w:rsidRPr="00950097">
        <w:rPr>
          <w:i/>
        </w:rPr>
        <w:t>Cherax quadricarinatus</w:t>
      </w:r>
      <w:r w:rsidRPr="00950097">
        <w:t xml:space="preserve">, reared under different salinities. </w:t>
      </w:r>
      <w:r w:rsidRPr="00950097">
        <w:rPr>
          <w:i/>
        </w:rPr>
        <w:t>Aquaculture,</w:t>
      </w:r>
      <w:r w:rsidRPr="00950097">
        <w:t xml:space="preserve"> 524. 10.1016/j.aquaculture.2020.735256.</w:t>
      </w:r>
      <w:bookmarkEnd w:id="594"/>
    </w:p>
    <w:p w14:paraId="33545E46" w14:textId="77777777" w:rsidR="00950097" w:rsidRPr="00950097" w:rsidRDefault="00950097" w:rsidP="00950097">
      <w:pPr>
        <w:pStyle w:val="EndNoteBibliography"/>
        <w:spacing w:after="0"/>
        <w:ind w:left="720" w:hanging="720"/>
      </w:pPr>
      <w:bookmarkStart w:id="595" w:name="_ENREF_195"/>
      <w:r w:rsidRPr="00950097">
        <w:t xml:space="preserve">Liu, S., Zheng, S. C., Li, Y. L., Li, J. &amp; Liu, H. P. (2020b) Hemocyte-mediated phagocytosis in crustaceans. </w:t>
      </w:r>
      <w:r w:rsidRPr="00950097">
        <w:rPr>
          <w:i/>
        </w:rPr>
        <w:t>Frontiers in Immunology,</w:t>
      </w:r>
      <w:r w:rsidRPr="00950097">
        <w:t xml:space="preserve"> 11</w:t>
      </w:r>
      <w:r w:rsidRPr="00950097">
        <w:rPr>
          <w:b/>
        </w:rPr>
        <w:t>,</w:t>
      </w:r>
      <w:r w:rsidRPr="00950097">
        <w:t xml:space="preserve"> 268. 10.3389/fimmu.2020.00268.</w:t>
      </w:r>
      <w:bookmarkEnd w:id="595"/>
    </w:p>
    <w:p w14:paraId="22A7F0E8" w14:textId="77777777" w:rsidR="00950097" w:rsidRPr="00950097" w:rsidRDefault="00950097" w:rsidP="00950097">
      <w:pPr>
        <w:pStyle w:val="EndNoteBibliography"/>
        <w:spacing w:after="0"/>
        <w:ind w:left="720" w:hanging="720"/>
      </w:pPr>
      <w:bookmarkStart w:id="596" w:name="_ENREF_196"/>
      <w:r w:rsidRPr="00950097">
        <w:t xml:space="preserve">Liu, T. H., Wang, J., Zhang, C. Y., Zhao, L., Sheng, Y. Y., Tao, G. S. &amp; Xue, Y. Z. (2023) Gut microbial characteristical comparison reveals potential anti-aging function of </w:t>
      </w:r>
      <w:r w:rsidRPr="00950097">
        <w:rPr>
          <w:i/>
        </w:rPr>
        <w:t>Dubosiella newyorkensis</w:t>
      </w:r>
      <w:r w:rsidRPr="00950097">
        <w:t xml:space="preserve"> in mice. </w:t>
      </w:r>
      <w:r w:rsidRPr="00950097">
        <w:rPr>
          <w:i/>
        </w:rPr>
        <w:t>Frontiers in Endocrinology,</w:t>
      </w:r>
      <w:r w:rsidRPr="00950097">
        <w:t xml:space="preserve"> 14</w:t>
      </w:r>
      <w:r w:rsidRPr="00950097">
        <w:rPr>
          <w:b/>
        </w:rPr>
        <w:t>,</w:t>
      </w:r>
      <w:r w:rsidRPr="00950097">
        <w:t xml:space="preserve"> 94-94. 10.3389/FENDO.2023.1133167/BIBTEX.</w:t>
      </w:r>
      <w:bookmarkEnd w:id="596"/>
    </w:p>
    <w:p w14:paraId="5E3410BC" w14:textId="77777777" w:rsidR="00950097" w:rsidRPr="00950097" w:rsidRDefault="00950097" w:rsidP="00950097">
      <w:pPr>
        <w:pStyle w:val="EndNoteBibliography"/>
        <w:spacing w:after="0"/>
        <w:ind w:left="720" w:hanging="720"/>
      </w:pPr>
      <w:bookmarkStart w:id="597" w:name="_ENREF_197"/>
      <w:r w:rsidRPr="00950097">
        <w:t xml:space="preserve">Lokmer, A., Goedknegt, M. A., Thieltges, D. W., Fiorentino, D., Kuenzel, S., Baines, J. F. &amp; Mathias Wegner, K. (2016) Spatial and temporal dynamics of pacific oyster hemolymph microbiota across multiple scales. </w:t>
      </w:r>
      <w:r w:rsidRPr="00950097">
        <w:rPr>
          <w:i/>
        </w:rPr>
        <w:t>Frontiers in Microbiology,</w:t>
      </w:r>
      <w:r w:rsidRPr="00950097">
        <w:t xml:space="preserve"> 7(AUG)</w:t>
      </w:r>
      <w:r w:rsidRPr="00950097">
        <w:rPr>
          <w:b/>
        </w:rPr>
        <w:t>,</w:t>
      </w:r>
      <w:r w:rsidRPr="00950097">
        <w:t xml:space="preserve"> 1367-1367. 10.3389/FMICB.2016.01367/BIBTEX.</w:t>
      </w:r>
      <w:bookmarkEnd w:id="597"/>
    </w:p>
    <w:p w14:paraId="1BBEB4FB" w14:textId="77777777" w:rsidR="00950097" w:rsidRPr="00950097" w:rsidRDefault="00950097" w:rsidP="00950097">
      <w:pPr>
        <w:pStyle w:val="EndNoteBibliography"/>
        <w:spacing w:after="0"/>
        <w:ind w:left="720" w:hanging="720"/>
      </w:pPr>
      <w:bookmarkStart w:id="598" w:name="_ENREF_198"/>
      <w:r w:rsidRPr="00950097">
        <w:t xml:space="preserve">Lokmer, A. &amp; Mathias Wegner, K. (2014) Hemolymph microbiome of Pacific oysters in response to temperature, temperature stress and infection. </w:t>
      </w:r>
      <w:r w:rsidRPr="00950097">
        <w:rPr>
          <w:i/>
        </w:rPr>
        <w:t>Multidisciplinary Journal of Microbial Ecology,</w:t>
      </w:r>
      <w:r w:rsidRPr="00950097">
        <w:t xml:space="preserve"> 9(3)</w:t>
      </w:r>
      <w:r w:rsidRPr="00950097">
        <w:rPr>
          <w:b/>
        </w:rPr>
        <w:t>,</w:t>
      </w:r>
      <w:r w:rsidRPr="00950097">
        <w:t xml:space="preserve"> 670-682. 10.1038/ismej.2014.160.</w:t>
      </w:r>
      <w:bookmarkEnd w:id="598"/>
    </w:p>
    <w:p w14:paraId="45EDA3B8" w14:textId="77777777" w:rsidR="00950097" w:rsidRPr="00950097" w:rsidRDefault="00950097" w:rsidP="00950097">
      <w:pPr>
        <w:pStyle w:val="EndNoteBibliography"/>
        <w:spacing w:after="0"/>
        <w:ind w:left="720" w:hanging="720"/>
      </w:pPr>
      <w:bookmarkStart w:id="599" w:name="_ENREF_199"/>
      <w:r w:rsidRPr="00950097">
        <w:t xml:space="preserve">Lounds, C., Eagles, J., Carter, A. T., MacKenzie, D. A. &amp; Archer, D. B. (2007) Spore germination in </w:t>
      </w:r>
      <w:r w:rsidRPr="00950097">
        <w:rPr>
          <w:i/>
        </w:rPr>
        <w:t xml:space="preserve">Mortierella alpina </w:t>
      </w:r>
      <w:r w:rsidRPr="00950097">
        <w:t xml:space="preserve">is associated with a transient depletion of arachidonic acid and induction of fatty acid desaturase gene expression. </w:t>
      </w:r>
      <w:r w:rsidRPr="00950097">
        <w:rPr>
          <w:i/>
        </w:rPr>
        <w:t>Arch Microbiol,</w:t>
      </w:r>
      <w:r w:rsidRPr="00950097">
        <w:t xml:space="preserve"> 188(4)</w:t>
      </w:r>
      <w:r w:rsidRPr="00950097">
        <w:rPr>
          <w:b/>
        </w:rPr>
        <w:t>,</w:t>
      </w:r>
      <w:r w:rsidRPr="00950097">
        <w:t xml:space="preserve"> 299-305. 10.1007/s00203-007-0248-3.</w:t>
      </w:r>
      <w:bookmarkEnd w:id="599"/>
    </w:p>
    <w:p w14:paraId="0613ABE2" w14:textId="77777777" w:rsidR="00950097" w:rsidRPr="00950097" w:rsidRDefault="00950097" w:rsidP="00950097">
      <w:pPr>
        <w:pStyle w:val="EndNoteBibliography"/>
        <w:spacing w:after="0"/>
        <w:ind w:left="720" w:hanging="720"/>
      </w:pPr>
      <w:bookmarkStart w:id="600" w:name="_ENREF_200"/>
      <w:r w:rsidRPr="00950097">
        <w:t>Love, D. C., Rice, S. D., Moles, D. A. &amp; Eaton, W. D. (1993) Seasonal prevalence and intensity of bitter crab dinoflagellate infection and host mortality in Alaskan tanner crabs</w:t>
      </w:r>
      <w:r w:rsidRPr="00950097">
        <w:rPr>
          <w:i/>
        </w:rPr>
        <w:t xml:space="preserve"> Chionoeceles bairdi </w:t>
      </w:r>
      <w:r w:rsidRPr="00950097">
        <w:t xml:space="preserve">from Auke bay, Alaska, USA. </w:t>
      </w:r>
      <w:r w:rsidRPr="00950097">
        <w:rPr>
          <w:i/>
        </w:rPr>
        <w:t>Diseases of Aquatic Organisms,</w:t>
      </w:r>
      <w:r w:rsidRPr="00950097">
        <w:t xml:space="preserve"> 15</w:t>
      </w:r>
      <w:r w:rsidRPr="00950097">
        <w:rPr>
          <w:b/>
        </w:rPr>
        <w:t>,</w:t>
      </w:r>
      <w:r w:rsidRPr="00950097">
        <w:t xml:space="preserve"> 1-7. 10.3354/dao015001.</w:t>
      </w:r>
      <w:bookmarkEnd w:id="600"/>
    </w:p>
    <w:p w14:paraId="0EDFEE15" w14:textId="77777777" w:rsidR="00950097" w:rsidRPr="00950097" w:rsidRDefault="00950097" w:rsidP="00950097">
      <w:pPr>
        <w:pStyle w:val="EndNoteBibliography"/>
        <w:spacing w:after="0"/>
        <w:ind w:left="720" w:hanging="720"/>
      </w:pPr>
      <w:bookmarkStart w:id="601" w:name="_ENREF_201"/>
      <w:r w:rsidRPr="00950097">
        <w:t>Lycett, K. A., Chung, J. S. &amp; Pitula, J. S. (2018) The relationship of blue crab (</w:t>
      </w:r>
      <w:r w:rsidRPr="00950097">
        <w:rPr>
          <w:i/>
        </w:rPr>
        <w:t>Callinectes sapidus</w:t>
      </w:r>
      <w:r w:rsidRPr="00950097">
        <w:t xml:space="preserve">) size class and molt stage to disease acquisition and intensity of </w:t>
      </w:r>
      <w:r w:rsidRPr="00950097">
        <w:rPr>
          <w:i/>
        </w:rPr>
        <w:t xml:space="preserve">Hematodinium perezi </w:t>
      </w:r>
      <w:r w:rsidRPr="00950097">
        <w:t xml:space="preserve">infections. </w:t>
      </w:r>
      <w:r w:rsidRPr="00950097">
        <w:rPr>
          <w:i/>
        </w:rPr>
        <w:t>PLOS ONE,</w:t>
      </w:r>
      <w:r w:rsidRPr="00950097">
        <w:t xml:space="preserve"> 13(2)</w:t>
      </w:r>
      <w:r w:rsidRPr="00950097">
        <w:rPr>
          <w:b/>
        </w:rPr>
        <w:t>,</w:t>
      </w:r>
      <w:r w:rsidRPr="00950097">
        <w:t xml:space="preserve"> e0192237. 10.1371/journal.pone.0192237.</w:t>
      </w:r>
      <w:bookmarkEnd w:id="601"/>
    </w:p>
    <w:p w14:paraId="4465D808" w14:textId="77777777" w:rsidR="00950097" w:rsidRPr="00950097" w:rsidRDefault="00950097" w:rsidP="00950097">
      <w:pPr>
        <w:pStyle w:val="EndNoteBibliography"/>
        <w:spacing w:after="0"/>
        <w:ind w:left="720" w:hanging="720"/>
      </w:pPr>
      <w:bookmarkStart w:id="602" w:name="_ENREF_202"/>
      <w:r w:rsidRPr="00950097">
        <w:t xml:space="preserve">Manilal, A., Sujith, S., Selvin, J., Shakir, C., Gandhimathi, R. &amp; Kiran, G. S. (2010) Virulence of </w:t>
      </w:r>
      <w:r w:rsidRPr="00950097">
        <w:rPr>
          <w:i/>
        </w:rPr>
        <w:t>Vibrios</w:t>
      </w:r>
      <w:r w:rsidRPr="00950097">
        <w:t xml:space="preserve"> isolated from diseased black tiger shrimp, </w:t>
      </w:r>
      <w:r w:rsidRPr="00950097">
        <w:rPr>
          <w:i/>
        </w:rPr>
        <w:t>Penaeus monodon</w:t>
      </w:r>
      <w:r w:rsidRPr="00950097">
        <w:t xml:space="preserve">, Fabricius. </w:t>
      </w:r>
      <w:r w:rsidRPr="00950097">
        <w:rPr>
          <w:i/>
        </w:rPr>
        <w:t>Journal of the World Aquaculture Society,</w:t>
      </w:r>
      <w:r w:rsidRPr="00950097">
        <w:t xml:space="preserve"> 41(3)</w:t>
      </w:r>
      <w:r w:rsidRPr="00950097">
        <w:rPr>
          <w:b/>
        </w:rPr>
        <w:t>,</w:t>
      </w:r>
      <w:r w:rsidRPr="00950097">
        <w:t xml:space="preserve"> 332-343. 10.1111/j.1749-7345.2010.00375.x.</w:t>
      </w:r>
      <w:bookmarkEnd w:id="602"/>
    </w:p>
    <w:p w14:paraId="2EF92491" w14:textId="0FBBA829" w:rsidR="00950097" w:rsidRPr="00950097" w:rsidRDefault="00950097" w:rsidP="00950097">
      <w:pPr>
        <w:pStyle w:val="EndNoteBibliography"/>
        <w:spacing w:after="0"/>
        <w:ind w:left="720" w:hanging="720"/>
      </w:pPr>
      <w:bookmarkStart w:id="603" w:name="_ENREF_203"/>
      <w:r w:rsidRPr="00950097">
        <w:t xml:space="preserve">Manocha, M. S. (1980) Role of lipids in host-parasite relations of a mycoparasite. </w:t>
      </w:r>
      <w:r w:rsidRPr="00950097">
        <w:rPr>
          <w:i/>
        </w:rPr>
        <w:t>Physiological Plant Pathology,</w:t>
      </w:r>
      <w:r w:rsidRPr="00950097">
        <w:t xml:space="preserve"> 17(3)</w:t>
      </w:r>
      <w:r w:rsidRPr="00950097">
        <w:rPr>
          <w:b/>
        </w:rPr>
        <w:t>,</w:t>
      </w:r>
      <w:r w:rsidRPr="00950097">
        <w:t xml:space="preserve"> 319-328. </w:t>
      </w:r>
      <w:hyperlink r:id="rId141" w:history="1">
        <w:r w:rsidRPr="00950097">
          <w:rPr>
            <w:rStyle w:val="Hyperlink"/>
          </w:rPr>
          <w:t>https://doi.org/10.1016/S0048-4059(80)80025-7</w:t>
        </w:r>
      </w:hyperlink>
      <w:r w:rsidRPr="00950097">
        <w:t>.</w:t>
      </w:r>
      <w:bookmarkEnd w:id="603"/>
    </w:p>
    <w:p w14:paraId="417B73EF" w14:textId="77777777" w:rsidR="00950097" w:rsidRPr="00950097" w:rsidRDefault="00950097" w:rsidP="00950097">
      <w:pPr>
        <w:pStyle w:val="EndNoteBibliography"/>
        <w:spacing w:after="0"/>
        <w:ind w:left="720" w:hanging="720"/>
      </w:pPr>
      <w:bookmarkStart w:id="604" w:name="_ENREF_204"/>
      <w:r w:rsidRPr="00950097">
        <w:t xml:space="preserve">Marine Scotland (2020) Scottish Sea fisheries. </w:t>
      </w:r>
      <w:r w:rsidRPr="00950097">
        <w:rPr>
          <w:i/>
        </w:rPr>
        <w:t>The Scottish Government.</w:t>
      </w:r>
      <w:r w:rsidRPr="00950097">
        <w:t xml:space="preserve"> Scotland.</w:t>
      </w:r>
      <w:bookmarkEnd w:id="604"/>
    </w:p>
    <w:p w14:paraId="0B593C9B" w14:textId="77777777" w:rsidR="00950097" w:rsidRPr="00950097" w:rsidRDefault="00950097" w:rsidP="00950097">
      <w:pPr>
        <w:pStyle w:val="EndNoteBibliography"/>
        <w:spacing w:after="0"/>
        <w:ind w:left="720" w:hanging="720"/>
      </w:pPr>
      <w:bookmarkStart w:id="605" w:name="_ENREF_205"/>
      <w:r w:rsidRPr="00950097">
        <w:t xml:space="preserve">McCallum, H., Fenton, A., Hudson, P. J., Lee, B., Levick, B., Norman, R., Perkins, S. E., Viney, M., Wilson, A. J. &amp; Lello, J. (2017) Breaking beta: deconstructing the parasite transmission function. </w:t>
      </w:r>
      <w:r w:rsidRPr="00950097">
        <w:rPr>
          <w:i/>
        </w:rPr>
        <w:t>Philosophical transactions of the Royal Society of London. Series B, Biological sciences,</w:t>
      </w:r>
      <w:r w:rsidRPr="00950097">
        <w:t xml:space="preserve"> 372(1719). 10.1098/RSTB.2016.0084.</w:t>
      </w:r>
      <w:bookmarkEnd w:id="605"/>
    </w:p>
    <w:p w14:paraId="5BD8F925" w14:textId="77777777" w:rsidR="00950097" w:rsidRPr="00950097" w:rsidRDefault="00950097" w:rsidP="00950097">
      <w:pPr>
        <w:pStyle w:val="EndNoteBibliography"/>
        <w:spacing w:after="0"/>
        <w:ind w:left="720" w:hanging="720"/>
      </w:pPr>
      <w:bookmarkStart w:id="606" w:name="_ENREF_206"/>
      <w:r w:rsidRPr="00950097">
        <w:t xml:space="preserve">McGaw, I. J. (2005) The decapod crustacean circulatory system: a case that is neither open nor closed. </w:t>
      </w:r>
      <w:r w:rsidRPr="00950097">
        <w:rPr>
          <w:i/>
        </w:rPr>
        <w:t>Microscopy and Microanalysis,</w:t>
      </w:r>
      <w:r w:rsidRPr="00950097">
        <w:t xml:space="preserve"> 11(1)</w:t>
      </w:r>
      <w:r w:rsidRPr="00950097">
        <w:rPr>
          <w:b/>
        </w:rPr>
        <w:t>,</w:t>
      </w:r>
      <w:r w:rsidRPr="00950097">
        <w:t xml:space="preserve"> 18-36. 10.1017/S1431927605050026.</w:t>
      </w:r>
      <w:bookmarkEnd w:id="606"/>
    </w:p>
    <w:p w14:paraId="75D9DF7A" w14:textId="77777777" w:rsidR="00950097" w:rsidRPr="00950097" w:rsidRDefault="00950097" w:rsidP="00950097">
      <w:pPr>
        <w:pStyle w:val="EndNoteBibliography"/>
        <w:spacing w:after="0"/>
        <w:ind w:left="720" w:hanging="720"/>
      </w:pPr>
      <w:bookmarkStart w:id="607" w:name="_ENREF_207"/>
      <w:r w:rsidRPr="00950097">
        <w:t xml:space="preserve">McGaw, I. J. &amp; Curtis, D. L. (2013) A review of gastric processing in decapod crustaceans. </w:t>
      </w:r>
      <w:r w:rsidRPr="00950097">
        <w:rPr>
          <w:i/>
        </w:rPr>
        <w:t>Journal of Comparative Physiology,</w:t>
      </w:r>
      <w:r w:rsidRPr="00950097">
        <w:t xml:space="preserve"> 183(4)</w:t>
      </w:r>
      <w:r w:rsidRPr="00950097">
        <w:rPr>
          <w:b/>
        </w:rPr>
        <w:t>,</w:t>
      </w:r>
      <w:r w:rsidRPr="00950097">
        <w:t xml:space="preserve"> 443-465. 10.1007/s00360-012-0730-3.</w:t>
      </w:r>
      <w:bookmarkEnd w:id="607"/>
    </w:p>
    <w:p w14:paraId="42D93A57" w14:textId="77777777" w:rsidR="00950097" w:rsidRPr="00950097" w:rsidRDefault="00950097" w:rsidP="00950097">
      <w:pPr>
        <w:pStyle w:val="EndNoteBibliography"/>
        <w:spacing w:after="0"/>
        <w:ind w:left="720" w:hanging="720"/>
      </w:pPr>
      <w:bookmarkStart w:id="608" w:name="_ENREF_208"/>
      <w:r w:rsidRPr="00950097">
        <w:t xml:space="preserve">McIntyre, F., Fernandes, P. G. &amp; Turrell, W. R. (2012) Clyde ecosystem review. </w:t>
      </w:r>
      <w:r w:rsidRPr="00950097">
        <w:rPr>
          <w:i/>
        </w:rPr>
        <w:t>Scottish Marine and Freshwater Science Report.</w:t>
      </w:r>
      <w:r w:rsidRPr="00950097">
        <w:t xml:space="preserve"> Edinburgh.</w:t>
      </w:r>
      <w:bookmarkEnd w:id="608"/>
    </w:p>
    <w:p w14:paraId="70218ADB" w14:textId="77777777" w:rsidR="00950097" w:rsidRPr="00950097" w:rsidRDefault="00950097" w:rsidP="00950097">
      <w:pPr>
        <w:pStyle w:val="EndNoteBibliography"/>
        <w:spacing w:after="0"/>
        <w:ind w:left="720" w:hanging="720"/>
      </w:pPr>
      <w:bookmarkStart w:id="609" w:name="_ENREF_209"/>
      <w:r w:rsidRPr="00950097">
        <w:t xml:space="preserve">McMahon, B. R. &amp; Burnett, L. E. (1990) The crustacean open circulatory system: a reexamination. </w:t>
      </w:r>
      <w:r w:rsidRPr="00950097">
        <w:rPr>
          <w:i/>
        </w:rPr>
        <w:t>The University of Chicago Press,</w:t>
      </w:r>
      <w:r w:rsidRPr="00950097">
        <w:t xml:space="preserve"> 63(1)</w:t>
      </w:r>
      <w:r w:rsidRPr="00950097">
        <w:rPr>
          <w:b/>
        </w:rPr>
        <w:t>,</w:t>
      </w:r>
      <w:r w:rsidRPr="00950097">
        <w:t xml:space="preserve"> 35-71. 10.1086/PHYSZOOL.63.1.30158153.</w:t>
      </w:r>
      <w:bookmarkEnd w:id="609"/>
    </w:p>
    <w:p w14:paraId="31ED9008" w14:textId="77777777" w:rsidR="00950097" w:rsidRPr="00950097" w:rsidRDefault="00950097" w:rsidP="00950097">
      <w:pPr>
        <w:pStyle w:val="EndNoteBibliography"/>
        <w:spacing w:after="0"/>
        <w:ind w:left="720" w:hanging="720"/>
      </w:pPr>
      <w:bookmarkStart w:id="610" w:name="_ENREF_210"/>
      <w:r w:rsidRPr="00950097">
        <w:t xml:space="preserve">McMurdie, P. J. &amp; Holmes, S. (2013) Phyloseq: an r package for reproducible interactive analysis and graphics of microbiome census data. </w:t>
      </w:r>
      <w:r w:rsidRPr="00950097">
        <w:rPr>
          <w:i/>
        </w:rPr>
        <w:t>PLOS ONE,</w:t>
      </w:r>
      <w:r w:rsidRPr="00950097">
        <w:t xml:space="preserve"> 8(4)</w:t>
      </w:r>
      <w:r w:rsidRPr="00950097">
        <w:rPr>
          <w:b/>
        </w:rPr>
        <w:t>,</w:t>
      </w:r>
      <w:r w:rsidRPr="00950097">
        <w:t xml:space="preserve"> e61217-e61217. 10.1371/JOURNAL.PONE.0061217.</w:t>
      </w:r>
      <w:bookmarkEnd w:id="610"/>
    </w:p>
    <w:p w14:paraId="5344FDC0" w14:textId="77777777" w:rsidR="00950097" w:rsidRPr="00950097" w:rsidRDefault="00950097" w:rsidP="00950097">
      <w:pPr>
        <w:pStyle w:val="EndNoteBibliography"/>
        <w:spacing w:after="0"/>
        <w:ind w:left="720" w:hanging="720"/>
      </w:pPr>
      <w:bookmarkStart w:id="611" w:name="_ENREF_211"/>
      <w:r w:rsidRPr="00950097">
        <w:t xml:space="preserve">Md Zoqratt, M. Z. H., Eng, W. W. H., Thai, B. T., Austin, C. M. &amp; Gan, H. M. (2018) Microbiome analysis of Pacific white shrimp gut and rearing water from Malaysia and Vietnam: implications for aquaculture research and management. </w:t>
      </w:r>
      <w:r w:rsidRPr="00950097">
        <w:rPr>
          <w:i/>
        </w:rPr>
        <w:t>PeerJ,</w:t>
      </w:r>
      <w:r w:rsidRPr="00950097">
        <w:t xml:space="preserve"> 6</w:t>
      </w:r>
      <w:r w:rsidRPr="00950097">
        <w:rPr>
          <w:b/>
        </w:rPr>
        <w:t>,</w:t>
      </w:r>
      <w:r w:rsidRPr="00950097">
        <w:t xml:space="preserve"> e5826. 10.7717/peerj.5826.</w:t>
      </w:r>
      <w:bookmarkEnd w:id="611"/>
    </w:p>
    <w:p w14:paraId="36F58827" w14:textId="77777777" w:rsidR="00950097" w:rsidRPr="00950097" w:rsidRDefault="00950097" w:rsidP="00950097">
      <w:pPr>
        <w:pStyle w:val="EndNoteBibliography"/>
        <w:spacing w:after="0"/>
        <w:ind w:left="720" w:hanging="720"/>
      </w:pPr>
      <w:bookmarkStart w:id="612" w:name="_ENREF_212"/>
      <w:r w:rsidRPr="00950097">
        <w:t xml:space="preserve">Meester, I., Rosas-Taraco, A. G., Solís-Soto, J. M. &amp; Salinas-Carmona, M. C. (2011) The roles of lipid droplets in human infectious disease. </w:t>
      </w:r>
      <w:r w:rsidRPr="00950097">
        <w:rPr>
          <w:i/>
        </w:rPr>
        <w:t>Medicina Universitaria,</w:t>
      </w:r>
      <w:r w:rsidRPr="00950097">
        <w:t xml:space="preserve"> 13(53)</w:t>
      </w:r>
      <w:r w:rsidRPr="00950097">
        <w:rPr>
          <w:b/>
        </w:rPr>
        <w:t>,</w:t>
      </w:r>
      <w:r w:rsidRPr="00950097">
        <w:t xml:space="preserve"> 207-216.</w:t>
      </w:r>
      <w:bookmarkEnd w:id="612"/>
    </w:p>
    <w:p w14:paraId="0C7BD0BD" w14:textId="77777777" w:rsidR="00950097" w:rsidRPr="00950097" w:rsidRDefault="00950097" w:rsidP="00950097">
      <w:pPr>
        <w:pStyle w:val="EndNoteBibliography"/>
        <w:spacing w:after="0"/>
        <w:ind w:left="720" w:hanging="720"/>
      </w:pPr>
      <w:bookmarkStart w:id="613" w:name="_ENREF_213"/>
      <w:r w:rsidRPr="00950097">
        <w:t xml:space="preserve">Melaku Canu, D., Laurent, C., Morello, E. B., Querin, S., Scarcella, G., Vrgoc, N., Froglia, C., Angelini, S. &amp; Solidoro, C. (2020) </w:t>
      </w:r>
      <w:r w:rsidRPr="00950097">
        <w:rPr>
          <w:i/>
        </w:rPr>
        <w:t xml:space="preserve">Nephrops norvegicus </w:t>
      </w:r>
      <w:r w:rsidRPr="00950097">
        <w:t xml:space="preserve">in the Adriatic Sea: Connectivity modeling, essential fish habitats, and management area network. </w:t>
      </w:r>
      <w:r w:rsidRPr="00950097">
        <w:rPr>
          <w:i/>
        </w:rPr>
        <w:t>Fisheries Oceanography,</w:t>
      </w:r>
      <w:r w:rsidRPr="00950097">
        <w:t xml:space="preserve"> 30(4)</w:t>
      </w:r>
      <w:r w:rsidRPr="00950097">
        <w:rPr>
          <w:b/>
        </w:rPr>
        <w:t>,</w:t>
      </w:r>
      <w:r w:rsidRPr="00950097">
        <w:t xml:space="preserve"> 349-365. 10.1111/fog.12522.</w:t>
      </w:r>
      <w:bookmarkEnd w:id="613"/>
    </w:p>
    <w:p w14:paraId="08B58FCD" w14:textId="7C9B9493" w:rsidR="00950097" w:rsidRPr="00950097" w:rsidRDefault="00950097" w:rsidP="00950097">
      <w:pPr>
        <w:pStyle w:val="EndNoteBibliography"/>
        <w:spacing w:after="0"/>
        <w:ind w:left="720" w:hanging="720"/>
      </w:pPr>
      <w:bookmarkStart w:id="614" w:name="_ENREF_214"/>
      <w:r w:rsidRPr="00950097">
        <w:t>Melo, R. C. N., D’Ávila, H., Fabrino, D. L., Almeida, P. E. &amp; Bozza, P. T. (2003) Macrophage lipid body induction by Chagas disease</w:t>
      </w:r>
      <w:r w:rsidRPr="00950097">
        <w:rPr>
          <w:i/>
        </w:rPr>
        <w:t xml:space="preserve"> in vivo</w:t>
      </w:r>
      <w:r w:rsidRPr="00950097">
        <w:t xml:space="preserve">: putative intracellular domains for eicosanoid formation during infection. </w:t>
      </w:r>
      <w:r w:rsidRPr="00950097">
        <w:rPr>
          <w:i/>
        </w:rPr>
        <w:t>Tissue and Cell,</w:t>
      </w:r>
      <w:r w:rsidRPr="00950097">
        <w:t xml:space="preserve"> 35(1)</w:t>
      </w:r>
      <w:r w:rsidRPr="00950097">
        <w:rPr>
          <w:b/>
        </w:rPr>
        <w:t>,</w:t>
      </w:r>
      <w:r w:rsidRPr="00950097">
        <w:t xml:space="preserve"> 59-67. </w:t>
      </w:r>
      <w:hyperlink r:id="rId142" w:history="1">
        <w:r w:rsidRPr="00950097">
          <w:rPr>
            <w:rStyle w:val="Hyperlink"/>
          </w:rPr>
          <w:t>https://doi.org/10.1016/S0040-8166(02)00105-2</w:t>
        </w:r>
      </w:hyperlink>
      <w:r w:rsidRPr="00950097">
        <w:t>.</w:t>
      </w:r>
      <w:bookmarkEnd w:id="614"/>
    </w:p>
    <w:p w14:paraId="128879B3" w14:textId="77777777" w:rsidR="00950097" w:rsidRPr="00950097" w:rsidRDefault="00950097" w:rsidP="00950097">
      <w:pPr>
        <w:pStyle w:val="EndNoteBibliography"/>
        <w:spacing w:after="0"/>
        <w:ind w:left="720" w:hanging="720"/>
      </w:pPr>
      <w:bookmarkStart w:id="615" w:name="_ENREF_215"/>
      <w:r w:rsidRPr="00950097">
        <w:t>Meres, N. J. (2016) Surface biofilm interactions in epizootic shell disease of the American lobster (</w:t>
      </w:r>
      <w:r w:rsidRPr="00950097">
        <w:rPr>
          <w:i/>
        </w:rPr>
        <w:t>Homarus americanus</w:t>
      </w:r>
      <w:r w:rsidRPr="00950097">
        <w:t xml:space="preserve">). </w:t>
      </w:r>
      <w:r w:rsidRPr="00950097">
        <w:rPr>
          <w:i/>
        </w:rPr>
        <w:t>Microbial Biofilms - Importance and Applications</w:t>
      </w:r>
      <w:r w:rsidRPr="00950097">
        <w:t>. 10.5772/63498.</w:t>
      </w:r>
      <w:bookmarkEnd w:id="615"/>
    </w:p>
    <w:p w14:paraId="0ED0B42B" w14:textId="77777777" w:rsidR="00950097" w:rsidRPr="00950097" w:rsidRDefault="00950097" w:rsidP="00950097">
      <w:pPr>
        <w:pStyle w:val="EndNoteBibliography"/>
        <w:spacing w:after="0"/>
        <w:ind w:left="720" w:hanging="720"/>
      </w:pPr>
      <w:bookmarkStart w:id="616" w:name="_ENREF_216"/>
      <w:r w:rsidRPr="00950097">
        <w:t xml:space="preserve">Messick, G. A. &amp; Shields, J. D. (2000) Epizootiology of the parasitic dinoflagellate </w:t>
      </w:r>
      <w:r w:rsidRPr="00950097">
        <w:rPr>
          <w:i/>
        </w:rPr>
        <w:t>Hematodinium</w:t>
      </w:r>
      <w:r w:rsidRPr="00950097">
        <w:t xml:space="preserve"> sp. in the American blue crab </w:t>
      </w:r>
      <w:r w:rsidRPr="00950097">
        <w:rPr>
          <w:i/>
        </w:rPr>
        <w:t>Callinectes sapidus</w:t>
      </w:r>
      <w:r w:rsidRPr="00950097">
        <w:t xml:space="preserve">. </w:t>
      </w:r>
      <w:r w:rsidRPr="00950097">
        <w:rPr>
          <w:i/>
        </w:rPr>
        <w:t>Diseases of Aquatic Organisms,</w:t>
      </w:r>
      <w:r w:rsidRPr="00950097">
        <w:t xml:space="preserve"> 43(2)</w:t>
      </w:r>
      <w:r w:rsidRPr="00950097">
        <w:rPr>
          <w:b/>
        </w:rPr>
        <w:t>,</w:t>
      </w:r>
      <w:r w:rsidRPr="00950097">
        <w:t xml:space="preserve"> 139-152. 10.3354/dao043139.</w:t>
      </w:r>
      <w:bookmarkEnd w:id="616"/>
    </w:p>
    <w:p w14:paraId="6473E558" w14:textId="77777777" w:rsidR="00950097" w:rsidRPr="00950097" w:rsidRDefault="00950097" w:rsidP="00950097">
      <w:pPr>
        <w:pStyle w:val="EndNoteBibliography"/>
        <w:spacing w:after="0"/>
        <w:ind w:left="720" w:hanging="720"/>
      </w:pPr>
      <w:bookmarkStart w:id="617" w:name="_ENREF_217"/>
      <w:r w:rsidRPr="00950097">
        <w:t xml:space="preserve">Meyers, T. R., Koeneman, T. M., Botelho, C. &amp; Short, S. (1987) Bitter crab disease: a fatal dinoflagellate infection and marketing problem for Alaskan Tanner crabs </w:t>
      </w:r>
      <w:r w:rsidRPr="00950097">
        <w:rPr>
          <w:i/>
        </w:rPr>
        <w:t>Chionoecetes bairdi</w:t>
      </w:r>
      <w:r w:rsidRPr="00950097">
        <w:t xml:space="preserve">. </w:t>
      </w:r>
      <w:r w:rsidRPr="00950097">
        <w:rPr>
          <w:i/>
        </w:rPr>
        <w:t>Diseases of Aquatic Organisms,</w:t>
      </w:r>
      <w:r w:rsidRPr="00950097">
        <w:t xml:space="preserve"> 3(November)</w:t>
      </w:r>
      <w:r w:rsidRPr="00950097">
        <w:rPr>
          <w:b/>
        </w:rPr>
        <w:t>,</w:t>
      </w:r>
      <w:r w:rsidRPr="00950097">
        <w:t xml:space="preserve"> 195-216. 10.3354/dao003195.</w:t>
      </w:r>
      <w:bookmarkEnd w:id="617"/>
    </w:p>
    <w:p w14:paraId="3B907195" w14:textId="77777777" w:rsidR="00950097" w:rsidRPr="00950097" w:rsidRDefault="00950097" w:rsidP="00950097">
      <w:pPr>
        <w:pStyle w:val="EndNoteBibliography"/>
        <w:spacing w:after="0"/>
        <w:ind w:left="720" w:hanging="720"/>
      </w:pPr>
      <w:bookmarkStart w:id="618" w:name="_ENREF_218"/>
      <w:r w:rsidRPr="00950097">
        <w:t>Meziti, A. &amp; Kormas, K. A. (2013) Comparison of the Norway lobster (</w:t>
      </w:r>
      <w:r w:rsidRPr="00950097">
        <w:rPr>
          <w:i/>
        </w:rPr>
        <w:t>Nephrops norvegicus</w:t>
      </w:r>
      <w:r w:rsidRPr="00950097">
        <w:t xml:space="preserve">) gut bacterial communities using 16S rDNA clone libraries and pyrosequencing. </w:t>
      </w:r>
      <w:r w:rsidRPr="00950097">
        <w:rPr>
          <w:i/>
        </w:rPr>
        <w:t>Anaerobe,</w:t>
      </w:r>
      <w:r w:rsidRPr="00950097">
        <w:t xml:space="preserve"> 23</w:t>
      </w:r>
      <w:r w:rsidRPr="00950097">
        <w:rPr>
          <w:b/>
        </w:rPr>
        <w:t>,</w:t>
      </w:r>
      <w:r w:rsidRPr="00950097">
        <w:t xml:space="preserve"> 9-11. 10.1016/j.anaerobe.2013.07.010.</w:t>
      </w:r>
      <w:bookmarkEnd w:id="618"/>
    </w:p>
    <w:p w14:paraId="65FE9374" w14:textId="77777777" w:rsidR="00950097" w:rsidRPr="00950097" w:rsidRDefault="00950097" w:rsidP="00950097">
      <w:pPr>
        <w:pStyle w:val="EndNoteBibliography"/>
        <w:spacing w:after="0"/>
        <w:ind w:left="720" w:hanging="720"/>
      </w:pPr>
      <w:bookmarkStart w:id="619" w:name="_ENREF_219"/>
      <w:r w:rsidRPr="00950097">
        <w:t xml:space="preserve">Meziti, A., Mente, E. &amp; Kormas, K. A. (2012) Gut bacteria associated with different diets in reared </w:t>
      </w:r>
      <w:r w:rsidRPr="00950097">
        <w:rPr>
          <w:i/>
        </w:rPr>
        <w:t>Nephrops norvegicus</w:t>
      </w:r>
      <w:r w:rsidRPr="00950097">
        <w:t xml:space="preserve">. </w:t>
      </w:r>
      <w:r w:rsidRPr="00950097">
        <w:rPr>
          <w:i/>
        </w:rPr>
        <w:t>Systematic and Applied Microbiology,</w:t>
      </w:r>
      <w:r w:rsidRPr="00950097">
        <w:t xml:space="preserve"> 35(7)</w:t>
      </w:r>
      <w:r w:rsidRPr="00950097">
        <w:rPr>
          <w:b/>
        </w:rPr>
        <w:t>,</w:t>
      </w:r>
      <w:r w:rsidRPr="00950097">
        <w:t xml:space="preserve"> 473-482. 10.1016/j.syapm.2012.07.004.</w:t>
      </w:r>
      <w:bookmarkEnd w:id="619"/>
    </w:p>
    <w:p w14:paraId="4C9B36EE" w14:textId="77777777" w:rsidR="00950097" w:rsidRPr="00950097" w:rsidRDefault="00950097" w:rsidP="00950097">
      <w:pPr>
        <w:pStyle w:val="EndNoteBibliography"/>
        <w:spacing w:after="0"/>
        <w:ind w:left="720" w:hanging="720"/>
      </w:pPr>
      <w:bookmarkStart w:id="620" w:name="_ENREF_220"/>
      <w:r w:rsidRPr="00950097">
        <w:t>Meziti, A., Ramette, A., Mente, E. &amp; Kormas, K. A. (2010) Temporal shifts of the Norway lobster (</w:t>
      </w:r>
      <w:r w:rsidRPr="00950097">
        <w:rPr>
          <w:i/>
        </w:rPr>
        <w:t>Nephrops norvegicus</w:t>
      </w:r>
      <w:r w:rsidRPr="00950097">
        <w:t xml:space="preserve">) gut bacterial communities. </w:t>
      </w:r>
      <w:r w:rsidRPr="00950097">
        <w:rPr>
          <w:i/>
        </w:rPr>
        <w:t>FEMS Microbiology Ecology,</w:t>
      </w:r>
      <w:r w:rsidRPr="00950097">
        <w:t xml:space="preserve"> 74(2)</w:t>
      </w:r>
      <w:r w:rsidRPr="00950097">
        <w:rPr>
          <w:b/>
        </w:rPr>
        <w:t>,</w:t>
      </w:r>
      <w:r w:rsidRPr="00950097">
        <w:t xml:space="preserve"> 472-484. 10.1111/j.1574-6941.2010.00964.x.</w:t>
      </w:r>
      <w:bookmarkEnd w:id="620"/>
    </w:p>
    <w:p w14:paraId="5A7FD335" w14:textId="77777777" w:rsidR="00950097" w:rsidRPr="00950097" w:rsidRDefault="00950097" w:rsidP="00950097">
      <w:pPr>
        <w:pStyle w:val="EndNoteBibliography"/>
        <w:spacing w:after="0"/>
        <w:ind w:left="720" w:hanging="720"/>
      </w:pPr>
      <w:bookmarkStart w:id="621" w:name="_ENREF_221"/>
      <w:r w:rsidRPr="00950097">
        <w:t xml:space="preserve">Milligan, R. J., Albalat, A., Atkinson, R. J. A. &amp; Neil, D. M. (2009) The effects of trawling on the physical condition of the Norway lobster </w:t>
      </w:r>
      <w:r w:rsidRPr="00950097">
        <w:rPr>
          <w:i/>
        </w:rPr>
        <w:t>Nephrops norvegicus</w:t>
      </w:r>
      <w:r w:rsidRPr="00950097">
        <w:t xml:space="preserve"> in relation to seasonal cycles in the Clyde Sea area. </w:t>
      </w:r>
      <w:r w:rsidRPr="00950097">
        <w:rPr>
          <w:i/>
        </w:rPr>
        <w:t>ICES Journal of Marine Science,</w:t>
      </w:r>
      <w:r w:rsidRPr="00950097">
        <w:t xml:space="preserve"> 66(3)</w:t>
      </w:r>
      <w:r w:rsidRPr="00950097">
        <w:rPr>
          <w:b/>
        </w:rPr>
        <w:t>,</w:t>
      </w:r>
      <w:r w:rsidRPr="00950097">
        <w:t xml:space="preserve"> 488-494. 10.1093/icesjms/fsp018.</w:t>
      </w:r>
      <w:bookmarkEnd w:id="621"/>
    </w:p>
    <w:p w14:paraId="1B9FE691" w14:textId="77777777" w:rsidR="00950097" w:rsidRPr="00950097" w:rsidRDefault="00950097" w:rsidP="00950097">
      <w:pPr>
        <w:pStyle w:val="EndNoteBibliography"/>
        <w:spacing w:after="0"/>
        <w:ind w:left="720" w:hanging="720"/>
      </w:pPr>
      <w:bookmarkStart w:id="622" w:name="_ENREF_222"/>
      <w:r w:rsidRPr="00950097">
        <w:t xml:space="preserve">Molfese, C., Beare, D. &amp; Hall-Spencer, J. M. (2014) Overfishing and the replacement of demersal finfish by shellfish: an example from the English channel. </w:t>
      </w:r>
      <w:r w:rsidRPr="00950097">
        <w:rPr>
          <w:i/>
        </w:rPr>
        <w:t>PLOS ONE,</w:t>
      </w:r>
      <w:r w:rsidRPr="00950097">
        <w:t xml:space="preserve"> 9(7)</w:t>
      </w:r>
      <w:r w:rsidRPr="00950097">
        <w:rPr>
          <w:b/>
        </w:rPr>
        <w:t>,</w:t>
      </w:r>
      <w:r w:rsidRPr="00950097">
        <w:t xml:space="preserve"> e101506-e101506. 10.1371/JOURNAL.PONE.0101506.</w:t>
      </w:r>
      <w:bookmarkEnd w:id="622"/>
    </w:p>
    <w:p w14:paraId="6B5F56A5" w14:textId="77777777" w:rsidR="00950097" w:rsidRPr="00950097" w:rsidRDefault="00950097" w:rsidP="00950097">
      <w:pPr>
        <w:pStyle w:val="EndNoteBibliography"/>
        <w:spacing w:after="0"/>
        <w:ind w:left="720" w:hanging="720"/>
      </w:pPr>
      <w:bookmarkStart w:id="623" w:name="_ENREF_223"/>
      <w:r w:rsidRPr="00950097">
        <w:t>Molto-Martin, I., Neil, D. M., Coates, C. J., MacKenzie, S. A., Bass, D., Stentiford, G. D. &amp; Albalat, A. (2024) Infection of Norway lobster (</w:t>
      </w:r>
      <w:r w:rsidRPr="00950097">
        <w:rPr>
          <w:i/>
        </w:rPr>
        <w:t>Nephrops norvegicus</w:t>
      </w:r>
      <w:r w:rsidRPr="00950097">
        <w:t xml:space="preserve">) by the parasite </w:t>
      </w:r>
      <w:r w:rsidRPr="00950097">
        <w:rPr>
          <w:i/>
        </w:rPr>
        <w:t>Hematodinium</w:t>
      </w:r>
      <w:r w:rsidRPr="00950097">
        <w:t xml:space="preserve"> sp.: insights from 30 years of field observations. </w:t>
      </w:r>
      <w:r w:rsidRPr="00950097">
        <w:rPr>
          <w:i/>
        </w:rPr>
        <w:t>Royal Society Open Science,</w:t>
      </w:r>
      <w:r w:rsidRPr="00950097">
        <w:t xml:space="preserve"> 11(1)</w:t>
      </w:r>
      <w:r w:rsidRPr="00950097">
        <w:rPr>
          <w:b/>
        </w:rPr>
        <w:t>,</w:t>
      </w:r>
      <w:r w:rsidRPr="00950097">
        <w:t xml:space="preserve"> 231147. 10.1098/rsos.231147.</w:t>
      </w:r>
      <w:bookmarkEnd w:id="623"/>
    </w:p>
    <w:p w14:paraId="1D935C96" w14:textId="77777777" w:rsidR="00950097" w:rsidRPr="00950097" w:rsidRDefault="00950097" w:rsidP="00950097">
      <w:pPr>
        <w:pStyle w:val="EndNoteBibliography"/>
        <w:spacing w:after="0"/>
        <w:ind w:left="720" w:hanging="720"/>
      </w:pPr>
      <w:bookmarkStart w:id="624" w:name="_ENREF_224"/>
      <w:r w:rsidRPr="00950097">
        <w:t xml:space="preserve">Mondal, M., Kundu, J. K. &amp; Misra, K. K. (2016) Variation in lipid and fatty acid uptake among nematode and cestode parasites and their host, domestic fowl: host–parasite interaction. </w:t>
      </w:r>
      <w:r w:rsidRPr="00950097">
        <w:rPr>
          <w:i/>
        </w:rPr>
        <w:t>Journal of Parasitic Diseases,</w:t>
      </w:r>
      <w:r w:rsidRPr="00950097">
        <w:t xml:space="preserve"> 40(4)</w:t>
      </w:r>
      <w:r w:rsidRPr="00950097">
        <w:rPr>
          <w:b/>
        </w:rPr>
        <w:t>,</w:t>
      </w:r>
      <w:r w:rsidRPr="00950097">
        <w:t xml:space="preserve"> 1494-1518. 10.1007/s12639-015-0718-5.</w:t>
      </w:r>
      <w:bookmarkEnd w:id="624"/>
    </w:p>
    <w:p w14:paraId="78090D31" w14:textId="77777777" w:rsidR="00950097" w:rsidRPr="00950097" w:rsidRDefault="00950097" w:rsidP="00950097">
      <w:pPr>
        <w:pStyle w:val="EndNoteBibliography"/>
        <w:spacing w:after="0"/>
        <w:ind w:left="720" w:hanging="720"/>
      </w:pPr>
      <w:bookmarkStart w:id="625" w:name="_ENREF_225"/>
      <w:r w:rsidRPr="00950097">
        <w:t xml:space="preserve">Mondal, M., Mukhopadhyay, D., Ghosh, D., Dey, C. &amp; Misra, K. K. (2009) Analysis of major lipid classes and their fatty acids in a cestode parasite of domestic fowl, </w:t>
      </w:r>
      <w:r w:rsidRPr="00950097">
        <w:rPr>
          <w:i/>
        </w:rPr>
        <w:t xml:space="preserve">Raillietina </w:t>
      </w:r>
      <w:r w:rsidRPr="00950097">
        <w:t>(</w:t>
      </w:r>
      <w:r w:rsidRPr="00950097">
        <w:rPr>
          <w:i/>
        </w:rPr>
        <w:t>Fuhrmannetta</w:t>
      </w:r>
      <w:r w:rsidRPr="00950097">
        <w:t xml:space="preserve">) </w:t>
      </w:r>
      <w:r w:rsidRPr="00950097">
        <w:rPr>
          <w:i/>
        </w:rPr>
        <w:t>echinobothrida</w:t>
      </w:r>
      <w:r w:rsidRPr="00950097">
        <w:t xml:space="preserve">. </w:t>
      </w:r>
      <w:r w:rsidRPr="00950097">
        <w:rPr>
          <w:i/>
        </w:rPr>
        <w:t>Proceedings of the Zoological Society,</w:t>
      </w:r>
      <w:r w:rsidRPr="00950097">
        <w:t xml:space="preserve"> 62(2)</w:t>
      </w:r>
      <w:r w:rsidRPr="00950097">
        <w:rPr>
          <w:b/>
        </w:rPr>
        <w:t>,</w:t>
      </w:r>
      <w:r w:rsidRPr="00950097">
        <w:t xml:space="preserve"> 131-137. 10.1007/s12595-009-0015-3.</w:t>
      </w:r>
      <w:bookmarkEnd w:id="625"/>
    </w:p>
    <w:p w14:paraId="15FBD349" w14:textId="77777777" w:rsidR="00950097" w:rsidRPr="00950097" w:rsidRDefault="00950097" w:rsidP="00950097">
      <w:pPr>
        <w:pStyle w:val="EndNoteBibliography"/>
        <w:spacing w:after="0"/>
        <w:ind w:left="720" w:hanging="720"/>
      </w:pPr>
      <w:bookmarkStart w:id="626" w:name="_ENREF_226"/>
      <w:r w:rsidRPr="00950097">
        <w:t xml:space="preserve">Mouat, B. (2002) </w:t>
      </w:r>
      <w:r w:rsidRPr="00950097">
        <w:rPr>
          <w:i/>
        </w:rPr>
        <w:t>Reproductive dynamics of the male norway lobster, Nephrops norvegicus (L.).</w:t>
      </w:r>
      <w:r w:rsidRPr="00950097">
        <w:t xml:space="preserve"> Doctor of Philosophy  University of Glasgow.</w:t>
      </w:r>
      <w:bookmarkEnd w:id="626"/>
    </w:p>
    <w:p w14:paraId="540284C6" w14:textId="77777777" w:rsidR="00950097" w:rsidRPr="00950097" w:rsidRDefault="00950097" w:rsidP="00950097">
      <w:pPr>
        <w:pStyle w:val="EndNoteBibliography"/>
        <w:spacing w:after="0"/>
        <w:ind w:left="720" w:hanging="720"/>
      </w:pPr>
      <w:bookmarkStart w:id="627" w:name="_ENREF_227"/>
      <w:r w:rsidRPr="00950097">
        <w:t xml:space="preserve">Mulloney, B. &amp; Smarandache-Wellmann, C. (2012) Neurobiology of the crustacean swimmeret system. </w:t>
      </w:r>
      <w:r w:rsidRPr="00950097">
        <w:rPr>
          <w:i/>
        </w:rPr>
        <w:t>Progress in Neurobiology,</w:t>
      </w:r>
      <w:r w:rsidRPr="00950097">
        <w:t xml:space="preserve"> 96</w:t>
      </w:r>
      <w:r w:rsidRPr="00950097">
        <w:rPr>
          <w:b/>
        </w:rPr>
        <w:t>,</w:t>
      </w:r>
      <w:r w:rsidRPr="00950097">
        <w:t xml:space="preserve"> 242-67. 10.1016/j.pneurobio.2012.01.002.</w:t>
      </w:r>
      <w:bookmarkEnd w:id="627"/>
    </w:p>
    <w:p w14:paraId="2CB61175" w14:textId="46B4DDAE" w:rsidR="00950097" w:rsidRPr="00950097" w:rsidRDefault="00950097" w:rsidP="00950097">
      <w:pPr>
        <w:pStyle w:val="EndNoteBibliography"/>
        <w:spacing w:after="0"/>
        <w:ind w:left="720" w:hanging="720"/>
      </w:pPr>
      <w:bookmarkStart w:id="628" w:name="_ENREF_228"/>
      <w:r w:rsidRPr="00950097">
        <w:t xml:space="preserve">Munkongwongsiri, N., Prachumwat, A., Eamsaard, W., Lertsiri, K., Flegel, T. W., Stentiford, G. D. &amp; Sritunyalucksana, K. (2022) Propionigenium and </w:t>
      </w:r>
      <w:r w:rsidRPr="00950097">
        <w:rPr>
          <w:i/>
        </w:rPr>
        <w:t>Vibrio</w:t>
      </w:r>
      <w:r w:rsidRPr="00950097">
        <w:t xml:space="preserve"> species identified as possible component causes of shrimp white feces syndrome (WFS) associated with the microsporidian </w:t>
      </w:r>
      <w:r w:rsidRPr="00950097">
        <w:rPr>
          <w:i/>
        </w:rPr>
        <w:t>Enterocytozoon hepatopenaei</w:t>
      </w:r>
      <w:r w:rsidRPr="00950097">
        <w:t xml:space="preserve">. </w:t>
      </w:r>
      <w:r w:rsidRPr="00950097">
        <w:rPr>
          <w:i/>
        </w:rPr>
        <w:t>Journal of Invertebrate Pathology,</w:t>
      </w:r>
      <w:r w:rsidRPr="00950097">
        <w:t xml:space="preserve"> 192</w:t>
      </w:r>
      <w:r w:rsidRPr="00950097">
        <w:rPr>
          <w:b/>
        </w:rPr>
        <w:t>,</w:t>
      </w:r>
      <w:r w:rsidRPr="00950097">
        <w:t xml:space="preserve"> 107784. </w:t>
      </w:r>
      <w:hyperlink r:id="rId143" w:history="1">
        <w:r w:rsidRPr="00950097">
          <w:rPr>
            <w:rStyle w:val="Hyperlink"/>
          </w:rPr>
          <w:t>https://doi.org/10.1016/j.jip.2022.107784</w:t>
        </w:r>
      </w:hyperlink>
      <w:r w:rsidRPr="00950097">
        <w:t>.</w:t>
      </w:r>
      <w:bookmarkEnd w:id="628"/>
    </w:p>
    <w:p w14:paraId="52CDFAE2" w14:textId="77777777" w:rsidR="00950097" w:rsidRPr="00950097" w:rsidRDefault="00950097" w:rsidP="00950097">
      <w:pPr>
        <w:pStyle w:val="EndNoteBibliography"/>
        <w:spacing w:after="0"/>
        <w:ind w:left="720" w:hanging="720"/>
      </w:pPr>
      <w:bookmarkStart w:id="629" w:name="_ENREF_229"/>
      <w:r w:rsidRPr="00950097">
        <w:t xml:space="preserve">Naderer, T. &amp; McConville, M. J. (2011) Intracellular growth and pathogenesis of </w:t>
      </w:r>
      <w:r w:rsidRPr="00950097">
        <w:rPr>
          <w:i/>
        </w:rPr>
        <w:t>Leishmania</w:t>
      </w:r>
      <w:r w:rsidRPr="00950097">
        <w:t xml:space="preserve"> parasites. </w:t>
      </w:r>
      <w:r w:rsidRPr="00950097">
        <w:rPr>
          <w:i/>
        </w:rPr>
        <w:t>Essays in Biochemistry,</w:t>
      </w:r>
      <w:r w:rsidRPr="00950097">
        <w:t xml:space="preserve"> 51(1)</w:t>
      </w:r>
      <w:r w:rsidRPr="00950097">
        <w:rPr>
          <w:b/>
        </w:rPr>
        <w:t>,</w:t>
      </w:r>
      <w:r w:rsidRPr="00950097">
        <w:t xml:space="preserve"> 81-95. 10.1042/BSE0510081.</w:t>
      </w:r>
      <w:bookmarkEnd w:id="629"/>
    </w:p>
    <w:p w14:paraId="4592CCAC" w14:textId="77777777" w:rsidR="00950097" w:rsidRPr="00950097" w:rsidRDefault="00950097" w:rsidP="00950097">
      <w:pPr>
        <w:pStyle w:val="EndNoteBibliography"/>
        <w:spacing w:after="0"/>
        <w:ind w:left="720" w:hanging="720"/>
      </w:pPr>
      <w:bookmarkStart w:id="630" w:name="_ENREF_230"/>
      <w:r w:rsidRPr="00950097">
        <w:t xml:space="preserve">Nagle, L., Place, A. R., Schott, E. J., Jagus, R., Messick, G. A. &amp; Pitula, J. S. (2009) Real-time PCR-based assay for quantitative detection of </w:t>
      </w:r>
      <w:r w:rsidRPr="00950097">
        <w:rPr>
          <w:i/>
        </w:rPr>
        <w:t>Hematodinium</w:t>
      </w:r>
      <w:r w:rsidRPr="00950097">
        <w:t xml:space="preserve"> sp. in the blue crab </w:t>
      </w:r>
      <w:r w:rsidRPr="00950097">
        <w:rPr>
          <w:i/>
        </w:rPr>
        <w:t>Callinectes sapidus</w:t>
      </w:r>
      <w:r w:rsidRPr="00950097">
        <w:t xml:space="preserve">. </w:t>
      </w:r>
      <w:r w:rsidRPr="00950097">
        <w:rPr>
          <w:i/>
        </w:rPr>
        <w:t>Diseases of Aquatic Organisms,</w:t>
      </w:r>
      <w:r w:rsidRPr="00950097">
        <w:t xml:space="preserve"> 84(1)</w:t>
      </w:r>
      <w:r w:rsidRPr="00950097">
        <w:rPr>
          <w:b/>
        </w:rPr>
        <w:t>,</w:t>
      </w:r>
      <w:r w:rsidRPr="00950097">
        <w:t xml:space="preserve"> 79-87. 10.3354/dao02027.</w:t>
      </w:r>
      <w:bookmarkEnd w:id="630"/>
    </w:p>
    <w:p w14:paraId="022952CF" w14:textId="77777777" w:rsidR="00950097" w:rsidRPr="00950097" w:rsidRDefault="00950097" w:rsidP="00950097">
      <w:pPr>
        <w:pStyle w:val="EndNoteBibliography"/>
        <w:spacing w:after="0"/>
        <w:ind w:left="720" w:hanging="720"/>
      </w:pPr>
      <w:bookmarkStart w:id="631" w:name="_ENREF_231"/>
      <w:r w:rsidRPr="00950097">
        <w:t xml:space="preserve">Ní Chualáin, C. &amp; Robinson, M. (2011) Comparison of assessment methods used to diagnose </w:t>
      </w:r>
      <w:r w:rsidRPr="00950097">
        <w:rPr>
          <w:i/>
        </w:rPr>
        <w:t>Hematodinium</w:t>
      </w:r>
      <w:r w:rsidRPr="00950097">
        <w:t xml:space="preserve"> sp. infections in</w:t>
      </w:r>
      <w:r w:rsidRPr="00950097">
        <w:rPr>
          <w:i/>
        </w:rPr>
        <w:t xml:space="preserve"> Cancer pagurus</w:t>
      </w:r>
      <w:r w:rsidRPr="00950097">
        <w:t xml:space="preserve">. </w:t>
      </w:r>
      <w:r w:rsidRPr="00950097">
        <w:rPr>
          <w:i/>
        </w:rPr>
        <w:t>ICES Journal of Marine Science,</w:t>
      </w:r>
      <w:r w:rsidRPr="00950097">
        <w:t xml:space="preserve"> 68(3)</w:t>
      </w:r>
      <w:r w:rsidRPr="00950097">
        <w:rPr>
          <w:b/>
        </w:rPr>
        <w:t>,</w:t>
      </w:r>
      <w:r w:rsidRPr="00950097">
        <w:t xml:space="preserve"> 454-462. 10.1093/icesjms/fsq197.</w:t>
      </w:r>
      <w:bookmarkEnd w:id="631"/>
    </w:p>
    <w:p w14:paraId="61FECA7B" w14:textId="77777777" w:rsidR="00950097" w:rsidRPr="00950097" w:rsidRDefault="00950097" w:rsidP="00950097">
      <w:pPr>
        <w:pStyle w:val="EndNoteBibliography"/>
        <w:spacing w:after="0"/>
        <w:ind w:left="720" w:hanging="720"/>
      </w:pPr>
      <w:bookmarkStart w:id="632" w:name="_ENREF_232"/>
      <w:r w:rsidRPr="00950097">
        <w:t xml:space="preserve">Nyholm, S. V. &amp; Graf, J. (2012) Knowing your friends: invertebrate innate immunity fosters beneficial bacterial symbioses. </w:t>
      </w:r>
      <w:r w:rsidRPr="00950097">
        <w:rPr>
          <w:i/>
        </w:rPr>
        <w:t>Nature Reviews Microbiology,</w:t>
      </w:r>
      <w:r w:rsidRPr="00950097">
        <w:t xml:space="preserve"> 10(12)</w:t>
      </w:r>
      <w:r w:rsidRPr="00950097">
        <w:rPr>
          <w:b/>
        </w:rPr>
        <w:t>,</w:t>
      </w:r>
      <w:r w:rsidRPr="00950097">
        <w:t xml:space="preserve"> 815-827. 10.1038/nrmicro2894.</w:t>
      </w:r>
      <w:bookmarkEnd w:id="632"/>
    </w:p>
    <w:p w14:paraId="0140BD7F" w14:textId="2B7A7A31" w:rsidR="00950097" w:rsidRPr="00950097" w:rsidRDefault="00950097" w:rsidP="00950097">
      <w:pPr>
        <w:pStyle w:val="EndNoteBibliography"/>
        <w:spacing w:after="0"/>
        <w:ind w:left="720" w:hanging="720"/>
      </w:pPr>
      <w:bookmarkStart w:id="633" w:name="_ENREF_233"/>
      <w:r w:rsidRPr="00950097">
        <w:t xml:space="preserve">Oetama, V. S. P., Hennersdorf, P., Abdul-Aziz, M. A., Mrotzek, G., Haryanti, H. &amp; Saluz, H. P. (2016) Microbiome analysis and detection of pathogenic bacteria of </w:t>
      </w:r>
      <w:r w:rsidRPr="00950097">
        <w:rPr>
          <w:i/>
        </w:rPr>
        <w:t>Penaeus monodon</w:t>
      </w:r>
      <w:r w:rsidRPr="00950097">
        <w:t xml:space="preserve"> from Jakarta Bay and Bali. </w:t>
      </w:r>
      <w:r w:rsidRPr="00950097">
        <w:rPr>
          <w:i/>
        </w:rPr>
        <w:t>Marine Pollution Bulletin,</w:t>
      </w:r>
      <w:r w:rsidRPr="00950097">
        <w:t xml:space="preserve"> 110(2)</w:t>
      </w:r>
      <w:r w:rsidRPr="00950097">
        <w:rPr>
          <w:b/>
        </w:rPr>
        <w:t>,</w:t>
      </w:r>
      <w:r w:rsidRPr="00950097">
        <w:t xml:space="preserve"> 718-725. </w:t>
      </w:r>
      <w:hyperlink r:id="rId144" w:history="1">
        <w:r w:rsidRPr="00950097">
          <w:rPr>
            <w:rStyle w:val="Hyperlink"/>
          </w:rPr>
          <w:t>https://doi.org/10.1016/j.marpolbul.2016.03.043</w:t>
        </w:r>
      </w:hyperlink>
      <w:r w:rsidRPr="00950097">
        <w:t>.</w:t>
      </w:r>
      <w:bookmarkEnd w:id="633"/>
    </w:p>
    <w:p w14:paraId="7668C598" w14:textId="77777777" w:rsidR="00950097" w:rsidRPr="00950097" w:rsidRDefault="00950097" w:rsidP="00950097">
      <w:pPr>
        <w:pStyle w:val="EndNoteBibliography"/>
        <w:spacing w:after="0"/>
        <w:ind w:left="720" w:hanging="720"/>
      </w:pPr>
      <w:bookmarkStart w:id="634" w:name="_ENREF_234"/>
      <w:r w:rsidRPr="00950097">
        <w:t xml:space="preserve">Ohtsubo, K. &amp; Marth, J. D. (2006) Glycosylation in cellular mechanisms of health and disease. </w:t>
      </w:r>
      <w:r w:rsidRPr="00950097">
        <w:rPr>
          <w:i/>
        </w:rPr>
        <w:t>Cell,</w:t>
      </w:r>
      <w:r w:rsidRPr="00950097">
        <w:t xml:space="preserve"> 126(5)</w:t>
      </w:r>
      <w:r w:rsidRPr="00950097">
        <w:rPr>
          <w:b/>
        </w:rPr>
        <w:t>,</w:t>
      </w:r>
      <w:r w:rsidRPr="00950097">
        <w:t xml:space="preserve"> 855-867. 10.1016/J.CELL.2006.08.019.</w:t>
      </w:r>
      <w:bookmarkEnd w:id="634"/>
    </w:p>
    <w:p w14:paraId="395BD152" w14:textId="77777777" w:rsidR="00950097" w:rsidRPr="00950097" w:rsidRDefault="00950097" w:rsidP="00950097">
      <w:pPr>
        <w:pStyle w:val="EndNoteBibliography"/>
        <w:spacing w:after="0"/>
        <w:ind w:left="720" w:hanging="720"/>
      </w:pPr>
      <w:bookmarkStart w:id="635" w:name="_ENREF_235"/>
      <w:r w:rsidRPr="00950097">
        <w:t>Oksanen, J., Blanchet, F. G., Kindt, R., Legendre, P., Minchin, P. R., O’Hara, R. B., Simpson, G. L., Solymos, P., Stevens, M. H. H. &amp; Wagner, H. (2014) Vegan: community ecology package. R package version 2.2--0.</w:t>
      </w:r>
      <w:bookmarkEnd w:id="635"/>
    </w:p>
    <w:p w14:paraId="7D1E91E0" w14:textId="77777777" w:rsidR="00950097" w:rsidRPr="00950097" w:rsidRDefault="00950097" w:rsidP="00950097">
      <w:pPr>
        <w:pStyle w:val="EndNoteBibliography"/>
        <w:spacing w:after="0"/>
        <w:ind w:left="720" w:hanging="720"/>
      </w:pPr>
      <w:bookmarkStart w:id="636" w:name="_ENREF_236"/>
      <w:r w:rsidRPr="00950097">
        <w:t xml:space="preserve">Olzmann, J. A. &amp; Carvalho, P. (2019) Dynamics and functions of lipid droplets. </w:t>
      </w:r>
      <w:r w:rsidRPr="00950097">
        <w:rPr>
          <w:i/>
        </w:rPr>
        <w:t>Nature Reviews Molecular Cell Biology,</w:t>
      </w:r>
      <w:r w:rsidRPr="00950097">
        <w:t xml:space="preserve"> 20(3)</w:t>
      </w:r>
      <w:r w:rsidRPr="00950097">
        <w:rPr>
          <w:b/>
        </w:rPr>
        <w:t>,</w:t>
      </w:r>
      <w:r w:rsidRPr="00950097">
        <w:t xml:space="preserve"> 137-155. 10.1038/s41580-018-0085-z.</w:t>
      </w:r>
      <w:bookmarkEnd w:id="636"/>
    </w:p>
    <w:p w14:paraId="61220B33" w14:textId="77777777" w:rsidR="00950097" w:rsidRPr="00950097" w:rsidRDefault="00950097" w:rsidP="00950097">
      <w:pPr>
        <w:pStyle w:val="EndNoteBibliography"/>
        <w:spacing w:after="0"/>
        <w:ind w:left="720" w:hanging="720"/>
      </w:pPr>
      <w:bookmarkStart w:id="637" w:name="_ENREF_237"/>
      <w:r w:rsidRPr="00950097">
        <w:t xml:space="preserve">Ooi, M. C. (2018) </w:t>
      </w:r>
      <w:r w:rsidRPr="00950097">
        <w:rPr>
          <w:i/>
        </w:rPr>
        <w:t>Haemolymph and gut microbiomes of the ornate spiny lobster Panulirus ornatus.</w:t>
      </w:r>
      <w:r w:rsidRPr="00950097">
        <w:t xml:space="preserve"> Doctor of Philosophy  University Of Tasmania.</w:t>
      </w:r>
      <w:bookmarkEnd w:id="637"/>
    </w:p>
    <w:p w14:paraId="1FDB3D92" w14:textId="77777777" w:rsidR="00950097" w:rsidRPr="00950097" w:rsidRDefault="00950097" w:rsidP="00950097">
      <w:pPr>
        <w:pStyle w:val="EndNoteBibliography"/>
        <w:spacing w:after="0"/>
        <w:ind w:left="720" w:hanging="720"/>
      </w:pPr>
      <w:bookmarkStart w:id="638" w:name="_ENREF_238"/>
      <w:r w:rsidRPr="00950097">
        <w:t xml:space="preserve">Ooi, M. C., Goulden, E. F., Smith, G. G. &amp; Bridle, A. R. (2019) Haemolymph microbiome of the cultured spiny lobster </w:t>
      </w:r>
      <w:r w:rsidRPr="00950097">
        <w:rPr>
          <w:i/>
        </w:rPr>
        <w:t>Panulirus ornatus</w:t>
      </w:r>
      <w:r w:rsidRPr="00950097">
        <w:t xml:space="preserve"> at different temperatures. </w:t>
      </w:r>
      <w:r w:rsidRPr="00950097">
        <w:rPr>
          <w:i/>
        </w:rPr>
        <w:t>Scientific Reports,</w:t>
      </w:r>
      <w:r w:rsidRPr="00950097">
        <w:t xml:space="preserve"> 9(1)</w:t>
      </w:r>
      <w:r w:rsidRPr="00950097">
        <w:rPr>
          <w:b/>
        </w:rPr>
        <w:t>,</w:t>
      </w:r>
      <w:r w:rsidRPr="00950097">
        <w:t xml:space="preserve"> 1677-1677. 10.1038/s41598-019-39149-7.</w:t>
      </w:r>
      <w:bookmarkEnd w:id="638"/>
    </w:p>
    <w:p w14:paraId="6CEF5349" w14:textId="77777777" w:rsidR="00950097" w:rsidRPr="00950097" w:rsidRDefault="00950097" w:rsidP="00950097">
      <w:pPr>
        <w:pStyle w:val="EndNoteBibliography"/>
        <w:spacing w:after="0"/>
        <w:ind w:left="720" w:hanging="720"/>
      </w:pPr>
      <w:bookmarkStart w:id="639" w:name="_ENREF_239"/>
      <w:r w:rsidRPr="00950097">
        <w:t>Ooi, M. C., Goulden, E. F., Smith, G. G., Nowak, B. F. &amp; Bridle, A. R. (2017) Developmental and gut-related changes to microbiomes of the cultured juvenile spiny lobster</w:t>
      </w:r>
      <w:r w:rsidRPr="00950097">
        <w:rPr>
          <w:i/>
        </w:rPr>
        <w:t xml:space="preserve"> Panulirus ornatus</w:t>
      </w:r>
      <w:r w:rsidRPr="00950097">
        <w:t xml:space="preserve">. </w:t>
      </w:r>
      <w:r w:rsidRPr="00950097">
        <w:rPr>
          <w:i/>
        </w:rPr>
        <w:t>FEMS Microbiology Ecology,</w:t>
      </w:r>
      <w:r w:rsidRPr="00950097">
        <w:t xml:space="preserve"> 93(12)</w:t>
      </w:r>
      <w:r w:rsidRPr="00950097">
        <w:rPr>
          <w:b/>
        </w:rPr>
        <w:t>,</w:t>
      </w:r>
      <w:r w:rsidRPr="00950097">
        <w:t xml:space="preserve"> 1-10. 10.1093/femsec/fix159.</w:t>
      </w:r>
      <w:bookmarkEnd w:id="639"/>
    </w:p>
    <w:p w14:paraId="7497658C" w14:textId="77777777" w:rsidR="00950097" w:rsidRPr="00950097" w:rsidRDefault="00950097" w:rsidP="00950097">
      <w:pPr>
        <w:pStyle w:val="EndNoteBibliography"/>
        <w:spacing w:after="0"/>
        <w:ind w:left="720" w:hanging="720"/>
      </w:pPr>
      <w:bookmarkStart w:id="640" w:name="_ENREF_240"/>
      <w:r w:rsidRPr="00950097">
        <w:t xml:space="preserve">Pagenkopp Lohan, K. M., McDowell, J. R., Shields, J. D. &amp; Reece, K. S. (2014) Genotypic variation in the parasitic dinoflagellate </w:t>
      </w:r>
      <w:r w:rsidRPr="00950097">
        <w:rPr>
          <w:i/>
        </w:rPr>
        <w:t>Hematodinium perezi</w:t>
      </w:r>
      <w:r w:rsidRPr="00950097">
        <w:t xml:space="preserve"> along the Delmarva Peninsula, Virginia. </w:t>
      </w:r>
      <w:r w:rsidRPr="00950097">
        <w:rPr>
          <w:i/>
        </w:rPr>
        <w:t>Marine Biology,</w:t>
      </w:r>
      <w:r w:rsidRPr="00950097">
        <w:t xml:space="preserve"> 161(2)</w:t>
      </w:r>
      <w:r w:rsidRPr="00950097">
        <w:rPr>
          <w:b/>
        </w:rPr>
        <w:t>,</w:t>
      </w:r>
      <w:r w:rsidRPr="00950097">
        <w:t xml:space="preserve"> 261-273. 10.1007/s00227-013-2332-3.</w:t>
      </w:r>
      <w:bookmarkEnd w:id="640"/>
    </w:p>
    <w:p w14:paraId="15D4A22B" w14:textId="77777777" w:rsidR="00950097" w:rsidRPr="00950097" w:rsidRDefault="00950097" w:rsidP="00950097">
      <w:pPr>
        <w:pStyle w:val="EndNoteBibliography"/>
        <w:spacing w:after="0"/>
        <w:ind w:left="720" w:hanging="720"/>
      </w:pPr>
      <w:bookmarkStart w:id="641" w:name="_ENREF_241"/>
      <w:r w:rsidRPr="00950097">
        <w:t xml:space="preserve">Pagenkopp Lohan, K. M., Reece, K. S., Miller, T. L., Wheeler, K. N., Small, H. J. &amp; Shields, J. D. (2012) The role of alternate hosts in the ecology and life history of </w:t>
      </w:r>
      <w:r w:rsidRPr="00950097">
        <w:rPr>
          <w:i/>
        </w:rPr>
        <w:t>Hematodinium</w:t>
      </w:r>
      <w:r w:rsidRPr="00950097">
        <w:t xml:space="preserve"> sp., a parasitic dinoflagellate of the blue crab (</w:t>
      </w:r>
      <w:r w:rsidRPr="00950097">
        <w:rPr>
          <w:i/>
        </w:rPr>
        <w:t>Callinectes sapidus</w:t>
      </w:r>
      <w:r w:rsidRPr="00950097">
        <w:t xml:space="preserve">). </w:t>
      </w:r>
      <w:r w:rsidRPr="00950097">
        <w:rPr>
          <w:i/>
        </w:rPr>
        <w:t>Journal of Parasitology,</w:t>
      </w:r>
      <w:r w:rsidRPr="00950097">
        <w:t xml:space="preserve"> 98(1)</w:t>
      </w:r>
      <w:r w:rsidRPr="00950097">
        <w:rPr>
          <w:b/>
        </w:rPr>
        <w:t>,</w:t>
      </w:r>
      <w:r w:rsidRPr="00950097">
        <w:t xml:space="preserve"> 73-84. 10.1645/GE-2854.1.</w:t>
      </w:r>
      <w:bookmarkEnd w:id="641"/>
    </w:p>
    <w:p w14:paraId="37346737" w14:textId="77777777" w:rsidR="00950097" w:rsidRPr="00950097" w:rsidRDefault="00950097" w:rsidP="00950097">
      <w:pPr>
        <w:pStyle w:val="EndNoteBibliography"/>
        <w:spacing w:after="0"/>
        <w:ind w:left="720" w:hanging="720"/>
      </w:pPr>
      <w:bookmarkStart w:id="642" w:name="_ENREF_242"/>
      <w:r w:rsidRPr="00950097">
        <w:t xml:space="preserve">Patin, N. V. &amp; Goodwin, K. D. (2022) Capturing marine microbiomes and environmental DNA: A field sampling guide. </w:t>
      </w:r>
      <w:r w:rsidRPr="00950097">
        <w:rPr>
          <w:i/>
        </w:rPr>
        <w:t>Frontiers in Microbiology,</w:t>
      </w:r>
      <w:r w:rsidRPr="00950097">
        <w:t xml:space="preserve"> 13</w:t>
      </w:r>
      <w:r w:rsidRPr="00950097">
        <w:rPr>
          <w:b/>
        </w:rPr>
        <w:t>,</w:t>
      </w:r>
      <w:r w:rsidRPr="00950097">
        <w:t xml:space="preserve"> 1026596. 10.3389/fmicb.2022.1026596.</w:t>
      </w:r>
      <w:bookmarkEnd w:id="642"/>
    </w:p>
    <w:p w14:paraId="59CB2638" w14:textId="77777777" w:rsidR="00950097" w:rsidRPr="00950097" w:rsidRDefault="00950097" w:rsidP="00950097">
      <w:pPr>
        <w:pStyle w:val="EndNoteBibliography"/>
        <w:spacing w:after="0"/>
        <w:ind w:left="720" w:hanging="720"/>
      </w:pPr>
      <w:bookmarkStart w:id="643" w:name="_ENREF_243"/>
      <w:r w:rsidRPr="00950097">
        <w:t xml:space="preserve">Pestal, G. P., Taylor, D. M., Hoenig, J. M., Shields, J. D. &amp; Pickavance, R. (2003) Monitoring the prevalence of the parasitic dinoflagellate Hematodinium sp. in snow crabs Chionoecetes opilio from Conception Bay, Newfoundland. </w:t>
      </w:r>
      <w:r w:rsidRPr="00950097">
        <w:rPr>
          <w:i/>
        </w:rPr>
        <w:t>Diseases of Aquatic Organisms,</w:t>
      </w:r>
      <w:r w:rsidRPr="00950097">
        <w:t xml:space="preserve"> 53(1)</w:t>
      </w:r>
      <w:r w:rsidRPr="00950097">
        <w:rPr>
          <w:b/>
        </w:rPr>
        <w:t>,</w:t>
      </w:r>
      <w:r w:rsidRPr="00950097">
        <w:t xml:space="preserve"> 67-75. 10.3354/dao053067.</w:t>
      </w:r>
      <w:bookmarkEnd w:id="643"/>
    </w:p>
    <w:p w14:paraId="1BA7E7FA" w14:textId="77777777" w:rsidR="00950097" w:rsidRPr="00950097" w:rsidRDefault="00950097" w:rsidP="00950097">
      <w:pPr>
        <w:pStyle w:val="EndNoteBibliography"/>
        <w:spacing w:after="0"/>
        <w:ind w:left="720" w:hanging="720"/>
      </w:pPr>
      <w:bookmarkStart w:id="644" w:name="_ENREF_244"/>
      <w:r w:rsidRPr="00950097">
        <w:t xml:space="preserve">Philp, H. &amp; Marteinsdottír, G. (2013) Moult cycle of the decapod </w:t>
      </w:r>
      <w:r w:rsidRPr="00950097">
        <w:rPr>
          <w:i/>
        </w:rPr>
        <w:t xml:space="preserve">Nephrops norvegicus </w:t>
      </w:r>
      <w:r w:rsidRPr="00950097">
        <w:t xml:space="preserve">(Linnaeus, 1758): Description of stages and sequential changes in haemolymph protein and haemocyanin. </w:t>
      </w:r>
      <w:r w:rsidRPr="00950097">
        <w:rPr>
          <w:i/>
        </w:rPr>
        <w:t>Marine Biology Research,</w:t>
      </w:r>
      <w:r w:rsidRPr="00950097">
        <w:t xml:space="preserve"> 9(1)</w:t>
      </w:r>
      <w:r w:rsidRPr="00950097">
        <w:rPr>
          <w:b/>
        </w:rPr>
        <w:t>,</w:t>
      </w:r>
      <w:r w:rsidRPr="00950097">
        <w:t xml:space="preserve"> 7-18. 10.1080/17451000.2012.727435.</w:t>
      </w:r>
      <w:bookmarkEnd w:id="644"/>
    </w:p>
    <w:p w14:paraId="14769258" w14:textId="77777777" w:rsidR="00950097" w:rsidRPr="00950097" w:rsidRDefault="00950097" w:rsidP="00950097">
      <w:pPr>
        <w:pStyle w:val="EndNoteBibliography"/>
        <w:spacing w:after="0"/>
        <w:ind w:left="720" w:hanging="720"/>
      </w:pPr>
      <w:bookmarkStart w:id="645" w:name="_ENREF_245"/>
      <w:r w:rsidRPr="00950097">
        <w:t xml:space="preserve">Poulin, R. &amp; Lefebvre, F. (2006) Alternative life-history and transmission strategies in a parasite: first come, first served? </w:t>
      </w:r>
      <w:r w:rsidRPr="00950097">
        <w:rPr>
          <w:i/>
        </w:rPr>
        <w:t>Parasitology,</w:t>
      </w:r>
      <w:r w:rsidRPr="00950097">
        <w:t xml:space="preserve"> 132(1)</w:t>
      </w:r>
      <w:r w:rsidRPr="00950097">
        <w:rPr>
          <w:b/>
        </w:rPr>
        <w:t>,</w:t>
      </w:r>
      <w:r w:rsidRPr="00950097">
        <w:t xml:space="preserve"> 135-141. 10.1017/S003118200500870X.</w:t>
      </w:r>
      <w:bookmarkEnd w:id="645"/>
    </w:p>
    <w:p w14:paraId="0E810E22" w14:textId="77777777" w:rsidR="00950097" w:rsidRPr="00950097" w:rsidRDefault="00950097" w:rsidP="00950097">
      <w:pPr>
        <w:pStyle w:val="EndNoteBibliography"/>
        <w:spacing w:after="0"/>
        <w:ind w:left="720" w:hanging="720"/>
      </w:pPr>
      <w:bookmarkStart w:id="646" w:name="_ENREF_246"/>
      <w:r w:rsidRPr="00950097">
        <w:t xml:space="preserve">Poulsen, E. M. (1946) Investigation on the Danish fishery for and the biology of the Norway lobster and the deep-sea prawn. </w:t>
      </w:r>
      <w:r w:rsidRPr="00950097">
        <w:rPr>
          <w:i/>
        </w:rPr>
        <w:t>Report of the Danish Biological Station to the Board of Agriculture,</w:t>
      </w:r>
      <w:r w:rsidRPr="00950097">
        <w:t xml:space="preserve"> 48</w:t>
      </w:r>
      <w:r w:rsidRPr="00950097">
        <w:rPr>
          <w:b/>
        </w:rPr>
        <w:t>,</w:t>
      </w:r>
      <w:r w:rsidRPr="00950097">
        <w:t xml:space="preserve"> 27-49.</w:t>
      </w:r>
      <w:bookmarkEnd w:id="646"/>
    </w:p>
    <w:p w14:paraId="11169708" w14:textId="77777777" w:rsidR="00950097" w:rsidRPr="00950097" w:rsidRDefault="00950097" w:rsidP="00950097">
      <w:pPr>
        <w:pStyle w:val="EndNoteBibliography"/>
        <w:spacing w:after="0"/>
        <w:ind w:left="720" w:hanging="720"/>
      </w:pPr>
      <w:bookmarkStart w:id="647" w:name="_ENREF_247"/>
      <w:r w:rsidRPr="00950097">
        <w:t xml:space="preserve">Powell, A. &amp; Eriksson, S. P. (2013) Chapter six - reproduction: life cycle, larvae and larviculture. In: Johnson, M. L. &amp; Johnson, M. P. (eds.) </w:t>
      </w:r>
      <w:r w:rsidRPr="00950097">
        <w:rPr>
          <w:i/>
        </w:rPr>
        <w:t xml:space="preserve">Advances in Marine Biology. </w:t>
      </w:r>
      <w:r w:rsidRPr="00950097">
        <w:t>1 ed.: Elsevier Ltd.</w:t>
      </w:r>
      <w:bookmarkEnd w:id="647"/>
    </w:p>
    <w:p w14:paraId="3F6A794B" w14:textId="77777777" w:rsidR="00950097" w:rsidRPr="00950097" w:rsidRDefault="00950097" w:rsidP="00950097">
      <w:pPr>
        <w:pStyle w:val="EndNoteBibliography"/>
        <w:spacing w:after="0"/>
        <w:ind w:left="720" w:hanging="720"/>
      </w:pPr>
      <w:bookmarkStart w:id="648" w:name="_ENREF_248"/>
      <w:r w:rsidRPr="00950097">
        <w:t xml:space="preserve">Power, A. M., Merder, J., Browne, P., Freund, J. A., Fullbrook, L., Graham, C., Kennedy, R. J., O’Carroll, J. P. J., Wieczorek, A. M. &amp; Johnson, M. P. (2019) Field-recorded data on habitat, density, growth and movement of </w:t>
      </w:r>
      <w:r w:rsidRPr="00950097">
        <w:rPr>
          <w:i/>
        </w:rPr>
        <w:t>Nephrops norvegicus</w:t>
      </w:r>
      <w:r w:rsidRPr="00950097">
        <w:t xml:space="preserve">. </w:t>
      </w:r>
      <w:r w:rsidRPr="00950097">
        <w:rPr>
          <w:i/>
        </w:rPr>
        <w:t>Scientific Data,</w:t>
      </w:r>
      <w:r w:rsidRPr="00950097">
        <w:t xml:space="preserve"> 6(1)</w:t>
      </w:r>
      <w:r w:rsidRPr="00950097">
        <w:rPr>
          <w:b/>
        </w:rPr>
        <w:t>,</w:t>
      </w:r>
      <w:r w:rsidRPr="00950097">
        <w:t xml:space="preserve"> 7. 10.1038/s41597-019-0013-x.</w:t>
      </w:r>
      <w:bookmarkEnd w:id="648"/>
    </w:p>
    <w:p w14:paraId="38A41185" w14:textId="77777777" w:rsidR="00950097" w:rsidRPr="00950097" w:rsidRDefault="00950097" w:rsidP="00950097">
      <w:pPr>
        <w:pStyle w:val="EndNoteBibliography"/>
        <w:spacing w:after="0"/>
        <w:ind w:left="720" w:hanging="720"/>
      </w:pPr>
      <w:bookmarkStart w:id="649" w:name="_ENREF_249"/>
      <w:r w:rsidRPr="00950097">
        <w:t xml:space="preserve">Quast, C., Pruesse, E., Yilmaz, P., Gerken, J., Schweer, T., Yarza, P., Peplies, J. &amp; Glöckner, F. O. (2013) The SILVA ribosomal RNA gene database project: improved data processing and web-based tools. </w:t>
      </w:r>
      <w:r w:rsidRPr="00950097">
        <w:rPr>
          <w:i/>
        </w:rPr>
        <w:t>Nucleic Acids Research,</w:t>
      </w:r>
      <w:r w:rsidRPr="00950097">
        <w:t xml:space="preserve"> 41(D1)</w:t>
      </w:r>
      <w:r w:rsidRPr="00950097">
        <w:rPr>
          <w:b/>
        </w:rPr>
        <w:t>,</w:t>
      </w:r>
      <w:r w:rsidRPr="00950097">
        <w:t xml:space="preserve"> D590-D596. 10.1093/NAR/GKS1219.</w:t>
      </w:r>
      <w:bookmarkEnd w:id="649"/>
    </w:p>
    <w:p w14:paraId="27C0DA8E" w14:textId="77777777" w:rsidR="00950097" w:rsidRPr="00950097" w:rsidRDefault="00950097" w:rsidP="00950097">
      <w:pPr>
        <w:pStyle w:val="EndNoteBibliography"/>
        <w:spacing w:after="0"/>
        <w:ind w:left="720" w:hanging="720"/>
      </w:pPr>
      <w:bookmarkStart w:id="650" w:name="_ENREF_250"/>
      <w:r w:rsidRPr="00950097">
        <w:t xml:space="preserve">Queirós, A. M., Weetman, A., McLay, H. A. &amp; Dobby, H. (2013) Geographical variation in size at the onset of maturity of male and female Norway lobster </w:t>
      </w:r>
      <w:r w:rsidRPr="00950097">
        <w:rPr>
          <w:i/>
        </w:rPr>
        <w:t xml:space="preserve">Nephrops norvegicus </w:t>
      </w:r>
      <w:r w:rsidRPr="00950097">
        <w:t xml:space="preserve">(L., Homarida: Decapoda) in Scottish waters. </w:t>
      </w:r>
      <w:r w:rsidRPr="00950097">
        <w:rPr>
          <w:i/>
        </w:rPr>
        <w:t>Fisheries Research,</w:t>
      </w:r>
      <w:r w:rsidRPr="00950097">
        <w:t xml:space="preserve"> 139</w:t>
      </w:r>
      <w:r w:rsidRPr="00950097">
        <w:rPr>
          <w:b/>
        </w:rPr>
        <w:t>,</w:t>
      </w:r>
      <w:r w:rsidRPr="00950097">
        <w:t xml:space="preserve"> 132-144. 10.1016/J.FISHRES.2012.11.002.</w:t>
      </w:r>
      <w:bookmarkEnd w:id="650"/>
    </w:p>
    <w:p w14:paraId="30D647B9" w14:textId="77777777" w:rsidR="00950097" w:rsidRPr="00950097" w:rsidRDefault="00950097" w:rsidP="00950097">
      <w:pPr>
        <w:pStyle w:val="EndNoteBibliography"/>
        <w:spacing w:after="0"/>
        <w:ind w:left="720" w:hanging="720"/>
      </w:pPr>
      <w:bookmarkStart w:id="651" w:name="_ENREF_251"/>
      <w:r w:rsidRPr="00950097">
        <w:t xml:space="preserve">Quinn, R. A., Smolowitz, R. &amp; Chistoserdov, A. Y. (2013) Culture-independent analysis of bacterial communities in hemolymph of American lobsters with epizootic shell disease. </w:t>
      </w:r>
      <w:r w:rsidRPr="00950097">
        <w:rPr>
          <w:i/>
        </w:rPr>
        <w:t>Diseases of Aquatic Organisms,</w:t>
      </w:r>
      <w:r w:rsidRPr="00950097">
        <w:t xml:space="preserve"> 103(2)</w:t>
      </w:r>
      <w:r w:rsidRPr="00950097">
        <w:rPr>
          <w:b/>
        </w:rPr>
        <w:t>,</w:t>
      </w:r>
      <w:r w:rsidRPr="00950097">
        <w:t xml:space="preserve"> 141-148. 10.3354/dao02565.</w:t>
      </w:r>
      <w:bookmarkEnd w:id="651"/>
    </w:p>
    <w:p w14:paraId="312C09A6" w14:textId="77777777" w:rsidR="00950097" w:rsidRPr="00950097" w:rsidRDefault="00950097" w:rsidP="00950097">
      <w:pPr>
        <w:pStyle w:val="EndNoteBibliography"/>
        <w:spacing w:after="0"/>
        <w:ind w:left="720" w:hanging="720"/>
      </w:pPr>
      <w:bookmarkStart w:id="652" w:name="_ENREF_252"/>
      <w:r w:rsidRPr="00950097">
        <w:t xml:space="preserve">Ramakrishnan, S., Serricchio, M., Striepen, B. &amp; Bütikofer, P. (2013) Lipid synthesis in protozoan parasites: a comparison between kinetoplastids and apicomplexans. </w:t>
      </w:r>
      <w:r w:rsidRPr="00950097">
        <w:rPr>
          <w:i/>
        </w:rPr>
        <w:t>Progress in Lipid Research,</w:t>
      </w:r>
      <w:r w:rsidRPr="00950097">
        <w:t xml:space="preserve"> 52(4)</w:t>
      </w:r>
      <w:r w:rsidRPr="00950097">
        <w:rPr>
          <w:b/>
        </w:rPr>
        <w:t>,</w:t>
      </w:r>
      <w:r w:rsidRPr="00950097">
        <w:t xml:space="preserve"> 488-512. 10.1016/J.PLIPRES.2013.06.003.</w:t>
      </w:r>
      <w:bookmarkEnd w:id="652"/>
    </w:p>
    <w:p w14:paraId="666D1091" w14:textId="77777777" w:rsidR="00950097" w:rsidRPr="00950097" w:rsidRDefault="00950097" w:rsidP="00950097">
      <w:pPr>
        <w:pStyle w:val="EndNoteBibliography"/>
        <w:spacing w:after="0"/>
        <w:ind w:left="720" w:hanging="720"/>
      </w:pPr>
      <w:bookmarkStart w:id="653" w:name="_ENREF_253"/>
      <w:r w:rsidRPr="00950097">
        <w:t>Rebuffat, S. (2012) Microcins in action: amazing defence strategies of</w:t>
      </w:r>
      <w:r w:rsidRPr="00950097">
        <w:rPr>
          <w:i/>
        </w:rPr>
        <w:t xml:space="preserve"> Enterobacteria</w:t>
      </w:r>
      <w:r w:rsidRPr="00950097">
        <w:t xml:space="preserve">. </w:t>
      </w:r>
      <w:r w:rsidRPr="00950097">
        <w:rPr>
          <w:i/>
        </w:rPr>
        <w:t>Biochemical Society Transactions,</w:t>
      </w:r>
      <w:r w:rsidRPr="00950097">
        <w:t xml:space="preserve"> 40(6)</w:t>
      </w:r>
      <w:r w:rsidRPr="00950097">
        <w:rPr>
          <w:b/>
        </w:rPr>
        <w:t>,</w:t>
      </w:r>
      <w:r w:rsidRPr="00950097">
        <w:t xml:space="preserve"> 1456-1462. 10.1042/BST20120183.</w:t>
      </w:r>
      <w:bookmarkEnd w:id="653"/>
    </w:p>
    <w:p w14:paraId="526CFC25" w14:textId="77777777" w:rsidR="00950097" w:rsidRPr="00950097" w:rsidRDefault="00950097" w:rsidP="00950097">
      <w:pPr>
        <w:pStyle w:val="EndNoteBibliography"/>
        <w:spacing w:after="0"/>
        <w:ind w:left="720" w:hanging="720"/>
      </w:pPr>
      <w:bookmarkStart w:id="654" w:name="_ENREF_254"/>
      <w:r w:rsidRPr="00950097">
        <w:t xml:space="preserve">Reece, S. E., Prior, K. F. &amp; Mideo, N. (2017) The life and times of parasites: rhythms in strategies for within-host survival and between-host transmission. </w:t>
      </w:r>
      <w:r w:rsidRPr="00950097">
        <w:rPr>
          <w:i/>
        </w:rPr>
        <w:t>Journal of Biological Rhythms,</w:t>
      </w:r>
      <w:r w:rsidRPr="00950097">
        <w:t xml:space="preserve"> 32(6)</w:t>
      </w:r>
      <w:r w:rsidRPr="00950097">
        <w:rPr>
          <w:b/>
        </w:rPr>
        <w:t>,</w:t>
      </w:r>
      <w:r w:rsidRPr="00950097">
        <w:t xml:space="preserve"> 516-516. 10.1177/0748730417718904.</w:t>
      </w:r>
      <w:bookmarkEnd w:id="654"/>
    </w:p>
    <w:p w14:paraId="58553FF2" w14:textId="77777777" w:rsidR="00950097" w:rsidRPr="00950097" w:rsidRDefault="00950097" w:rsidP="00950097">
      <w:pPr>
        <w:pStyle w:val="EndNoteBibliography"/>
        <w:spacing w:after="0"/>
        <w:ind w:left="720" w:hanging="720"/>
      </w:pPr>
      <w:bookmarkStart w:id="655" w:name="_ENREF_255"/>
      <w:r w:rsidRPr="00950097">
        <w:t xml:space="preserve">Roohani, K., Haubrich, B. A., Yue, K. L., D'Souza, N., Montalbano, A., Rynearson, T., Menden-Deuer, S. &amp; Reid, C. W. (2019) Trophic upgrading and mobilization of wax esters in microzooplankton. </w:t>
      </w:r>
      <w:r w:rsidRPr="00950097">
        <w:rPr>
          <w:i/>
        </w:rPr>
        <w:t>PeerJ,</w:t>
      </w:r>
      <w:r w:rsidRPr="00950097">
        <w:t xml:space="preserve"> 7</w:t>
      </w:r>
      <w:r w:rsidRPr="00950097">
        <w:rPr>
          <w:b/>
        </w:rPr>
        <w:t>,</w:t>
      </w:r>
      <w:r w:rsidRPr="00950097">
        <w:t xml:space="preserve"> e7549. 10.7717/peerj.7549.</w:t>
      </w:r>
      <w:bookmarkEnd w:id="655"/>
    </w:p>
    <w:p w14:paraId="04C47406" w14:textId="77777777" w:rsidR="00950097" w:rsidRPr="00950097" w:rsidRDefault="00950097" w:rsidP="00950097">
      <w:pPr>
        <w:pStyle w:val="EndNoteBibliography"/>
        <w:spacing w:after="0"/>
        <w:ind w:left="720" w:hanging="720"/>
      </w:pPr>
      <w:bookmarkStart w:id="656" w:name="_ENREF_256"/>
      <w:r w:rsidRPr="00950097">
        <w:t xml:space="preserve">Rosa, R., Morais, S., Calado, R., Narciso, L. &amp; Nunes, M. L. (2003) Biochemical changes during the embryonic development of Norway lobster, </w:t>
      </w:r>
      <w:r w:rsidRPr="00950097">
        <w:rPr>
          <w:i/>
        </w:rPr>
        <w:t>Nephrops norvegicus</w:t>
      </w:r>
      <w:r w:rsidRPr="00950097">
        <w:t xml:space="preserve">. </w:t>
      </w:r>
      <w:r w:rsidRPr="00950097">
        <w:rPr>
          <w:i/>
        </w:rPr>
        <w:t>Aquaculture,</w:t>
      </w:r>
      <w:r w:rsidRPr="00950097">
        <w:t xml:space="preserve"> 221(1-4)</w:t>
      </w:r>
      <w:r w:rsidRPr="00950097">
        <w:rPr>
          <w:b/>
        </w:rPr>
        <w:t>,</w:t>
      </w:r>
      <w:r w:rsidRPr="00950097">
        <w:t xml:space="preserve"> 507-522. 10.1016/S0044-8486(03)00117-0.</w:t>
      </w:r>
      <w:bookmarkEnd w:id="656"/>
    </w:p>
    <w:p w14:paraId="38C17DEE" w14:textId="77777777" w:rsidR="00950097" w:rsidRPr="00950097" w:rsidRDefault="00950097" w:rsidP="00950097">
      <w:pPr>
        <w:pStyle w:val="EndNoteBibliography"/>
        <w:spacing w:after="0"/>
        <w:ind w:left="720" w:hanging="720"/>
      </w:pPr>
      <w:bookmarkStart w:id="657" w:name="_ENREF_257"/>
      <w:r w:rsidRPr="00950097">
        <w:t xml:space="preserve">Rosa, R. &amp; Nunes, M. L. (2002) Biochemical changes during the reproductive cycle of the deep-sea decapod </w:t>
      </w:r>
      <w:r w:rsidRPr="00950097">
        <w:rPr>
          <w:i/>
        </w:rPr>
        <w:t>Nephrops norvegicus</w:t>
      </w:r>
      <w:r w:rsidRPr="00950097">
        <w:t xml:space="preserve"> on the south coast of Portugal. </w:t>
      </w:r>
      <w:r w:rsidRPr="00950097">
        <w:rPr>
          <w:i/>
        </w:rPr>
        <w:t>Marine Biology,</w:t>
      </w:r>
      <w:r w:rsidRPr="00950097">
        <w:t xml:space="preserve"> 141(6)</w:t>
      </w:r>
      <w:r w:rsidRPr="00950097">
        <w:rPr>
          <w:b/>
        </w:rPr>
        <w:t>,</w:t>
      </w:r>
      <w:r w:rsidRPr="00950097">
        <w:t xml:space="preserve"> 1001-1009. 10.1007/s00227-002-0911-9.</w:t>
      </w:r>
      <w:bookmarkEnd w:id="657"/>
    </w:p>
    <w:p w14:paraId="5E028A04" w14:textId="77777777" w:rsidR="00950097" w:rsidRPr="00950097" w:rsidRDefault="00950097" w:rsidP="00950097">
      <w:pPr>
        <w:pStyle w:val="EndNoteBibliography"/>
        <w:spacing w:after="0"/>
        <w:ind w:left="720" w:hanging="720"/>
      </w:pPr>
      <w:bookmarkStart w:id="658" w:name="_ENREF_258"/>
      <w:r w:rsidRPr="00950097">
        <w:t>Rosa, R. &amp; Nunes, M. L. (2004) Nutritional quality of red shrimp,</w:t>
      </w:r>
      <w:r w:rsidRPr="00950097">
        <w:rPr>
          <w:i/>
        </w:rPr>
        <w:t xml:space="preserve"> Aristeus antennatus</w:t>
      </w:r>
      <w:r w:rsidRPr="00950097">
        <w:t xml:space="preserve"> (Risso), pink shrimp, </w:t>
      </w:r>
      <w:r w:rsidRPr="00950097">
        <w:rPr>
          <w:i/>
        </w:rPr>
        <w:t>Parapenaeus longirostris</w:t>
      </w:r>
      <w:r w:rsidRPr="00950097">
        <w:t xml:space="preserve"> (Lucas), and Norway lobster, </w:t>
      </w:r>
      <w:r w:rsidRPr="00950097">
        <w:rPr>
          <w:i/>
        </w:rPr>
        <w:t>Nephrops norvegicus</w:t>
      </w:r>
      <w:r w:rsidRPr="00950097">
        <w:t xml:space="preserve"> (Linnaeus). </w:t>
      </w:r>
      <w:r w:rsidRPr="00950097">
        <w:rPr>
          <w:i/>
        </w:rPr>
        <w:t>Journal of the Science of Food and Agriculture,</w:t>
      </w:r>
      <w:r w:rsidRPr="00950097">
        <w:t xml:space="preserve"> 84(1)</w:t>
      </w:r>
      <w:r w:rsidRPr="00950097">
        <w:rPr>
          <w:b/>
        </w:rPr>
        <w:t>,</w:t>
      </w:r>
      <w:r w:rsidRPr="00950097">
        <w:t xml:space="preserve"> 89-94. 10.1002/JSFA.1619.</w:t>
      </w:r>
      <w:bookmarkEnd w:id="658"/>
    </w:p>
    <w:p w14:paraId="22A5E0ED" w14:textId="77777777" w:rsidR="00950097" w:rsidRPr="00950097" w:rsidRDefault="00950097" w:rsidP="00950097">
      <w:pPr>
        <w:pStyle w:val="EndNoteBibliography"/>
        <w:spacing w:after="0"/>
        <w:ind w:left="720" w:hanging="720"/>
      </w:pPr>
      <w:bookmarkStart w:id="659" w:name="_ENREF_259"/>
      <w:r w:rsidRPr="00950097">
        <w:t xml:space="preserve">Rotllant, G., Company, J. B., Alvarez-Fernández, I., García, J. A., Aguzzi, J. &amp; Durfort, M. (2014) The effects of seasonal variation on the nutritional condition of </w:t>
      </w:r>
      <w:r w:rsidRPr="00950097">
        <w:rPr>
          <w:i/>
        </w:rPr>
        <w:t xml:space="preserve">Nephrops norvegicus </w:t>
      </w:r>
      <w:r w:rsidRPr="00950097">
        <w:t xml:space="preserve">(Astacidea: </w:t>
      </w:r>
      <w:r w:rsidRPr="00950097">
        <w:rPr>
          <w:i/>
        </w:rPr>
        <w:t>Nephropidae</w:t>
      </w:r>
      <w:r w:rsidRPr="00950097">
        <w:t xml:space="preserve">) from wild populations in the western Mediterranean. </w:t>
      </w:r>
      <w:r w:rsidRPr="00950097">
        <w:rPr>
          <w:i/>
        </w:rPr>
        <w:t>Journal of the Marine Biological Association of the United Kingdom,</w:t>
      </w:r>
      <w:r w:rsidRPr="00950097">
        <w:t xml:space="preserve"> 94(4)</w:t>
      </w:r>
      <w:r w:rsidRPr="00950097">
        <w:rPr>
          <w:b/>
        </w:rPr>
        <w:t>,</w:t>
      </w:r>
      <w:r w:rsidRPr="00950097">
        <w:t xml:space="preserve"> 763-773. 10.1017/S0025315414000022.</w:t>
      </w:r>
      <w:bookmarkEnd w:id="659"/>
    </w:p>
    <w:p w14:paraId="6EFA8DBC" w14:textId="77777777" w:rsidR="00950097" w:rsidRPr="00950097" w:rsidRDefault="00950097" w:rsidP="00950097">
      <w:pPr>
        <w:pStyle w:val="EndNoteBibliography"/>
        <w:spacing w:after="0"/>
        <w:ind w:left="720" w:hanging="720"/>
      </w:pPr>
      <w:bookmarkStart w:id="660" w:name="_ENREF_260"/>
      <w:r w:rsidRPr="00950097">
        <w:t xml:space="preserve">Rowley, A. F., Smith, A. L. &amp; Davies, C. E. (2015) How does the dinoflagellate parasite </w:t>
      </w:r>
      <w:r w:rsidRPr="00950097">
        <w:rPr>
          <w:i/>
        </w:rPr>
        <w:t>Hematodinium</w:t>
      </w:r>
      <w:r w:rsidRPr="00950097">
        <w:t xml:space="preserve"> outsmart the immune system of its crustacean hosts? </w:t>
      </w:r>
      <w:r w:rsidRPr="00950097">
        <w:rPr>
          <w:i/>
        </w:rPr>
        <w:t>PLOS Pathogens,</w:t>
      </w:r>
      <w:r w:rsidRPr="00950097">
        <w:t xml:space="preserve"> 11(5)</w:t>
      </w:r>
      <w:r w:rsidRPr="00950097">
        <w:rPr>
          <w:b/>
        </w:rPr>
        <w:t>,</w:t>
      </w:r>
      <w:r w:rsidRPr="00950097">
        <w:t xml:space="preserve"> 1-9. 10.1371/journal.ppat.1004724.</w:t>
      </w:r>
      <w:bookmarkEnd w:id="660"/>
    </w:p>
    <w:p w14:paraId="25CD2B89" w14:textId="77777777" w:rsidR="00950097" w:rsidRPr="00950097" w:rsidRDefault="00950097" w:rsidP="00950097">
      <w:pPr>
        <w:pStyle w:val="EndNoteBibliography"/>
        <w:spacing w:after="0"/>
        <w:ind w:left="720" w:hanging="720"/>
      </w:pPr>
      <w:bookmarkStart w:id="661" w:name="_ENREF_261"/>
      <w:r w:rsidRPr="00950097">
        <w:t xml:space="preserve">Royston, J. P. (1982) An extension of Shapiro and Wilk's W test for normality to large samples. </w:t>
      </w:r>
      <w:r w:rsidRPr="00950097">
        <w:rPr>
          <w:i/>
        </w:rPr>
        <w:t>Applied Statistics,</w:t>
      </w:r>
      <w:r w:rsidRPr="00950097">
        <w:t xml:space="preserve"> 31(2)</w:t>
      </w:r>
      <w:r w:rsidRPr="00950097">
        <w:rPr>
          <w:b/>
        </w:rPr>
        <w:t>,</w:t>
      </w:r>
      <w:r w:rsidRPr="00950097">
        <w:t xml:space="preserve"> 115-115. 10.2307/2347973.</w:t>
      </w:r>
      <w:bookmarkEnd w:id="661"/>
    </w:p>
    <w:p w14:paraId="551EC16F" w14:textId="77777777" w:rsidR="00950097" w:rsidRPr="00950097" w:rsidRDefault="00950097" w:rsidP="00950097">
      <w:pPr>
        <w:pStyle w:val="EndNoteBibliography"/>
        <w:spacing w:after="0"/>
        <w:ind w:left="720" w:hanging="720"/>
      </w:pPr>
      <w:bookmarkStart w:id="662" w:name="_ENREF_262"/>
      <w:r w:rsidRPr="00950097">
        <w:t xml:space="preserve">Rozen, S. &amp; Skaletsky, H. (2000) Primer3 on the WWW for general users and for biologist programmers. </w:t>
      </w:r>
      <w:r w:rsidRPr="00950097">
        <w:rPr>
          <w:i/>
        </w:rPr>
        <w:t>Methods in Molecular Biology,</w:t>
      </w:r>
      <w:r w:rsidRPr="00950097">
        <w:t xml:space="preserve"> 132</w:t>
      </w:r>
      <w:r w:rsidRPr="00950097">
        <w:rPr>
          <w:b/>
        </w:rPr>
        <w:t>,</w:t>
      </w:r>
      <w:r w:rsidRPr="00950097">
        <w:t xml:space="preserve"> 365-386. 10.1385/1-59259-192-2:365.</w:t>
      </w:r>
      <w:bookmarkEnd w:id="662"/>
    </w:p>
    <w:p w14:paraId="26FF6247" w14:textId="77777777" w:rsidR="00950097" w:rsidRPr="00950097" w:rsidRDefault="00950097" w:rsidP="00950097">
      <w:pPr>
        <w:pStyle w:val="EndNoteBibliography"/>
        <w:spacing w:after="0"/>
        <w:ind w:left="720" w:hanging="720"/>
      </w:pPr>
      <w:bookmarkStart w:id="663" w:name="_ENREF_263"/>
      <w:r w:rsidRPr="00950097">
        <w:t>Rungrassamee, W., Klanchui, A., Maibunkaew, S., Chaiyapechara, S., Jiravanichpaisal, P. &amp; Karoonuthaisiri, N. (2014) Characterization of intestinal bacteria in wild and domesticated adult black tiger shrimp (</w:t>
      </w:r>
      <w:r w:rsidRPr="00950097">
        <w:rPr>
          <w:i/>
        </w:rPr>
        <w:t>Penaeus monodon</w:t>
      </w:r>
      <w:r w:rsidRPr="00950097">
        <w:t xml:space="preserve">). </w:t>
      </w:r>
      <w:r w:rsidRPr="00950097">
        <w:rPr>
          <w:i/>
        </w:rPr>
        <w:t>PLOS ONE,</w:t>
      </w:r>
      <w:r w:rsidRPr="00950097">
        <w:t xml:space="preserve"> 9(3)</w:t>
      </w:r>
      <w:r w:rsidRPr="00950097">
        <w:rPr>
          <w:b/>
        </w:rPr>
        <w:t>,</w:t>
      </w:r>
      <w:r w:rsidRPr="00950097">
        <w:t xml:space="preserve"> e91853-e91853. 10.1371/JOURNAL.PONE.0091853.</w:t>
      </w:r>
      <w:bookmarkEnd w:id="663"/>
    </w:p>
    <w:p w14:paraId="4523A721" w14:textId="77777777" w:rsidR="00950097" w:rsidRPr="00950097" w:rsidRDefault="00950097" w:rsidP="00950097">
      <w:pPr>
        <w:pStyle w:val="EndNoteBibliography"/>
        <w:spacing w:after="0"/>
        <w:ind w:left="720" w:hanging="720"/>
      </w:pPr>
      <w:bookmarkStart w:id="664" w:name="_ENREF_264"/>
      <w:r w:rsidRPr="00950097">
        <w:t xml:space="preserve">Sánchez-Salgado, J. L., Pereyra, M. A., Agundis, C., Vivanco-Rojas, O., Sierra-Castillo, C., Alpuche-Osorno, J. J. &amp; Zenteno, E. (2017) Participation of lectins in crustacean immune system. </w:t>
      </w:r>
      <w:r w:rsidRPr="00950097">
        <w:rPr>
          <w:i/>
        </w:rPr>
        <w:t>Aquaculture Research,</w:t>
      </w:r>
      <w:r w:rsidRPr="00950097">
        <w:t xml:space="preserve"> 48(8)</w:t>
      </w:r>
      <w:r w:rsidRPr="00950097">
        <w:rPr>
          <w:b/>
        </w:rPr>
        <w:t>,</w:t>
      </w:r>
      <w:r w:rsidRPr="00950097">
        <w:t xml:space="preserve"> 4001-4011. 10.1111/ARE.13394.</w:t>
      </w:r>
      <w:bookmarkEnd w:id="664"/>
    </w:p>
    <w:p w14:paraId="6C4AC296" w14:textId="77777777" w:rsidR="00950097" w:rsidRPr="00950097" w:rsidRDefault="00950097" w:rsidP="00950097">
      <w:pPr>
        <w:pStyle w:val="EndNoteBibliography"/>
        <w:spacing w:after="0"/>
        <w:ind w:left="720" w:hanging="720"/>
      </w:pPr>
      <w:bookmarkStart w:id="665" w:name="_ENREF_265"/>
      <w:r w:rsidRPr="00950097">
        <w:t xml:space="preserve">Santana, C. A. d. S., Wieczorek, A. M., Browne, P., Graham, C. T. &amp; Power, A. M. (2020) Importance of suspended particulate organic matter in the diet of </w:t>
      </w:r>
      <w:r w:rsidRPr="00950097">
        <w:rPr>
          <w:i/>
        </w:rPr>
        <w:t>Nephrops norvegicus</w:t>
      </w:r>
      <w:r w:rsidRPr="00950097">
        <w:t xml:space="preserve"> (Linnaeus, 1758). </w:t>
      </w:r>
      <w:r w:rsidRPr="00950097">
        <w:rPr>
          <w:i/>
        </w:rPr>
        <w:t>Scientific Reports,</w:t>
      </w:r>
      <w:r w:rsidRPr="00950097">
        <w:t xml:space="preserve"> 10(1)</w:t>
      </w:r>
      <w:r w:rsidRPr="00950097">
        <w:rPr>
          <w:b/>
        </w:rPr>
        <w:t>,</w:t>
      </w:r>
      <w:r w:rsidRPr="00950097">
        <w:t xml:space="preserve"> 3387-3387. 10.1038/s41598-020-60367-x.</w:t>
      </w:r>
      <w:bookmarkEnd w:id="665"/>
    </w:p>
    <w:p w14:paraId="2F4CF6D8" w14:textId="77777777" w:rsidR="00950097" w:rsidRPr="00950097" w:rsidRDefault="00950097" w:rsidP="00950097">
      <w:pPr>
        <w:pStyle w:val="EndNoteBibliography"/>
        <w:spacing w:after="0"/>
        <w:ind w:left="720" w:hanging="720"/>
      </w:pPr>
      <w:bookmarkStart w:id="666" w:name="_ENREF_266"/>
      <w:r w:rsidRPr="00950097">
        <w:t>Santucci, R. (1926) Lo sviluppo e l'ecologia post-embrionali dello 'scampo' (</w:t>
      </w:r>
      <w:r w:rsidRPr="00950097">
        <w:rPr>
          <w:i/>
        </w:rPr>
        <w:t>Nephrops norvegicus</w:t>
      </w:r>
      <w:r w:rsidRPr="00950097">
        <w:t xml:space="preserve"> (L.)) nel Tirreno e nei Mari Nordici. </w:t>
      </w:r>
      <w:r w:rsidRPr="00950097">
        <w:rPr>
          <w:i/>
        </w:rPr>
        <w:t>Memoria Regio Comitato Talassografico Italiano,</w:t>
      </w:r>
      <w:r w:rsidRPr="00950097">
        <w:t xml:space="preserve"> 125.</w:t>
      </w:r>
      <w:bookmarkEnd w:id="666"/>
    </w:p>
    <w:p w14:paraId="5D9E15EB" w14:textId="77777777" w:rsidR="00950097" w:rsidRPr="00950097" w:rsidRDefault="00950097" w:rsidP="00950097">
      <w:pPr>
        <w:pStyle w:val="EndNoteBibliography"/>
        <w:spacing w:after="0"/>
        <w:ind w:left="720" w:hanging="720"/>
      </w:pPr>
      <w:bookmarkStart w:id="667" w:name="_ENREF_267"/>
      <w:r w:rsidRPr="00950097">
        <w:t xml:space="preserve">Sardà, F. (1995) A review (1967-1990) of some aspects of the life history of </w:t>
      </w:r>
      <w:r w:rsidRPr="00950097">
        <w:rPr>
          <w:i/>
        </w:rPr>
        <w:t>Nephrops norvegicus</w:t>
      </w:r>
      <w:r w:rsidRPr="00950097">
        <w:t xml:space="preserve">. </w:t>
      </w:r>
      <w:r w:rsidRPr="00950097">
        <w:rPr>
          <w:i/>
        </w:rPr>
        <w:t>ICES Marine Science Symposia,</w:t>
      </w:r>
      <w:r w:rsidRPr="00950097">
        <w:t xml:space="preserve"> 199</w:t>
      </w:r>
      <w:r w:rsidRPr="00950097">
        <w:rPr>
          <w:b/>
        </w:rPr>
        <w:t>,</w:t>
      </w:r>
      <w:r w:rsidRPr="00950097">
        <w:t xml:space="preserve"> 78-88.</w:t>
      </w:r>
      <w:bookmarkEnd w:id="667"/>
    </w:p>
    <w:p w14:paraId="29D23450" w14:textId="0492CC8D" w:rsidR="00950097" w:rsidRPr="00950097" w:rsidRDefault="00950097" w:rsidP="00950097">
      <w:pPr>
        <w:pStyle w:val="EndNoteBibliography"/>
        <w:spacing w:after="0"/>
        <w:ind w:left="720" w:hanging="720"/>
      </w:pPr>
      <w:bookmarkStart w:id="668" w:name="_ENREF_268"/>
      <w:r w:rsidRPr="00950097">
        <w:t xml:space="preserve">Sargent, J. R., Gatten, R. R. &amp; McIntosh, R. (1977) Wax esters in the marine environment — their occurrence, formation, transformation and ultimate fates. </w:t>
      </w:r>
      <w:r w:rsidRPr="00950097">
        <w:rPr>
          <w:i/>
        </w:rPr>
        <w:t>Marine Chemistry,</w:t>
      </w:r>
      <w:r w:rsidRPr="00950097">
        <w:t xml:space="preserve"> 5(4)</w:t>
      </w:r>
      <w:r w:rsidRPr="00950097">
        <w:rPr>
          <w:b/>
        </w:rPr>
        <w:t>,</w:t>
      </w:r>
      <w:r w:rsidRPr="00950097">
        <w:t xml:space="preserve"> 573-584. </w:t>
      </w:r>
      <w:hyperlink r:id="rId145" w:history="1">
        <w:r w:rsidRPr="00950097">
          <w:rPr>
            <w:rStyle w:val="Hyperlink"/>
          </w:rPr>
          <w:t>https://doi.org/10.1016/0304-4203(77)90043-3</w:t>
        </w:r>
      </w:hyperlink>
      <w:r w:rsidRPr="00950097">
        <w:t>.</w:t>
      </w:r>
      <w:bookmarkEnd w:id="668"/>
    </w:p>
    <w:p w14:paraId="2408F3A6" w14:textId="77777777" w:rsidR="00950097" w:rsidRPr="00950097" w:rsidRDefault="00950097" w:rsidP="00950097">
      <w:pPr>
        <w:pStyle w:val="EndNoteBibliography"/>
        <w:spacing w:after="0"/>
        <w:ind w:left="720" w:hanging="720"/>
      </w:pPr>
      <w:bookmarkStart w:id="669" w:name="_ENREF_269"/>
      <w:r w:rsidRPr="00950097">
        <w:t xml:space="preserve">Sassone-Corsi, M. &amp; Raffatellu, M. (2015) No vacancy: how beneficial microbes cooperate with immunity to provide colonization resistance to pathogens. </w:t>
      </w:r>
      <w:r w:rsidRPr="00950097">
        <w:rPr>
          <w:i/>
        </w:rPr>
        <w:t>Journal of Immunology,</w:t>
      </w:r>
      <w:r w:rsidRPr="00950097">
        <w:t xml:space="preserve"> 194(9)</w:t>
      </w:r>
      <w:r w:rsidRPr="00950097">
        <w:rPr>
          <w:b/>
        </w:rPr>
        <w:t>,</w:t>
      </w:r>
      <w:r w:rsidRPr="00950097">
        <w:t xml:space="preserve"> 4081-4087. 10.4049/jimmunol.1403169.</w:t>
      </w:r>
      <w:bookmarkEnd w:id="669"/>
    </w:p>
    <w:p w14:paraId="6766051B" w14:textId="77777777" w:rsidR="00950097" w:rsidRPr="00950097" w:rsidRDefault="00950097" w:rsidP="00950097">
      <w:pPr>
        <w:pStyle w:val="EndNoteBibliography"/>
        <w:spacing w:after="0"/>
        <w:ind w:left="720" w:hanging="720"/>
      </w:pPr>
      <w:bookmarkStart w:id="670" w:name="_ENREF_270"/>
      <w:r w:rsidRPr="00950097">
        <w:t xml:space="preserve">Sato, S., Hirayama, T. &amp; Hirazawa, N. (2008) Lipid content and fatty acid composition of the monogenean </w:t>
      </w:r>
      <w:r w:rsidRPr="00950097">
        <w:rPr>
          <w:i/>
        </w:rPr>
        <w:t>Neobenedenia girellae</w:t>
      </w:r>
      <w:r w:rsidRPr="00950097">
        <w:t xml:space="preserve"> and comparison between the parasite and host fish species. </w:t>
      </w:r>
      <w:r w:rsidRPr="00950097">
        <w:rPr>
          <w:i/>
        </w:rPr>
        <w:t>Parasitology,</w:t>
      </w:r>
      <w:r w:rsidRPr="00950097">
        <w:t xml:space="preserve"> 135(8)</w:t>
      </w:r>
      <w:r w:rsidRPr="00950097">
        <w:rPr>
          <w:b/>
        </w:rPr>
        <w:t>,</w:t>
      </w:r>
      <w:r w:rsidRPr="00950097">
        <w:t xml:space="preserve"> 967-975. 10.1017/s0031182008004575.</w:t>
      </w:r>
      <w:bookmarkEnd w:id="670"/>
    </w:p>
    <w:p w14:paraId="65E43C1E" w14:textId="77777777" w:rsidR="00950097" w:rsidRPr="00950097" w:rsidRDefault="00950097" w:rsidP="00950097">
      <w:pPr>
        <w:pStyle w:val="EndNoteBibliography"/>
        <w:spacing w:after="0"/>
        <w:ind w:left="720" w:hanging="720"/>
      </w:pPr>
      <w:bookmarkStart w:id="671" w:name="_ENREF_271"/>
      <w:r w:rsidRPr="00950097">
        <w:t xml:space="preserve">Scanes, E., Parker, L. M., Seymour, J. R., Siboni, N., King, W. L., Danckert, N. P., Wegner, K. M., Dove, M. C., O'Connor, W. A. &amp; Ross, P. M. (2021) Climate change alters the haemolymph microbiome of oysters. </w:t>
      </w:r>
      <w:r w:rsidRPr="00950097">
        <w:rPr>
          <w:i/>
        </w:rPr>
        <w:t>Marine Pollution Bulletin,</w:t>
      </w:r>
      <w:r w:rsidRPr="00950097">
        <w:t xml:space="preserve"> 164(December 2020)</w:t>
      </w:r>
      <w:r w:rsidRPr="00950097">
        <w:rPr>
          <w:b/>
        </w:rPr>
        <w:t>,</w:t>
      </w:r>
      <w:r w:rsidRPr="00950097">
        <w:t xml:space="preserve"> 111991-111991. 10.1016/j.marpolbul.2021.111991.</w:t>
      </w:r>
      <w:bookmarkEnd w:id="671"/>
    </w:p>
    <w:p w14:paraId="789CC3CE" w14:textId="77777777" w:rsidR="00950097" w:rsidRPr="00950097" w:rsidRDefault="00950097" w:rsidP="00950097">
      <w:pPr>
        <w:pStyle w:val="EndNoteBibliography"/>
        <w:spacing w:after="0"/>
        <w:ind w:left="720" w:hanging="720"/>
      </w:pPr>
      <w:bookmarkStart w:id="672" w:name="_ENREF_272"/>
      <w:r w:rsidRPr="00950097">
        <w:t xml:space="preserve">Schloss, P. D., Westcott, S. L., Ryabin, T., Hall, J. R., Hartmann, M., Hollister, E. B., Lesniewski, R. A., Oakley, B. B., Parks, D. H., Robinson, C. J., Sahl, J. W., Stres, B., Thallinger, G. G., Van Horn, D. J. &amp; Weber, C. F. (2009) Introducing mothur: Open-Source, Platform-Independent, Community-Supported Software for Describing and Comparing Microbial Communities. </w:t>
      </w:r>
      <w:r w:rsidRPr="00950097">
        <w:rPr>
          <w:i/>
        </w:rPr>
        <w:t>Applied and Environmental Microbiology,</w:t>
      </w:r>
      <w:r w:rsidRPr="00950097">
        <w:t xml:space="preserve"> 75(23)</w:t>
      </w:r>
      <w:r w:rsidRPr="00950097">
        <w:rPr>
          <w:b/>
        </w:rPr>
        <w:t>,</w:t>
      </w:r>
      <w:r w:rsidRPr="00950097">
        <w:t xml:space="preserve"> 7537. 10.1128/AEM.01541-09.</w:t>
      </w:r>
      <w:bookmarkEnd w:id="672"/>
    </w:p>
    <w:p w14:paraId="1A769510" w14:textId="250A7442" w:rsidR="00950097" w:rsidRPr="00950097" w:rsidRDefault="00950097" w:rsidP="00950097">
      <w:pPr>
        <w:pStyle w:val="EndNoteBibliography"/>
        <w:spacing w:after="0"/>
        <w:ind w:left="720" w:hanging="720"/>
      </w:pPr>
      <w:bookmarkStart w:id="673" w:name="_ENREF_273"/>
      <w:r w:rsidRPr="00950097">
        <w:t xml:space="preserve">Scottish Government (2021) </w:t>
      </w:r>
      <w:r w:rsidRPr="00950097">
        <w:rPr>
          <w:i/>
        </w:rPr>
        <w:t>Scottish marine and freshwater science volume 3 number 3: Clyde ecosystem review</w:t>
      </w:r>
      <w:r w:rsidRPr="00950097">
        <w:t xml:space="preserve">. Scottish Government. Available at: </w:t>
      </w:r>
      <w:hyperlink r:id="rId146" w:anchor="fig3.1" w:history="1">
        <w:r w:rsidRPr="00950097">
          <w:rPr>
            <w:rStyle w:val="Hyperlink"/>
          </w:rPr>
          <w:t>https://www.gov.scot/publications/scottish-marine-freshwater-science-volume-3-number-3-clyde-ecosystem/pages/3/#fig3.1</w:t>
        </w:r>
      </w:hyperlink>
      <w:r w:rsidRPr="00950097">
        <w:t>.</w:t>
      </w:r>
      <w:bookmarkEnd w:id="673"/>
    </w:p>
    <w:p w14:paraId="2E235B00" w14:textId="77777777" w:rsidR="00950097" w:rsidRPr="00950097" w:rsidRDefault="00950097" w:rsidP="00950097">
      <w:pPr>
        <w:pStyle w:val="EndNoteBibliography"/>
        <w:spacing w:after="0"/>
        <w:ind w:left="720" w:hanging="720"/>
      </w:pPr>
      <w:bookmarkStart w:id="674" w:name="_ENREF_274"/>
      <w:r w:rsidRPr="00950097">
        <w:t xml:space="preserve">Sea Food Scotland (2021) Scottish </w:t>
      </w:r>
      <w:r w:rsidRPr="00950097">
        <w:rPr>
          <w:i/>
        </w:rPr>
        <w:t xml:space="preserve">Nephrops </w:t>
      </w:r>
      <w:r w:rsidRPr="00950097">
        <w:t>industry -recommendations to develop a profitable, sustainable, and equitable supply chain.</w:t>
      </w:r>
      <w:bookmarkEnd w:id="674"/>
    </w:p>
    <w:p w14:paraId="3595F126" w14:textId="77777777" w:rsidR="00950097" w:rsidRPr="00950097" w:rsidRDefault="00950097" w:rsidP="00950097">
      <w:pPr>
        <w:pStyle w:val="EndNoteBibliography"/>
        <w:spacing w:after="0"/>
        <w:ind w:left="720" w:hanging="720"/>
      </w:pPr>
      <w:bookmarkStart w:id="675" w:name="_ENREF_275"/>
      <w:r w:rsidRPr="00950097">
        <w:t xml:space="preserve">Shao, J., Wang, B., Liu, M., Jiang, K., Wang, L. &amp; Wang, M. (2019) Replacement of fishmeal by fermented soybean meal could enhance the growth performance but not significantly influence the intestinal microbiota of white shrimp </w:t>
      </w:r>
      <w:r w:rsidRPr="00950097">
        <w:rPr>
          <w:i/>
        </w:rPr>
        <w:t>Litopenaeus vannamei</w:t>
      </w:r>
      <w:r w:rsidRPr="00950097">
        <w:t xml:space="preserve">. </w:t>
      </w:r>
      <w:r w:rsidRPr="00950097">
        <w:rPr>
          <w:i/>
        </w:rPr>
        <w:t>Aquaculture,</w:t>
      </w:r>
      <w:r w:rsidRPr="00950097">
        <w:t xml:space="preserve"> 504</w:t>
      </w:r>
      <w:r w:rsidRPr="00950097">
        <w:rPr>
          <w:b/>
        </w:rPr>
        <w:t>,</w:t>
      </w:r>
      <w:r w:rsidRPr="00950097">
        <w:t xml:space="preserve"> 354-360. 10.1016/j.aquaculture.2019.02.011.</w:t>
      </w:r>
      <w:bookmarkEnd w:id="675"/>
    </w:p>
    <w:p w14:paraId="2483E3A3" w14:textId="77777777" w:rsidR="00950097" w:rsidRPr="00950097" w:rsidRDefault="00950097" w:rsidP="00950097">
      <w:pPr>
        <w:pStyle w:val="EndNoteBibliography"/>
        <w:spacing w:after="0"/>
        <w:ind w:left="720" w:hanging="720"/>
      </w:pPr>
      <w:bookmarkStart w:id="676" w:name="_ENREF_276"/>
      <w:r w:rsidRPr="00950097">
        <w:t xml:space="preserve">Sheppard, M., Walker, A. N., Frischer, M. E. &amp; Lee, R. F. (2003) Histopathology and prevalence of the parasitic dinoflagellate, </w:t>
      </w:r>
      <w:r w:rsidRPr="00950097">
        <w:rPr>
          <w:i/>
        </w:rPr>
        <w:t>Hematodinium</w:t>
      </w:r>
      <w:r w:rsidRPr="00950097">
        <w:t xml:space="preserve"> sp. in crabs (</w:t>
      </w:r>
      <w:r w:rsidRPr="00950097">
        <w:rPr>
          <w:i/>
        </w:rPr>
        <w:t>Callinectes sapidus</w:t>
      </w:r>
      <w:r w:rsidRPr="00950097">
        <w:t xml:space="preserve">, </w:t>
      </w:r>
      <w:r w:rsidRPr="00950097">
        <w:rPr>
          <w:i/>
        </w:rPr>
        <w:t>Callinectes similis</w:t>
      </w:r>
      <w:r w:rsidRPr="00950097">
        <w:t xml:space="preserve">, </w:t>
      </w:r>
      <w:r w:rsidRPr="00950097">
        <w:rPr>
          <w:i/>
        </w:rPr>
        <w:t>Neopanope sayi</w:t>
      </w:r>
      <w:r w:rsidRPr="00950097">
        <w:t xml:space="preserve">, </w:t>
      </w:r>
      <w:r w:rsidRPr="00950097">
        <w:rPr>
          <w:i/>
        </w:rPr>
        <w:t>Libinia emarginata</w:t>
      </w:r>
      <w:r w:rsidRPr="00950097">
        <w:t xml:space="preserve">, </w:t>
      </w:r>
      <w:r w:rsidRPr="00950097">
        <w:rPr>
          <w:i/>
        </w:rPr>
        <w:t>Menippe mercenaria</w:t>
      </w:r>
      <w:r w:rsidRPr="00950097">
        <w:t xml:space="preserve">) from a Georgia Estuary. </w:t>
      </w:r>
      <w:r w:rsidRPr="00950097">
        <w:rPr>
          <w:i/>
        </w:rPr>
        <w:t>Journal of Shellfish Research,</w:t>
      </w:r>
      <w:r w:rsidRPr="00950097">
        <w:t xml:space="preserve"> 22(3)</w:t>
      </w:r>
      <w:r w:rsidRPr="00950097">
        <w:rPr>
          <w:b/>
        </w:rPr>
        <w:t>,</w:t>
      </w:r>
      <w:r w:rsidRPr="00950097">
        <w:t xml:space="preserve"> 873-880. 10.2983/035.029.0302.</w:t>
      </w:r>
      <w:bookmarkEnd w:id="676"/>
    </w:p>
    <w:p w14:paraId="2D399F89" w14:textId="77777777" w:rsidR="00950097" w:rsidRPr="00950097" w:rsidRDefault="00950097" w:rsidP="00950097">
      <w:pPr>
        <w:pStyle w:val="EndNoteBibliography"/>
        <w:spacing w:after="0"/>
        <w:ind w:left="720" w:hanging="720"/>
      </w:pPr>
      <w:bookmarkStart w:id="677" w:name="_ENREF_277"/>
      <w:r w:rsidRPr="00950097">
        <w:t xml:space="preserve">Sherratt, S. C. R., Juliano, R. A., Copland, C., Bhatt, D. L., Libby, P. &amp; Mason, R. P. (2021) EPA and DHA containing phospholipids have contrasting effects on membrane structure. </w:t>
      </w:r>
      <w:r w:rsidRPr="00950097">
        <w:rPr>
          <w:i/>
        </w:rPr>
        <w:t>Journal of Lipid Research,</w:t>
      </w:r>
      <w:r w:rsidRPr="00950097">
        <w:t xml:space="preserve"> 62</w:t>
      </w:r>
      <w:r w:rsidRPr="00950097">
        <w:rPr>
          <w:b/>
        </w:rPr>
        <w:t>,</w:t>
      </w:r>
      <w:r w:rsidRPr="00950097">
        <w:t xml:space="preserve"> 100106. 10.1016/j.jlr.2021.100106.</w:t>
      </w:r>
      <w:bookmarkEnd w:id="677"/>
    </w:p>
    <w:p w14:paraId="172EB326" w14:textId="77777777" w:rsidR="00950097" w:rsidRPr="00950097" w:rsidRDefault="00950097" w:rsidP="00950097">
      <w:pPr>
        <w:pStyle w:val="EndNoteBibliography"/>
        <w:spacing w:after="0"/>
        <w:ind w:left="720" w:hanging="720"/>
      </w:pPr>
      <w:bookmarkStart w:id="678" w:name="_ENREF_278"/>
      <w:r w:rsidRPr="00950097">
        <w:t xml:space="preserve">Shields, J. D. (1994) The parasitic dinoflagellates of marine crustaceans. </w:t>
      </w:r>
      <w:r w:rsidRPr="00950097">
        <w:rPr>
          <w:i/>
        </w:rPr>
        <w:t>Annual Review of Fish Diseases,</w:t>
      </w:r>
      <w:r w:rsidRPr="00950097">
        <w:t xml:space="preserve"> 4</w:t>
      </w:r>
      <w:r w:rsidRPr="00950097">
        <w:rPr>
          <w:b/>
        </w:rPr>
        <w:t>,</w:t>
      </w:r>
      <w:r w:rsidRPr="00950097">
        <w:t xml:space="preserve"> 241-271. 10.1016/0959-8030(94)90031-0.</w:t>
      </w:r>
      <w:bookmarkEnd w:id="678"/>
    </w:p>
    <w:p w14:paraId="0743AC9B" w14:textId="77777777" w:rsidR="00950097" w:rsidRPr="00950097" w:rsidRDefault="00950097" w:rsidP="00950097">
      <w:pPr>
        <w:pStyle w:val="EndNoteBibliography"/>
        <w:spacing w:after="0"/>
        <w:ind w:left="720" w:hanging="720"/>
      </w:pPr>
      <w:bookmarkStart w:id="679" w:name="_ENREF_279"/>
      <w:r w:rsidRPr="00950097">
        <w:t xml:space="preserve">Shields, J. D. (2019) Climate change enhances disease processes in crustaceans: case studies in lobsters, crabs, and shrimps. </w:t>
      </w:r>
      <w:r w:rsidRPr="00950097">
        <w:rPr>
          <w:i/>
        </w:rPr>
        <w:t>Journal of Crustacean Biology</w:t>
      </w:r>
      <w:r w:rsidRPr="00950097">
        <w:t>. 10.1093/jcbiol/ruz072.</w:t>
      </w:r>
      <w:bookmarkEnd w:id="679"/>
    </w:p>
    <w:p w14:paraId="7D6DC304" w14:textId="77777777" w:rsidR="00950097" w:rsidRPr="00950097" w:rsidRDefault="00950097" w:rsidP="00950097">
      <w:pPr>
        <w:pStyle w:val="EndNoteBibliography"/>
        <w:spacing w:after="0"/>
        <w:ind w:left="720" w:hanging="720"/>
      </w:pPr>
      <w:bookmarkStart w:id="680" w:name="_ENREF_280"/>
      <w:r w:rsidRPr="00950097">
        <w:t xml:space="preserve">Shields, J. D., Huchin-Mian, J. P., O'Leary, P. A. &amp; Small, H. J. (2017) New insight into the transmission dynamics of the crustacean pathogen </w:t>
      </w:r>
      <w:r w:rsidRPr="00950097">
        <w:rPr>
          <w:i/>
        </w:rPr>
        <w:t>Hematodinium perezi</w:t>
      </w:r>
      <w:r w:rsidRPr="00950097">
        <w:t xml:space="preserve"> (Dinoflagellata) using a novel sentinel methodology. </w:t>
      </w:r>
      <w:r w:rsidRPr="00950097">
        <w:rPr>
          <w:i/>
        </w:rPr>
        <w:t>Marine Ecology Progress Series,</w:t>
      </w:r>
      <w:r w:rsidRPr="00950097">
        <w:t xml:space="preserve"> 573</w:t>
      </w:r>
      <w:r w:rsidRPr="00950097">
        <w:rPr>
          <w:b/>
        </w:rPr>
        <w:t>,</w:t>
      </w:r>
      <w:r w:rsidRPr="00950097">
        <w:t xml:space="preserve"> 73-84. 10.3354/meps12175.</w:t>
      </w:r>
      <w:bookmarkEnd w:id="680"/>
    </w:p>
    <w:p w14:paraId="3C089750" w14:textId="77777777" w:rsidR="00950097" w:rsidRPr="00950097" w:rsidRDefault="00950097" w:rsidP="00950097">
      <w:pPr>
        <w:pStyle w:val="EndNoteBibliography"/>
        <w:spacing w:after="0"/>
        <w:ind w:left="720" w:hanging="720"/>
      </w:pPr>
      <w:bookmarkStart w:id="681" w:name="_ENREF_281"/>
      <w:r w:rsidRPr="00950097">
        <w:t xml:space="preserve">Shields, J. D., Scanlon, C. &amp; Volety, A. (2003) Aspects of the pathophysiology of blue crabs, </w:t>
      </w:r>
      <w:r w:rsidRPr="00950097">
        <w:rPr>
          <w:i/>
        </w:rPr>
        <w:t>Callinectes sapidus</w:t>
      </w:r>
      <w:r w:rsidRPr="00950097">
        <w:t xml:space="preserve">, infected with the parasitic dinoflagellate </w:t>
      </w:r>
      <w:r w:rsidRPr="00950097">
        <w:rPr>
          <w:i/>
        </w:rPr>
        <w:t>Hematodinium perezi</w:t>
      </w:r>
      <w:r w:rsidRPr="00950097">
        <w:t xml:space="preserve">. </w:t>
      </w:r>
      <w:r w:rsidRPr="00950097">
        <w:rPr>
          <w:i/>
        </w:rPr>
        <w:t>Bulletin of Marine Science,</w:t>
      </w:r>
      <w:r w:rsidRPr="00950097">
        <w:t xml:space="preserve"> 72(2)</w:t>
      </w:r>
      <w:r w:rsidRPr="00950097">
        <w:rPr>
          <w:b/>
        </w:rPr>
        <w:t>,</w:t>
      </w:r>
      <w:r w:rsidRPr="00950097">
        <w:t xml:space="preserve"> 519-535.</w:t>
      </w:r>
      <w:bookmarkEnd w:id="681"/>
    </w:p>
    <w:p w14:paraId="1F6DC3E8" w14:textId="77777777" w:rsidR="00950097" w:rsidRPr="00950097" w:rsidRDefault="00950097" w:rsidP="00950097">
      <w:pPr>
        <w:pStyle w:val="EndNoteBibliography"/>
        <w:spacing w:after="0"/>
        <w:ind w:left="720" w:hanging="720"/>
      </w:pPr>
      <w:bookmarkStart w:id="682" w:name="_ENREF_282"/>
      <w:r w:rsidRPr="00950097">
        <w:t xml:space="preserve">Shields, J. D. &amp; Squyars, C. M. (2000) Mortality and hematology of blue crabs, </w:t>
      </w:r>
      <w:r w:rsidRPr="00950097">
        <w:rPr>
          <w:i/>
        </w:rPr>
        <w:t>Callinectes sapidus</w:t>
      </w:r>
      <w:r w:rsidRPr="00950097">
        <w:t>, experimentally infected with the parasitic dinoflagellate</w:t>
      </w:r>
      <w:r w:rsidRPr="00950097">
        <w:rPr>
          <w:i/>
        </w:rPr>
        <w:t xml:space="preserve"> Hematodinium perezi</w:t>
      </w:r>
      <w:r w:rsidRPr="00950097">
        <w:t xml:space="preserve">. </w:t>
      </w:r>
      <w:r w:rsidRPr="00950097">
        <w:rPr>
          <w:i/>
        </w:rPr>
        <w:t>Fishery Bulletin,</w:t>
      </w:r>
      <w:r w:rsidRPr="00950097">
        <w:t xml:space="preserve"> 98(1)</w:t>
      </w:r>
      <w:r w:rsidRPr="00950097">
        <w:rPr>
          <w:b/>
        </w:rPr>
        <w:t>,</w:t>
      </w:r>
      <w:r w:rsidRPr="00950097">
        <w:t xml:space="preserve"> 139-152.</w:t>
      </w:r>
      <w:bookmarkEnd w:id="682"/>
    </w:p>
    <w:p w14:paraId="1AE07470" w14:textId="77777777" w:rsidR="00950097" w:rsidRPr="00950097" w:rsidRDefault="00950097" w:rsidP="00950097">
      <w:pPr>
        <w:pStyle w:val="EndNoteBibliography"/>
        <w:spacing w:after="0"/>
        <w:ind w:left="720" w:hanging="720"/>
      </w:pPr>
      <w:bookmarkStart w:id="683" w:name="_ENREF_283"/>
      <w:r w:rsidRPr="00950097">
        <w:t xml:space="preserve">Shields, J. D., Sullivan, S. E. &amp; Small, H. J. (2015) Overwintering of the parasitic dinoflagellate </w:t>
      </w:r>
      <w:r w:rsidRPr="00950097">
        <w:rPr>
          <w:i/>
        </w:rPr>
        <w:t xml:space="preserve">Hematodinium perezi </w:t>
      </w:r>
      <w:r w:rsidRPr="00950097">
        <w:t>in dredged blue crabs (</w:t>
      </w:r>
      <w:r w:rsidRPr="00950097">
        <w:rPr>
          <w:i/>
        </w:rPr>
        <w:t>Callinectes sapidus</w:t>
      </w:r>
      <w:r w:rsidRPr="00950097">
        <w:t xml:space="preserve">) from Wachapreague Creek, Virginia. </w:t>
      </w:r>
      <w:r w:rsidRPr="00950097">
        <w:rPr>
          <w:i/>
        </w:rPr>
        <w:t>Journal of Invertebrate Pathology,</w:t>
      </w:r>
      <w:r w:rsidRPr="00950097">
        <w:t xml:space="preserve"> 130</w:t>
      </w:r>
      <w:r w:rsidRPr="00950097">
        <w:rPr>
          <w:b/>
        </w:rPr>
        <w:t>,</w:t>
      </w:r>
      <w:r w:rsidRPr="00950097">
        <w:t xml:space="preserve"> 124-32. 10.1016/j.jip.2015.07.013.</w:t>
      </w:r>
      <w:bookmarkEnd w:id="683"/>
    </w:p>
    <w:p w14:paraId="49319EFA" w14:textId="77777777" w:rsidR="00950097" w:rsidRPr="00950097" w:rsidRDefault="00950097" w:rsidP="00950097">
      <w:pPr>
        <w:pStyle w:val="EndNoteBibliography"/>
        <w:spacing w:after="0"/>
        <w:ind w:left="720" w:hanging="720"/>
      </w:pPr>
      <w:bookmarkStart w:id="684" w:name="_ENREF_284"/>
      <w:r w:rsidRPr="00950097">
        <w:t xml:space="preserve">Shum, P., Wäge-Recchioni, J., Sellers, G. S., Johnson, M. L. &amp; Joyce, D. A. (2023) DNA metabarcoding reveals the dietary profiles of a benthic marine crustacean, Nephrops norvegicus. </w:t>
      </w:r>
      <w:r w:rsidRPr="00950097">
        <w:rPr>
          <w:i/>
        </w:rPr>
        <w:t>bioRxiv</w:t>
      </w:r>
      <w:r w:rsidRPr="00950097">
        <w:rPr>
          <w:b/>
        </w:rPr>
        <w:t>,</w:t>
      </w:r>
      <w:r w:rsidRPr="00950097">
        <w:t xml:space="preserve"> 2022.12.14.520264-2022.12.14.520264. 10.1101/2022.12.14.520264.</w:t>
      </w:r>
      <w:bookmarkEnd w:id="684"/>
    </w:p>
    <w:p w14:paraId="32C02B24" w14:textId="77777777" w:rsidR="00950097" w:rsidRPr="00950097" w:rsidRDefault="00950097" w:rsidP="00950097">
      <w:pPr>
        <w:pStyle w:val="EndNoteBibliography"/>
        <w:spacing w:after="0"/>
        <w:ind w:left="720" w:hanging="720"/>
      </w:pPr>
      <w:bookmarkStart w:id="685" w:name="_ENREF_285"/>
      <w:r w:rsidRPr="00950097">
        <w:t xml:space="preserve">Shunmugam, S., Arnold, C. S., Dass, S., Nicholas, J. K. &amp; Botté, C. Y. (2022) The flexibility of Apicomplexa parasites in lipid metabolism. </w:t>
      </w:r>
      <w:r w:rsidRPr="00950097">
        <w:rPr>
          <w:i/>
        </w:rPr>
        <w:t>PLOS  Pathogens,</w:t>
      </w:r>
      <w:r w:rsidRPr="00950097">
        <w:t xml:space="preserve"> 18(3). 10.1371/JOURNAL.PPAT.1010313.</w:t>
      </w:r>
      <w:bookmarkEnd w:id="685"/>
    </w:p>
    <w:p w14:paraId="71386DFA" w14:textId="77777777" w:rsidR="00950097" w:rsidRPr="00950097" w:rsidRDefault="00950097" w:rsidP="00950097">
      <w:pPr>
        <w:pStyle w:val="EndNoteBibliography"/>
        <w:spacing w:after="0"/>
        <w:ind w:left="720" w:hanging="720"/>
      </w:pPr>
      <w:bookmarkStart w:id="686" w:name="_ENREF_286"/>
      <w:r w:rsidRPr="00950097">
        <w:t xml:space="preserve">Sikorskaya, T. V., Efimova, K. V. &amp; Imbs, A. B. (2021) Lipidomes of phylogenetically different symbiotic dinoflagellates of corals. </w:t>
      </w:r>
      <w:r w:rsidRPr="00950097">
        <w:rPr>
          <w:i/>
        </w:rPr>
        <w:t>Phytochemistry,</w:t>
      </w:r>
      <w:r w:rsidRPr="00950097">
        <w:t xml:space="preserve"> 181</w:t>
      </w:r>
      <w:r w:rsidRPr="00950097">
        <w:rPr>
          <w:b/>
        </w:rPr>
        <w:t>,</w:t>
      </w:r>
      <w:r w:rsidRPr="00950097">
        <w:t xml:space="preserve"> 112579. 10.1016/j.phytochem.2020.112579.</w:t>
      </w:r>
      <w:bookmarkEnd w:id="686"/>
    </w:p>
    <w:p w14:paraId="08E0F1AB" w14:textId="77777777" w:rsidR="00950097" w:rsidRPr="00950097" w:rsidRDefault="00950097" w:rsidP="00950097">
      <w:pPr>
        <w:pStyle w:val="EndNoteBibliography"/>
        <w:spacing w:after="0"/>
        <w:ind w:left="720" w:hanging="720"/>
      </w:pPr>
      <w:bookmarkStart w:id="687" w:name="_ENREF_287"/>
      <w:r w:rsidRPr="00950097">
        <w:t xml:space="preserve">Singh, V., Jamwal, S., Jain, R., Verma, P., Gokhale, R. &amp; Rao, K. V. S. (2012) </w:t>
      </w:r>
      <w:r w:rsidRPr="00950097">
        <w:rPr>
          <w:i/>
        </w:rPr>
        <w:t>Mycobacterium tuberculosis</w:t>
      </w:r>
      <w:r w:rsidRPr="00950097">
        <w:t xml:space="preserve">-driven targeted recalibration of macrophage lipid homeostasis promotes the foamy phenotype. </w:t>
      </w:r>
      <w:r w:rsidRPr="00950097">
        <w:rPr>
          <w:i/>
        </w:rPr>
        <w:t>Cell Host and Microbe,</w:t>
      </w:r>
      <w:r w:rsidRPr="00950097">
        <w:t xml:space="preserve"> 12(5)</w:t>
      </w:r>
      <w:r w:rsidRPr="00950097">
        <w:rPr>
          <w:b/>
        </w:rPr>
        <w:t>,</w:t>
      </w:r>
      <w:r w:rsidRPr="00950097">
        <w:t xml:space="preserve"> 669-681. 10.1016/J.CHOM.2012.09.012.</w:t>
      </w:r>
      <w:bookmarkEnd w:id="687"/>
    </w:p>
    <w:p w14:paraId="7FE3D6A9" w14:textId="77777777" w:rsidR="00950097" w:rsidRPr="00950097" w:rsidRDefault="00950097" w:rsidP="00950097">
      <w:pPr>
        <w:pStyle w:val="EndNoteBibliography"/>
        <w:spacing w:after="0"/>
        <w:ind w:left="720" w:hanging="720"/>
      </w:pPr>
      <w:bookmarkStart w:id="688" w:name="_ENREF_288"/>
      <w:r w:rsidRPr="00950097">
        <w:t xml:space="preserve">Small, H. J. (2004) </w:t>
      </w:r>
      <w:r w:rsidRPr="00950097">
        <w:rPr>
          <w:i/>
        </w:rPr>
        <w:t>Infections of the Norway lobster, Nephrops norvegicus (L.) by dinoflagellate and ciliate parasites.</w:t>
      </w:r>
      <w:r w:rsidRPr="00950097">
        <w:t xml:space="preserve">  University of Glasgow.</w:t>
      </w:r>
      <w:bookmarkEnd w:id="688"/>
    </w:p>
    <w:p w14:paraId="5563F4D2" w14:textId="77777777" w:rsidR="00950097" w:rsidRPr="00950097" w:rsidRDefault="00950097" w:rsidP="00950097">
      <w:pPr>
        <w:pStyle w:val="EndNoteBibliography"/>
        <w:spacing w:after="0"/>
        <w:ind w:left="720" w:hanging="720"/>
      </w:pPr>
      <w:bookmarkStart w:id="689" w:name="_ENREF_289"/>
      <w:r w:rsidRPr="00950097">
        <w:t xml:space="preserve">Small, H. J. (2012) Advances in our understanding of the global diversity and distribution of </w:t>
      </w:r>
      <w:r w:rsidRPr="00950097">
        <w:rPr>
          <w:i/>
        </w:rPr>
        <w:t>Hematodinium</w:t>
      </w:r>
      <w:r w:rsidRPr="00950097">
        <w:t xml:space="preserve"> spp. – Significant pathogens of commercially exploited crustaceans. </w:t>
      </w:r>
      <w:r w:rsidRPr="00950097">
        <w:rPr>
          <w:i/>
        </w:rPr>
        <w:t>Journal of Invertebrate Pathology,</w:t>
      </w:r>
      <w:r w:rsidRPr="00950097">
        <w:t xml:space="preserve"> 110(2)</w:t>
      </w:r>
      <w:r w:rsidRPr="00950097">
        <w:rPr>
          <w:b/>
        </w:rPr>
        <w:t>,</w:t>
      </w:r>
      <w:r w:rsidRPr="00950097">
        <w:t xml:space="preserve"> 234-246. 10.1016/J.JIP.2012.03.012.</w:t>
      </w:r>
      <w:bookmarkEnd w:id="689"/>
    </w:p>
    <w:p w14:paraId="29A861CF" w14:textId="77777777" w:rsidR="00950097" w:rsidRPr="00950097" w:rsidRDefault="00950097" w:rsidP="00950097">
      <w:pPr>
        <w:pStyle w:val="EndNoteBibliography"/>
        <w:spacing w:after="0"/>
        <w:ind w:left="720" w:hanging="720"/>
      </w:pPr>
      <w:bookmarkStart w:id="690" w:name="_ENREF_290"/>
      <w:r w:rsidRPr="00950097">
        <w:t xml:space="preserve">Small, H. J., Neil, D. M., Taylor, A. C., Atkinson, R. J. A. &amp; Coombs, G. H. (2006) Molecular detection of </w:t>
      </w:r>
      <w:r w:rsidRPr="00950097">
        <w:rPr>
          <w:i/>
        </w:rPr>
        <w:t xml:space="preserve">Hematodinium </w:t>
      </w:r>
      <w:r w:rsidRPr="00950097">
        <w:t xml:space="preserve">spp. in Norway lobster </w:t>
      </w:r>
      <w:r w:rsidRPr="00950097">
        <w:rPr>
          <w:i/>
        </w:rPr>
        <w:t>Nephrops norvegicu</w:t>
      </w:r>
      <w:r w:rsidRPr="00950097">
        <w:t xml:space="preserve">s and other crustaceans. </w:t>
      </w:r>
      <w:r w:rsidRPr="00950097">
        <w:rPr>
          <w:i/>
        </w:rPr>
        <w:t>Diseases of Aquatic Organisms,</w:t>
      </w:r>
      <w:r w:rsidRPr="00950097">
        <w:t xml:space="preserve"> 69(2-3)</w:t>
      </w:r>
      <w:r w:rsidRPr="00950097">
        <w:rPr>
          <w:b/>
        </w:rPr>
        <w:t>,</w:t>
      </w:r>
      <w:r w:rsidRPr="00950097">
        <w:t xml:space="preserve"> 185-195. 10.3354/dao069185.</w:t>
      </w:r>
      <w:bookmarkEnd w:id="690"/>
    </w:p>
    <w:p w14:paraId="2E414697" w14:textId="77777777" w:rsidR="00950097" w:rsidRPr="00950097" w:rsidRDefault="00950097" w:rsidP="00950097">
      <w:pPr>
        <w:pStyle w:val="EndNoteBibliography"/>
        <w:spacing w:after="0"/>
        <w:ind w:left="720" w:hanging="720"/>
      </w:pPr>
      <w:bookmarkStart w:id="691" w:name="_ENREF_291"/>
      <w:r w:rsidRPr="00950097">
        <w:t xml:space="preserve">Small, H. J., Shields, J. D., Hudson, K. L. &amp; Reece, K. S. (2007a) Molecular detection of </w:t>
      </w:r>
      <w:r w:rsidRPr="00950097">
        <w:rPr>
          <w:i/>
        </w:rPr>
        <w:t xml:space="preserve">Hematodinium </w:t>
      </w:r>
      <w:r w:rsidRPr="00950097">
        <w:t xml:space="preserve">sp. infecting the blue crab, </w:t>
      </w:r>
      <w:r w:rsidRPr="00950097">
        <w:rPr>
          <w:i/>
        </w:rPr>
        <w:t>Callinectes sapidus</w:t>
      </w:r>
      <w:r w:rsidRPr="00950097">
        <w:t xml:space="preserve">. </w:t>
      </w:r>
      <w:r w:rsidRPr="00950097">
        <w:rPr>
          <w:i/>
        </w:rPr>
        <w:t>Journal of Shellfish Research,</w:t>
      </w:r>
      <w:r w:rsidRPr="00950097">
        <w:t xml:space="preserve"> 26(1)</w:t>
      </w:r>
      <w:r w:rsidRPr="00950097">
        <w:rPr>
          <w:b/>
        </w:rPr>
        <w:t>,</w:t>
      </w:r>
      <w:r w:rsidRPr="00950097">
        <w:t xml:space="preserve"> 131-139. 10.2983/0730-8000(2007)26[131:mdohsi]2.0.co;2.</w:t>
      </w:r>
      <w:bookmarkEnd w:id="691"/>
    </w:p>
    <w:p w14:paraId="61CC88F3" w14:textId="77777777" w:rsidR="00950097" w:rsidRPr="00950097" w:rsidRDefault="00950097" w:rsidP="00950097">
      <w:pPr>
        <w:pStyle w:val="EndNoteBibliography"/>
        <w:spacing w:after="0"/>
        <w:ind w:left="720" w:hanging="720"/>
      </w:pPr>
      <w:bookmarkStart w:id="692" w:name="_ENREF_292"/>
      <w:r w:rsidRPr="00950097">
        <w:t xml:space="preserve">Small, H. J., Shields, J. D., Moss, J. A. &amp; Reece, K. S. (2007b) Conservation in the first internal transcribed spacer region (ITS1) in </w:t>
      </w:r>
      <w:r w:rsidRPr="00950097">
        <w:rPr>
          <w:i/>
        </w:rPr>
        <w:t xml:space="preserve">Hematodinium </w:t>
      </w:r>
      <w:r w:rsidRPr="00950097">
        <w:t xml:space="preserve">species infecting crustacean hosts found in the UK and Newfoundland. </w:t>
      </w:r>
      <w:r w:rsidRPr="00950097">
        <w:rPr>
          <w:i/>
        </w:rPr>
        <w:t>Diseases of Aquatic Organisms,</w:t>
      </w:r>
      <w:r w:rsidRPr="00950097">
        <w:t xml:space="preserve"> 75(3)</w:t>
      </w:r>
      <w:r w:rsidRPr="00950097">
        <w:rPr>
          <w:b/>
        </w:rPr>
        <w:t>,</w:t>
      </w:r>
      <w:r w:rsidRPr="00950097">
        <w:t xml:space="preserve"> 251-258. 10.3354/dao075251.</w:t>
      </w:r>
      <w:bookmarkEnd w:id="692"/>
    </w:p>
    <w:p w14:paraId="2AA23CF5" w14:textId="77777777" w:rsidR="00950097" w:rsidRPr="00950097" w:rsidRDefault="00950097" w:rsidP="00950097">
      <w:pPr>
        <w:pStyle w:val="EndNoteBibliography"/>
        <w:spacing w:after="0"/>
        <w:ind w:left="720" w:hanging="720"/>
      </w:pPr>
      <w:bookmarkStart w:id="693" w:name="_ENREF_293"/>
      <w:r w:rsidRPr="00950097">
        <w:t xml:space="preserve">Small, H. J., Wilson, S., Neil, D. M., Hagan, P. &amp; Coombs, G. H. (2002) Detection of the parasitic dinoflagellate </w:t>
      </w:r>
      <w:r w:rsidRPr="00950097">
        <w:rPr>
          <w:i/>
        </w:rPr>
        <w:t>Hematodinium</w:t>
      </w:r>
      <w:r w:rsidRPr="00950097">
        <w:t xml:space="preserve"> in the Norway lobster </w:t>
      </w:r>
      <w:r w:rsidRPr="00950097">
        <w:rPr>
          <w:i/>
        </w:rPr>
        <w:t>Nephrops norvegicus</w:t>
      </w:r>
      <w:r w:rsidRPr="00950097">
        <w:t xml:space="preserve"> by ELISA. </w:t>
      </w:r>
      <w:r w:rsidRPr="00950097">
        <w:rPr>
          <w:i/>
        </w:rPr>
        <w:t>Diseases of Aquatic Organisms,</w:t>
      </w:r>
      <w:r w:rsidRPr="00950097">
        <w:t xml:space="preserve"> 52(2)</w:t>
      </w:r>
      <w:r w:rsidRPr="00950097">
        <w:rPr>
          <w:b/>
        </w:rPr>
        <w:t>,</w:t>
      </w:r>
      <w:r w:rsidRPr="00950097">
        <w:t xml:space="preserve"> 175-177. 10.3354/DAO052175.</w:t>
      </w:r>
      <w:bookmarkEnd w:id="693"/>
    </w:p>
    <w:p w14:paraId="6F9AF4F3" w14:textId="77777777" w:rsidR="00950097" w:rsidRPr="00950097" w:rsidRDefault="00950097" w:rsidP="00950097">
      <w:pPr>
        <w:pStyle w:val="EndNoteBibliography"/>
        <w:spacing w:after="0"/>
        <w:ind w:left="720" w:hanging="720"/>
      </w:pPr>
      <w:bookmarkStart w:id="694" w:name="_ENREF_294"/>
      <w:r w:rsidRPr="00950097">
        <w:t xml:space="preserve">Smith, H. (2021) </w:t>
      </w:r>
      <w:r w:rsidRPr="00950097">
        <w:rPr>
          <w:i/>
        </w:rPr>
        <w:t>Norway lobster and Hematodinium sp. in the Clyde: modelling the population dynamics of a commercially important host-parasite system.</w:t>
      </w:r>
      <w:r w:rsidRPr="00950097">
        <w:t xml:space="preserve"> PhD thesis  University of Glasgow.</w:t>
      </w:r>
      <w:bookmarkEnd w:id="694"/>
    </w:p>
    <w:p w14:paraId="49A7B1AE" w14:textId="77777777" w:rsidR="00950097" w:rsidRPr="00950097" w:rsidRDefault="00950097" w:rsidP="00950097">
      <w:pPr>
        <w:pStyle w:val="EndNoteBibliography"/>
        <w:spacing w:after="0"/>
        <w:ind w:left="720" w:hanging="720"/>
      </w:pPr>
      <w:bookmarkStart w:id="695" w:name="_ENREF_295"/>
      <w:r w:rsidRPr="00950097">
        <w:t>Söderhäll, K. &amp; Smith, V. J. (1983) Separation of the haemocyte populations of</w:t>
      </w:r>
      <w:r w:rsidRPr="00950097">
        <w:rPr>
          <w:i/>
        </w:rPr>
        <w:t xml:space="preserve"> Carcinus maenas</w:t>
      </w:r>
      <w:r w:rsidRPr="00950097">
        <w:t xml:space="preserve"> and other marine decapods, and prophenoloxidase distribution. </w:t>
      </w:r>
      <w:r w:rsidRPr="00950097">
        <w:rPr>
          <w:i/>
        </w:rPr>
        <w:t>Developmental and Comparative Immunology,</w:t>
      </w:r>
      <w:r w:rsidRPr="00950097">
        <w:t xml:space="preserve"> 7(2)</w:t>
      </w:r>
      <w:r w:rsidRPr="00950097">
        <w:rPr>
          <w:b/>
        </w:rPr>
        <w:t>,</w:t>
      </w:r>
      <w:r w:rsidRPr="00950097">
        <w:t xml:space="preserve"> 229-39. 10.1016/0145-305x(83)90004-6.</w:t>
      </w:r>
      <w:bookmarkEnd w:id="695"/>
    </w:p>
    <w:p w14:paraId="361C71ED" w14:textId="77777777" w:rsidR="00950097" w:rsidRPr="00950097" w:rsidRDefault="00950097" w:rsidP="00950097">
      <w:pPr>
        <w:pStyle w:val="EndNoteBibliography"/>
        <w:spacing w:after="0"/>
        <w:ind w:left="720" w:hanging="720"/>
      </w:pPr>
      <w:bookmarkStart w:id="696" w:name="_ENREF_296"/>
      <w:r w:rsidRPr="00950097">
        <w:t xml:space="preserve">Soudant, P. &amp; Chu, F. L. E. (2001) Lipid class and fatty acid composition of the protozoan parasite of oysters, </w:t>
      </w:r>
      <w:r w:rsidRPr="00950097">
        <w:rPr>
          <w:i/>
        </w:rPr>
        <w:t xml:space="preserve">Perkinsus marinus </w:t>
      </w:r>
      <w:r w:rsidRPr="00950097">
        <w:t xml:space="preserve">cultivated in two different media. </w:t>
      </w:r>
      <w:r w:rsidRPr="00950097">
        <w:rPr>
          <w:i/>
        </w:rPr>
        <w:t>The Journal of eukaryotic microbiology,</w:t>
      </w:r>
      <w:r w:rsidRPr="00950097">
        <w:t xml:space="preserve"> 48(3)</w:t>
      </w:r>
      <w:r w:rsidRPr="00950097">
        <w:rPr>
          <w:b/>
        </w:rPr>
        <w:t>,</w:t>
      </w:r>
      <w:r w:rsidRPr="00950097">
        <w:t xml:space="preserve"> 309-319. 10.1111/J.1550-7408.2001.TB00319.X.</w:t>
      </w:r>
      <w:bookmarkEnd w:id="696"/>
    </w:p>
    <w:p w14:paraId="15F59787" w14:textId="77777777" w:rsidR="00950097" w:rsidRPr="00950097" w:rsidRDefault="00950097" w:rsidP="00950097">
      <w:pPr>
        <w:pStyle w:val="EndNoteBibliography"/>
        <w:spacing w:after="0"/>
        <w:ind w:left="720" w:hanging="720"/>
      </w:pPr>
      <w:bookmarkStart w:id="697" w:name="_ENREF_297"/>
      <w:r w:rsidRPr="00950097">
        <w:t xml:space="preserve">Stentiford, G., Neil, D. M. &amp; Atkinson, R. J. A. (2001a) The relationship of </w:t>
      </w:r>
      <w:r w:rsidRPr="00950097">
        <w:rPr>
          <w:i/>
        </w:rPr>
        <w:t xml:space="preserve">Hematodinium </w:t>
      </w:r>
      <w:r w:rsidRPr="00950097">
        <w:t xml:space="preserve">infection prevalence in a Scottish </w:t>
      </w:r>
      <w:r w:rsidRPr="00950097">
        <w:rPr>
          <w:i/>
        </w:rPr>
        <w:t>Nephrops norvegicus</w:t>
      </w:r>
      <w:r w:rsidRPr="00950097">
        <w:t xml:space="preserve"> population to season, moulting and sex. </w:t>
      </w:r>
      <w:r w:rsidRPr="00950097">
        <w:rPr>
          <w:i/>
        </w:rPr>
        <w:t>ICES Journal of Marine Science,</w:t>
      </w:r>
      <w:r w:rsidRPr="00950097">
        <w:t xml:space="preserve"> 58(4)</w:t>
      </w:r>
      <w:r w:rsidRPr="00950097">
        <w:rPr>
          <w:b/>
        </w:rPr>
        <w:t>,</w:t>
      </w:r>
      <w:r w:rsidRPr="00950097">
        <w:t xml:space="preserve"> 814-823. 10.1006/jmsc.2001.1072.</w:t>
      </w:r>
      <w:bookmarkEnd w:id="697"/>
    </w:p>
    <w:p w14:paraId="131B2993" w14:textId="77777777" w:rsidR="00950097" w:rsidRPr="00950097" w:rsidRDefault="00950097" w:rsidP="00950097">
      <w:pPr>
        <w:pStyle w:val="EndNoteBibliography"/>
        <w:spacing w:after="0"/>
        <w:ind w:left="720" w:hanging="720"/>
      </w:pPr>
      <w:bookmarkStart w:id="698" w:name="_ENREF_298"/>
      <w:r w:rsidRPr="00950097">
        <w:t xml:space="preserve">Stentiford, G. D. (2000) </w:t>
      </w:r>
      <w:r w:rsidRPr="00950097">
        <w:rPr>
          <w:i/>
        </w:rPr>
        <w:t>Effects of Hematodinium infection on the Norway lobster, Nephrops norvegicus (L.).</w:t>
      </w:r>
      <w:r w:rsidRPr="00950097">
        <w:t xml:space="preserve"> PhD thesis  University of Glasgow.</w:t>
      </w:r>
      <w:bookmarkEnd w:id="698"/>
    </w:p>
    <w:p w14:paraId="5FC1B181" w14:textId="77777777" w:rsidR="00950097" w:rsidRPr="00950097" w:rsidRDefault="00950097" w:rsidP="00950097">
      <w:pPr>
        <w:pStyle w:val="EndNoteBibliography"/>
        <w:spacing w:after="0"/>
        <w:ind w:left="720" w:hanging="720"/>
      </w:pPr>
      <w:bookmarkStart w:id="699" w:name="_ENREF_299"/>
      <w:r w:rsidRPr="00950097">
        <w:t xml:space="preserve">Stentiford, G. D., Bateman, K. S., Small, H. J., Pond, M. &amp; Ungfors, A. (2012) </w:t>
      </w:r>
      <w:r w:rsidRPr="00950097">
        <w:rPr>
          <w:i/>
        </w:rPr>
        <w:t>Hematodinium</w:t>
      </w:r>
      <w:r w:rsidRPr="00950097">
        <w:t xml:space="preserve"> sp. and its bacteria-like endosymbiont in European brown shrimp (</w:t>
      </w:r>
      <w:r w:rsidRPr="00950097">
        <w:rPr>
          <w:i/>
        </w:rPr>
        <w:t>Crangon crangon</w:t>
      </w:r>
      <w:r w:rsidRPr="00950097">
        <w:t xml:space="preserve">). </w:t>
      </w:r>
      <w:r w:rsidRPr="00950097">
        <w:rPr>
          <w:i/>
        </w:rPr>
        <w:t>Aquatic Biosystems,</w:t>
      </w:r>
      <w:r w:rsidRPr="00950097">
        <w:t xml:space="preserve"> 8(1)</w:t>
      </w:r>
      <w:r w:rsidRPr="00950097">
        <w:rPr>
          <w:b/>
        </w:rPr>
        <w:t>,</w:t>
      </w:r>
      <w:r w:rsidRPr="00950097">
        <w:t xml:space="preserve"> 1-10. 10.1186/2046-9063-8-24.</w:t>
      </w:r>
      <w:bookmarkEnd w:id="699"/>
    </w:p>
    <w:p w14:paraId="7B95F403" w14:textId="77777777" w:rsidR="00950097" w:rsidRPr="00950097" w:rsidRDefault="00950097" w:rsidP="00950097">
      <w:pPr>
        <w:pStyle w:val="EndNoteBibliography"/>
        <w:spacing w:after="0"/>
        <w:ind w:left="720" w:hanging="720"/>
      </w:pPr>
      <w:bookmarkStart w:id="700" w:name="_ENREF_300"/>
      <w:r w:rsidRPr="00950097">
        <w:t>Stentiford, G. D., Chang, E. S. S., Chang, S. A. A. &amp; Neil, D. M. (2001b) Carbohydrate dynamics and the crustacean hyperglycemic hormone (CHH): effects of parasitic infection in Norway lobsters (</w:t>
      </w:r>
      <w:r w:rsidRPr="00950097">
        <w:rPr>
          <w:i/>
        </w:rPr>
        <w:t>Nephrops norvegicus</w:t>
      </w:r>
      <w:r w:rsidRPr="00950097">
        <w:t xml:space="preserve">). </w:t>
      </w:r>
      <w:r w:rsidRPr="00950097">
        <w:rPr>
          <w:i/>
        </w:rPr>
        <w:t>General and Comparative Endocrinology,</w:t>
      </w:r>
      <w:r w:rsidRPr="00950097">
        <w:t xml:space="preserve"> 121(1)</w:t>
      </w:r>
      <w:r w:rsidRPr="00950097">
        <w:rPr>
          <w:b/>
        </w:rPr>
        <w:t>,</w:t>
      </w:r>
      <w:r w:rsidRPr="00950097">
        <w:t xml:space="preserve"> 13-22. 10.1006/gcen.2000.7575.</w:t>
      </w:r>
      <w:bookmarkEnd w:id="700"/>
    </w:p>
    <w:p w14:paraId="233B43BA" w14:textId="77777777" w:rsidR="00950097" w:rsidRPr="00950097" w:rsidRDefault="00950097" w:rsidP="00950097">
      <w:pPr>
        <w:pStyle w:val="EndNoteBibliography"/>
        <w:spacing w:after="0"/>
        <w:ind w:left="720" w:hanging="720"/>
      </w:pPr>
      <w:bookmarkStart w:id="701" w:name="_ENREF_301"/>
      <w:r w:rsidRPr="00950097">
        <w:t xml:space="preserve">Stentiford, G. D., Evans, M., Bateman, K. S. &amp; Feist, S. W. (2003) Co-infection by a yeast-like organism in hematodinium-infected European edible crabs </w:t>
      </w:r>
      <w:r w:rsidRPr="00950097">
        <w:rPr>
          <w:i/>
        </w:rPr>
        <w:t xml:space="preserve">Cancer pagurus </w:t>
      </w:r>
      <w:r w:rsidRPr="00950097">
        <w:t xml:space="preserve">and velvet swimming crabs </w:t>
      </w:r>
      <w:r w:rsidRPr="00950097">
        <w:rPr>
          <w:i/>
        </w:rPr>
        <w:t>Necora puber</w:t>
      </w:r>
      <w:r w:rsidRPr="00950097">
        <w:t xml:space="preserve"> from the English channel. </w:t>
      </w:r>
      <w:r w:rsidRPr="00950097">
        <w:rPr>
          <w:i/>
        </w:rPr>
        <w:t>Diseases of Aquatic Organisms,</w:t>
      </w:r>
      <w:r w:rsidRPr="00950097">
        <w:t xml:space="preserve"> 54(3)</w:t>
      </w:r>
      <w:r w:rsidRPr="00950097">
        <w:rPr>
          <w:b/>
        </w:rPr>
        <w:t>,</w:t>
      </w:r>
      <w:r w:rsidRPr="00950097">
        <w:t xml:space="preserve"> 195-202. 10.3354/dao054195.</w:t>
      </w:r>
      <w:bookmarkEnd w:id="701"/>
    </w:p>
    <w:p w14:paraId="6991C826" w14:textId="77777777" w:rsidR="00950097" w:rsidRPr="00950097" w:rsidRDefault="00950097" w:rsidP="00950097">
      <w:pPr>
        <w:pStyle w:val="EndNoteBibliography"/>
        <w:spacing w:after="0"/>
        <w:ind w:left="720" w:hanging="720"/>
      </w:pPr>
      <w:bookmarkStart w:id="702" w:name="_ENREF_302"/>
      <w:r w:rsidRPr="00950097">
        <w:t xml:space="preserve">Stentiford, G. D., Green, M., Bateman, K. S., Small, H. J., Neil, D. M. &amp; Feist, S. W. (2002) Infection by a </w:t>
      </w:r>
      <w:r w:rsidRPr="00950097">
        <w:rPr>
          <w:i/>
        </w:rPr>
        <w:t>Hematodinium</w:t>
      </w:r>
      <w:r w:rsidRPr="00950097">
        <w:t xml:space="preserve">-like parasitic dinoflagellate causes pink crab disease (PCD) in the edible crab </w:t>
      </w:r>
      <w:r w:rsidRPr="00950097">
        <w:rPr>
          <w:i/>
        </w:rPr>
        <w:t>Cancer pagurus</w:t>
      </w:r>
      <w:r w:rsidRPr="00950097">
        <w:t xml:space="preserve">. </w:t>
      </w:r>
      <w:r w:rsidRPr="00950097">
        <w:rPr>
          <w:i/>
        </w:rPr>
        <w:t>Journal of Invertebrate Pathology,</w:t>
      </w:r>
      <w:r w:rsidRPr="00950097">
        <w:t xml:space="preserve"> 79(3)</w:t>
      </w:r>
      <w:r w:rsidRPr="00950097">
        <w:rPr>
          <w:b/>
        </w:rPr>
        <w:t>,</w:t>
      </w:r>
      <w:r w:rsidRPr="00950097">
        <w:t xml:space="preserve"> 179-191. 10.1016/S0022-2011(02)00028-9.</w:t>
      </w:r>
      <w:bookmarkEnd w:id="702"/>
    </w:p>
    <w:p w14:paraId="57BB489B" w14:textId="77777777" w:rsidR="00950097" w:rsidRPr="00950097" w:rsidRDefault="00950097" w:rsidP="00950097">
      <w:pPr>
        <w:pStyle w:val="EndNoteBibliography"/>
        <w:spacing w:after="0"/>
        <w:ind w:left="720" w:hanging="720"/>
      </w:pPr>
      <w:bookmarkStart w:id="703" w:name="_ENREF_303"/>
      <w:r w:rsidRPr="00950097">
        <w:t xml:space="preserve">Stentiford, G. D. &amp; Neil, D. M. (2000) A rapid onset, post-capture muscle necrosis in the Norway lobster, </w:t>
      </w:r>
      <w:r w:rsidRPr="00950097">
        <w:rPr>
          <w:i/>
        </w:rPr>
        <w:t>Nephrops norvegicus</w:t>
      </w:r>
      <w:r w:rsidRPr="00950097">
        <w:t xml:space="preserve"> (L.) from the West coast of Scotland. </w:t>
      </w:r>
      <w:r w:rsidRPr="00950097">
        <w:rPr>
          <w:i/>
        </w:rPr>
        <w:t>Journal of Fish Diseases,</w:t>
      </w:r>
      <w:r w:rsidRPr="00950097">
        <w:t xml:space="preserve"> 23(4)</w:t>
      </w:r>
      <w:r w:rsidRPr="00950097">
        <w:rPr>
          <w:b/>
        </w:rPr>
        <w:t>,</w:t>
      </w:r>
      <w:r w:rsidRPr="00950097">
        <w:t xml:space="preserve"> 251-263. 10.1046/J.1365-2761.2000.00241.X.</w:t>
      </w:r>
      <w:bookmarkEnd w:id="703"/>
    </w:p>
    <w:p w14:paraId="3372ABC9" w14:textId="77777777" w:rsidR="00950097" w:rsidRPr="00950097" w:rsidRDefault="00950097" w:rsidP="00950097">
      <w:pPr>
        <w:pStyle w:val="EndNoteBibliography"/>
        <w:spacing w:after="0"/>
        <w:ind w:left="720" w:hanging="720"/>
      </w:pPr>
      <w:bookmarkStart w:id="704" w:name="_ENREF_304"/>
      <w:r w:rsidRPr="00950097">
        <w:t xml:space="preserve">Stentiford, G. D. &amp; Neil, D. M. (2011) Diseases of </w:t>
      </w:r>
      <w:r w:rsidRPr="00950097">
        <w:rPr>
          <w:i/>
        </w:rPr>
        <w:t>Nephrops</w:t>
      </w:r>
      <w:r w:rsidRPr="00950097">
        <w:t xml:space="preserve"> and </w:t>
      </w:r>
      <w:r w:rsidRPr="00950097">
        <w:rPr>
          <w:i/>
        </w:rPr>
        <w:t>Metanephrops</w:t>
      </w:r>
      <w:r w:rsidRPr="00950097">
        <w:t xml:space="preserve">: a review. </w:t>
      </w:r>
      <w:r w:rsidRPr="00950097">
        <w:rPr>
          <w:i/>
        </w:rPr>
        <w:t>Journal of Invertebrate Pathology,</w:t>
      </w:r>
      <w:r w:rsidRPr="00950097">
        <w:t xml:space="preserve"> 106(1)</w:t>
      </w:r>
      <w:r w:rsidRPr="00950097">
        <w:rPr>
          <w:b/>
        </w:rPr>
        <w:t>,</w:t>
      </w:r>
      <w:r w:rsidRPr="00950097">
        <w:t xml:space="preserve"> 92-109. 10.1016/j.jip.2010.09.017.</w:t>
      </w:r>
      <w:bookmarkEnd w:id="704"/>
    </w:p>
    <w:p w14:paraId="066CAE71" w14:textId="77777777" w:rsidR="00950097" w:rsidRPr="00950097" w:rsidRDefault="00950097" w:rsidP="00950097">
      <w:pPr>
        <w:pStyle w:val="EndNoteBibliography"/>
        <w:spacing w:after="0"/>
        <w:ind w:left="720" w:hanging="720"/>
      </w:pPr>
      <w:bookmarkStart w:id="705" w:name="_ENREF_305"/>
      <w:r w:rsidRPr="00950097">
        <w:t xml:space="preserve">Stentiford, G. D., Neil, D. M., Albalat, A., Milligan, R. J. &amp; Bailey, N. (2015) The effect of parasitic infection by </w:t>
      </w:r>
      <w:r w:rsidRPr="00950097">
        <w:rPr>
          <w:i/>
        </w:rPr>
        <w:t>Hematodinium</w:t>
      </w:r>
      <w:r w:rsidRPr="00950097">
        <w:t xml:space="preserve"> sp. on escape swimming and subsequent recovery in the Norway lobster, </w:t>
      </w:r>
      <w:r w:rsidRPr="00950097">
        <w:rPr>
          <w:i/>
        </w:rPr>
        <w:t xml:space="preserve">Nephrops norvegicus </w:t>
      </w:r>
      <w:r w:rsidRPr="00950097">
        <w:t xml:space="preserve">(L.). </w:t>
      </w:r>
      <w:r w:rsidRPr="00950097">
        <w:rPr>
          <w:i/>
        </w:rPr>
        <w:t>Journal of Crustacean Biology,</w:t>
      </w:r>
      <w:r w:rsidRPr="00950097">
        <w:t xml:space="preserve"> 35(1)</w:t>
      </w:r>
      <w:r w:rsidRPr="00950097">
        <w:rPr>
          <w:b/>
        </w:rPr>
        <w:t>,</w:t>
      </w:r>
      <w:r w:rsidRPr="00950097">
        <w:t xml:space="preserve"> 1-10. 10.1163/1937240X-00002296.</w:t>
      </w:r>
      <w:bookmarkEnd w:id="705"/>
    </w:p>
    <w:p w14:paraId="7497B8B9" w14:textId="77777777" w:rsidR="00950097" w:rsidRPr="00950097" w:rsidRDefault="00950097" w:rsidP="00950097">
      <w:pPr>
        <w:pStyle w:val="EndNoteBibliography"/>
        <w:spacing w:after="0"/>
        <w:ind w:left="720" w:hanging="720"/>
      </w:pPr>
      <w:bookmarkStart w:id="706" w:name="_ENREF_306"/>
      <w:r w:rsidRPr="00950097">
        <w:t>Stentiford, G. D., Neil, D. M. &amp; Atkinson, R. J. A. (2001c) Alteration of burrow</w:t>
      </w:r>
      <w:r w:rsidRPr="00950097">
        <w:rPr>
          <w:rFonts w:ascii="Cambria Math" w:hAnsi="Cambria Math" w:cs="Cambria Math"/>
        </w:rPr>
        <w:t>‐</w:t>
      </w:r>
      <w:r w:rsidRPr="00950097">
        <w:t xml:space="preserve">related behaviour of the Norway lobster, </w:t>
      </w:r>
      <w:r w:rsidRPr="00950097">
        <w:rPr>
          <w:i/>
        </w:rPr>
        <w:t xml:space="preserve">Nephrops norvegicus </w:t>
      </w:r>
      <w:r w:rsidRPr="00950097">
        <w:t xml:space="preserve">during infection by the parasitic dinoflagellate </w:t>
      </w:r>
      <w:r w:rsidRPr="00950097">
        <w:rPr>
          <w:i/>
        </w:rPr>
        <w:t>Hematodinium</w:t>
      </w:r>
      <w:r w:rsidRPr="00950097">
        <w:t xml:space="preserve">. </w:t>
      </w:r>
      <w:r w:rsidRPr="00950097">
        <w:rPr>
          <w:i/>
        </w:rPr>
        <w:t>Marine and Freshwater Behaviour and Physiology,</w:t>
      </w:r>
      <w:r w:rsidRPr="00950097">
        <w:t xml:space="preserve"> 34(3)</w:t>
      </w:r>
      <w:r w:rsidRPr="00950097">
        <w:rPr>
          <w:b/>
        </w:rPr>
        <w:t>,</w:t>
      </w:r>
      <w:r w:rsidRPr="00950097">
        <w:t xml:space="preserve"> 139-156. 10.1080/10236240109379068.</w:t>
      </w:r>
      <w:bookmarkEnd w:id="706"/>
    </w:p>
    <w:p w14:paraId="658D4282" w14:textId="77777777" w:rsidR="00950097" w:rsidRPr="00950097" w:rsidRDefault="00950097" w:rsidP="00950097">
      <w:pPr>
        <w:pStyle w:val="EndNoteBibliography"/>
        <w:spacing w:after="0"/>
        <w:ind w:left="720" w:hanging="720"/>
      </w:pPr>
      <w:bookmarkStart w:id="707" w:name="_ENREF_307"/>
      <w:r w:rsidRPr="00950097">
        <w:t>Stentiford, G. D., Neil, D. M., Atkinson, R. J. A. &amp; Bailey, N. (2000a) An analysis of swimming performance in the Norway lobster,</w:t>
      </w:r>
      <w:r w:rsidRPr="00950097">
        <w:rPr>
          <w:i/>
        </w:rPr>
        <w:t xml:space="preserve"> Nephrops norvegicus</w:t>
      </w:r>
      <w:r w:rsidRPr="00950097">
        <w:t xml:space="preserve"> L. infected by a parasitic dinoflagellate of the genus </w:t>
      </w:r>
      <w:r w:rsidRPr="00950097">
        <w:rPr>
          <w:i/>
        </w:rPr>
        <w:t>Hematodinium</w:t>
      </w:r>
      <w:r w:rsidRPr="00950097">
        <w:t xml:space="preserve">. </w:t>
      </w:r>
      <w:r w:rsidRPr="00950097">
        <w:rPr>
          <w:i/>
        </w:rPr>
        <w:t>Journal of Experimental Marine Biology and Ecology,</w:t>
      </w:r>
      <w:r w:rsidRPr="00950097">
        <w:t xml:space="preserve"> 247(2)</w:t>
      </w:r>
      <w:r w:rsidRPr="00950097">
        <w:rPr>
          <w:b/>
        </w:rPr>
        <w:t>,</w:t>
      </w:r>
      <w:r w:rsidRPr="00950097">
        <w:t xml:space="preserve"> 169-181. 10.1016/S0022-0981(00)00146-5.</w:t>
      </w:r>
      <w:bookmarkEnd w:id="707"/>
    </w:p>
    <w:p w14:paraId="4FA84B59" w14:textId="77777777" w:rsidR="00950097" w:rsidRPr="00950097" w:rsidRDefault="00950097" w:rsidP="00950097">
      <w:pPr>
        <w:pStyle w:val="EndNoteBibliography"/>
        <w:spacing w:after="0"/>
        <w:ind w:left="720" w:hanging="720"/>
      </w:pPr>
      <w:bookmarkStart w:id="708" w:name="_ENREF_308"/>
      <w:r w:rsidRPr="00950097">
        <w:t xml:space="preserve">Stentiford, G. D., Neil, D. M. &amp; Coombs, G. H. (2000b) Alterations in the biochemistry and ultrastructure of the deep abdominal flexor muscle of the Norway lobster </w:t>
      </w:r>
      <w:r w:rsidRPr="00950097">
        <w:rPr>
          <w:i/>
        </w:rPr>
        <w:t>Nephrops norvegicus</w:t>
      </w:r>
      <w:r w:rsidRPr="00950097">
        <w:t xml:space="preserve"> during infection by a parasitic dinoflagellate of the genus </w:t>
      </w:r>
      <w:r w:rsidRPr="00950097">
        <w:rPr>
          <w:i/>
        </w:rPr>
        <w:t>Hematodinium</w:t>
      </w:r>
      <w:r w:rsidRPr="00950097">
        <w:t xml:space="preserve">. </w:t>
      </w:r>
      <w:r w:rsidRPr="00950097">
        <w:rPr>
          <w:i/>
        </w:rPr>
        <w:t>Diseases of aquatic organisms,</w:t>
      </w:r>
      <w:r w:rsidRPr="00950097">
        <w:t xml:space="preserve"> 42(2)</w:t>
      </w:r>
      <w:r w:rsidRPr="00950097">
        <w:rPr>
          <w:b/>
        </w:rPr>
        <w:t>,</w:t>
      </w:r>
      <w:r w:rsidRPr="00950097">
        <w:t xml:space="preserve"> 133-41. 10.3354/dao042133.</w:t>
      </w:r>
      <w:bookmarkEnd w:id="708"/>
    </w:p>
    <w:p w14:paraId="2EF37672" w14:textId="77777777" w:rsidR="00950097" w:rsidRPr="00950097" w:rsidRDefault="00950097" w:rsidP="00950097">
      <w:pPr>
        <w:pStyle w:val="EndNoteBibliography"/>
        <w:spacing w:after="0"/>
        <w:ind w:left="720" w:hanging="720"/>
      </w:pPr>
      <w:bookmarkStart w:id="709" w:name="_ENREF_309"/>
      <w:r w:rsidRPr="00950097">
        <w:t xml:space="preserve">Stentiford, G. D., Neil, D. M. &amp; Coombs, G. H. (2001d) Development and application of an immunoassay diagnostic technique for studying </w:t>
      </w:r>
      <w:r w:rsidRPr="00950097">
        <w:rPr>
          <w:i/>
        </w:rPr>
        <w:t>Hematodinium</w:t>
      </w:r>
      <w:r w:rsidRPr="00950097">
        <w:t xml:space="preserve"> infections in </w:t>
      </w:r>
      <w:r w:rsidRPr="00950097">
        <w:rPr>
          <w:i/>
        </w:rPr>
        <w:t xml:space="preserve">Nephrops norvegicus </w:t>
      </w:r>
      <w:r w:rsidRPr="00950097">
        <w:t xml:space="preserve">populations. </w:t>
      </w:r>
      <w:r w:rsidRPr="00950097">
        <w:rPr>
          <w:i/>
        </w:rPr>
        <w:t>Diseases of Aquatic Organisms,</w:t>
      </w:r>
      <w:r w:rsidRPr="00950097">
        <w:t xml:space="preserve"> 46(3)</w:t>
      </w:r>
      <w:r w:rsidRPr="00950097">
        <w:rPr>
          <w:b/>
        </w:rPr>
        <w:t>,</w:t>
      </w:r>
      <w:r w:rsidRPr="00950097">
        <w:t xml:space="preserve"> 223-9. 10.3354/dao046223.</w:t>
      </w:r>
      <w:bookmarkEnd w:id="709"/>
    </w:p>
    <w:p w14:paraId="6D8CB8EE" w14:textId="77777777" w:rsidR="00950097" w:rsidRPr="00950097" w:rsidRDefault="00950097" w:rsidP="00950097">
      <w:pPr>
        <w:pStyle w:val="EndNoteBibliography"/>
        <w:spacing w:after="0"/>
        <w:ind w:left="720" w:hanging="720"/>
      </w:pPr>
      <w:bookmarkStart w:id="710" w:name="_ENREF_310"/>
      <w:r w:rsidRPr="00950097">
        <w:t xml:space="preserve">Stentiford, G. D. &amp; Shields, J. D. (2005) A review of the parasitic dinoflagellates </w:t>
      </w:r>
      <w:r w:rsidRPr="00950097">
        <w:rPr>
          <w:i/>
        </w:rPr>
        <w:t>Hematodinium s</w:t>
      </w:r>
      <w:r w:rsidRPr="00950097">
        <w:t xml:space="preserve">pecies and </w:t>
      </w:r>
      <w:r w:rsidRPr="00950097">
        <w:rPr>
          <w:i/>
        </w:rPr>
        <w:t>Hematodinium</w:t>
      </w:r>
      <w:r w:rsidRPr="00950097">
        <w:t xml:space="preserve">-like infections in marine crustaceans. </w:t>
      </w:r>
      <w:r w:rsidRPr="00950097">
        <w:rPr>
          <w:i/>
        </w:rPr>
        <w:t>Diseases of Aquatic Organisms,</w:t>
      </w:r>
      <w:r w:rsidRPr="00950097">
        <w:t xml:space="preserve"> 66(1)</w:t>
      </w:r>
      <w:r w:rsidRPr="00950097">
        <w:rPr>
          <w:b/>
        </w:rPr>
        <w:t>,</w:t>
      </w:r>
      <w:r w:rsidRPr="00950097">
        <w:t xml:space="preserve"> 47-70. 10.3354/dao066047.</w:t>
      </w:r>
      <w:bookmarkEnd w:id="710"/>
    </w:p>
    <w:p w14:paraId="111EFC34" w14:textId="77777777" w:rsidR="00950097" w:rsidRPr="00950097" w:rsidRDefault="00950097" w:rsidP="00950097">
      <w:pPr>
        <w:pStyle w:val="EndNoteBibliography"/>
        <w:spacing w:after="0"/>
        <w:ind w:left="720" w:hanging="720"/>
      </w:pPr>
      <w:bookmarkStart w:id="711" w:name="_ENREF_311"/>
      <w:r w:rsidRPr="00950097">
        <w:t xml:space="preserve">Stewart, B. D., Howarth, L. M., Wood, H., Whiteside, K., Carney, W., Crimmins, É., O’Leary, B. C., Hawkins, J. P. &amp; Roberts, C. M. (2020) Marine conservation begins at home: how a local community and protection of a small bay sent waves of change around the UK and beyond. </w:t>
      </w:r>
      <w:r w:rsidRPr="00950097">
        <w:rPr>
          <w:i/>
        </w:rPr>
        <w:t>Frontiers in Marine Science,</w:t>
      </w:r>
      <w:r w:rsidRPr="00950097">
        <w:t xml:space="preserve"> 7. 10.3389/fmars.2020.00076.</w:t>
      </w:r>
      <w:bookmarkEnd w:id="711"/>
    </w:p>
    <w:p w14:paraId="55643038" w14:textId="77777777" w:rsidR="00950097" w:rsidRPr="00950097" w:rsidRDefault="00950097" w:rsidP="00950097">
      <w:pPr>
        <w:pStyle w:val="EndNoteBibliography"/>
        <w:spacing w:after="0"/>
        <w:ind w:left="720" w:hanging="720"/>
      </w:pPr>
      <w:bookmarkStart w:id="712" w:name="_ENREF_312"/>
      <w:r w:rsidRPr="00950097">
        <w:t xml:space="preserve">Student (1908) The probable error of a mean. </w:t>
      </w:r>
      <w:r w:rsidRPr="00950097">
        <w:rPr>
          <w:i/>
        </w:rPr>
        <w:t>Biometrika,</w:t>
      </w:r>
      <w:r w:rsidRPr="00950097">
        <w:t xml:space="preserve"> 6(1)</w:t>
      </w:r>
      <w:r w:rsidRPr="00950097">
        <w:rPr>
          <w:b/>
        </w:rPr>
        <w:t>,</w:t>
      </w:r>
      <w:r w:rsidRPr="00950097">
        <w:t xml:space="preserve"> 1-1. 10.2307/2331554.</w:t>
      </w:r>
      <w:bookmarkEnd w:id="712"/>
    </w:p>
    <w:p w14:paraId="7377D575" w14:textId="77777777" w:rsidR="00950097" w:rsidRPr="00950097" w:rsidRDefault="00950097" w:rsidP="00950097">
      <w:pPr>
        <w:pStyle w:val="EndNoteBibliography"/>
        <w:spacing w:after="0"/>
        <w:ind w:left="720" w:hanging="720"/>
      </w:pPr>
      <w:bookmarkStart w:id="713" w:name="_ENREF_313"/>
      <w:r w:rsidRPr="00950097">
        <w:t>Su, S., Munganga, B. P., Du, F., Yu, J., Li, J., Yu, F., Wang, M., He, X., Li, X., Bouzoualegh, R., Xu, P. &amp; Tang, Y. (2020) Relationship between the fatty acid profiles and gut bacterial communities of the Chinese mitten crab (</w:t>
      </w:r>
      <w:r w:rsidRPr="00950097">
        <w:rPr>
          <w:i/>
        </w:rPr>
        <w:t>Eriocheir sinensis</w:t>
      </w:r>
      <w:r w:rsidRPr="00950097">
        <w:t xml:space="preserve">) from ecologically different habitats. </w:t>
      </w:r>
      <w:r w:rsidRPr="00950097">
        <w:rPr>
          <w:i/>
        </w:rPr>
        <w:t>Frontiers in Microbiology,</w:t>
      </w:r>
      <w:r w:rsidRPr="00950097">
        <w:t xml:space="preserve"> 11</w:t>
      </w:r>
      <w:r w:rsidRPr="00950097">
        <w:rPr>
          <w:b/>
        </w:rPr>
        <w:t>,</w:t>
      </w:r>
      <w:r w:rsidRPr="00950097">
        <w:t xml:space="preserve"> 2324-2324. 10.3389/FMICB.2020.565267/BIBTEX.</w:t>
      </w:r>
      <w:bookmarkEnd w:id="713"/>
    </w:p>
    <w:p w14:paraId="20636E95" w14:textId="77777777" w:rsidR="00950097" w:rsidRPr="00950097" w:rsidRDefault="00950097" w:rsidP="00950097">
      <w:pPr>
        <w:pStyle w:val="EndNoteBibliography"/>
        <w:spacing w:after="0"/>
        <w:ind w:left="720" w:hanging="720"/>
      </w:pPr>
      <w:bookmarkStart w:id="714" w:name="_ENREF_314"/>
      <w:r w:rsidRPr="00950097">
        <w:t>Sugita, H. &amp; Ito, Y. (2006) Identification of intestinal bacteria from Japanese flounder (</w:t>
      </w:r>
      <w:r w:rsidRPr="00950097">
        <w:rPr>
          <w:i/>
        </w:rPr>
        <w:t>Paralichthys olivaceus</w:t>
      </w:r>
      <w:r w:rsidRPr="00950097">
        <w:t xml:space="preserve">) and their ability to digest chitin. </w:t>
      </w:r>
      <w:r w:rsidRPr="00950097">
        <w:rPr>
          <w:i/>
        </w:rPr>
        <w:t>Letters in Applied Microbiology,</w:t>
      </w:r>
      <w:r w:rsidRPr="00950097">
        <w:t xml:space="preserve"> 43(3)</w:t>
      </w:r>
      <w:r w:rsidRPr="00950097">
        <w:rPr>
          <w:b/>
        </w:rPr>
        <w:t>,</w:t>
      </w:r>
      <w:r w:rsidRPr="00950097">
        <w:t xml:space="preserve"> 336-342. 10.1111/j.1472-765X.2006.01943.x.</w:t>
      </w:r>
      <w:bookmarkEnd w:id="714"/>
    </w:p>
    <w:p w14:paraId="2DFCA626" w14:textId="77777777" w:rsidR="00950097" w:rsidRPr="00950097" w:rsidRDefault="00950097" w:rsidP="00950097">
      <w:pPr>
        <w:pStyle w:val="EndNoteBibliography"/>
        <w:spacing w:after="0"/>
        <w:ind w:left="720" w:hanging="720"/>
      </w:pPr>
      <w:bookmarkStart w:id="715" w:name="_ENREF_315"/>
      <w:r w:rsidRPr="00950097">
        <w:t xml:space="preserve">Sun, S.-J., Dziuba, M. K., McLntire, K. M., Jaye, R. N. &amp; Duffy, M. A. (2022) Transgenerational plasticity alters parasite fitness in changing environments. </w:t>
      </w:r>
      <w:r w:rsidRPr="00950097">
        <w:rPr>
          <w:i/>
        </w:rPr>
        <w:t>Parasitology,</w:t>
      </w:r>
      <w:r w:rsidRPr="00950097">
        <w:t xml:space="preserve"> 149(11)</w:t>
      </w:r>
      <w:r w:rsidRPr="00950097">
        <w:rPr>
          <w:b/>
        </w:rPr>
        <w:t>,</w:t>
      </w:r>
      <w:r w:rsidRPr="00950097">
        <w:t xml:space="preserve"> 1515-1520. 10.1017/s0031182022001056.</w:t>
      </w:r>
      <w:bookmarkEnd w:id="715"/>
    </w:p>
    <w:p w14:paraId="5DAB852D" w14:textId="77777777" w:rsidR="00950097" w:rsidRPr="00950097" w:rsidRDefault="00950097" w:rsidP="00950097">
      <w:pPr>
        <w:pStyle w:val="EndNoteBibliography"/>
        <w:spacing w:after="0"/>
        <w:ind w:left="720" w:hanging="720"/>
      </w:pPr>
      <w:bookmarkStart w:id="716" w:name="_ENREF_316"/>
      <w:r w:rsidRPr="00950097">
        <w:t xml:space="preserve">Sweet, M. J. &amp; Bulling, M. T. (2017) On the importance of the microbiome and pathobiome in coral health and disease. </w:t>
      </w:r>
      <w:r w:rsidRPr="00950097">
        <w:rPr>
          <w:i/>
        </w:rPr>
        <w:t>Frontiers in Marine Science,</w:t>
      </w:r>
      <w:r w:rsidRPr="00950097">
        <w:t xml:space="preserve"> 4(January). 10.3389/fmars.2017.00009.</w:t>
      </w:r>
      <w:bookmarkEnd w:id="716"/>
    </w:p>
    <w:p w14:paraId="49966E57" w14:textId="77777777" w:rsidR="00950097" w:rsidRPr="00950097" w:rsidRDefault="00950097" w:rsidP="00950097">
      <w:pPr>
        <w:pStyle w:val="EndNoteBibliography"/>
        <w:spacing w:after="0"/>
        <w:ind w:left="720" w:hanging="720"/>
      </w:pPr>
      <w:bookmarkStart w:id="717" w:name="_ENREF_317"/>
      <w:r w:rsidRPr="00950097">
        <w:t xml:space="preserve">Swinton, J., Woolhouse, M. E. J., Begon, M. E., Dobson, A. P., Ferroglio, E., Grenfell, B. T., Guburti, V., Hails, R. S., Heesterbeek, J. A. P., Lavazza, A., Roberts, M. G., White, P. J. &amp; Wilson, K. (2002) Microparasite transmission and persistence. </w:t>
      </w:r>
      <w:r w:rsidRPr="00950097">
        <w:rPr>
          <w:i/>
        </w:rPr>
        <w:t>The Ecology of Wildlife Diseases</w:t>
      </w:r>
      <w:r w:rsidRPr="00950097">
        <w:rPr>
          <w:b/>
        </w:rPr>
        <w:t>,</w:t>
      </w:r>
      <w:r w:rsidRPr="00950097">
        <w:t xml:space="preserve"> 83-101.</w:t>
      </w:r>
      <w:bookmarkEnd w:id="717"/>
    </w:p>
    <w:p w14:paraId="04EEE23F" w14:textId="77777777" w:rsidR="00950097" w:rsidRPr="00950097" w:rsidRDefault="00950097" w:rsidP="00950097">
      <w:pPr>
        <w:pStyle w:val="EndNoteBibliography"/>
        <w:spacing w:after="0"/>
        <w:ind w:left="720" w:hanging="720"/>
      </w:pPr>
      <w:bookmarkStart w:id="718" w:name="_ENREF_318"/>
      <w:r w:rsidRPr="00950097">
        <w:t xml:space="preserve">Tan, J., McKenzie, C., Potamitis, M., Thorburn, A. N., Mackay, C. R. &amp; Macia, L. (2014) Chapter three - the role of short-chain fatty acids in health and disease. In: Alt, F. W. (ed.) </w:t>
      </w:r>
      <w:r w:rsidRPr="00950097">
        <w:rPr>
          <w:i/>
        </w:rPr>
        <w:t>Advances in Immunology.</w:t>
      </w:r>
      <w:r w:rsidRPr="00950097">
        <w:t xml:space="preserve"> Academic Press.</w:t>
      </w:r>
      <w:bookmarkEnd w:id="718"/>
    </w:p>
    <w:p w14:paraId="5AAE4425" w14:textId="77777777" w:rsidR="00950097" w:rsidRPr="00950097" w:rsidRDefault="00950097" w:rsidP="00950097">
      <w:pPr>
        <w:pStyle w:val="EndNoteBibliography"/>
        <w:spacing w:after="0"/>
        <w:ind w:left="720" w:hanging="720"/>
      </w:pPr>
      <w:bookmarkStart w:id="719" w:name="_ENREF_319"/>
      <w:r w:rsidRPr="00950097">
        <w:t xml:space="preserve">Tanowitz, H. B., Jelicks, L. A., Machado, F. S., Esper, L., Qi, X., Desruisseaux, M. S., Chua, S. C., Scherer, P. E. &amp; Nagajyothi, F. (2011) Adipose tissue, diabetes and chagas disease. </w:t>
      </w:r>
      <w:r w:rsidRPr="00950097">
        <w:rPr>
          <w:i/>
        </w:rPr>
        <w:t>Advances in Parasitology,</w:t>
      </w:r>
      <w:r w:rsidRPr="00950097">
        <w:t xml:space="preserve"> 76</w:t>
      </w:r>
      <w:r w:rsidRPr="00950097">
        <w:rPr>
          <w:b/>
        </w:rPr>
        <w:t>,</w:t>
      </w:r>
      <w:r w:rsidRPr="00950097">
        <w:t xml:space="preserve"> 235-235. 10.1016/B978-0-12-385895-5.00010-4.</w:t>
      </w:r>
      <w:bookmarkEnd w:id="719"/>
    </w:p>
    <w:p w14:paraId="24AEE59F" w14:textId="77777777" w:rsidR="00950097" w:rsidRPr="00950097" w:rsidRDefault="00950097" w:rsidP="00950097">
      <w:pPr>
        <w:pStyle w:val="EndNoteBibliography"/>
        <w:spacing w:after="0"/>
        <w:ind w:left="720" w:hanging="720"/>
      </w:pPr>
      <w:bookmarkStart w:id="720" w:name="_ENREF_320"/>
      <w:r w:rsidRPr="00950097">
        <w:t xml:space="preserve">Tavares, V. D. S., De Castro, M. V., Souza, R. D. S. O., Gonçalves, I. K. A., Lima, J. B., Borges, V. D. M. &amp; Araújo-Santos, T. (2021) Lipid droplets of protozoan parasites: survival and pathogenicity. </w:t>
      </w:r>
      <w:r w:rsidRPr="00950097">
        <w:rPr>
          <w:i/>
        </w:rPr>
        <w:t>Memórias do Instituto Oswaldo Cruz,</w:t>
      </w:r>
      <w:r w:rsidRPr="00950097">
        <w:t xml:space="preserve"> 116. 10.1590/0074-02760210270.</w:t>
      </w:r>
      <w:bookmarkEnd w:id="720"/>
    </w:p>
    <w:p w14:paraId="1ED744BE" w14:textId="77777777" w:rsidR="00950097" w:rsidRPr="00950097" w:rsidRDefault="00950097" w:rsidP="00950097">
      <w:pPr>
        <w:pStyle w:val="EndNoteBibliography"/>
        <w:spacing w:after="0"/>
        <w:ind w:left="720" w:hanging="720"/>
      </w:pPr>
      <w:bookmarkStart w:id="721" w:name="_ENREF_321"/>
      <w:r w:rsidRPr="00950097">
        <w:t xml:space="preserve">Taylor, A. C., Field, R. H. &amp; Parslow-Williams, P. J. (1996) The effects of </w:t>
      </w:r>
      <w:r w:rsidRPr="00950097">
        <w:rPr>
          <w:i/>
        </w:rPr>
        <w:t>Hematodinium</w:t>
      </w:r>
      <w:r w:rsidRPr="00950097">
        <w:t xml:space="preserve"> sp.-infection on aspects of the respiratory physiology of the Norway lobster, </w:t>
      </w:r>
      <w:r w:rsidRPr="00950097">
        <w:rPr>
          <w:i/>
        </w:rPr>
        <w:t>Nephrops norvegicus</w:t>
      </w:r>
      <w:r w:rsidRPr="00950097">
        <w:t xml:space="preserve"> (L.). </w:t>
      </w:r>
      <w:r w:rsidRPr="00950097">
        <w:rPr>
          <w:i/>
        </w:rPr>
        <w:t>Journal of Experimental Marine Biology and Ecology,</w:t>
      </w:r>
      <w:r w:rsidRPr="00950097">
        <w:t xml:space="preserve"> 207(1-2)</w:t>
      </w:r>
      <w:r w:rsidRPr="00950097">
        <w:rPr>
          <w:b/>
        </w:rPr>
        <w:t>,</w:t>
      </w:r>
      <w:r w:rsidRPr="00950097">
        <w:t xml:space="preserve"> 217-228. 10.1016/S0022-0981(96)02649-4.</w:t>
      </w:r>
      <w:bookmarkEnd w:id="721"/>
    </w:p>
    <w:p w14:paraId="76ACF678" w14:textId="77777777" w:rsidR="00950097" w:rsidRPr="00950097" w:rsidRDefault="00950097" w:rsidP="00950097">
      <w:pPr>
        <w:pStyle w:val="EndNoteBibliography"/>
        <w:spacing w:after="0"/>
        <w:ind w:left="720" w:hanging="720"/>
      </w:pPr>
      <w:bookmarkStart w:id="722" w:name="_ENREF_322"/>
      <w:r w:rsidRPr="00950097">
        <w:t xml:space="preserve">Thaiss, C. A., Zmora, N., Levy, M. &amp; Elinav, E. (2016) The microbiome and innate immunity. </w:t>
      </w:r>
      <w:r w:rsidRPr="00950097">
        <w:rPr>
          <w:i/>
        </w:rPr>
        <w:t>Nature,</w:t>
      </w:r>
      <w:r w:rsidRPr="00950097">
        <w:t xml:space="preserve"> 535(7610)</w:t>
      </w:r>
      <w:r w:rsidRPr="00950097">
        <w:rPr>
          <w:b/>
        </w:rPr>
        <w:t>,</w:t>
      </w:r>
      <w:r w:rsidRPr="00950097">
        <w:t xml:space="preserve"> 65-74. 10.1038/nature18847.</w:t>
      </w:r>
      <w:bookmarkEnd w:id="722"/>
    </w:p>
    <w:p w14:paraId="7A322FDF" w14:textId="77777777" w:rsidR="00950097" w:rsidRPr="00950097" w:rsidRDefault="00950097" w:rsidP="00950097">
      <w:pPr>
        <w:pStyle w:val="EndNoteBibliography"/>
        <w:spacing w:after="0"/>
        <w:ind w:left="720" w:hanging="720"/>
      </w:pPr>
      <w:bookmarkStart w:id="723" w:name="_ENREF_323"/>
      <w:r w:rsidRPr="00950097">
        <w:t xml:space="preserve">Thomas, F., Brown, S. P., Sukhdeo, M. &amp; Renaud, F. (2002) Understanding parasite strategies: a state-dependent approach? </w:t>
      </w:r>
      <w:r w:rsidRPr="00950097">
        <w:rPr>
          <w:i/>
        </w:rPr>
        <w:t>Trends in Parasitology,</w:t>
      </w:r>
      <w:r w:rsidRPr="00950097">
        <w:t xml:space="preserve"> 18(9)</w:t>
      </w:r>
      <w:r w:rsidRPr="00950097">
        <w:rPr>
          <w:b/>
        </w:rPr>
        <w:t>,</w:t>
      </w:r>
      <w:r w:rsidRPr="00950097">
        <w:t xml:space="preserve"> 387-390. 10.1016/S1471-4922(02)02339-5.</w:t>
      </w:r>
      <w:bookmarkEnd w:id="723"/>
    </w:p>
    <w:p w14:paraId="0DF574DE" w14:textId="77777777" w:rsidR="00950097" w:rsidRPr="00950097" w:rsidRDefault="00950097" w:rsidP="00950097">
      <w:pPr>
        <w:pStyle w:val="EndNoteBibliography"/>
        <w:spacing w:after="0"/>
        <w:ind w:left="720" w:hanging="720"/>
      </w:pPr>
      <w:bookmarkStart w:id="724" w:name="_ENREF_324"/>
      <w:r w:rsidRPr="00950097">
        <w:t>Thomas, H. J. (1964) The spawning and fecundity of the Norway Lobsters (</w:t>
      </w:r>
      <w:r w:rsidRPr="00950097">
        <w:rPr>
          <w:i/>
        </w:rPr>
        <w:t xml:space="preserve">Nephrops norvegicus </w:t>
      </w:r>
      <w:r w:rsidRPr="00950097">
        <w:t xml:space="preserve">L.) around the Scottish Coast. </w:t>
      </w:r>
      <w:r w:rsidRPr="00950097">
        <w:rPr>
          <w:i/>
        </w:rPr>
        <w:t>ICES Journal of Marine Science,</w:t>
      </w:r>
      <w:r w:rsidRPr="00950097">
        <w:t xml:space="preserve"> 29(2)</w:t>
      </w:r>
      <w:r w:rsidRPr="00950097">
        <w:rPr>
          <w:b/>
        </w:rPr>
        <w:t>,</w:t>
      </w:r>
      <w:r w:rsidRPr="00950097">
        <w:t xml:space="preserve"> 221-229. 10.1093/icesjms/29.2.221.</w:t>
      </w:r>
      <w:bookmarkEnd w:id="724"/>
    </w:p>
    <w:p w14:paraId="5B71A02E" w14:textId="77777777" w:rsidR="00950097" w:rsidRPr="00950097" w:rsidRDefault="00950097" w:rsidP="00950097">
      <w:pPr>
        <w:pStyle w:val="EndNoteBibliography"/>
        <w:spacing w:after="0"/>
        <w:ind w:left="720" w:hanging="720"/>
      </w:pPr>
      <w:bookmarkStart w:id="725" w:name="_ENREF_325"/>
      <w:r w:rsidRPr="00950097">
        <w:t xml:space="preserve">Thomas, H. J. &amp; Figueiredo, M. J. (1965) Seasonal variations in the catch composition of the Norway lobster, </w:t>
      </w:r>
      <w:r w:rsidRPr="00950097">
        <w:rPr>
          <w:i/>
        </w:rPr>
        <w:t>Nephrops norvegicus</w:t>
      </w:r>
      <w:r w:rsidRPr="00950097">
        <w:t xml:space="preserve"> (l.) around Scotland. </w:t>
      </w:r>
      <w:r w:rsidRPr="00950097">
        <w:rPr>
          <w:i/>
        </w:rPr>
        <w:t>ICES Journal of Marine Science,</w:t>
      </w:r>
      <w:r w:rsidRPr="00950097">
        <w:t xml:space="preserve"> 30(1)</w:t>
      </w:r>
      <w:r w:rsidRPr="00950097">
        <w:rPr>
          <w:b/>
        </w:rPr>
        <w:t>,</w:t>
      </w:r>
      <w:r w:rsidRPr="00950097">
        <w:t xml:space="preserve"> 75-85. 10.1093/icesjms/30.1.75.</w:t>
      </w:r>
      <w:bookmarkEnd w:id="725"/>
    </w:p>
    <w:p w14:paraId="6A588C67" w14:textId="77777777" w:rsidR="00950097" w:rsidRPr="00950097" w:rsidRDefault="00950097" w:rsidP="00950097">
      <w:pPr>
        <w:pStyle w:val="EndNoteBibliography"/>
        <w:spacing w:after="0"/>
        <w:ind w:left="720" w:hanging="720"/>
      </w:pPr>
      <w:bookmarkStart w:id="726" w:name="_ENREF_326"/>
      <w:r w:rsidRPr="00950097">
        <w:t xml:space="preserve">Thomashow, L. S. &amp; Rittenberg, S. C. (1985) Isolation and composition of sheathed flagella from </w:t>
      </w:r>
      <w:r w:rsidRPr="00950097">
        <w:rPr>
          <w:i/>
        </w:rPr>
        <w:t>Bdellovibrio bacteriovorus</w:t>
      </w:r>
      <w:r w:rsidRPr="00950097">
        <w:t xml:space="preserve"> 109J. </w:t>
      </w:r>
      <w:r w:rsidRPr="00950097">
        <w:rPr>
          <w:i/>
        </w:rPr>
        <w:t>Journal of Bacteriology,</w:t>
      </w:r>
      <w:r w:rsidRPr="00950097">
        <w:t xml:space="preserve"> 163(3)</w:t>
      </w:r>
      <w:r w:rsidRPr="00950097">
        <w:rPr>
          <w:b/>
        </w:rPr>
        <w:t>,</w:t>
      </w:r>
      <w:r w:rsidRPr="00950097">
        <w:t xml:space="preserve"> 1047-1054. 10.1128/jb.163.3.1047-1054.1985.</w:t>
      </w:r>
      <w:bookmarkEnd w:id="726"/>
    </w:p>
    <w:p w14:paraId="1C08159C" w14:textId="77777777" w:rsidR="00950097" w:rsidRPr="00950097" w:rsidRDefault="00950097" w:rsidP="00950097">
      <w:pPr>
        <w:pStyle w:val="EndNoteBibliography"/>
        <w:spacing w:after="0"/>
        <w:ind w:left="720" w:hanging="720"/>
      </w:pPr>
      <w:bookmarkStart w:id="727" w:name="_ENREF_327"/>
      <w:r w:rsidRPr="00950097">
        <w:t>Tocher, D. R. &amp; Harvie, D. G. (1988) Fatty acid compositions of the major phosphoglycerides from fish neural tissues; (n-3) and (n-6) polyunsaturated fatty acids in rainbow trout (</w:t>
      </w:r>
      <w:r w:rsidRPr="00950097">
        <w:rPr>
          <w:i/>
        </w:rPr>
        <w:t>Salmo gairdneri</w:t>
      </w:r>
      <w:r w:rsidRPr="00950097">
        <w:t>) and cod (</w:t>
      </w:r>
      <w:r w:rsidRPr="00950097">
        <w:rPr>
          <w:i/>
        </w:rPr>
        <w:t>Gadus morhua</w:t>
      </w:r>
      <w:r w:rsidRPr="00950097">
        <w:t xml:space="preserve">) brains and retinas. </w:t>
      </w:r>
      <w:r w:rsidRPr="00950097">
        <w:rPr>
          <w:i/>
        </w:rPr>
        <w:t>Fish Physiology and Biochemistry,</w:t>
      </w:r>
      <w:r w:rsidRPr="00950097">
        <w:t xml:space="preserve"> 5(4)</w:t>
      </w:r>
      <w:r w:rsidRPr="00950097">
        <w:rPr>
          <w:b/>
        </w:rPr>
        <w:t>,</w:t>
      </w:r>
      <w:r w:rsidRPr="00950097">
        <w:t xml:space="preserve"> 229-239. 10.1007/BF01874800/METRICS.</w:t>
      </w:r>
      <w:bookmarkEnd w:id="727"/>
    </w:p>
    <w:p w14:paraId="6891203F" w14:textId="77777777" w:rsidR="00950097" w:rsidRPr="00950097" w:rsidRDefault="00950097" w:rsidP="00950097">
      <w:pPr>
        <w:pStyle w:val="EndNoteBibliography"/>
        <w:spacing w:after="0"/>
        <w:ind w:left="720" w:hanging="720"/>
      </w:pPr>
      <w:bookmarkStart w:id="728" w:name="_ENREF_328"/>
      <w:r w:rsidRPr="00950097">
        <w:t xml:space="preserve">Tubiash, H. S., Sizemore, R. K. &amp; Colwell, R. R. (1975) Bacterial flora of the hemolymph of the blue crab, </w:t>
      </w:r>
      <w:r w:rsidRPr="00950097">
        <w:rPr>
          <w:i/>
        </w:rPr>
        <w:t>Callinectes sapidus</w:t>
      </w:r>
      <w:r w:rsidRPr="00950097">
        <w:t xml:space="preserve">: most probable numbers. </w:t>
      </w:r>
      <w:r w:rsidRPr="00950097">
        <w:rPr>
          <w:i/>
        </w:rPr>
        <w:t>Applied and Environmental Microbiology,</w:t>
      </w:r>
      <w:r w:rsidRPr="00950097">
        <w:t xml:space="preserve"> 29(3)</w:t>
      </w:r>
      <w:r w:rsidRPr="00950097">
        <w:rPr>
          <w:b/>
        </w:rPr>
        <w:t>,</w:t>
      </w:r>
      <w:r w:rsidRPr="00950097">
        <w:t xml:space="preserve"> 388-392. 10.1128/AM.29.3.388-392.1975.</w:t>
      </w:r>
      <w:bookmarkEnd w:id="728"/>
    </w:p>
    <w:p w14:paraId="4985834C" w14:textId="77777777" w:rsidR="00950097" w:rsidRPr="00950097" w:rsidRDefault="00950097" w:rsidP="00950097">
      <w:pPr>
        <w:pStyle w:val="EndNoteBibliography"/>
        <w:spacing w:after="0"/>
        <w:ind w:left="720" w:hanging="720"/>
      </w:pPr>
      <w:bookmarkStart w:id="729" w:name="_ENREF_329"/>
      <w:r w:rsidRPr="00950097">
        <w:t xml:space="preserve">Tuck, I. (1997) Population biology of the Norway lobster, </w:t>
      </w:r>
      <w:r w:rsidRPr="00950097">
        <w:rPr>
          <w:i/>
        </w:rPr>
        <w:t>Nephrops norvegicus</w:t>
      </w:r>
      <w:r w:rsidRPr="00950097">
        <w:t xml:space="preserve"> (L.) in the Firth of Clyde, Scotland – I: growth and density. </w:t>
      </w:r>
      <w:r w:rsidRPr="00950097">
        <w:rPr>
          <w:i/>
        </w:rPr>
        <w:t>ICES Journal of Marine Science,</w:t>
      </w:r>
      <w:r w:rsidRPr="00950097">
        <w:t xml:space="preserve"> 54(1)</w:t>
      </w:r>
      <w:r w:rsidRPr="00950097">
        <w:rPr>
          <w:b/>
        </w:rPr>
        <w:t>,</w:t>
      </w:r>
      <w:r w:rsidRPr="00950097">
        <w:t xml:space="preserve"> 125-135. 10.1006/jmsc.1996.0179.</w:t>
      </w:r>
      <w:bookmarkEnd w:id="729"/>
    </w:p>
    <w:p w14:paraId="2AC04EFE" w14:textId="77777777" w:rsidR="00950097" w:rsidRPr="00950097" w:rsidRDefault="00950097" w:rsidP="00950097">
      <w:pPr>
        <w:pStyle w:val="EndNoteBibliography"/>
        <w:spacing w:after="0"/>
        <w:ind w:left="720" w:hanging="720"/>
      </w:pPr>
      <w:bookmarkStart w:id="730" w:name="_ENREF_330"/>
      <w:r w:rsidRPr="00950097">
        <w:t xml:space="preserve">Tuck, I. D., Atkinson, R. J. A. &amp; Chapman, C. J. (2000) Population biology of the Norway lobster, </w:t>
      </w:r>
      <w:r w:rsidRPr="00950097">
        <w:rPr>
          <w:i/>
        </w:rPr>
        <w:t>Nephrops norvegicus</w:t>
      </w:r>
      <w:r w:rsidRPr="00950097">
        <w:t xml:space="preserve"> (L.) in the Firth of Clyde, Scotland II: fecundity and size at onset of sexual maturity. </w:t>
      </w:r>
      <w:r w:rsidRPr="00950097">
        <w:rPr>
          <w:i/>
        </w:rPr>
        <w:t>ICES Journal of Marine Science,</w:t>
      </w:r>
      <w:r w:rsidRPr="00950097">
        <w:t xml:space="preserve"> 57(4)</w:t>
      </w:r>
      <w:r w:rsidRPr="00950097">
        <w:rPr>
          <w:b/>
        </w:rPr>
        <w:t>,</w:t>
      </w:r>
      <w:r w:rsidRPr="00950097">
        <w:t xml:space="preserve"> 1227-1239. 10.1006/JMSC.2000.0809.</w:t>
      </w:r>
      <w:bookmarkEnd w:id="730"/>
    </w:p>
    <w:p w14:paraId="6F0537BB" w14:textId="77777777" w:rsidR="00950097" w:rsidRPr="00950097" w:rsidRDefault="00950097" w:rsidP="00950097">
      <w:pPr>
        <w:pStyle w:val="EndNoteBibliography"/>
        <w:spacing w:after="0"/>
        <w:ind w:left="720" w:hanging="720"/>
      </w:pPr>
      <w:bookmarkStart w:id="731" w:name="_ENREF_331"/>
      <w:r w:rsidRPr="00950097">
        <w:t xml:space="preserve">Tuck, I. D., Taylor, A. C., Atkinson, R. J. A., Gramitto, M. E. &amp; Smith, C. (1997) Biochemical composition of </w:t>
      </w:r>
      <w:r w:rsidRPr="00950097">
        <w:rPr>
          <w:i/>
        </w:rPr>
        <w:t>Nephrops norvegicus</w:t>
      </w:r>
      <w:r w:rsidRPr="00950097">
        <w:t xml:space="preserve"> : changes associated with ovary maturation. </w:t>
      </w:r>
      <w:r w:rsidRPr="00950097">
        <w:rPr>
          <w:i/>
        </w:rPr>
        <w:t>Marine Biology,</w:t>
      </w:r>
      <w:r w:rsidRPr="00950097">
        <w:t xml:space="preserve"> 129(3)</w:t>
      </w:r>
      <w:r w:rsidRPr="00950097">
        <w:rPr>
          <w:b/>
        </w:rPr>
        <w:t>,</w:t>
      </w:r>
      <w:r w:rsidRPr="00950097">
        <w:t xml:space="preserve"> 505-511. 10.1007/S002270050191.</w:t>
      </w:r>
      <w:bookmarkEnd w:id="731"/>
    </w:p>
    <w:p w14:paraId="572F4A81" w14:textId="77777777" w:rsidR="00950097" w:rsidRPr="00950097" w:rsidRDefault="00950097" w:rsidP="00950097">
      <w:pPr>
        <w:pStyle w:val="EndNoteBibliography"/>
        <w:spacing w:after="0"/>
        <w:ind w:left="720" w:hanging="720"/>
      </w:pPr>
      <w:bookmarkStart w:id="732" w:name="_ENREF_332"/>
      <w:r w:rsidRPr="00950097">
        <w:t>Tzeng, T.-D., Pao, Y.-Y., Chen, P.-C., Weng, F. C.-H., Jean, W. D. &amp; Wang, D. (2015) Effects of host phylogeny and habitats on gut microbiomes of oriental river prawn (</w:t>
      </w:r>
      <w:r w:rsidRPr="00950097">
        <w:rPr>
          <w:i/>
        </w:rPr>
        <w:t>Macrobrachium nipponense</w:t>
      </w:r>
      <w:r w:rsidRPr="00950097">
        <w:t xml:space="preserve">). </w:t>
      </w:r>
      <w:r w:rsidRPr="00950097">
        <w:rPr>
          <w:i/>
        </w:rPr>
        <w:t>PLOS ONE,</w:t>
      </w:r>
      <w:r w:rsidRPr="00950097">
        <w:t xml:space="preserve"> 10(7)</w:t>
      </w:r>
      <w:r w:rsidRPr="00950097">
        <w:rPr>
          <w:b/>
        </w:rPr>
        <w:t>,</w:t>
      </w:r>
      <w:r w:rsidRPr="00950097">
        <w:t xml:space="preserve"> e0132860. 10.1371/journal.pone.0132860.</w:t>
      </w:r>
      <w:bookmarkEnd w:id="732"/>
    </w:p>
    <w:p w14:paraId="51C2CBCD" w14:textId="77777777" w:rsidR="00950097" w:rsidRPr="00950097" w:rsidRDefault="00950097" w:rsidP="00950097">
      <w:pPr>
        <w:pStyle w:val="EndNoteBibliography"/>
        <w:spacing w:after="0"/>
        <w:ind w:left="720" w:hanging="720"/>
      </w:pPr>
      <w:bookmarkStart w:id="733" w:name="_ENREF_333"/>
      <w:r w:rsidRPr="00950097">
        <w:t xml:space="preserve">Ulusan Bagci, O. &amp; Caner, A. (2022) The interaction of gut microbiota with parasitic protozoa. </w:t>
      </w:r>
      <w:r w:rsidRPr="00950097">
        <w:rPr>
          <w:i/>
        </w:rPr>
        <w:t>Journal of Parasitic Diseases,</w:t>
      </w:r>
      <w:r w:rsidRPr="00950097">
        <w:t xml:space="preserve"> 46(1)</w:t>
      </w:r>
      <w:r w:rsidRPr="00950097">
        <w:rPr>
          <w:b/>
        </w:rPr>
        <w:t>,</w:t>
      </w:r>
      <w:r w:rsidRPr="00950097">
        <w:t xml:space="preserve"> 8-11. 10.1007/s12639-021-01443-5.</w:t>
      </w:r>
      <w:bookmarkEnd w:id="733"/>
    </w:p>
    <w:p w14:paraId="1427A332" w14:textId="77777777" w:rsidR="00950097" w:rsidRPr="00950097" w:rsidRDefault="00950097" w:rsidP="00950097">
      <w:pPr>
        <w:pStyle w:val="EndNoteBibliography"/>
        <w:spacing w:after="0"/>
        <w:ind w:left="720" w:hanging="720"/>
      </w:pPr>
      <w:bookmarkStart w:id="734" w:name="_ENREF_334"/>
      <w:r w:rsidRPr="00950097">
        <w:t xml:space="preserve">Unnikrishnan, U. &amp; Paulraj, R. (2010) Dietary protein requirement of giant mud crab </w:t>
      </w:r>
      <w:r w:rsidRPr="00950097">
        <w:rPr>
          <w:i/>
        </w:rPr>
        <w:t>Scylla serrata</w:t>
      </w:r>
      <w:r w:rsidRPr="00950097">
        <w:t xml:space="preserve"> juveniles fed iso-energetic formulated diets having graded protein levels. </w:t>
      </w:r>
      <w:r w:rsidRPr="00950097">
        <w:rPr>
          <w:i/>
        </w:rPr>
        <w:t>Aquaculture Research,</w:t>
      </w:r>
      <w:r w:rsidRPr="00950097">
        <w:t xml:space="preserve"> 41(2)</w:t>
      </w:r>
      <w:r w:rsidRPr="00950097">
        <w:rPr>
          <w:b/>
        </w:rPr>
        <w:t>,</w:t>
      </w:r>
      <w:r w:rsidRPr="00950097">
        <w:t xml:space="preserve"> 278-294. 10.1111/j.1365-2109.2009.02330.x.</w:t>
      </w:r>
      <w:bookmarkEnd w:id="734"/>
    </w:p>
    <w:p w14:paraId="3E64CD19" w14:textId="77777777" w:rsidR="00950097" w:rsidRPr="00950097" w:rsidRDefault="00950097" w:rsidP="00950097">
      <w:pPr>
        <w:pStyle w:val="EndNoteBibliography"/>
        <w:spacing w:after="0"/>
        <w:ind w:left="720" w:hanging="720"/>
      </w:pPr>
      <w:bookmarkStart w:id="735" w:name="_ENREF_335"/>
      <w:r w:rsidRPr="00950097">
        <w:t xml:space="preserve">Vacca, M., Celano, G., Calabrese, F. M., Portincasa, P., Gobbetti, M. &amp; De Angelis, M. (2020) The Controversial Role of Human Gut Lachnospiraceae. </w:t>
      </w:r>
      <w:r w:rsidRPr="00950097">
        <w:rPr>
          <w:i/>
        </w:rPr>
        <w:t>Microorganisms</w:t>
      </w:r>
      <w:r w:rsidRPr="00950097">
        <w:t>, 8(4).</w:t>
      </w:r>
      <w:bookmarkEnd w:id="735"/>
    </w:p>
    <w:p w14:paraId="1D6A0764" w14:textId="77777777" w:rsidR="00950097" w:rsidRPr="00950097" w:rsidRDefault="00950097" w:rsidP="00950097">
      <w:pPr>
        <w:pStyle w:val="EndNoteBibliography"/>
        <w:spacing w:after="0"/>
        <w:ind w:left="720" w:hanging="720"/>
      </w:pPr>
      <w:bookmarkStart w:id="736" w:name="_ENREF_336"/>
      <w:r w:rsidRPr="00950097">
        <w:t xml:space="preserve">Valentine, R. C. &amp; Valentine, D. L. (2004) Omega-3 fatty acids in cellular membranes: a unified concept. </w:t>
      </w:r>
      <w:r w:rsidRPr="00950097">
        <w:rPr>
          <w:i/>
        </w:rPr>
        <w:t>Progress in Lipid Research,</w:t>
      </w:r>
      <w:r w:rsidRPr="00950097">
        <w:t xml:space="preserve"> 43(5)</w:t>
      </w:r>
      <w:r w:rsidRPr="00950097">
        <w:rPr>
          <w:b/>
        </w:rPr>
        <w:t>,</w:t>
      </w:r>
      <w:r w:rsidRPr="00950097">
        <w:t xml:space="preserve"> 383-402. 10.1016/j.plipres.2004.05.004.</w:t>
      </w:r>
      <w:bookmarkEnd w:id="736"/>
    </w:p>
    <w:p w14:paraId="2C8435A2" w14:textId="77777777" w:rsidR="00950097" w:rsidRPr="00950097" w:rsidRDefault="00950097" w:rsidP="00950097">
      <w:pPr>
        <w:pStyle w:val="EndNoteBibliography"/>
        <w:spacing w:after="0"/>
        <w:ind w:left="720" w:hanging="720"/>
      </w:pPr>
      <w:bookmarkStart w:id="737" w:name="_ENREF_337"/>
      <w:r w:rsidRPr="00950097">
        <w:t xml:space="preserve">Vallochi, A. L., Teixeira, L., Oliveira, K. D. S., Maya-Monteiro, C. M. &amp; Bozza, P. T. (2018) Lipid droplet, a key player in host-parasite interactions. </w:t>
      </w:r>
      <w:r w:rsidRPr="00950097">
        <w:rPr>
          <w:i/>
        </w:rPr>
        <w:t>Frontiers in Immunology,</w:t>
      </w:r>
      <w:r w:rsidRPr="00950097">
        <w:t xml:space="preserve"> 9</w:t>
      </w:r>
      <w:r w:rsidRPr="00950097">
        <w:rPr>
          <w:b/>
        </w:rPr>
        <w:t>,</w:t>
      </w:r>
      <w:r w:rsidRPr="00950097">
        <w:t xml:space="preserve"> 1022. 10.3389/fimmu.2018.01022.</w:t>
      </w:r>
      <w:bookmarkEnd w:id="737"/>
    </w:p>
    <w:p w14:paraId="6CBB1FEB" w14:textId="77777777" w:rsidR="00950097" w:rsidRPr="00950097" w:rsidRDefault="00950097" w:rsidP="00950097">
      <w:pPr>
        <w:pStyle w:val="EndNoteBibliography"/>
        <w:spacing w:after="0"/>
        <w:ind w:left="720" w:hanging="720"/>
      </w:pPr>
      <w:bookmarkStart w:id="738" w:name="_ENREF_338"/>
      <w:r w:rsidRPr="00950097">
        <w:t xml:space="preserve">van der Meer-Janssen, Y. P., van Galen, J., Batenburg, J. J. &amp; Helms, J. B. (2010) Lipids in host-pathogen interactions: pathogens exploit the complexity of the host cell lipidome. </w:t>
      </w:r>
      <w:r w:rsidRPr="00950097">
        <w:rPr>
          <w:i/>
        </w:rPr>
        <w:t>Progress in Lipid Research,</w:t>
      </w:r>
      <w:r w:rsidRPr="00950097">
        <w:t xml:space="preserve"> 49(1)</w:t>
      </w:r>
      <w:r w:rsidRPr="00950097">
        <w:rPr>
          <w:b/>
        </w:rPr>
        <w:t>,</w:t>
      </w:r>
      <w:r w:rsidRPr="00950097">
        <w:t xml:space="preserve"> 1-26. 10.1016/j.plipres.2009.07.003.</w:t>
      </w:r>
      <w:bookmarkEnd w:id="738"/>
    </w:p>
    <w:p w14:paraId="264ED67E" w14:textId="77777777" w:rsidR="00950097" w:rsidRPr="00950097" w:rsidRDefault="00950097" w:rsidP="00950097">
      <w:pPr>
        <w:pStyle w:val="EndNoteBibliography"/>
        <w:spacing w:after="0"/>
        <w:ind w:left="720" w:hanging="720"/>
      </w:pPr>
      <w:bookmarkStart w:id="739" w:name="_ENREF_339"/>
      <w:r w:rsidRPr="00950097">
        <w:t>van Hellemond, J. J. &amp; Tielens, A. G. M. (2006) Adaptations in the lipid metabolism of the protozoan parasite</w:t>
      </w:r>
      <w:r w:rsidRPr="00950097">
        <w:rPr>
          <w:i/>
        </w:rPr>
        <w:t xml:space="preserve"> Trypanosoma brucei</w:t>
      </w:r>
      <w:r w:rsidRPr="00950097">
        <w:t xml:space="preserve">. </w:t>
      </w:r>
      <w:r w:rsidRPr="00950097">
        <w:rPr>
          <w:i/>
        </w:rPr>
        <w:t>FEBS letters,</w:t>
      </w:r>
      <w:r w:rsidRPr="00950097">
        <w:t xml:space="preserve"> 580(23)</w:t>
      </w:r>
      <w:r w:rsidRPr="00950097">
        <w:rPr>
          <w:b/>
        </w:rPr>
        <w:t>,</w:t>
      </w:r>
      <w:r w:rsidRPr="00950097">
        <w:t xml:space="preserve"> 5552-5558. 10.1016/J.FEBSLET.2006.07.056.</w:t>
      </w:r>
      <w:bookmarkEnd w:id="739"/>
    </w:p>
    <w:p w14:paraId="6CD16FD4" w14:textId="77777777" w:rsidR="00950097" w:rsidRPr="00950097" w:rsidRDefault="00950097" w:rsidP="00950097">
      <w:pPr>
        <w:pStyle w:val="EndNoteBibliography"/>
        <w:spacing w:after="0"/>
        <w:ind w:left="720" w:hanging="720"/>
      </w:pPr>
      <w:bookmarkStart w:id="740" w:name="_ENREF_340"/>
      <w:r w:rsidRPr="00950097">
        <w:t xml:space="preserve">Vaseeharan, B., Sundararaj, S., Murugan, T. &amp; Chen, J. C. (2007) </w:t>
      </w:r>
      <w:r w:rsidRPr="00950097">
        <w:rPr>
          <w:i/>
        </w:rPr>
        <w:t>Photobacterium damselae</w:t>
      </w:r>
      <w:r w:rsidRPr="00950097">
        <w:t xml:space="preserve"> ssp. </w:t>
      </w:r>
      <w:r w:rsidRPr="00950097">
        <w:rPr>
          <w:i/>
        </w:rPr>
        <w:t>damselae</w:t>
      </w:r>
      <w:r w:rsidRPr="00950097">
        <w:t xml:space="preserve"> associated with diseased black tiger shrimp </w:t>
      </w:r>
      <w:r w:rsidRPr="00950097">
        <w:rPr>
          <w:i/>
        </w:rPr>
        <w:t>Penaeus monodon</w:t>
      </w:r>
      <w:r w:rsidRPr="00950097">
        <w:t xml:space="preserve"> Fabricius in India. </w:t>
      </w:r>
      <w:r w:rsidRPr="00950097">
        <w:rPr>
          <w:i/>
        </w:rPr>
        <w:t>Letters in Applied Microbiology,</w:t>
      </w:r>
      <w:r w:rsidRPr="00950097">
        <w:t xml:space="preserve"> 45(1)</w:t>
      </w:r>
      <w:r w:rsidRPr="00950097">
        <w:rPr>
          <w:b/>
        </w:rPr>
        <w:t>,</w:t>
      </w:r>
      <w:r w:rsidRPr="00950097">
        <w:t xml:space="preserve"> 82-86. 10.1111/j.1472-765X.2007.02139.x.</w:t>
      </w:r>
      <w:bookmarkEnd w:id="740"/>
    </w:p>
    <w:p w14:paraId="6E074037" w14:textId="77777777" w:rsidR="00950097" w:rsidRPr="00950097" w:rsidRDefault="00950097" w:rsidP="00950097">
      <w:pPr>
        <w:pStyle w:val="EndNoteBibliography"/>
        <w:spacing w:after="0"/>
        <w:ind w:left="720" w:hanging="720"/>
      </w:pPr>
      <w:bookmarkStart w:id="741" w:name="_ENREF_341"/>
      <w:r w:rsidRPr="00950097">
        <w:t xml:space="preserve">Vijay, A. &amp; Valdes, A. M. (2022) Role of the gut microbiome in chronic diseases: a narrative review. </w:t>
      </w:r>
      <w:r w:rsidRPr="00950097">
        <w:rPr>
          <w:i/>
        </w:rPr>
        <w:t>European Journal of Clinical Nutrition,</w:t>
      </w:r>
      <w:r w:rsidRPr="00950097">
        <w:t xml:space="preserve"> 76(4)</w:t>
      </w:r>
      <w:r w:rsidRPr="00950097">
        <w:rPr>
          <w:b/>
        </w:rPr>
        <w:t>,</w:t>
      </w:r>
      <w:r w:rsidRPr="00950097">
        <w:t xml:space="preserve"> 489-501. 10.1038/s41430-021-00991-6.</w:t>
      </w:r>
      <w:bookmarkEnd w:id="741"/>
    </w:p>
    <w:p w14:paraId="1F20BE54" w14:textId="77777777" w:rsidR="00950097" w:rsidRPr="00950097" w:rsidRDefault="00950097" w:rsidP="00950097">
      <w:pPr>
        <w:pStyle w:val="EndNoteBibliography"/>
        <w:spacing w:after="0"/>
        <w:ind w:left="720" w:hanging="720"/>
      </w:pPr>
      <w:bookmarkStart w:id="742" w:name="_ENREF_342"/>
      <w:r w:rsidRPr="00950097">
        <w:t xml:space="preserve">Vizoso, D. B. &amp; Ebert, D. (2005) Phenotypic plasticity of host–parasite interactions in response to the route of infection. </w:t>
      </w:r>
      <w:r w:rsidRPr="00950097">
        <w:rPr>
          <w:i/>
        </w:rPr>
        <w:t>Journal of Evolutionary Biology,</w:t>
      </w:r>
      <w:r w:rsidRPr="00950097">
        <w:t xml:space="preserve"> 18(4)</w:t>
      </w:r>
      <w:r w:rsidRPr="00950097">
        <w:rPr>
          <w:b/>
        </w:rPr>
        <w:t>,</w:t>
      </w:r>
      <w:r w:rsidRPr="00950097">
        <w:t xml:space="preserve"> 911-921. 10.1111/J.1420-9101.2005.00920.X.</w:t>
      </w:r>
      <w:bookmarkEnd w:id="742"/>
    </w:p>
    <w:p w14:paraId="3E1216BA" w14:textId="77777777" w:rsidR="00950097" w:rsidRPr="00950097" w:rsidRDefault="00950097" w:rsidP="00950097">
      <w:pPr>
        <w:pStyle w:val="EndNoteBibliography"/>
        <w:spacing w:after="0"/>
        <w:ind w:left="720" w:hanging="720"/>
      </w:pPr>
      <w:bookmarkStart w:id="743" w:name="_ENREF_343"/>
      <w:r w:rsidRPr="00950097">
        <w:t xml:space="preserve">Walker, A. N., Lee, R. F. &amp; Frischer, M. E. (2009) Transmission of the parasitic dinoflagellate </w:t>
      </w:r>
      <w:r w:rsidRPr="00950097">
        <w:rPr>
          <w:i/>
        </w:rPr>
        <w:t>Hematodinium</w:t>
      </w:r>
      <w:r w:rsidRPr="00950097">
        <w:t xml:space="preserve"> sp. infection in blue crabs </w:t>
      </w:r>
      <w:r w:rsidRPr="00950097">
        <w:rPr>
          <w:i/>
        </w:rPr>
        <w:t>Callinectes sapidus</w:t>
      </w:r>
      <w:r w:rsidRPr="00950097">
        <w:t xml:space="preserve"> by cannibalism. </w:t>
      </w:r>
      <w:r w:rsidRPr="00950097">
        <w:rPr>
          <w:i/>
        </w:rPr>
        <w:t>Diseases of Aquatic Organisms,</w:t>
      </w:r>
      <w:r w:rsidRPr="00950097">
        <w:t xml:space="preserve"> 85(3)</w:t>
      </w:r>
      <w:r w:rsidRPr="00950097">
        <w:rPr>
          <w:b/>
        </w:rPr>
        <w:t>,</w:t>
      </w:r>
      <w:r w:rsidRPr="00950097">
        <w:t xml:space="preserve"> 193-197. 10.3354/dao02072.</w:t>
      </w:r>
      <w:bookmarkEnd w:id="743"/>
    </w:p>
    <w:p w14:paraId="237DE14D" w14:textId="77777777" w:rsidR="00950097" w:rsidRPr="00950097" w:rsidRDefault="00950097" w:rsidP="00950097">
      <w:pPr>
        <w:pStyle w:val="EndNoteBibliography"/>
        <w:spacing w:after="0"/>
        <w:ind w:left="720" w:hanging="720"/>
      </w:pPr>
      <w:bookmarkStart w:id="744" w:name="_ENREF_344"/>
      <w:r w:rsidRPr="00950097">
        <w:t xml:space="preserve">Wang, J., Huang, Y., Xu, K., Zhang, X., Sun, H., Fan, L. &amp; Yan, M. (2019) White spot syndrome virus (WSSV) infection impacts intestinal microbiota composition and function in </w:t>
      </w:r>
      <w:r w:rsidRPr="00950097">
        <w:rPr>
          <w:i/>
        </w:rPr>
        <w:t>Litopenaeus vannamei</w:t>
      </w:r>
      <w:r w:rsidRPr="00950097">
        <w:t xml:space="preserve">. </w:t>
      </w:r>
      <w:r w:rsidRPr="00950097">
        <w:rPr>
          <w:i/>
        </w:rPr>
        <w:t>Fish and Shellfish Immunology,</w:t>
      </w:r>
      <w:r w:rsidRPr="00950097">
        <w:t xml:space="preserve"> 84(July 2018)</w:t>
      </w:r>
      <w:r w:rsidRPr="00950097">
        <w:rPr>
          <w:b/>
        </w:rPr>
        <w:t>,</w:t>
      </w:r>
      <w:r w:rsidRPr="00950097">
        <w:t xml:space="preserve"> 130-137. 10.1016/j.fsi.2018.09.076.</w:t>
      </w:r>
      <w:bookmarkEnd w:id="744"/>
    </w:p>
    <w:p w14:paraId="2311C90B" w14:textId="77777777" w:rsidR="00950097" w:rsidRPr="00950097" w:rsidRDefault="00950097" w:rsidP="00950097">
      <w:pPr>
        <w:pStyle w:val="EndNoteBibliography"/>
        <w:spacing w:after="0"/>
        <w:ind w:left="720" w:hanging="720"/>
      </w:pPr>
      <w:bookmarkStart w:id="745" w:name="_ENREF_345"/>
      <w:r w:rsidRPr="00950097">
        <w:t xml:space="preserve">Wang, J. F., Li, M., Xiao, J., Xu, W. J. &amp; Li, C. W. (2017) </w:t>
      </w:r>
      <w:r w:rsidRPr="00950097">
        <w:rPr>
          <w:i/>
        </w:rPr>
        <w:t>Hematodinium</w:t>
      </w:r>
      <w:r w:rsidRPr="00950097">
        <w:t xml:space="preserve"> spp. infections in wild and cultured populations of marine crustaceans along the coast of China. </w:t>
      </w:r>
      <w:r w:rsidRPr="00950097">
        <w:rPr>
          <w:i/>
        </w:rPr>
        <w:t>Diseases of Aquatic Organisms,</w:t>
      </w:r>
      <w:r w:rsidRPr="00950097">
        <w:t xml:space="preserve"> 124(3)</w:t>
      </w:r>
      <w:r w:rsidRPr="00950097">
        <w:rPr>
          <w:b/>
        </w:rPr>
        <w:t>,</w:t>
      </w:r>
      <w:r w:rsidRPr="00950097">
        <w:t xml:space="preserve"> 181-191. 10.3354/DAO03119.</w:t>
      </w:r>
      <w:bookmarkEnd w:id="745"/>
    </w:p>
    <w:p w14:paraId="17002E4C" w14:textId="77777777" w:rsidR="00950097" w:rsidRPr="00950097" w:rsidRDefault="00950097" w:rsidP="00950097">
      <w:pPr>
        <w:pStyle w:val="EndNoteBibliography"/>
        <w:spacing w:after="0"/>
        <w:ind w:left="720" w:hanging="720"/>
      </w:pPr>
      <w:bookmarkStart w:id="746" w:name="_ENREF_346"/>
      <w:r w:rsidRPr="00950097">
        <w:t xml:space="preserve">Wang, W., Wu, X., Liu, Z., Zheng, H. &amp; Cheng, Y. (2014) Insights into hepatopancreatic functions for nutrition metabolism and ovarian development in the crab </w:t>
      </w:r>
      <w:r w:rsidRPr="00950097">
        <w:rPr>
          <w:i/>
        </w:rPr>
        <w:t>Portunus trituberculatus</w:t>
      </w:r>
      <w:r w:rsidRPr="00950097">
        <w:t xml:space="preserve">: Gene discovery in the comparative transcriptome of different hepatopancreas stages. </w:t>
      </w:r>
      <w:r w:rsidRPr="00950097">
        <w:rPr>
          <w:i/>
        </w:rPr>
        <w:t>PLOS ONE,</w:t>
      </w:r>
      <w:r w:rsidRPr="00950097">
        <w:t xml:space="preserve"> 9(1)</w:t>
      </w:r>
      <w:r w:rsidRPr="00950097">
        <w:rPr>
          <w:b/>
        </w:rPr>
        <w:t>,</w:t>
      </w:r>
      <w:r w:rsidRPr="00950097">
        <w:t xml:space="preserve"> 84921-84921. 10.1371/JOURNAL.PONE.0084921.</w:t>
      </w:r>
      <w:bookmarkEnd w:id="746"/>
    </w:p>
    <w:p w14:paraId="2D9B3A44" w14:textId="77777777" w:rsidR="00950097" w:rsidRPr="00950097" w:rsidRDefault="00950097" w:rsidP="00950097">
      <w:pPr>
        <w:pStyle w:val="EndNoteBibliography"/>
        <w:spacing w:after="0"/>
        <w:ind w:left="720" w:hanging="720"/>
      </w:pPr>
      <w:bookmarkStart w:id="747" w:name="_ENREF_347"/>
      <w:r w:rsidRPr="00950097">
        <w:t xml:space="preserve">Wang, X., Jin, M., Cheng, X., Hu, X., Zhao, M., Yuan, Y., Sun, P., Jiao, L., Betancor, M. B., Tocher, D. R. &amp; Zhou, Q. (2021) Dietary DHA/EPA ratio affects growth, tissue fatty acid profiles and expression of genes involved in lipid metabolism in mud crab </w:t>
      </w:r>
      <w:r w:rsidRPr="00950097">
        <w:rPr>
          <w:i/>
        </w:rPr>
        <w:t>Scylla paramamosain</w:t>
      </w:r>
      <w:r w:rsidRPr="00950097">
        <w:t xml:space="preserve"> supplied with appropriate n-3 LC-PUFA at two lipid levels. </w:t>
      </w:r>
      <w:r w:rsidRPr="00950097">
        <w:rPr>
          <w:i/>
        </w:rPr>
        <w:t>Aquaculture,</w:t>
      </w:r>
      <w:r w:rsidRPr="00950097">
        <w:t xml:space="preserve"> 532</w:t>
      </w:r>
      <w:r w:rsidRPr="00950097">
        <w:rPr>
          <w:b/>
        </w:rPr>
        <w:t>,</w:t>
      </w:r>
      <w:r w:rsidRPr="00950097">
        <w:t xml:space="preserve"> 736028. 10.1016/j.aquaculture.2020.736028.</w:t>
      </w:r>
      <w:bookmarkEnd w:id="747"/>
    </w:p>
    <w:p w14:paraId="0B10E4CB" w14:textId="77777777" w:rsidR="00950097" w:rsidRPr="00950097" w:rsidRDefault="00950097" w:rsidP="00950097">
      <w:pPr>
        <w:pStyle w:val="EndNoteBibliography"/>
        <w:spacing w:after="0"/>
        <w:ind w:left="720" w:hanging="720"/>
      </w:pPr>
      <w:bookmarkStart w:id="748" w:name="_ENREF_348"/>
      <w:r w:rsidRPr="00950097">
        <w:t xml:space="preserve">Wang, X. W. &amp; Wang, J. X. (2015) Crustacean hemolymph microbiota: endemic, tightly controlled, and utilization expectable. </w:t>
      </w:r>
      <w:r w:rsidRPr="00950097">
        <w:rPr>
          <w:i/>
        </w:rPr>
        <w:t>Molecular Immunology,</w:t>
      </w:r>
      <w:r w:rsidRPr="00950097">
        <w:t xml:space="preserve"> 68(2)</w:t>
      </w:r>
      <w:r w:rsidRPr="00950097">
        <w:rPr>
          <w:b/>
        </w:rPr>
        <w:t>,</w:t>
      </w:r>
      <w:r w:rsidRPr="00950097">
        <w:t xml:space="preserve"> 404-411. 10.1016/J.MOLIMM.2015.06.018.</w:t>
      </w:r>
      <w:bookmarkEnd w:id="748"/>
    </w:p>
    <w:p w14:paraId="0B15640C" w14:textId="77777777" w:rsidR="00950097" w:rsidRPr="00950097" w:rsidRDefault="00950097" w:rsidP="00950097">
      <w:pPr>
        <w:pStyle w:val="EndNoteBibliography"/>
        <w:spacing w:after="0"/>
        <w:ind w:left="720" w:hanging="720"/>
      </w:pPr>
      <w:bookmarkStart w:id="749" w:name="_ENREF_349"/>
      <w:r w:rsidRPr="00950097">
        <w:t xml:space="preserve">Ward, L. M., Bertran, E. &amp; Johnston, D. T. (2021) Expanded Genomic Sampling Refines Current Understanding of the Distribution and Evolution of Sulfur Metabolisms in the Desulfobulbales. </w:t>
      </w:r>
      <w:r w:rsidRPr="00950097">
        <w:rPr>
          <w:i/>
        </w:rPr>
        <w:t>Frontiers in Microbiology,</w:t>
      </w:r>
      <w:r w:rsidRPr="00950097">
        <w:t xml:space="preserve"> 12. 10.3389/fmicb.2021.666052.</w:t>
      </w:r>
      <w:bookmarkEnd w:id="749"/>
    </w:p>
    <w:p w14:paraId="505324E1" w14:textId="26BB55A0" w:rsidR="00950097" w:rsidRPr="00950097" w:rsidRDefault="00950097" w:rsidP="00950097">
      <w:pPr>
        <w:pStyle w:val="EndNoteBibliography"/>
        <w:spacing w:after="0"/>
        <w:ind w:left="720" w:hanging="720"/>
      </w:pPr>
      <w:bookmarkStart w:id="750" w:name="_ENREF_350"/>
      <w:r w:rsidRPr="00950097">
        <w:t xml:space="preserve">Wassall, S. R. &amp; Stillwell, W. (2008) Docosahexaenoic acid domains: the ultimate non-raft membrane domain. </w:t>
      </w:r>
      <w:r w:rsidRPr="00950097">
        <w:rPr>
          <w:i/>
        </w:rPr>
        <w:t>Chemistry and Physics of Lipids,</w:t>
      </w:r>
      <w:r w:rsidRPr="00950097">
        <w:t xml:space="preserve"> 153(1)</w:t>
      </w:r>
      <w:r w:rsidRPr="00950097">
        <w:rPr>
          <w:b/>
        </w:rPr>
        <w:t>,</w:t>
      </w:r>
      <w:r w:rsidRPr="00950097">
        <w:t xml:space="preserve"> 57-63. </w:t>
      </w:r>
      <w:hyperlink r:id="rId147" w:history="1">
        <w:r w:rsidRPr="00950097">
          <w:rPr>
            <w:rStyle w:val="Hyperlink"/>
          </w:rPr>
          <w:t>https://doi.org/10.1016/j.chemphyslip.2008.02.010</w:t>
        </w:r>
      </w:hyperlink>
      <w:r w:rsidRPr="00950097">
        <w:t>.</w:t>
      </w:r>
      <w:bookmarkEnd w:id="750"/>
    </w:p>
    <w:p w14:paraId="27DBDFF7" w14:textId="77777777" w:rsidR="00950097" w:rsidRPr="00950097" w:rsidRDefault="00950097" w:rsidP="00950097">
      <w:pPr>
        <w:pStyle w:val="EndNoteBibliography"/>
        <w:spacing w:after="0"/>
        <w:ind w:left="720" w:hanging="720"/>
      </w:pPr>
      <w:bookmarkStart w:id="751" w:name="_ENREF_351"/>
      <w:r w:rsidRPr="00950097">
        <w:t xml:space="preserve">Watts, A. J. R. (2012) </w:t>
      </w:r>
      <w:r w:rsidRPr="00950097">
        <w:rPr>
          <w:i/>
        </w:rPr>
        <w:t>Nutritional status and trophic dynamics of the Norway lobster Nephrops norvegicus (L.).</w:t>
      </w:r>
      <w:r w:rsidRPr="00950097">
        <w:t xml:space="preserve"> Doctor of Phylosophy  University of Glasgow.</w:t>
      </w:r>
      <w:bookmarkEnd w:id="751"/>
    </w:p>
    <w:p w14:paraId="16F979D5" w14:textId="77777777" w:rsidR="00950097" w:rsidRPr="00950097" w:rsidRDefault="00950097" w:rsidP="00950097">
      <w:pPr>
        <w:pStyle w:val="EndNoteBibliography"/>
        <w:spacing w:after="0"/>
        <w:ind w:left="720" w:hanging="720"/>
      </w:pPr>
      <w:bookmarkStart w:id="752" w:name="_ENREF_352"/>
      <w:r w:rsidRPr="00950097">
        <w:t xml:space="preserve">Watts, A. J. R., Albalat, A., Smith, I. P., Atkinson, R. J. A. &amp; Neil, D. M. (2016) Seasonal nutritional status in Norway lobsters, </w:t>
      </w:r>
      <w:r w:rsidRPr="00950097">
        <w:rPr>
          <w:i/>
        </w:rPr>
        <w:t>Nephrops norvegicus</w:t>
      </w:r>
      <w:r w:rsidRPr="00950097">
        <w:t xml:space="preserve"> (L.): are females nutritionally compromised over the winter? </w:t>
      </w:r>
      <w:r w:rsidRPr="00950097">
        <w:rPr>
          <w:i/>
        </w:rPr>
        <w:t>Marine Biology Research,</w:t>
      </w:r>
      <w:r w:rsidRPr="00950097">
        <w:t xml:space="preserve"> 12(6)</w:t>
      </w:r>
      <w:r w:rsidRPr="00950097">
        <w:rPr>
          <w:b/>
        </w:rPr>
        <w:t>,</w:t>
      </w:r>
      <w:r w:rsidRPr="00950097">
        <w:t xml:space="preserve"> 563-572. 10.1080/17451000.2016.1174337.</w:t>
      </w:r>
      <w:bookmarkEnd w:id="752"/>
    </w:p>
    <w:p w14:paraId="2CCDD76D" w14:textId="77777777" w:rsidR="00950097" w:rsidRPr="00950097" w:rsidRDefault="00950097" w:rsidP="00950097">
      <w:pPr>
        <w:pStyle w:val="EndNoteBibliography"/>
        <w:spacing w:after="0"/>
        <w:ind w:left="720" w:hanging="720"/>
      </w:pPr>
      <w:bookmarkStart w:id="753" w:name="_ENREF_353"/>
      <w:r w:rsidRPr="00950097">
        <w:t>Wei, H., Wang, H., Tang, L., Mu, C., Ye, C., Chen, L. &amp; Wang, C. (2019) High-throughput sequencing reveals the core gut microbiota of the mud crab (</w:t>
      </w:r>
      <w:r w:rsidRPr="00950097">
        <w:rPr>
          <w:i/>
        </w:rPr>
        <w:t>Scylla paramamosain</w:t>
      </w:r>
      <w:r w:rsidRPr="00950097">
        <w:t xml:space="preserve">) in different coastal regions of southern China. </w:t>
      </w:r>
      <w:r w:rsidRPr="00950097">
        <w:rPr>
          <w:i/>
        </w:rPr>
        <w:t>BMC Genomics,</w:t>
      </w:r>
      <w:r w:rsidRPr="00950097">
        <w:t xml:space="preserve"> 20(1)</w:t>
      </w:r>
      <w:r w:rsidRPr="00950097">
        <w:rPr>
          <w:b/>
        </w:rPr>
        <w:t>,</w:t>
      </w:r>
      <w:r w:rsidRPr="00950097">
        <w:t xml:space="preserve"> 1-12. 10.1186/S12864-019-6219-7/FIGURES/5.</w:t>
      </w:r>
      <w:bookmarkEnd w:id="753"/>
    </w:p>
    <w:p w14:paraId="315698CE" w14:textId="77777777" w:rsidR="00950097" w:rsidRPr="00950097" w:rsidRDefault="00950097" w:rsidP="00950097">
      <w:pPr>
        <w:pStyle w:val="EndNoteBibliography"/>
        <w:spacing w:after="0"/>
        <w:ind w:left="720" w:hanging="720"/>
      </w:pPr>
      <w:bookmarkStart w:id="754" w:name="_ENREF_354"/>
      <w:r w:rsidRPr="00950097">
        <w:t xml:space="preserve">Welden, N. A., Taylor, A. C. &amp; Cowie, P. R. (2015) Growth and gut morphology of the lobster </w:t>
      </w:r>
      <w:r w:rsidRPr="00950097">
        <w:rPr>
          <w:i/>
        </w:rPr>
        <w:t>Nephrops Norvegicus</w:t>
      </w:r>
      <w:r w:rsidRPr="00950097">
        <w:t xml:space="preserve">. </w:t>
      </w:r>
      <w:r w:rsidRPr="00950097">
        <w:rPr>
          <w:i/>
        </w:rPr>
        <w:t>Journal of Crustacean Biology,</w:t>
      </w:r>
      <w:r w:rsidRPr="00950097">
        <w:t xml:space="preserve"> 35(1)</w:t>
      </w:r>
      <w:r w:rsidRPr="00950097">
        <w:rPr>
          <w:b/>
        </w:rPr>
        <w:t>,</w:t>
      </w:r>
      <w:r w:rsidRPr="00950097">
        <w:t xml:space="preserve"> 20-25. 10.1163/1937240x-00002298.</w:t>
      </w:r>
      <w:bookmarkEnd w:id="754"/>
    </w:p>
    <w:p w14:paraId="15E2F219" w14:textId="77777777" w:rsidR="00950097" w:rsidRPr="00950097" w:rsidRDefault="00950097" w:rsidP="00950097">
      <w:pPr>
        <w:pStyle w:val="EndNoteBibliography"/>
        <w:spacing w:after="0"/>
        <w:ind w:left="720" w:hanging="720"/>
      </w:pPr>
      <w:bookmarkStart w:id="755" w:name="_ENREF_355"/>
      <w:r w:rsidRPr="00950097">
        <w:t xml:space="preserve">Wheeler, K., Shields, J. D. &amp; Taylor, D. M. (2007) Pathology of </w:t>
      </w:r>
      <w:r w:rsidRPr="00950097">
        <w:rPr>
          <w:i/>
        </w:rPr>
        <w:t>Hematodinium</w:t>
      </w:r>
      <w:r w:rsidRPr="00950097">
        <w:t xml:space="preserve"> infections in snow crabs (</w:t>
      </w:r>
      <w:r w:rsidRPr="00950097">
        <w:rPr>
          <w:i/>
        </w:rPr>
        <w:t>Chionoecetes opilio</w:t>
      </w:r>
      <w:r w:rsidRPr="00950097">
        <w:t xml:space="preserve">) from Newfoundland, Canada. </w:t>
      </w:r>
      <w:r w:rsidRPr="00950097">
        <w:rPr>
          <w:i/>
        </w:rPr>
        <w:t>Journal of Invertebrate Pathology,</w:t>
      </w:r>
      <w:r w:rsidRPr="00950097">
        <w:t xml:space="preserve"> 95(2)</w:t>
      </w:r>
      <w:r w:rsidRPr="00950097">
        <w:rPr>
          <w:b/>
        </w:rPr>
        <w:t>,</w:t>
      </w:r>
      <w:r w:rsidRPr="00950097">
        <w:t xml:space="preserve"> 93-100. 10.1016/j.jip.2007.01.002.</w:t>
      </w:r>
      <w:bookmarkEnd w:id="755"/>
    </w:p>
    <w:p w14:paraId="298E7AE2" w14:textId="77777777" w:rsidR="00950097" w:rsidRPr="00950097" w:rsidRDefault="00950097" w:rsidP="00950097">
      <w:pPr>
        <w:pStyle w:val="EndNoteBibliography"/>
        <w:spacing w:after="0"/>
        <w:ind w:left="720" w:hanging="720"/>
      </w:pPr>
      <w:bookmarkStart w:id="756" w:name="_ENREF_356"/>
      <w:r w:rsidRPr="00950097">
        <w:t xml:space="preserve">Whipps, J. M., Lewis, K. &amp; Cooke, R. C. (1988) Mycoparasitism and plant disease control. In: Burge, N. M. (ed.) </w:t>
      </w:r>
      <w:r w:rsidRPr="00950097">
        <w:rPr>
          <w:i/>
        </w:rPr>
        <w:t>Fungi in Biological Control Systems.</w:t>
      </w:r>
      <w:r w:rsidRPr="00950097">
        <w:t>: Manchester University Press.</w:t>
      </w:r>
      <w:bookmarkEnd w:id="756"/>
    </w:p>
    <w:p w14:paraId="32E822E7" w14:textId="77777777" w:rsidR="00950097" w:rsidRPr="00950097" w:rsidRDefault="00950097" w:rsidP="00950097">
      <w:pPr>
        <w:pStyle w:val="EndNoteBibliography"/>
        <w:spacing w:after="0"/>
        <w:ind w:left="720" w:hanging="720"/>
      </w:pPr>
      <w:bookmarkStart w:id="757" w:name="_ENREF_357"/>
      <w:r w:rsidRPr="00950097">
        <w:t xml:space="preserve">Wickham, H. (2016) Programming with ggplot2. In:  </w:t>
      </w:r>
      <w:r w:rsidRPr="00950097">
        <w:rPr>
          <w:i/>
        </w:rPr>
        <w:t>ggplot2: Elegant Graphics for Data Analysis.</w:t>
      </w:r>
      <w:r w:rsidRPr="00950097">
        <w:t xml:space="preserve"> Springer, Cham.</w:t>
      </w:r>
      <w:bookmarkEnd w:id="757"/>
    </w:p>
    <w:p w14:paraId="3E88AFFC" w14:textId="77777777" w:rsidR="00950097" w:rsidRPr="00950097" w:rsidRDefault="00950097" w:rsidP="00950097">
      <w:pPr>
        <w:pStyle w:val="EndNoteBibliography"/>
        <w:spacing w:after="0"/>
        <w:ind w:left="720" w:hanging="720"/>
      </w:pPr>
      <w:bookmarkStart w:id="758" w:name="_ENREF_358"/>
      <w:r w:rsidRPr="00950097">
        <w:t xml:space="preserve">Wisecaver, J. H. &amp; Hackett, J. D. (2011) Dinoflagellate genome evolution. </w:t>
      </w:r>
      <w:r w:rsidRPr="00950097">
        <w:rPr>
          <w:i/>
        </w:rPr>
        <w:t>Annual Review of Microbiology,</w:t>
      </w:r>
      <w:r w:rsidRPr="00950097">
        <w:t xml:space="preserve"> 65(1)</w:t>
      </w:r>
      <w:r w:rsidRPr="00950097">
        <w:rPr>
          <w:b/>
        </w:rPr>
        <w:t>,</w:t>
      </w:r>
      <w:r w:rsidRPr="00950097">
        <w:t xml:space="preserve"> 369-387. 10.1146/annurev-micro-090110-102841.</w:t>
      </w:r>
      <w:bookmarkEnd w:id="758"/>
    </w:p>
    <w:p w14:paraId="660B2E66" w14:textId="77777777" w:rsidR="00950097" w:rsidRPr="00950097" w:rsidRDefault="00950097" w:rsidP="00950097">
      <w:pPr>
        <w:pStyle w:val="EndNoteBibliography"/>
        <w:spacing w:after="0"/>
        <w:ind w:left="720" w:hanging="720"/>
      </w:pPr>
      <w:bookmarkStart w:id="759" w:name="_ENREF_359"/>
      <w:r w:rsidRPr="00950097">
        <w:t xml:space="preserve">Wu, H.-J. &amp; Wu, E. (2012) The role of gut microbiota in immune homeostasis and autoimmunity. </w:t>
      </w:r>
      <w:r w:rsidRPr="00950097">
        <w:rPr>
          <w:i/>
        </w:rPr>
        <w:t>Gut Microbes,</w:t>
      </w:r>
      <w:r w:rsidRPr="00950097">
        <w:t xml:space="preserve"> 3(1)</w:t>
      </w:r>
      <w:r w:rsidRPr="00950097">
        <w:rPr>
          <w:b/>
        </w:rPr>
        <w:t>,</w:t>
      </w:r>
      <w:r w:rsidRPr="00950097">
        <w:t xml:space="preserve"> 4-14. 10.4161/gmic.19320.</w:t>
      </w:r>
      <w:bookmarkEnd w:id="759"/>
    </w:p>
    <w:p w14:paraId="040454A2" w14:textId="77777777" w:rsidR="00950097" w:rsidRPr="00950097" w:rsidRDefault="00950097" w:rsidP="00950097">
      <w:pPr>
        <w:pStyle w:val="EndNoteBibliography"/>
        <w:spacing w:after="0"/>
        <w:ind w:left="720" w:hanging="720"/>
      </w:pPr>
      <w:bookmarkStart w:id="760" w:name="_ENREF_360"/>
      <w:r w:rsidRPr="00950097">
        <w:t xml:space="preserve">Wu, Q., Waiho, K., Huang, Z., Li, S., Zheng, H., Zhang, Y., Ikhwanuddin, M., Lin, F. &amp; Ma, H. (2020) Growth performance and biochemical composition dynamics of ovary, hepatopancreas and muscle tissues at different ovarian maturation stages of female mud crab, </w:t>
      </w:r>
      <w:r w:rsidRPr="00950097">
        <w:rPr>
          <w:i/>
        </w:rPr>
        <w:t>Scylla paramamosain</w:t>
      </w:r>
      <w:r w:rsidRPr="00950097">
        <w:t xml:space="preserve">. </w:t>
      </w:r>
      <w:r w:rsidRPr="00950097">
        <w:rPr>
          <w:i/>
        </w:rPr>
        <w:t>Aquaculture,</w:t>
      </w:r>
      <w:r w:rsidRPr="00950097">
        <w:t xml:space="preserve"> 515</w:t>
      </w:r>
      <w:r w:rsidRPr="00950097">
        <w:rPr>
          <w:b/>
        </w:rPr>
        <w:t>,</w:t>
      </w:r>
      <w:r w:rsidRPr="00950097">
        <w:t xml:space="preserve"> 734560-734560. 10.1016/J.AQUACULTURE.2019.734560.</w:t>
      </w:r>
      <w:bookmarkEnd w:id="760"/>
    </w:p>
    <w:p w14:paraId="73B99A76" w14:textId="77777777" w:rsidR="00950097" w:rsidRPr="00950097" w:rsidRDefault="00950097" w:rsidP="00950097">
      <w:pPr>
        <w:pStyle w:val="EndNoteBibliography"/>
        <w:spacing w:after="0"/>
        <w:ind w:left="720" w:hanging="720"/>
      </w:pPr>
      <w:bookmarkStart w:id="761" w:name="_ENREF_361"/>
      <w:r w:rsidRPr="00950097">
        <w:t xml:space="preserve">Xiao, J., Miao, X., Li, C., Xu, W., Zhang, X. &amp; Wang, Z. (2016) Genetic variations of the parasitic dinoflagellate </w:t>
      </w:r>
      <w:r w:rsidRPr="00950097">
        <w:rPr>
          <w:i/>
        </w:rPr>
        <w:t>Hematodinium</w:t>
      </w:r>
      <w:r w:rsidRPr="00950097">
        <w:t xml:space="preserve"> infecting cultured marine crustaceans in China. </w:t>
      </w:r>
      <w:r w:rsidRPr="00950097">
        <w:rPr>
          <w:i/>
        </w:rPr>
        <w:t>Protist,</w:t>
      </w:r>
      <w:r w:rsidRPr="00950097">
        <w:t xml:space="preserve"> 167(6)</w:t>
      </w:r>
      <w:r w:rsidRPr="00950097">
        <w:rPr>
          <w:b/>
        </w:rPr>
        <w:t>,</w:t>
      </w:r>
      <w:r w:rsidRPr="00950097">
        <w:t xml:space="preserve"> 597-609. 10.1016/j.protis.2016.10.003.</w:t>
      </w:r>
      <w:bookmarkEnd w:id="761"/>
    </w:p>
    <w:p w14:paraId="17A1ECCE" w14:textId="77777777" w:rsidR="00950097" w:rsidRPr="00950097" w:rsidRDefault="00950097" w:rsidP="00950097">
      <w:pPr>
        <w:pStyle w:val="EndNoteBibliography"/>
        <w:spacing w:after="0"/>
        <w:ind w:left="720" w:hanging="720"/>
      </w:pPr>
      <w:bookmarkStart w:id="762" w:name="_ENREF_362"/>
      <w:r w:rsidRPr="00950097">
        <w:t xml:space="preserve">Xiong, J., Dai, W., Zhu, J., Liu, K., Dong, C. &amp; Qiu, Q. (2017a) The underlying ecological processes of gut microbiota among cohabitating retarded, overgrown and normal shrimp. </w:t>
      </w:r>
      <w:r w:rsidRPr="00950097">
        <w:rPr>
          <w:i/>
        </w:rPr>
        <w:t>Microbial Ecology,</w:t>
      </w:r>
      <w:r w:rsidRPr="00950097">
        <w:t xml:space="preserve"> 73(4)</w:t>
      </w:r>
      <w:r w:rsidRPr="00950097">
        <w:rPr>
          <w:b/>
        </w:rPr>
        <w:t>,</w:t>
      </w:r>
      <w:r w:rsidRPr="00950097">
        <w:t xml:space="preserve"> 988-999. 10.1007/s00248-016-0910-x.</w:t>
      </w:r>
      <w:bookmarkEnd w:id="762"/>
    </w:p>
    <w:p w14:paraId="063D1759" w14:textId="77777777" w:rsidR="00950097" w:rsidRPr="00950097" w:rsidRDefault="00950097" w:rsidP="00950097">
      <w:pPr>
        <w:pStyle w:val="EndNoteBibliography"/>
        <w:spacing w:after="0"/>
        <w:ind w:left="720" w:hanging="720"/>
      </w:pPr>
      <w:bookmarkStart w:id="763" w:name="_ENREF_363"/>
      <w:r w:rsidRPr="00950097">
        <w:t xml:space="preserve">Xiong, J., Wang, K., Wu, J., Qiuqian, L., Yang, K., Qian, Y. &amp; Zhang, D. (2015) Changes in intestinal bacterial communities are closely associated with shrimp disease severity. </w:t>
      </w:r>
      <w:r w:rsidRPr="00950097">
        <w:rPr>
          <w:i/>
        </w:rPr>
        <w:t>Applied Microbiology and Biotechnology,</w:t>
      </w:r>
      <w:r w:rsidRPr="00950097">
        <w:t xml:space="preserve"> 99(16)</w:t>
      </w:r>
      <w:r w:rsidRPr="00950097">
        <w:rPr>
          <w:b/>
        </w:rPr>
        <w:t>,</w:t>
      </w:r>
      <w:r w:rsidRPr="00950097">
        <w:t xml:space="preserve"> 6911-6919. 10.1007/s00253-015-6632-z.</w:t>
      </w:r>
      <w:bookmarkEnd w:id="763"/>
    </w:p>
    <w:p w14:paraId="28405DB8" w14:textId="77777777" w:rsidR="00950097" w:rsidRPr="00950097" w:rsidRDefault="00950097" w:rsidP="00950097">
      <w:pPr>
        <w:pStyle w:val="EndNoteBibliography"/>
        <w:spacing w:after="0"/>
        <w:ind w:left="720" w:hanging="720"/>
      </w:pPr>
      <w:bookmarkStart w:id="764" w:name="_ENREF_364"/>
      <w:r w:rsidRPr="00950097">
        <w:t xml:space="preserve">Xiong, J., Zhu, J., Dai, W., Dong, C., Qiu, Q. &amp; Li, C. (2017b) Integrating gut microbiota immaturity and disease-discriminatory taxa to diagnose the initiation and severity of shrimp disease. </w:t>
      </w:r>
      <w:r w:rsidRPr="00950097">
        <w:rPr>
          <w:i/>
        </w:rPr>
        <w:t>Environmental Microbiology,</w:t>
      </w:r>
      <w:r w:rsidRPr="00950097">
        <w:t xml:space="preserve"> 19(4)</w:t>
      </w:r>
      <w:r w:rsidRPr="00950097">
        <w:rPr>
          <w:b/>
        </w:rPr>
        <w:t>,</w:t>
      </w:r>
      <w:r w:rsidRPr="00950097">
        <w:t xml:space="preserve"> 1490-1501. 10.1111/1462-2920.13701.</w:t>
      </w:r>
      <w:bookmarkEnd w:id="764"/>
    </w:p>
    <w:p w14:paraId="1E844F1B" w14:textId="77777777" w:rsidR="00950097" w:rsidRPr="00950097" w:rsidRDefault="00950097" w:rsidP="00950097">
      <w:pPr>
        <w:pStyle w:val="EndNoteBibliography"/>
        <w:spacing w:after="0"/>
        <w:ind w:left="720" w:hanging="720"/>
      </w:pPr>
      <w:bookmarkStart w:id="765" w:name="_ENREF_365"/>
      <w:r w:rsidRPr="00950097">
        <w:t xml:space="preserve">Xu, W., Xie, J., Shi, H. &amp; Li, C. (2010) </w:t>
      </w:r>
      <w:r w:rsidRPr="00950097">
        <w:rPr>
          <w:i/>
        </w:rPr>
        <w:t>Hematodinium</w:t>
      </w:r>
      <w:r w:rsidRPr="00950097">
        <w:t xml:space="preserve"> infections in cultured ridgetail white prawns, </w:t>
      </w:r>
      <w:r w:rsidRPr="00950097">
        <w:rPr>
          <w:i/>
        </w:rPr>
        <w:t>Exopalaemon carinicauda</w:t>
      </w:r>
      <w:r w:rsidRPr="00950097">
        <w:t xml:space="preserve">, in eastern China. </w:t>
      </w:r>
      <w:r w:rsidRPr="00950097">
        <w:rPr>
          <w:i/>
        </w:rPr>
        <w:t>Aquaculture,</w:t>
      </w:r>
      <w:r w:rsidRPr="00950097">
        <w:t xml:space="preserve"> 300(1-4)</w:t>
      </w:r>
      <w:r w:rsidRPr="00950097">
        <w:rPr>
          <w:b/>
        </w:rPr>
        <w:t>,</w:t>
      </w:r>
      <w:r w:rsidRPr="00950097">
        <w:t xml:space="preserve"> 25-31. 10.1016/j.aquaculture.2009.12.024.</w:t>
      </w:r>
      <w:bookmarkEnd w:id="765"/>
    </w:p>
    <w:p w14:paraId="240A0736" w14:textId="77777777" w:rsidR="00950097" w:rsidRPr="00950097" w:rsidRDefault="00950097" w:rsidP="00950097">
      <w:pPr>
        <w:pStyle w:val="EndNoteBibliography"/>
        <w:spacing w:after="0"/>
        <w:ind w:left="720" w:hanging="720"/>
      </w:pPr>
      <w:bookmarkStart w:id="766" w:name="_ENREF_366"/>
      <w:r w:rsidRPr="00950097">
        <w:t xml:space="preserve">Yang, S.-H., Seo, H.-S., Woo, J.-H., Oh, H.-M., Jang, H., Lee, J.-H., Kim, S.-J. &amp; Kwon, K. K. (2014) </w:t>
      </w:r>
      <w:r w:rsidRPr="00950097">
        <w:rPr>
          <w:i/>
        </w:rPr>
        <w:t>Carboxylicivirga</w:t>
      </w:r>
      <w:r w:rsidRPr="00950097">
        <w:t xml:space="preserve"> gen. nov. in the family </w:t>
      </w:r>
      <w:r w:rsidRPr="00950097">
        <w:rPr>
          <w:i/>
        </w:rPr>
        <w:t>Marinilabiliaceae</w:t>
      </w:r>
      <w:r w:rsidRPr="00950097">
        <w:t xml:space="preserve"> with two novel species,</w:t>
      </w:r>
      <w:r w:rsidRPr="00950097">
        <w:rPr>
          <w:i/>
        </w:rPr>
        <w:t xml:space="preserve"> Carboxylicivirg</w:t>
      </w:r>
      <w:r w:rsidRPr="00950097">
        <w:t xml:space="preserve">a </w:t>
      </w:r>
      <w:r w:rsidRPr="00950097">
        <w:rPr>
          <w:i/>
        </w:rPr>
        <w:t>mesophila</w:t>
      </w:r>
      <w:r w:rsidRPr="00950097">
        <w:t xml:space="preserve"> sp. nov. and </w:t>
      </w:r>
      <w:r w:rsidRPr="00950097">
        <w:rPr>
          <w:i/>
        </w:rPr>
        <w:t>Carboxylicivirga taeanensis</w:t>
      </w:r>
      <w:r w:rsidRPr="00950097">
        <w:t xml:space="preserve"> sp. nov., and reclassification of </w:t>
      </w:r>
      <w:r w:rsidRPr="00950097">
        <w:rPr>
          <w:i/>
        </w:rPr>
        <w:t>Cytophaga fermentans</w:t>
      </w:r>
      <w:r w:rsidRPr="00950097">
        <w:t xml:space="preserve"> as </w:t>
      </w:r>
      <w:r w:rsidRPr="00950097">
        <w:rPr>
          <w:i/>
        </w:rPr>
        <w:t>Saccharicrinis fermentans</w:t>
      </w:r>
      <w:r w:rsidRPr="00950097">
        <w:t xml:space="preserve"> gen. nov., comb. nov. </w:t>
      </w:r>
      <w:r w:rsidRPr="00950097">
        <w:rPr>
          <w:i/>
        </w:rPr>
        <w:t>International Journal of Systematic and Evolutionary Microbiology,</w:t>
      </w:r>
      <w:r w:rsidRPr="00950097">
        <w:t xml:space="preserve"> 64(Pt_4)</w:t>
      </w:r>
      <w:r w:rsidRPr="00950097">
        <w:rPr>
          <w:b/>
        </w:rPr>
        <w:t>,</w:t>
      </w:r>
      <w:r w:rsidRPr="00950097">
        <w:t xml:space="preserve"> 1351-1358. 10.1099/ijs.0.053462-0.</w:t>
      </w:r>
      <w:bookmarkEnd w:id="766"/>
    </w:p>
    <w:p w14:paraId="76E4B85C" w14:textId="0B29798D" w:rsidR="00950097" w:rsidRPr="00950097" w:rsidRDefault="00950097" w:rsidP="00950097">
      <w:pPr>
        <w:pStyle w:val="EndNoteBibliography"/>
        <w:spacing w:after="0"/>
        <w:ind w:left="720" w:hanging="720"/>
      </w:pPr>
      <w:bookmarkStart w:id="767" w:name="_ENREF_367"/>
      <w:r w:rsidRPr="00950097">
        <w:t xml:space="preserve">Yu, Q., Xie, J., Huang, M., Chen, C., Qian, D., Qin, J. G., Chen, L., Jia, Y. &amp; Li, E. (2020) Growth and health responses to a long-term pH stress in Pacific white shrimp Litopenaeus vannamei. </w:t>
      </w:r>
      <w:r w:rsidRPr="00950097">
        <w:rPr>
          <w:i/>
        </w:rPr>
        <w:t>Aquaculture Reports,</w:t>
      </w:r>
      <w:r w:rsidRPr="00950097">
        <w:t xml:space="preserve"> 16</w:t>
      </w:r>
      <w:r w:rsidRPr="00950097">
        <w:rPr>
          <w:b/>
        </w:rPr>
        <w:t>,</w:t>
      </w:r>
      <w:r w:rsidRPr="00950097">
        <w:t xml:space="preserve"> 100280. </w:t>
      </w:r>
      <w:hyperlink r:id="rId148" w:history="1">
        <w:r w:rsidRPr="00950097">
          <w:rPr>
            <w:rStyle w:val="Hyperlink"/>
          </w:rPr>
          <w:t>https://doi.org/10.1016/j.aqrep.2020.100280</w:t>
        </w:r>
      </w:hyperlink>
      <w:r w:rsidRPr="00950097">
        <w:t>.</w:t>
      </w:r>
      <w:bookmarkEnd w:id="767"/>
    </w:p>
    <w:p w14:paraId="7772F60E" w14:textId="77777777" w:rsidR="00950097" w:rsidRPr="00950097" w:rsidRDefault="00950097" w:rsidP="00950097">
      <w:pPr>
        <w:pStyle w:val="EndNoteBibliography"/>
        <w:spacing w:after="0"/>
        <w:ind w:left="720" w:hanging="720"/>
      </w:pPr>
      <w:bookmarkStart w:id="768" w:name="_ENREF_368"/>
      <w:r w:rsidRPr="00950097">
        <w:t xml:space="preserve">Zelante, T., Iannitti, R. G., Cunha, C., De Luca, A., Giovannini, G., Pieraccini, G., Zecchi, R., D’Angelo, C., Massi-Benedetti, C., Fallarino, F., Carvalho, A., Puccetti, P., Romani, L., DeLuca, A., Giovannini, G., Pieraccini, G., Zecchi, R., D'Angelo, C., Massi-Benedetti, C., Fallarino, F., Carvalho, A., Puccetti, P. &amp; Romani, L. (2013) Tryptophan catabolites from microbiota engage aryl hydrocarbon receptor and balance mucosal reactivity via interleukin-22. </w:t>
      </w:r>
      <w:r w:rsidRPr="00950097">
        <w:rPr>
          <w:i/>
        </w:rPr>
        <w:t>Immunity,</w:t>
      </w:r>
      <w:r w:rsidRPr="00950097">
        <w:t xml:space="preserve"> 39(2)</w:t>
      </w:r>
      <w:r w:rsidRPr="00950097">
        <w:rPr>
          <w:b/>
        </w:rPr>
        <w:t>,</w:t>
      </w:r>
      <w:r w:rsidRPr="00950097">
        <w:t xml:space="preserve"> 372-385. 10.1016/j.immuni.2013.08.003.</w:t>
      </w:r>
      <w:bookmarkEnd w:id="768"/>
    </w:p>
    <w:p w14:paraId="37242933" w14:textId="77777777" w:rsidR="00950097" w:rsidRPr="00950097" w:rsidRDefault="00950097" w:rsidP="00950097">
      <w:pPr>
        <w:pStyle w:val="EndNoteBibliography"/>
        <w:spacing w:after="0"/>
        <w:ind w:left="720" w:hanging="720"/>
      </w:pPr>
      <w:bookmarkStart w:id="769" w:name="_ENREF_369"/>
      <w:r w:rsidRPr="00950097">
        <w:t>Zeng, S., Huang, Z., Hou, D., Liu, J., Weng, S. &amp; He, J. (2017) Composition, diversity and function of intestinal microbiota in pacific white shrimp (</w:t>
      </w:r>
      <w:r w:rsidRPr="00950097">
        <w:rPr>
          <w:i/>
        </w:rPr>
        <w:t>Litopenaeus vannamei</w:t>
      </w:r>
      <w:r w:rsidRPr="00950097">
        <w:t xml:space="preserve">) at different culture stages. </w:t>
      </w:r>
      <w:r w:rsidRPr="00950097">
        <w:rPr>
          <w:i/>
        </w:rPr>
        <w:t>PeerJ,</w:t>
      </w:r>
      <w:r w:rsidRPr="00950097">
        <w:t xml:space="preserve"> 5</w:t>
      </w:r>
      <w:r w:rsidRPr="00950097">
        <w:rPr>
          <w:b/>
        </w:rPr>
        <w:t>,</w:t>
      </w:r>
      <w:r w:rsidRPr="00950097">
        <w:t xml:space="preserve"> e3986. 10.7717/peerj.3986.</w:t>
      </w:r>
      <w:bookmarkEnd w:id="769"/>
    </w:p>
    <w:p w14:paraId="369EFA14" w14:textId="77777777" w:rsidR="00950097" w:rsidRPr="00950097" w:rsidRDefault="00950097" w:rsidP="00950097">
      <w:pPr>
        <w:pStyle w:val="EndNoteBibliography"/>
        <w:spacing w:after="0"/>
        <w:ind w:left="720" w:hanging="720"/>
      </w:pPr>
      <w:bookmarkStart w:id="770" w:name="_ENREF_370"/>
      <w:r w:rsidRPr="00950097">
        <w:t xml:space="preserve">Zhang, K., Bangs, J. D. &amp; Beverley, S. M. (2010) Sphingolipids in parasitic protozoa. In:  </w:t>
      </w:r>
      <w:r w:rsidRPr="00950097">
        <w:rPr>
          <w:i/>
        </w:rPr>
        <w:t>Sphingolipids as signaling and regulatory molecules.</w:t>
      </w:r>
      <w:r w:rsidRPr="00950097">
        <w:t xml:space="preserve"> Springer, New York, NY.</w:t>
      </w:r>
      <w:bookmarkEnd w:id="770"/>
    </w:p>
    <w:p w14:paraId="4F086152" w14:textId="77777777" w:rsidR="00950097" w:rsidRPr="00950097" w:rsidRDefault="00950097" w:rsidP="00950097">
      <w:pPr>
        <w:pStyle w:val="EndNoteBibliography"/>
        <w:spacing w:after="0"/>
        <w:ind w:left="720" w:hanging="720"/>
      </w:pPr>
      <w:bookmarkStart w:id="771" w:name="_ENREF_371"/>
      <w:r w:rsidRPr="00950097">
        <w:t xml:space="preserve">Zhang, N., Song, C., Wang, M., Liu, Y., Hui, M. &amp; Cui, Z. (2017) Diversity and characterization of bacteria associated with the deep-sea hydrothermal vent crab </w:t>
      </w:r>
      <w:r w:rsidRPr="00950097">
        <w:rPr>
          <w:i/>
        </w:rPr>
        <w:t xml:space="preserve">Austinograea </w:t>
      </w:r>
      <w:r w:rsidRPr="00950097">
        <w:t xml:space="preserve">sp. comparing with those of two shallow-water crabs by 16S ribosomal DNA analysis. </w:t>
      </w:r>
      <w:r w:rsidRPr="00950097">
        <w:rPr>
          <w:i/>
        </w:rPr>
        <w:t>PLOS ONE,</w:t>
      </w:r>
      <w:r w:rsidRPr="00950097">
        <w:t xml:space="preserve"> 12(11). 10.1371/JOURNAL.PONE.0187842.</w:t>
      </w:r>
      <w:bookmarkEnd w:id="771"/>
    </w:p>
    <w:p w14:paraId="6A5AB932" w14:textId="77777777" w:rsidR="00950097" w:rsidRPr="00950097" w:rsidRDefault="00950097" w:rsidP="00950097">
      <w:pPr>
        <w:pStyle w:val="EndNoteBibliography"/>
        <w:spacing w:after="0"/>
        <w:ind w:left="720" w:hanging="720"/>
      </w:pPr>
      <w:bookmarkStart w:id="772" w:name="_ENREF_372"/>
      <w:r w:rsidRPr="00950097">
        <w:t xml:space="preserve">Zhang, T.-S., Zhang, Y.-N., Lu, D.-C., Gong, Y. &amp; Du, Z.-J. (2021) </w:t>
      </w:r>
      <w:r w:rsidRPr="00950097">
        <w:rPr>
          <w:i/>
        </w:rPr>
        <w:t xml:space="preserve">Carboxylicivirga marinus </w:t>
      </w:r>
      <w:r w:rsidRPr="00950097">
        <w:t xml:space="preserve">sp. nov., isolated from marine sediment, and genome insight of the genus </w:t>
      </w:r>
      <w:r w:rsidRPr="00950097">
        <w:rPr>
          <w:i/>
        </w:rPr>
        <w:t>Carboxylicivirga</w:t>
      </w:r>
      <w:r w:rsidRPr="00950097">
        <w:t xml:space="preserve">. </w:t>
      </w:r>
      <w:r w:rsidRPr="00950097">
        <w:rPr>
          <w:i/>
        </w:rPr>
        <w:t>Frontiers in Marine Science,</w:t>
      </w:r>
      <w:r w:rsidRPr="00950097">
        <w:t xml:space="preserve"> 8</w:t>
      </w:r>
      <w:r w:rsidRPr="00950097">
        <w:rPr>
          <w:b/>
        </w:rPr>
        <w:t>,</w:t>
      </w:r>
      <w:r w:rsidRPr="00950097">
        <w:t xml:space="preserve"> 731212.</w:t>
      </w:r>
      <w:bookmarkEnd w:id="772"/>
    </w:p>
    <w:p w14:paraId="00C06F3F" w14:textId="77777777" w:rsidR="00950097" w:rsidRPr="00950097" w:rsidRDefault="00950097" w:rsidP="00950097">
      <w:pPr>
        <w:pStyle w:val="EndNoteBibliography"/>
        <w:spacing w:after="0"/>
        <w:ind w:left="720" w:hanging="720"/>
      </w:pPr>
      <w:bookmarkStart w:id="773" w:name="_ENREF_373"/>
      <w:r w:rsidRPr="00950097">
        <w:t>Zhang, W., Wang, F., Tan, B., Yang, Q., Chi, S., Dong, X., Wang, H., Liu, H. &amp; Zhang, S. (2019) Effects of dietary n</w:t>
      </w:r>
      <w:r w:rsidRPr="00950097">
        <w:rPr>
          <w:rFonts w:ascii="Cambria Math" w:hAnsi="Cambria Math" w:cs="Cambria Math"/>
        </w:rPr>
        <w:t>‐</w:t>
      </w:r>
      <w:r w:rsidRPr="00950097">
        <w:t>3HUFA on different growth stages of the white shrimp,</w:t>
      </w:r>
      <w:r w:rsidRPr="00950097">
        <w:rPr>
          <w:i/>
        </w:rPr>
        <w:t xml:space="preserve"> Litopenaeus vannamei</w:t>
      </w:r>
      <w:r w:rsidRPr="00950097">
        <w:t xml:space="preserve">: growth, haematological characteristics, enzyme activities and fatty acid profiles. </w:t>
      </w:r>
      <w:r w:rsidRPr="00950097">
        <w:rPr>
          <w:i/>
        </w:rPr>
        <w:t>Aquaculture Nutrition,</w:t>
      </w:r>
      <w:r w:rsidRPr="00950097">
        <w:t xml:space="preserve"> 25(5)</w:t>
      </w:r>
      <w:r w:rsidRPr="00950097">
        <w:rPr>
          <w:b/>
        </w:rPr>
        <w:t>,</w:t>
      </w:r>
      <w:r w:rsidRPr="00950097">
        <w:t xml:space="preserve"> 1098-1114. 10.1111/anu.12926.</w:t>
      </w:r>
      <w:bookmarkEnd w:id="773"/>
    </w:p>
    <w:p w14:paraId="04118C16" w14:textId="77777777" w:rsidR="00950097" w:rsidRPr="00950097" w:rsidRDefault="00950097" w:rsidP="00950097">
      <w:pPr>
        <w:pStyle w:val="EndNoteBibliography"/>
        <w:spacing w:after="0"/>
        <w:ind w:left="720" w:hanging="720"/>
      </w:pPr>
      <w:bookmarkStart w:id="774" w:name="_ENREF_374"/>
      <w:r w:rsidRPr="00950097">
        <w:t xml:space="preserve">Zhang, X., Sun, Z., Zhang, X., Zhang, M. &amp; Li, S. (2018) Hemolymph microbiomes of three aquatic invertebrates as revealed by a new cell extraction method. </w:t>
      </w:r>
      <w:r w:rsidRPr="00950097">
        <w:rPr>
          <w:i/>
        </w:rPr>
        <w:t>Applied and Environmental Microbiology,</w:t>
      </w:r>
      <w:r w:rsidRPr="00950097">
        <w:t xml:space="preserve"> 84(8). 10.1128/AEM.02824-17/SUPPL_FILE/ZAM008188443S1.PDF.</w:t>
      </w:r>
      <w:bookmarkEnd w:id="774"/>
    </w:p>
    <w:p w14:paraId="3621FBDE" w14:textId="26611798" w:rsidR="00950097" w:rsidRPr="00950097" w:rsidRDefault="00950097" w:rsidP="00950097">
      <w:pPr>
        <w:pStyle w:val="EndNoteBibliography"/>
        <w:spacing w:after="0"/>
        <w:ind w:left="720" w:hanging="720"/>
      </w:pPr>
      <w:bookmarkStart w:id="775" w:name="_ENREF_375"/>
      <w:r w:rsidRPr="00950097">
        <w:t xml:space="preserve">Zhang, X., Zhang, M., Zheng, H., Ye, H., Zhang, X. &amp; Li, S. (2020a) Source of hemolymph microbiota and their roles in the immune system of mud crab. </w:t>
      </w:r>
      <w:r w:rsidRPr="00950097">
        <w:rPr>
          <w:i/>
        </w:rPr>
        <w:t>Developmental and Comparative Immunology,</w:t>
      </w:r>
      <w:r w:rsidRPr="00950097">
        <w:t xml:space="preserve"> 102(July 2019)</w:t>
      </w:r>
      <w:r w:rsidRPr="00950097">
        <w:rPr>
          <w:b/>
        </w:rPr>
        <w:t>,</w:t>
      </w:r>
      <w:r w:rsidRPr="00950097">
        <w:t xml:space="preserve"> 103470. </w:t>
      </w:r>
      <w:hyperlink r:id="rId149" w:history="1">
        <w:r w:rsidRPr="00950097">
          <w:rPr>
            <w:rStyle w:val="Hyperlink"/>
          </w:rPr>
          <w:t>https://doi.org/10.1016/j.dci.2019.103470</w:t>
        </w:r>
      </w:hyperlink>
      <w:r w:rsidRPr="00950097">
        <w:t>.</w:t>
      </w:r>
      <w:bookmarkEnd w:id="775"/>
    </w:p>
    <w:p w14:paraId="58417092" w14:textId="77777777" w:rsidR="00950097" w:rsidRPr="00950097" w:rsidRDefault="00950097" w:rsidP="00950097">
      <w:pPr>
        <w:pStyle w:val="EndNoteBibliography"/>
        <w:spacing w:after="0"/>
        <w:ind w:left="720" w:hanging="720"/>
      </w:pPr>
      <w:bookmarkStart w:id="776" w:name="_ENREF_376"/>
      <w:r w:rsidRPr="00950097">
        <w:t>Zhang, Z., Liu, J., Jin, X., Liu, C., Fan, C., Guo, L., Liang, Y., Zheng, J. &amp; Peng, N. (2020b) Developmental, dietary, and geographical impacts on gut microbiota of red swamp crayfish (</w:t>
      </w:r>
      <w:r w:rsidRPr="00950097">
        <w:rPr>
          <w:i/>
        </w:rPr>
        <w:t>Procambarus clarkii</w:t>
      </w:r>
      <w:r w:rsidRPr="00950097">
        <w:t xml:space="preserve">). </w:t>
      </w:r>
      <w:r w:rsidRPr="00950097">
        <w:rPr>
          <w:i/>
        </w:rPr>
        <w:t>Microorganisms,</w:t>
      </w:r>
      <w:r w:rsidRPr="00950097">
        <w:t xml:space="preserve"> 8(9)</w:t>
      </w:r>
      <w:r w:rsidRPr="00950097">
        <w:rPr>
          <w:b/>
        </w:rPr>
        <w:t>,</w:t>
      </w:r>
      <w:r w:rsidRPr="00950097">
        <w:t xml:space="preserve"> 1376. 10.3390/microorganisms8091376.</w:t>
      </w:r>
      <w:bookmarkEnd w:id="776"/>
    </w:p>
    <w:p w14:paraId="62FFA14D" w14:textId="77777777" w:rsidR="00950097" w:rsidRPr="00950097" w:rsidRDefault="00950097" w:rsidP="00950097">
      <w:pPr>
        <w:pStyle w:val="EndNoteBibliography"/>
        <w:spacing w:after="0"/>
        <w:ind w:left="720" w:hanging="720"/>
      </w:pPr>
      <w:bookmarkStart w:id="777" w:name="_ENREF_377"/>
      <w:r w:rsidRPr="00950097">
        <w:t xml:space="preserve">Zhao, Y., Duan, C., Zhang, X., Chen, H., Ren, H., Yin, Y. &amp; Ye, L. (2018) Insights into the gut microbiota of freshwater shrimp and its associations with the surrounding microbiota and environmental factors. </w:t>
      </w:r>
      <w:r w:rsidRPr="00950097">
        <w:rPr>
          <w:i/>
        </w:rPr>
        <w:t>Journal of Microbiology and Biotechnology,</w:t>
      </w:r>
      <w:r w:rsidRPr="00950097">
        <w:t xml:space="preserve"> 28(6)</w:t>
      </w:r>
      <w:r w:rsidRPr="00950097">
        <w:rPr>
          <w:b/>
        </w:rPr>
        <w:t>,</w:t>
      </w:r>
      <w:r w:rsidRPr="00950097">
        <w:t xml:space="preserve"> 946-956. 10.4014/jmb.1709.09070.</w:t>
      </w:r>
      <w:bookmarkEnd w:id="777"/>
    </w:p>
    <w:p w14:paraId="5567C2FC" w14:textId="77777777" w:rsidR="00950097" w:rsidRPr="00950097" w:rsidRDefault="00950097" w:rsidP="00950097">
      <w:pPr>
        <w:pStyle w:val="EndNoteBibliography"/>
        <w:spacing w:after="0"/>
        <w:ind w:left="720" w:hanging="720"/>
      </w:pPr>
      <w:bookmarkStart w:id="778" w:name="_ENREF_378"/>
      <w:r w:rsidRPr="00950097">
        <w:t xml:space="preserve">Zheng, D., Liwinski, T. &amp; Elinav, E. (2020) Interaction between microbiota and immunity in health and disease. </w:t>
      </w:r>
      <w:r w:rsidRPr="00950097">
        <w:rPr>
          <w:i/>
        </w:rPr>
        <w:t>Cell Research,</w:t>
      </w:r>
      <w:r w:rsidRPr="00950097">
        <w:t xml:space="preserve"> 30(6)</w:t>
      </w:r>
      <w:r w:rsidRPr="00950097">
        <w:rPr>
          <w:b/>
        </w:rPr>
        <w:t>,</w:t>
      </w:r>
      <w:r w:rsidRPr="00950097">
        <w:t xml:space="preserve"> 492-506. 10.1038/s41422-020-0332-7.</w:t>
      </w:r>
      <w:bookmarkEnd w:id="778"/>
    </w:p>
    <w:p w14:paraId="4A257177" w14:textId="77777777" w:rsidR="00950097" w:rsidRPr="00950097" w:rsidRDefault="00950097" w:rsidP="00950097">
      <w:pPr>
        <w:pStyle w:val="EndNoteBibliography"/>
        <w:spacing w:after="0"/>
        <w:ind w:left="720" w:hanging="720"/>
      </w:pPr>
      <w:bookmarkStart w:id="779" w:name="_ENREF_379"/>
      <w:r w:rsidRPr="00950097">
        <w:t xml:space="preserve">Zhong, Y., Xue, M. Y., Sun, H. Z., Valencak, T. G., Guan, L. L. &amp; Liu, J. (2020) Rumen and hindgut bacteria are potential indicators for mastitis of mid-lactating holstein dairy cows. </w:t>
      </w:r>
      <w:r w:rsidRPr="00950097">
        <w:rPr>
          <w:i/>
        </w:rPr>
        <w:t>Microorganisms,</w:t>
      </w:r>
      <w:r w:rsidRPr="00950097">
        <w:t xml:space="preserve"> 8(12)</w:t>
      </w:r>
      <w:r w:rsidRPr="00950097">
        <w:rPr>
          <w:b/>
        </w:rPr>
        <w:t>,</w:t>
      </w:r>
      <w:r w:rsidRPr="00950097">
        <w:t xml:space="preserve"> 2042-2042. 10.3390/MICROORGANISMS8122042.</w:t>
      </w:r>
      <w:bookmarkEnd w:id="779"/>
    </w:p>
    <w:p w14:paraId="0C9E9843" w14:textId="77777777" w:rsidR="00950097" w:rsidRPr="00950097" w:rsidRDefault="00950097" w:rsidP="00950097">
      <w:pPr>
        <w:pStyle w:val="EndNoteBibliography"/>
        <w:spacing w:after="0"/>
        <w:ind w:left="720" w:hanging="720"/>
      </w:pPr>
      <w:bookmarkStart w:id="780" w:name="_ENREF_380"/>
      <w:r w:rsidRPr="00950097">
        <w:t>Zhou, L., Chen, C., Xie, J., Xu, C., Zhao, Q., Qin, J. G., Chen, L. &amp; Li, E. (2019) Intestinal bacterial signatures of the “cotton shrimp-like” disease explain the change of growth performance and immune responses in Pacific white shrimp (</w:t>
      </w:r>
      <w:r w:rsidRPr="00950097">
        <w:rPr>
          <w:i/>
        </w:rPr>
        <w:t>Litopenaeus vannamei</w:t>
      </w:r>
      <w:r w:rsidRPr="00950097">
        <w:t xml:space="preserve">). </w:t>
      </w:r>
      <w:r w:rsidRPr="00950097">
        <w:rPr>
          <w:i/>
        </w:rPr>
        <w:t>Fish and Shellfish Immunology,</w:t>
      </w:r>
      <w:r w:rsidRPr="00950097">
        <w:t xml:space="preserve"> 92</w:t>
      </w:r>
      <w:r w:rsidRPr="00950097">
        <w:rPr>
          <w:b/>
        </w:rPr>
        <w:t>,</w:t>
      </w:r>
      <w:r w:rsidRPr="00950097">
        <w:t xml:space="preserve"> 629-636. 10.1016/J.FSI.2019.06.054.</w:t>
      </w:r>
      <w:bookmarkEnd w:id="780"/>
    </w:p>
    <w:p w14:paraId="0FFE3230" w14:textId="77777777" w:rsidR="00950097" w:rsidRPr="00950097" w:rsidRDefault="00950097" w:rsidP="00950097">
      <w:pPr>
        <w:pStyle w:val="EndNoteBibliography"/>
        <w:ind w:left="720" w:hanging="720"/>
      </w:pPr>
      <w:bookmarkStart w:id="781" w:name="_ENREF_381"/>
      <w:r w:rsidRPr="00950097">
        <w:t xml:space="preserve">Zhu, J., Dai, W., Qiu, Q., Dong, C., Zhang, J. &amp; Xiong, J. (2016) Contrasting ecological processes and functional compositions between intestinal bacterial community in healthy and diseased shrimp. </w:t>
      </w:r>
      <w:r w:rsidRPr="00950097">
        <w:rPr>
          <w:i/>
        </w:rPr>
        <w:t>Microbial Ecology,</w:t>
      </w:r>
      <w:r w:rsidRPr="00950097">
        <w:t xml:space="preserve"> 72(4)</w:t>
      </w:r>
      <w:r w:rsidRPr="00950097">
        <w:rPr>
          <w:b/>
        </w:rPr>
        <w:t>,</w:t>
      </w:r>
      <w:r w:rsidRPr="00950097">
        <w:t xml:space="preserve"> 975-985. 10.1007/s00248-016-0831-8.</w:t>
      </w:r>
      <w:bookmarkEnd w:id="781"/>
    </w:p>
    <w:p w14:paraId="04EDAE01" w14:textId="3BFA64EA" w:rsidR="00AB13AB" w:rsidRPr="009819CE" w:rsidRDefault="00A70AE5" w:rsidP="00DA29AB">
      <w:pPr>
        <w:spacing w:before="0" w:after="0"/>
        <w:rPr>
          <w:rFonts w:cstheme="minorBidi"/>
          <w:color w:val="000000" w:themeColor="text1"/>
        </w:rPr>
      </w:pPr>
      <w:r w:rsidRPr="009819CE">
        <w:rPr>
          <w:rFonts w:cstheme="minorBidi"/>
          <w:color w:val="000000" w:themeColor="text1"/>
        </w:rPr>
        <w:fldChar w:fldCharType="end"/>
      </w:r>
    </w:p>
    <w:p w14:paraId="009782FD" w14:textId="77777777" w:rsidR="00AB13AB" w:rsidRPr="009819CE" w:rsidRDefault="00AB13AB" w:rsidP="00DA29AB">
      <w:pPr>
        <w:spacing w:before="0" w:after="0"/>
        <w:rPr>
          <w:rFonts w:cstheme="minorBidi"/>
          <w:color w:val="000000" w:themeColor="text1"/>
        </w:rPr>
      </w:pPr>
    </w:p>
    <w:p w14:paraId="50907911" w14:textId="77777777" w:rsidR="00AB13AB" w:rsidRPr="009819CE" w:rsidRDefault="00AB13AB" w:rsidP="00DA29AB">
      <w:pPr>
        <w:spacing w:before="0" w:after="0"/>
        <w:rPr>
          <w:rFonts w:cstheme="minorBidi"/>
          <w:color w:val="000000" w:themeColor="text1"/>
        </w:rPr>
      </w:pPr>
    </w:p>
    <w:p w14:paraId="2F8E4EF6" w14:textId="77777777" w:rsidR="00AB13AB" w:rsidRPr="009819CE" w:rsidRDefault="00AB13AB" w:rsidP="00DA29AB">
      <w:pPr>
        <w:spacing w:before="0" w:after="0"/>
        <w:rPr>
          <w:rFonts w:cstheme="minorBidi"/>
          <w:color w:val="000000" w:themeColor="text1"/>
        </w:rPr>
      </w:pPr>
    </w:p>
    <w:p w14:paraId="760CB702" w14:textId="77777777" w:rsidR="00AB13AB" w:rsidRPr="009819CE" w:rsidRDefault="00AB13AB" w:rsidP="00DA29AB">
      <w:pPr>
        <w:spacing w:before="0" w:after="0"/>
        <w:rPr>
          <w:rFonts w:cstheme="minorBidi"/>
          <w:color w:val="000000" w:themeColor="text1"/>
        </w:rPr>
      </w:pPr>
    </w:p>
    <w:p w14:paraId="03D9D8F5" w14:textId="77777777" w:rsidR="00AB13AB" w:rsidRPr="009819CE" w:rsidRDefault="00AB13AB" w:rsidP="00DA29AB">
      <w:pPr>
        <w:spacing w:before="0" w:after="0"/>
        <w:rPr>
          <w:rFonts w:cstheme="minorBidi"/>
          <w:color w:val="000000" w:themeColor="text1"/>
        </w:rPr>
      </w:pPr>
    </w:p>
    <w:p w14:paraId="5DCEA6CC" w14:textId="77777777" w:rsidR="00A70AE5" w:rsidRPr="009819CE" w:rsidRDefault="00A70AE5" w:rsidP="00DA29AB">
      <w:pPr>
        <w:spacing w:before="0" w:after="0"/>
        <w:rPr>
          <w:rFonts w:cstheme="minorBidi"/>
          <w:color w:val="000000" w:themeColor="text1"/>
        </w:rPr>
      </w:pPr>
    </w:p>
    <w:p w14:paraId="7FEEF6B1" w14:textId="77777777" w:rsidR="00A70AE5" w:rsidRPr="009819CE" w:rsidRDefault="00A70AE5" w:rsidP="00DA29AB">
      <w:pPr>
        <w:spacing w:before="0" w:after="0"/>
        <w:rPr>
          <w:rFonts w:cstheme="minorBidi"/>
          <w:color w:val="000000" w:themeColor="text1"/>
        </w:rPr>
      </w:pPr>
    </w:p>
    <w:p w14:paraId="6DDECC6E" w14:textId="5BE1C928" w:rsidR="00A70AE5" w:rsidRPr="009819CE" w:rsidRDefault="00A70AE5" w:rsidP="00DA29AB">
      <w:pPr>
        <w:spacing w:before="0" w:after="0"/>
        <w:rPr>
          <w:rFonts w:cstheme="minorBidi"/>
        </w:rPr>
        <w:sectPr w:rsidR="00A70AE5" w:rsidRPr="009819CE" w:rsidSect="003A7A28">
          <w:headerReference w:type="default" r:id="rId150"/>
          <w:pgSz w:w="11900" w:h="16840"/>
          <w:pgMar w:top="1440" w:right="1440" w:bottom="1440" w:left="1440" w:header="720" w:footer="720" w:gutter="0"/>
          <w:cols w:space="720"/>
          <w:docGrid w:linePitch="360"/>
        </w:sectPr>
      </w:pPr>
    </w:p>
    <w:p w14:paraId="287E8113" w14:textId="42E111D2" w:rsidR="002903A0" w:rsidRPr="009819CE" w:rsidRDefault="0006197A" w:rsidP="00E22ACF">
      <w:pPr>
        <w:pStyle w:val="Heading1"/>
      </w:pPr>
      <w:bookmarkStart w:id="782" w:name="_Toc204106687"/>
      <w:r w:rsidRPr="009819CE">
        <w:t>Appendices</w:t>
      </w:r>
      <w:bookmarkEnd w:id="782"/>
    </w:p>
    <w:p w14:paraId="02187B47" w14:textId="77777777" w:rsidR="00CB183B" w:rsidRPr="009819CE" w:rsidRDefault="008372AD" w:rsidP="00120F5D">
      <w:pPr>
        <w:pStyle w:val="Heading2"/>
        <w:rPr>
          <w:rFonts w:cstheme="minorBidi"/>
        </w:rPr>
      </w:pPr>
      <w:bookmarkStart w:id="783" w:name="_Toc204106688"/>
      <w:r w:rsidRPr="009819CE">
        <w:rPr>
          <w:rFonts w:cstheme="minorBidi"/>
        </w:rPr>
        <w:t>Supplementary data chapter 2</w:t>
      </w:r>
      <w:bookmarkEnd w:id="783"/>
    </w:p>
    <w:p w14:paraId="5A06CDB6" w14:textId="1C25BC67" w:rsidR="0006197A" w:rsidRPr="009819CE" w:rsidRDefault="00F835E4" w:rsidP="002365C1">
      <w:pPr>
        <w:pStyle w:val="Labels"/>
        <w:rPr>
          <w:rFonts w:asciiTheme="minorBidi" w:hAnsiTheme="minorBidi" w:cstheme="minorBidi"/>
          <w:lang w:val="en-GB"/>
        </w:rPr>
      </w:pPr>
      <w:bookmarkStart w:id="784" w:name="_Ref171357879"/>
      <w:bookmarkStart w:id="785" w:name="_Toc204106770"/>
      <w:r w:rsidRPr="009819CE">
        <w:rPr>
          <w:rFonts w:asciiTheme="minorBidi" w:hAnsiTheme="minorBidi" w:cstheme="minorBidi"/>
          <w:b/>
          <w:lang w:val="en-GB"/>
        </w:rPr>
        <w:t xml:space="preserve">Table S2. </w:t>
      </w:r>
      <w:r w:rsidRPr="009819CE">
        <w:rPr>
          <w:rFonts w:asciiTheme="minorBidi" w:hAnsiTheme="minorBidi" w:cstheme="minorBidi"/>
          <w:b/>
          <w:lang w:val="en-GB"/>
        </w:rPr>
        <w:fldChar w:fldCharType="begin"/>
      </w:r>
      <w:r w:rsidRPr="009819CE">
        <w:rPr>
          <w:rFonts w:asciiTheme="minorBidi" w:hAnsiTheme="minorBidi" w:cstheme="minorBidi"/>
          <w:b/>
          <w:lang w:val="en-GB"/>
        </w:rPr>
        <w:instrText xml:space="preserve"> SEQ Table_S2. \* ARABIC </w:instrText>
      </w:r>
      <w:r w:rsidRPr="009819CE">
        <w:rPr>
          <w:rFonts w:asciiTheme="minorBidi" w:hAnsiTheme="minorBidi" w:cstheme="minorBidi"/>
          <w:b/>
          <w:lang w:val="en-GB"/>
        </w:rPr>
        <w:fldChar w:fldCharType="separate"/>
      </w:r>
      <w:r w:rsidR="008549FC">
        <w:rPr>
          <w:rFonts w:asciiTheme="minorBidi" w:hAnsiTheme="minorBidi" w:cstheme="minorBidi"/>
          <w:b/>
          <w:noProof/>
          <w:lang w:val="en-GB"/>
        </w:rPr>
        <w:t>1</w:t>
      </w:r>
      <w:r w:rsidRPr="009819CE">
        <w:rPr>
          <w:rFonts w:asciiTheme="minorBidi" w:hAnsiTheme="minorBidi" w:cstheme="minorBidi"/>
          <w:b/>
          <w:lang w:val="en-GB"/>
        </w:rPr>
        <w:fldChar w:fldCharType="end"/>
      </w:r>
      <w:bookmarkEnd w:id="784"/>
      <w:r w:rsidR="00F32099" w:rsidRPr="009819CE">
        <w:rPr>
          <w:rFonts w:asciiTheme="minorBidi" w:hAnsiTheme="minorBidi" w:cstheme="minorBidi"/>
          <w:lang w:val="en-GB"/>
        </w:rPr>
        <w:t xml:space="preserve"> </w:t>
      </w:r>
      <w:r w:rsidR="00C36EB0" w:rsidRPr="007E6468">
        <w:rPr>
          <w:lang w:val="en-GB"/>
        </w:rPr>
        <w:t xml:space="preserve">Sampling dates, trawl start and end times, coordinates (decimal degrees) for the start and end of each trawling transect, and corresponding start and end depths. Rows marked with an asterisk (*) indicate a second trawl conducted on the same date due to an insufficient number of </w:t>
      </w:r>
      <w:r w:rsidR="00C36EB0" w:rsidRPr="007E6468">
        <w:rPr>
          <w:rStyle w:val="Emphasis"/>
          <w:lang w:val="en-GB"/>
        </w:rPr>
        <w:t>Nephrops norvegicus</w:t>
      </w:r>
      <w:r w:rsidR="00C36EB0" w:rsidRPr="007E6468">
        <w:rPr>
          <w:lang w:val="en-GB"/>
        </w:rPr>
        <w:t xml:space="preserve"> collected during the initial trawl</w:t>
      </w:r>
      <w:r w:rsidR="001B53B0" w:rsidRPr="007E6468">
        <w:rPr>
          <w:lang w:val="en-GB"/>
        </w:rPr>
        <w:t>.</w:t>
      </w:r>
      <w:bookmarkEnd w:id="785"/>
    </w:p>
    <w:tbl>
      <w:tblPr>
        <w:tblStyle w:val="TableGridLight"/>
        <w:tblW w:w="0" w:type="auto"/>
        <w:tblInd w:w="0" w:type="dxa"/>
        <w:tblLook w:val="04A0" w:firstRow="1" w:lastRow="0" w:firstColumn="1" w:lastColumn="0" w:noHBand="0" w:noVBand="1"/>
      </w:tblPr>
      <w:tblGrid>
        <w:gridCol w:w="1511"/>
        <w:gridCol w:w="1107"/>
        <w:gridCol w:w="1050"/>
        <w:gridCol w:w="1896"/>
        <w:gridCol w:w="1812"/>
        <w:gridCol w:w="1867"/>
        <w:gridCol w:w="1784"/>
        <w:gridCol w:w="1490"/>
        <w:gridCol w:w="1433"/>
      </w:tblGrid>
      <w:tr w:rsidR="00895189" w:rsidRPr="00435B6B" w14:paraId="363C2EAE" w14:textId="77777777" w:rsidTr="00832611">
        <w:trPr>
          <w:trHeight w:val="184"/>
        </w:trPr>
        <w:tc>
          <w:tcPr>
            <w:tcW w:w="0" w:type="auto"/>
            <w:noWrap/>
            <w:hideMark/>
          </w:tcPr>
          <w:p w14:paraId="472A0A7D" w14:textId="77777777" w:rsidR="00895189" w:rsidRPr="009819CE" w:rsidRDefault="00895189" w:rsidP="00AB5EC8">
            <w:pPr>
              <w:spacing w:before="0" w:after="0" w:line="240" w:lineRule="auto"/>
              <w:jc w:val="center"/>
              <w:rPr>
                <w:rFonts w:cstheme="minorBidi"/>
                <w:sz w:val="24"/>
                <w:szCs w:val="24"/>
                <w:lang w:val="en-GB"/>
              </w:rPr>
            </w:pPr>
          </w:p>
        </w:tc>
        <w:tc>
          <w:tcPr>
            <w:tcW w:w="0" w:type="auto"/>
            <w:gridSpan w:val="2"/>
          </w:tcPr>
          <w:p w14:paraId="32E143FD" w14:textId="77777777" w:rsidR="00895189" w:rsidRPr="009819CE" w:rsidRDefault="00895189" w:rsidP="00AB5EC8">
            <w:pPr>
              <w:spacing w:before="0" w:after="0" w:line="240" w:lineRule="auto"/>
              <w:jc w:val="center"/>
              <w:rPr>
                <w:rFonts w:cstheme="minorBidi"/>
                <w:sz w:val="24"/>
                <w:szCs w:val="24"/>
                <w:lang w:val="en-GB"/>
              </w:rPr>
            </w:pPr>
          </w:p>
        </w:tc>
        <w:tc>
          <w:tcPr>
            <w:tcW w:w="0" w:type="auto"/>
            <w:gridSpan w:val="2"/>
            <w:hideMark/>
          </w:tcPr>
          <w:p w14:paraId="06FA0DF1"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Start coordinate (decimal degrees DD)</w:t>
            </w:r>
          </w:p>
        </w:tc>
        <w:tc>
          <w:tcPr>
            <w:tcW w:w="0" w:type="auto"/>
            <w:gridSpan w:val="2"/>
            <w:hideMark/>
          </w:tcPr>
          <w:p w14:paraId="41F57F89"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End coordinate (decimal degrees DD)</w:t>
            </w:r>
          </w:p>
        </w:tc>
        <w:tc>
          <w:tcPr>
            <w:tcW w:w="0" w:type="auto"/>
            <w:gridSpan w:val="2"/>
            <w:hideMark/>
          </w:tcPr>
          <w:p w14:paraId="022A9253"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Trawl (depth)</w:t>
            </w:r>
          </w:p>
        </w:tc>
      </w:tr>
      <w:tr w:rsidR="00895189" w:rsidRPr="00435B6B" w14:paraId="457046E4" w14:textId="77777777" w:rsidTr="00832611">
        <w:trPr>
          <w:trHeight w:val="303"/>
        </w:trPr>
        <w:tc>
          <w:tcPr>
            <w:tcW w:w="0" w:type="auto"/>
            <w:hideMark/>
          </w:tcPr>
          <w:p w14:paraId="3DD7895A"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date</w:t>
            </w:r>
          </w:p>
        </w:tc>
        <w:tc>
          <w:tcPr>
            <w:tcW w:w="0" w:type="auto"/>
            <w:hideMark/>
          </w:tcPr>
          <w:p w14:paraId="10BD1EC2"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start time</w:t>
            </w:r>
          </w:p>
        </w:tc>
        <w:tc>
          <w:tcPr>
            <w:tcW w:w="0" w:type="auto"/>
            <w:hideMark/>
          </w:tcPr>
          <w:p w14:paraId="4251C2E1"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end time</w:t>
            </w:r>
          </w:p>
        </w:tc>
        <w:tc>
          <w:tcPr>
            <w:tcW w:w="0" w:type="auto"/>
            <w:hideMark/>
          </w:tcPr>
          <w:p w14:paraId="55AE19BD"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latitud</w:t>
            </w:r>
          </w:p>
        </w:tc>
        <w:tc>
          <w:tcPr>
            <w:tcW w:w="0" w:type="auto"/>
            <w:hideMark/>
          </w:tcPr>
          <w:p w14:paraId="131E45FF"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longitud</w:t>
            </w:r>
          </w:p>
        </w:tc>
        <w:tc>
          <w:tcPr>
            <w:tcW w:w="0" w:type="auto"/>
            <w:hideMark/>
          </w:tcPr>
          <w:p w14:paraId="0B70156A"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latitud</w:t>
            </w:r>
          </w:p>
        </w:tc>
        <w:tc>
          <w:tcPr>
            <w:tcW w:w="0" w:type="auto"/>
            <w:hideMark/>
          </w:tcPr>
          <w:p w14:paraId="65F24BD0"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longitud</w:t>
            </w:r>
          </w:p>
        </w:tc>
        <w:tc>
          <w:tcPr>
            <w:tcW w:w="0" w:type="auto"/>
            <w:hideMark/>
          </w:tcPr>
          <w:p w14:paraId="1B534F45"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start depth (m)</w:t>
            </w:r>
          </w:p>
        </w:tc>
        <w:tc>
          <w:tcPr>
            <w:tcW w:w="0" w:type="auto"/>
            <w:hideMark/>
          </w:tcPr>
          <w:p w14:paraId="6614C256" w14:textId="77777777" w:rsidR="00895189" w:rsidRPr="009819CE" w:rsidRDefault="00895189" w:rsidP="00AB5EC8">
            <w:pPr>
              <w:spacing w:before="0" w:after="0" w:line="240" w:lineRule="auto"/>
              <w:jc w:val="center"/>
              <w:rPr>
                <w:rFonts w:cstheme="minorBidi"/>
                <w:b/>
                <w:bCs/>
                <w:sz w:val="24"/>
                <w:szCs w:val="24"/>
                <w:lang w:val="en-GB"/>
              </w:rPr>
            </w:pPr>
            <w:r w:rsidRPr="009819CE">
              <w:rPr>
                <w:rFonts w:cstheme="minorBidi"/>
                <w:b/>
                <w:bCs/>
                <w:sz w:val="24"/>
                <w:szCs w:val="24"/>
                <w:lang w:val="en-GB"/>
              </w:rPr>
              <w:t>end depth (m)</w:t>
            </w:r>
          </w:p>
        </w:tc>
      </w:tr>
      <w:tr w:rsidR="00895189" w:rsidRPr="00435B6B" w14:paraId="169F8876" w14:textId="77777777" w:rsidTr="00832611">
        <w:trPr>
          <w:trHeight w:val="184"/>
        </w:trPr>
        <w:tc>
          <w:tcPr>
            <w:tcW w:w="0" w:type="auto"/>
            <w:noWrap/>
            <w:hideMark/>
          </w:tcPr>
          <w:p w14:paraId="7F5C770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26/11/2018</w:t>
            </w:r>
          </w:p>
        </w:tc>
        <w:tc>
          <w:tcPr>
            <w:tcW w:w="0" w:type="auto"/>
            <w:noWrap/>
            <w:hideMark/>
          </w:tcPr>
          <w:p w14:paraId="194E944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07:42</w:t>
            </w:r>
          </w:p>
        </w:tc>
        <w:tc>
          <w:tcPr>
            <w:tcW w:w="0" w:type="auto"/>
            <w:noWrap/>
            <w:hideMark/>
          </w:tcPr>
          <w:p w14:paraId="769BD1C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09:05</w:t>
            </w:r>
          </w:p>
        </w:tc>
        <w:tc>
          <w:tcPr>
            <w:tcW w:w="0" w:type="auto"/>
            <w:noWrap/>
            <w:hideMark/>
          </w:tcPr>
          <w:p w14:paraId="52CC3CB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55.75797</w:t>
            </w:r>
          </w:p>
        </w:tc>
        <w:tc>
          <w:tcPr>
            <w:tcW w:w="0" w:type="auto"/>
            <w:noWrap/>
            <w:hideMark/>
          </w:tcPr>
          <w:p w14:paraId="004184D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-4.87452</w:t>
            </w:r>
          </w:p>
        </w:tc>
        <w:tc>
          <w:tcPr>
            <w:tcW w:w="0" w:type="auto"/>
            <w:noWrap/>
            <w:hideMark/>
          </w:tcPr>
          <w:p w14:paraId="6C9299A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55.80322</w:t>
            </w:r>
          </w:p>
        </w:tc>
        <w:tc>
          <w:tcPr>
            <w:tcW w:w="0" w:type="auto"/>
            <w:noWrap/>
            <w:hideMark/>
          </w:tcPr>
          <w:p w14:paraId="4F1C87AF"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-4.88475</w:t>
            </w:r>
          </w:p>
        </w:tc>
        <w:tc>
          <w:tcPr>
            <w:tcW w:w="0" w:type="auto"/>
            <w:noWrap/>
            <w:hideMark/>
          </w:tcPr>
          <w:p w14:paraId="148E36D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42.0</w:t>
            </w:r>
          </w:p>
        </w:tc>
        <w:tc>
          <w:tcPr>
            <w:tcW w:w="0" w:type="auto"/>
            <w:noWrap/>
            <w:hideMark/>
          </w:tcPr>
          <w:p w14:paraId="2EDAB005"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22.0</w:t>
            </w:r>
          </w:p>
        </w:tc>
      </w:tr>
      <w:tr w:rsidR="00895189" w:rsidRPr="00435B6B" w14:paraId="7EC6205F" w14:textId="77777777" w:rsidTr="00832611">
        <w:trPr>
          <w:trHeight w:val="184"/>
        </w:trPr>
        <w:tc>
          <w:tcPr>
            <w:tcW w:w="0" w:type="auto"/>
            <w:noWrap/>
            <w:hideMark/>
          </w:tcPr>
          <w:p w14:paraId="0142C5C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14/12/2018</w:t>
            </w:r>
          </w:p>
        </w:tc>
        <w:tc>
          <w:tcPr>
            <w:tcW w:w="0" w:type="auto"/>
            <w:noWrap/>
            <w:hideMark/>
          </w:tcPr>
          <w:p w14:paraId="79AA0B8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08:39</w:t>
            </w:r>
          </w:p>
        </w:tc>
        <w:tc>
          <w:tcPr>
            <w:tcW w:w="0" w:type="auto"/>
            <w:noWrap/>
            <w:hideMark/>
          </w:tcPr>
          <w:p w14:paraId="0B8928A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10:20</w:t>
            </w:r>
          </w:p>
        </w:tc>
        <w:tc>
          <w:tcPr>
            <w:tcW w:w="0" w:type="auto"/>
            <w:noWrap/>
            <w:hideMark/>
          </w:tcPr>
          <w:p w14:paraId="27E8DE7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55.75967</w:t>
            </w:r>
          </w:p>
        </w:tc>
        <w:tc>
          <w:tcPr>
            <w:tcW w:w="0" w:type="auto"/>
            <w:noWrap/>
            <w:hideMark/>
          </w:tcPr>
          <w:p w14:paraId="2BAC431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-4.87955</w:t>
            </w:r>
          </w:p>
        </w:tc>
        <w:tc>
          <w:tcPr>
            <w:tcW w:w="0" w:type="auto"/>
            <w:noWrap/>
            <w:hideMark/>
          </w:tcPr>
          <w:p w14:paraId="0A97AA5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55.80712</w:t>
            </w:r>
          </w:p>
        </w:tc>
        <w:tc>
          <w:tcPr>
            <w:tcW w:w="0" w:type="auto"/>
            <w:noWrap/>
            <w:hideMark/>
          </w:tcPr>
          <w:p w14:paraId="776EC0A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-4.89038</w:t>
            </w:r>
          </w:p>
        </w:tc>
        <w:tc>
          <w:tcPr>
            <w:tcW w:w="0" w:type="auto"/>
            <w:noWrap/>
            <w:hideMark/>
          </w:tcPr>
          <w:p w14:paraId="6EE1492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45.4</w:t>
            </w:r>
          </w:p>
        </w:tc>
        <w:tc>
          <w:tcPr>
            <w:tcW w:w="0" w:type="auto"/>
            <w:noWrap/>
            <w:hideMark/>
          </w:tcPr>
          <w:p w14:paraId="53BFC3C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74.6</w:t>
            </w:r>
          </w:p>
        </w:tc>
      </w:tr>
      <w:tr w:rsidR="00895189" w:rsidRPr="00435B6B" w14:paraId="225C1BB0" w14:textId="77777777" w:rsidTr="00832611">
        <w:trPr>
          <w:trHeight w:val="184"/>
        </w:trPr>
        <w:tc>
          <w:tcPr>
            <w:tcW w:w="0" w:type="auto"/>
            <w:noWrap/>
            <w:hideMark/>
          </w:tcPr>
          <w:p w14:paraId="11D4EB7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22/01/2019</w:t>
            </w:r>
          </w:p>
        </w:tc>
        <w:tc>
          <w:tcPr>
            <w:tcW w:w="0" w:type="auto"/>
            <w:noWrap/>
            <w:hideMark/>
          </w:tcPr>
          <w:p w14:paraId="305A70A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08:09</w:t>
            </w:r>
          </w:p>
        </w:tc>
        <w:tc>
          <w:tcPr>
            <w:tcW w:w="0" w:type="auto"/>
            <w:noWrap/>
            <w:hideMark/>
          </w:tcPr>
          <w:p w14:paraId="18A17005"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09:38</w:t>
            </w:r>
          </w:p>
        </w:tc>
        <w:tc>
          <w:tcPr>
            <w:tcW w:w="0" w:type="auto"/>
            <w:noWrap/>
            <w:hideMark/>
          </w:tcPr>
          <w:p w14:paraId="04533B2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55.75665</w:t>
            </w:r>
          </w:p>
        </w:tc>
        <w:tc>
          <w:tcPr>
            <w:tcW w:w="0" w:type="auto"/>
            <w:noWrap/>
            <w:hideMark/>
          </w:tcPr>
          <w:p w14:paraId="080FDCC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-4.87713</w:t>
            </w:r>
          </w:p>
        </w:tc>
        <w:tc>
          <w:tcPr>
            <w:tcW w:w="0" w:type="auto"/>
            <w:noWrap/>
            <w:hideMark/>
          </w:tcPr>
          <w:p w14:paraId="63962AF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55.80362</w:t>
            </w:r>
          </w:p>
        </w:tc>
        <w:tc>
          <w:tcPr>
            <w:tcW w:w="0" w:type="auto"/>
            <w:noWrap/>
            <w:hideMark/>
          </w:tcPr>
          <w:p w14:paraId="12FC248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-4.88262</w:t>
            </w:r>
          </w:p>
        </w:tc>
        <w:tc>
          <w:tcPr>
            <w:tcW w:w="0" w:type="auto"/>
            <w:noWrap/>
            <w:hideMark/>
          </w:tcPr>
          <w:p w14:paraId="6E12D34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38.34</w:t>
            </w:r>
          </w:p>
        </w:tc>
        <w:tc>
          <w:tcPr>
            <w:tcW w:w="0" w:type="auto"/>
            <w:noWrap/>
            <w:hideMark/>
          </w:tcPr>
          <w:p w14:paraId="633FD1AF"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44.10</w:t>
            </w:r>
          </w:p>
        </w:tc>
      </w:tr>
      <w:tr w:rsidR="00895189" w:rsidRPr="00435B6B" w14:paraId="0AB9826C" w14:textId="77777777" w:rsidTr="00832611">
        <w:trPr>
          <w:trHeight w:val="184"/>
        </w:trPr>
        <w:tc>
          <w:tcPr>
            <w:tcW w:w="0" w:type="auto"/>
            <w:noWrap/>
            <w:hideMark/>
          </w:tcPr>
          <w:p w14:paraId="429F051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20/02/2019</w:t>
            </w:r>
          </w:p>
        </w:tc>
        <w:tc>
          <w:tcPr>
            <w:tcW w:w="0" w:type="auto"/>
            <w:noWrap/>
            <w:hideMark/>
          </w:tcPr>
          <w:p w14:paraId="6993B24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07:25</w:t>
            </w:r>
          </w:p>
        </w:tc>
        <w:tc>
          <w:tcPr>
            <w:tcW w:w="0" w:type="auto"/>
            <w:noWrap/>
            <w:hideMark/>
          </w:tcPr>
          <w:p w14:paraId="622C177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08:22</w:t>
            </w:r>
          </w:p>
        </w:tc>
        <w:tc>
          <w:tcPr>
            <w:tcW w:w="0" w:type="auto"/>
            <w:noWrap/>
            <w:hideMark/>
          </w:tcPr>
          <w:p w14:paraId="508D858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55.76610</w:t>
            </w:r>
          </w:p>
        </w:tc>
        <w:tc>
          <w:tcPr>
            <w:tcW w:w="0" w:type="auto"/>
            <w:noWrap/>
            <w:hideMark/>
          </w:tcPr>
          <w:p w14:paraId="60495115"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-4.87217</w:t>
            </w:r>
          </w:p>
        </w:tc>
        <w:tc>
          <w:tcPr>
            <w:tcW w:w="0" w:type="auto"/>
            <w:noWrap/>
            <w:hideMark/>
          </w:tcPr>
          <w:p w14:paraId="77B86AD1"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55.80032</w:t>
            </w:r>
          </w:p>
        </w:tc>
        <w:tc>
          <w:tcPr>
            <w:tcW w:w="0" w:type="auto"/>
            <w:noWrap/>
            <w:hideMark/>
          </w:tcPr>
          <w:p w14:paraId="78E6CC1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-4.87948</w:t>
            </w:r>
          </w:p>
        </w:tc>
        <w:tc>
          <w:tcPr>
            <w:tcW w:w="0" w:type="auto"/>
            <w:noWrap/>
            <w:hideMark/>
          </w:tcPr>
          <w:p w14:paraId="4931357F"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30.24</w:t>
            </w:r>
          </w:p>
        </w:tc>
        <w:tc>
          <w:tcPr>
            <w:tcW w:w="0" w:type="auto"/>
            <w:noWrap/>
            <w:hideMark/>
          </w:tcPr>
          <w:p w14:paraId="7FDE358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45.18</w:t>
            </w:r>
          </w:p>
        </w:tc>
      </w:tr>
      <w:tr w:rsidR="00895189" w:rsidRPr="00435B6B" w14:paraId="412F2F1E" w14:textId="77777777" w:rsidTr="00832611">
        <w:trPr>
          <w:trHeight w:val="184"/>
        </w:trPr>
        <w:tc>
          <w:tcPr>
            <w:tcW w:w="0" w:type="auto"/>
            <w:noWrap/>
            <w:hideMark/>
          </w:tcPr>
          <w:p w14:paraId="09CD2A3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19/03/2019</w:t>
            </w:r>
          </w:p>
        </w:tc>
        <w:tc>
          <w:tcPr>
            <w:tcW w:w="0" w:type="auto"/>
            <w:noWrap/>
            <w:hideMark/>
          </w:tcPr>
          <w:p w14:paraId="1ED8AC8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06:19</w:t>
            </w:r>
          </w:p>
        </w:tc>
        <w:tc>
          <w:tcPr>
            <w:tcW w:w="0" w:type="auto"/>
            <w:noWrap/>
            <w:hideMark/>
          </w:tcPr>
          <w:p w14:paraId="795EEA1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07:40</w:t>
            </w:r>
          </w:p>
        </w:tc>
        <w:tc>
          <w:tcPr>
            <w:tcW w:w="0" w:type="auto"/>
            <w:noWrap/>
            <w:hideMark/>
          </w:tcPr>
          <w:p w14:paraId="49475FA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55.75907</w:t>
            </w:r>
          </w:p>
        </w:tc>
        <w:tc>
          <w:tcPr>
            <w:tcW w:w="0" w:type="auto"/>
            <w:noWrap/>
            <w:hideMark/>
          </w:tcPr>
          <w:p w14:paraId="522D67B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-4.87615</w:t>
            </w:r>
          </w:p>
        </w:tc>
        <w:tc>
          <w:tcPr>
            <w:tcW w:w="0" w:type="auto"/>
            <w:noWrap/>
            <w:hideMark/>
          </w:tcPr>
          <w:p w14:paraId="32F03CA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55.80175</w:t>
            </w:r>
          </w:p>
        </w:tc>
        <w:tc>
          <w:tcPr>
            <w:tcW w:w="0" w:type="auto"/>
            <w:noWrap/>
            <w:hideMark/>
          </w:tcPr>
          <w:p w14:paraId="4553D1D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-4.88252</w:t>
            </w:r>
          </w:p>
        </w:tc>
        <w:tc>
          <w:tcPr>
            <w:tcW w:w="0" w:type="auto"/>
            <w:noWrap/>
            <w:hideMark/>
          </w:tcPr>
          <w:p w14:paraId="3BA5487F"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40.86</w:t>
            </w:r>
          </w:p>
        </w:tc>
        <w:tc>
          <w:tcPr>
            <w:tcW w:w="0" w:type="auto"/>
            <w:noWrap/>
            <w:hideMark/>
          </w:tcPr>
          <w:p w14:paraId="4EDAF67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48.96</w:t>
            </w:r>
          </w:p>
        </w:tc>
      </w:tr>
      <w:tr w:rsidR="00895189" w:rsidRPr="00435B6B" w14:paraId="37AE735D" w14:textId="77777777" w:rsidTr="00832611">
        <w:trPr>
          <w:trHeight w:val="184"/>
        </w:trPr>
        <w:tc>
          <w:tcPr>
            <w:tcW w:w="0" w:type="auto"/>
            <w:noWrap/>
            <w:hideMark/>
          </w:tcPr>
          <w:p w14:paraId="4A2F689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24/04/2019</w:t>
            </w:r>
          </w:p>
        </w:tc>
        <w:tc>
          <w:tcPr>
            <w:tcW w:w="0" w:type="auto"/>
            <w:noWrap/>
            <w:hideMark/>
          </w:tcPr>
          <w:p w14:paraId="17CC48C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06:18</w:t>
            </w:r>
          </w:p>
        </w:tc>
        <w:tc>
          <w:tcPr>
            <w:tcW w:w="0" w:type="auto"/>
            <w:noWrap/>
            <w:hideMark/>
          </w:tcPr>
          <w:p w14:paraId="13104DD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07:46</w:t>
            </w:r>
          </w:p>
        </w:tc>
        <w:tc>
          <w:tcPr>
            <w:tcW w:w="0" w:type="auto"/>
            <w:noWrap/>
            <w:hideMark/>
          </w:tcPr>
          <w:p w14:paraId="7387D5C6"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55.75883</w:t>
            </w:r>
          </w:p>
        </w:tc>
        <w:tc>
          <w:tcPr>
            <w:tcW w:w="0" w:type="auto"/>
            <w:noWrap/>
            <w:hideMark/>
          </w:tcPr>
          <w:p w14:paraId="3D20F98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-4.87982</w:t>
            </w:r>
          </w:p>
        </w:tc>
        <w:tc>
          <w:tcPr>
            <w:tcW w:w="0" w:type="auto"/>
            <w:noWrap/>
            <w:hideMark/>
          </w:tcPr>
          <w:p w14:paraId="351084F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55.80317</w:t>
            </w:r>
          </w:p>
        </w:tc>
        <w:tc>
          <w:tcPr>
            <w:tcW w:w="0" w:type="auto"/>
            <w:noWrap/>
            <w:hideMark/>
          </w:tcPr>
          <w:p w14:paraId="55CA7716"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-4.88248</w:t>
            </w:r>
          </w:p>
        </w:tc>
        <w:tc>
          <w:tcPr>
            <w:tcW w:w="0" w:type="auto"/>
            <w:noWrap/>
            <w:hideMark/>
          </w:tcPr>
          <w:p w14:paraId="5347620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47.16</w:t>
            </w:r>
          </w:p>
        </w:tc>
        <w:tc>
          <w:tcPr>
            <w:tcW w:w="0" w:type="auto"/>
            <w:noWrap/>
            <w:hideMark/>
          </w:tcPr>
          <w:p w14:paraId="74889AF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45.18</w:t>
            </w:r>
          </w:p>
        </w:tc>
      </w:tr>
      <w:tr w:rsidR="00895189" w:rsidRPr="00435B6B" w14:paraId="2BF6D79F" w14:textId="77777777" w:rsidTr="00832611">
        <w:trPr>
          <w:trHeight w:val="184"/>
        </w:trPr>
        <w:tc>
          <w:tcPr>
            <w:tcW w:w="0" w:type="auto"/>
            <w:noWrap/>
            <w:hideMark/>
          </w:tcPr>
          <w:p w14:paraId="3A8C8B15"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21/05/2019</w:t>
            </w:r>
          </w:p>
        </w:tc>
        <w:tc>
          <w:tcPr>
            <w:tcW w:w="0" w:type="auto"/>
            <w:noWrap/>
            <w:hideMark/>
          </w:tcPr>
          <w:p w14:paraId="3CC0655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04:45</w:t>
            </w:r>
          </w:p>
        </w:tc>
        <w:tc>
          <w:tcPr>
            <w:tcW w:w="0" w:type="auto"/>
            <w:noWrap/>
            <w:hideMark/>
          </w:tcPr>
          <w:p w14:paraId="3BFD9E9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06:18</w:t>
            </w:r>
          </w:p>
        </w:tc>
        <w:tc>
          <w:tcPr>
            <w:tcW w:w="0" w:type="auto"/>
            <w:noWrap/>
            <w:hideMark/>
          </w:tcPr>
          <w:p w14:paraId="0BB9DFB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55.75802</w:t>
            </w:r>
          </w:p>
        </w:tc>
        <w:tc>
          <w:tcPr>
            <w:tcW w:w="0" w:type="auto"/>
            <w:noWrap/>
            <w:hideMark/>
          </w:tcPr>
          <w:p w14:paraId="74C8800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-4.87685</w:t>
            </w:r>
          </w:p>
        </w:tc>
        <w:tc>
          <w:tcPr>
            <w:tcW w:w="0" w:type="auto"/>
            <w:noWrap/>
            <w:hideMark/>
          </w:tcPr>
          <w:p w14:paraId="4AE4020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55.79800</w:t>
            </w:r>
          </w:p>
        </w:tc>
        <w:tc>
          <w:tcPr>
            <w:tcW w:w="0" w:type="auto"/>
            <w:noWrap/>
            <w:hideMark/>
          </w:tcPr>
          <w:p w14:paraId="282F9C71"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-4.87805</w:t>
            </w:r>
          </w:p>
        </w:tc>
        <w:tc>
          <w:tcPr>
            <w:tcW w:w="0" w:type="auto"/>
            <w:noWrap/>
            <w:hideMark/>
          </w:tcPr>
          <w:p w14:paraId="45916E3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40.86</w:t>
            </w:r>
          </w:p>
        </w:tc>
        <w:tc>
          <w:tcPr>
            <w:tcW w:w="0" w:type="auto"/>
            <w:noWrap/>
            <w:hideMark/>
          </w:tcPr>
          <w:p w14:paraId="773E4C0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43.74</w:t>
            </w:r>
          </w:p>
        </w:tc>
      </w:tr>
      <w:tr w:rsidR="00895189" w:rsidRPr="00435B6B" w14:paraId="53FD7980" w14:textId="77777777" w:rsidTr="00832611">
        <w:trPr>
          <w:trHeight w:val="184"/>
        </w:trPr>
        <w:tc>
          <w:tcPr>
            <w:tcW w:w="0" w:type="auto"/>
            <w:noWrap/>
            <w:hideMark/>
          </w:tcPr>
          <w:p w14:paraId="37BAC20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18/06/2019</w:t>
            </w:r>
          </w:p>
        </w:tc>
        <w:tc>
          <w:tcPr>
            <w:tcW w:w="0" w:type="auto"/>
            <w:noWrap/>
            <w:hideMark/>
          </w:tcPr>
          <w:p w14:paraId="12B1990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04:25</w:t>
            </w:r>
          </w:p>
        </w:tc>
        <w:tc>
          <w:tcPr>
            <w:tcW w:w="0" w:type="auto"/>
            <w:noWrap/>
            <w:hideMark/>
          </w:tcPr>
          <w:p w14:paraId="4247596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05:48</w:t>
            </w:r>
          </w:p>
        </w:tc>
        <w:tc>
          <w:tcPr>
            <w:tcW w:w="0" w:type="auto"/>
            <w:noWrap/>
            <w:hideMark/>
          </w:tcPr>
          <w:p w14:paraId="463DE4C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55.75858</w:t>
            </w:r>
          </w:p>
        </w:tc>
        <w:tc>
          <w:tcPr>
            <w:tcW w:w="0" w:type="auto"/>
            <w:noWrap/>
            <w:hideMark/>
          </w:tcPr>
          <w:p w14:paraId="4F7E01F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-4.87597</w:t>
            </w:r>
          </w:p>
        </w:tc>
        <w:tc>
          <w:tcPr>
            <w:tcW w:w="0" w:type="auto"/>
            <w:noWrap/>
            <w:hideMark/>
          </w:tcPr>
          <w:p w14:paraId="301DC3CF"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55.79462</w:t>
            </w:r>
          </w:p>
        </w:tc>
        <w:tc>
          <w:tcPr>
            <w:tcW w:w="0" w:type="auto"/>
            <w:noWrap/>
            <w:hideMark/>
          </w:tcPr>
          <w:p w14:paraId="00EDB1B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-4.87865</w:t>
            </w:r>
          </w:p>
        </w:tc>
        <w:tc>
          <w:tcPr>
            <w:tcW w:w="0" w:type="auto"/>
            <w:noWrap/>
            <w:hideMark/>
          </w:tcPr>
          <w:p w14:paraId="39C6B6C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40.50</w:t>
            </w:r>
          </w:p>
        </w:tc>
        <w:tc>
          <w:tcPr>
            <w:tcW w:w="0" w:type="auto"/>
            <w:noWrap/>
            <w:hideMark/>
          </w:tcPr>
          <w:p w14:paraId="175FDF1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43.92</w:t>
            </w:r>
          </w:p>
        </w:tc>
      </w:tr>
      <w:tr w:rsidR="00895189" w:rsidRPr="00435B6B" w14:paraId="40C2A6FA" w14:textId="77777777" w:rsidTr="00832611">
        <w:trPr>
          <w:trHeight w:val="184"/>
        </w:trPr>
        <w:tc>
          <w:tcPr>
            <w:tcW w:w="0" w:type="auto"/>
            <w:noWrap/>
            <w:hideMark/>
          </w:tcPr>
          <w:p w14:paraId="3E2AF3A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22/07/2019</w:t>
            </w:r>
          </w:p>
        </w:tc>
        <w:tc>
          <w:tcPr>
            <w:tcW w:w="0" w:type="auto"/>
            <w:noWrap/>
            <w:hideMark/>
          </w:tcPr>
          <w:p w14:paraId="10D2F4F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18:15</w:t>
            </w:r>
          </w:p>
        </w:tc>
        <w:tc>
          <w:tcPr>
            <w:tcW w:w="0" w:type="auto"/>
            <w:noWrap/>
            <w:hideMark/>
          </w:tcPr>
          <w:p w14:paraId="080C554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19:17</w:t>
            </w:r>
          </w:p>
        </w:tc>
        <w:tc>
          <w:tcPr>
            <w:tcW w:w="0" w:type="auto"/>
            <w:noWrap/>
            <w:hideMark/>
          </w:tcPr>
          <w:p w14:paraId="5C30BC2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55.75978</w:t>
            </w:r>
          </w:p>
        </w:tc>
        <w:tc>
          <w:tcPr>
            <w:tcW w:w="0" w:type="auto"/>
            <w:noWrap/>
            <w:hideMark/>
          </w:tcPr>
          <w:p w14:paraId="54AE9D2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-4.88223</w:t>
            </w:r>
          </w:p>
        </w:tc>
        <w:tc>
          <w:tcPr>
            <w:tcW w:w="0" w:type="auto"/>
            <w:noWrap/>
            <w:hideMark/>
          </w:tcPr>
          <w:p w14:paraId="49CEAB9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55.79107</w:t>
            </w:r>
          </w:p>
        </w:tc>
        <w:tc>
          <w:tcPr>
            <w:tcW w:w="0" w:type="auto"/>
            <w:noWrap/>
            <w:hideMark/>
          </w:tcPr>
          <w:p w14:paraId="189AA1D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-4.87815</w:t>
            </w:r>
          </w:p>
        </w:tc>
        <w:tc>
          <w:tcPr>
            <w:tcW w:w="0" w:type="auto"/>
            <w:noWrap/>
            <w:hideMark/>
          </w:tcPr>
          <w:p w14:paraId="7F3EAB75"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48.24</w:t>
            </w:r>
          </w:p>
        </w:tc>
        <w:tc>
          <w:tcPr>
            <w:tcW w:w="0" w:type="auto"/>
            <w:noWrap/>
            <w:hideMark/>
          </w:tcPr>
          <w:p w14:paraId="2244B43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45.72</w:t>
            </w:r>
          </w:p>
        </w:tc>
      </w:tr>
      <w:tr w:rsidR="00895189" w:rsidRPr="00435B6B" w14:paraId="5E28AD81" w14:textId="77777777" w:rsidTr="00832611">
        <w:trPr>
          <w:trHeight w:val="184"/>
        </w:trPr>
        <w:tc>
          <w:tcPr>
            <w:tcW w:w="0" w:type="auto"/>
            <w:noWrap/>
            <w:hideMark/>
          </w:tcPr>
          <w:p w14:paraId="068CAE7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22/07/2019*</w:t>
            </w:r>
          </w:p>
        </w:tc>
        <w:tc>
          <w:tcPr>
            <w:tcW w:w="0" w:type="auto"/>
            <w:noWrap/>
            <w:hideMark/>
          </w:tcPr>
          <w:p w14:paraId="5E0E0FC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20:13</w:t>
            </w:r>
          </w:p>
        </w:tc>
        <w:tc>
          <w:tcPr>
            <w:tcW w:w="0" w:type="auto"/>
            <w:noWrap/>
            <w:hideMark/>
          </w:tcPr>
          <w:p w14:paraId="5C802B7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21:14</w:t>
            </w:r>
          </w:p>
        </w:tc>
        <w:tc>
          <w:tcPr>
            <w:tcW w:w="0" w:type="auto"/>
            <w:noWrap/>
            <w:hideMark/>
          </w:tcPr>
          <w:p w14:paraId="3C1177AF"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55.78918</w:t>
            </w:r>
          </w:p>
        </w:tc>
        <w:tc>
          <w:tcPr>
            <w:tcW w:w="0" w:type="auto"/>
            <w:noWrap/>
            <w:hideMark/>
          </w:tcPr>
          <w:p w14:paraId="0529588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-4.88382</w:t>
            </w:r>
          </w:p>
        </w:tc>
        <w:tc>
          <w:tcPr>
            <w:tcW w:w="0" w:type="auto"/>
            <w:noWrap/>
            <w:hideMark/>
          </w:tcPr>
          <w:p w14:paraId="1E3618B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55.82252</w:t>
            </w:r>
          </w:p>
        </w:tc>
        <w:tc>
          <w:tcPr>
            <w:tcW w:w="0" w:type="auto"/>
            <w:noWrap/>
            <w:hideMark/>
          </w:tcPr>
          <w:p w14:paraId="1C5F375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-4.89813</w:t>
            </w:r>
          </w:p>
        </w:tc>
        <w:tc>
          <w:tcPr>
            <w:tcW w:w="0" w:type="auto"/>
            <w:noWrap/>
            <w:hideMark/>
          </w:tcPr>
          <w:p w14:paraId="0BDADF0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46.44</w:t>
            </w:r>
          </w:p>
        </w:tc>
        <w:tc>
          <w:tcPr>
            <w:tcW w:w="0" w:type="auto"/>
            <w:noWrap/>
            <w:hideMark/>
          </w:tcPr>
          <w:p w14:paraId="66AB8C0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48.06</w:t>
            </w:r>
          </w:p>
        </w:tc>
      </w:tr>
      <w:tr w:rsidR="00895189" w:rsidRPr="00435B6B" w14:paraId="03152A95" w14:textId="77777777" w:rsidTr="00832611">
        <w:trPr>
          <w:trHeight w:val="184"/>
        </w:trPr>
        <w:tc>
          <w:tcPr>
            <w:tcW w:w="0" w:type="auto"/>
            <w:noWrap/>
            <w:hideMark/>
          </w:tcPr>
          <w:p w14:paraId="5995257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20/08/2019</w:t>
            </w:r>
          </w:p>
        </w:tc>
        <w:tc>
          <w:tcPr>
            <w:tcW w:w="0" w:type="auto"/>
            <w:noWrap/>
            <w:hideMark/>
          </w:tcPr>
          <w:p w14:paraId="49CA82B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06:04</w:t>
            </w:r>
          </w:p>
        </w:tc>
        <w:tc>
          <w:tcPr>
            <w:tcW w:w="0" w:type="auto"/>
            <w:noWrap/>
            <w:hideMark/>
          </w:tcPr>
          <w:p w14:paraId="7905B3C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07:21</w:t>
            </w:r>
          </w:p>
        </w:tc>
        <w:tc>
          <w:tcPr>
            <w:tcW w:w="0" w:type="auto"/>
            <w:noWrap/>
            <w:hideMark/>
          </w:tcPr>
          <w:p w14:paraId="6ACF629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55.79083</w:t>
            </w:r>
          </w:p>
        </w:tc>
        <w:tc>
          <w:tcPr>
            <w:tcW w:w="0" w:type="auto"/>
            <w:noWrap/>
            <w:hideMark/>
          </w:tcPr>
          <w:p w14:paraId="3107023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-4.87573</w:t>
            </w:r>
          </w:p>
        </w:tc>
        <w:tc>
          <w:tcPr>
            <w:tcW w:w="0" w:type="auto"/>
            <w:noWrap/>
            <w:hideMark/>
          </w:tcPr>
          <w:p w14:paraId="74ECE87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55.82058</w:t>
            </w:r>
          </w:p>
        </w:tc>
        <w:tc>
          <w:tcPr>
            <w:tcW w:w="0" w:type="auto"/>
            <w:noWrap/>
            <w:hideMark/>
          </w:tcPr>
          <w:p w14:paraId="3F9E4FE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-4.89733</w:t>
            </w:r>
          </w:p>
        </w:tc>
        <w:tc>
          <w:tcPr>
            <w:tcW w:w="0" w:type="auto"/>
            <w:noWrap/>
            <w:hideMark/>
          </w:tcPr>
          <w:p w14:paraId="376C3FB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45.36</w:t>
            </w:r>
          </w:p>
        </w:tc>
        <w:tc>
          <w:tcPr>
            <w:tcW w:w="0" w:type="auto"/>
            <w:noWrap/>
            <w:hideMark/>
          </w:tcPr>
          <w:p w14:paraId="4ED601F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48.06</w:t>
            </w:r>
          </w:p>
        </w:tc>
      </w:tr>
      <w:tr w:rsidR="00895189" w:rsidRPr="00435B6B" w14:paraId="0C30AA1E" w14:textId="77777777" w:rsidTr="00832611">
        <w:trPr>
          <w:trHeight w:val="184"/>
        </w:trPr>
        <w:tc>
          <w:tcPr>
            <w:tcW w:w="0" w:type="auto"/>
            <w:noWrap/>
            <w:hideMark/>
          </w:tcPr>
          <w:p w14:paraId="5E0F5A2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20/08/2019*</w:t>
            </w:r>
          </w:p>
        </w:tc>
        <w:tc>
          <w:tcPr>
            <w:tcW w:w="0" w:type="auto"/>
            <w:noWrap/>
            <w:hideMark/>
          </w:tcPr>
          <w:p w14:paraId="0E02D468"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12:36</w:t>
            </w:r>
          </w:p>
        </w:tc>
        <w:tc>
          <w:tcPr>
            <w:tcW w:w="0" w:type="auto"/>
            <w:noWrap/>
            <w:hideMark/>
          </w:tcPr>
          <w:p w14:paraId="1D9B476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13:17</w:t>
            </w:r>
          </w:p>
        </w:tc>
        <w:tc>
          <w:tcPr>
            <w:tcW w:w="0" w:type="auto"/>
            <w:noWrap/>
            <w:hideMark/>
          </w:tcPr>
          <w:p w14:paraId="690F78BC"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55.87967</w:t>
            </w:r>
          </w:p>
        </w:tc>
        <w:tc>
          <w:tcPr>
            <w:tcW w:w="0" w:type="auto"/>
            <w:noWrap/>
            <w:hideMark/>
          </w:tcPr>
          <w:p w14:paraId="1197AC3A"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-4.90167</w:t>
            </w:r>
          </w:p>
        </w:tc>
        <w:tc>
          <w:tcPr>
            <w:tcW w:w="0" w:type="auto"/>
            <w:noWrap/>
            <w:hideMark/>
          </w:tcPr>
          <w:p w14:paraId="02B6DE1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55.86098</w:t>
            </w:r>
          </w:p>
        </w:tc>
        <w:tc>
          <w:tcPr>
            <w:tcW w:w="0" w:type="auto"/>
            <w:noWrap/>
            <w:hideMark/>
          </w:tcPr>
          <w:p w14:paraId="3C7250CD"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-4.90345</w:t>
            </w:r>
          </w:p>
        </w:tc>
        <w:tc>
          <w:tcPr>
            <w:tcW w:w="0" w:type="auto"/>
            <w:noWrap/>
            <w:hideMark/>
          </w:tcPr>
          <w:p w14:paraId="0892906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50.4</w:t>
            </w:r>
          </w:p>
        </w:tc>
        <w:tc>
          <w:tcPr>
            <w:tcW w:w="0" w:type="auto"/>
            <w:noWrap/>
            <w:hideMark/>
          </w:tcPr>
          <w:p w14:paraId="79BABEA5"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74.34</w:t>
            </w:r>
          </w:p>
        </w:tc>
      </w:tr>
      <w:tr w:rsidR="00895189" w:rsidRPr="00435B6B" w14:paraId="4AE0CDAF" w14:textId="77777777" w:rsidTr="00832611">
        <w:trPr>
          <w:trHeight w:val="184"/>
        </w:trPr>
        <w:tc>
          <w:tcPr>
            <w:tcW w:w="0" w:type="auto"/>
            <w:noWrap/>
            <w:hideMark/>
          </w:tcPr>
          <w:p w14:paraId="41FB0336"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24/09/2019</w:t>
            </w:r>
          </w:p>
        </w:tc>
        <w:tc>
          <w:tcPr>
            <w:tcW w:w="0" w:type="auto"/>
            <w:noWrap/>
            <w:hideMark/>
          </w:tcPr>
          <w:p w14:paraId="55B6FEF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06:45</w:t>
            </w:r>
          </w:p>
        </w:tc>
        <w:tc>
          <w:tcPr>
            <w:tcW w:w="0" w:type="auto"/>
            <w:noWrap/>
            <w:hideMark/>
          </w:tcPr>
          <w:p w14:paraId="685F3299"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08:30</w:t>
            </w:r>
          </w:p>
        </w:tc>
        <w:tc>
          <w:tcPr>
            <w:tcW w:w="0" w:type="auto"/>
            <w:noWrap/>
            <w:hideMark/>
          </w:tcPr>
          <w:p w14:paraId="272509A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55.75823</w:t>
            </w:r>
          </w:p>
        </w:tc>
        <w:tc>
          <w:tcPr>
            <w:tcW w:w="0" w:type="auto"/>
            <w:noWrap/>
            <w:hideMark/>
          </w:tcPr>
          <w:p w14:paraId="52EF042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-4.87707</w:t>
            </w:r>
          </w:p>
        </w:tc>
        <w:tc>
          <w:tcPr>
            <w:tcW w:w="0" w:type="auto"/>
            <w:noWrap/>
            <w:hideMark/>
          </w:tcPr>
          <w:p w14:paraId="367E715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55.79820</w:t>
            </w:r>
          </w:p>
        </w:tc>
        <w:tc>
          <w:tcPr>
            <w:tcW w:w="0" w:type="auto"/>
            <w:noWrap/>
            <w:hideMark/>
          </w:tcPr>
          <w:p w14:paraId="2BCF8434"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-4.87848</w:t>
            </w:r>
          </w:p>
        </w:tc>
        <w:tc>
          <w:tcPr>
            <w:tcW w:w="0" w:type="auto"/>
            <w:noWrap/>
            <w:hideMark/>
          </w:tcPr>
          <w:p w14:paraId="530F980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42.43</w:t>
            </w:r>
          </w:p>
        </w:tc>
        <w:tc>
          <w:tcPr>
            <w:tcW w:w="0" w:type="auto"/>
            <w:noWrap/>
            <w:hideMark/>
          </w:tcPr>
          <w:p w14:paraId="184930C6"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46.27</w:t>
            </w:r>
          </w:p>
        </w:tc>
      </w:tr>
      <w:tr w:rsidR="00895189" w:rsidRPr="00435B6B" w14:paraId="39F9CFA7" w14:textId="77777777" w:rsidTr="00832611">
        <w:trPr>
          <w:trHeight w:val="184"/>
        </w:trPr>
        <w:tc>
          <w:tcPr>
            <w:tcW w:w="0" w:type="auto"/>
            <w:noWrap/>
            <w:hideMark/>
          </w:tcPr>
          <w:p w14:paraId="2D3F7D6E"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21/10/2019</w:t>
            </w:r>
          </w:p>
        </w:tc>
        <w:tc>
          <w:tcPr>
            <w:tcW w:w="0" w:type="auto"/>
            <w:noWrap/>
            <w:hideMark/>
          </w:tcPr>
          <w:p w14:paraId="77BBAA0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07:24</w:t>
            </w:r>
          </w:p>
        </w:tc>
        <w:tc>
          <w:tcPr>
            <w:tcW w:w="0" w:type="auto"/>
            <w:noWrap/>
            <w:hideMark/>
          </w:tcPr>
          <w:p w14:paraId="757753F7"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09:25</w:t>
            </w:r>
          </w:p>
        </w:tc>
        <w:tc>
          <w:tcPr>
            <w:tcW w:w="0" w:type="auto"/>
            <w:noWrap/>
            <w:hideMark/>
          </w:tcPr>
          <w:p w14:paraId="7DDD213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55.75692</w:t>
            </w:r>
          </w:p>
        </w:tc>
        <w:tc>
          <w:tcPr>
            <w:tcW w:w="0" w:type="auto"/>
            <w:noWrap/>
            <w:hideMark/>
          </w:tcPr>
          <w:p w14:paraId="274F356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-4.87750</w:t>
            </w:r>
          </w:p>
        </w:tc>
        <w:tc>
          <w:tcPr>
            <w:tcW w:w="0" w:type="auto"/>
            <w:noWrap/>
            <w:hideMark/>
          </w:tcPr>
          <w:p w14:paraId="24BFCFB0"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55.80712</w:t>
            </w:r>
          </w:p>
        </w:tc>
        <w:tc>
          <w:tcPr>
            <w:tcW w:w="0" w:type="auto"/>
            <w:noWrap/>
            <w:hideMark/>
          </w:tcPr>
          <w:p w14:paraId="6D8F59AB"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-4.88525</w:t>
            </w:r>
          </w:p>
        </w:tc>
        <w:tc>
          <w:tcPr>
            <w:tcW w:w="0" w:type="auto"/>
            <w:noWrap/>
            <w:hideMark/>
          </w:tcPr>
          <w:p w14:paraId="2F6FE0F2"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40.23</w:t>
            </w:r>
          </w:p>
        </w:tc>
        <w:tc>
          <w:tcPr>
            <w:tcW w:w="0" w:type="auto"/>
            <w:noWrap/>
            <w:hideMark/>
          </w:tcPr>
          <w:p w14:paraId="72156613" w14:textId="77777777" w:rsidR="00895189" w:rsidRPr="009819CE" w:rsidRDefault="00895189" w:rsidP="003975AF">
            <w:pPr>
              <w:spacing w:before="0" w:after="0" w:line="240" w:lineRule="auto"/>
              <w:jc w:val="center"/>
              <w:rPr>
                <w:rFonts w:cstheme="minorBidi"/>
                <w:sz w:val="24"/>
                <w:szCs w:val="24"/>
                <w:lang w:val="en-GB"/>
              </w:rPr>
            </w:pPr>
            <w:r w:rsidRPr="009819CE">
              <w:rPr>
                <w:rFonts w:cstheme="minorBidi"/>
                <w:sz w:val="24"/>
                <w:szCs w:val="24"/>
                <w:lang w:val="en-GB"/>
              </w:rPr>
              <w:t>29.63</w:t>
            </w:r>
          </w:p>
        </w:tc>
      </w:tr>
    </w:tbl>
    <w:p w14:paraId="6047D11E" w14:textId="77777777" w:rsidR="00895189" w:rsidRPr="009819CE" w:rsidRDefault="00895189" w:rsidP="00895189">
      <w:pPr>
        <w:pStyle w:val="Caption"/>
        <w:rPr>
          <w:rFonts w:asciiTheme="minorBidi" w:hAnsiTheme="minorBidi" w:cstheme="minorBidi"/>
        </w:rPr>
      </w:pPr>
    </w:p>
    <w:p w14:paraId="0161E794" w14:textId="77777777" w:rsidR="00056BCE" w:rsidRPr="009819CE" w:rsidRDefault="00056BCE" w:rsidP="00895189">
      <w:pPr>
        <w:pStyle w:val="Caption"/>
        <w:rPr>
          <w:rFonts w:asciiTheme="minorBidi" w:hAnsiTheme="minorBidi" w:cstheme="minorBidi"/>
        </w:rPr>
        <w:sectPr w:rsidR="00056BCE" w:rsidRPr="009819CE" w:rsidSect="003A7A28">
          <w:headerReference w:type="default" r:id="rId151"/>
          <w:footerReference w:type="default" r:id="rId152"/>
          <w:pgSz w:w="16840" w:h="11900" w:orient="landscape"/>
          <w:pgMar w:top="1440" w:right="1440" w:bottom="1440" w:left="1440" w:header="720" w:footer="720" w:gutter="0"/>
          <w:cols w:space="720"/>
          <w:docGrid w:linePitch="360"/>
        </w:sectPr>
      </w:pPr>
    </w:p>
    <w:p w14:paraId="7B572BDA" w14:textId="6D5C5C05" w:rsidR="009F57C8" w:rsidRPr="009819CE" w:rsidRDefault="00895189" w:rsidP="00895189">
      <w:pPr>
        <w:pStyle w:val="Caption"/>
        <w:rPr>
          <w:rFonts w:asciiTheme="minorBidi" w:hAnsiTheme="minorBidi" w:cstheme="minorBidi"/>
          <w:szCs w:val="24"/>
        </w:rPr>
      </w:pPr>
      <w:bookmarkStart w:id="786" w:name="_Ref171357929"/>
      <w:bookmarkStart w:id="787" w:name="_Toc204106771"/>
      <w:r w:rsidRPr="009819CE">
        <w:rPr>
          <w:rFonts w:asciiTheme="minorBidi" w:hAnsiTheme="minorBidi" w:cstheme="minorBidi"/>
          <w:b/>
          <w:bCs/>
        </w:rPr>
        <w:t xml:space="preserve">Table S2. </w:t>
      </w:r>
      <w:r w:rsidRPr="009819CE">
        <w:rPr>
          <w:rFonts w:asciiTheme="minorBidi" w:hAnsiTheme="minorBidi" w:cstheme="minorBidi"/>
          <w:b/>
          <w:bCs/>
        </w:rPr>
        <w:fldChar w:fldCharType="begin"/>
      </w:r>
      <w:r w:rsidRPr="009819CE">
        <w:rPr>
          <w:rFonts w:asciiTheme="minorBidi" w:hAnsiTheme="minorBidi" w:cstheme="minorBidi"/>
          <w:b/>
          <w:bCs/>
        </w:rPr>
        <w:instrText xml:space="preserve"> SEQ Table_S2. \* ARABIC </w:instrText>
      </w:r>
      <w:r w:rsidRPr="009819CE">
        <w:rPr>
          <w:rFonts w:asciiTheme="minorBidi" w:hAnsiTheme="minorBidi" w:cstheme="minorBidi"/>
          <w:b/>
          <w:bCs/>
        </w:rPr>
        <w:fldChar w:fldCharType="separate"/>
      </w:r>
      <w:r w:rsidR="008549FC">
        <w:rPr>
          <w:rFonts w:asciiTheme="minorBidi" w:hAnsiTheme="minorBidi" w:cstheme="minorBidi"/>
          <w:b/>
          <w:bCs/>
          <w:noProof/>
        </w:rPr>
        <w:t>2</w:t>
      </w:r>
      <w:r w:rsidRPr="009819CE">
        <w:rPr>
          <w:rFonts w:asciiTheme="minorBidi" w:hAnsiTheme="minorBidi" w:cstheme="minorBidi"/>
          <w:b/>
          <w:bCs/>
        </w:rPr>
        <w:fldChar w:fldCharType="end"/>
      </w:r>
      <w:bookmarkEnd w:id="786"/>
      <w:r w:rsidR="0001590B" w:rsidRPr="009819CE">
        <w:rPr>
          <w:rFonts w:asciiTheme="minorBidi" w:hAnsiTheme="minorBidi" w:cstheme="minorBidi"/>
          <w:szCs w:val="24"/>
        </w:rPr>
        <w:t xml:space="preserve"> </w:t>
      </w:r>
      <w:r w:rsidR="004C4FC9" w:rsidRPr="009819CE">
        <w:rPr>
          <w:rFonts w:asciiTheme="minorBidi" w:hAnsiTheme="minorBidi" w:cstheme="minorBidi"/>
          <w:szCs w:val="24"/>
        </w:rPr>
        <w:t>Summary data</w:t>
      </w:r>
      <w:r w:rsidR="0032712D" w:rsidRPr="009819CE">
        <w:rPr>
          <w:rFonts w:asciiTheme="minorBidi" w:hAnsiTheme="minorBidi" w:cstheme="minorBidi"/>
          <w:szCs w:val="24"/>
        </w:rPr>
        <w:t xml:space="preserve"> of </w:t>
      </w:r>
      <w:r w:rsidR="001A7EF5" w:rsidRPr="009819CE">
        <w:rPr>
          <w:rFonts w:asciiTheme="minorBidi" w:hAnsiTheme="minorBidi" w:cstheme="minorBidi"/>
          <w:szCs w:val="24"/>
        </w:rPr>
        <w:t>prevalence dataset from the Clyde Sea Area November 2018</w:t>
      </w:r>
      <w:r w:rsidR="00F43CD7">
        <w:rPr>
          <w:rFonts w:asciiTheme="minorBidi" w:hAnsiTheme="minorBidi" w:cstheme="minorBidi"/>
          <w:szCs w:val="24"/>
        </w:rPr>
        <w:t xml:space="preserve"> </w:t>
      </w:r>
      <w:r w:rsidR="001A7EF5" w:rsidRPr="009819CE">
        <w:rPr>
          <w:rFonts w:asciiTheme="minorBidi" w:hAnsiTheme="minorBidi" w:cstheme="minorBidi"/>
          <w:szCs w:val="24"/>
        </w:rPr>
        <w:t>- October 2019</w:t>
      </w:r>
      <w:bookmarkEnd w:id="787"/>
    </w:p>
    <w:tbl>
      <w:tblPr>
        <w:tblW w:w="5000" w:type="pct"/>
        <w:shd w:val="clear" w:color="auto" w:fill="FFFFFF" w:themeFill="background1"/>
        <w:tblLook w:val="04A0" w:firstRow="1" w:lastRow="0" w:firstColumn="1" w:lastColumn="0" w:noHBand="0" w:noVBand="1"/>
      </w:tblPr>
      <w:tblGrid>
        <w:gridCol w:w="2727"/>
        <w:gridCol w:w="446"/>
        <w:gridCol w:w="446"/>
        <w:gridCol w:w="692"/>
        <w:gridCol w:w="703"/>
        <w:gridCol w:w="745"/>
        <w:gridCol w:w="708"/>
        <w:gridCol w:w="446"/>
        <w:gridCol w:w="446"/>
        <w:gridCol w:w="692"/>
        <w:gridCol w:w="703"/>
        <w:gridCol w:w="745"/>
        <w:gridCol w:w="708"/>
        <w:gridCol w:w="446"/>
        <w:gridCol w:w="446"/>
        <w:gridCol w:w="692"/>
        <w:gridCol w:w="703"/>
        <w:gridCol w:w="745"/>
        <w:gridCol w:w="706"/>
      </w:tblGrid>
      <w:tr w:rsidR="00B031F6" w:rsidRPr="00435B6B" w14:paraId="683683D0" w14:textId="77777777" w:rsidTr="001F4A34">
        <w:trPr>
          <w:trHeight w:val="240"/>
        </w:trPr>
        <w:tc>
          <w:tcPr>
            <w:tcW w:w="978" w:type="pct"/>
            <w:tcBorders>
              <w:top w:val="single" w:sz="4" w:space="0" w:color="auto"/>
              <w:left w:val="single" w:sz="4" w:space="0" w:color="auto"/>
              <w:bottom w:val="nil"/>
              <w:right w:val="single" w:sz="4" w:space="0" w:color="auto"/>
            </w:tcBorders>
            <w:shd w:val="clear" w:color="auto" w:fill="FFFFFF" w:themeFill="background1"/>
            <w:vAlign w:val="center"/>
            <w:hideMark/>
          </w:tcPr>
          <w:p w14:paraId="603F1C8D" w14:textId="77777777" w:rsidR="003421D4" w:rsidRPr="009819CE" w:rsidRDefault="003421D4" w:rsidP="00AB5EC8">
            <w:pPr>
              <w:spacing w:before="0" w:after="0" w:line="240" w:lineRule="auto"/>
              <w:jc w:val="center"/>
              <w:rPr>
                <w:rFonts w:cstheme="minorBidi"/>
                <w:sz w:val="18"/>
                <w:szCs w:val="18"/>
              </w:rPr>
            </w:pPr>
          </w:p>
        </w:tc>
        <w:tc>
          <w:tcPr>
            <w:tcW w:w="1341" w:type="pct"/>
            <w:gridSpan w:val="6"/>
            <w:tcBorders>
              <w:top w:val="single" w:sz="8" w:space="0" w:color="auto"/>
              <w:left w:val="single" w:sz="4" w:space="0" w:color="auto"/>
              <w:bottom w:val="nil"/>
              <w:right w:val="single" w:sz="8" w:space="0" w:color="000000"/>
            </w:tcBorders>
            <w:shd w:val="clear" w:color="auto" w:fill="FFFFFF" w:themeFill="background1"/>
            <w:noWrap/>
            <w:vAlign w:val="center"/>
            <w:hideMark/>
          </w:tcPr>
          <w:p w14:paraId="703734B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26 November 2018</w:t>
            </w:r>
          </w:p>
        </w:tc>
        <w:tc>
          <w:tcPr>
            <w:tcW w:w="1341" w:type="pct"/>
            <w:gridSpan w:val="6"/>
            <w:tcBorders>
              <w:top w:val="single" w:sz="8" w:space="0" w:color="auto"/>
              <w:left w:val="nil"/>
              <w:bottom w:val="nil"/>
              <w:right w:val="single" w:sz="8" w:space="0" w:color="000000"/>
            </w:tcBorders>
            <w:shd w:val="clear" w:color="auto" w:fill="FFFFFF" w:themeFill="background1"/>
            <w:noWrap/>
            <w:vAlign w:val="center"/>
            <w:hideMark/>
          </w:tcPr>
          <w:p w14:paraId="10ED8AF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14 December 2018</w:t>
            </w:r>
          </w:p>
        </w:tc>
        <w:tc>
          <w:tcPr>
            <w:tcW w:w="1341" w:type="pct"/>
            <w:gridSpan w:val="6"/>
            <w:tcBorders>
              <w:top w:val="single" w:sz="8" w:space="0" w:color="auto"/>
              <w:left w:val="nil"/>
              <w:bottom w:val="nil"/>
              <w:right w:val="single" w:sz="8" w:space="0" w:color="000000"/>
            </w:tcBorders>
            <w:shd w:val="clear" w:color="auto" w:fill="FFFFFF" w:themeFill="background1"/>
            <w:noWrap/>
            <w:vAlign w:val="center"/>
            <w:hideMark/>
          </w:tcPr>
          <w:p w14:paraId="03F8508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22 January 2019</w:t>
            </w:r>
          </w:p>
        </w:tc>
      </w:tr>
      <w:tr w:rsidR="00C827E3" w:rsidRPr="00435B6B" w14:paraId="32AF8AD4" w14:textId="77777777" w:rsidTr="001F4A34">
        <w:trPr>
          <w:trHeight w:val="255"/>
        </w:trPr>
        <w:tc>
          <w:tcPr>
            <w:tcW w:w="978" w:type="pct"/>
            <w:tcBorders>
              <w:top w:val="nil"/>
              <w:left w:val="single" w:sz="4" w:space="0" w:color="auto"/>
              <w:bottom w:val="single" w:sz="8" w:space="0" w:color="auto"/>
              <w:right w:val="single" w:sz="4" w:space="0" w:color="auto"/>
            </w:tcBorders>
            <w:shd w:val="clear" w:color="auto" w:fill="FFFFFF" w:themeFill="background1"/>
            <w:vAlign w:val="center"/>
            <w:hideMark/>
          </w:tcPr>
          <w:p w14:paraId="0E6BBFEC"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Parameters</w:t>
            </w:r>
          </w:p>
        </w:tc>
        <w:tc>
          <w:tcPr>
            <w:tcW w:w="160" w:type="pct"/>
            <w:tcBorders>
              <w:top w:val="nil"/>
              <w:left w:val="single" w:sz="4" w:space="0" w:color="auto"/>
              <w:bottom w:val="single" w:sz="8" w:space="0" w:color="auto"/>
              <w:right w:val="nil"/>
            </w:tcBorders>
            <w:shd w:val="clear" w:color="auto" w:fill="FFFFFF" w:themeFill="background1"/>
            <w:vAlign w:val="center"/>
            <w:hideMark/>
          </w:tcPr>
          <w:p w14:paraId="56AE6FCA"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F</w:t>
            </w:r>
          </w:p>
        </w:tc>
        <w:tc>
          <w:tcPr>
            <w:tcW w:w="160" w:type="pct"/>
            <w:tcBorders>
              <w:top w:val="nil"/>
              <w:left w:val="nil"/>
              <w:bottom w:val="single" w:sz="8" w:space="0" w:color="auto"/>
              <w:right w:val="nil"/>
            </w:tcBorders>
            <w:shd w:val="clear" w:color="auto" w:fill="FFFFFF" w:themeFill="background1"/>
            <w:vAlign w:val="center"/>
            <w:hideMark/>
          </w:tcPr>
          <w:p w14:paraId="7D0374EA"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M</w:t>
            </w:r>
          </w:p>
        </w:tc>
        <w:tc>
          <w:tcPr>
            <w:tcW w:w="248" w:type="pct"/>
            <w:tcBorders>
              <w:top w:val="nil"/>
              <w:left w:val="nil"/>
              <w:bottom w:val="single" w:sz="8" w:space="0" w:color="auto"/>
              <w:right w:val="nil"/>
            </w:tcBorders>
            <w:shd w:val="clear" w:color="auto" w:fill="FFFFFF" w:themeFill="background1"/>
            <w:vAlign w:val="center"/>
            <w:hideMark/>
          </w:tcPr>
          <w:p w14:paraId="08A941BA"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Total</w:t>
            </w:r>
          </w:p>
        </w:tc>
        <w:tc>
          <w:tcPr>
            <w:tcW w:w="252" w:type="pct"/>
            <w:tcBorders>
              <w:top w:val="nil"/>
              <w:left w:val="nil"/>
              <w:bottom w:val="single" w:sz="8" w:space="0" w:color="auto"/>
              <w:right w:val="nil"/>
            </w:tcBorders>
            <w:shd w:val="clear" w:color="auto" w:fill="FFFFFF" w:themeFill="background1"/>
            <w:vAlign w:val="center"/>
            <w:hideMark/>
          </w:tcPr>
          <w:p w14:paraId="604B34D7" w14:textId="5263E62C"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F</w:t>
            </w:r>
          </w:p>
        </w:tc>
        <w:tc>
          <w:tcPr>
            <w:tcW w:w="267" w:type="pct"/>
            <w:tcBorders>
              <w:top w:val="nil"/>
              <w:left w:val="nil"/>
              <w:bottom w:val="single" w:sz="8" w:space="0" w:color="auto"/>
              <w:right w:val="nil"/>
            </w:tcBorders>
            <w:shd w:val="clear" w:color="auto" w:fill="FFFFFF" w:themeFill="background1"/>
            <w:vAlign w:val="center"/>
            <w:hideMark/>
          </w:tcPr>
          <w:p w14:paraId="403705C1"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M</w:t>
            </w: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19E49B4D"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T</w:t>
            </w:r>
          </w:p>
        </w:tc>
        <w:tc>
          <w:tcPr>
            <w:tcW w:w="160" w:type="pct"/>
            <w:tcBorders>
              <w:top w:val="nil"/>
              <w:left w:val="nil"/>
              <w:bottom w:val="single" w:sz="8" w:space="0" w:color="auto"/>
              <w:right w:val="nil"/>
            </w:tcBorders>
            <w:shd w:val="clear" w:color="auto" w:fill="FFFFFF" w:themeFill="background1"/>
            <w:vAlign w:val="center"/>
            <w:hideMark/>
          </w:tcPr>
          <w:p w14:paraId="722698CF"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F</w:t>
            </w:r>
          </w:p>
        </w:tc>
        <w:tc>
          <w:tcPr>
            <w:tcW w:w="160" w:type="pct"/>
            <w:tcBorders>
              <w:top w:val="nil"/>
              <w:left w:val="nil"/>
              <w:bottom w:val="single" w:sz="8" w:space="0" w:color="auto"/>
              <w:right w:val="nil"/>
            </w:tcBorders>
            <w:shd w:val="clear" w:color="auto" w:fill="FFFFFF" w:themeFill="background1"/>
            <w:vAlign w:val="center"/>
            <w:hideMark/>
          </w:tcPr>
          <w:p w14:paraId="4DC1341C"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M</w:t>
            </w:r>
          </w:p>
        </w:tc>
        <w:tc>
          <w:tcPr>
            <w:tcW w:w="248" w:type="pct"/>
            <w:tcBorders>
              <w:top w:val="nil"/>
              <w:left w:val="nil"/>
              <w:bottom w:val="single" w:sz="8" w:space="0" w:color="auto"/>
              <w:right w:val="nil"/>
            </w:tcBorders>
            <w:shd w:val="clear" w:color="auto" w:fill="FFFFFF" w:themeFill="background1"/>
            <w:vAlign w:val="center"/>
            <w:hideMark/>
          </w:tcPr>
          <w:p w14:paraId="07F8FA34"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Total</w:t>
            </w:r>
          </w:p>
        </w:tc>
        <w:tc>
          <w:tcPr>
            <w:tcW w:w="252" w:type="pct"/>
            <w:tcBorders>
              <w:top w:val="nil"/>
              <w:left w:val="nil"/>
              <w:bottom w:val="single" w:sz="8" w:space="0" w:color="auto"/>
              <w:right w:val="nil"/>
            </w:tcBorders>
            <w:shd w:val="clear" w:color="auto" w:fill="FFFFFF" w:themeFill="background1"/>
            <w:vAlign w:val="center"/>
            <w:hideMark/>
          </w:tcPr>
          <w:p w14:paraId="75A3632C"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F</w:t>
            </w:r>
          </w:p>
        </w:tc>
        <w:tc>
          <w:tcPr>
            <w:tcW w:w="267" w:type="pct"/>
            <w:tcBorders>
              <w:top w:val="nil"/>
              <w:left w:val="nil"/>
              <w:bottom w:val="single" w:sz="8" w:space="0" w:color="auto"/>
              <w:right w:val="nil"/>
            </w:tcBorders>
            <w:shd w:val="clear" w:color="auto" w:fill="FFFFFF" w:themeFill="background1"/>
            <w:vAlign w:val="center"/>
            <w:hideMark/>
          </w:tcPr>
          <w:p w14:paraId="1820775D"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M</w:t>
            </w: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308FDF50"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T</w:t>
            </w:r>
          </w:p>
        </w:tc>
        <w:tc>
          <w:tcPr>
            <w:tcW w:w="160" w:type="pct"/>
            <w:tcBorders>
              <w:top w:val="nil"/>
              <w:left w:val="nil"/>
              <w:bottom w:val="single" w:sz="8" w:space="0" w:color="auto"/>
              <w:right w:val="nil"/>
            </w:tcBorders>
            <w:shd w:val="clear" w:color="auto" w:fill="FFFFFF" w:themeFill="background1"/>
            <w:vAlign w:val="center"/>
            <w:hideMark/>
          </w:tcPr>
          <w:p w14:paraId="1A76C034"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F</w:t>
            </w:r>
          </w:p>
        </w:tc>
        <w:tc>
          <w:tcPr>
            <w:tcW w:w="160" w:type="pct"/>
            <w:tcBorders>
              <w:top w:val="nil"/>
              <w:left w:val="nil"/>
              <w:bottom w:val="single" w:sz="8" w:space="0" w:color="auto"/>
              <w:right w:val="nil"/>
            </w:tcBorders>
            <w:shd w:val="clear" w:color="auto" w:fill="FFFFFF" w:themeFill="background1"/>
            <w:vAlign w:val="center"/>
            <w:hideMark/>
          </w:tcPr>
          <w:p w14:paraId="58B850F3"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M</w:t>
            </w:r>
          </w:p>
        </w:tc>
        <w:tc>
          <w:tcPr>
            <w:tcW w:w="248" w:type="pct"/>
            <w:tcBorders>
              <w:top w:val="nil"/>
              <w:left w:val="nil"/>
              <w:bottom w:val="single" w:sz="8" w:space="0" w:color="auto"/>
              <w:right w:val="nil"/>
            </w:tcBorders>
            <w:shd w:val="clear" w:color="auto" w:fill="FFFFFF" w:themeFill="background1"/>
            <w:vAlign w:val="center"/>
            <w:hideMark/>
          </w:tcPr>
          <w:p w14:paraId="32064DC0"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Total</w:t>
            </w:r>
          </w:p>
        </w:tc>
        <w:tc>
          <w:tcPr>
            <w:tcW w:w="252" w:type="pct"/>
            <w:tcBorders>
              <w:top w:val="nil"/>
              <w:left w:val="nil"/>
              <w:bottom w:val="single" w:sz="8" w:space="0" w:color="auto"/>
              <w:right w:val="nil"/>
            </w:tcBorders>
            <w:shd w:val="clear" w:color="auto" w:fill="FFFFFF" w:themeFill="background1"/>
            <w:vAlign w:val="center"/>
            <w:hideMark/>
          </w:tcPr>
          <w:p w14:paraId="36E17F90"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F</w:t>
            </w:r>
          </w:p>
        </w:tc>
        <w:tc>
          <w:tcPr>
            <w:tcW w:w="267" w:type="pct"/>
            <w:tcBorders>
              <w:top w:val="nil"/>
              <w:left w:val="nil"/>
              <w:bottom w:val="single" w:sz="8" w:space="0" w:color="auto"/>
              <w:right w:val="nil"/>
            </w:tcBorders>
            <w:shd w:val="clear" w:color="auto" w:fill="FFFFFF" w:themeFill="background1"/>
            <w:vAlign w:val="center"/>
            <w:hideMark/>
          </w:tcPr>
          <w:p w14:paraId="03E795BA"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M</w:t>
            </w: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6667AEF3"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 T</w:t>
            </w:r>
          </w:p>
        </w:tc>
      </w:tr>
      <w:tr w:rsidR="00C827E3" w:rsidRPr="00435B6B" w14:paraId="1E525158" w14:textId="77777777" w:rsidTr="001F4A34">
        <w:trPr>
          <w:trHeight w:val="300"/>
        </w:trPr>
        <w:tc>
          <w:tcPr>
            <w:tcW w:w="978" w:type="pct"/>
            <w:tcBorders>
              <w:top w:val="nil"/>
              <w:left w:val="single" w:sz="4" w:space="0" w:color="auto"/>
              <w:bottom w:val="nil"/>
              <w:right w:val="single" w:sz="4" w:space="0" w:color="auto"/>
            </w:tcBorders>
            <w:shd w:val="clear" w:color="auto" w:fill="FFFFFF" w:themeFill="background1"/>
            <w:vAlign w:val="center"/>
            <w:hideMark/>
          </w:tcPr>
          <w:p w14:paraId="136DA5B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Sex</w:t>
            </w:r>
          </w:p>
        </w:tc>
        <w:tc>
          <w:tcPr>
            <w:tcW w:w="160" w:type="pct"/>
            <w:tcBorders>
              <w:top w:val="nil"/>
              <w:left w:val="single" w:sz="4" w:space="0" w:color="auto"/>
              <w:bottom w:val="nil"/>
              <w:right w:val="nil"/>
            </w:tcBorders>
            <w:shd w:val="clear" w:color="auto" w:fill="FFFFFF" w:themeFill="background1"/>
            <w:noWrap/>
            <w:vAlign w:val="center"/>
            <w:hideMark/>
          </w:tcPr>
          <w:p w14:paraId="707BD20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55</w:t>
            </w:r>
          </w:p>
        </w:tc>
        <w:tc>
          <w:tcPr>
            <w:tcW w:w="160" w:type="pct"/>
            <w:tcBorders>
              <w:top w:val="nil"/>
              <w:left w:val="nil"/>
              <w:bottom w:val="nil"/>
              <w:right w:val="nil"/>
            </w:tcBorders>
            <w:shd w:val="clear" w:color="auto" w:fill="FFFFFF" w:themeFill="background1"/>
            <w:noWrap/>
            <w:vAlign w:val="center"/>
            <w:hideMark/>
          </w:tcPr>
          <w:p w14:paraId="5935EB6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95</w:t>
            </w:r>
          </w:p>
        </w:tc>
        <w:tc>
          <w:tcPr>
            <w:tcW w:w="248" w:type="pct"/>
            <w:tcBorders>
              <w:top w:val="nil"/>
              <w:left w:val="nil"/>
              <w:bottom w:val="nil"/>
              <w:right w:val="nil"/>
            </w:tcBorders>
            <w:shd w:val="clear" w:color="auto" w:fill="FFFFFF" w:themeFill="background1"/>
            <w:noWrap/>
            <w:vAlign w:val="center"/>
            <w:hideMark/>
          </w:tcPr>
          <w:p w14:paraId="0494AE8E"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150</w:t>
            </w:r>
          </w:p>
        </w:tc>
        <w:tc>
          <w:tcPr>
            <w:tcW w:w="252" w:type="pct"/>
            <w:tcBorders>
              <w:top w:val="nil"/>
              <w:left w:val="nil"/>
              <w:bottom w:val="nil"/>
              <w:right w:val="nil"/>
            </w:tcBorders>
            <w:shd w:val="clear" w:color="auto" w:fill="FFFFFF" w:themeFill="background1"/>
            <w:noWrap/>
            <w:vAlign w:val="center"/>
            <w:hideMark/>
          </w:tcPr>
          <w:p w14:paraId="56F932C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36.7</w:t>
            </w:r>
          </w:p>
        </w:tc>
        <w:tc>
          <w:tcPr>
            <w:tcW w:w="267" w:type="pct"/>
            <w:tcBorders>
              <w:top w:val="nil"/>
              <w:left w:val="nil"/>
              <w:bottom w:val="nil"/>
              <w:right w:val="nil"/>
            </w:tcBorders>
            <w:shd w:val="clear" w:color="auto" w:fill="FFFFFF" w:themeFill="background1"/>
            <w:noWrap/>
            <w:vAlign w:val="center"/>
            <w:hideMark/>
          </w:tcPr>
          <w:p w14:paraId="311E218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63.3</w:t>
            </w:r>
          </w:p>
        </w:tc>
        <w:tc>
          <w:tcPr>
            <w:tcW w:w="252" w:type="pct"/>
            <w:tcBorders>
              <w:top w:val="nil"/>
              <w:left w:val="nil"/>
              <w:bottom w:val="nil"/>
              <w:right w:val="single" w:sz="8" w:space="0" w:color="auto"/>
            </w:tcBorders>
            <w:shd w:val="clear" w:color="auto" w:fill="FFFFFF" w:themeFill="background1"/>
            <w:vAlign w:val="center"/>
            <w:hideMark/>
          </w:tcPr>
          <w:p w14:paraId="6BF865EB"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nil"/>
              <w:right w:val="nil"/>
            </w:tcBorders>
            <w:shd w:val="clear" w:color="auto" w:fill="FFFFFF" w:themeFill="background1"/>
            <w:noWrap/>
            <w:vAlign w:val="center"/>
            <w:hideMark/>
          </w:tcPr>
          <w:p w14:paraId="336AE59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54</w:t>
            </w:r>
          </w:p>
        </w:tc>
        <w:tc>
          <w:tcPr>
            <w:tcW w:w="160" w:type="pct"/>
            <w:tcBorders>
              <w:top w:val="nil"/>
              <w:left w:val="nil"/>
              <w:bottom w:val="nil"/>
              <w:right w:val="nil"/>
            </w:tcBorders>
            <w:shd w:val="clear" w:color="auto" w:fill="FFFFFF" w:themeFill="background1"/>
            <w:noWrap/>
            <w:vAlign w:val="center"/>
            <w:hideMark/>
          </w:tcPr>
          <w:p w14:paraId="26F6265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87</w:t>
            </w:r>
          </w:p>
        </w:tc>
        <w:tc>
          <w:tcPr>
            <w:tcW w:w="248" w:type="pct"/>
            <w:tcBorders>
              <w:top w:val="nil"/>
              <w:left w:val="nil"/>
              <w:bottom w:val="nil"/>
              <w:right w:val="nil"/>
            </w:tcBorders>
            <w:shd w:val="clear" w:color="auto" w:fill="FFFFFF" w:themeFill="background1"/>
            <w:noWrap/>
            <w:vAlign w:val="center"/>
            <w:hideMark/>
          </w:tcPr>
          <w:p w14:paraId="4C290389"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141</w:t>
            </w:r>
          </w:p>
        </w:tc>
        <w:tc>
          <w:tcPr>
            <w:tcW w:w="252" w:type="pct"/>
            <w:tcBorders>
              <w:top w:val="nil"/>
              <w:left w:val="nil"/>
              <w:bottom w:val="nil"/>
              <w:right w:val="nil"/>
            </w:tcBorders>
            <w:shd w:val="clear" w:color="auto" w:fill="FFFFFF" w:themeFill="background1"/>
            <w:noWrap/>
            <w:vAlign w:val="center"/>
            <w:hideMark/>
          </w:tcPr>
          <w:p w14:paraId="5C79804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38.3</w:t>
            </w:r>
          </w:p>
        </w:tc>
        <w:tc>
          <w:tcPr>
            <w:tcW w:w="267" w:type="pct"/>
            <w:tcBorders>
              <w:top w:val="nil"/>
              <w:left w:val="nil"/>
              <w:bottom w:val="nil"/>
              <w:right w:val="nil"/>
            </w:tcBorders>
            <w:shd w:val="clear" w:color="auto" w:fill="FFFFFF" w:themeFill="background1"/>
            <w:noWrap/>
            <w:vAlign w:val="center"/>
            <w:hideMark/>
          </w:tcPr>
          <w:p w14:paraId="3C39FD2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61.7</w:t>
            </w:r>
          </w:p>
        </w:tc>
        <w:tc>
          <w:tcPr>
            <w:tcW w:w="252" w:type="pct"/>
            <w:tcBorders>
              <w:top w:val="nil"/>
              <w:left w:val="nil"/>
              <w:bottom w:val="nil"/>
              <w:right w:val="single" w:sz="8" w:space="0" w:color="auto"/>
            </w:tcBorders>
            <w:shd w:val="clear" w:color="auto" w:fill="FFFFFF" w:themeFill="background1"/>
            <w:vAlign w:val="center"/>
            <w:hideMark/>
          </w:tcPr>
          <w:p w14:paraId="17B19C35"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nil"/>
              <w:right w:val="nil"/>
            </w:tcBorders>
            <w:shd w:val="clear" w:color="auto" w:fill="FFFFFF" w:themeFill="background1"/>
            <w:noWrap/>
            <w:vAlign w:val="center"/>
            <w:hideMark/>
          </w:tcPr>
          <w:p w14:paraId="13C26B5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46</w:t>
            </w:r>
          </w:p>
        </w:tc>
        <w:tc>
          <w:tcPr>
            <w:tcW w:w="160" w:type="pct"/>
            <w:tcBorders>
              <w:top w:val="nil"/>
              <w:left w:val="nil"/>
              <w:bottom w:val="nil"/>
              <w:right w:val="nil"/>
            </w:tcBorders>
            <w:shd w:val="clear" w:color="auto" w:fill="FFFFFF" w:themeFill="background1"/>
            <w:noWrap/>
            <w:vAlign w:val="center"/>
            <w:hideMark/>
          </w:tcPr>
          <w:p w14:paraId="249C59B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93</w:t>
            </w:r>
          </w:p>
        </w:tc>
        <w:tc>
          <w:tcPr>
            <w:tcW w:w="248" w:type="pct"/>
            <w:tcBorders>
              <w:top w:val="nil"/>
              <w:left w:val="nil"/>
              <w:bottom w:val="nil"/>
              <w:right w:val="nil"/>
            </w:tcBorders>
            <w:shd w:val="clear" w:color="auto" w:fill="FFFFFF" w:themeFill="background1"/>
            <w:noWrap/>
            <w:vAlign w:val="center"/>
            <w:hideMark/>
          </w:tcPr>
          <w:p w14:paraId="1D29D5E3"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139</w:t>
            </w:r>
          </w:p>
        </w:tc>
        <w:tc>
          <w:tcPr>
            <w:tcW w:w="252" w:type="pct"/>
            <w:tcBorders>
              <w:top w:val="nil"/>
              <w:left w:val="nil"/>
              <w:bottom w:val="nil"/>
              <w:right w:val="nil"/>
            </w:tcBorders>
            <w:shd w:val="clear" w:color="auto" w:fill="FFFFFF" w:themeFill="background1"/>
            <w:noWrap/>
            <w:vAlign w:val="center"/>
            <w:hideMark/>
          </w:tcPr>
          <w:p w14:paraId="68FF1F3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33.1</w:t>
            </w:r>
          </w:p>
        </w:tc>
        <w:tc>
          <w:tcPr>
            <w:tcW w:w="267" w:type="pct"/>
            <w:tcBorders>
              <w:top w:val="nil"/>
              <w:left w:val="nil"/>
              <w:bottom w:val="nil"/>
              <w:right w:val="nil"/>
            </w:tcBorders>
            <w:shd w:val="clear" w:color="auto" w:fill="FFFFFF" w:themeFill="background1"/>
            <w:noWrap/>
            <w:vAlign w:val="center"/>
            <w:hideMark/>
          </w:tcPr>
          <w:p w14:paraId="1E5E1C5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66.9</w:t>
            </w:r>
          </w:p>
        </w:tc>
        <w:tc>
          <w:tcPr>
            <w:tcW w:w="252" w:type="pct"/>
            <w:tcBorders>
              <w:top w:val="nil"/>
              <w:left w:val="nil"/>
              <w:bottom w:val="nil"/>
              <w:right w:val="single" w:sz="8" w:space="0" w:color="auto"/>
            </w:tcBorders>
            <w:shd w:val="clear" w:color="auto" w:fill="FFFFFF" w:themeFill="background1"/>
            <w:noWrap/>
            <w:vAlign w:val="center"/>
            <w:hideMark/>
          </w:tcPr>
          <w:p w14:paraId="1B72CDEA" w14:textId="77777777" w:rsidR="003421D4" w:rsidRPr="009819CE" w:rsidRDefault="003421D4" w:rsidP="00AB5EC8">
            <w:pPr>
              <w:spacing w:before="0" w:after="0" w:line="240" w:lineRule="auto"/>
              <w:jc w:val="center"/>
              <w:rPr>
                <w:rFonts w:cstheme="minorBidi"/>
                <w:color w:val="000000"/>
                <w:sz w:val="18"/>
                <w:szCs w:val="18"/>
              </w:rPr>
            </w:pPr>
          </w:p>
        </w:tc>
      </w:tr>
      <w:tr w:rsidR="00C827E3" w:rsidRPr="00435B6B" w14:paraId="5361A736" w14:textId="77777777" w:rsidTr="001F4A34">
        <w:trPr>
          <w:trHeight w:val="495"/>
        </w:trPr>
        <w:tc>
          <w:tcPr>
            <w:tcW w:w="978" w:type="pct"/>
            <w:tcBorders>
              <w:top w:val="nil"/>
              <w:left w:val="single" w:sz="4" w:space="0" w:color="auto"/>
              <w:bottom w:val="single" w:sz="8" w:space="0" w:color="auto"/>
              <w:right w:val="single" w:sz="4" w:space="0" w:color="auto"/>
            </w:tcBorders>
            <w:shd w:val="clear" w:color="auto" w:fill="FFFFFF" w:themeFill="background1"/>
            <w:vAlign w:val="center"/>
            <w:hideMark/>
          </w:tcPr>
          <w:p w14:paraId="57074D72"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Body colour method (BCM)</w:t>
            </w:r>
          </w:p>
        </w:tc>
        <w:tc>
          <w:tcPr>
            <w:tcW w:w="160" w:type="pct"/>
            <w:tcBorders>
              <w:top w:val="nil"/>
              <w:left w:val="single" w:sz="4" w:space="0" w:color="auto"/>
              <w:bottom w:val="single" w:sz="8" w:space="0" w:color="auto"/>
              <w:right w:val="nil"/>
            </w:tcBorders>
            <w:shd w:val="clear" w:color="auto" w:fill="FFFFFF" w:themeFill="background1"/>
            <w:noWrap/>
            <w:vAlign w:val="center"/>
            <w:hideMark/>
          </w:tcPr>
          <w:p w14:paraId="4E32FC42"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noWrap/>
            <w:vAlign w:val="center"/>
            <w:hideMark/>
          </w:tcPr>
          <w:p w14:paraId="150454C2"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noWrap/>
            <w:vAlign w:val="center"/>
            <w:hideMark/>
          </w:tcPr>
          <w:p w14:paraId="623455B7"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noWrap/>
            <w:vAlign w:val="center"/>
            <w:hideMark/>
          </w:tcPr>
          <w:p w14:paraId="0CC93303"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noWrap/>
            <w:vAlign w:val="center"/>
            <w:hideMark/>
          </w:tcPr>
          <w:p w14:paraId="1DB6B24A"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noWrap/>
            <w:vAlign w:val="center"/>
            <w:hideMark/>
          </w:tcPr>
          <w:p w14:paraId="04E27D34"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noWrap/>
            <w:vAlign w:val="center"/>
            <w:hideMark/>
          </w:tcPr>
          <w:p w14:paraId="7FE9EFD4"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noWrap/>
            <w:vAlign w:val="center"/>
            <w:hideMark/>
          </w:tcPr>
          <w:p w14:paraId="4CA2A435"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noWrap/>
            <w:vAlign w:val="center"/>
            <w:hideMark/>
          </w:tcPr>
          <w:p w14:paraId="16825967"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noWrap/>
            <w:vAlign w:val="center"/>
            <w:hideMark/>
          </w:tcPr>
          <w:p w14:paraId="21AC7739"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noWrap/>
            <w:vAlign w:val="center"/>
            <w:hideMark/>
          </w:tcPr>
          <w:p w14:paraId="70667F06"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noWrap/>
            <w:vAlign w:val="center"/>
            <w:hideMark/>
          </w:tcPr>
          <w:p w14:paraId="272407A9"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noWrap/>
            <w:vAlign w:val="center"/>
            <w:hideMark/>
          </w:tcPr>
          <w:p w14:paraId="2C46A940"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noWrap/>
            <w:vAlign w:val="center"/>
            <w:hideMark/>
          </w:tcPr>
          <w:p w14:paraId="2DD7C156"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noWrap/>
            <w:vAlign w:val="center"/>
            <w:hideMark/>
          </w:tcPr>
          <w:p w14:paraId="4920C5DA"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noWrap/>
            <w:vAlign w:val="center"/>
            <w:hideMark/>
          </w:tcPr>
          <w:p w14:paraId="09530C39"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noWrap/>
            <w:vAlign w:val="center"/>
            <w:hideMark/>
          </w:tcPr>
          <w:p w14:paraId="520899E2"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noWrap/>
            <w:vAlign w:val="center"/>
            <w:hideMark/>
          </w:tcPr>
          <w:p w14:paraId="2F044F44" w14:textId="77777777" w:rsidR="003421D4" w:rsidRPr="009819CE" w:rsidRDefault="003421D4" w:rsidP="00AB5EC8">
            <w:pPr>
              <w:spacing w:before="0" w:after="0" w:line="240" w:lineRule="auto"/>
              <w:jc w:val="center"/>
              <w:rPr>
                <w:rFonts w:cstheme="minorBidi"/>
                <w:color w:val="000000"/>
                <w:sz w:val="18"/>
                <w:szCs w:val="18"/>
              </w:rPr>
            </w:pPr>
          </w:p>
        </w:tc>
      </w:tr>
      <w:tr w:rsidR="00C827E3" w:rsidRPr="00435B6B" w14:paraId="559E39D3"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6458B5B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NEG (BCM)</w:t>
            </w:r>
          </w:p>
        </w:tc>
        <w:tc>
          <w:tcPr>
            <w:tcW w:w="160" w:type="pct"/>
            <w:tcBorders>
              <w:top w:val="nil"/>
              <w:left w:val="single" w:sz="4" w:space="0" w:color="auto"/>
              <w:bottom w:val="nil"/>
              <w:right w:val="nil"/>
            </w:tcBorders>
            <w:shd w:val="clear" w:color="auto" w:fill="FFFFFF" w:themeFill="background1"/>
            <w:noWrap/>
            <w:vAlign w:val="center"/>
            <w:hideMark/>
          </w:tcPr>
          <w:p w14:paraId="3A3FBA9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55</w:t>
            </w:r>
          </w:p>
        </w:tc>
        <w:tc>
          <w:tcPr>
            <w:tcW w:w="160" w:type="pct"/>
            <w:tcBorders>
              <w:top w:val="nil"/>
              <w:left w:val="nil"/>
              <w:bottom w:val="nil"/>
              <w:right w:val="nil"/>
            </w:tcBorders>
            <w:shd w:val="clear" w:color="auto" w:fill="FFFFFF" w:themeFill="background1"/>
            <w:noWrap/>
            <w:vAlign w:val="center"/>
            <w:hideMark/>
          </w:tcPr>
          <w:p w14:paraId="39E62AE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95</w:t>
            </w:r>
          </w:p>
        </w:tc>
        <w:tc>
          <w:tcPr>
            <w:tcW w:w="248" w:type="pct"/>
            <w:tcBorders>
              <w:top w:val="nil"/>
              <w:left w:val="nil"/>
              <w:bottom w:val="nil"/>
              <w:right w:val="nil"/>
            </w:tcBorders>
            <w:shd w:val="clear" w:color="auto" w:fill="FFFFFF" w:themeFill="background1"/>
            <w:noWrap/>
            <w:vAlign w:val="center"/>
            <w:hideMark/>
          </w:tcPr>
          <w:p w14:paraId="4E08463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150</w:t>
            </w:r>
          </w:p>
        </w:tc>
        <w:tc>
          <w:tcPr>
            <w:tcW w:w="252" w:type="pct"/>
            <w:tcBorders>
              <w:top w:val="nil"/>
              <w:left w:val="nil"/>
              <w:bottom w:val="nil"/>
              <w:right w:val="nil"/>
            </w:tcBorders>
            <w:shd w:val="clear" w:color="auto" w:fill="FFFFFF" w:themeFill="background1"/>
            <w:noWrap/>
            <w:vAlign w:val="center"/>
            <w:hideMark/>
          </w:tcPr>
          <w:p w14:paraId="2E7AA09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36.7</w:t>
            </w:r>
          </w:p>
        </w:tc>
        <w:tc>
          <w:tcPr>
            <w:tcW w:w="267" w:type="pct"/>
            <w:tcBorders>
              <w:top w:val="nil"/>
              <w:left w:val="nil"/>
              <w:bottom w:val="nil"/>
              <w:right w:val="nil"/>
            </w:tcBorders>
            <w:shd w:val="clear" w:color="auto" w:fill="FFFFFF" w:themeFill="background1"/>
            <w:noWrap/>
            <w:vAlign w:val="center"/>
            <w:hideMark/>
          </w:tcPr>
          <w:p w14:paraId="316ECCC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63.3</w:t>
            </w:r>
          </w:p>
        </w:tc>
        <w:tc>
          <w:tcPr>
            <w:tcW w:w="252" w:type="pct"/>
            <w:tcBorders>
              <w:top w:val="nil"/>
              <w:left w:val="nil"/>
              <w:bottom w:val="nil"/>
              <w:right w:val="single" w:sz="8" w:space="0" w:color="auto"/>
            </w:tcBorders>
            <w:shd w:val="clear" w:color="auto" w:fill="FFFFFF" w:themeFill="background1"/>
            <w:vAlign w:val="center"/>
            <w:hideMark/>
          </w:tcPr>
          <w:p w14:paraId="02B353B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160" w:type="pct"/>
            <w:tcBorders>
              <w:top w:val="nil"/>
              <w:left w:val="nil"/>
              <w:bottom w:val="nil"/>
              <w:right w:val="nil"/>
            </w:tcBorders>
            <w:shd w:val="clear" w:color="auto" w:fill="FFFFFF" w:themeFill="background1"/>
            <w:noWrap/>
            <w:vAlign w:val="center"/>
            <w:hideMark/>
          </w:tcPr>
          <w:p w14:paraId="349FC11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54</w:t>
            </w:r>
          </w:p>
        </w:tc>
        <w:tc>
          <w:tcPr>
            <w:tcW w:w="160" w:type="pct"/>
            <w:tcBorders>
              <w:top w:val="nil"/>
              <w:left w:val="nil"/>
              <w:bottom w:val="nil"/>
              <w:right w:val="nil"/>
            </w:tcBorders>
            <w:shd w:val="clear" w:color="auto" w:fill="FFFFFF" w:themeFill="background1"/>
            <w:noWrap/>
            <w:vAlign w:val="center"/>
            <w:hideMark/>
          </w:tcPr>
          <w:p w14:paraId="6FBF63E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87</w:t>
            </w:r>
          </w:p>
        </w:tc>
        <w:tc>
          <w:tcPr>
            <w:tcW w:w="248" w:type="pct"/>
            <w:tcBorders>
              <w:top w:val="nil"/>
              <w:left w:val="nil"/>
              <w:bottom w:val="nil"/>
              <w:right w:val="nil"/>
            </w:tcBorders>
            <w:shd w:val="clear" w:color="auto" w:fill="FFFFFF" w:themeFill="background1"/>
            <w:noWrap/>
            <w:vAlign w:val="center"/>
            <w:hideMark/>
          </w:tcPr>
          <w:p w14:paraId="1C67750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141</w:t>
            </w:r>
          </w:p>
        </w:tc>
        <w:tc>
          <w:tcPr>
            <w:tcW w:w="252" w:type="pct"/>
            <w:tcBorders>
              <w:top w:val="nil"/>
              <w:left w:val="nil"/>
              <w:bottom w:val="nil"/>
              <w:right w:val="nil"/>
            </w:tcBorders>
            <w:shd w:val="clear" w:color="auto" w:fill="FFFFFF" w:themeFill="background1"/>
            <w:noWrap/>
            <w:vAlign w:val="center"/>
            <w:hideMark/>
          </w:tcPr>
          <w:p w14:paraId="4801295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38.3</w:t>
            </w:r>
          </w:p>
        </w:tc>
        <w:tc>
          <w:tcPr>
            <w:tcW w:w="267" w:type="pct"/>
            <w:tcBorders>
              <w:top w:val="nil"/>
              <w:left w:val="nil"/>
              <w:bottom w:val="nil"/>
              <w:right w:val="nil"/>
            </w:tcBorders>
            <w:shd w:val="clear" w:color="auto" w:fill="FFFFFF" w:themeFill="background1"/>
            <w:noWrap/>
            <w:vAlign w:val="center"/>
            <w:hideMark/>
          </w:tcPr>
          <w:p w14:paraId="6F9BD75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61.7</w:t>
            </w:r>
          </w:p>
        </w:tc>
        <w:tc>
          <w:tcPr>
            <w:tcW w:w="252" w:type="pct"/>
            <w:tcBorders>
              <w:top w:val="nil"/>
              <w:left w:val="nil"/>
              <w:bottom w:val="nil"/>
              <w:right w:val="single" w:sz="8" w:space="0" w:color="auto"/>
            </w:tcBorders>
            <w:shd w:val="clear" w:color="auto" w:fill="FFFFFF" w:themeFill="background1"/>
            <w:vAlign w:val="center"/>
            <w:hideMark/>
          </w:tcPr>
          <w:p w14:paraId="48A1955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160" w:type="pct"/>
            <w:tcBorders>
              <w:top w:val="nil"/>
              <w:left w:val="nil"/>
              <w:bottom w:val="nil"/>
              <w:right w:val="nil"/>
            </w:tcBorders>
            <w:shd w:val="clear" w:color="auto" w:fill="FFFFFF" w:themeFill="background1"/>
            <w:noWrap/>
            <w:vAlign w:val="center"/>
            <w:hideMark/>
          </w:tcPr>
          <w:p w14:paraId="79EB68B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41</w:t>
            </w:r>
          </w:p>
        </w:tc>
        <w:tc>
          <w:tcPr>
            <w:tcW w:w="160" w:type="pct"/>
            <w:tcBorders>
              <w:top w:val="nil"/>
              <w:left w:val="nil"/>
              <w:bottom w:val="nil"/>
              <w:right w:val="nil"/>
            </w:tcBorders>
            <w:shd w:val="clear" w:color="auto" w:fill="FFFFFF" w:themeFill="background1"/>
            <w:noWrap/>
            <w:vAlign w:val="center"/>
            <w:hideMark/>
          </w:tcPr>
          <w:p w14:paraId="571C6E0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91</w:t>
            </w:r>
          </w:p>
        </w:tc>
        <w:tc>
          <w:tcPr>
            <w:tcW w:w="248" w:type="pct"/>
            <w:tcBorders>
              <w:top w:val="nil"/>
              <w:left w:val="nil"/>
              <w:bottom w:val="nil"/>
              <w:right w:val="nil"/>
            </w:tcBorders>
            <w:shd w:val="clear" w:color="auto" w:fill="FFFFFF" w:themeFill="background1"/>
            <w:noWrap/>
            <w:vAlign w:val="center"/>
            <w:hideMark/>
          </w:tcPr>
          <w:p w14:paraId="78B6A61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132</w:t>
            </w:r>
          </w:p>
        </w:tc>
        <w:tc>
          <w:tcPr>
            <w:tcW w:w="252" w:type="pct"/>
            <w:tcBorders>
              <w:top w:val="nil"/>
              <w:left w:val="nil"/>
              <w:bottom w:val="nil"/>
              <w:right w:val="nil"/>
            </w:tcBorders>
            <w:shd w:val="clear" w:color="auto" w:fill="FFFFFF" w:themeFill="background1"/>
            <w:noWrap/>
            <w:vAlign w:val="center"/>
            <w:hideMark/>
          </w:tcPr>
          <w:p w14:paraId="120E912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31.1</w:t>
            </w:r>
          </w:p>
        </w:tc>
        <w:tc>
          <w:tcPr>
            <w:tcW w:w="267" w:type="pct"/>
            <w:tcBorders>
              <w:top w:val="nil"/>
              <w:left w:val="nil"/>
              <w:bottom w:val="nil"/>
              <w:right w:val="nil"/>
            </w:tcBorders>
            <w:shd w:val="clear" w:color="auto" w:fill="FFFFFF" w:themeFill="background1"/>
            <w:noWrap/>
            <w:vAlign w:val="center"/>
            <w:hideMark/>
          </w:tcPr>
          <w:p w14:paraId="53E271A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68.9</w:t>
            </w:r>
          </w:p>
        </w:tc>
        <w:tc>
          <w:tcPr>
            <w:tcW w:w="252" w:type="pct"/>
            <w:tcBorders>
              <w:top w:val="nil"/>
              <w:left w:val="nil"/>
              <w:bottom w:val="nil"/>
              <w:right w:val="single" w:sz="8" w:space="0" w:color="auto"/>
            </w:tcBorders>
            <w:shd w:val="clear" w:color="auto" w:fill="FFFFFF" w:themeFill="background1"/>
            <w:vAlign w:val="center"/>
            <w:hideMark/>
          </w:tcPr>
          <w:p w14:paraId="312E3B1B" w14:textId="176C5073"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95</w:t>
            </w:r>
          </w:p>
        </w:tc>
      </w:tr>
      <w:tr w:rsidR="00C827E3" w:rsidRPr="00435B6B" w14:paraId="10CAC213"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321D244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POS (BCM)</w:t>
            </w:r>
          </w:p>
        </w:tc>
        <w:tc>
          <w:tcPr>
            <w:tcW w:w="160" w:type="pct"/>
            <w:tcBorders>
              <w:top w:val="nil"/>
              <w:left w:val="single" w:sz="4" w:space="0" w:color="auto"/>
              <w:bottom w:val="nil"/>
              <w:right w:val="nil"/>
            </w:tcBorders>
            <w:shd w:val="clear" w:color="auto" w:fill="FFFFFF" w:themeFill="background1"/>
            <w:noWrap/>
            <w:vAlign w:val="center"/>
            <w:hideMark/>
          </w:tcPr>
          <w:p w14:paraId="23057C5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24806A4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6D79061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56ECAA2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5049752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2D20868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3D6B53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6EF2478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5FAF1CB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5BEDC9D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4C64EE6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571AF98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40E4740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0" w:type="pct"/>
            <w:tcBorders>
              <w:top w:val="nil"/>
              <w:left w:val="nil"/>
              <w:bottom w:val="nil"/>
              <w:right w:val="nil"/>
            </w:tcBorders>
            <w:shd w:val="clear" w:color="auto" w:fill="FFFFFF" w:themeFill="background1"/>
            <w:noWrap/>
            <w:vAlign w:val="center"/>
            <w:hideMark/>
          </w:tcPr>
          <w:p w14:paraId="174440A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48" w:type="pct"/>
            <w:tcBorders>
              <w:top w:val="nil"/>
              <w:left w:val="nil"/>
              <w:bottom w:val="nil"/>
              <w:right w:val="nil"/>
            </w:tcBorders>
            <w:shd w:val="clear" w:color="auto" w:fill="FFFFFF" w:themeFill="background1"/>
            <w:noWrap/>
            <w:vAlign w:val="center"/>
            <w:hideMark/>
          </w:tcPr>
          <w:p w14:paraId="307045A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252" w:type="pct"/>
            <w:tcBorders>
              <w:top w:val="nil"/>
              <w:left w:val="nil"/>
              <w:bottom w:val="nil"/>
              <w:right w:val="nil"/>
            </w:tcBorders>
            <w:shd w:val="clear" w:color="auto" w:fill="FFFFFF" w:themeFill="background1"/>
            <w:noWrap/>
            <w:vAlign w:val="center"/>
            <w:hideMark/>
          </w:tcPr>
          <w:p w14:paraId="5E2C86A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71.4</w:t>
            </w:r>
          </w:p>
        </w:tc>
        <w:tc>
          <w:tcPr>
            <w:tcW w:w="267" w:type="pct"/>
            <w:tcBorders>
              <w:top w:val="nil"/>
              <w:left w:val="nil"/>
              <w:bottom w:val="nil"/>
              <w:right w:val="nil"/>
            </w:tcBorders>
            <w:shd w:val="clear" w:color="auto" w:fill="FFFFFF" w:themeFill="background1"/>
            <w:noWrap/>
            <w:vAlign w:val="center"/>
            <w:hideMark/>
          </w:tcPr>
          <w:p w14:paraId="6D36D25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28.6</w:t>
            </w:r>
          </w:p>
        </w:tc>
        <w:tc>
          <w:tcPr>
            <w:tcW w:w="252" w:type="pct"/>
            <w:tcBorders>
              <w:top w:val="nil"/>
              <w:left w:val="nil"/>
              <w:bottom w:val="nil"/>
              <w:right w:val="single" w:sz="8" w:space="0" w:color="auto"/>
            </w:tcBorders>
            <w:shd w:val="clear" w:color="auto" w:fill="FFFFFF" w:themeFill="background1"/>
            <w:vAlign w:val="center"/>
            <w:hideMark/>
          </w:tcPr>
          <w:p w14:paraId="6B2F4DDB" w14:textId="7057A01F"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r>
      <w:tr w:rsidR="00C827E3" w:rsidRPr="00435B6B" w14:paraId="0A1A133C" w14:textId="77777777" w:rsidTr="001F4A34">
        <w:trPr>
          <w:trHeight w:val="480"/>
        </w:trPr>
        <w:tc>
          <w:tcPr>
            <w:tcW w:w="978" w:type="pct"/>
            <w:tcBorders>
              <w:top w:val="nil"/>
              <w:left w:val="single" w:sz="4" w:space="0" w:color="auto"/>
              <w:bottom w:val="single" w:sz="8" w:space="0" w:color="auto"/>
              <w:right w:val="single" w:sz="4" w:space="0" w:color="auto"/>
            </w:tcBorders>
            <w:shd w:val="clear" w:color="auto" w:fill="FFFFFF" w:themeFill="background1"/>
            <w:vAlign w:val="center"/>
            <w:hideMark/>
          </w:tcPr>
          <w:p w14:paraId="4D83FB97"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Pleopod method (PM)</w:t>
            </w:r>
          </w:p>
        </w:tc>
        <w:tc>
          <w:tcPr>
            <w:tcW w:w="160" w:type="pct"/>
            <w:tcBorders>
              <w:top w:val="nil"/>
              <w:left w:val="single" w:sz="4" w:space="0" w:color="auto"/>
              <w:bottom w:val="single" w:sz="8" w:space="0" w:color="auto"/>
              <w:right w:val="nil"/>
            </w:tcBorders>
            <w:shd w:val="clear" w:color="auto" w:fill="FFFFFF" w:themeFill="background1"/>
            <w:vAlign w:val="center"/>
            <w:hideMark/>
          </w:tcPr>
          <w:p w14:paraId="5B579B88"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4AF69BC7"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vAlign w:val="center"/>
            <w:hideMark/>
          </w:tcPr>
          <w:p w14:paraId="71C3064B"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vAlign w:val="center"/>
            <w:hideMark/>
          </w:tcPr>
          <w:p w14:paraId="61D565C1"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vAlign w:val="center"/>
            <w:hideMark/>
          </w:tcPr>
          <w:p w14:paraId="52AD765A"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63A24158"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62B1C753"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5938ACBE"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vAlign w:val="center"/>
            <w:hideMark/>
          </w:tcPr>
          <w:p w14:paraId="6E47DCF2"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vAlign w:val="center"/>
            <w:hideMark/>
          </w:tcPr>
          <w:p w14:paraId="55F42DA5"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vAlign w:val="center"/>
            <w:hideMark/>
          </w:tcPr>
          <w:p w14:paraId="1387E4FE"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5F6893C7"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49FA1947"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1AA8866C"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vAlign w:val="center"/>
            <w:hideMark/>
          </w:tcPr>
          <w:p w14:paraId="4E39979A"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vAlign w:val="center"/>
            <w:hideMark/>
          </w:tcPr>
          <w:p w14:paraId="1279DBE5"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vAlign w:val="center"/>
            <w:hideMark/>
          </w:tcPr>
          <w:p w14:paraId="67F597B6"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53CA11CF" w14:textId="77777777" w:rsidR="003421D4" w:rsidRPr="009819CE" w:rsidRDefault="003421D4" w:rsidP="00AB5EC8">
            <w:pPr>
              <w:spacing w:before="0" w:after="0" w:line="240" w:lineRule="auto"/>
              <w:jc w:val="center"/>
              <w:rPr>
                <w:rFonts w:cstheme="minorBidi"/>
                <w:color w:val="000000"/>
                <w:sz w:val="18"/>
                <w:szCs w:val="18"/>
              </w:rPr>
            </w:pPr>
          </w:p>
        </w:tc>
      </w:tr>
      <w:tr w:rsidR="00C827E3" w:rsidRPr="00435B6B" w14:paraId="69CAEC79"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2560A0E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S0</w:t>
            </w:r>
          </w:p>
        </w:tc>
        <w:tc>
          <w:tcPr>
            <w:tcW w:w="160" w:type="pct"/>
            <w:tcBorders>
              <w:top w:val="nil"/>
              <w:left w:val="single" w:sz="4" w:space="0" w:color="auto"/>
              <w:bottom w:val="nil"/>
              <w:right w:val="nil"/>
            </w:tcBorders>
            <w:shd w:val="clear" w:color="auto" w:fill="FFFFFF" w:themeFill="background1"/>
            <w:noWrap/>
            <w:vAlign w:val="center"/>
            <w:hideMark/>
          </w:tcPr>
          <w:p w14:paraId="0709183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160" w:type="pct"/>
            <w:tcBorders>
              <w:top w:val="nil"/>
              <w:left w:val="nil"/>
              <w:bottom w:val="nil"/>
              <w:right w:val="nil"/>
            </w:tcBorders>
            <w:shd w:val="clear" w:color="auto" w:fill="FFFFFF" w:themeFill="background1"/>
            <w:noWrap/>
            <w:vAlign w:val="center"/>
            <w:hideMark/>
          </w:tcPr>
          <w:p w14:paraId="02F35B4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91</w:t>
            </w:r>
          </w:p>
        </w:tc>
        <w:tc>
          <w:tcPr>
            <w:tcW w:w="248" w:type="pct"/>
            <w:tcBorders>
              <w:top w:val="nil"/>
              <w:left w:val="nil"/>
              <w:bottom w:val="nil"/>
              <w:right w:val="nil"/>
            </w:tcBorders>
            <w:shd w:val="clear" w:color="auto" w:fill="FFFFFF" w:themeFill="background1"/>
            <w:noWrap/>
            <w:vAlign w:val="center"/>
            <w:hideMark/>
          </w:tcPr>
          <w:p w14:paraId="4D00EC4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141</w:t>
            </w:r>
          </w:p>
        </w:tc>
        <w:tc>
          <w:tcPr>
            <w:tcW w:w="252" w:type="pct"/>
            <w:tcBorders>
              <w:top w:val="nil"/>
              <w:left w:val="nil"/>
              <w:bottom w:val="nil"/>
              <w:right w:val="nil"/>
            </w:tcBorders>
            <w:shd w:val="clear" w:color="auto" w:fill="FFFFFF" w:themeFill="background1"/>
            <w:noWrap/>
            <w:vAlign w:val="center"/>
            <w:hideMark/>
          </w:tcPr>
          <w:p w14:paraId="3775894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35.5</w:t>
            </w:r>
          </w:p>
        </w:tc>
        <w:tc>
          <w:tcPr>
            <w:tcW w:w="267" w:type="pct"/>
            <w:tcBorders>
              <w:top w:val="nil"/>
              <w:left w:val="nil"/>
              <w:bottom w:val="nil"/>
              <w:right w:val="nil"/>
            </w:tcBorders>
            <w:shd w:val="clear" w:color="auto" w:fill="FFFFFF" w:themeFill="background1"/>
            <w:noWrap/>
            <w:vAlign w:val="center"/>
            <w:hideMark/>
          </w:tcPr>
          <w:p w14:paraId="33207B0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64.5</w:t>
            </w:r>
          </w:p>
        </w:tc>
        <w:tc>
          <w:tcPr>
            <w:tcW w:w="252" w:type="pct"/>
            <w:tcBorders>
              <w:top w:val="nil"/>
              <w:left w:val="nil"/>
              <w:bottom w:val="nil"/>
              <w:right w:val="single" w:sz="8" w:space="0" w:color="auto"/>
            </w:tcBorders>
            <w:shd w:val="clear" w:color="auto" w:fill="FFFFFF" w:themeFill="background1"/>
            <w:vAlign w:val="center"/>
            <w:hideMark/>
          </w:tcPr>
          <w:p w14:paraId="001D9125" w14:textId="7DEE5819"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94</w:t>
            </w:r>
          </w:p>
        </w:tc>
        <w:tc>
          <w:tcPr>
            <w:tcW w:w="160" w:type="pct"/>
            <w:tcBorders>
              <w:top w:val="nil"/>
              <w:left w:val="nil"/>
              <w:bottom w:val="nil"/>
              <w:right w:val="nil"/>
            </w:tcBorders>
            <w:shd w:val="clear" w:color="auto" w:fill="FFFFFF" w:themeFill="background1"/>
            <w:noWrap/>
            <w:vAlign w:val="center"/>
            <w:hideMark/>
          </w:tcPr>
          <w:p w14:paraId="0955EFB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49</w:t>
            </w:r>
          </w:p>
        </w:tc>
        <w:tc>
          <w:tcPr>
            <w:tcW w:w="160" w:type="pct"/>
            <w:tcBorders>
              <w:top w:val="nil"/>
              <w:left w:val="nil"/>
              <w:bottom w:val="nil"/>
              <w:right w:val="nil"/>
            </w:tcBorders>
            <w:shd w:val="clear" w:color="auto" w:fill="FFFFFF" w:themeFill="background1"/>
            <w:noWrap/>
            <w:vAlign w:val="center"/>
            <w:hideMark/>
          </w:tcPr>
          <w:p w14:paraId="40DB017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84</w:t>
            </w:r>
          </w:p>
        </w:tc>
        <w:tc>
          <w:tcPr>
            <w:tcW w:w="248" w:type="pct"/>
            <w:tcBorders>
              <w:top w:val="nil"/>
              <w:left w:val="nil"/>
              <w:bottom w:val="nil"/>
              <w:right w:val="nil"/>
            </w:tcBorders>
            <w:shd w:val="clear" w:color="auto" w:fill="FFFFFF" w:themeFill="background1"/>
            <w:noWrap/>
            <w:vAlign w:val="center"/>
            <w:hideMark/>
          </w:tcPr>
          <w:p w14:paraId="2CD36E3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133</w:t>
            </w:r>
          </w:p>
        </w:tc>
        <w:tc>
          <w:tcPr>
            <w:tcW w:w="252" w:type="pct"/>
            <w:tcBorders>
              <w:top w:val="nil"/>
              <w:left w:val="nil"/>
              <w:bottom w:val="nil"/>
              <w:right w:val="nil"/>
            </w:tcBorders>
            <w:shd w:val="clear" w:color="auto" w:fill="FFFFFF" w:themeFill="background1"/>
            <w:noWrap/>
            <w:vAlign w:val="center"/>
            <w:hideMark/>
          </w:tcPr>
          <w:p w14:paraId="4636F4B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36.8</w:t>
            </w:r>
          </w:p>
        </w:tc>
        <w:tc>
          <w:tcPr>
            <w:tcW w:w="267" w:type="pct"/>
            <w:tcBorders>
              <w:top w:val="nil"/>
              <w:left w:val="nil"/>
              <w:bottom w:val="nil"/>
              <w:right w:val="nil"/>
            </w:tcBorders>
            <w:shd w:val="clear" w:color="auto" w:fill="FFFFFF" w:themeFill="background1"/>
            <w:noWrap/>
            <w:vAlign w:val="center"/>
            <w:hideMark/>
          </w:tcPr>
          <w:p w14:paraId="4555E83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63.2</w:t>
            </w:r>
          </w:p>
        </w:tc>
        <w:tc>
          <w:tcPr>
            <w:tcW w:w="252" w:type="pct"/>
            <w:tcBorders>
              <w:top w:val="nil"/>
              <w:left w:val="nil"/>
              <w:bottom w:val="nil"/>
              <w:right w:val="single" w:sz="8" w:space="0" w:color="auto"/>
            </w:tcBorders>
            <w:shd w:val="clear" w:color="auto" w:fill="FFFFFF" w:themeFill="background1"/>
            <w:vAlign w:val="center"/>
            <w:hideMark/>
          </w:tcPr>
          <w:p w14:paraId="0BB97AF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94.3</w:t>
            </w:r>
          </w:p>
        </w:tc>
        <w:tc>
          <w:tcPr>
            <w:tcW w:w="160" w:type="pct"/>
            <w:tcBorders>
              <w:top w:val="nil"/>
              <w:left w:val="nil"/>
              <w:bottom w:val="nil"/>
              <w:right w:val="nil"/>
            </w:tcBorders>
            <w:shd w:val="clear" w:color="auto" w:fill="FFFFFF" w:themeFill="background1"/>
            <w:noWrap/>
            <w:vAlign w:val="center"/>
            <w:hideMark/>
          </w:tcPr>
          <w:p w14:paraId="65B017E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31</w:t>
            </w:r>
          </w:p>
        </w:tc>
        <w:tc>
          <w:tcPr>
            <w:tcW w:w="160" w:type="pct"/>
            <w:tcBorders>
              <w:top w:val="nil"/>
              <w:left w:val="nil"/>
              <w:bottom w:val="nil"/>
              <w:right w:val="nil"/>
            </w:tcBorders>
            <w:shd w:val="clear" w:color="auto" w:fill="FFFFFF" w:themeFill="background1"/>
            <w:noWrap/>
            <w:vAlign w:val="center"/>
            <w:hideMark/>
          </w:tcPr>
          <w:p w14:paraId="2F9294A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81</w:t>
            </w:r>
          </w:p>
        </w:tc>
        <w:tc>
          <w:tcPr>
            <w:tcW w:w="248" w:type="pct"/>
            <w:tcBorders>
              <w:top w:val="nil"/>
              <w:left w:val="nil"/>
              <w:bottom w:val="nil"/>
              <w:right w:val="nil"/>
            </w:tcBorders>
            <w:shd w:val="clear" w:color="auto" w:fill="FFFFFF" w:themeFill="background1"/>
            <w:noWrap/>
            <w:vAlign w:val="center"/>
            <w:hideMark/>
          </w:tcPr>
          <w:p w14:paraId="255E5F7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112</w:t>
            </w:r>
          </w:p>
        </w:tc>
        <w:tc>
          <w:tcPr>
            <w:tcW w:w="252" w:type="pct"/>
            <w:tcBorders>
              <w:top w:val="nil"/>
              <w:left w:val="nil"/>
              <w:bottom w:val="nil"/>
              <w:right w:val="nil"/>
            </w:tcBorders>
            <w:shd w:val="clear" w:color="auto" w:fill="FFFFFF" w:themeFill="background1"/>
            <w:noWrap/>
            <w:vAlign w:val="center"/>
            <w:hideMark/>
          </w:tcPr>
          <w:p w14:paraId="3080BE3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27.7</w:t>
            </w:r>
          </w:p>
        </w:tc>
        <w:tc>
          <w:tcPr>
            <w:tcW w:w="267" w:type="pct"/>
            <w:tcBorders>
              <w:top w:val="nil"/>
              <w:left w:val="nil"/>
              <w:bottom w:val="nil"/>
              <w:right w:val="nil"/>
            </w:tcBorders>
            <w:shd w:val="clear" w:color="auto" w:fill="FFFFFF" w:themeFill="background1"/>
            <w:noWrap/>
            <w:vAlign w:val="center"/>
            <w:hideMark/>
          </w:tcPr>
          <w:p w14:paraId="560EB62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72.3</w:t>
            </w:r>
          </w:p>
        </w:tc>
        <w:tc>
          <w:tcPr>
            <w:tcW w:w="252" w:type="pct"/>
            <w:tcBorders>
              <w:top w:val="nil"/>
              <w:left w:val="nil"/>
              <w:bottom w:val="nil"/>
              <w:right w:val="single" w:sz="8" w:space="0" w:color="auto"/>
            </w:tcBorders>
            <w:shd w:val="clear" w:color="auto" w:fill="FFFFFF" w:themeFill="background1"/>
            <w:vAlign w:val="center"/>
            <w:hideMark/>
          </w:tcPr>
          <w:p w14:paraId="0D6EAC0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80.6</w:t>
            </w:r>
          </w:p>
        </w:tc>
      </w:tr>
      <w:tr w:rsidR="00C827E3" w:rsidRPr="00435B6B" w14:paraId="49B397CE"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28DECCE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S1</w:t>
            </w:r>
          </w:p>
        </w:tc>
        <w:tc>
          <w:tcPr>
            <w:tcW w:w="160" w:type="pct"/>
            <w:tcBorders>
              <w:top w:val="nil"/>
              <w:left w:val="single" w:sz="4" w:space="0" w:color="auto"/>
              <w:bottom w:val="nil"/>
              <w:right w:val="nil"/>
            </w:tcBorders>
            <w:shd w:val="clear" w:color="auto" w:fill="FFFFFF" w:themeFill="background1"/>
            <w:noWrap/>
            <w:vAlign w:val="center"/>
            <w:hideMark/>
          </w:tcPr>
          <w:p w14:paraId="06687A5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0" w:type="pct"/>
            <w:tcBorders>
              <w:top w:val="nil"/>
              <w:left w:val="nil"/>
              <w:bottom w:val="nil"/>
              <w:right w:val="nil"/>
            </w:tcBorders>
            <w:shd w:val="clear" w:color="auto" w:fill="FFFFFF" w:themeFill="background1"/>
            <w:noWrap/>
            <w:vAlign w:val="center"/>
            <w:hideMark/>
          </w:tcPr>
          <w:p w14:paraId="71291D3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48" w:type="pct"/>
            <w:tcBorders>
              <w:top w:val="nil"/>
              <w:left w:val="nil"/>
              <w:bottom w:val="nil"/>
              <w:right w:val="nil"/>
            </w:tcBorders>
            <w:shd w:val="clear" w:color="auto" w:fill="FFFFFF" w:themeFill="background1"/>
            <w:noWrap/>
            <w:vAlign w:val="center"/>
            <w:hideMark/>
          </w:tcPr>
          <w:p w14:paraId="51528BC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252" w:type="pct"/>
            <w:tcBorders>
              <w:top w:val="nil"/>
              <w:left w:val="nil"/>
              <w:bottom w:val="nil"/>
              <w:right w:val="nil"/>
            </w:tcBorders>
            <w:shd w:val="clear" w:color="auto" w:fill="FFFFFF" w:themeFill="background1"/>
            <w:noWrap/>
            <w:vAlign w:val="center"/>
            <w:hideMark/>
          </w:tcPr>
          <w:p w14:paraId="66C8AE7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55.6</w:t>
            </w:r>
          </w:p>
        </w:tc>
        <w:tc>
          <w:tcPr>
            <w:tcW w:w="267" w:type="pct"/>
            <w:tcBorders>
              <w:top w:val="nil"/>
              <w:left w:val="nil"/>
              <w:bottom w:val="nil"/>
              <w:right w:val="nil"/>
            </w:tcBorders>
            <w:shd w:val="clear" w:color="auto" w:fill="FFFFFF" w:themeFill="background1"/>
            <w:noWrap/>
            <w:vAlign w:val="center"/>
            <w:hideMark/>
          </w:tcPr>
          <w:p w14:paraId="3BD9603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44.4</w:t>
            </w:r>
          </w:p>
        </w:tc>
        <w:tc>
          <w:tcPr>
            <w:tcW w:w="252" w:type="pct"/>
            <w:tcBorders>
              <w:top w:val="nil"/>
              <w:left w:val="nil"/>
              <w:bottom w:val="nil"/>
              <w:right w:val="single" w:sz="8" w:space="0" w:color="auto"/>
            </w:tcBorders>
            <w:shd w:val="clear" w:color="auto" w:fill="FFFFFF" w:themeFill="background1"/>
            <w:vAlign w:val="center"/>
            <w:hideMark/>
          </w:tcPr>
          <w:p w14:paraId="1D4D3A82" w14:textId="1F7CF9DA"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w:t>
            </w:r>
          </w:p>
        </w:tc>
        <w:tc>
          <w:tcPr>
            <w:tcW w:w="160" w:type="pct"/>
            <w:tcBorders>
              <w:top w:val="nil"/>
              <w:left w:val="nil"/>
              <w:bottom w:val="nil"/>
              <w:right w:val="nil"/>
            </w:tcBorders>
            <w:shd w:val="clear" w:color="auto" w:fill="FFFFFF" w:themeFill="background1"/>
            <w:noWrap/>
            <w:vAlign w:val="center"/>
            <w:hideMark/>
          </w:tcPr>
          <w:p w14:paraId="36CA51D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160" w:type="pct"/>
            <w:tcBorders>
              <w:top w:val="nil"/>
              <w:left w:val="nil"/>
              <w:bottom w:val="nil"/>
              <w:right w:val="nil"/>
            </w:tcBorders>
            <w:shd w:val="clear" w:color="auto" w:fill="FFFFFF" w:themeFill="background1"/>
            <w:noWrap/>
            <w:vAlign w:val="center"/>
            <w:hideMark/>
          </w:tcPr>
          <w:p w14:paraId="0AB34D7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248" w:type="pct"/>
            <w:tcBorders>
              <w:top w:val="nil"/>
              <w:left w:val="nil"/>
              <w:bottom w:val="nil"/>
              <w:right w:val="nil"/>
            </w:tcBorders>
            <w:shd w:val="clear" w:color="auto" w:fill="FFFFFF" w:themeFill="background1"/>
            <w:noWrap/>
            <w:vAlign w:val="center"/>
            <w:hideMark/>
          </w:tcPr>
          <w:p w14:paraId="1BAEF72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252" w:type="pct"/>
            <w:tcBorders>
              <w:top w:val="nil"/>
              <w:left w:val="nil"/>
              <w:bottom w:val="nil"/>
              <w:right w:val="nil"/>
            </w:tcBorders>
            <w:shd w:val="clear" w:color="auto" w:fill="FFFFFF" w:themeFill="background1"/>
            <w:noWrap/>
            <w:vAlign w:val="center"/>
            <w:hideMark/>
          </w:tcPr>
          <w:p w14:paraId="224CDD8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57.1</w:t>
            </w:r>
          </w:p>
        </w:tc>
        <w:tc>
          <w:tcPr>
            <w:tcW w:w="267" w:type="pct"/>
            <w:tcBorders>
              <w:top w:val="nil"/>
              <w:left w:val="nil"/>
              <w:bottom w:val="nil"/>
              <w:right w:val="nil"/>
            </w:tcBorders>
            <w:shd w:val="clear" w:color="auto" w:fill="FFFFFF" w:themeFill="background1"/>
            <w:noWrap/>
            <w:vAlign w:val="center"/>
            <w:hideMark/>
          </w:tcPr>
          <w:p w14:paraId="79DC352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42.9</w:t>
            </w:r>
          </w:p>
        </w:tc>
        <w:tc>
          <w:tcPr>
            <w:tcW w:w="252" w:type="pct"/>
            <w:tcBorders>
              <w:top w:val="nil"/>
              <w:left w:val="nil"/>
              <w:bottom w:val="nil"/>
              <w:right w:val="single" w:sz="8" w:space="0" w:color="auto"/>
            </w:tcBorders>
            <w:shd w:val="clear" w:color="auto" w:fill="FFFFFF" w:themeFill="background1"/>
            <w:vAlign w:val="center"/>
            <w:hideMark/>
          </w:tcPr>
          <w:p w14:paraId="0FEFE539" w14:textId="434F4F9E"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0" w:type="pct"/>
            <w:tcBorders>
              <w:top w:val="nil"/>
              <w:left w:val="nil"/>
              <w:bottom w:val="nil"/>
              <w:right w:val="nil"/>
            </w:tcBorders>
            <w:shd w:val="clear" w:color="auto" w:fill="FFFFFF" w:themeFill="background1"/>
            <w:noWrap/>
            <w:vAlign w:val="center"/>
            <w:hideMark/>
          </w:tcPr>
          <w:p w14:paraId="01397D4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160" w:type="pct"/>
            <w:tcBorders>
              <w:top w:val="nil"/>
              <w:left w:val="nil"/>
              <w:bottom w:val="nil"/>
              <w:right w:val="nil"/>
            </w:tcBorders>
            <w:shd w:val="clear" w:color="auto" w:fill="FFFFFF" w:themeFill="background1"/>
            <w:noWrap/>
            <w:vAlign w:val="center"/>
            <w:hideMark/>
          </w:tcPr>
          <w:p w14:paraId="1587977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48" w:type="pct"/>
            <w:tcBorders>
              <w:top w:val="nil"/>
              <w:left w:val="nil"/>
              <w:bottom w:val="nil"/>
              <w:right w:val="nil"/>
            </w:tcBorders>
            <w:shd w:val="clear" w:color="auto" w:fill="FFFFFF" w:themeFill="background1"/>
            <w:noWrap/>
            <w:vAlign w:val="center"/>
            <w:hideMark/>
          </w:tcPr>
          <w:p w14:paraId="0DC94F3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w:t>
            </w:r>
          </w:p>
        </w:tc>
        <w:tc>
          <w:tcPr>
            <w:tcW w:w="252" w:type="pct"/>
            <w:tcBorders>
              <w:top w:val="nil"/>
              <w:left w:val="nil"/>
              <w:bottom w:val="nil"/>
              <w:right w:val="nil"/>
            </w:tcBorders>
            <w:shd w:val="clear" w:color="auto" w:fill="FFFFFF" w:themeFill="background1"/>
            <w:noWrap/>
            <w:vAlign w:val="center"/>
            <w:hideMark/>
          </w:tcPr>
          <w:p w14:paraId="7EF1112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69.2</w:t>
            </w:r>
          </w:p>
        </w:tc>
        <w:tc>
          <w:tcPr>
            <w:tcW w:w="267" w:type="pct"/>
            <w:tcBorders>
              <w:top w:val="nil"/>
              <w:left w:val="nil"/>
              <w:bottom w:val="nil"/>
              <w:right w:val="nil"/>
            </w:tcBorders>
            <w:shd w:val="clear" w:color="auto" w:fill="FFFFFF" w:themeFill="background1"/>
            <w:noWrap/>
            <w:vAlign w:val="center"/>
            <w:hideMark/>
          </w:tcPr>
          <w:p w14:paraId="012B629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30.8</w:t>
            </w:r>
          </w:p>
        </w:tc>
        <w:tc>
          <w:tcPr>
            <w:tcW w:w="252" w:type="pct"/>
            <w:tcBorders>
              <w:top w:val="nil"/>
              <w:left w:val="nil"/>
              <w:bottom w:val="nil"/>
              <w:right w:val="single" w:sz="8" w:space="0" w:color="auto"/>
            </w:tcBorders>
            <w:shd w:val="clear" w:color="auto" w:fill="FFFFFF" w:themeFill="background1"/>
            <w:vAlign w:val="center"/>
            <w:hideMark/>
          </w:tcPr>
          <w:p w14:paraId="7872084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9.4</w:t>
            </w:r>
          </w:p>
        </w:tc>
      </w:tr>
      <w:tr w:rsidR="00C827E3" w:rsidRPr="00435B6B" w14:paraId="08F60313"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09D3985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S2</w:t>
            </w:r>
          </w:p>
        </w:tc>
        <w:tc>
          <w:tcPr>
            <w:tcW w:w="160" w:type="pct"/>
            <w:tcBorders>
              <w:top w:val="nil"/>
              <w:left w:val="single" w:sz="4" w:space="0" w:color="auto"/>
              <w:bottom w:val="nil"/>
              <w:right w:val="nil"/>
            </w:tcBorders>
            <w:shd w:val="clear" w:color="auto" w:fill="FFFFFF" w:themeFill="background1"/>
            <w:noWrap/>
            <w:vAlign w:val="center"/>
            <w:hideMark/>
          </w:tcPr>
          <w:p w14:paraId="15875D8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051ADDE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72C0B28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658EA2D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2C08EC7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6D636D9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1A6FF8B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0" w:type="pct"/>
            <w:tcBorders>
              <w:top w:val="nil"/>
              <w:left w:val="nil"/>
              <w:bottom w:val="nil"/>
              <w:right w:val="nil"/>
            </w:tcBorders>
            <w:shd w:val="clear" w:color="auto" w:fill="FFFFFF" w:themeFill="background1"/>
            <w:noWrap/>
            <w:vAlign w:val="center"/>
            <w:hideMark/>
          </w:tcPr>
          <w:p w14:paraId="54A593F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6F2A64D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52" w:type="pct"/>
            <w:tcBorders>
              <w:top w:val="nil"/>
              <w:left w:val="nil"/>
              <w:bottom w:val="nil"/>
              <w:right w:val="nil"/>
            </w:tcBorders>
            <w:shd w:val="clear" w:color="auto" w:fill="FFFFFF" w:themeFill="background1"/>
            <w:noWrap/>
            <w:vAlign w:val="center"/>
            <w:hideMark/>
          </w:tcPr>
          <w:p w14:paraId="486C4EF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7" w:type="pct"/>
            <w:tcBorders>
              <w:top w:val="nil"/>
              <w:left w:val="nil"/>
              <w:bottom w:val="nil"/>
              <w:right w:val="nil"/>
            </w:tcBorders>
            <w:shd w:val="clear" w:color="auto" w:fill="FFFFFF" w:themeFill="background1"/>
            <w:noWrap/>
            <w:vAlign w:val="center"/>
            <w:hideMark/>
          </w:tcPr>
          <w:p w14:paraId="7E1E747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716689B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0.7</w:t>
            </w:r>
          </w:p>
        </w:tc>
        <w:tc>
          <w:tcPr>
            <w:tcW w:w="160" w:type="pct"/>
            <w:tcBorders>
              <w:top w:val="nil"/>
              <w:left w:val="nil"/>
              <w:bottom w:val="nil"/>
              <w:right w:val="nil"/>
            </w:tcBorders>
            <w:shd w:val="clear" w:color="auto" w:fill="FFFFFF" w:themeFill="background1"/>
            <w:noWrap/>
            <w:vAlign w:val="center"/>
            <w:hideMark/>
          </w:tcPr>
          <w:p w14:paraId="05BE09D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0" w:type="pct"/>
            <w:tcBorders>
              <w:top w:val="nil"/>
              <w:left w:val="nil"/>
              <w:bottom w:val="nil"/>
              <w:right w:val="nil"/>
            </w:tcBorders>
            <w:shd w:val="clear" w:color="auto" w:fill="FFFFFF" w:themeFill="background1"/>
            <w:noWrap/>
            <w:vAlign w:val="center"/>
            <w:hideMark/>
          </w:tcPr>
          <w:p w14:paraId="668B9D1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48" w:type="pct"/>
            <w:tcBorders>
              <w:top w:val="nil"/>
              <w:left w:val="nil"/>
              <w:bottom w:val="nil"/>
              <w:right w:val="nil"/>
            </w:tcBorders>
            <w:shd w:val="clear" w:color="auto" w:fill="FFFFFF" w:themeFill="background1"/>
            <w:noWrap/>
            <w:vAlign w:val="center"/>
            <w:hideMark/>
          </w:tcPr>
          <w:p w14:paraId="1517945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252" w:type="pct"/>
            <w:tcBorders>
              <w:top w:val="nil"/>
              <w:left w:val="nil"/>
              <w:bottom w:val="nil"/>
              <w:right w:val="nil"/>
            </w:tcBorders>
            <w:shd w:val="clear" w:color="auto" w:fill="FFFFFF" w:themeFill="background1"/>
            <w:noWrap/>
            <w:vAlign w:val="center"/>
            <w:hideMark/>
          </w:tcPr>
          <w:p w14:paraId="44A1AA09" w14:textId="39DAB4E5"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20</w:t>
            </w:r>
          </w:p>
        </w:tc>
        <w:tc>
          <w:tcPr>
            <w:tcW w:w="267" w:type="pct"/>
            <w:tcBorders>
              <w:top w:val="nil"/>
              <w:left w:val="nil"/>
              <w:bottom w:val="nil"/>
              <w:right w:val="nil"/>
            </w:tcBorders>
            <w:shd w:val="clear" w:color="auto" w:fill="FFFFFF" w:themeFill="background1"/>
            <w:noWrap/>
            <w:vAlign w:val="center"/>
            <w:hideMark/>
          </w:tcPr>
          <w:p w14:paraId="09050778" w14:textId="56848E2D"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80</w:t>
            </w:r>
          </w:p>
        </w:tc>
        <w:tc>
          <w:tcPr>
            <w:tcW w:w="252" w:type="pct"/>
            <w:tcBorders>
              <w:top w:val="nil"/>
              <w:left w:val="nil"/>
              <w:bottom w:val="nil"/>
              <w:right w:val="single" w:sz="8" w:space="0" w:color="auto"/>
            </w:tcBorders>
            <w:shd w:val="clear" w:color="auto" w:fill="FFFFFF" w:themeFill="background1"/>
            <w:vAlign w:val="center"/>
            <w:hideMark/>
          </w:tcPr>
          <w:p w14:paraId="20FC452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3.6</w:t>
            </w:r>
          </w:p>
        </w:tc>
      </w:tr>
      <w:tr w:rsidR="00C827E3" w:rsidRPr="00435B6B" w14:paraId="188617A5"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60E0A6D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S3</w:t>
            </w:r>
          </w:p>
        </w:tc>
        <w:tc>
          <w:tcPr>
            <w:tcW w:w="160" w:type="pct"/>
            <w:tcBorders>
              <w:top w:val="nil"/>
              <w:left w:val="single" w:sz="4" w:space="0" w:color="auto"/>
              <w:bottom w:val="nil"/>
              <w:right w:val="nil"/>
            </w:tcBorders>
            <w:shd w:val="clear" w:color="auto" w:fill="FFFFFF" w:themeFill="background1"/>
            <w:noWrap/>
            <w:vAlign w:val="center"/>
            <w:hideMark/>
          </w:tcPr>
          <w:p w14:paraId="256CCBF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9D9780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06DD9DD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7EFC6AD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349C778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71A153D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51995D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195A74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753F30A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143A32B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17B7507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6E95FC5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0AFE175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160" w:type="pct"/>
            <w:tcBorders>
              <w:top w:val="nil"/>
              <w:left w:val="nil"/>
              <w:bottom w:val="nil"/>
              <w:right w:val="nil"/>
            </w:tcBorders>
            <w:shd w:val="clear" w:color="auto" w:fill="FFFFFF" w:themeFill="background1"/>
            <w:noWrap/>
            <w:vAlign w:val="center"/>
            <w:hideMark/>
          </w:tcPr>
          <w:p w14:paraId="50D1D23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48" w:type="pct"/>
            <w:tcBorders>
              <w:top w:val="nil"/>
              <w:left w:val="nil"/>
              <w:bottom w:val="nil"/>
              <w:right w:val="nil"/>
            </w:tcBorders>
            <w:shd w:val="clear" w:color="auto" w:fill="FFFFFF" w:themeFill="background1"/>
            <w:noWrap/>
            <w:vAlign w:val="center"/>
            <w:hideMark/>
          </w:tcPr>
          <w:p w14:paraId="1C7BA7D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w:t>
            </w:r>
          </w:p>
        </w:tc>
        <w:tc>
          <w:tcPr>
            <w:tcW w:w="252" w:type="pct"/>
            <w:tcBorders>
              <w:top w:val="nil"/>
              <w:left w:val="nil"/>
              <w:bottom w:val="nil"/>
              <w:right w:val="nil"/>
            </w:tcBorders>
            <w:shd w:val="clear" w:color="auto" w:fill="FFFFFF" w:themeFill="background1"/>
            <w:noWrap/>
            <w:vAlign w:val="center"/>
            <w:hideMark/>
          </w:tcPr>
          <w:p w14:paraId="4EE27443" w14:textId="2A3F6250"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67" w:type="pct"/>
            <w:tcBorders>
              <w:top w:val="nil"/>
              <w:left w:val="nil"/>
              <w:bottom w:val="nil"/>
              <w:right w:val="nil"/>
            </w:tcBorders>
            <w:shd w:val="clear" w:color="auto" w:fill="FFFFFF" w:themeFill="background1"/>
            <w:noWrap/>
            <w:vAlign w:val="center"/>
            <w:hideMark/>
          </w:tcPr>
          <w:p w14:paraId="60931F08" w14:textId="378A45ED"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52" w:type="pct"/>
            <w:tcBorders>
              <w:top w:val="nil"/>
              <w:left w:val="nil"/>
              <w:bottom w:val="nil"/>
              <w:right w:val="single" w:sz="8" w:space="0" w:color="auto"/>
            </w:tcBorders>
            <w:shd w:val="clear" w:color="auto" w:fill="FFFFFF" w:themeFill="background1"/>
            <w:vAlign w:val="center"/>
            <w:hideMark/>
          </w:tcPr>
          <w:p w14:paraId="071A56F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5.8</w:t>
            </w:r>
          </w:p>
        </w:tc>
      </w:tr>
      <w:tr w:rsidR="00C827E3" w:rsidRPr="00435B6B" w14:paraId="3067B249"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6B45E25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S4</w:t>
            </w:r>
          </w:p>
        </w:tc>
        <w:tc>
          <w:tcPr>
            <w:tcW w:w="160" w:type="pct"/>
            <w:tcBorders>
              <w:top w:val="nil"/>
              <w:left w:val="single" w:sz="4" w:space="0" w:color="auto"/>
              <w:bottom w:val="nil"/>
              <w:right w:val="nil"/>
            </w:tcBorders>
            <w:shd w:val="clear" w:color="auto" w:fill="FFFFFF" w:themeFill="background1"/>
            <w:noWrap/>
            <w:vAlign w:val="center"/>
            <w:hideMark/>
          </w:tcPr>
          <w:p w14:paraId="730915C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3E96060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1C7323E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0835F09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185BEB9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1969905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01D331F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1E2FF0A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3030D59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5C7E1FC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6D95D1A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279A0FD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C5ED99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0" w:type="pct"/>
            <w:tcBorders>
              <w:top w:val="nil"/>
              <w:left w:val="nil"/>
              <w:bottom w:val="nil"/>
              <w:right w:val="nil"/>
            </w:tcBorders>
            <w:shd w:val="clear" w:color="auto" w:fill="FFFFFF" w:themeFill="background1"/>
            <w:noWrap/>
            <w:vAlign w:val="center"/>
            <w:hideMark/>
          </w:tcPr>
          <w:p w14:paraId="3DCF377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518F015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52" w:type="pct"/>
            <w:tcBorders>
              <w:top w:val="nil"/>
              <w:left w:val="nil"/>
              <w:bottom w:val="nil"/>
              <w:right w:val="nil"/>
            </w:tcBorders>
            <w:shd w:val="clear" w:color="auto" w:fill="FFFFFF" w:themeFill="background1"/>
            <w:noWrap/>
            <w:vAlign w:val="center"/>
            <w:hideMark/>
          </w:tcPr>
          <w:p w14:paraId="7632E97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7" w:type="pct"/>
            <w:tcBorders>
              <w:top w:val="nil"/>
              <w:left w:val="nil"/>
              <w:bottom w:val="nil"/>
              <w:right w:val="nil"/>
            </w:tcBorders>
            <w:shd w:val="clear" w:color="auto" w:fill="FFFFFF" w:themeFill="background1"/>
            <w:noWrap/>
            <w:vAlign w:val="center"/>
            <w:hideMark/>
          </w:tcPr>
          <w:p w14:paraId="1A32DD3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2C5E156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0.7</w:t>
            </w:r>
          </w:p>
        </w:tc>
      </w:tr>
      <w:tr w:rsidR="00C827E3" w:rsidRPr="00435B6B" w14:paraId="7CB5E4A7"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152F784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S1-4</w:t>
            </w:r>
          </w:p>
        </w:tc>
        <w:tc>
          <w:tcPr>
            <w:tcW w:w="160" w:type="pct"/>
            <w:tcBorders>
              <w:top w:val="nil"/>
              <w:left w:val="single" w:sz="4" w:space="0" w:color="auto"/>
              <w:bottom w:val="nil"/>
              <w:right w:val="nil"/>
            </w:tcBorders>
            <w:shd w:val="clear" w:color="auto" w:fill="FFFFFF" w:themeFill="background1"/>
            <w:noWrap/>
            <w:vAlign w:val="center"/>
            <w:hideMark/>
          </w:tcPr>
          <w:p w14:paraId="5925385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03F0576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3656ABF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360F10F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7B0BD54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10032D4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64EC3D0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0" w:type="pct"/>
            <w:tcBorders>
              <w:top w:val="nil"/>
              <w:left w:val="nil"/>
              <w:bottom w:val="nil"/>
              <w:right w:val="nil"/>
            </w:tcBorders>
            <w:shd w:val="clear" w:color="auto" w:fill="FFFFFF" w:themeFill="background1"/>
            <w:noWrap/>
            <w:vAlign w:val="center"/>
            <w:hideMark/>
          </w:tcPr>
          <w:p w14:paraId="55EE1FA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248" w:type="pct"/>
            <w:tcBorders>
              <w:top w:val="nil"/>
              <w:left w:val="nil"/>
              <w:bottom w:val="nil"/>
              <w:right w:val="nil"/>
            </w:tcBorders>
            <w:shd w:val="clear" w:color="auto" w:fill="FFFFFF" w:themeFill="background1"/>
            <w:noWrap/>
            <w:vAlign w:val="center"/>
            <w:hideMark/>
          </w:tcPr>
          <w:p w14:paraId="2B40B83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w:t>
            </w:r>
          </w:p>
        </w:tc>
        <w:tc>
          <w:tcPr>
            <w:tcW w:w="252" w:type="pct"/>
            <w:tcBorders>
              <w:top w:val="nil"/>
              <w:left w:val="nil"/>
              <w:bottom w:val="nil"/>
              <w:right w:val="nil"/>
            </w:tcBorders>
            <w:shd w:val="clear" w:color="auto" w:fill="FFFFFF" w:themeFill="background1"/>
            <w:noWrap/>
            <w:vAlign w:val="center"/>
            <w:hideMark/>
          </w:tcPr>
          <w:p w14:paraId="6CE7BD1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62.5</w:t>
            </w:r>
          </w:p>
        </w:tc>
        <w:tc>
          <w:tcPr>
            <w:tcW w:w="267" w:type="pct"/>
            <w:tcBorders>
              <w:top w:val="nil"/>
              <w:left w:val="nil"/>
              <w:bottom w:val="nil"/>
              <w:right w:val="nil"/>
            </w:tcBorders>
            <w:shd w:val="clear" w:color="auto" w:fill="FFFFFF" w:themeFill="background1"/>
            <w:noWrap/>
            <w:vAlign w:val="center"/>
            <w:hideMark/>
          </w:tcPr>
          <w:p w14:paraId="114E148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37.5</w:t>
            </w:r>
          </w:p>
        </w:tc>
        <w:tc>
          <w:tcPr>
            <w:tcW w:w="252" w:type="pct"/>
            <w:tcBorders>
              <w:top w:val="nil"/>
              <w:left w:val="nil"/>
              <w:bottom w:val="nil"/>
              <w:right w:val="single" w:sz="8" w:space="0" w:color="auto"/>
            </w:tcBorders>
            <w:shd w:val="clear" w:color="auto" w:fill="FFFFFF" w:themeFill="background1"/>
            <w:vAlign w:val="center"/>
            <w:hideMark/>
          </w:tcPr>
          <w:p w14:paraId="7B75DAD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5.7</w:t>
            </w:r>
          </w:p>
        </w:tc>
        <w:tc>
          <w:tcPr>
            <w:tcW w:w="160" w:type="pct"/>
            <w:tcBorders>
              <w:top w:val="nil"/>
              <w:left w:val="nil"/>
              <w:bottom w:val="nil"/>
              <w:right w:val="nil"/>
            </w:tcBorders>
            <w:shd w:val="clear" w:color="auto" w:fill="FFFFFF" w:themeFill="background1"/>
            <w:noWrap/>
            <w:vAlign w:val="center"/>
            <w:hideMark/>
          </w:tcPr>
          <w:p w14:paraId="7359C14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15</w:t>
            </w:r>
          </w:p>
        </w:tc>
        <w:tc>
          <w:tcPr>
            <w:tcW w:w="160" w:type="pct"/>
            <w:tcBorders>
              <w:top w:val="nil"/>
              <w:left w:val="nil"/>
              <w:bottom w:val="nil"/>
              <w:right w:val="nil"/>
            </w:tcBorders>
            <w:shd w:val="clear" w:color="auto" w:fill="FFFFFF" w:themeFill="background1"/>
            <w:noWrap/>
            <w:vAlign w:val="center"/>
            <w:hideMark/>
          </w:tcPr>
          <w:p w14:paraId="5559743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248" w:type="pct"/>
            <w:tcBorders>
              <w:top w:val="nil"/>
              <w:left w:val="nil"/>
              <w:bottom w:val="nil"/>
              <w:right w:val="nil"/>
            </w:tcBorders>
            <w:shd w:val="clear" w:color="auto" w:fill="FFFFFF" w:themeFill="background1"/>
            <w:noWrap/>
            <w:vAlign w:val="center"/>
            <w:hideMark/>
          </w:tcPr>
          <w:p w14:paraId="63CC930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27</w:t>
            </w:r>
          </w:p>
        </w:tc>
        <w:tc>
          <w:tcPr>
            <w:tcW w:w="252" w:type="pct"/>
            <w:tcBorders>
              <w:top w:val="nil"/>
              <w:left w:val="nil"/>
              <w:bottom w:val="nil"/>
              <w:right w:val="nil"/>
            </w:tcBorders>
            <w:shd w:val="clear" w:color="auto" w:fill="FFFFFF" w:themeFill="background1"/>
            <w:noWrap/>
            <w:vAlign w:val="center"/>
            <w:hideMark/>
          </w:tcPr>
          <w:p w14:paraId="3A31A26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55.6</w:t>
            </w:r>
          </w:p>
        </w:tc>
        <w:tc>
          <w:tcPr>
            <w:tcW w:w="267" w:type="pct"/>
            <w:tcBorders>
              <w:top w:val="nil"/>
              <w:left w:val="nil"/>
              <w:bottom w:val="nil"/>
              <w:right w:val="nil"/>
            </w:tcBorders>
            <w:shd w:val="clear" w:color="auto" w:fill="FFFFFF" w:themeFill="background1"/>
            <w:noWrap/>
            <w:vAlign w:val="center"/>
            <w:hideMark/>
          </w:tcPr>
          <w:p w14:paraId="1D31077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44.4</w:t>
            </w:r>
          </w:p>
        </w:tc>
        <w:tc>
          <w:tcPr>
            <w:tcW w:w="252" w:type="pct"/>
            <w:tcBorders>
              <w:top w:val="nil"/>
              <w:left w:val="nil"/>
              <w:bottom w:val="nil"/>
              <w:right w:val="single" w:sz="8" w:space="0" w:color="auto"/>
            </w:tcBorders>
            <w:shd w:val="clear" w:color="auto" w:fill="FFFFFF" w:themeFill="background1"/>
            <w:vAlign w:val="center"/>
            <w:hideMark/>
          </w:tcPr>
          <w:p w14:paraId="7CF922B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19.4</w:t>
            </w:r>
          </w:p>
        </w:tc>
      </w:tr>
      <w:tr w:rsidR="00C827E3" w:rsidRPr="00435B6B" w14:paraId="698AA0E5" w14:textId="77777777" w:rsidTr="001F4A34">
        <w:trPr>
          <w:trHeight w:val="495"/>
        </w:trPr>
        <w:tc>
          <w:tcPr>
            <w:tcW w:w="978" w:type="pct"/>
            <w:tcBorders>
              <w:top w:val="nil"/>
              <w:left w:val="single" w:sz="4" w:space="0" w:color="auto"/>
              <w:bottom w:val="single" w:sz="8" w:space="0" w:color="auto"/>
              <w:right w:val="single" w:sz="4" w:space="0" w:color="auto"/>
            </w:tcBorders>
            <w:shd w:val="clear" w:color="auto" w:fill="FFFFFF" w:themeFill="background1"/>
            <w:vAlign w:val="center"/>
            <w:hideMark/>
          </w:tcPr>
          <w:p w14:paraId="6911C597" w14:textId="4FF10B50" w:rsidR="003421D4" w:rsidRPr="009819CE" w:rsidRDefault="00272268" w:rsidP="00AB5EC8">
            <w:pPr>
              <w:spacing w:before="0" w:after="0" w:line="240" w:lineRule="auto"/>
              <w:jc w:val="center"/>
              <w:rPr>
                <w:rFonts w:cstheme="minorBidi"/>
                <w:b/>
                <w:bCs/>
                <w:color w:val="000000"/>
                <w:sz w:val="18"/>
                <w:szCs w:val="18"/>
              </w:rPr>
            </w:pPr>
            <w:r w:rsidRPr="00435B6B">
              <w:rPr>
                <w:rFonts w:cstheme="minorBidi"/>
                <w:b/>
                <w:bCs/>
                <w:color w:val="000000"/>
                <w:sz w:val="18"/>
                <w:szCs w:val="18"/>
              </w:rPr>
              <w:t>Moult</w:t>
            </w:r>
            <w:r w:rsidR="003421D4" w:rsidRPr="009819CE">
              <w:rPr>
                <w:rFonts w:cstheme="minorBidi"/>
                <w:b/>
                <w:bCs/>
                <w:color w:val="000000"/>
                <w:sz w:val="18"/>
                <w:szCs w:val="18"/>
              </w:rPr>
              <w:t xml:space="preserve"> parameters</w:t>
            </w:r>
          </w:p>
        </w:tc>
        <w:tc>
          <w:tcPr>
            <w:tcW w:w="160" w:type="pct"/>
            <w:tcBorders>
              <w:top w:val="nil"/>
              <w:left w:val="single" w:sz="4" w:space="0" w:color="auto"/>
              <w:bottom w:val="single" w:sz="8" w:space="0" w:color="auto"/>
              <w:right w:val="nil"/>
            </w:tcBorders>
            <w:shd w:val="clear" w:color="auto" w:fill="FFFFFF" w:themeFill="background1"/>
            <w:vAlign w:val="center"/>
            <w:hideMark/>
          </w:tcPr>
          <w:p w14:paraId="69D6137C"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54B66FE3"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vAlign w:val="center"/>
            <w:hideMark/>
          </w:tcPr>
          <w:p w14:paraId="75EF2A42"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vAlign w:val="center"/>
            <w:hideMark/>
          </w:tcPr>
          <w:p w14:paraId="73351B29"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vAlign w:val="center"/>
            <w:hideMark/>
          </w:tcPr>
          <w:p w14:paraId="575FF765"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17A2AF24"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5725BC90"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5DBFBAE6"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vAlign w:val="center"/>
            <w:hideMark/>
          </w:tcPr>
          <w:p w14:paraId="1F71FA8D"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vAlign w:val="center"/>
            <w:hideMark/>
          </w:tcPr>
          <w:p w14:paraId="72A5A366"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vAlign w:val="center"/>
            <w:hideMark/>
          </w:tcPr>
          <w:p w14:paraId="577A7863"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10696361"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36164BEB"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106B3B62"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noWrap/>
            <w:vAlign w:val="center"/>
            <w:hideMark/>
          </w:tcPr>
          <w:p w14:paraId="7CD1DD3D"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noWrap/>
            <w:vAlign w:val="center"/>
            <w:hideMark/>
          </w:tcPr>
          <w:p w14:paraId="1A2167AC"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noWrap/>
            <w:vAlign w:val="center"/>
            <w:hideMark/>
          </w:tcPr>
          <w:p w14:paraId="0E92E45D"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344F8413" w14:textId="77777777" w:rsidR="003421D4" w:rsidRPr="009819CE" w:rsidRDefault="003421D4" w:rsidP="00AB5EC8">
            <w:pPr>
              <w:spacing w:before="0" w:after="0" w:line="240" w:lineRule="auto"/>
              <w:jc w:val="center"/>
              <w:rPr>
                <w:rFonts w:cstheme="minorBidi"/>
                <w:color w:val="000000"/>
                <w:sz w:val="18"/>
                <w:szCs w:val="18"/>
              </w:rPr>
            </w:pPr>
          </w:p>
        </w:tc>
      </w:tr>
      <w:tr w:rsidR="00C827E3" w:rsidRPr="00435B6B" w14:paraId="18B21ED6"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064B62C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Hard (H)</w:t>
            </w:r>
          </w:p>
        </w:tc>
        <w:tc>
          <w:tcPr>
            <w:tcW w:w="160" w:type="pct"/>
            <w:tcBorders>
              <w:top w:val="nil"/>
              <w:left w:val="single" w:sz="4" w:space="0" w:color="auto"/>
              <w:bottom w:val="nil"/>
              <w:right w:val="nil"/>
            </w:tcBorders>
            <w:shd w:val="clear" w:color="auto" w:fill="FFFFFF" w:themeFill="background1"/>
            <w:noWrap/>
            <w:vAlign w:val="center"/>
            <w:hideMark/>
          </w:tcPr>
          <w:p w14:paraId="15197A9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52</w:t>
            </w:r>
          </w:p>
        </w:tc>
        <w:tc>
          <w:tcPr>
            <w:tcW w:w="160" w:type="pct"/>
            <w:tcBorders>
              <w:top w:val="nil"/>
              <w:left w:val="nil"/>
              <w:bottom w:val="nil"/>
              <w:right w:val="nil"/>
            </w:tcBorders>
            <w:shd w:val="clear" w:color="auto" w:fill="FFFFFF" w:themeFill="background1"/>
            <w:noWrap/>
            <w:vAlign w:val="center"/>
            <w:hideMark/>
          </w:tcPr>
          <w:p w14:paraId="0D807D8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88</w:t>
            </w:r>
          </w:p>
        </w:tc>
        <w:tc>
          <w:tcPr>
            <w:tcW w:w="248" w:type="pct"/>
            <w:tcBorders>
              <w:top w:val="nil"/>
              <w:left w:val="nil"/>
              <w:bottom w:val="nil"/>
              <w:right w:val="nil"/>
            </w:tcBorders>
            <w:shd w:val="clear" w:color="auto" w:fill="FFFFFF" w:themeFill="background1"/>
            <w:noWrap/>
            <w:vAlign w:val="center"/>
            <w:hideMark/>
          </w:tcPr>
          <w:p w14:paraId="155B430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140</w:t>
            </w:r>
          </w:p>
        </w:tc>
        <w:tc>
          <w:tcPr>
            <w:tcW w:w="252" w:type="pct"/>
            <w:tcBorders>
              <w:top w:val="nil"/>
              <w:left w:val="nil"/>
              <w:bottom w:val="nil"/>
              <w:right w:val="nil"/>
            </w:tcBorders>
            <w:shd w:val="clear" w:color="auto" w:fill="FFFFFF" w:themeFill="background1"/>
            <w:noWrap/>
            <w:vAlign w:val="center"/>
            <w:hideMark/>
          </w:tcPr>
          <w:p w14:paraId="6927783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37.1</w:t>
            </w:r>
          </w:p>
        </w:tc>
        <w:tc>
          <w:tcPr>
            <w:tcW w:w="267" w:type="pct"/>
            <w:tcBorders>
              <w:top w:val="nil"/>
              <w:left w:val="nil"/>
              <w:bottom w:val="nil"/>
              <w:right w:val="nil"/>
            </w:tcBorders>
            <w:shd w:val="clear" w:color="auto" w:fill="FFFFFF" w:themeFill="background1"/>
            <w:noWrap/>
            <w:vAlign w:val="center"/>
            <w:hideMark/>
          </w:tcPr>
          <w:p w14:paraId="2A3B24C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62.9</w:t>
            </w:r>
          </w:p>
        </w:tc>
        <w:tc>
          <w:tcPr>
            <w:tcW w:w="252" w:type="pct"/>
            <w:tcBorders>
              <w:top w:val="nil"/>
              <w:left w:val="nil"/>
              <w:bottom w:val="nil"/>
              <w:right w:val="single" w:sz="8" w:space="0" w:color="auto"/>
            </w:tcBorders>
            <w:shd w:val="clear" w:color="auto" w:fill="FFFFFF" w:themeFill="background1"/>
            <w:vAlign w:val="center"/>
            <w:hideMark/>
          </w:tcPr>
          <w:p w14:paraId="39FDCCF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93.3</w:t>
            </w:r>
          </w:p>
        </w:tc>
        <w:tc>
          <w:tcPr>
            <w:tcW w:w="160" w:type="pct"/>
            <w:tcBorders>
              <w:top w:val="nil"/>
              <w:left w:val="nil"/>
              <w:bottom w:val="nil"/>
              <w:right w:val="nil"/>
            </w:tcBorders>
            <w:shd w:val="clear" w:color="auto" w:fill="FFFFFF" w:themeFill="background1"/>
            <w:noWrap/>
            <w:vAlign w:val="center"/>
            <w:hideMark/>
          </w:tcPr>
          <w:p w14:paraId="58ADEDA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52</w:t>
            </w:r>
          </w:p>
        </w:tc>
        <w:tc>
          <w:tcPr>
            <w:tcW w:w="160" w:type="pct"/>
            <w:tcBorders>
              <w:top w:val="nil"/>
              <w:left w:val="nil"/>
              <w:bottom w:val="nil"/>
              <w:right w:val="nil"/>
            </w:tcBorders>
            <w:shd w:val="clear" w:color="auto" w:fill="FFFFFF" w:themeFill="background1"/>
            <w:noWrap/>
            <w:vAlign w:val="center"/>
            <w:hideMark/>
          </w:tcPr>
          <w:p w14:paraId="2384425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86</w:t>
            </w:r>
          </w:p>
        </w:tc>
        <w:tc>
          <w:tcPr>
            <w:tcW w:w="248" w:type="pct"/>
            <w:tcBorders>
              <w:top w:val="nil"/>
              <w:left w:val="nil"/>
              <w:bottom w:val="nil"/>
              <w:right w:val="nil"/>
            </w:tcBorders>
            <w:shd w:val="clear" w:color="auto" w:fill="FFFFFF" w:themeFill="background1"/>
            <w:noWrap/>
            <w:vAlign w:val="center"/>
            <w:hideMark/>
          </w:tcPr>
          <w:p w14:paraId="23F2EA4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138</w:t>
            </w:r>
          </w:p>
        </w:tc>
        <w:tc>
          <w:tcPr>
            <w:tcW w:w="252" w:type="pct"/>
            <w:tcBorders>
              <w:top w:val="nil"/>
              <w:left w:val="nil"/>
              <w:bottom w:val="nil"/>
              <w:right w:val="nil"/>
            </w:tcBorders>
            <w:shd w:val="clear" w:color="auto" w:fill="FFFFFF" w:themeFill="background1"/>
            <w:noWrap/>
            <w:vAlign w:val="center"/>
            <w:hideMark/>
          </w:tcPr>
          <w:p w14:paraId="3912E01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37.7</w:t>
            </w:r>
          </w:p>
        </w:tc>
        <w:tc>
          <w:tcPr>
            <w:tcW w:w="267" w:type="pct"/>
            <w:tcBorders>
              <w:top w:val="nil"/>
              <w:left w:val="nil"/>
              <w:bottom w:val="nil"/>
              <w:right w:val="nil"/>
            </w:tcBorders>
            <w:shd w:val="clear" w:color="auto" w:fill="FFFFFF" w:themeFill="background1"/>
            <w:noWrap/>
            <w:vAlign w:val="center"/>
            <w:hideMark/>
          </w:tcPr>
          <w:p w14:paraId="242AB51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62.3</w:t>
            </w:r>
          </w:p>
        </w:tc>
        <w:tc>
          <w:tcPr>
            <w:tcW w:w="252" w:type="pct"/>
            <w:tcBorders>
              <w:top w:val="nil"/>
              <w:left w:val="nil"/>
              <w:bottom w:val="nil"/>
              <w:right w:val="single" w:sz="8" w:space="0" w:color="auto"/>
            </w:tcBorders>
            <w:shd w:val="clear" w:color="auto" w:fill="FFFFFF" w:themeFill="background1"/>
            <w:vAlign w:val="center"/>
            <w:hideMark/>
          </w:tcPr>
          <w:p w14:paraId="1571B65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97.9</w:t>
            </w:r>
          </w:p>
        </w:tc>
        <w:tc>
          <w:tcPr>
            <w:tcW w:w="160" w:type="pct"/>
            <w:tcBorders>
              <w:top w:val="nil"/>
              <w:left w:val="nil"/>
              <w:bottom w:val="nil"/>
              <w:right w:val="nil"/>
            </w:tcBorders>
            <w:shd w:val="clear" w:color="auto" w:fill="FFFFFF" w:themeFill="background1"/>
            <w:noWrap/>
            <w:vAlign w:val="center"/>
            <w:hideMark/>
          </w:tcPr>
          <w:p w14:paraId="466D7EB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41</w:t>
            </w:r>
          </w:p>
        </w:tc>
        <w:tc>
          <w:tcPr>
            <w:tcW w:w="160" w:type="pct"/>
            <w:tcBorders>
              <w:top w:val="nil"/>
              <w:left w:val="nil"/>
              <w:bottom w:val="nil"/>
              <w:right w:val="nil"/>
            </w:tcBorders>
            <w:shd w:val="clear" w:color="auto" w:fill="FFFFFF" w:themeFill="background1"/>
            <w:noWrap/>
            <w:vAlign w:val="center"/>
            <w:hideMark/>
          </w:tcPr>
          <w:p w14:paraId="71A36BD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85</w:t>
            </w:r>
          </w:p>
        </w:tc>
        <w:tc>
          <w:tcPr>
            <w:tcW w:w="248" w:type="pct"/>
            <w:tcBorders>
              <w:top w:val="nil"/>
              <w:left w:val="nil"/>
              <w:bottom w:val="nil"/>
              <w:right w:val="nil"/>
            </w:tcBorders>
            <w:shd w:val="clear" w:color="auto" w:fill="FFFFFF" w:themeFill="background1"/>
            <w:noWrap/>
            <w:vAlign w:val="center"/>
            <w:hideMark/>
          </w:tcPr>
          <w:p w14:paraId="256D729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126</w:t>
            </w:r>
          </w:p>
        </w:tc>
        <w:tc>
          <w:tcPr>
            <w:tcW w:w="252" w:type="pct"/>
            <w:tcBorders>
              <w:top w:val="nil"/>
              <w:left w:val="nil"/>
              <w:bottom w:val="nil"/>
              <w:right w:val="nil"/>
            </w:tcBorders>
            <w:shd w:val="clear" w:color="auto" w:fill="FFFFFF" w:themeFill="background1"/>
            <w:noWrap/>
            <w:vAlign w:val="center"/>
            <w:hideMark/>
          </w:tcPr>
          <w:p w14:paraId="72D125E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32.5</w:t>
            </w:r>
          </w:p>
        </w:tc>
        <w:tc>
          <w:tcPr>
            <w:tcW w:w="267" w:type="pct"/>
            <w:tcBorders>
              <w:top w:val="nil"/>
              <w:left w:val="nil"/>
              <w:bottom w:val="nil"/>
              <w:right w:val="nil"/>
            </w:tcBorders>
            <w:shd w:val="clear" w:color="auto" w:fill="FFFFFF" w:themeFill="background1"/>
            <w:noWrap/>
            <w:vAlign w:val="center"/>
            <w:hideMark/>
          </w:tcPr>
          <w:p w14:paraId="5CA8DB9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67.5</w:t>
            </w:r>
          </w:p>
        </w:tc>
        <w:tc>
          <w:tcPr>
            <w:tcW w:w="252" w:type="pct"/>
            <w:tcBorders>
              <w:top w:val="nil"/>
              <w:left w:val="nil"/>
              <w:bottom w:val="nil"/>
              <w:right w:val="single" w:sz="8" w:space="0" w:color="auto"/>
            </w:tcBorders>
            <w:shd w:val="clear" w:color="auto" w:fill="FFFFFF" w:themeFill="background1"/>
            <w:vAlign w:val="center"/>
            <w:hideMark/>
          </w:tcPr>
          <w:p w14:paraId="54FD690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90.6</w:t>
            </w:r>
          </w:p>
        </w:tc>
      </w:tr>
      <w:tr w:rsidR="00C827E3" w:rsidRPr="00435B6B" w14:paraId="67BFCEC7"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0455B88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Soft (S)</w:t>
            </w:r>
          </w:p>
        </w:tc>
        <w:tc>
          <w:tcPr>
            <w:tcW w:w="160" w:type="pct"/>
            <w:tcBorders>
              <w:top w:val="nil"/>
              <w:left w:val="single" w:sz="4" w:space="0" w:color="auto"/>
              <w:bottom w:val="nil"/>
              <w:right w:val="nil"/>
            </w:tcBorders>
            <w:shd w:val="clear" w:color="auto" w:fill="FFFFFF" w:themeFill="background1"/>
            <w:noWrap/>
            <w:vAlign w:val="center"/>
            <w:hideMark/>
          </w:tcPr>
          <w:p w14:paraId="6795FDF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160" w:type="pct"/>
            <w:tcBorders>
              <w:top w:val="nil"/>
              <w:left w:val="nil"/>
              <w:bottom w:val="nil"/>
              <w:right w:val="nil"/>
            </w:tcBorders>
            <w:shd w:val="clear" w:color="auto" w:fill="FFFFFF" w:themeFill="background1"/>
            <w:noWrap/>
            <w:vAlign w:val="center"/>
            <w:hideMark/>
          </w:tcPr>
          <w:p w14:paraId="003DF46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248" w:type="pct"/>
            <w:tcBorders>
              <w:top w:val="nil"/>
              <w:left w:val="nil"/>
              <w:bottom w:val="nil"/>
              <w:right w:val="nil"/>
            </w:tcBorders>
            <w:shd w:val="clear" w:color="auto" w:fill="FFFFFF" w:themeFill="background1"/>
            <w:noWrap/>
            <w:vAlign w:val="center"/>
            <w:hideMark/>
          </w:tcPr>
          <w:p w14:paraId="63D517C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w:t>
            </w:r>
          </w:p>
        </w:tc>
        <w:tc>
          <w:tcPr>
            <w:tcW w:w="252" w:type="pct"/>
            <w:tcBorders>
              <w:top w:val="nil"/>
              <w:left w:val="nil"/>
              <w:bottom w:val="nil"/>
              <w:right w:val="nil"/>
            </w:tcBorders>
            <w:shd w:val="clear" w:color="auto" w:fill="FFFFFF" w:themeFill="background1"/>
            <w:noWrap/>
            <w:vAlign w:val="center"/>
            <w:hideMark/>
          </w:tcPr>
          <w:p w14:paraId="00FE5F1A" w14:textId="2E3892E0"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30</w:t>
            </w:r>
          </w:p>
        </w:tc>
        <w:tc>
          <w:tcPr>
            <w:tcW w:w="267" w:type="pct"/>
            <w:tcBorders>
              <w:top w:val="nil"/>
              <w:left w:val="nil"/>
              <w:bottom w:val="nil"/>
              <w:right w:val="nil"/>
            </w:tcBorders>
            <w:shd w:val="clear" w:color="auto" w:fill="FFFFFF" w:themeFill="background1"/>
            <w:noWrap/>
            <w:vAlign w:val="center"/>
            <w:hideMark/>
          </w:tcPr>
          <w:p w14:paraId="39932B95" w14:textId="69075B45"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70</w:t>
            </w:r>
          </w:p>
        </w:tc>
        <w:tc>
          <w:tcPr>
            <w:tcW w:w="252" w:type="pct"/>
            <w:tcBorders>
              <w:top w:val="nil"/>
              <w:left w:val="nil"/>
              <w:bottom w:val="nil"/>
              <w:right w:val="single" w:sz="8" w:space="0" w:color="auto"/>
            </w:tcBorders>
            <w:shd w:val="clear" w:color="auto" w:fill="FFFFFF" w:themeFill="background1"/>
            <w:vAlign w:val="center"/>
            <w:hideMark/>
          </w:tcPr>
          <w:p w14:paraId="5DFBC36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6.7</w:t>
            </w:r>
          </w:p>
        </w:tc>
        <w:tc>
          <w:tcPr>
            <w:tcW w:w="160" w:type="pct"/>
            <w:tcBorders>
              <w:top w:val="nil"/>
              <w:left w:val="nil"/>
              <w:bottom w:val="nil"/>
              <w:right w:val="nil"/>
            </w:tcBorders>
            <w:shd w:val="clear" w:color="auto" w:fill="FFFFFF" w:themeFill="background1"/>
            <w:noWrap/>
            <w:vAlign w:val="center"/>
            <w:hideMark/>
          </w:tcPr>
          <w:p w14:paraId="1E8333C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160" w:type="pct"/>
            <w:tcBorders>
              <w:top w:val="nil"/>
              <w:left w:val="nil"/>
              <w:bottom w:val="nil"/>
              <w:right w:val="nil"/>
            </w:tcBorders>
            <w:shd w:val="clear" w:color="auto" w:fill="FFFFFF" w:themeFill="background1"/>
            <w:noWrap/>
            <w:vAlign w:val="center"/>
            <w:hideMark/>
          </w:tcPr>
          <w:p w14:paraId="2A666DC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48" w:type="pct"/>
            <w:tcBorders>
              <w:top w:val="nil"/>
              <w:left w:val="nil"/>
              <w:bottom w:val="nil"/>
              <w:right w:val="nil"/>
            </w:tcBorders>
            <w:shd w:val="clear" w:color="auto" w:fill="FFFFFF" w:themeFill="background1"/>
            <w:noWrap/>
            <w:vAlign w:val="center"/>
            <w:hideMark/>
          </w:tcPr>
          <w:p w14:paraId="368F2BC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252" w:type="pct"/>
            <w:tcBorders>
              <w:top w:val="nil"/>
              <w:left w:val="nil"/>
              <w:bottom w:val="nil"/>
              <w:right w:val="nil"/>
            </w:tcBorders>
            <w:shd w:val="clear" w:color="auto" w:fill="FFFFFF" w:themeFill="background1"/>
            <w:noWrap/>
            <w:vAlign w:val="center"/>
            <w:hideMark/>
          </w:tcPr>
          <w:p w14:paraId="2D8EACF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66.7</w:t>
            </w:r>
          </w:p>
        </w:tc>
        <w:tc>
          <w:tcPr>
            <w:tcW w:w="267" w:type="pct"/>
            <w:tcBorders>
              <w:top w:val="nil"/>
              <w:left w:val="nil"/>
              <w:bottom w:val="nil"/>
              <w:right w:val="nil"/>
            </w:tcBorders>
            <w:shd w:val="clear" w:color="auto" w:fill="FFFFFF" w:themeFill="background1"/>
            <w:noWrap/>
            <w:vAlign w:val="center"/>
            <w:hideMark/>
          </w:tcPr>
          <w:p w14:paraId="558E1A0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33.3</w:t>
            </w:r>
          </w:p>
        </w:tc>
        <w:tc>
          <w:tcPr>
            <w:tcW w:w="252" w:type="pct"/>
            <w:tcBorders>
              <w:top w:val="nil"/>
              <w:left w:val="nil"/>
              <w:bottom w:val="nil"/>
              <w:right w:val="single" w:sz="8" w:space="0" w:color="auto"/>
            </w:tcBorders>
            <w:shd w:val="clear" w:color="auto" w:fill="FFFFFF" w:themeFill="background1"/>
            <w:vAlign w:val="center"/>
            <w:hideMark/>
          </w:tcPr>
          <w:p w14:paraId="4789756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2.1</w:t>
            </w:r>
          </w:p>
        </w:tc>
        <w:tc>
          <w:tcPr>
            <w:tcW w:w="160" w:type="pct"/>
            <w:tcBorders>
              <w:top w:val="nil"/>
              <w:left w:val="nil"/>
              <w:bottom w:val="nil"/>
              <w:right w:val="nil"/>
            </w:tcBorders>
            <w:shd w:val="clear" w:color="auto" w:fill="FFFFFF" w:themeFill="background1"/>
            <w:noWrap/>
            <w:vAlign w:val="center"/>
            <w:hideMark/>
          </w:tcPr>
          <w:p w14:paraId="7F68E73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0" w:type="pct"/>
            <w:tcBorders>
              <w:top w:val="nil"/>
              <w:left w:val="nil"/>
              <w:bottom w:val="nil"/>
              <w:right w:val="nil"/>
            </w:tcBorders>
            <w:shd w:val="clear" w:color="auto" w:fill="FFFFFF" w:themeFill="background1"/>
            <w:noWrap/>
            <w:vAlign w:val="center"/>
            <w:hideMark/>
          </w:tcPr>
          <w:p w14:paraId="767B5F8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w:t>
            </w:r>
          </w:p>
        </w:tc>
        <w:tc>
          <w:tcPr>
            <w:tcW w:w="248" w:type="pct"/>
            <w:tcBorders>
              <w:top w:val="nil"/>
              <w:left w:val="nil"/>
              <w:bottom w:val="nil"/>
              <w:right w:val="nil"/>
            </w:tcBorders>
            <w:shd w:val="clear" w:color="auto" w:fill="FFFFFF" w:themeFill="background1"/>
            <w:noWrap/>
            <w:vAlign w:val="center"/>
            <w:hideMark/>
          </w:tcPr>
          <w:p w14:paraId="760BC3F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w:t>
            </w:r>
          </w:p>
        </w:tc>
        <w:tc>
          <w:tcPr>
            <w:tcW w:w="252" w:type="pct"/>
            <w:tcBorders>
              <w:top w:val="nil"/>
              <w:left w:val="nil"/>
              <w:bottom w:val="nil"/>
              <w:right w:val="nil"/>
            </w:tcBorders>
            <w:shd w:val="clear" w:color="auto" w:fill="FFFFFF" w:themeFill="background1"/>
            <w:noWrap/>
            <w:vAlign w:val="center"/>
            <w:hideMark/>
          </w:tcPr>
          <w:p w14:paraId="3C6A789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38.5</w:t>
            </w:r>
          </w:p>
        </w:tc>
        <w:tc>
          <w:tcPr>
            <w:tcW w:w="267" w:type="pct"/>
            <w:tcBorders>
              <w:top w:val="nil"/>
              <w:left w:val="nil"/>
              <w:bottom w:val="nil"/>
              <w:right w:val="nil"/>
            </w:tcBorders>
            <w:shd w:val="clear" w:color="auto" w:fill="FFFFFF" w:themeFill="background1"/>
            <w:noWrap/>
            <w:vAlign w:val="center"/>
            <w:hideMark/>
          </w:tcPr>
          <w:p w14:paraId="5BA0C47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61.5</w:t>
            </w:r>
          </w:p>
        </w:tc>
        <w:tc>
          <w:tcPr>
            <w:tcW w:w="252" w:type="pct"/>
            <w:tcBorders>
              <w:top w:val="nil"/>
              <w:left w:val="nil"/>
              <w:bottom w:val="nil"/>
              <w:right w:val="single" w:sz="8" w:space="0" w:color="auto"/>
            </w:tcBorders>
            <w:shd w:val="clear" w:color="auto" w:fill="FFFFFF" w:themeFill="background1"/>
            <w:vAlign w:val="center"/>
            <w:hideMark/>
          </w:tcPr>
          <w:p w14:paraId="419E0F5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9.4</w:t>
            </w:r>
          </w:p>
        </w:tc>
      </w:tr>
      <w:tr w:rsidR="00C827E3" w:rsidRPr="00435B6B" w14:paraId="212CED84"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446C956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Jelly (J)</w:t>
            </w:r>
          </w:p>
        </w:tc>
        <w:tc>
          <w:tcPr>
            <w:tcW w:w="160" w:type="pct"/>
            <w:tcBorders>
              <w:top w:val="nil"/>
              <w:left w:val="single" w:sz="4" w:space="0" w:color="auto"/>
              <w:bottom w:val="nil"/>
              <w:right w:val="nil"/>
            </w:tcBorders>
            <w:shd w:val="clear" w:color="auto" w:fill="FFFFFF" w:themeFill="background1"/>
            <w:noWrap/>
            <w:vAlign w:val="center"/>
            <w:hideMark/>
          </w:tcPr>
          <w:p w14:paraId="14ABE2C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2128217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1B98DA6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51FE704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2926917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47A6454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0BBF16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5529FDD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46FC557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59674B5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6AC2EAC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52B6A74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443BD20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0" w:type="pct"/>
            <w:tcBorders>
              <w:top w:val="nil"/>
              <w:left w:val="nil"/>
              <w:bottom w:val="nil"/>
              <w:right w:val="nil"/>
            </w:tcBorders>
            <w:shd w:val="clear" w:color="auto" w:fill="FFFFFF" w:themeFill="background1"/>
            <w:noWrap/>
            <w:vAlign w:val="center"/>
            <w:hideMark/>
          </w:tcPr>
          <w:p w14:paraId="45F4B60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57F7E47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nil"/>
            </w:tcBorders>
            <w:shd w:val="clear" w:color="auto" w:fill="FFFFFF" w:themeFill="background1"/>
            <w:noWrap/>
            <w:vAlign w:val="center"/>
            <w:hideMark/>
          </w:tcPr>
          <w:p w14:paraId="5C046C5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7" w:type="pct"/>
            <w:tcBorders>
              <w:top w:val="nil"/>
              <w:left w:val="nil"/>
              <w:bottom w:val="nil"/>
              <w:right w:val="nil"/>
            </w:tcBorders>
            <w:shd w:val="clear" w:color="auto" w:fill="FFFFFF" w:themeFill="background1"/>
            <w:noWrap/>
            <w:vAlign w:val="center"/>
            <w:hideMark/>
          </w:tcPr>
          <w:p w14:paraId="30BE226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2" w:type="pct"/>
            <w:tcBorders>
              <w:top w:val="nil"/>
              <w:left w:val="nil"/>
              <w:bottom w:val="nil"/>
              <w:right w:val="single" w:sz="8" w:space="0" w:color="auto"/>
            </w:tcBorders>
            <w:shd w:val="clear" w:color="auto" w:fill="FFFFFF" w:themeFill="background1"/>
            <w:vAlign w:val="center"/>
            <w:hideMark/>
          </w:tcPr>
          <w:p w14:paraId="093A6B2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r>
      <w:tr w:rsidR="00C827E3" w:rsidRPr="00435B6B" w14:paraId="0B69D041" w14:textId="77777777" w:rsidTr="001F4A34">
        <w:trPr>
          <w:trHeight w:val="480"/>
        </w:trPr>
        <w:tc>
          <w:tcPr>
            <w:tcW w:w="978" w:type="pct"/>
            <w:tcBorders>
              <w:top w:val="nil"/>
              <w:left w:val="single" w:sz="4" w:space="0" w:color="auto"/>
              <w:bottom w:val="nil"/>
              <w:right w:val="single" w:sz="4" w:space="0" w:color="auto"/>
            </w:tcBorders>
            <w:shd w:val="clear" w:color="auto" w:fill="FFFFFF" w:themeFill="background1"/>
            <w:vAlign w:val="center"/>
            <w:hideMark/>
          </w:tcPr>
          <w:p w14:paraId="53A0A59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A+B (recently-moulted)</w:t>
            </w:r>
          </w:p>
        </w:tc>
        <w:tc>
          <w:tcPr>
            <w:tcW w:w="160" w:type="pct"/>
            <w:tcBorders>
              <w:top w:val="nil"/>
              <w:left w:val="single" w:sz="4" w:space="0" w:color="auto"/>
              <w:bottom w:val="nil"/>
              <w:right w:val="nil"/>
            </w:tcBorders>
            <w:shd w:val="clear" w:color="auto" w:fill="FFFFFF" w:themeFill="background1"/>
            <w:noWrap/>
            <w:vAlign w:val="center"/>
            <w:hideMark/>
          </w:tcPr>
          <w:p w14:paraId="54FD540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160" w:type="pct"/>
            <w:tcBorders>
              <w:top w:val="nil"/>
              <w:left w:val="nil"/>
              <w:bottom w:val="nil"/>
              <w:right w:val="nil"/>
            </w:tcBorders>
            <w:shd w:val="clear" w:color="auto" w:fill="FFFFFF" w:themeFill="background1"/>
            <w:noWrap/>
            <w:vAlign w:val="center"/>
            <w:hideMark/>
          </w:tcPr>
          <w:p w14:paraId="158D063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248" w:type="pct"/>
            <w:tcBorders>
              <w:top w:val="nil"/>
              <w:left w:val="nil"/>
              <w:bottom w:val="nil"/>
              <w:right w:val="nil"/>
            </w:tcBorders>
            <w:shd w:val="clear" w:color="auto" w:fill="FFFFFF" w:themeFill="background1"/>
            <w:noWrap/>
            <w:vAlign w:val="center"/>
            <w:hideMark/>
          </w:tcPr>
          <w:p w14:paraId="5E33D02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252" w:type="pct"/>
            <w:tcBorders>
              <w:top w:val="nil"/>
              <w:left w:val="nil"/>
              <w:bottom w:val="nil"/>
              <w:right w:val="nil"/>
            </w:tcBorders>
            <w:shd w:val="clear" w:color="auto" w:fill="FFFFFF" w:themeFill="background1"/>
            <w:noWrap/>
            <w:vAlign w:val="center"/>
            <w:hideMark/>
          </w:tcPr>
          <w:p w14:paraId="04C6660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22.2</w:t>
            </w:r>
          </w:p>
        </w:tc>
        <w:tc>
          <w:tcPr>
            <w:tcW w:w="267" w:type="pct"/>
            <w:tcBorders>
              <w:top w:val="nil"/>
              <w:left w:val="nil"/>
              <w:bottom w:val="nil"/>
              <w:right w:val="nil"/>
            </w:tcBorders>
            <w:shd w:val="clear" w:color="auto" w:fill="FFFFFF" w:themeFill="background1"/>
            <w:noWrap/>
            <w:vAlign w:val="center"/>
            <w:hideMark/>
          </w:tcPr>
          <w:p w14:paraId="4A44006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77.8</w:t>
            </w:r>
          </w:p>
        </w:tc>
        <w:tc>
          <w:tcPr>
            <w:tcW w:w="252" w:type="pct"/>
            <w:tcBorders>
              <w:top w:val="nil"/>
              <w:left w:val="nil"/>
              <w:bottom w:val="nil"/>
              <w:right w:val="single" w:sz="8" w:space="0" w:color="auto"/>
            </w:tcBorders>
            <w:shd w:val="clear" w:color="auto" w:fill="FFFFFF" w:themeFill="background1"/>
            <w:vAlign w:val="center"/>
            <w:hideMark/>
          </w:tcPr>
          <w:p w14:paraId="2DD0CA5C" w14:textId="5AAF74A9"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w:t>
            </w:r>
          </w:p>
        </w:tc>
        <w:tc>
          <w:tcPr>
            <w:tcW w:w="160" w:type="pct"/>
            <w:tcBorders>
              <w:top w:val="nil"/>
              <w:left w:val="nil"/>
              <w:bottom w:val="nil"/>
              <w:right w:val="nil"/>
            </w:tcBorders>
            <w:shd w:val="clear" w:color="auto" w:fill="FFFFFF" w:themeFill="background1"/>
            <w:noWrap/>
            <w:vAlign w:val="center"/>
            <w:hideMark/>
          </w:tcPr>
          <w:p w14:paraId="3DEFFBD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0" w:type="pct"/>
            <w:tcBorders>
              <w:top w:val="nil"/>
              <w:left w:val="nil"/>
              <w:bottom w:val="nil"/>
              <w:right w:val="nil"/>
            </w:tcBorders>
            <w:shd w:val="clear" w:color="auto" w:fill="FFFFFF" w:themeFill="background1"/>
            <w:noWrap/>
            <w:vAlign w:val="center"/>
            <w:hideMark/>
          </w:tcPr>
          <w:p w14:paraId="3A9C7D4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48" w:type="pct"/>
            <w:tcBorders>
              <w:top w:val="nil"/>
              <w:left w:val="nil"/>
              <w:bottom w:val="nil"/>
              <w:right w:val="nil"/>
            </w:tcBorders>
            <w:shd w:val="clear" w:color="auto" w:fill="FFFFFF" w:themeFill="background1"/>
            <w:noWrap/>
            <w:vAlign w:val="center"/>
            <w:hideMark/>
          </w:tcPr>
          <w:p w14:paraId="2080074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52" w:type="pct"/>
            <w:tcBorders>
              <w:top w:val="nil"/>
              <w:left w:val="nil"/>
              <w:bottom w:val="nil"/>
              <w:right w:val="nil"/>
            </w:tcBorders>
            <w:shd w:val="clear" w:color="auto" w:fill="FFFFFF" w:themeFill="background1"/>
            <w:noWrap/>
            <w:vAlign w:val="center"/>
            <w:hideMark/>
          </w:tcPr>
          <w:p w14:paraId="6AA3345C" w14:textId="0437C2D4"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67" w:type="pct"/>
            <w:tcBorders>
              <w:top w:val="nil"/>
              <w:left w:val="nil"/>
              <w:bottom w:val="nil"/>
              <w:right w:val="nil"/>
            </w:tcBorders>
            <w:shd w:val="clear" w:color="auto" w:fill="FFFFFF" w:themeFill="background1"/>
            <w:noWrap/>
            <w:vAlign w:val="center"/>
            <w:hideMark/>
          </w:tcPr>
          <w:p w14:paraId="121C8EE8" w14:textId="6CDCC763"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52" w:type="pct"/>
            <w:tcBorders>
              <w:top w:val="nil"/>
              <w:left w:val="nil"/>
              <w:bottom w:val="nil"/>
              <w:right w:val="single" w:sz="8" w:space="0" w:color="auto"/>
            </w:tcBorders>
            <w:shd w:val="clear" w:color="auto" w:fill="FFFFFF" w:themeFill="background1"/>
            <w:vAlign w:val="center"/>
            <w:hideMark/>
          </w:tcPr>
          <w:p w14:paraId="6CA319D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1.4</w:t>
            </w:r>
          </w:p>
        </w:tc>
        <w:tc>
          <w:tcPr>
            <w:tcW w:w="160" w:type="pct"/>
            <w:tcBorders>
              <w:top w:val="nil"/>
              <w:left w:val="nil"/>
              <w:bottom w:val="nil"/>
              <w:right w:val="nil"/>
            </w:tcBorders>
            <w:shd w:val="clear" w:color="auto" w:fill="FFFFFF" w:themeFill="background1"/>
            <w:noWrap/>
            <w:vAlign w:val="center"/>
            <w:hideMark/>
          </w:tcPr>
          <w:p w14:paraId="4822685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160" w:type="pct"/>
            <w:tcBorders>
              <w:top w:val="nil"/>
              <w:left w:val="nil"/>
              <w:bottom w:val="nil"/>
              <w:right w:val="nil"/>
            </w:tcBorders>
            <w:shd w:val="clear" w:color="auto" w:fill="FFFFFF" w:themeFill="background1"/>
            <w:noWrap/>
            <w:vAlign w:val="center"/>
            <w:hideMark/>
          </w:tcPr>
          <w:p w14:paraId="6B092CA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248" w:type="pct"/>
            <w:tcBorders>
              <w:top w:val="nil"/>
              <w:left w:val="nil"/>
              <w:bottom w:val="nil"/>
              <w:right w:val="nil"/>
            </w:tcBorders>
            <w:shd w:val="clear" w:color="auto" w:fill="FFFFFF" w:themeFill="background1"/>
            <w:noWrap/>
            <w:vAlign w:val="center"/>
            <w:hideMark/>
          </w:tcPr>
          <w:p w14:paraId="5A0360E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252" w:type="pct"/>
            <w:tcBorders>
              <w:top w:val="nil"/>
              <w:left w:val="nil"/>
              <w:bottom w:val="nil"/>
              <w:right w:val="nil"/>
            </w:tcBorders>
            <w:shd w:val="clear" w:color="auto" w:fill="FFFFFF" w:themeFill="background1"/>
            <w:noWrap/>
            <w:vAlign w:val="center"/>
            <w:hideMark/>
          </w:tcPr>
          <w:p w14:paraId="4EA9748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25.0</w:t>
            </w:r>
          </w:p>
        </w:tc>
        <w:tc>
          <w:tcPr>
            <w:tcW w:w="267" w:type="pct"/>
            <w:tcBorders>
              <w:top w:val="nil"/>
              <w:left w:val="nil"/>
              <w:bottom w:val="nil"/>
              <w:right w:val="nil"/>
            </w:tcBorders>
            <w:shd w:val="clear" w:color="auto" w:fill="FFFFFF" w:themeFill="background1"/>
            <w:noWrap/>
            <w:vAlign w:val="center"/>
            <w:hideMark/>
          </w:tcPr>
          <w:p w14:paraId="55E84D7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75.0</w:t>
            </w:r>
          </w:p>
        </w:tc>
        <w:tc>
          <w:tcPr>
            <w:tcW w:w="252" w:type="pct"/>
            <w:tcBorders>
              <w:top w:val="nil"/>
              <w:left w:val="nil"/>
              <w:bottom w:val="nil"/>
              <w:right w:val="single" w:sz="8" w:space="0" w:color="auto"/>
            </w:tcBorders>
            <w:shd w:val="clear" w:color="auto" w:fill="FFFFFF" w:themeFill="background1"/>
            <w:vAlign w:val="center"/>
            <w:hideMark/>
          </w:tcPr>
          <w:p w14:paraId="4BF1843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8.6</w:t>
            </w:r>
          </w:p>
        </w:tc>
      </w:tr>
      <w:tr w:rsidR="00C827E3" w:rsidRPr="00435B6B" w14:paraId="1D1DE468"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75670FC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C (inter-moult)</w:t>
            </w:r>
          </w:p>
        </w:tc>
        <w:tc>
          <w:tcPr>
            <w:tcW w:w="160" w:type="pct"/>
            <w:tcBorders>
              <w:top w:val="nil"/>
              <w:left w:val="single" w:sz="4" w:space="0" w:color="auto"/>
              <w:bottom w:val="nil"/>
              <w:right w:val="nil"/>
            </w:tcBorders>
            <w:shd w:val="clear" w:color="auto" w:fill="FFFFFF" w:themeFill="background1"/>
            <w:noWrap/>
            <w:vAlign w:val="center"/>
            <w:hideMark/>
          </w:tcPr>
          <w:p w14:paraId="0DD507A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52</w:t>
            </w:r>
          </w:p>
        </w:tc>
        <w:tc>
          <w:tcPr>
            <w:tcW w:w="160" w:type="pct"/>
            <w:tcBorders>
              <w:top w:val="nil"/>
              <w:left w:val="nil"/>
              <w:bottom w:val="nil"/>
              <w:right w:val="nil"/>
            </w:tcBorders>
            <w:shd w:val="clear" w:color="auto" w:fill="FFFFFF" w:themeFill="background1"/>
            <w:noWrap/>
            <w:vAlign w:val="center"/>
            <w:hideMark/>
          </w:tcPr>
          <w:p w14:paraId="409475A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87</w:t>
            </w:r>
          </w:p>
        </w:tc>
        <w:tc>
          <w:tcPr>
            <w:tcW w:w="248" w:type="pct"/>
            <w:tcBorders>
              <w:top w:val="nil"/>
              <w:left w:val="nil"/>
              <w:bottom w:val="nil"/>
              <w:right w:val="nil"/>
            </w:tcBorders>
            <w:shd w:val="clear" w:color="auto" w:fill="FFFFFF" w:themeFill="background1"/>
            <w:noWrap/>
            <w:vAlign w:val="center"/>
            <w:hideMark/>
          </w:tcPr>
          <w:p w14:paraId="1A72608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139</w:t>
            </w:r>
          </w:p>
        </w:tc>
        <w:tc>
          <w:tcPr>
            <w:tcW w:w="252" w:type="pct"/>
            <w:tcBorders>
              <w:top w:val="nil"/>
              <w:left w:val="nil"/>
              <w:bottom w:val="nil"/>
              <w:right w:val="nil"/>
            </w:tcBorders>
            <w:shd w:val="clear" w:color="auto" w:fill="FFFFFF" w:themeFill="background1"/>
            <w:noWrap/>
            <w:vAlign w:val="center"/>
            <w:hideMark/>
          </w:tcPr>
          <w:p w14:paraId="30EE2B9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37.4</w:t>
            </w:r>
          </w:p>
        </w:tc>
        <w:tc>
          <w:tcPr>
            <w:tcW w:w="267" w:type="pct"/>
            <w:tcBorders>
              <w:top w:val="nil"/>
              <w:left w:val="nil"/>
              <w:bottom w:val="nil"/>
              <w:right w:val="nil"/>
            </w:tcBorders>
            <w:shd w:val="clear" w:color="auto" w:fill="FFFFFF" w:themeFill="background1"/>
            <w:noWrap/>
            <w:vAlign w:val="center"/>
            <w:hideMark/>
          </w:tcPr>
          <w:p w14:paraId="3C0AB55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62.6</w:t>
            </w:r>
          </w:p>
        </w:tc>
        <w:tc>
          <w:tcPr>
            <w:tcW w:w="252" w:type="pct"/>
            <w:tcBorders>
              <w:top w:val="nil"/>
              <w:left w:val="nil"/>
              <w:bottom w:val="nil"/>
              <w:right w:val="single" w:sz="8" w:space="0" w:color="auto"/>
            </w:tcBorders>
            <w:shd w:val="clear" w:color="auto" w:fill="FFFFFF" w:themeFill="background1"/>
            <w:vAlign w:val="center"/>
            <w:hideMark/>
          </w:tcPr>
          <w:p w14:paraId="01DCA08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92.7</w:t>
            </w:r>
          </w:p>
        </w:tc>
        <w:tc>
          <w:tcPr>
            <w:tcW w:w="160" w:type="pct"/>
            <w:tcBorders>
              <w:top w:val="nil"/>
              <w:left w:val="nil"/>
              <w:bottom w:val="nil"/>
              <w:right w:val="nil"/>
            </w:tcBorders>
            <w:shd w:val="clear" w:color="auto" w:fill="FFFFFF" w:themeFill="background1"/>
            <w:noWrap/>
            <w:vAlign w:val="center"/>
            <w:hideMark/>
          </w:tcPr>
          <w:p w14:paraId="0806480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52</w:t>
            </w:r>
          </w:p>
        </w:tc>
        <w:tc>
          <w:tcPr>
            <w:tcW w:w="160" w:type="pct"/>
            <w:tcBorders>
              <w:top w:val="nil"/>
              <w:left w:val="nil"/>
              <w:bottom w:val="nil"/>
              <w:right w:val="nil"/>
            </w:tcBorders>
            <w:shd w:val="clear" w:color="auto" w:fill="FFFFFF" w:themeFill="background1"/>
            <w:noWrap/>
            <w:vAlign w:val="center"/>
            <w:hideMark/>
          </w:tcPr>
          <w:p w14:paraId="74064C9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82</w:t>
            </w:r>
          </w:p>
        </w:tc>
        <w:tc>
          <w:tcPr>
            <w:tcW w:w="248" w:type="pct"/>
            <w:tcBorders>
              <w:top w:val="nil"/>
              <w:left w:val="nil"/>
              <w:bottom w:val="nil"/>
              <w:right w:val="nil"/>
            </w:tcBorders>
            <w:shd w:val="clear" w:color="auto" w:fill="FFFFFF" w:themeFill="background1"/>
            <w:noWrap/>
            <w:vAlign w:val="center"/>
            <w:hideMark/>
          </w:tcPr>
          <w:p w14:paraId="30B482E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134</w:t>
            </w:r>
          </w:p>
        </w:tc>
        <w:tc>
          <w:tcPr>
            <w:tcW w:w="252" w:type="pct"/>
            <w:tcBorders>
              <w:top w:val="nil"/>
              <w:left w:val="nil"/>
              <w:bottom w:val="nil"/>
              <w:right w:val="nil"/>
            </w:tcBorders>
            <w:shd w:val="clear" w:color="auto" w:fill="FFFFFF" w:themeFill="background1"/>
            <w:noWrap/>
            <w:vAlign w:val="center"/>
            <w:hideMark/>
          </w:tcPr>
          <w:p w14:paraId="180F9F6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38.8</w:t>
            </w:r>
          </w:p>
        </w:tc>
        <w:tc>
          <w:tcPr>
            <w:tcW w:w="267" w:type="pct"/>
            <w:tcBorders>
              <w:top w:val="nil"/>
              <w:left w:val="nil"/>
              <w:bottom w:val="nil"/>
              <w:right w:val="nil"/>
            </w:tcBorders>
            <w:shd w:val="clear" w:color="auto" w:fill="FFFFFF" w:themeFill="background1"/>
            <w:noWrap/>
            <w:vAlign w:val="center"/>
            <w:hideMark/>
          </w:tcPr>
          <w:p w14:paraId="2A6416E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61.2</w:t>
            </w:r>
          </w:p>
        </w:tc>
        <w:tc>
          <w:tcPr>
            <w:tcW w:w="252" w:type="pct"/>
            <w:tcBorders>
              <w:top w:val="nil"/>
              <w:left w:val="nil"/>
              <w:bottom w:val="nil"/>
              <w:right w:val="single" w:sz="8" w:space="0" w:color="auto"/>
            </w:tcBorders>
            <w:shd w:val="clear" w:color="auto" w:fill="FFFFFF" w:themeFill="background1"/>
            <w:vAlign w:val="center"/>
            <w:hideMark/>
          </w:tcPr>
          <w:p w14:paraId="5CD0656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95.0</w:t>
            </w:r>
          </w:p>
        </w:tc>
        <w:tc>
          <w:tcPr>
            <w:tcW w:w="160" w:type="pct"/>
            <w:tcBorders>
              <w:top w:val="nil"/>
              <w:left w:val="nil"/>
              <w:bottom w:val="nil"/>
              <w:right w:val="nil"/>
            </w:tcBorders>
            <w:shd w:val="clear" w:color="auto" w:fill="FFFFFF" w:themeFill="background1"/>
            <w:noWrap/>
            <w:vAlign w:val="center"/>
            <w:hideMark/>
          </w:tcPr>
          <w:p w14:paraId="41CE079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39</w:t>
            </w:r>
          </w:p>
        </w:tc>
        <w:tc>
          <w:tcPr>
            <w:tcW w:w="160" w:type="pct"/>
            <w:tcBorders>
              <w:top w:val="nil"/>
              <w:left w:val="nil"/>
              <w:bottom w:val="nil"/>
              <w:right w:val="nil"/>
            </w:tcBorders>
            <w:shd w:val="clear" w:color="auto" w:fill="FFFFFF" w:themeFill="background1"/>
            <w:noWrap/>
            <w:vAlign w:val="center"/>
            <w:hideMark/>
          </w:tcPr>
          <w:p w14:paraId="18050A8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84</w:t>
            </w:r>
          </w:p>
        </w:tc>
        <w:tc>
          <w:tcPr>
            <w:tcW w:w="248" w:type="pct"/>
            <w:tcBorders>
              <w:top w:val="nil"/>
              <w:left w:val="nil"/>
              <w:bottom w:val="nil"/>
              <w:right w:val="nil"/>
            </w:tcBorders>
            <w:shd w:val="clear" w:color="auto" w:fill="FFFFFF" w:themeFill="background1"/>
            <w:noWrap/>
            <w:vAlign w:val="center"/>
            <w:hideMark/>
          </w:tcPr>
          <w:p w14:paraId="147200D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123</w:t>
            </w:r>
          </w:p>
        </w:tc>
        <w:tc>
          <w:tcPr>
            <w:tcW w:w="252" w:type="pct"/>
            <w:tcBorders>
              <w:top w:val="nil"/>
              <w:left w:val="nil"/>
              <w:bottom w:val="nil"/>
              <w:right w:val="nil"/>
            </w:tcBorders>
            <w:shd w:val="clear" w:color="auto" w:fill="FFFFFF" w:themeFill="background1"/>
            <w:noWrap/>
            <w:vAlign w:val="center"/>
            <w:hideMark/>
          </w:tcPr>
          <w:p w14:paraId="7496EE2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31.7</w:t>
            </w:r>
          </w:p>
        </w:tc>
        <w:tc>
          <w:tcPr>
            <w:tcW w:w="267" w:type="pct"/>
            <w:tcBorders>
              <w:top w:val="nil"/>
              <w:left w:val="nil"/>
              <w:bottom w:val="nil"/>
              <w:right w:val="nil"/>
            </w:tcBorders>
            <w:shd w:val="clear" w:color="auto" w:fill="FFFFFF" w:themeFill="background1"/>
            <w:noWrap/>
            <w:vAlign w:val="center"/>
            <w:hideMark/>
          </w:tcPr>
          <w:p w14:paraId="5D3A406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68.3</w:t>
            </w:r>
          </w:p>
        </w:tc>
        <w:tc>
          <w:tcPr>
            <w:tcW w:w="252" w:type="pct"/>
            <w:tcBorders>
              <w:top w:val="nil"/>
              <w:left w:val="nil"/>
              <w:bottom w:val="nil"/>
              <w:right w:val="single" w:sz="8" w:space="0" w:color="auto"/>
            </w:tcBorders>
            <w:shd w:val="clear" w:color="auto" w:fill="FFFFFF" w:themeFill="background1"/>
            <w:vAlign w:val="center"/>
            <w:hideMark/>
          </w:tcPr>
          <w:p w14:paraId="1EC5962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88.5</w:t>
            </w:r>
          </w:p>
        </w:tc>
      </w:tr>
      <w:tr w:rsidR="00C827E3" w:rsidRPr="00435B6B" w14:paraId="49147E5C"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1ED030E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D (pre-moult)</w:t>
            </w:r>
          </w:p>
        </w:tc>
        <w:tc>
          <w:tcPr>
            <w:tcW w:w="160" w:type="pct"/>
            <w:tcBorders>
              <w:top w:val="nil"/>
              <w:left w:val="single" w:sz="4" w:space="0" w:color="auto"/>
              <w:bottom w:val="nil"/>
              <w:right w:val="nil"/>
            </w:tcBorders>
            <w:shd w:val="clear" w:color="auto" w:fill="FFFFFF" w:themeFill="background1"/>
            <w:noWrap/>
            <w:vAlign w:val="center"/>
            <w:hideMark/>
          </w:tcPr>
          <w:p w14:paraId="33F05CC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0" w:type="pct"/>
            <w:tcBorders>
              <w:top w:val="nil"/>
              <w:left w:val="nil"/>
              <w:bottom w:val="nil"/>
              <w:right w:val="nil"/>
            </w:tcBorders>
            <w:shd w:val="clear" w:color="auto" w:fill="FFFFFF" w:themeFill="background1"/>
            <w:noWrap/>
            <w:vAlign w:val="center"/>
            <w:hideMark/>
          </w:tcPr>
          <w:p w14:paraId="27239F0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48" w:type="pct"/>
            <w:tcBorders>
              <w:top w:val="nil"/>
              <w:left w:val="nil"/>
              <w:bottom w:val="nil"/>
              <w:right w:val="nil"/>
            </w:tcBorders>
            <w:shd w:val="clear" w:color="auto" w:fill="FFFFFF" w:themeFill="background1"/>
            <w:noWrap/>
            <w:vAlign w:val="center"/>
            <w:hideMark/>
          </w:tcPr>
          <w:p w14:paraId="1C99730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52" w:type="pct"/>
            <w:tcBorders>
              <w:top w:val="nil"/>
              <w:left w:val="nil"/>
              <w:bottom w:val="nil"/>
              <w:right w:val="nil"/>
            </w:tcBorders>
            <w:shd w:val="clear" w:color="auto" w:fill="FFFFFF" w:themeFill="background1"/>
            <w:noWrap/>
            <w:vAlign w:val="center"/>
            <w:hideMark/>
          </w:tcPr>
          <w:p w14:paraId="45DE2A42" w14:textId="51F87A53"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67" w:type="pct"/>
            <w:tcBorders>
              <w:top w:val="nil"/>
              <w:left w:val="nil"/>
              <w:bottom w:val="nil"/>
              <w:right w:val="nil"/>
            </w:tcBorders>
            <w:shd w:val="clear" w:color="auto" w:fill="FFFFFF" w:themeFill="background1"/>
            <w:noWrap/>
            <w:vAlign w:val="center"/>
            <w:hideMark/>
          </w:tcPr>
          <w:p w14:paraId="7707FC97" w14:textId="0759BCD9"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52" w:type="pct"/>
            <w:tcBorders>
              <w:top w:val="nil"/>
              <w:left w:val="nil"/>
              <w:bottom w:val="nil"/>
              <w:right w:val="single" w:sz="8" w:space="0" w:color="auto"/>
            </w:tcBorders>
            <w:shd w:val="clear" w:color="auto" w:fill="FFFFFF" w:themeFill="background1"/>
            <w:vAlign w:val="center"/>
            <w:hideMark/>
          </w:tcPr>
          <w:p w14:paraId="08722C2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w:t>
            </w:r>
          </w:p>
        </w:tc>
        <w:tc>
          <w:tcPr>
            <w:tcW w:w="160" w:type="pct"/>
            <w:tcBorders>
              <w:top w:val="nil"/>
              <w:left w:val="nil"/>
              <w:bottom w:val="nil"/>
              <w:right w:val="nil"/>
            </w:tcBorders>
            <w:shd w:val="clear" w:color="auto" w:fill="FFFFFF" w:themeFill="background1"/>
            <w:noWrap/>
            <w:vAlign w:val="center"/>
            <w:hideMark/>
          </w:tcPr>
          <w:p w14:paraId="1F14EBC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0" w:type="pct"/>
            <w:tcBorders>
              <w:top w:val="nil"/>
              <w:left w:val="nil"/>
              <w:bottom w:val="nil"/>
              <w:right w:val="nil"/>
            </w:tcBorders>
            <w:shd w:val="clear" w:color="auto" w:fill="FFFFFF" w:themeFill="background1"/>
            <w:noWrap/>
            <w:vAlign w:val="center"/>
            <w:hideMark/>
          </w:tcPr>
          <w:p w14:paraId="00A4E9D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48" w:type="pct"/>
            <w:tcBorders>
              <w:top w:val="nil"/>
              <w:left w:val="nil"/>
              <w:bottom w:val="nil"/>
              <w:right w:val="nil"/>
            </w:tcBorders>
            <w:shd w:val="clear" w:color="auto" w:fill="FFFFFF" w:themeFill="background1"/>
            <w:noWrap/>
            <w:vAlign w:val="center"/>
            <w:hideMark/>
          </w:tcPr>
          <w:p w14:paraId="51AB7C5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252" w:type="pct"/>
            <w:tcBorders>
              <w:top w:val="nil"/>
              <w:left w:val="nil"/>
              <w:bottom w:val="nil"/>
              <w:right w:val="nil"/>
            </w:tcBorders>
            <w:shd w:val="clear" w:color="auto" w:fill="FFFFFF" w:themeFill="background1"/>
            <w:noWrap/>
            <w:vAlign w:val="center"/>
            <w:hideMark/>
          </w:tcPr>
          <w:p w14:paraId="3ACE58B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20.0</w:t>
            </w:r>
          </w:p>
        </w:tc>
        <w:tc>
          <w:tcPr>
            <w:tcW w:w="267" w:type="pct"/>
            <w:tcBorders>
              <w:top w:val="nil"/>
              <w:left w:val="nil"/>
              <w:bottom w:val="nil"/>
              <w:right w:val="nil"/>
            </w:tcBorders>
            <w:shd w:val="clear" w:color="auto" w:fill="FFFFFF" w:themeFill="background1"/>
            <w:noWrap/>
            <w:vAlign w:val="center"/>
            <w:hideMark/>
          </w:tcPr>
          <w:p w14:paraId="192E6FDA" w14:textId="4A35B32C"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80</w:t>
            </w:r>
          </w:p>
        </w:tc>
        <w:tc>
          <w:tcPr>
            <w:tcW w:w="252" w:type="pct"/>
            <w:tcBorders>
              <w:top w:val="nil"/>
              <w:left w:val="nil"/>
              <w:bottom w:val="nil"/>
              <w:right w:val="single" w:sz="8" w:space="0" w:color="auto"/>
            </w:tcBorders>
            <w:shd w:val="clear" w:color="auto" w:fill="FFFFFF" w:themeFill="background1"/>
            <w:vAlign w:val="center"/>
            <w:hideMark/>
          </w:tcPr>
          <w:p w14:paraId="2585ABF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3.5</w:t>
            </w:r>
          </w:p>
        </w:tc>
        <w:tc>
          <w:tcPr>
            <w:tcW w:w="160" w:type="pct"/>
            <w:tcBorders>
              <w:top w:val="nil"/>
              <w:left w:val="nil"/>
              <w:bottom w:val="nil"/>
              <w:right w:val="nil"/>
            </w:tcBorders>
            <w:shd w:val="clear" w:color="auto" w:fill="FFFFFF" w:themeFill="background1"/>
            <w:noWrap/>
            <w:vAlign w:val="center"/>
            <w:hideMark/>
          </w:tcPr>
          <w:p w14:paraId="14236EF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160" w:type="pct"/>
            <w:tcBorders>
              <w:top w:val="nil"/>
              <w:left w:val="nil"/>
              <w:bottom w:val="nil"/>
              <w:right w:val="nil"/>
            </w:tcBorders>
            <w:shd w:val="clear" w:color="auto" w:fill="FFFFFF" w:themeFill="background1"/>
            <w:noWrap/>
            <w:vAlign w:val="center"/>
            <w:hideMark/>
          </w:tcPr>
          <w:p w14:paraId="2E65993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0AB4448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52" w:type="pct"/>
            <w:tcBorders>
              <w:top w:val="nil"/>
              <w:left w:val="nil"/>
              <w:bottom w:val="nil"/>
              <w:right w:val="nil"/>
            </w:tcBorders>
            <w:shd w:val="clear" w:color="auto" w:fill="FFFFFF" w:themeFill="background1"/>
            <w:noWrap/>
            <w:vAlign w:val="center"/>
            <w:hideMark/>
          </w:tcPr>
          <w:p w14:paraId="40B6A01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7" w:type="pct"/>
            <w:tcBorders>
              <w:top w:val="nil"/>
              <w:left w:val="nil"/>
              <w:bottom w:val="nil"/>
              <w:right w:val="nil"/>
            </w:tcBorders>
            <w:shd w:val="clear" w:color="auto" w:fill="FFFFFF" w:themeFill="background1"/>
            <w:noWrap/>
            <w:vAlign w:val="center"/>
            <w:hideMark/>
          </w:tcPr>
          <w:p w14:paraId="3927E45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0.0</w:t>
            </w:r>
          </w:p>
        </w:tc>
        <w:tc>
          <w:tcPr>
            <w:tcW w:w="252" w:type="pct"/>
            <w:tcBorders>
              <w:top w:val="nil"/>
              <w:left w:val="nil"/>
              <w:bottom w:val="nil"/>
              <w:right w:val="single" w:sz="8" w:space="0" w:color="auto"/>
            </w:tcBorders>
            <w:shd w:val="clear" w:color="auto" w:fill="FFFFFF" w:themeFill="background1"/>
            <w:vAlign w:val="center"/>
            <w:hideMark/>
          </w:tcPr>
          <w:p w14:paraId="4A70164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2.9</w:t>
            </w:r>
          </w:p>
        </w:tc>
      </w:tr>
      <w:tr w:rsidR="00C827E3" w:rsidRPr="00435B6B" w14:paraId="16A45E5D" w14:textId="77777777" w:rsidTr="001F4A34">
        <w:trPr>
          <w:trHeight w:val="255"/>
        </w:trPr>
        <w:tc>
          <w:tcPr>
            <w:tcW w:w="978" w:type="pct"/>
            <w:tcBorders>
              <w:top w:val="nil"/>
              <w:left w:val="single" w:sz="4" w:space="0" w:color="auto"/>
              <w:bottom w:val="single" w:sz="8" w:space="0" w:color="auto"/>
              <w:right w:val="single" w:sz="4" w:space="0" w:color="auto"/>
            </w:tcBorders>
            <w:shd w:val="clear" w:color="auto" w:fill="FFFFFF" w:themeFill="background1"/>
            <w:vAlign w:val="center"/>
            <w:hideMark/>
          </w:tcPr>
          <w:p w14:paraId="324068F6" w14:textId="77777777" w:rsidR="003421D4" w:rsidRPr="009819CE" w:rsidRDefault="003421D4" w:rsidP="00AB5EC8">
            <w:pPr>
              <w:spacing w:before="0" w:after="0" w:line="240" w:lineRule="auto"/>
              <w:jc w:val="center"/>
              <w:rPr>
                <w:rFonts w:cstheme="minorBidi"/>
                <w:b/>
                <w:bCs/>
                <w:color w:val="000000"/>
                <w:sz w:val="18"/>
                <w:szCs w:val="18"/>
              </w:rPr>
            </w:pPr>
            <w:r w:rsidRPr="009819CE">
              <w:rPr>
                <w:rFonts w:cstheme="minorBidi"/>
                <w:b/>
                <w:bCs/>
                <w:color w:val="000000"/>
                <w:sz w:val="18"/>
                <w:szCs w:val="18"/>
              </w:rPr>
              <w:t>Size parameter</w:t>
            </w:r>
          </w:p>
        </w:tc>
        <w:tc>
          <w:tcPr>
            <w:tcW w:w="160" w:type="pct"/>
            <w:tcBorders>
              <w:top w:val="nil"/>
              <w:left w:val="single" w:sz="4" w:space="0" w:color="auto"/>
              <w:bottom w:val="single" w:sz="8" w:space="0" w:color="auto"/>
              <w:right w:val="nil"/>
            </w:tcBorders>
            <w:shd w:val="clear" w:color="auto" w:fill="FFFFFF" w:themeFill="background1"/>
            <w:vAlign w:val="center"/>
            <w:hideMark/>
          </w:tcPr>
          <w:p w14:paraId="6C078187"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770101EA"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vAlign w:val="center"/>
            <w:hideMark/>
          </w:tcPr>
          <w:p w14:paraId="7CB3612B"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vAlign w:val="center"/>
            <w:hideMark/>
          </w:tcPr>
          <w:p w14:paraId="08A3B5DF"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vAlign w:val="center"/>
            <w:hideMark/>
          </w:tcPr>
          <w:p w14:paraId="0B84DA3F"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02B55924"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02295AAD"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078852DB"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noWrap/>
            <w:vAlign w:val="center"/>
            <w:hideMark/>
          </w:tcPr>
          <w:p w14:paraId="13DF41EC"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noWrap/>
            <w:vAlign w:val="center"/>
            <w:hideMark/>
          </w:tcPr>
          <w:p w14:paraId="76F0A695"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noWrap/>
            <w:vAlign w:val="center"/>
            <w:hideMark/>
          </w:tcPr>
          <w:p w14:paraId="0933A474"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1D389D08"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1FECF9CD" w14:textId="77777777" w:rsidR="003421D4" w:rsidRPr="009819CE" w:rsidRDefault="003421D4" w:rsidP="00AB5EC8">
            <w:pPr>
              <w:spacing w:before="0" w:after="0" w:line="240" w:lineRule="auto"/>
              <w:jc w:val="center"/>
              <w:rPr>
                <w:rFonts w:cstheme="minorBidi"/>
                <w:color w:val="000000"/>
                <w:sz w:val="18"/>
                <w:szCs w:val="18"/>
              </w:rPr>
            </w:pPr>
          </w:p>
        </w:tc>
        <w:tc>
          <w:tcPr>
            <w:tcW w:w="160" w:type="pct"/>
            <w:tcBorders>
              <w:top w:val="nil"/>
              <w:left w:val="nil"/>
              <w:bottom w:val="single" w:sz="8" w:space="0" w:color="auto"/>
              <w:right w:val="nil"/>
            </w:tcBorders>
            <w:shd w:val="clear" w:color="auto" w:fill="FFFFFF" w:themeFill="background1"/>
            <w:vAlign w:val="center"/>
            <w:hideMark/>
          </w:tcPr>
          <w:p w14:paraId="6137E24C" w14:textId="77777777" w:rsidR="003421D4" w:rsidRPr="009819CE" w:rsidRDefault="003421D4" w:rsidP="00AB5EC8">
            <w:pPr>
              <w:spacing w:before="0" w:after="0" w:line="240" w:lineRule="auto"/>
              <w:jc w:val="center"/>
              <w:rPr>
                <w:rFonts w:cstheme="minorBidi"/>
                <w:color w:val="000000"/>
                <w:sz w:val="18"/>
                <w:szCs w:val="18"/>
              </w:rPr>
            </w:pPr>
          </w:p>
        </w:tc>
        <w:tc>
          <w:tcPr>
            <w:tcW w:w="248" w:type="pct"/>
            <w:tcBorders>
              <w:top w:val="nil"/>
              <w:left w:val="nil"/>
              <w:bottom w:val="single" w:sz="8" w:space="0" w:color="auto"/>
              <w:right w:val="nil"/>
            </w:tcBorders>
            <w:shd w:val="clear" w:color="auto" w:fill="FFFFFF" w:themeFill="background1"/>
            <w:noWrap/>
            <w:vAlign w:val="center"/>
            <w:hideMark/>
          </w:tcPr>
          <w:p w14:paraId="37F1599F"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nil"/>
            </w:tcBorders>
            <w:shd w:val="clear" w:color="auto" w:fill="FFFFFF" w:themeFill="background1"/>
            <w:noWrap/>
            <w:vAlign w:val="center"/>
            <w:hideMark/>
          </w:tcPr>
          <w:p w14:paraId="410804B3" w14:textId="77777777" w:rsidR="003421D4" w:rsidRPr="009819CE" w:rsidRDefault="003421D4" w:rsidP="00AB5EC8">
            <w:pPr>
              <w:spacing w:before="0" w:after="0" w:line="240" w:lineRule="auto"/>
              <w:jc w:val="center"/>
              <w:rPr>
                <w:rFonts w:cstheme="minorBidi"/>
                <w:color w:val="000000"/>
                <w:sz w:val="18"/>
                <w:szCs w:val="18"/>
              </w:rPr>
            </w:pPr>
          </w:p>
        </w:tc>
        <w:tc>
          <w:tcPr>
            <w:tcW w:w="267" w:type="pct"/>
            <w:tcBorders>
              <w:top w:val="nil"/>
              <w:left w:val="nil"/>
              <w:bottom w:val="single" w:sz="8" w:space="0" w:color="auto"/>
              <w:right w:val="nil"/>
            </w:tcBorders>
            <w:shd w:val="clear" w:color="auto" w:fill="FFFFFF" w:themeFill="background1"/>
            <w:noWrap/>
            <w:vAlign w:val="center"/>
            <w:hideMark/>
          </w:tcPr>
          <w:p w14:paraId="6BA91BFE" w14:textId="77777777" w:rsidR="003421D4" w:rsidRPr="009819CE" w:rsidRDefault="003421D4" w:rsidP="00AB5EC8">
            <w:pPr>
              <w:spacing w:before="0" w:after="0" w:line="240" w:lineRule="auto"/>
              <w:jc w:val="center"/>
              <w:rPr>
                <w:rFonts w:cstheme="minorBidi"/>
                <w:color w:val="000000"/>
                <w:sz w:val="18"/>
                <w:szCs w:val="18"/>
              </w:rPr>
            </w:pP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51A3DEBA" w14:textId="77777777" w:rsidR="003421D4" w:rsidRPr="009819CE" w:rsidRDefault="003421D4" w:rsidP="00AB5EC8">
            <w:pPr>
              <w:spacing w:before="0" w:after="0" w:line="240" w:lineRule="auto"/>
              <w:jc w:val="center"/>
              <w:rPr>
                <w:rFonts w:cstheme="minorBidi"/>
                <w:color w:val="000000"/>
                <w:sz w:val="18"/>
                <w:szCs w:val="18"/>
              </w:rPr>
            </w:pPr>
          </w:p>
        </w:tc>
      </w:tr>
      <w:tr w:rsidR="00C827E3" w:rsidRPr="00435B6B" w14:paraId="491F7A5E"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3AC4D2A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SOM immature</w:t>
            </w:r>
          </w:p>
        </w:tc>
        <w:tc>
          <w:tcPr>
            <w:tcW w:w="160" w:type="pct"/>
            <w:tcBorders>
              <w:top w:val="nil"/>
              <w:left w:val="single" w:sz="4" w:space="0" w:color="auto"/>
              <w:bottom w:val="nil"/>
              <w:right w:val="nil"/>
            </w:tcBorders>
            <w:shd w:val="clear" w:color="auto" w:fill="FFFFFF" w:themeFill="background1"/>
            <w:vAlign w:val="center"/>
            <w:hideMark/>
          </w:tcPr>
          <w:p w14:paraId="2BD130D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19</w:t>
            </w:r>
          </w:p>
        </w:tc>
        <w:tc>
          <w:tcPr>
            <w:tcW w:w="160" w:type="pct"/>
            <w:tcBorders>
              <w:top w:val="nil"/>
              <w:left w:val="nil"/>
              <w:bottom w:val="nil"/>
              <w:right w:val="nil"/>
            </w:tcBorders>
            <w:shd w:val="clear" w:color="auto" w:fill="FFFFFF" w:themeFill="background1"/>
            <w:vAlign w:val="center"/>
            <w:hideMark/>
          </w:tcPr>
          <w:p w14:paraId="134BBDD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49</w:t>
            </w:r>
          </w:p>
        </w:tc>
        <w:tc>
          <w:tcPr>
            <w:tcW w:w="248" w:type="pct"/>
            <w:tcBorders>
              <w:top w:val="nil"/>
              <w:left w:val="nil"/>
              <w:bottom w:val="nil"/>
              <w:right w:val="nil"/>
            </w:tcBorders>
            <w:shd w:val="clear" w:color="auto" w:fill="FFFFFF" w:themeFill="background1"/>
            <w:noWrap/>
            <w:vAlign w:val="center"/>
            <w:hideMark/>
          </w:tcPr>
          <w:p w14:paraId="5BBDAB4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68</w:t>
            </w:r>
          </w:p>
        </w:tc>
        <w:tc>
          <w:tcPr>
            <w:tcW w:w="252" w:type="pct"/>
            <w:tcBorders>
              <w:top w:val="nil"/>
              <w:left w:val="nil"/>
              <w:bottom w:val="nil"/>
              <w:right w:val="nil"/>
            </w:tcBorders>
            <w:shd w:val="clear" w:color="auto" w:fill="FFFFFF" w:themeFill="background1"/>
            <w:noWrap/>
            <w:vAlign w:val="center"/>
            <w:hideMark/>
          </w:tcPr>
          <w:p w14:paraId="165FBC8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27.9</w:t>
            </w:r>
          </w:p>
        </w:tc>
        <w:tc>
          <w:tcPr>
            <w:tcW w:w="267" w:type="pct"/>
            <w:tcBorders>
              <w:top w:val="nil"/>
              <w:left w:val="nil"/>
              <w:bottom w:val="nil"/>
              <w:right w:val="nil"/>
            </w:tcBorders>
            <w:shd w:val="clear" w:color="auto" w:fill="FFFFFF" w:themeFill="background1"/>
            <w:noWrap/>
            <w:vAlign w:val="center"/>
            <w:hideMark/>
          </w:tcPr>
          <w:p w14:paraId="71D0275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72.1</w:t>
            </w:r>
          </w:p>
        </w:tc>
        <w:tc>
          <w:tcPr>
            <w:tcW w:w="252" w:type="pct"/>
            <w:tcBorders>
              <w:top w:val="nil"/>
              <w:left w:val="nil"/>
              <w:bottom w:val="nil"/>
              <w:right w:val="single" w:sz="8" w:space="0" w:color="auto"/>
            </w:tcBorders>
            <w:shd w:val="clear" w:color="auto" w:fill="FFFFFF" w:themeFill="background1"/>
            <w:vAlign w:val="center"/>
            <w:hideMark/>
          </w:tcPr>
          <w:p w14:paraId="5981F31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45.3</w:t>
            </w:r>
          </w:p>
        </w:tc>
        <w:tc>
          <w:tcPr>
            <w:tcW w:w="160" w:type="pct"/>
            <w:tcBorders>
              <w:top w:val="nil"/>
              <w:left w:val="nil"/>
              <w:bottom w:val="nil"/>
              <w:right w:val="nil"/>
            </w:tcBorders>
            <w:shd w:val="clear" w:color="auto" w:fill="FFFFFF" w:themeFill="background1"/>
            <w:vAlign w:val="center"/>
            <w:hideMark/>
          </w:tcPr>
          <w:p w14:paraId="6957CC7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160" w:type="pct"/>
            <w:tcBorders>
              <w:top w:val="nil"/>
              <w:left w:val="nil"/>
              <w:bottom w:val="nil"/>
              <w:right w:val="nil"/>
            </w:tcBorders>
            <w:shd w:val="clear" w:color="auto" w:fill="FFFFFF" w:themeFill="background1"/>
            <w:vAlign w:val="center"/>
            <w:hideMark/>
          </w:tcPr>
          <w:p w14:paraId="684AD40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38</w:t>
            </w:r>
          </w:p>
        </w:tc>
        <w:tc>
          <w:tcPr>
            <w:tcW w:w="248" w:type="pct"/>
            <w:tcBorders>
              <w:top w:val="nil"/>
              <w:left w:val="nil"/>
              <w:bottom w:val="nil"/>
              <w:right w:val="nil"/>
            </w:tcBorders>
            <w:shd w:val="clear" w:color="auto" w:fill="FFFFFF" w:themeFill="background1"/>
            <w:noWrap/>
            <w:vAlign w:val="center"/>
            <w:hideMark/>
          </w:tcPr>
          <w:p w14:paraId="19B50D9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52" w:type="pct"/>
            <w:tcBorders>
              <w:top w:val="nil"/>
              <w:left w:val="nil"/>
              <w:bottom w:val="nil"/>
              <w:right w:val="nil"/>
            </w:tcBorders>
            <w:shd w:val="clear" w:color="auto" w:fill="FFFFFF" w:themeFill="background1"/>
            <w:noWrap/>
            <w:vAlign w:val="center"/>
            <w:hideMark/>
          </w:tcPr>
          <w:p w14:paraId="51D7867D" w14:textId="2787029B"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24</w:t>
            </w:r>
          </w:p>
        </w:tc>
        <w:tc>
          <w:tcPr>
            <w:tcW w:w="267" w:type="pct"/>
            <w:tcBorders>
              <w:top w:val="nil"/>
              <w:left w:val="nil"/>
              <w:bottom w:val="nil"/>
              <w:right w:val="nil"/>
            </w:tcBorders>
            <w:shd w:val="clear" w:color="auto" w:fill="FFFFFF" w:themeFill="background1"/>
            <w:noWrap/>
            <w:vAlign w:val="center"/>
            <w:hideMark/>
          </w:tcPr>
          <w:p w14:paraId="544F566E" w14:textId="36276F96"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76</w:t>
            </w:r>
          </w:p>
        </w:tc>
        <w:tc>
          <w:tcPr>
            <w:tcW w:w="252" w:type="pct"/>
            <w:tcBorders>
              <w:top w:val="nil"/>
              <w:left w:val="nil"/>
              <w:bottom w:val="nil"/>
              <w:right w:val="single" w:sz="8" w:space="0" w:color="auto"/>
            </w:tcBorders>
            <w:shd w:val="clear" w:color="auto" w:fill="FFFFFF" w:themeFill="background1"/>
            <w:vAlign w:val="center"/>
            <w:hideMark/>
          </w:tcPr>
          <w:p w14:paraId="02B39ED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35.5</w:t>
            </w:r>
          </w:p>
        </w:tc>
        <w:tc>
          <w:tcPr>
            <w:tcW w:w="160" w:type="pct"/>
            <w:tcBorders>
              <w:top w:val="nil"/>
              <w:left w:val="nil"/>
              <w:bottom w:val="nil"/>
              <w:right w:val="nil"/>
            </w:tcBorders>
            <w:shd w:val="clear" w:color="auto" w:fill="FFFFFF" w:themeFill="background1"/>
            <w:vAlign w:val="center"/>
            <w:hideMark/>
          </w:tcPr>
          <w:p w14:paraId="3FE07E2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160" w:type="pct"/>
            <w:tcBorders>
              <w:top w:val="nil"/>
              <w:left w:val="nil"/>
              <w:bottom w:val="nil"/>
              <w:right w:val="nil"/>
            </w:tcBorders>
            <w:shd w:val="clear" w:color="auto" w:fill="FFFFFF" w:themeFill="background1"/>
            <w:vAlign w:val="center"/>
            <w:hideMark/>
          </w:tcPr>
          <w:p w14:paraId="2253BFC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22</w:t>
            </w:r>
          </w:p>
        </w:tc>
        <w:tc>
          <w:tcPr>
            <w:tcW w:w="248" w:type="pct"/>
            <w:tcBorders>
              <w:top w:val="nil"/>
              <w:left w:val="nil"/>
              <w:bottom w:val="nil"/>
              <w:right w:val="nil"/>
            </w:tcBorders>
            <w:shd w:val="clear" w:color="auto" w:fill="FFFFFF" w:themeFill="background1"/>
            <w:noWrap/>
            <w:vAlign w:val="center"/>
            <w:hideMark/>
          </w:tcPr>
          <w:p w14:paraId="01F06B6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33</w:t>
            </w:r>
          </w:p>
        </w:tc>
        <w:tc>
          <w:tcPr>
            <w:tcW w:w="252" w:type="pct"/>
            <w:tcBorders>
              <w:top w:val="nil"/>
              <w:left w:val="nil"/>
              <w:bottom w:val="nil"/>
              <w:right w:val="nil"/>
            </w:tcBorders>
            <w:shd w:val="clear" w:color="auto" w:fill="FFFFFF" w:themeFill="background1"/>
            <w:noWrap/>
            <w:vAlign w:val="center"/>
            <w:hideMark/>
          </w:tcPr>
          <w:p w14:paraId="7F55979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33.3</w:t>
            </w:r>
          </w:p>
        </w:tc>
        <w:tc>
          <w:tcPr>
            <w:tcW w:w="267" w:type="pct"/>
            <w:tcBorders>
              <w:top w:val="nil"/>
              <w:left w:val="nil"/>
              <w:bottom w:val="nil"/>
              <w:right w:val="nil"/>
            </w:tcBorders>
            <w:shd w:val="clear" w:color="auto" w:fill="FFFFFF" w:themeFill="background1"/>
            <w:noWrap/>
            <w:vAlign w:val="center"/>
            <w:hideMark/>
          </w:tcPr>
          <w:p w14:paraId="11A5BD7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66.7</w:t>
            </w:r>
          </w:p>
        </w:tc>
        <w:tc>
          <w:tcPr>
            <w:tcW w:w="252" w:type="pct"/>
            <w:tcBorders>
              <w:top w:val="nil"/>
              <w:left w:val="nil"/>
              <w:bottom w:val="nil"/>
              <w:right w:val="single" w:sz="8" w:space="0" w:color="auto"/>
            </w:tcBorders>
            <w:shd w:val="clear" w:color="auto" w:fill="FFFFFF" w:themeFill="background1"/>
            <w:vAlign w:val="center"/>
            <w:hideMark/>
          </w:tcPr>
          <w:p w14:paraId="1E62A34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23.7</w:t>
            </w:r>
          </w:p>
        </w:tc>
      </w:tr>
      <w:tr w:rsidR="00C827E3" w:rsidRPr="00435B6B" w14:paraId="084F634C"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57A6473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SOM mature</w:t>
            </w:r>
          </w:p>
        </w:tc>
        <w:tc>
          <w:tcPr>
            <w:tcW w:w="160" w:type="pct"/>
            <w:tcBorders>
              <w:top w:val="nil"/>
              <w:left w:val="single" w:sz="4" w:space="0" w:color="auto"/>
              <w:bottom w:val="nil"/>
              <w:right w:val="nil"/>
            </w:tcBorders>
            <w:shd w:val="clear" w:color="auto" w:fill="FFFFFF" w:themeFill="background1"/>
            <w:vAlign w:val="center"/>
            <w:hideMark/>
          </w:tcPr>
          <w:p w14:paraId="21078F8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36</w:t>
            </w:r>
          </w:p>
        </w:tc>
        <w:tc>
          <w:tcPr>
            <w:tcW w:w="160" w:type="pct"/>
            <w:tcBorders>
              <w:top w:val="nil"/>
              <w:left w:val="nil"/>
              <w:bottom w:val="nil"/>
              <w:right w:val="nil"/>
            </w:tcBorders>
            <w:shd w:val="clear" w:color="auto" w:fill="FFFFFF" w:themeFill="background1"/>
            <w:vAlign w:val="center"/>
            <w:hideMark/>
          </w:tcPr>
          <w:p w14:paraId="3A1A19D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46</w:t>
            </w:r>
          </w:p>
        </w:tc>
        <w:tc>
          <w:tcPr>
            <w:tcW w:w="248" w:type="pct"/>
            <w:tcBorders>
              <w:top w:val="nil"/>
              <w:left w:val="nil"/>
              <w:bottom w:val="nil"/>
              <w:right w:val="nil"/>
            </w:tcBorders>
            <w:shd w:val="clear" w:color="auto" w:fill="FFFFFF" w:themeFill="background1"/>
            <w:noWrap/>
            <w:vAlign w:val="center"/>
            <w:hideMark/>
          </w:tcPr>
          <w:p w14:paraId="165F1BB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82</w:t>
            </w:r>
          </w:p>
        </w:tc>
        <w:tc>
          <w:tcPr>
            <w:tcW w:w="252" w:type="pct"/>
            <w:tcBorders>
              <w:top w:val="nil"/>
              <w:left w:val="nil"/>
              <w:bottom w:val="nil"/>
              <w:right w:val="nil"/>
            </w:tcBorders>
            <w:shd w:val="clear" w:color="auto" w:fill="FFFFFF" w:themeFill="background1"/>
            <w:noWrap/>
            <w:vAlign w:val="center"/>
            <w:hideMark/>
          </w:tcPr>
          <w:p w14:paraId="59B7DD1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43.9</w:t>
            </w:r>
          </w:p>
        </w:tc>
        <w:tc>
          <w:tcPr>
            <w:tcW w:w="267" w:type="pct"/>
            <w:tcBorders>
              <w:top w:val="nil"/>
              <w:left w:val="nil"/>
              <w:bottom w:val="nil"/>
              <w:right w:val="nil"/>
            </w:tcBorders>
            <w:shd w:val="clear" w:color="auto" w:fill="FFFFFF" w:themeFill="background1"/>
            <w:noWrap/>
            <w:vAlign w:val="center"/>
            <w:hideMark/>
          </w:tcPr>
          <w:p w14:paraId="7DA923A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56.1</w:t>
            </w:r>
          </w:p>
        </w:tc>
        <w:tc>
          <w:tcPr>
            <w:tcW w:w="252" w:type="pct"/>
            <w:tcBorders>
              <w:top w:val="nil"/>
              <w:left w:val="nil"/>
              <w:bottom w:val="nil"/>
              <w:right w:val="single" w:sz="8" w:space="0" w:color="auto"/>
            </w:tcBorders>
            <w:shd w:val="clear" w:color="auto" w:fill="FFFFFF" w:themeFill="background1"/>
            <w:vAlign w:val="center"/>
            <w:hideMark/>
          </w:tcPr>
          <w:p w14:paraId="5CCA94C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54.7</w:t>
            </w:r>
          </w:p>
        </w:tc>
        <w:tc>
          <w:tcPr>
            <w:tcW w:w="160" w:type="pct"/>
            <w:tcBorders>
              <w:top w:val="nil"/>
              <w:left w:val="nil"/>
              <w:bottom w:val="nil"/>
              <w:right w:val="nil"/>
            </w:tcBorders>
            <w:shd w:val="clear" w:color="auto" w:fill="FFFFFF" w:themeFill="background1"/>
            <w:vAlign w:val="center"/>
            <w:hideMark/>
          </w:tcPr>
          <w:p w14:paraId="62B9F2D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42</w:t>
            </w:r>
          </w:p>
        </w:tc>
        <w:tc>
          <w:tcPr>
            <w:tcW w:w="160" w:type="pct"/>
            <w:tcBorders>
              <w:top w:val="nil"/>
              <w:left w:val="nil"/>
              <w:bottom w:val="nil"/>
              <w:right w:val="nil"/>
            </w:tcBorders>
            <w:shd w:val="clear" w:color="auto" w:fill="FFFFFF" w:themeFill="background1"/>
            <w:vAlign w:val="center"/>
            <w:hideMark/>
          </w:tcPr>
          <w:p w14:paraId="12A6724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49</w:t>
            </w:r>
          </w:p>
        </w:tc>
        <w:tc>
          <w:tcPr>
            <w:tcW w:w="248" w:type="pct"/>
            <w:tcBorders>
              <w:top w:val="nil"/>
              <w:left w:val="nil"/>
              <w:bottom w:val="nil"/>
              <w:right w:val="nil"/>
            </w:tcBorders>
            <w:shd w:val="clear" w:color="auto" w:fill="FFFFFF" w:themeFill="background1"/>
            <w:noWrap/>
            <w:vAlign w:val="center"/>
            <w:hideMark/>
          </w:tcPr>
          <w:p w14:paraId="167A186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91</w:t>
            </w:r>
          </w:p>
        </w:tc>
        <w:tc>
          <w:tcPr>
            <w:tcW w:w="252" w:type="pct"/>
            <w:tcBorders>
              <w:top w:val="nil"/>
              <w:left w:val="nil"/>
              <w:bottom w:val="nil"/>
              <w:right w:val="nil"/>
            </w:tcBorders>
            <w:shd w:val="clear" w:color="auto" w:fill="FFFFFF" w:themeFill="background1"/>
            <w:noWrap/>
            <w:vAlign w:val="center"/>
            <w:hideMark/>
          </w:tcPr>
          <w:p w14:paraId="6506293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46.2</w:t>
            </w:r>
          </w:p>
        </w:tc>
        <w:tc>
          <w:tcPr>
            <w:tcW w:w="267" w:type="pct"/>
            <w:tcBorders>
              <w:top w:val="nil"/>
              <w:left w:val="nil"/>
              <w:bottom w:val="nil"/>
              <w:right w:val="nil"/>
            </w:tcBorders>
            <w:shd w:val="clear" w:color="auto" w:fill="FFFFFF" w:themeFill="background1"/>
            <w:noWrap/>
            <w:vAlign w:val="center"/>
            <w:hideMark/>
          </w:tcPr>
          <w:p w14:paraId="3868E77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53.8</w:t>
            </w:r>
          </w:p>
        </w:tc>
        <w:tc>
          <w:tcPr>
            <w:tcW w:w="252" w:type="pct"/>
            <w:tcBorders>
              <w:top w:val="nil"/>
              <w:left w:val="nil"/>
              <w:bottom w:val="nil"/>
              <w:right w:val="single" w:sz="8" w:space="0" w:color="auto"/>
            </w:tcBorders>
            <w:shd w:val="clear" w:color="auto" w:fill="FFFFFF" w:themeFill="background1"/>
            <w:vAlign w:val="center"/>
            <w:hideMark/>
          </w:tcPr>
          <w:p w14:paraId="2B85C0E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64.5</w:t>
            </w:r>
          </w:p>
        </w:tc>
        <w:tc>
          <w:tcPr>
            <w:tcW w:w="160" w:type="pct"/>
            <w:tcBorders>
              <w:top w:val="nil"/>
              <w:left w:val="nil"/>
              <w:bottom w:val="nil"/>
              <w:right w:val="nil"/>
            </w:tcBorders>
            <w:shd w:val="clear" w:color="auto" w:fill="FFFFFF" w:themeFill="background1"/>
            <w:vAlign w:val="center"/>
            <w:hideMark/>
          </w:tcPr>
          <w:p w14:paraId="4546995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35</w:t>
            </w:r>
          </w:p>
        </w:tc>
        <w:tc>
          <w:tcPr>
            <w:tcW w:w="160" w:type="pct"/>
            <w:tcBorders>
              <w:top w:val="nil"/>
              <w:left w:val="nil"/>
              <w:bottom w:val="nil"/>
              <w:right w:val="nil"/>
            </w:tcBorders>
            <w:shd w:val="clear" w:color="auto" w:fill="FFFFFF" w:themeFill="background1"/>
            <w:vAlign w:val="center"/>
            <w:hideMark/>
          </w:tcPr>
          <w:p w14:paraId="407476C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71</w:t>
            </w:r>
          </w:p>
        </w:tc>
        <w:tc>
          <w:tcPr>
            <w:tcW w:w="248" w:type="pct"/>
            <w:tcBorders>
              <w:top w:val="nil"/>
              <w:left w:val="nil"/>
              <w:bottom w:val="nil"/>
              <w:right w:val="nil"/>
            </w:tcBorders>
            <w:shd w:val="clear" w:color="auto" w:fill="FFFFFF" w:themeFill="background1"/>
            <w:noWrap/>
            <w:vAlign w:val="center"/>
            <w:hideMark/>
          </w:tcPr>
          <w:p w14:paraId="4EFD1BD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106</w:t>
            </w:r>
          </w:p>
        </w:tc>
        <w:tc>
          <w:tcPr>
            <w:tcW w:w="252" w:type="pct"/>
            <w:tcBorders>
              <w:top w:val="nil"/>
              <w:left w:val="nil"/>
              <w:bottom w:val="nil"/>
              <w:right w:val="nil"/>
            </w:tcBorders>
            <w:shd w:val="clear" w:color="auto" w:fill="FFFFFF" w:themeFill="background1"/>
            <w:noWrap/>
            <w:vAlign w:val="center"/>
            <w:hideMark/>
          </w:tcPr>
          <w:p w14:paraId="5F21CA6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33.0</w:t>
            </w:r>
          </w:p>
        </w:tc>
        <w:tc>
          <w:tcPr>
            <w:tcW w:w="267" w:type="pct"/>
            <w:tcBorders>
              <w:top w:val="nil"/>
              <w:left w:val="nil"/>
              <w:bottom w:val="nil"/>
              <w:right w:val="nil"/>
            </w:tcBorders>
            <w:shd w:val="clear" w:color="auto" w:fill="FFFFFF" w:themeFill="background1"/>
            <w:noWrap/>
            <w:vAlign w:val="center"/>
            <w:hideMark/>
          </w:tcPr>
          <w:p w14:paraId="2E5E3C8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67.0</w:t>
            </w:r>
          </w:p>
        </w:tc>
        <w:tc>
          <w:tcPr>
            <w:tcW w:w="252" w:type="pct"/>
            <w:tcBorders>
              <w:top w:val="nil"/>
              <w:left w:val="nil"/>
              <w:bottom w:val="nil"/>
              <w:right w:val="single" w:sz="8" w:space="0" w:color="auto"/>
            </w:tcBorders>
            <w:shd w:val="clear" w:color="auto" w:fill="FFFFFF" w:themeFill="background1"/>
            <w:vAlign w:val="center"/>
            <w:hideMark/>
          </w:tcPr>
          <w:p w14:paraId="704453CA"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76.3</w:t>
            </w:r>
          </w:p>
        </w:tc>
      </w:tr>
      <w:tr w:rsidR="00C827E3" w:rsidRPr="00435B6B" w14:paraId="28C39FDB"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68A1184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S (20.8-25mm)</w:t>
            </w:r>
          </w:p>
        </w:tc>
        <w:tc>
          <w:tcPr>
            <w:tcW w:w="160" w:type="pct"/>
            <w:tcBorders>
              <w:top w:val="nil"/>
              <w:left w:val="single" w:sz="4" w:space="0" w:color="auto"/>
              <w:bottom w:val="nil"/>
              <w:right w:val="nil"/>
            </w:tcBorders>
            <w:shd w:val="clear" w:color="auto" w:fill="FFFFFF" w:themeFill="background1"/>
            <w:vAlign w:val="center"/>
            <w:hideMark/>
          </w:tcPr>
          <w:p w14:paraId="072D221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160" w:type="pct"/>
            <w:tcBorders>
              <w:top w:val="nil"/>
              <w:left w:val="nil"/>
              <w:bottom w:val="nil"/>
              <w:right w:val="nil"/>
            </w:tcBorders>
            <w:shd w:val="clear" w:color="auto" w:fill="FFFFFF" w:themeFill="background1"/>
            <w:vAlign w:val="center"/>
            <w:hideMark/>
          </w:tcPr>
          <w:p w14:paraId="69811B4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48" w:type="pct"/>
            <w:tcBorders>
              <w:top w:val="nil"/>
              <w:left w:val="nil"/>
              <w:bottom w:val="nil"/>
              <w:right w:val="nil"/>
            </w:tcBorders>
            <w:shd w:val="clear" w:color="auto" w:fill="FFFFFF" w:themeFill="background1"/>
            <w:noWrap/>
            <w:vAlign w:val="center"/>
            <w:hideMark/>
          </w:tcPr>
          <w:p w14:paraId="19004D9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23</w:t>
            </w:r>
          </w:p>
        </w:tc>
        <w:tc>
          <w:tcPr>
            <w:tcW w:w="252" w:type="pct"/>
            <w:tcBorders>
              <w:top w:val="nil"/>
              <w:left w:val="nil"/>
              <w:bottom w:val="nil"/>
              <w:right w:val="nil"/>
            </w:tcBorders>
            <w:shd w:val="clear" w:color="auto" w:fill="FFFFFF" w:themeFill="background1"/>
            <w:noWrap/>
            <w:vAlign w:val="center"/>
            <w:hideMark/>
          </w:tcPr>
          <w:p w14:paraId="3BAE12D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52.2</w:t>
            </w:r>
          </w:p>
        </w:tc>
        <w:tc>
          <w:tcPr>
            <w:tcW w:w="267" w:type="pct"/>
            <w:tcBorders>
              <w:top w:val="nil"/>
              <w:left w:val="nil"/>
              <w:bottom w:val="nil"/>
              <w:right w:val="nil"/>
            </w:tcBorders>
            <w:shd w:val="clear" w:color="auto" w:fill="FFFFFF" w:themeFill="background1"/>
            <w:noWrap/>
            <w:vAlign w:val="center"/>
            <w:hideMark/>
          </w:tcPr>
          <w:p w14:paraId="2015B2A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47.8</w:t>
            </w:r>
          </w:p>
        </w:tc>
        <w:tc>
          <w:tcPr>
            <w:tcW w:w="252" w:type="pct"/>
            <w:tcBorders>
              <w:top w:val="nil"/>
              <w:left w:val="nil"/>
              <w:bottom w:val="nil"/>
              <w:right w:val="single" w:sz="8" w:space="0" w:color="auto"/>
            </w:tcBorders>
            <w:shd w:val="clear" w:color="auto" w:fill="FFFFFF" w:themeFill="background1"/>
            <w:vAlign w:val="center"/>
            <w:hideMark/>
          </w:tcPr>
          <w:p w14:paraId="7B735D6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15.3</w:t>
            </w:r>
          </w:p>
        </w:tc>
        <w:tc>
          <w:tcPr>
            <w:tcW w:w="160" w:type="pct"/>
            <w:tcBorders>
              <w:top w:val="nil"/>
              <w:left w:val="nil"/>
              <w:bottom w:val="nil"/>
              <w:right w:val="nil"/>
            </w:tcBorders>
            <w:shd w:val="clear" w:color="auto" w:fill="FFFFFF" w:themeFill="background1"/>
            <w:vAlign w:val="center"/>
            <w:hideMark/>
          </w:tcPr>
          <w:p w14:paraId="13D2FCC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w:t>
            </w:r>
          </w:p>
        </w:tc>
        <w:tc>
          <w:tcPr>
            <w:tcW w:w="160" w:type="pct"/>
            <w:tcBorders>
              <w:top w:val="nil"/>
              <w:left w:val="nil"/>
              <w:bottom w:val="nil"/>
              <w:right w:val="nil"/>
            </w:tcBorders>
            <w:shd w:val="clear" w:color="auto" w:fill="FFFFFF" w:themeFill="background1"/>
            <w:vAlign w:val="center"/>
            <w:hideMark/>
          </w:tcPr>
          <w:p w14:paraId="203744C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10</w:t>
            </w:r>
          </w:p>
        </w:tc>
        <w:tc>
          <w:tcPr>
            <w:tcW w:w="248" w:type="pct"/>
            <w:tcBorders>
              <w:top w:val="nil"/>
              <w:left w:val="nil"/>
              <w:bottom w:val="nil"/>
              <w:right w:val="nil"/>
            </w:tcBorders>
            <w:shd w:val="clear" w:color="auto" w:fill="FFFFFF" w:themeFill="background1"/>
            <w:noWrap/>
            <w:vAlign w:val="center"/>
            <w:hideMark/>
          </w:tcPr>
          <w:p w14:paraId="0355E61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18</w:t>
            </w:r>
          </w:p>
        </w:tc>
        <w:tc>
          <w:tcPr>
            <w:tcW w:w="252" w:type="pct"/>
            <w:tcBorders>
              <w:top w:val="nil"/>
              <w:left w:val="nil"/>
              <w:bottom w:val="nil"/>
              <w:right w:val="nil"/>
            </w:tcBorders>
            <w:shd w:val="clear" w:color="auto" w:fill="FFFFFF" w:themeFill="background1"/>
            <w:noWrap/>
            <w:vAlign w:val="center"/>
            <w:hideMark/>
          </w:tcPr>
          <w:p w14:paraId="11683CB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44.4</w:t>
            </w:r>
          </w:p>
        </w:tc>
        <w:tc>
          <w:tcPr>
            <w:tcW w:w="267" w:type="pct"/>
            <w:tcBorders>
              <w:top w:val="nil"/>
              <w:left w:val="nil"/>
              <w:bottom w:val="nil"/>
              <w:right w:val="nil"/>
            </w:tcBorders>
            <w:shd w:val="clear" w:color="auto" w:fill="FFFFFF" w:themeFill="background1"/>
            <w:noWrap/>
            <w:vAlign w:val="center"/>
            <w:hideMark/>
          </w:tcPr>
          <w:p w14:paraId="66ED51A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55.6</w:t>
            </w:r>
          </w:p>
        </w:tc>
        <w:tc>
          <w:tcPr>
            <w:tcW w:w="252" w:type="pct"/>
            <w:tcBorders>
              <w:top w:val="nil"/>
              <w:left w:val="nil"/>
              <w:bottom w:val="nil"/>
              <w:right w:val="single" w:sz="8" w:space="0" w:color="auto"/>
            </w:tcBorders>
            <w:shd w:val="clear" w:color="auto" w:fill="FFFFFF" w:themeFill="background1"/>
            <w:vAlign w:val="center"/>
            <w:hideMark/>
          </w:tcPr>
          <w:p w14:paraId="396351F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12.8</w:t>
            </w:r>
          </w:p>
        </w:tc>
        <w:tc>
          <w:tcPr>
            <w:tcW w:w="160" w:type="pct"/>
            <w:tcBorders>
              <w:top w:val="nil"/>
              <w:left w:val="nil"/>
              <w:bottom w:val="nil"/>
              <w:right w:val="nil"/>
            </w:tcBorders>
            <w:shd w:val="clear" w:color="auto" w:fill="FFFFFF" w:themeFill="background1"/>
            <w:vAlign w:val="center"/>
            <w:hideMark/>
          </w:tcPr>
          <w:p w14:paraId="324C045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0" w:type="pct"/>
            <w:tcBorders>
              <w:top w:val="nil"/>
              <w:left w:val="nil"/>
              <w:bottom w:val="nil"/>
              <w:right w:val="nil"/>
            </w:tcBorders>
            <w:shd w:val="clear" w:color="auto" w:fill="FFFFFF" w:themeFill="background1"/>
            <w:vAlign w:val="center"/>
            <w:hideMark/>
          </w:tcPr>
          <w:p w14:paraId="29502DE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58</w:t>
            </w:r>
          </w:p>
        </w:tc>
        <w:tc>
          <w:tcPr>
            <w:tcW w:w="248" w:type="pct"/>
            <w:tcBorders>
              <w:top w:val="nil"/>
              <w:left w:val="nil"/>
              <w:bottom w:val="nil"/>
              <w:right w:val="nil"/>
            </w:tcBorders>
            <w:shd w:val="clear" w:color="auto" w:fill="FFFFFF" w:themeFill="background1"/>
            <w:noWrap/>
            <w:vAlign w:val="center"/>
            <w:hideMark/>
          </w:tcPr>
          <w:p w14:paraId="03FD4FF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63</w:t>
            </w:r>
          </w:p>
        </w:tc>
        <w:tc>
          <w:tcPr>
            <w:tcW w:w="252" w:type="pct"/>
            <w:tcBorders>
              <w:top w:val="nil"/>
              <w:left w:val="nil"/>
              <w:bottom w:val="nil"/>
              <w:right w:val="nil"/>
            </w:tcBorders>
            <w:shd w:val="clear" w:color="auto" w:fill="FFFFFF" w:themeFill="background1"/>
            <w:noWrap/>
            <w:vAlign w:val="center"/>
            <w:hideMark/>
          </w:tcPr>
          <w:p w14:paraId="27F1327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7.9</w:t>
            </w:r>
          </w:p>
        </w:tc>
        <w:tc>
          <w:tcPr>
            <w:tcW w:w="267" w:type="pct"/>
            <w:tcBorders>
              <w:top w:val="nil"/>
              <w:left w:val="nil"/>
              <w:bottom w:val="nil"/>
              <w:right w:val="nil"/>
            </w:tcBorders>
            <w:shd w:val="clear" w:color="auto" w:fill="FFFFFF" w:themeFill="background1"/>
            <w:noWrap/>
            <w:vAlign w:val="center"/>
            <w:hideMark/>
          </w:tcPr>
          <w:p w14:paraId="6B29A52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92.1</w:t>
            </w:r>
          </w:p>
        </w:tc>
        <w:tc>
          <w:tcPr>
            <w:tcW w:w="252" w:type="pct"/>
            <w:tcBorders>
              <w:top w:val="nil"/>
              <w:left w:val="nil"/>
              <w:bottom w:val="nil"/>
              <w:right w:val="single" w:sz="8" w:space="0" w:color="auto"/>
            </w:tcBorders>
            <w:shd w:val="clear" w:color="auto" w:fill="FFFFFF" w:themeFill="background1"/>
            <w:vAlign w:val="center"/>
            <w:hideMark/>
          </w:tcPr>
          <w:p w14:paraId="37B152D6"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45.3</w:t>
            </w:r>
          </w:p>
        </w:tc>
      </w:tr>
      <w:tr w:rsidR="00C827E3" w:rsidRPr="00435B6B" w14:paraId="0E5589C7" w14:textId="77777777" w:rsidTr="001F4A34">
        <w:trPr>
          <w:trHeight w:val="240"/>
        </w:trPr>
        <w:tc>
          <w:tcPr>
            <w:tcW w:w="978" w:type="pct"/>
            <w:tcBorders>
              <w:top w:val="nil"/>
              <w:left w:val="single" w:sz="4" w:space="0" w:color="auto"/>
              <w:bottom w:val="nil"/>
              <w:right w:val="single" w:sz="4" w:space="0" w:color="auto"/>
            </w:tcBorders>
            <w:shd w:val="clear" w:color="auto" w:fill="FFFFFF" w:themeFill="background1"/>
            <w:vAlign w:val="center"/>
            <w:hideMark/>
          </w:tcPr>
          <w:p w14:paraId="73D84C4D"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M (25-30mm)</w:t>
            </w:r>
          </w:p>
        </w:tc>
        <w:tc>
          <w:tcPr>
            <w:tcW w:w="160" w:type="pct"/>
            <w:tcBorders>
              <w:top w:val="nil"/>
              <w:left w:val="single" w:sz="4" w:space="0" w:color="auto"/>
              <w:bottom w:val="nil"/>
              <w:right w:val="nil"/>
            </w:tcBorders>
            <w:shd w:val="clear" w:color="auto" w:fill="FFFFFF" w:themeFill="background1"/>
            <w:vAlign w:val="center"/>
            <w:hideMark/>
          </w:tcPr>
          <w:p w14:paraId="4BF42B9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35</w:t>
            </w:r>
          </w:p>
        </w:tc>
        <w:tc>
          <w:tcPr>
            <w:tcW w:w="160" w:type="pct"/>
            <w:tcBorders>
              <w:top w:val="nil"/>
              <w:left w:val="nil"/>
              <w:bottom w:val="nil"/>
              <w:right w:val="nil"/>
            </w:tcBorders>
            <w:shd w:val="clear" w:color="auto" w:fill="FFFFFF" w:themeFill="background1"/>
            <w:vAlign w:val="center"/>
            <w:hideMark/>
          </w:tcPr>
          <w:p w14:paraId="713854C8"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48</w:t>
            </w:r>
          </w:p>
        </w:tc>
        <w:tc>
          <w:tcPr>
            <w:tcW w:w="248" w:type="pct"/>
            <w:tcBorders>
              <w:top w:val="nil"/>
              <w:left w:val="nil"/>
              <w:bottom w:val="nil"/>
              <w:right w:val="nil"/>
            </w:tcBorders>
            <w:shd w:val="clear" w:color="auto" w:fill="FFFFFF" w:themeFill="background1"/>
            <w:noWrap/>
            <w:vAlign w:val="center"/>
            <w:hideMark/>
          </w:tcPr>
          <w:p w14:paraId="1919673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83</w:t>
            </w:r>
          </w:p>
        </w:tc>
        <w:tc>
          <w:tcPr>
            <w:tcW w:w="252" w:type="pct"/>
            <w:tcBorders>
              <w:top w:val="nil"/>
              <w:left w:val="nil"/>
              <w:bottom w:val="nil"/>
              <w:right w:val="nil"/>
            </w:tcBorders>
            <w:shd w:val="clear" w:color="auto" w:fill="FFFFFF" w:themeFill="background1"/>
            <w:noWrap/>
            <w:vAlign w:val="center"/>
            <w:hideMark/>
          </w:tcPr>
          <w:p w14:paraId="7E991B1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42.2</w:t>
            </w:r>
          </w:p>
        </w:tc>
        <w:tc>
          <w:tcPr>
            <w:tcW w:w="267" w:type="pct"/>
            <w:tcBorders>
              <w:top w:val="nil"/>
              <w:left w:val="nil"/>
              <w:bottom w:val="nil"/>
              <w:right w:val="nil"/>
            </w:tcBorders>
            <w:shd w:val="clear" w:color="auto" w:fill="FFFFFF" w:themeFill="background1"/>
            <w:noWrap/>
            <w:vAlign w:val="center"/>
            <w:hideMark/>
          </w:tcPr>
          <w:p w14:paraId="52B236F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57.8</w:t>
            </w:r>
          </w:p>
        </w:tc>
        <w:tc>
          <w:tcPr>
            <w:tcW w:w="252" w:type="pct"/>
            <w:tcBorders>
              <w:top w:val="nil"/>
              <w:left w:val="nil"/>
              <w:bottom w:val="nil"/>
              <w:right w:val="single" w:sz="8" w:space="0" w:color="auto"/>
            </w:tcBorders>
            <w:shd w:val="clear" w:color="auto" w:fill="FFFFFF" w:themeFill="background1"/>
            <w:vAlign w:val="center"/>
            <w:hideMark/>
          </w:tcPr>
          <w:p w14:paraId="19F2D53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55.3</w:t>
            </w:r>
          </w:p>
        </w:tc>
        <w:tc>
          <w:tcPr>
            <w:tcW w:w="160" w:type="pct"/>
            <w:tcBorders>
              <w:top w:val="nil"/>
              <w:left w:val="nil"/>
              <w:bottom w:val="nil"/>
              <w:right w:val="nil"/>
            </w:tcBorders>
            <w:shd w:val="clear" w:color="auto" w:fill="FFFFFF" w:themeFill="background1"/>
            <w:vAlign w:val="center"/>
            <w:hideMark/>
          </w:tcPr>
          <w:p w14:paraId="13EB00D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33</w:t>
            </w:r>
          </w:p>
        </w:tc>
        <w:tc>
          <w:tcPr>
            <w:tcW w:w="160" w:type="pct"/>
            <w:tcBorders>
              <w:top w:val="nil"/>
              <w:left w:val="nil"/>
              <w:bottom w:val="nil"/>
              <w:right w:val="nil"/>
            </w:tcBorders>
            <w:shd w:val="clear" w:color="auto" w:fill="FFFFFF" w:themeFill="background1"/>
            <w:vAlign w:val="center"/>
            <w:hideMark/>
          </w:tcPr>
          <w:p w14:paraId="398B173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34</w:t>
            </w:r>
          </w:p>
        </w:tc>
        <w:tc>
          <w:tcPr>
            <w:tcW w:w="248" w:type="pct"/>
            <w:tcBorders>
              <w:top w:val="nil"/>
              <w:left w:val="nil"/>
              <w:bottom w:val="nil"/>
              <w:right w:val="nil"/>
            </w:tcBorders>
            <w:shd w:val="clear" w:color="auto" w:fill="FFFFFF" w:themeFill="background1"/>
            <w:noWrap/>
            <w:vAlign w:val="center"/>
            <w:hideMark/>
          </w:tcPr>
          <w:p w14:paraId="2807335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67</w:t>
            </w:r>
          </w:p>
        </w:tc>
        <w:tc>
          <w:tcPr>
            <w:tcW w:w="252" w:type="pct"/>
            <w:tcBorders>
              <w:top w:val="nil"/>
              <w:left w:val="nil"/>
              <w:bottom w:val="nil"/>
              <w:right w:val="nil"/>
            </w:tcBorders>
            <w:shd w:val="clear" w:color="auto" w:fill="FFFFFF" w:themeFill="background1"/>
            <w:noWrap/>
            <w:vAlign w:val="center"/>
            <w:hideMark/>
          </w:tcPr>
          <w:p w14:paraId="374847B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49.3</w:t>
            </w:r>
          </w:p>
        </w:tc>
        <w:tc>
          <w:tcPr>
            <w:tcW w:w="267" w:type="pct"/>
            <w:tcBorders>
              <w:top w:val="nil"/>
              <w:left w:val="nil"/>
              <w:bottom w:val="nil"/>
              <w:right w:val="nil"/>
            </w:tcBorders>
            <w:shd w:val="clear" w:color="auto" w:fill="FFFFFF" w:themeFill="background1"/>
            <w:noWrap/>
            <w:vAlign w:val="center"/>
            <w:hideMark/>
          </w:tcPr>
          <w:p w14:paraId="6AF45ED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50.7</w:t>
            </w:r>
          </w:p>
        </w:tc>
        <w:tc>
          <w:tcPr>
            <w:tcW w:w="252" w:type="pct"/>
            <w:tcBorders>
              <w:top w:val="nil"/>
              <w:left w:val="nil"/>
              <w:bottom w:val="nil"/>
              <w:right w:val="single" w:sz="8" w:space="0" w:color="auto"/>
            </w:tcBorders>
            <w:shd w:val="clear" w:color="auto" w:fill="FFFFFF" w:themeFill="background1"/>
            <w:vAlign w:val="center"/>
            <w:hideMark/>
          </w:tcPr>
          <w:p w14:paraId="3BE8629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47.5</w:t>
            </w:r>
          </w:p>
        </w:tc>
        <w:tc>
          <w:tcPr>
            <w:tcW w:w="160" w:type="pct"/>
            <w:tcBorders>
              <w:top w:val="nil"/>
              <w:left w:val="nil"/>
              <w:bottom w:val="nil"/>
              <w:right w:val="nil"/>
            </w:tcBorders>
            <w:shd w:val="clear" w:color="auto" w:fill="FFFFFF" w:themeFill="background1"/>
            <w:vAlign w:val="center"/>
            <w:hideMark/>
          </w:tcPr>
          <w:p w14:paraId="5D1BCD2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32</w:t>
            </w:r>
          </w:p>
        </w:tc>
        <w:tc>
          <w:tcPr>
            <w:tcW w:w="160" w:type="pct"/>
            <w:tcBorders>
              <w:top w:val="nil"/>
              <w:left w:val="nil"/>
              <w:bottom w:val="nil"/>
              <w:right w:val="nil"/>
            </w:tcBorders>
            <w:shd w:val="clear" w:color="auto" w:fill="FFFFFF" w:themeFill="background1"/>
            <w:vAlign w:val="center"/>
            <w:hideMark/>
          </w:tcPr>
          <w:p w14:paraId="0E9AC3F0"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32</w:t>
            </w:r>
          </w:p>
        </w:tc>
        <w:tc>
          <w:tcPr>
            <w:tcW w:w="248" w:type="pct"/>
            <w:tcBorders>
              <w:top w:val="nil"/>
              <w:left w:val="nil"/>
              <w:bottom w:val="nil"/>
              <w:right w:val="nil"/>
            </w:tcBorders>
            <w:shd w:val="clear" w:color="auto" w:fill="FFFFFF" w:themeFill="background1"/>
            <w:noWrap/>
            <w:vAlign w:val="center"/>
            <w:hideMark/>
          </w:tcPr>
          <w:p w14:paraId="625B957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64</w:t>
            </w:r>
          </w:p>
        </w:tc>
        <w:tc>
          <w:tcPr>
            <w:tcW w:w="252" w:type="pct"/>
            <w:tcBorders>
              <w:top w:val="nil"/>
              <w:left w:val="nil"/>
              <w:bottom w:val="nil"/>
              <w:right w:val="nil"/>
            </w:tcBorders>
            <w:shd w:val="clear" w:color="auto" w:fill="FFFFFF" w:themeFill="background1"/>
            <w:noWrap/>
            <w:vAlign w:val="center"/>
            <w:hideMark/>
          </w:tcPr>
          <w:p w14:paraId="6E81064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50.0</w:t>
            </w:r>
          </w:p>
        </w:tc>
        <w:tc>
          <w:tcPr>
            <w:tcW w:w="267" w:type="pct"/>
            <w:tcBorders>
              <w:top w:val="nil"/>
              <w:left w:val="nil"/>
              <w:bottom w:val="nil"/>
              <w:right w:val="nil"/>
            </w:tcBorders>
            <w:shd w:val="clear" w:color="auto" w:fill="FFFFFF" w:themeFill="background1"/>
            <w:noWrap/>
            <w:vAlign w:val="center"/>
            <w:hideMark/>
          </w:tcPr>
          <w:p w14:paraId="66DB107C" w14:textId="02CBFA12"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52" w:type="pct"/>
            <w:tcBorders>
              <w:top w:val="nil"/>
              <w:left w:val="nil"/>
              <w:bottom w:val="nil"/>
              <w:right w:val="single" w:sz="8" w:space="0" w:color="auto"/>
            </w:tcBorders>
            <w:shd w:val="clear" w:color="auto" w:fill="FFFFFF" w:themeFill="background1"/>
            <w:vAlign w:val="center"/>
            <w:hideMark/>
          </w:tcPr>
          <w:p w14:paraId="7D144986" w14:textId="08D90ABF"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46</w:t>
            </w:r>
          </w:p>
        </w:tc>
      </w:tr>
      <w:tr w:rsidR="00F73426" w:rsidRPr="00435B6B" w14:paraId="2558BE2D" w14:textId="77777777" w:rsidTr="001F4A34">
        <w:trPr>
          <w:trHeight w:val="255"/>
        </w:trPr>
        <w:tc>
          <w:tcPr>
            <w:tcW w:w="978" w:type="pct"/>
            <w:tcBorders>
              <w:top w:val="nil"/>
              <w:left w:val="single" w:sz="4" w:space="0" w:color="auto"/>
              <w:bottom w:val="single" w:sz="4" w:space="0" w:color="auto"/>
              <w:right w:val="single" w:sz="4" w:space="0" w:color="auto"/>
            </w:tcBorders>
            <w:shd w:val="clear" w:color="auto" w:fill="FFFFFF" w:themeFill="background1"/>
            <w:vAlign w:val="center"/>
            <w:hideMark/>
          </w:tcPr>
          <w:p w14:paraId="0293409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L (30-45.9mm)</w:t>
            </w:r>
          </w:p>
        </w:tc>
        <w:tc>
          <w:tcPr>
            <w:tcW w:w="160" w:type="pct"/>
            <w:tcBorders>
              <w:top w:val="nil"/>
              <w:left w:val="single" w:sz="4" w:space="0" w:color="auto"/>
              <w:bottom w:val="single" w:sz="8" w:space="0" w:color="auto"/>
              <w:right w:val="nil"/>
            </w:tcBorders>
            <w:shd w:val="clear" w:color="auto" w:fill="FFFFFF" w:themeFill="background1"/>
            <w:vAlign w:val="center"/>
            <w:hideMark/>
          </w:tcPr>
          <w:p w14:paraId="66214AD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w:t>
            </w:r>
          </w:p>
        </w:tc>
        <w:tc>
          <w:tcPr>
            <w:tcW w:w="160" w:type="pct"/>
            <w:tcBorders>
              <w:top w:val="nil"/>
              <w:left w:val="nil"/>
              <w:bottom w:val="single" w:sz="8" w:space="0" w:color="auto"/>
              <w:right w:val="nil"/>
            </w:tcBorders>
            <w:shd w:val="clear" w:color="auto" w:fill="FFFFFF" w:themeFill="background1"/>
            <w:vAlign w:val="center"/>
            <w:hideMark/>
          </w:tcPr>
          <w:p w14:paraId="2640716C"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36</w:t>
            </w:r>
          </w:p>
        </w:tc>
        <w:tc>
          <w:tcPr>
            <w:tcW w:w="248" w:type="pct"/>
            <w:tcBorders>
              <w:top w:val="nil"/>
              <w:left w:val="nil"/>
              <w:bottom w:val="single" w:sz="8" w:space="0" w:color="auto"/>
              <w:right w:val="nil"/>
            </w:tcBorders>
            <w:shd w:val="clear" w:color="auto" w:fill="FFFFFF" w:themeFill="background1"/>
            <w:noWrap/>
            <w:vAlign w:val="center"/>
            <w:hideMark/>
          </w:tcPr>
          <w:p w14:paraId="114C14E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44</w:t>
            </w:r>
          </w:p>
        </w:tc>
        <w:tc>
          <w:tcPr>
            <w:tcW w:w="252" w:type="pct"/>
            <w:tcBorders>
              <w:top w:val="nil"/>
              <w:left w:val="nil"/>
              <w:bottom w:val="single" w:sz="8" w:space="0" w:color="auto"/>
              <w:right w:val="nil"/>
            </w:tcBorders>
            <w:shd w:val="clear" w:color="auto" w:fill="FFFFFF" w:themeFill="background1"/>
            <w:noWrap/>
            <w:vAlign w:val="center"/>
            <w:hideMark/>
          </w:tcPr>
          <w:p w14:paraId="2EC9AAA5"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18.2</w:t>
            </w:r>
          </w:p>
        </w:tc>
        <w:tc>
          <w:tcPr>
            <w:tcW w:w="267" w:type="pct"/>
            <w:tcBorders>
              <w:top w:val="nil"/>
              <w:left w:val="nil"/>
              <w:bottom w:val="single" w:sz="8" w:space="0" w:color="auto"/>
              <w:right w:val="nil"/>
            </w:tcBorders>
            <w:shd w:val="clear" w:color="auto" w:fill="FFFFFF" w:themeFill="background1"/>
            <w:noWrap/>
            <w:vAlign w:val="center"/>
            <w:hideMark/>
          </w:tcPr>
          <w:p w14:paraId="09A44A8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81.8</w:t>
            </w: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7ECC7EB9"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29.3</w:t>
            </w:r>
          </w:p>
        </w:tc>
        <w:tc>
          <w:tcPr>
            <w:tcW w:w="160" w:type="pct"/>
            <w:tcBorders>
              <w:top w:val="nil"/>
              <w:left w:val="nil"/>
              <w:bottom w:val="single" w:sz="8" w:space="0" w:color="auto"/>
              <w:right w:val="nil"/>
            </w:tcBorders>
            <w:shd w:val="clear" w:color="auto" w:fill="FFFFFF" w:themeFill="background1"/>
            <w:vAlign w:val="center"/>
            <w:hideMark/>
          </w:tcPr>
          <w:p w14:paraId="0626834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13</w:t>
            </w:r>
          </w:p>
        </w:tc>
        <w:tc>
          <w:tcPr>
            <w:tcW w:w="160" w:type="pct"/>
            <w:tcBorders>
              <w:top w:val="nil"/>
              <w:left w:val="nil"/>
              <w:bottom w:val="single" w:sz="8" w:space="0" w:color="auto"/>
              <w:right w:val="nil"/>
            </w:tcBorders>
            <w:shd w:val="clear" w:color="auto" w:fill="FFFFFF" w:themeFill="background1"/>
            <w:vAlign w:val="center"/>
            <w:hideMark/>
          </w:tcPr>
          <w:p w14:paraId="0E882A2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43</w:t>
            </w:r>
          </w:p>
        </w:tc>
        <w:tc>
          <w:tcPr>
            <w:tcW w:w="248" w:type="pct"/>
            <w:tcBorders>
              <w:top w:val="nil"/>
              <w:left w:val="nil"/>
              <w:bottom w:val="single" w:sz="8" w:space="0" w:color="auto"/>
              <w:right w:val="nil"/>
            </w:tcBorders>
            <w:shd w:val="clear" w:color="auto" w:fill="FFFFFF" w:themeFill="background1"/>
            <w:noWrap/>
            <w:vAlign w:val="center"/>
            <w:hideMark/>
          </w:tcPr>
          <w:p w14:paraId="18C67D81"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56</w:t>
            </w:r>
          </w:p>
        </w:tc>
        <w:tc>
          <w:tcPr>
            <w:tcW w:w="252" w:type="pct"/>
            <w:tcBorders>
              <w:top w:val="nil"/>
              <w:left w:val="nil"/>
              <w:bottom w:val="single" w:sz="8" w:space="0" w:color="auto"/>
              <w:right w:val="nil"/>
            </w:tcBorders>
            <w:shd w:val="clear" w:color="auto" w:fill="FFFFFF" w:themeFill="background1"/>
            <w:noWrap/>
            <w:vAlign w:val="center"/>
            <w:hideMark/>
          </w:tcPr>
          <w:p w14:paraId="11C9751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23.2</w:t>
            </w:r>
          </w:p>
        </w:tc>
        <w:tc>
          <w:tcPr>
            <w:tcW w:w="267" w:type="pct"/>
            <w:tcBorders>
              <w:top w:val="nil"/>
              <w:left w:val="nil"/>
              <w:bottom w:val="single" w:sz="8" w:space="0" w:color="auto"/>
              <w:right w:val="nil"/>
            </w:tcBorders>
            <w:shd w:val="clear" w:color="auto" w:fill="FFFFFF" w:themeFill="background1"/>
            <w:noWrap/>
            <w:vAlign w:val="center"/>
            <w:hideMark/>
          </w:tcPr>
          <w:p w14:paraId="789DA1CF"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76.8</w:t>
            </w: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525573B7"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39.7</w:t>
            </w:r>
          </w:p>
        </w:tc>
        <w:tc>
          <w:tcPr>
            <w:tcW w:w="160" w:type="pct"/>
            <w:tcBorders>
              <w:top w:val="nil"/>
              <w:left w:val="nil"/>
              <w:bottom w:val="single" w:sz="8" w:space="0" w:color="auto"/>
              <w:right w:val="nil"/>
            </w:tcBorders>
            <w:shd w:val="clear" w:color="auto" w:fill="FFFFFF" w:themeFill="background1"/>
            <w:vAlign w:val="center"/>
            <w:hideMark/>
          </w:tcPr>
          <w:p w14:paraId="33451484"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160" w:type="pct"/>
            <w:tcBorders>
              <w:top w:val="nil"/>
              <w:left w:val="nil"/>
              <w:bottom w:val="single" w:sz="8" w:space="0" w:color="auto"/>
              <w:right w:val="nil"/>
            </w:tcBorders>
            <w:shd w:val="clear" w:color="auto" w:fill="FFFFFF" w:themeFill="background1"/>
            <w:vAlign w:val="center"/>
            <w:hideMark/>
          </w:tcPr>
          <w:p w14:paraId="7C30C80B"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248" w:type="pct"/>
            <w:tcBorders>
              <w:top w:val="nil"/>
              <w:left w:val="nil"/>
              <w:bottom w:val="single" w:sz="8" w:space="0" w:color="auto"/>
              <w:right w:val="nil"/>
            </w:tcBorders>
            <w:shd w:val="clear" w:color="auto" w:fill="FFFFFF" w:themeFill="background1"/>
            <w:noWrap/>
            <w:vAlign w:val="center"/>
            <w:hideMark/>
          </w:tcPr>
          <w:p w14:paraId="767741C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252" w:type="pct"/>
            <w:tcBorders>
              <w:top w:val="nil"/>
              <w:left w:val="nil"/>
              <w:bottom w:val="single" w:sz="8" w:space="0" w:color="auto"/>
              <w:right w:val="nil"/>
            </w:tcBorders>
            <w:shd w:val="clear" w:color="auto" w:fill="FFFFFF" w:themeFill="background1"/>
            <w:noWrap/>
            <w:vAlign w:val="center"/>
            <w:hideMark/>
          </w:tcPr>
          <w:p w14:paraId="5822A1BE"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75.0</w:t>
            </w:r>
          </w:p>
        </w:tc>
        <w:tc>
          <w:tcPr>
            <w:tcW w:w="267" w:type="pct"/>
            <w:tcBorders>
              <w:top w:val="nil"/>
              <w:left w:val="nil"/>
              <w:bottom w:val="single" w:sz="8" w:space="0" w:color="auto"/>
              <w:right w:val="nil"/>
            </w:tcBorders>
            <w:shd w:val="clear" w:color="auto" w:fill="FFFFFF" w:themeFill="background1"/>
            <w:noWrap/>
            <w:vAlign w:val="center"/>
            <w:hideMark/>
          </w:tcPr>
          <w:p w14:paraId="43A3D003"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25.0</w:t>
            </w:r>
          </w:p>
        </w:tc>
        <w:tc>
          <w:tcPr>
            <w:tcW w:w="252" w:type="pct"/>
            <w:tcBorders>
              <w:top w:val="nil"/>
              <w:left w:val="nil"/>
              <w:bottom w:val="single" w:sz="8" w:space="0" w:color="auto"/>
              <w:right w:val="single" w:sz="8" w:space="0" w:color="auto"/>
            </w:tcBorders>
            <w:shd w:val="clear" w:color="auto" w:fill="FFFFFF" w:themeFill="background1"/>
            <w:vAlign w:val="center"/>
            <w:hideMark/>
          </w:tcPr>
          <w:p w14:paraId="7E6FE2B2" w14:textId="77777777" w:rsidR="003421D4" w:rsidRPr="009819CE" w:rsidRDefault="003421D4" w:rsidP="00AB5EC8">
            <w:pPr>
              <w:spacing w:before="0" w:after="0" w:line="240" w:lineRule="auto"/>
              <w:jc w:val="center"/>
              <w:rPr>
                <w:rFonts w:cstheme="minorBidi"/>
                <w:color w:val="000000"/>
                <w:sz w:val="18"/>
                <w:szCs w:val="18"/>
              </w:rPr>
            </w:pPr>
            <w:r w:rsidRPr="009819CE">
              <w:rPr>
                <w:rFonts w:cstheme="minorBidi"/>
                <w:color w:val="000000"/>
                <w:sz w:val="18"/>
                <w:szCs w:val="18"/>
              </w:rPr>
              <w:t>8.6</w:t>
            </w:r>
          </w:p>
        </w:tc>
      </w:tr>
    </w:tbl>
    <w:p w14:paraId="6C044133" w14:textId="77777777" w:rsidR="00E14DCB" w:rsidRPr="009819CE" w:rsidRDefault="00E14DCB" w:rsidP="00E14DCB">
      <w:pPr>
        <w:rPr>
          <w:rFonts w:cstheme="minorBidi"/>
        </w:rPr>
        <w:sectPr w:rsidR="00E14DCB" w:rsidRPr="009819CE" w:rsidSect="003A7A28">
          <w:footerReference w:type="default" r:id="rId153"/>
          <w:pgSz w:w="16840" w:h="11900" w:orient="landscape"/>
          <w:pgMar w:top="1440" w:right="1440" w:bottom="1440" w:left="1440" w:header="283" w:footer="283" w:gutter="0"/>
          <w:cols w:space="720"/>
          <w:docGrid w:linePitch="360"/>
        </w:sectPr>
      </w:pPr>
    </w:p>
    <w:tbl>
      <w:tblPr>
        <w:tblW w:w="5000" w:type="pct"/>
        <w:jc w:val="center"/>
        <w:shd w:val="clear" w:color="auto" w:fill="FFFFFF" w:themeFill="background1"/>
        <w:tblLook w:val="04A0" w:firstRow="1" w:lastRow="0" w:firstColumn="1" w:lastColumn="0" w:noHBand="0" w:noVBand="1"/>
      </w:tblPr>
      <w:tblGrid>
        <w:gridCol w:w="3079"/>
        <w:gridCol w:w="439"/>
        <w:gridCol w:w="589"/>
        <w:gridCol w:w="694"/>
        <w:gridCol w:w="606"/>
        <w:gridCol w:w="606"/>
        <w:gridCol w:w="606"/>
        <w:gridCol w:w="557"/>
        <w:gridCol w:w="590"/>
        <w:gridCol w:w="694"/>
        <w:gridCol w:w="606"/>
        <w:gridCol w:w="606"/>
        <w:gridCol w:w="606"/>
        <w:gridCol w:w="560"/>
        <w:gridCol w:w="590"/>
        <w:gridCol w:w="694"/>
        <w:gridCol w:w="606"/>
        <w:gridCol w:w="606"/>
        <w:gridCol w:w="606"/>
      </w:tblGrid>
      <w:tr w:rsidR="00C827E3" w:rsidRPr="00435B6B" w14:paraId="144DCDD0" w14:textId="77777777" w:rsidTr="001F4A34">
        <w:trPr>
          <w:trHeight w:val="240"/>
          <w:jc w:val="center"/>
        </w:trPr>
        <w:tc>
          <w:tcPr>
            <w:tcW w:w="1115" w:type="pct"/>
            <w:tcBorders>
              <w:top w:val="single" w:sz="8" w:space="0" w:color="auto"/>
              <w:left w:val="single" w:sz="8" w:space="0" w:color="auto"/>
              <w:bottom w:val="nil"/>
              <w:right w:val="single" w:sz="8" w:space="0" w:color="auto"/>
            </w:tcBorders>
            <w:shd w:val="clear" w:color="auto" w:fill="FFFFFF" w:themeFill="background1"/>
            <w:vAlign w:val="bottom"/>
            <w:hideMark/>
          </w:tcPr>
          <w:p w14:paraId="1DAE6EC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1223" w:type="pct"/>
            <w:gridSpan w:val="6"/>
            <w:tcBorders>
              <w:top w:val="single" w:sz="8" w:space="0" w:color="auto"/>
              <w:left w:val="nil"/>
              <w:bottom w:val="nil"/>
              <w:right w:val="single" w:sz="8" w:space="0" w:color="000000"/>
            </w:tcBorders>
            <w:shd w:val="clear" w:color="auto" w:fill="FFFFFF" w:themeFill="background1"/>
            <w:noWrap/>
            <w:vAlign w:val="center"/>
            <w:hideMark/>
          </w:tcPr>
          <w:p w14:paraId="47DDB4E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 February 2019</w:t>
            </w:r>
          </w:p>
        </w:tc>
        <w:tc>
          <w:tcPr>
            <w:tcW w:w="1332" w:type="pct"/>
            <w:gridSpan w:val="6"/>
            <w:tcBorders>
              <w:top w:val="single" w:sz="8" w:space="0" w:color="auto"/>
              <w:left w:val="nil"/>
              <w:bottom w:val="nil"/>
              <w:right w:val="single" w:sz="8" w:space="0" w:color="000000"/>
            </w:tcBorders>
            <w:shd w:val="clear" w:color="auto" w:fill="FFFFFF" w:themeFill="background1"/>
            <w:noWrap/>
            <w:vAlign w:val="center"/>
            <w:hideMark/>
          </w:tcPr>
          <w:p w14:paraId="1F7189C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19 March 2019</w:t>
            </w:r>
          </w:p>
        </w:tc>
        <w:tc>
          <w:tcPr>
            <w:tcW w:w="1330" w:type="pct"/>
            <w:gridSpan w:val="6"/>
            <w:tcBorders>
              <w:top w:val="single" w:sz="8" w:space="0" w:color="auto"/>
              <w:left w:val="nil"/>
              <w:bottom w:val="nil"/>
              <w:right w:val="single" w:sz="8" w:space="0" w:color="000000"/>
            </w:tcBorders>
            <w:shd w:val="clear" w:color="auto" w:fill="FFFFFF" w:themeFill="background1"/>
            <w:noWrap/>
            <w:vAlign w:val="center"/>
            <w:hideMark/>
          </w:tcPr>
          <w:p w14:paraId="61BFC0A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24 April 2019</w:t>
            </w:r>
          </w:p>
        </w:tc>
      </w:tr>
      <w:tr w:rsidR="00681B50" w:rsidRPr="00435B6B" w14:paraId="6B6483A1" w14:textId="77777777" w:rsidTr="001F4A34">
        <w:trPr>
          <w:trHeight w:val="255"/>
          <w:jc w:val="center"/>
        </w:trPr>
        <w:tc>
          <w:tcPr>
            <w:tcW w:w="1115" w:type="pct"/>
            <w:tcBorders>
              <w:top w:val="nil"/>
              <w:left w:val="single" w:sz="8" w:space="0" w:color="auto"/>
              <w:bottom w:val="single" w:sz="8" w:space="0" w:color="auto"/>
              <w:right w:val="single" w:sz="8" w:space="0" w:color="auto"/>
            </w:tcBorders>
            <w:shd w:val="clear" w:color="auto" w:fill="FFFFFF" w:themeFill="background1"/>
            <w:vAlign w:val="center"/>
            <w:hideMark/>
          </w:tcPr>
          <w:p w14:paraId="07DD5891"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Parameters</w:t>
            </w:r>
          </w:p>
        </w:tc>
        <w:tc>
          <w:tcPr>
            <w:tcW w:w="113" w:type="pct"/>
            <w:tcBorders>
              <w:top w:val="nil"/>
              <w:left w:val="nil"/>
              <w:bottom w:val="single" w:sz="8" w:space="0" w:color="auto"/>
              <w:right w:val="nil"/>
            </w:tcBorders>
            <w:shd w:val="clear" w:color="auto" w:fill="FFFFFF" w:themeFill="background1"/>
            <w:vAlign w:val="center"/>
            <w:hideMark/>
          </w:tcPr>
          <w:p w14:paraId="519B6866"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F</w:t>
            </w:r>
          </w:p>
        </w:tc>
        <w:tc>
          <w:tcPr>
            <w:tcW w:w="222" w:type="pct"/>
            <w:tcBorders>
              <w:top w:val="nil"/>
              <w:left w:val="nil"/>
              <w:bottom w:val="single" w:sz="8" w:space="0" w:color="auto"/>
              <w:right w:val="nil"/>
            </w:tcBorders>
            <w:shd w:val="clear" w:color="auto" w:fill="FFFFFF" w:themeFill="background1"/>
            <w:vAlign w:val="center"/>
            <w:hideMark/>
          </w:tcPr>
          <w:p w14:paraId="5200F3F6"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M</w:t>
            </w:r>
          </w:p>
        </w:tc>
        <w:tc>
          <w:tcPr>
            <w:tcW w:w="222" w:type="pct"/>
            <w:tcBorders>
              <w:top w:val="nil"/>
              <w:left w:val="nil"/>
              <w:bottom w:val="single" w:sz="8" w:space="0" w:color="auto"/>
              <w:right w:val="nil"/>
            </w:tcBorders>
            <w:shd w:val="clear" w:color="auto" w:fill="FFFFFF" w:themeFill="background1"/>
            <w:vAlign w:val="center"/>
            <w:hideMark/>
          </w:tcPr>
          <w:p w14:paraId="099BF538"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222" w:type="pct"/>
            <w:tcBorders>
              <w:top w:val="nil"/>
              <w:left w:val="nil"/>
              <w:bottom w:val="single" w:sz="8" w:space="0" w:color="auto"/>
              <w:right w:val="nil"/>
            </w:tcBorders>
            <w:shd w:val="clear" w:color="auto" w:fill="FFFFFF" w:themeFill="background1"/>
            <w:vAlign w:val="center"/>
            <w:hideMark/>
          </w:tcPr>
          <w:p w14:paraId="3F1B1872"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F</w:t>
            </w:r>
          </w:p>
        </w:tc>
        <w:tc>
          <w:tcPr>
            <w:tcW w:w="222" w:type="pct"/>
            <w:tcBorders>
              <w:top w:val="nil"/>
              <w:left w:val="nil"/>
              <w:bottom w:val="single" w:sz="8" w:space="0" w:color="auto"/>
              <w:right w:val="nil"/>
            </w:tcBorders>
            <w:shd w:val="clear" w:color="auto" w:fill="FFFFFF" w:themeFill="background1"/>
            <w:vAlign w:val="center"/>
            <w:hideMark/>
          </w:tcPr>
          <w:p w14:paraId="0D85A29C"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M</w:t>
            </w: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5ABC024D"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T</w:t>
            </w:r>
          </w:p>
        </w:tc>
        <w:tc>
          <w:tcPr>
            <w:tcW w:w="222" w:type="pct"/>
            <w:tcBorders>
              <w:top w:val="nil"/>
              <w:left w:val="nil"/>
              <w:bottom w:val="single" w:sz="8" w:space="0" w:color="auto"/>
              <w:right w:val="nil"/>
            </w:tcBorders>
            <w:shd w:val="clear" w:color="auto" w:fill="FFFFFF" w:themeFill="background1"/>
            <w:vAlign w:val="center"/>
            <w:hideMark/>
          </w:tcPr>
          <w:p w14:paraId="79B136AF"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F</w:t>
            </w:r>
          </w:p>
        </w:tc>
        <w:tc>
          <w:tcPr>
            <w:tcW w:w="222" w:type="pct"/>
            <w:tcBorders>
              <w:top w:val="nil"/>
              <w:left w:val="nil"/>
              <w:bottom w:val="single" w:sz="8" w:space="0" w:color="auto"/>
              <w:right w:val="nil"/>
            </w:tcBorders>
            <w:shd w:val="clear" w:color="auto" w:fill="FFFFFF" w:themeFill="background1"/>
            <w:vAlign w:val="center"/>
            <w:hideMark/>
          </w:tcPr>
          <w:p w14:paraId="1E8BDB4D"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M</w:t>
            </w:r>
          </w:p>
        </w:tc>
        <w:tc>
          <w:tcPr>
            <w:tcW w:w="222" w:type="pct"/>
            <w:tcBorders>
              <w:top w:val="nil"/>
              <w:left w:val="nil"/>
              <w:bottom w:val="single" w:sz="8" w:space="0" w:color="auto"/>
              <w:right w:val="nil"/>
            </w:tcBorders>
            <w:shd w:val="clear" w:color="auto" w:fill="FFFFFF" w:themeFill="background1"/>
            <w:vAlign w:val="center"/>
            <w:hideMark/>
          </w:tcPr>
          <w:p w14:paraId="7668D909"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222" w:type="pct"/>
            <w:tcBorders>
              <w:top w:val="nil"/>
              <w:left w:val="nil"/>
              <w:bottom w:val="single" w:sz="8" w:space="0" w:color="auto"/>
              <w:right w:val="nil"/>
            </w:tcBorders>
            <w:shd w:val="clear" w:color="auto" w:fill="FFFFFF" w:themeFill="background1"/>
            <w:vAlign w:val="center"/>
            <w:hideMark/>
          </w:tcPr>
          <w:p w14:paraId="2F5B13B9"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F</w:t>
            </w:r>
          </w:p>
        </w:tc>
        <w:tc>
          <w:tcPr>
            <w:tcW w:w="222" w:type="pct"/>
            <w:tcBorders>
              <w:top w:val="nil"/>
              <w:left w:val="nil"/>
              <w:bottom w:val="single" w:sz="8" w:space="0" w:color="auto"/>
              <w:right w:val="nil"/>
            </w:tcBorders>
            <w:shd w:val="clear" w:color="auto" w:fill="FFFFFF" w:themeFill="background1"/>
            <w:vAlign w:val="center"/>
            <w:hideMark/>
          </w:tcPr>
          <w:p w14:paraId="541077F2"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M</w:t>
            </w: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16D673A8"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T</w:t>
            </w:r>
          </w:p>
        </w:tc>
        <w:tc>
          <w:tcPr>
            <w:tcW w:w="222" w:type="pct"/>
            <w:tcBorders>
              <w:top w:val="nil"/>
              <w:left w:val="nil"/>
              <w:bottom w:val="single" w:sz="8" w:space="0" w:color="auto"/>
              <w:right w:val="nil"/>
            </w:tcBorders>
            <w:shd w:val="clear" w:color="auto" w:fill="FFFFFF" w:themeFill="background1"/>
            <w:vAlign w:val="center"/>
            <w:hideMark/>
          </w:tcPr>
          <w:p w14:paraId="3C1FA75C"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F</w:t>
            </w:r>
          </w:p>
        </w:tc>
        <w:tc>
          <w:tcPr>
            <w:tcW w:w="222" w:type="pct"/>
            <w:tcBorders>
              <w:top w:val="nil"/>
              <w:left w:val="nil"/>
              <w:bottom w:val="single" w:sz="8" w:space="0" w:color="auto"/>
              <w:right w:val="nil"/>
            </w:tcBorders>
            <w:shd w:val="clear" w:color="auto" w:fill="FFFFFF" w:themeFill="background1"/>
            <w:vAlign w:val="center"/>
            <w:hideMark/>
          </w:tcPr>
          <w:p w14:paraId="25643829"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M</w:t>
            </w:r>
          </w:p>
        </w:tc>
        <w:tc>
          <w:tcPr>
            <w:tcW w:w="222" w:type="pct"/>
            <w:tcBorders>
              <w:top w:val="nil"/>
              <w:left w:val="nil"/>
              <w:bottom w:val="single" w:sz="8" w:space="0" w:color="auto"/>
              <w:right w:val="nil"/>
            </w:tcBorders>
            <w:shd w:val="clear" w:color="auto" w:fill="FFFFFF" w:themeFill="background1"/>
            <w:vAlign w:val="center"/>
            <w:hideMark/>
          </w:tcPr>
          <w:p w14:paraId="10CB382B"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222" w:type="pct"/>
            <w:tcBorders>
              <w:top w:val="nil"/>
              <w:left w:val="nil"/>
              <w:bottom w:val="single" w:sz="8" w:space="0" w:color="auto"/>
              <w:right w:val="nil"/>
            </w:tcBorders>
            <w:shd w:val="clear" w:color="auto" w:fill="FFFFFF" w:themeFill="background1"/>
            <w:vAlign w:val="center"/>
            <w:hideMark/>
          </w:tcPr>
          <w:p w14:paraId="5F3670BB"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F</w:t>
            </w:r>
          </w:p>
        </w:tc>
        <w:tc>
          <w:tcPr>
            <w:tcW w:w="222" w:type="pct"/>
            <w:tcBorders>
              <w:top w:val="nil"/>
              <w:left w:val="nil"/>
              <w:bottom w:val="single" w:sz="8" w:space="0" w:color="auto"/>
              <w:right w:val="nil"/>
            </w:tcBorders>
            <w:shd w:val="clear" w:color="auto" w:fill="FFFFFF" w:themeFill="background1"/>
            <w:vAlign w:val="center"/>
            <w:hideMark/>
          </w:tcPr>
          <w:p w14:paraId="468FAF18"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M</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113CFA8C"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 T</w:t>
            </w:r>
          </w:p>
        </w:tc>
      </w:tr>
      <w:tr w:rsidR="00681B50" w:rsidRPr="00435B6B" w14:paraId="32590F2D" w14:textId="77777777" w:rsidTr="001F4A34">
        <w:trPr>
          <w:trHeight w:val="30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0A1AAF3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Sex</w:t>
            </w:r>
          </w:p>
        </w:tc>
        <w:tc>
          <w:tcPr>
            <w:tcW w:w="113" w:type="pct"/>
            <w:tcBorders>
              <w:top w:val="nil"/>
              <w:left w:val="nil"/>
              <w:bottom w:val="nil"/>
              <w:right w:val="nil"/>
            </w:tcBorders>
            <w:shd w:val="clear" w:color="auto" w:fill="FFFFFF" w:themeFill="background1"/>
            <w:noWrap/>
            <w:vAlign w:val="center"/>
            <w:hideMark/>
          </w:tcPr>
          <w:p w14:paraId="3CC101B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38</w:t>
            </w:r>
          </w:p>
        </w:tc>
        <w:tc>
          <w:tcPr>
            <w:tcW w:w="222" w:type="pct"/>
            <w:tcBorders>
              <w:top w:val="nil"/>
              <w:left w:val="nil"/>
              <w:bottom w:val="nil"/>
              <w:right w:val="nil"/>
            </w:tcBorders>
            <w:shd w:val="clear" w:color="auto" w:fill="FFFFFF" w:themeFill="background1"/>
            <w:noWrap/>
            <w:vAlign w:val="center"/>
            <w:hideMark/>
          </w:tcPr>
          <w:p w14:paraId="536C75F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2" w:type="pct"/>
            <w:tcBorders>
              <w:top w:val="nil"/>
              <w:left w:val="nil"/>
              <w:bottom w:val="nil"/>
              <w:right w:val="nil"/>
            </w:tcBorders>
            <w:shd w:val="clear" w:color="auto" w:fill="FFFFFF" w:themeFill="background1"/>
            <w:noWrap/>
            <w:vAlign w:val="center"/>
            <w:hideMark/>
          </w:tcPr>
          <w:p w14:paraId="02F586EE"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sz w:val="20"/>
                <w:szCs w:val="20"/>
              </w:rPr>
              <w:t>138</w:t>
            </w:r>
          </w:p>
        </w:tc>
        <w:tc>
          <w:tcPr>
            <w:tcW w:w="222" w:type="pct"/>
            <w:tcBorders>
              <w:top w:val="nil"/>
              <w:left w:val="nil"/>
              <w:bottom w:val="nil"/>
              <w:right w:val="nil"/>
            </w:tcBorders>
            <w:shd w:val="clear" w:color="auto" w:fill="FFFFFF" w:themeFill="background1"/>
            <w:noWrap/>
            <w:vAlign w:val="center"/>
            <w:hideMark/>
          </w:tcPr>
          <w:p w14:paraId="20460CE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27.5</w:t>
            </w:r>
          </w:p>
        </w:tc>
        <w:tc>
          <w:tcPr>
            <w:tcW w:w="222" w:type="pct"/>
            <w:tcBorders>
              <w:top w:val="nil"/>
              <w:left w:val="nil"/>
              <w:bottom w:val="nil"/>
              <w:right w:val="nil"/>
            </w:tcBorders>
            <w:shd w:val="clear" w:color="auto" w:fill="FFFFFF" w:themeFill="background1"/>
            <w:noWrap/>
            <w:vAlign w:val="center"/>
            <w:hideMark/>
          </w:tcPr>
          <w:p w14:paraId="3A6A262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72.5</w:t>
            </w:r>
          </w:p>
        </w:tc>
        <w:tc>
          <w:tcPr>
            <w:tcW w:w="222" w:type="pct"/>
            <w:tcBorders>
              <w:top w:val="nil"/>
              <w:left w:val="nil"/>
              <w:bottom w:val="nil"/>
              <w:right w:val="single" w:sz="8" w:space="0" w:color="auto"/>
            </w:tcBorders>
            <w:shd w:val="clear" w:color="auto" w:fill="FFFFFF" w:themeFill="background1"/>
            <w:vAlign w:val="center"/>
            <w:hideMark/>
          </w:tcPr>
          <w:p w14:paraId="154793E5" w14:textId="1A171D1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nil"/>
              <w:right w:val="nil"/>
            </w:tcBorders>
            <w:shd w:val="clear" w:color="auto" w:fill="FFFFFF" w:themeFill="background1"/>
            <w:noWrap/>
            <w:vAlign w:val="center"/>
            <w:hideMark/>
          </w:tcPr>
          <w:p w14:paraId="7601823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48</w:t>
            </w:r>
          </w:p>
        </w:tc>
        <w:tc>
          <w:tcPr>
            <w:tcW w:w="222" w:type="pct"/>
            <w:tcBorders>
              <w:top w:val="nil"/>
              <w:left w:val="nil"/>
              <w:bottom w:val="nil"/>
              <w:right w:val="nil"/>
            </w:tcBorders>
            <w:shd w:val="clear" w:color="auto" w:fill="FFFFFF" w:themeFill="background1"/>
            <w:noWrap/>
            <w:vAlign w:val="center"/>
            <w:hideMark/>
          </w:tcPr>
          <w:p w14:paraId="32ED89D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87</w:t>
            </w:r>
          </w:p>
        </w:tc>
        <w:tc>
          <w:tcPr>
            <w:tcW w:w="222" w:type="pct"/>
            <w:tcBorders>
              <w:top w:val="nil"/>
              <w:left w:val="nil"/>
              <w:bottom w:val="nil"/>
              <w:right w:val="nil"/>
            </w:tcBorders>
            <w:shd w:val="clear" w:color="auto" w:fill="FFFFFF" w:themeFill="background1"/>
            <w:noWrap/>
            <w:vAlign w:val="center"/>
            <w:hideMark/>
          </w:tcPr>
          <w:p w14:paraId="5DCED64C"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135</w:t>
            </w:r>
          </w:p>
        </w:tc>
        <w:tc>
          <w:tcPr>
            <w:tcW w:w="222" w:type="pct"/>
            <w:tcBorders>
              <w:top w:val="nil"/>
              <w:left w:val="nil"/>
              <w:bottom w:val="nil"/>
              <w:right w:val="nil"/>
            </w:tcBorders>
            <w:shd w:val="clear" w:color="auto" w:fill="FFFFFF" w:themeFill="background1"/>
            <w:noWrap/>
            <w:vAlign w:val="center"/>
            <w:hideMark/>
          </w:tcPr>
          <w:p w14:paraId="63001AD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35.6</w:t>
            </w:r>
          </w:p>
        </w:tc>
        <w:tc>
          <w:tcPr>
            <w:tcW w:w="222" w:type="pct"/>
            <w:tcBorders>
              <w:top w:val="nil"/>
              <w:left w:val="nil"/>
              <w:bottom w:val="nil"/>
              <w:right w:val="nil"/>
            </w:tcBorders>
            <w:shd w:val="clear" w:color="auto" w:fill="FFFFFF" w:themeFill="background1"/>
            <w:noWrap/>
            <w:vAlign w:val="center"/>
            <w:hideMark/>
          </w:tcPr>
          <w:p w14:paraId="1612A64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64.4</w:t>
            </w:r>
          </w:p>
        </w:tc>
        <w:tc>
          <w:tcPr>
            <w:tcW w:w="222" w:type="pct"/>
            <w:tcBorders>
              <w:top w:val="nil"/>
              <w:left w:val="nil"/>
              <w:bottom w:val="nil"/>
              <w:right w:val="single" w:sz="8" w:space="0" w:color="auto"/>
            </w:tcBorders>
            <w:shd w:val="clear" w:color="auto" w:fill="FFFFFF" w:themeFill="background1"/>
            <w:vAlign w:val="center"/>
            <w:hideMark/>
          </w:tcPr>
          <w:p w14:paraId="6481315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90.0</w:t>
            </w:r>
          </w:p>
        </w:tc>
        <w:tc>
          <w:tcPr>
            <w:tcW w:w="222" w:type="pct"/>
            <w:tcBorders>
              <w:top w:val="nil"/>
              <w:left w:val="nil"/>
              <w:bottom w:val="nil"/>
              <w:right w:val="nil"/>
            </w:tcBorders>
            <w:shd w:val="clear" w:color="auto" w:fill="FFFFFF" w:themeFill="background1"/>
            <w:noWrap/>
            <w:vAlign w:val="center"/>
            <w:hideMark/>
          </w:tcPr>
          <w:p w14:paraId="4B4F41C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42</w:t>
            </w:r>
          </w:p>
        </w:tc>
        <w:tc>
          <w:tcPr>
            <w:tcW w:w="222" w:type="pct"/>
            <w:tcBorders>
              <w:top w:val="nil"/>
              <w:left w:val="nil"/>
              <w:bottom w:val="nil"/>
              <w:right w:val="nil"/>
            </w:tcBorders>
            <w:shd w:val="clear" w:color="auto" w:fill="FFFFFF" w:themeFill="background1"/>
            <w:noWrap/>
            <w:vAlign w:val="center"/>
            <w:hideMark/>
          </w:tcPr>
          <w:p w14:paraId="3A9C5C3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108</w:t>
            </w:r>
          </w:p>
        </w:tc>
        <w:tc>
          <w:tcPr>
            <w:tcW w:w="222" w:type="pct"/>
            <w:tcBorders>
              <w:top w:val="nil"/>
              <w:left w:val="nil"/>
              <w:bottom w:val="nil"/>
              <w:right w:val="nil"/>
            </w:tcBorders>
            <w:shd w:val="clear" w:color="auto" w:fill="FFFFFF" w:themeFill="background1"/>
            <w:noWrap/>
            <w:vAlign w:val="center"/>
            <w:hideMark/>
          </w:tcPr>
          <w:p w14:paraId="1B89B445"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150</w:t>
            </w:r>
          </w:p>
        </w:tc>
        <w:tc>
          <w:tcPr>
            <w:tcW w:w="222" w:type="pct"/>
            <w:tcBorders>
              <w:top w:val="nil"/>
              <w:left w:val="nil"/>
              <w:bottom w:val="nil"/>
              <w:right w:val="nil"/>
            </w:tcBorders>
            <w:shd w:val="clear" w:color="auto" w:fill="FFFFFF" w:themeFill="background1"/>
            <w:noWrap/>
            <w:vAlign w:val="center"/>
            <w:hideMark/>
          </w:tcPr>
          <w:p w14:paraId="0CD5873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28.0</w:t>
            </w:r>
          </w:p>
        </w:tc>
        <w:tc>
          <w:tcPr>
            <w:tcW w:w="222" w:type="pct"/>
            <w:tcBorders>
              <w:top w:val="nil"/>
              <w:left w:val="nil"/>
              <w:bottom w:val="nil"/>
              <w:right w:val="nil"/>
            </w:tcBorders>
            <w:shd w:val="clear" w:color="auto" w:fill="FFFFFF" w:themeFill="background1"/>
            <w:noWrap/>
            <w:vAlign w:val="center"/>
            <w:hideMark/>
          </w:tcPr>
          <w:p w14:paraId="76B0519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72.0</w:t>
            </w:r>
          </w:p>
        </w:tc>
        <w:tc>
          <w:tcPr>
            <w:tcW w:w="220" w:type="pct"/>
            <w:tcBorders>
              <w:top w:val="nil"/>
              <w:left w:val="nil"/>
              <w:bottom w:val="nil"/>
              <w:right w:val="single" w:sz="8" w:space="0" w:color="auto"/>
            </w:tcBorders>
            <w:shd w:val="clear" w:color="auto" w:fill="FFFFFF" w:themeFill="background1"/>
            <w:vAlign w:val="center"/>
            <w:hideMark/>
          </w:tcPr>
          <w:p w14:paraId="65380D09" w14:textId="03C48894" w:rsidR="003421D4" w:rsidRPr="009819CE" w:rsidRDefault="003421D4" w:rsidP="00AB5EC8">
            <w:pPr>
              <w:spacing w:before="0" w:after="0" w:line="240" w:lineRule="auto"/>
              <w:jc w:val="center"/>
              <w:rPr>
                <w:rFonts w:cstheme="minorBidi"/>
                <w:color w:val="000000"/>
                <w:sz w:val="20"/>
                <w:szCs w:val="20"/>
              </w:rPr>
            </w:pPr>
          </w:p>
        </w:tc>
      </w:tr>
      <w:tr w:rsidR="00681B50" w:rsidRPr="00435B6B" w14:paraId="2322E1F1" w14:textId="77777777" w:rsidTr="001F4A34">
        <w:trPr>
          <w:trHeight w:val="495"/>
          <w:jc w:val="center"/>
        </w:trPr>
        <w:tc>
          <w:tcPr>
            <w:tcW w:w="1115" w:type="pct"/>
            <w:tcBorders>
              <w:top w:val="nil"/>
              <w:left w:val="single" w:sz="8" w:space="0" w:color="auto"/>
              <w:bottom w:val="single" w:sz="8" w:space="0" w:color="auto"/>
              <w:right w:val="single" w:sz="8" w:space="0" w:color="auto"/>
            </w:tcBorders>
            <w:shd w:val="clear" w:color="auto" w:fill="FFFFFF" w:themeFill="background1"/>
            <w:vAlign w:val="center"/>
            <w:hideMark/>
          </w:tcPr>
          <w:p w14:paraId="1DA80352"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Body colour method (BCM)</w:t>
            </w:r>
          </w:p>
        </w:tc>
        <w:tc>
          <w:tcPr>
            <w:tcW w:w="113" w:type="pct"/>
            <w:tcBorders>
              <w:top w:val="nil"/>
              <w:left w:val="nil"/>
              <w:bottom w:val="single" w:sz="8" w:space="0" w:color="auto"/>
              <w:right w:val="nil"/>
            </w:tcBorders>
            <w:shd w:val="clear" w:color="auto" w:fill="FFFFFF" w:themeFill="background1"/>
            <w:noWrap/>
            <w:vAlign w:val="center"/>
            <w:hideMark/>
          </w:tcPr>
          <w:p w14:paraId="51942FB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noWrap/>
            <w:vAlign w:val="center"/>
            <w:hideMark/>
          </w:tcPr>
          <w:p w14:paraId="3CF6570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noWrap/>
            <w:vAlign w:val="center"/>
            <w:hideMark/>
          </w:tcPr>
          <w:p w14:paraId="51760E3F" w14:textId="25B83B3B"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90D6B24" w14:textId="27C51962"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52D41F44" w14:textId="4F6B7B00"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2EC04FB7" w14:textId="695A83E4"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22BEFB6B" w14:textId="5082BA50"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13C00CD8" w14:textId="42326BE6"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49B96D32" w14:textId="2362326B"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699EEFE0" w14:textId="093500E0"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116566FA" w14:textId="516F4839"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7A2C4F4C" w14:textId="35328B0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10EB0595" w14:textId="6F0D2B1D"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2341D90E" w14:textId="673BFCFB"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030C335" w14:textId="0365165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59BD88EA" w14:textId="58176D7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573A6FD8" w14:textId="15D01261" w:rsidR="003421D4" w:rsidRPr="009819CE" w:rsidRDefault="003421D4" w:rsidP="00AB5EC8">
            <w:pPr>
              <w:spacing w:before="0" w:after="0" w:line="240" w:lineRule="auto"/>
              <w:jc w:val="center"/>
              <w:rPr>
                <w:rFonts w:cstheme="minorBidi"/>
                <w:color w:val="000000"/>
                <w:sz w:val="20"/>
                <w:szCs w:val="20"/>
              </w:rPr>
            </w:pP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77E18E74" w14:textId="6A5DCF07" w:rsidR="003421D4" w:rsidRPr="009819CE" w:rsidRDefault="003421D4" w:rsidP="00AB5EC8">
            <w:pPr>
              <w:spacing w:before="0" w:after="0" w:line="240" w:lineRule="auto"/>
              <w:jc w:val="center"/>
              <w:rPr>
                <w:rFonts w:cstheme="minorBidi"/>
                <w:color w:val="000000"/>
                <w:sz w:val="20"/>
                <w:szCs w:val="20"/>
              </w:rPr>
            </w:pPr>
          </w:p>
        </w:tc>
      </w:tr>
      <w:tr w:rsidR="00681B50" w:rsidRPr="00435B6B" w14:paraId="28F9FD84"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0C42A05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NEG (BCM)</w:t>
            </w:r>
          </w:p>
        </w:tc>
        <w:tc>
          <w:tcPr>
            <w:tcW w:w="113" w:type="pct"/>
            <w:tcBorders>
              <w:top w:val="nil"/>
              <w:left w:val="nil"/>
              <w:bottom w:val="nil"/>
              <w:right w:val="nil"/>
            </w:tcBorders>
            <w:shd w:val="clear" w:color="auto" w:fill="FFFFFF" w:themeFill="background1"/>
            <w:noWrap/>
            <w:vAlign w:val="center"/>
            <w:hideMark/>
          </w:tcPr>
          <w:p w14:paraId="730CD4A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31</w:t>
            </w:r>
          </w:p>
        </w:tc>
        <w:tc>
          <w:tcPr>
            <w:tcW w:w="222" w:type="pct"/>
            <w:tcBorders>
              <w:top w:val="nil"/>
              <w:left w:val="nil"/>
              <w:bottom w:val="nil"/>
              <w:right w:val="nil"/>
            </w:tcBorders>
            <w:shd w:val="clear" w:color="auto" w:fill="FFFFFF" w:themeFill="background1"/>
            <w:noWrap/>
            <w:vAlign w:val="center"/>
            <w:hideMark/>
          </w:tcPr>
          <w:p w14:paraId="4E4728B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90</w:t>
            </w:r>
          </w:p>
        </w:tc>
        <w:tc>
          <w:tcPr>
            <w:tcW w:w="222" w:type="pct"/>
            <w:tcBorders>
              <w:top w:val="nil"/>
              <w:left w:val="nil"/>
              <w:bottom w:val="nil"/>
              <w:right w:val="nil"/>
            </w:tcBorders>
            <w:shd w:val="clear" w:color="auto" w:fill="FFFFFF" w:themeFill="background1"/>
            <w:noWrap/>
            <w:vAlign w:val="center"/>
            <w:hideMark/>
          </w:tcPr>
          <w:p w14:paraId="1AF0EB4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121</w:t>
            </w:r>
          </w:p>
        </w:tc>
        <w:tc>
          <w:tcPr>
            <w:tcW w:w="222" w:type="pct"/>
            <w:tcBorders>
              <w:top w:val="nil"/>
              <w:left w:val="nil"/>
              <w:bottom w:val="nil"/>
              <w:right w:val="nil"/>
            </w:tcBorders>
            <w:shd w:val="clear" w:color="auto" w:fill="FFFFFF" w:themeFill="background1"/>
            <w:noWrap/>
            <w:vAlign w:val="center"/>
            <w:hideMark/>
          </w:tcPr>
          <w:p w14:paraId="277F395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25.6</w:t>
            </w:r>
          </w:p>
        </w:tc>
        <w:tc>
          <w:tcPr>
            <w:tcW w:w="222" w:type="pct"/>
            <w:tcBorders>
              <w:top w:val="nil"/>
              <w:left w:val="nil"/>
              <w:bottom w:val="nil"/>
              <w:right w:val="nil"/>
            </w:tcBorders>
            <w:shd w:val="clear" w:color="auto" w:fill="FFFFFF" w:themeFill="background1"/>
            <w:noWrap/>
            <w:vAlign w:val="center"/>
            <w:hideMark/>
          </w:tcPr>
          <w:p w14:paraId="56C6C48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74.4</w:t>
            </w:r>
          </w:p>
        </w:tc>
        <w:tc>
          <w:tcPr>
            <w:tcW w:w="222" w:type="pct"/>
            <w:tcBorders>
              <w:top w:val="nil"/>
              <w:left w:val="nil"/>
              <w:bottom w:val="nil"/>
              <w:right w:val="single" w:sz="8" w:space="0" w:color="auto"/>
            </w:tcBorders>
            <w:shd w:val="clear" w:color="auto" w:fill="FFFFFF" w:themeFill="background1"/>
            <w:vAlign w:val="center"/>
            <w:hideMark/>
          </w:tcPr>
          <w:p w14:paraId="226F0CD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87.7</w:t>
            </w:r>
          </w:p>
        </w:tc>
        <w:tc>
          <w:tcPr>
            <w:tcW w:w="222" w:type="pct"/>
            <w:tcBorders>
              <w:top w:val="nil"/>
              <w:left w:val="nil"/>
              <w:bottom w:val="nil"/>
              <w:right w:val="nil"/>
            </w:tcBorders>
            <w:shd w:val="clear" w:color="auto" w:fill="FFFFFF" w:themeFill="background1"/>
            <w:noWrap/>
            <w:vAlign w:val="center"/>
            <w:hideMark/>
          </w:tcPr>
          <w:p w14:paraId="194BA59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38</w:t>
            </w:r>
          </w:p>
        </w:tc>
        <w:tc>
          <w:tcPr>
            <w:tcW w:w="222" w:type="pct"/>
            <w:tcBorders>
              <w:top w:val="nil"/>
              <w:left w:val="nil"/>
              <w:bottom w:val="nil"/>
              <w:right w:val="nil"/>
            </w:tcBorders>
            <w:shd w:val="clear" w:color="auto" w:fill="FFFFFF" w:themeFill="background1"/>
            <w:noWrap/>
            <w:vAlign w:val="center"/>
            <w:hideMark/>
          </w:tcPr>
          <w:p w14:paraId="061C486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76</w:t>
            </w:r>
          </w:p>
        </w:tc>
        <w:tc>
          <w:tcPr>
            <w:tcW w:w="222" w:type="pct"/>
            <w:tcBorders>
              <w:top w:val="nil"/>
              <w:left w:val="nil"/>
              <w:bottom w:val="nil"/>
              <w:right w:val="nil"/>
            </w:tcBorders>
            <w:shd w:val="clear" w:color="auto" w:fill="FFFFFF" w:themeFill="background1"/>
            <w:noWrap/>
            <w:vAlign w:val="center"/>
            <w:hideMark/>
          </w:tcPr>
          <w:p w14:paraId="06127A4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114</w:t>
            </w:r>
          </w:p>
        </w:tc>
        <w:tc>
          <w:tcPr>
            <w:tcW w:w="222" w:type="pct"/>
            <w:tcBorders>
              <w:top w:val="nil"/>
              <w:left w:val="nil"/>
              <w:bottom w:val="nil"/>
              <w:right w:val="nil"/>
            </w:tcBorders>
            <w:shd w:val="clear" w:color="auto" w:fill="FFFFFF" w:themeFill="background1"/>
            <w:noWrap/>
            <w:vAlign w:val="center"/>
            <w:hideMark/>
          </w:tcPr>
          <w:p w14:paraId="0DE8B32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22" w:type="pct"/>
            <w:tcBorders>
              <w:top w:val="nil"/>
              <w:left w:val="nil"/>
              <w:bottom w:val="nil"/>
              <w:right w:val="nil"/>
            </w:tcBorders>
            <w:shd w:val="clear" w:color="auto" w:fill="FFFFFF" w:themeFill="background1"/>
            <w:noWrap/>
            <w:vAlign w:val="center"/>
            <w:hideMark/>
          </w:tcPr>
          <w:p w14:paraId="332CD69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22" w:type="pct"/>
            <w:tcBorders>
              <w:top w:val="nil"/>
              <w:left w:val="nil"/>
              <w:bottom w:val="nil"/>
              <w:right w:val="single" w:sz="8" w:space="0" w:color="auto"/>
            </w:tcBorders>
            <w:shd w:val="clear" w:color="auto" w:fill="FFFFFF" w:themeFill="background1"/>
            <w:vAlign w:val="center"/>
            <w:hideMark/>
          </w:tcPr>
          <w:p w14:paraId="5A309A3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84.4</w:t>
            </w:r>
          </w:p>
        </w:tc>
        <w:tc>
          <w:tcPr>
            <w:tcW w:w="222" w:type="pct"/>
            <w:tcBorders>
              <w:top w:val="nil"/>
              <w:left w:val="nil"/>
              <w:bottom w:val="nil"/>
              <w:right w:val="nil"/>
            </w:tcBorders>
            <w:shd w:val="clear" w:color="auto" w:fill="FFFFFF" w:themeFill="background1"/>
            <w:noWrap/>
            <w:vAlign w:val="center"/>
            <w:hideMark/>
          </w:tcPr>
          <w:p w14:paraId="159947D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37</w:t>
            </w:r>
          </w:p>
        </w:tc>
        <w:tc>
          <w:tcPr>
            <w:tcW w:w="222" w:type="pct"/>
            <w:tcBorders>
              <w:top w:val="nil"/>
              <w:left w:val="nil"/>
              <w:bottom w:val="nil"/>
              <w:right w:val="nil"/>
            </w:tcBorders>
            <w:shd w:val="clear" w:color="auto" w:fill="FFFFFF" w:themeFill="background1"/>
            <w:noWrap/>
            <w:vAlign w:val="center"/>
            <w:hideMark/>
          </w:tcPr>
          <w:p w14:paraId="3466A3E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102</w:t>
            </w:r>
          </w:p>
        </w:tc>
        <w:tc>
          <w:tcPr>
            <w:tcW w:w="222" w:type="pct"/>
            <w:tcBorders>
              <w:top w:val="nil"/>
              <w:left w:val="nil"/>
              <w:bottom w:val="nil"/>
              <w:right w:val="nil"/>
            </w:tcBorders>
            <w:shd w:val="clear" w:color="auto" w:fill="FFFFFF" w:themeFill="background1"/>
            <w:noWrap/>
            <w:vAlign w:val="center"/>
            <w:hideMark/>
          </w:tcPr>
          <w:p w14:paraId="60A9CA3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139</w:t>
            </w:r>
          </w:p>
        </w:tc>
        <w:tc>
          <w:tcPr>
            <w:tcW w:w="222" w:type="pct"/>
            <w:tcBorders>
              <w:top w:val="nil"/>
              <w:left w:val="nil"/>
              <w:bottom w:val="nil"/>
              <w:right w:val="nil"/>
            </w:tcBorders>
            <w:shd w:val="clear" w:color="auto" w:fill="FFFFFF" w:themeFill="background1"/>
            <w:noWrap/>
            <w:vAlign w:val="center"/>
            <w:hideMark/>
          </w:tcPr>
          <w:p w14:paraId="6CBFE49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26.6</w:t>
            </w:r>
          </w:p>
        </w:tc>
        <w:tc>
          <w:tcPr>
            <w:tcW w:w="222" w:type="pct"/>
            <w:tcBorders>
              <w:top w:val="nil"/>
              <w:left w:val="nil"/>
              <w:bottom w:val="nil"/>
              <w:right w:val="nil"/>
            </w:tcBorders>
            <w:shd w:val="clear" w:color="auto" w:fill="FFFFFF" w:themeFill="background1"/>
            <w:noWrap/>
            <w:vAlign w:val="center"/>
            <w:hideMark/>
          </w:tcPr>
          <w:p w14:paraId="18B166A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73.4</w:t>
            </w:r>
          </w:p>
        </w:tc>
        <w:tc>
          <w:tcPr>
            <w:tcW w:w="220" w:type="pct"/>
            <w:tcBorders>
              <w:top w:val="nil"/>
              <w:left w:val="nil"/>
              <w:bottom w:val="nil"/>
              <w:right w:val="single" w:sz="8" w:space="0" w:color="auto"/>
            </w:tcBorders>
            <w:shd w:val="clear" w:color="auto" w:fill="FFFFFF" w:themeFill="background1"/>
            <w:vAlign w:val="center"/>
            <w:hideMark/>
          </w:tcPr>
          <w:p w14:paraId="68BCAB0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92.7</w:t>
            </w:r>
          </w:p>
        </w:tc>
      </w:tr>
      <w:tr w:rsidR="00681B50" w:rsidRPr="00435B6B" w14:paraId="4A48CAD4"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197F7FD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POS (BCM)</w:t>
            </w:r>
          </w:p>
        </w:tc>
        <w:tc>
          <w:tcPr>
            <w:tcW w:w="113" w:type="pct"/>
            <w:tcBorders>
              <w:top w:val="nil"/>
              <w:left w:val="nil"/>
              <w:bottom w:val="nil"/>
              <w:right w:val="nil"/>
            </w:tcBorders>
            <w:shd w:val="clear" w:color="auto" w:fill="FFFFFF" w:themeFill="background1"/>
            <w:noWrap/>
            <w:vAlign w:val="center"/>
            <w:hideMark/>
          </w:tcPr>
          <w:p w14:paraId="4B58B24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w:t>
            </w:r>
          </w:p>
        </w:tc>
        <w:tc>
          <w:tcPr>
            <w:tcW w:w="222" w:type="pct"/>
            <w:tcBorders>
              <w:top w:val="nil"/>
              <w:left w:val="nil"/>
              <w:bottom w:val="nil"/>
              <w:right w:val="nil"/>
            </w:tcBorders>
            <w:shd w:val="clear" w:color="auto" w:fill="FFFFFF" w:themeFill="background1"/>
            <w:noWrap/>
            <w:vAlign w:val="center"/>
            <w:hideMark/>
          </w:tcPr>
          <w:p w14:paraId="24BD013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22" w:type="pct"/>
            <w:tcBorders>
              <w:top w:val="nil"/>
              <w:left w:val="nil"/>
              <w:bottom w:val="nil"/>
              <w:right w:val="nil"/>
            </w:tcBorders>
            <w:shd w:val="clear" w:color="auto" w:fill="FFFFFF" w:themeFill="background1"/>
            <w:noWrap/>
            <w:vAlign w:val="center"/>
            <w:hideMark/>
          </w:tcPr>
          <w:p w14:paraId="01E4CBF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17</w:t>
            </w:r>
          </w:p>
        </w:tc>
        <w:tc>
          <w:tcPr>
            <w:tcW w:w="222" w:type="pct"/>
            <w:tcBorders>
              <w:top w:val="nil"/>
              <w:left w:val="nil"/>
              <w:bottom w:val="nil"/>
              <w:right w:val="nil"/>
            </w:tcBorders>
            <w:shd w:val="clear" w:color="auto" w:fill="FFFFFF" w:themeFill="background1"/>
            <w:noWrap/>
            <w:vAlign w:val="center"/>
            <w:hideMark/>
          </w:tcPr>
          <w:p w14:paraId="4171778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41.2</w:t>
            </w:r>
          </w:p>
        </w:tc>
        <w:tc>
          <w:tcPr>
            <w:tcW w:w="222" w:type="pct"/>
            <w:tcBorders>
              <w:top w:val="nil"/>
              <w:left w:val="nil"/>
              <w:bottom w:val="nil"/>
              <w:right w:val="nil"/>
            </w:tcBorders>
            <w:shd w:val="clear" w:color="auto" w:fill="FFFFFF" w:themeFill="background1"/>
            <w:noWrap/>
            <w:vAlign w:val="center"/>
            <w:hideMark/>
          </w:tcPr>
          <w:p w14:paraId="39045E9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58.8</w:t>
            </w:r>
          </w:p>
        </w:tc>
        <w:tc>
          <w:tcPr>
            <w:tcW w:w="222" w:type="pct"/>
            <w:tcBorders>
              <w:top w:val="nil"/>
              <w:left w:val="nil"/>
              <w:bottom w:val="nil"/>
              <w:right w:val="single" w:sz="8" w:space="0" w:color="auto"/>
            </w:tcBorders>
            <w:shd w:val="clear" w:color="auto" w:fill="FFFFFF" w:themeFill="background1"/>
            <w:vAlign w:val="center"/>
            <w:hideMark/>
          </w:tcPr>
          <w:p w14:paraId="77AE068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12.3</w:t>
            </w:r>
          </w:p>
        </w:tc>
        <w:tc>
          <w:tcPr>
            <w:tcW w:w="222" w:type="pct"/>
            <w:tcBorders>
              <w:top w:val="nil"/>
              <w:left w:val="nil"/>
              <w:bottom w:val="nil"/>
              <w:right w:val="nil"/>
            </w:tcBorders>
            <w:shd w:val="clear" w:color="auto" w:fill="FFFFFF" w:themeFill="background1"/>
            <w:noWrap/>
            <w:vAlign w:val="center"/>
            <w:hideMark/>
          </w:tcPr>
          <w:p w14:paraId="6A3D0E9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22" w:type="pct"/>
            <w:tcBorders>
              <w:top w:val="nil"/>
              <w:left w:val="nil"/>
              <w:bottom w:val="nil"/>
              <w:right w:val="nil"/>
            </w:tcBorders>
            <w:shd w:val="clear" w:color="auto" w:fill="FFFFFF" w:themeFill="background1"/>
            <w:noWrap/>
            <w:vAlign w:val="center"/>
            <w:hideMark/>
          </w:tcPr>
          <w:p w14:paraId="4365441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nil"/>
              <w:right w:val="nil"/>
            </w:tcBorders>
            <w:shd w:val="clear" w:color="auto" w:fill="FFFFFF" w:themeFill="background1"/>
            <w:noWrap/>
            <w:vAlign w:val="center"/>
            <w:hideMark/>
          </w:tcPr>
          <w:p w14:paraId="1EF3128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22" w:type="pct"/>
            <w:tcBorders>
              <w:top w:val="nil"/>
              <w:left w:val="nil"/>
              <w:bottom w:val="nil"/>
              <w:right w:val="nil"/>
            </w:tcBorders>
            <w:shd w:val="clear" w:color="auto" w:fill="FFFFFF" w:themeFill="background1"/>
            <w:noWrap/>
            <w:vAlign w:val="center"/>
            <w:hideMark/>
          </w:tcPr>
          <w:p w14:paraId="6E19D65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47.6</w:t>
            </w:r>
          </w:p>
        </w:tc>
        <w:tc>
          <w:tcPr>
            <w:tcW w:w="222" w:type="pct"/>
            <w:tcBorders>
              <w:top w:val="nil"/>
              <w:left w:val="nil"/>
              <w:bottom w:val="nil"/>
              <w:right w:val="nil"/>
            </w:tcBorders>
            <w:shd w:val="clear" w:color="auto" w:fill="FFFFFF" w:themeFill="background1"/>
            <w:noWrap/>
            <w:vAlign w:val="center"/>
            <w:hideMark/>
          </w:tcPr>
          <w:p w14:paraId="7041EFD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52.4</w:t>
            </w:r>
          </w:p>
        </w:tc>
        <w:tc>
          <w:tcPr>
            <w:tcW w:w="222" w:type="pct"/>
            <w:tcBorders>
              <w:top w:val="nil"/>
              <w:left w:val="nil"/>
              <w:bottom w:val="nil"/>
              <w:right w:val="single" w:sz="8" w:space="0" w:color="auto"/>
            </w:tcBorders>
            <w:shd w:val="clear" w:color="auto" w:fill="FFFFFF" w:themeFill="background1"/>
            <w:vAlign w:val="center"/>
            <w:hideMark/>
          </w:tcPr>
          <w:p w14:paraId="2C9B430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15.6</w:t>
            </w:r>
          </w:p>
        </w:tc>
        <w:tc>
          <w:tcPr>
            <w:tcW w:w="222" w:type="pct"/>
            <w:tcBorders>
              <w:top w:val="nil"/>
              <w:left w:val="nil"/>
              <w:bottom w:val="nil"/>
              <w:right w:val="nil"/>
            </w:tcBorders>
            <w:shd w:val="clear" w:color="auto" w:fill="FFFFFF" w:themeFill="background1"/>
            <w:noWrap/>
            <w:vAlign w:val="center"/>
            <w:hideMark/>
          </w:tcPr>
          <w:p w14:paraId="5B68473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4A815F6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2" w:type="pct"/>
            <w:tcBorders>
              <w:top w:val="nil"/>
              <w:left w:val="nil"/>
              <w:bottom w:val="nil"/>
              <w:right w:val="nil"/>
            </w:tcBorders>
            <w:shd w:val="clear" w:color="auto" w:fill="FFFFFF" w:themeFill="background1"/>
            <w:noWrap/>
            <w:vAlign w:val="center"/>
            <w:hideMark/>
          </w:tcPr>
          <w:p w14:paraId="6036ACE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nil"/>
              <w:right w:val="nil"/>
            </w:tcBorders>
            <w:shd w:val="clear" w:color="auto" w:fill="FFFFFF" w:themeFill="background1"/>
            <w:noWrap/>
            <w:vAlign w:val="center"/>
            <w:hideMark/>
          </w:tcPr>
          <w:p w14:paraId="2C938DE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45.5</w:t>
            </w:r>
          </w:p>
        </w:tc>
        <w:tc>
          <w:tcPr>
            <w:tcW w:w="222" w:type="pct"/>
            <w:tcBorders>
              <w:top w:val="nil"/>
              <w:left w:val="nil"/>
              <w:bottom w:val="nil"/>
              <w:right w:val="nil"/>
            </w:tcBorders>
            <w:shd w:val="clear" w:color="auto" w:fill="FFFFFF" w:themeFill="background1"/>
            <w:noWrap/>
            <w:vAlign w:val="center"/>
            <w:hideMark/>
          </w:tcPr>
          <w:p w14:paraId="33B8BAE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54.5</w:t>
            </w:r>
          </w:p>
        </w:tc>
        <w:tc>
          <w:tcPr>
            <w:tcW w:w="220" w:type="pct"/>
            <w:tcBorders>
              <w:top w:val="nil"/>
              <w:left w:val="nil"/>
              <w:bottom w:val="nil"/>
              <w:right w:val="single" w:sz="8" w:space="0" w:color="auto"/>
            </w:tcBorders>
            <w:shd w:val="clear" w:color="auto" w:fill="FFFFFF" w:themeFill="background1"/>
            <w:vAlign w:val="center"/>
            <w:hideMark/>
          </w:tcPr>
          <w:p w14:paraId="50E708C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7.3</w:t>
            </w:r>
          </w:p>
        </w:tc>
      </w:tr>
      <w:tr w:rsidR="00681B50" w:rsidRPr="00435B6B" w14:paraId="24A4E2DD" w14:textId="77777777" w:rsidTr="001F4A34">
        <w:trPr>
          <w:trHeight w:val="480"/>
          <w:jc w:val="center"/>
        </w:trPr>
        <w:tc>
          <w:tcPr>
            <w:tcW w:w="1115" w:type="pct"/>
            <w:tcBorders>
              <w:top w:val="nil"/>
              <w:left w:val="single" w:sz="8" w:space="0" w:color="auto"/>
              <w:bottom w:val="single" w:sz="8" w:space="0" w:color="auto"/>
              <w:right w:val="single" w:sz="8" w:space="0" w:color="auto"/>
            </w:tcBorders>
            <w:shd w:val="clear" w:color="auto" w:fill="FFFFFF" w:themeFill="background1"/>
            <w:vAlign w:val="center"/>
            <w:hideMark/>
          </w:tcPr>
          <w:p w14:paraId="659A0F9D"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Pleopod method (PM)</w:t>
            </w:r>
          </w:p>
        </w:tc>
        <w:tc>
          <w:tcPr>
            <w:tcW w:w="113" w:type="pct"/>
            <w:tcBorders>
              <w:top w:val="nil"/>
              <w:left w:val="nil"/>
              <w:bottom w:val="single" w:sz="8" w:space="0" w:color="auto"/>
              <w:right w:val="nil"/>
            </w:tcBorders>
            <w:shd w:val="clear" w:color="auto" w:fill="FFFFFF" w:themeFill="background1"/>
            <w:vAlign w:val="center"/>
            <w:hideMark/>
          </w:tcPr>
          <w:p w14:paraId="6255E9C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vAlign w:val="center"/>
            <w:hideMark/>
          </w:tcPr>
          <w:p w14:paraId="14F5644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noWrap/>
            <w:vAlign w:val="center"/>
            <w:hideMark/>
          </w:tcPr>
          <w:p w14:paraId="25150FD3" w14:textId="2BDC3DC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40CDA2F" w14:textId="3B3B976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6C1B1051" w14:textId="782CDBAE"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654DEC0F" w14:textId="6BF48D0E"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7965E65E" w14:textId="1FD45331"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5543AC11" w14:textId="2F883114"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202CF533" w14:textId="16CFA189"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7C76404" w14:textId="3674D35F"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754DA06" w14:textId="3ADDABBE"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4D3CF9A9" w14:textId="651275C2"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3742AE4C" w14:textId="103C763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142574A6" w14:textId="7A909EB4"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BF8D260" w14:textId="19256777"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13ABB76C" w14:textId="4AFEEE50"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DA8582A" w14:textId="310941BD" w:rsidR="003421D4" w:rsidRPr="009819CE" w:rsidRDefault="003421D4" w:rsidP="00AB5EC8">
            <w:pPr>
              <w:spacing w:before="0" w:after="0" w:line="240" w:lineRule="auto"/>
              <w:jc w:val="center"/>
              <w:rPr>
                <w:rFonts w:cstheme="minorBidi"/>
                <w:color w:val="000000"/>
                <w:sz w:val="20"/>
                <w:szCs w:val="20"/>
              </w:rPr>
            </w:pP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7E4B2A5B" w14:textId="4B2BBEDC" w:rsidR="003421D4" w:rsidRPr="009819CE" w:rsidRDefault="003421D4" w:rsidP="00AB5EC8">
            <w:pPr>
              <w:spacing w:before="0" w:after="0" w:line="240" w:lineRule="auto"/>
              <w:jc w:val="center"/>
              <w:rPr>
                <w:rFonts w:cstheme="minorBidi"/>
                <w:color w:val="000000"/>
                <w:sz w:val="20"/>
                <w:szCs w:val="20"/>
              </w:rPr>
            </w:pPr>
          </w:p>
        </w:tc>
      </w:tr>
      <w:tr w:rsidR="00681B50" w:rsidRPr="00435B6B" w14:paraId="71A7E0B0"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64A0113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S0</w:t>
            </w:r>
          </w:p>
        </w:tc>
        <w:tc>
          <w:tcPr>
            <w:tcW w:w="113" w:type="pct"/>
            <w:tcBorders>
              <w:top w:val="nil"/>
              <w:left w:val="nil"/>
              <w:bottom w:val="nil"/>
              <w:right w:val="nil"/>
            </w:tcBorders>
            <w:shd w:val="clear" w:color="auto" w:fill="FFFFFF" w:themeFill="background1"/>
            <w:noWrap/>
            <w:vAlign w:val="center"/>
            <w:hideMark/>
          </w:tcPr>
          <w:p w14:paraId="6BC1A8D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27</w:t>
            </w:r>
          </w:p>
        </w:tc>
        <w:tc>
          <w:tcPr>
            <w:tcW w:w="222" w:type="pct"/>
            <w:tcBorders>
              <w:top w:val="nil"/>
              <w:left w:val="nil"/>
              <w:bottom w:val="nil"/>
              <w:right w:val="nil"/>
            </w:tcBorders>
            <w:shd w:val="clear" w:color="auto" w:fill="FFFFFF" w:themeFill="background1"/>
            <w:noWrap/>
            <w:vAlign w:val="center"/>
            <w:hideMark/>
          </w:tcPr>
          <w:p w14:paraId="7F77714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81</w:t>
            </w:r>
          </w:p>
        </w:tc>
        <w:tc>
          <w:tcPr>
            <w:tcW w:w="222" w:type="pct"/>
            <w:tcBorders>
              <w:top w:val="nil"/>
              <w:left w:val="nil"/>
              <w:bottom w:val="nil"/>
              <w:right w:val="nil"/>
            </w:tcBorders>
            <w:shd w:val="clear" w:color="auto" w:fill="FFFFFF" w:themeFill="background1"/>
            <w:noWrap/>
            <w:vAlign w:val="center"/>
            <w:hideMark/>
          </w:tcPr>
          <w:p w14:paraId="2442D3D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108</w:t>
            </w:r>
          </w:p>
        </w:tc>
        <w:tc>
          <w:tcPr>
            <w:tcW w:w="222" w:type="pct"/>
            <w:tcBorders>
              <w:top w:val="nil"/>
              <w:left w:val="nil"/>
              <w:bottom w:val="nil"/>
              <w:right w:val="nil"/>
            </w:tcBorders>
            <w:shd w:val="clear" w:color="auto" w:fill="FFFFFF" w:themeFill="background1"/>
            <w:noWrap/>
            <w:vAlign w:val="center"/>
            <w:hideMark/>
          </w:tcPr>
          <w:p w14:paraId="32C6C25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25.0</w:t>
            </w:r>
          </w:p>
        </w:tc>
        <w:tc>
          <w:tcPr>
            <w:tcW w:w="222" w:type="pct"/>
            <w:tcBorders>
              <w:top w:val="nil"/>
              <w:left w:val="nil"/>
              <w:bottom w:val="nil"/>
              <w:right w:val="nil"/>
            </w:tcBorders>
            <w:shd w:val="clear" w:color="auto" w:fill="FFFFFF" w:themeFill="background1"/>
            <w:noWrap/>
            <w:vAlign w:val="center"/>
            <w:hideMark/>
          </w:tcPr>
          <w:p w14:paraId="0E1A638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75.0</w:t>
            </w:r>
          </w:p>
        </w:tc>
        <w:tc>
          <w:tcPr>
            <w:tcW w:w="222" w:type="pct"/>
            <w:tcBorders>
              <w:top w:val="nil"/>
              <w:left w:val="nil"/>
              <w:bottom w:val="nil"/>
              <w:right w:val="single" w:sz="8" w:space="0" w:color="auto"/>
            </w:tcBorders>
            <w:shd w:val="clear" w:color="auto" w:fill="FFFFFF" w:themeFill="background1"/>
            <w:vAlign w:val="center"/>
            <w:hideMark/>
          </w:tcPr>
          <w:p w14:paraId="2568859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78.3</w:t>
            </w:r>
          </w:p>
        </w:tc>
        <w:tc>
          <w:tcPr>
            <w:tcW w:w="222" w:type="pct"/>
            <w:tcBorders>
              <w:top w:val="nil"/>
              <w:left w:val="nil"/>
              <w:bottom w:val="nil"/>
              <w:right w:val="nil"/>
            </w:tcBorders>
            <w:shd w:val="clear" w:color="auto" w:fill="FFFFFF" w:themeFill="background1"/>
            <w:noWrap/>
            <w:vAlign w:val="center"/>
            <w:hideMark/>
          </w:tcPr>
          <w:p w14:paraId="35DA968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w:t>
            </w:r>
          </w:p>
        </w:tc>
        <w:tc>
          <w:tcPr>
            <w:tcW w:w="222" w:type="pct"/>
            <w:tcBorders>
              <w:top w:val="nil"/>
              <w:left w:val="nil"/>
              <w:bottom w:val="nil"/>
              <w:right w:val="nil"/>
            </w:tcBorders>
            <w:shd w:val="clear" w:color="auto" w:fill="FFFFFF" w:themeFill="background1"/>
            <w:noWrap/>
            <w:vAlign w:val="center"/>
            <w:hideMark/>
          </w:tcPr>
          <w:p w14:paraId="1DCD7F4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64</w:t>
            </w:r>
          </w:p>
        </w:tc>
        <w:tc>
          <w:tcPr>
            <w:tcW w:w="222" w:type="pct"/>
            <w:tcBorders>
              <w:top w:val="nil"/>
              <w:left w:val="nil"/>
              <w:bottom w:val="nil"/>
              <w:right w:val="nil"/>
            </w:tcBorders>
            <w:shd w:val="clear" w:color="auto" w:fill="FFFFFF" w:themeFill="background1"/>
            <w:noWrap/>
            <w:vAlign w:val="center"/>
            <w:hideMark/>
          </w:tcPr>
          <w:p w14:paraId="6F979BA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90</w:t>
            </w:r>
          </w:p>
        </w:tc>
        <w:tc>
          <w:tcPr>
            <w:tcW w:w="222" w:type="pct"/>
            <w:tcBorders>
              <w:top w:val="nil"/>
              <w:left w:val="nil"/>
              <w:bottom w:val="nil"/>
              <w:right w:val="nil"/>
            </w:tcBorders>
            <w:shd w:val="clear" w:color="auto" w:fill="FFFFFF" w:themeFill="background1"/>
            <w:noWrap/>
            <w:vAlign w:val="center"/>
            <w:hideMark/>
          </w:tcPr>
          <w:p w14:paraId="263B5AF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28.9</w:t>
            </w:r>
          </w:p>
        </w:tc>
        <w:tc>
          <w:tcPr>
            <w:tcW w:w="222" w:type="pct"/>
            <w:tcBorders>
              <w:top w:val="nil"/>
              <w:left w:val="nil"/>
              <w:bottom w:val="nil"/>
              <w:right w:val="nil"/>
            </w:tcBorders>
            <w:shd w:val="clear" w:color="auto" w:fill="FFFFFF" w:themeFill="background1"/>
            <w:noWrap/>
            <w:vAlign w:val="center"/>
            <w:hideMark/>
          </w:tcPr>
          <w:p w14:paraId="4E1D94F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71.1</w:t>
            </w:r>
          </w:p>
        </w:tc>
        <w:tc>
          <w:tcPr>
            <w:tcW w:w="222" w:type="pct"/>
            <w:tcBorders>
              <w:top w:val="nil"/>
              <w:left w:val="nil"/>
              <w:bottom w:val="nil"/>
              <w:right w:val="single" w:sz="8" w:space="0" w:color="auto"/>
            </w:tcBorders>
            <w:shd w:val="clear" w:color="auto" w:fill="FFFFFF" w:themeFill="background1"/>
            <w:vAlign w:val="center"/>
            <w:hideMark/>
          </w:tcPr>
          <w:p w14:paraId="5FE89C6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22" w:type="pct"/>
            <w:tcBorders>
              <w:top w:val="nil"/>
              <w:left w:val="nil"/>
              <w:bottom w:val="nil"/>
              <w:right w:val="nil"/>
            </w:tcBorders>
            <w:shd w:val="clear" w:color="auto" w:fill="FFFFFF" w:themeFill="background1"/>
            <w:noWrap/>
            <w:vAlign w:val="center"/>
            <w:hideMark/>
          </w:tcPr>
          <w:p w14:paraId="79C4D8A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w:t>
            </w:r>
          </w:p>
        </w:tc>
        <w:tc>
          <w:tcPr>
            <w:tcW w:w="222" w:type="pct"/>
            <w:tcBorders>
              <w:top w:val="nil"/>
              <w:left w:val="nil"/>
              <w:bottom w:val="nil"/>
              <w:right w:val="nil"/>
            </w:tcBorders>
            <w:shd w:val="clear" w:color="auto" w:fill="FFFFFF" w:themeFill="background1"/>
            <w:noWrap/>
            <w:vAlign w:val="center"/>
            <w:hideMark/>
          </w:tcPr>
          <w:p w14:paraId="0FB7A80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93</w:t>
            </w:r>
          </w:p>
        </w:tc>
        <w:tc>
          <w:tcPr>
            <w:tcW w:w="222" w:type="pct"/>
            <w:tcBorders>
              <w:top w:val="nil"/>
              <w:left w:val="nil"/>
              <w:bottom w:val="nil"/>
              <w:right w:val="nil"/>
            </w:tcBorders>
            <w:shd w:val="clear" w:color="auto" w:fill="FFFFFF" w:themeFill="background1"/>
            <w:noWrap/>
            <w:vAlign w:val="center"/>
            <w:hideMark/>
          </w:tcPr>
          <w:p w14:paraId="13B6D57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126</w:t>
            </w:r>
          </w:p>
        </w:tc>
        <w:tc>
          <w:tcPr>
            <w:tcW w:w="222" w:type="pct"/>
            <w:tcBorders>
              <w:top w:val="nil"/>
              <w:left w:val="nil"/>
              <w:bottom w:val="nil"/>
              <w:right w:val="nil"/>
            </w:tcBorders>
            <w:shd w:val="clear" w:color="auto" w:fill="FFFFFF" w:themeFill="background1"/>
            <w:noWrap/>
            <w:vAlign w:val="center"/>
            <w:hideMark/>
          </w:tcPr>
          <w:p w14:paraId="6827E86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26.2</w:t>
            </w:r>
          </w:p>
        </w:tc>
        <w:tc>
          <w:tcPr>
            <w:tcW w:w="222" w:type="pct"/>
            <w:tcBorders>
              <w:top w:val="nil"/>
              <w:left w:val="nil"/>
              <w:bottom w:val="nil"/>
              <w:right w:val="nil"/>
            </w:tcBorders>
            <w:shd w:val="clear" w:color="auto" w:fill="FFFFFF" w:themeFill="background1"/>
            <w:noWrap/>
            <w:vAlign w:val="center"/>
            <w:hideMark/>
          </w:tcPr>
          <w:p w14:paraId="5E0CB89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73.8</w:t>
            </w:r>
          </w:p>
        </w:tc>
        <w:tc>
          <w:tcPr>
            <w:tcW w:w="220" w:type="pct"/>
            <w:tcBorders>
              <w:top w:val="nil"/>
              <w:left w:val="nil"/>
              <w:bottom w:val="nil"/>
              <w:right w:val="single" w:sz="8" w:space="0" w:color="auto"/>
            </w:tcBorders>
            <w:shd w:val="clear" w:color="auto" w:fill="FFFFFF" w:themeFill="background1"/>
            <w:vAlign w:val="center"/>
            <w:hideMark/>
          </w:tcPr>
          <w:p w14:paraId="2913A4D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84.0</w:t>
            </w:r>
          </w:p>
        </w:tc>
      </w:tr>
      <w:tr w:rsidR="00681B50" w:rsidRPr="00435B6B" w14:paraId="68C1A617"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5063A13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S1</w:t>
            </w:r>
          </w:p>
        </w:tc>
        <w:tc>
          <w:tcPr>
            <w:tcW w:w="113" w:type="pct"/>
            <w:tcBorders>
              <w:top w:val="nil"/>
              <w:left w:val="nil"/>
              <w:bottom w:val="nil"/>
              <w:right w:val="nil"/>
            </w:tcBorders>
            <w:shd w:val="clear" w:color="auto" w:fill="FFFFFF" w:themeFill="background1"/>
            <w:noWrap/>
            <w:vAlign w:val="center"/>
            <w:hideMark/>
          </w:tcPr>
          <w:p w14:paraId="192BCC5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4049E80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w:t>
            </w:r>
          </w:p>
        </w:tc>
        <w:tc>
          <w:tcPr>
            <w:tcW w:w="222" w:type="pct"/>
            <w:tcBorders>
              <w:top w:val="nil"/>
              <w:left w:val="nil"/>
              <w:bottom w:val="nil"/>
              <w:right w:val="nil"/>
            </w:tcBorders>
            <w:shd w:val="clear" w:color="auto" w:fill="FFFFFF" w:themeFill="background1"/>
            <w:noWrap/>
            <w:vAlign w:val="center"/>
            <w:hideMark/>
          </w:tcPr>
          <w:p w14:paraId="6E578C5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w:t>
            </w:r>
          </w:p>
        </w:tc>
        <w:tc>
          <w:tcPr>
            <w:tcW w:w="222" w:type="pct"/>
            <w:tcBorders>
              <w:top w:val="nil"/>
              <w:left w:val="nil"/>
              <w:bottom w:val="nil"/>
              <w:right w:val="nil"/>
            </w:tcBorders>
            <w:shd w:val="clear" w:color="auto" w:fill="FFFFFF" w:themeFill="background1"/>
            <w:noWrap/>
            <w:vAlign w:val="center"/>
            <w:hideMark/>
          </w:tcPr>
          <w:p w14:paraId="2FAFD51A" w14:textId="57350553"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w:t>
            </w:r>
          </w:p>
        </w:tc>
        <w:tc>
          <w:tcPr>
            <w:tcW w:w="222" w:type="pct"/>
            <w:tcBorders>
              <w:top w:val="nil"/>
              <w:left w:val="nil"/>
              <w:bottom w:val="nil"/>
              <w:right w:val="nil"/>
            </w:tcBorders>
            <w:shd w:val="clear" w:color="auto" w:fill="FFFFFF" w:themeFill="background1"/>
            <w:noWrap/>
            <w:vAlign w:val="center"/>
            <w:hideMark/>
          </w:tcPr>
          <w:p w14:paraId="078F04B7" w14:textId="0FCECE51"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80</w:t>
            </w:r>
          </w:p>
        </w:tc>
        <w:tc>
          <w:tcPr>
            <w:tcW w:w="222" w:type="pct"/>
            <w:tcBorders>
              <w:top w:val="nil"/>
              <w:left w:val="nil"/>
              <w:bottom w:val="nil"/>
              <w:right w:val="single" w:sz="8" w:space="0" w:color="auto"/>
            </w:tcBorders>
            <w:shd w:val="clear" w:color="auto" w:fill="FFFFFF" w:themeFill="background1"/>
            <w:vAlign w:val="center"/>
            <w:hideMark/>
          </w:tcPr>
          <w:p w14:paraId="14B491C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10.9</w:t>
            </w:r>
          </w:p>
        </w:tc>
        <w:tc>
          <w:tcPr>
            <w:tcW w:w="222" w:type="pct"/>
            <w:tcBorders>
              <w:top w:val="nil"/>
              <w:left w:val="nil"/>
              <w:bottom w:val="nil"/>
              <w:right w:val="nil"/>
            </w:tcBorders>
            <w:shd w:val="clear" w:color="auto" w:fill="FFFFFF" w:themeFill="background1"/>
            <w:noWrap/>
            <w:vAlign w:val="center"/>
            <w:hideMark/>
          </w:tcPr>
          <w:p w14:paraId="6E49936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w:t>
            </w:r>
          </w:p>
        </w:tc>
        <w:tc>
          <w:tcPr>
            <w:tcW w:w="222" w:type="pct"/>
            <w:tcBorders>
              <w:top w:val="nil"/>
              <w:left w:val="nil"/>
              <w:bottom w:val="nil"/>
              <w:right w:val="nil"/>
            </w:tcBorders>
            <w:shd w:val="clear" w:color="auto" w:fill="FFFFFF" w:themeFill="background1"/>
            <w:noWrap/>
            <w:vAlign w:val="center"/>
            <w:hideMark/>
          </w:tcPr>
          <w:p w14:paraId="17A99A6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22" w:type="pct"/>
            <w:tcBorders>
              <w:top w:val="nil"/>
              <w:left w:val="nil"/>
              <w:bottom w:val="nil"/>
              <w:right w:val="nil"/>
            </w:tcBorders>
            <w:shd w:val="clear" w:color="auto" w:fill="FFFFFF" w:themeFill="background1"/>
            <w:noWrap/>
            <w:vAlign w:val="center"/>
            <w:hideMark/>
          </w:tcPr>
          <w:p w14:paraId="6095718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28</w:t>
            </w:r>
          </w:p>
        </w:tc>
        <w:tc>
          <w:tcPr>
            <w:tcW w:w="222" w:type="pct"/>
            <w:tcBorders>
              <w:top w:val="nil"/>
              <w:left w:val="nil"/>
              <w:bottom w:val="nil"/>
              <w:right w:val="nil"/>
            </w:tcBorders>
            <w:shd w:val="clear" w:color="auto" w:fill="FFFFFF" w:themeFill="background1"/>
            <w:noWrap/>
            <w:vAlign w:val="center"/>
            <w:hideMark/>
          </w:tcPr>
          <w:p w14:paraId="6030470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53.6</w:t>
            </w:r>
          </w:p>
        </w:tc>
        <w:tc>
          <w:tcPr>
            <w:tcW w:w="222" w:type="pct"/>
            <w:tcBorders>
              <w:top w:val="nil"/>
              <w:left w:val="nil"/>
              <w:bottom w:val="nil"/>
              <w:right w:val="nil"/>
            </w:tcBorders>
            <w:shd w:val="clear" w:color="auto" w:fill="FFFFFF" w:themeFill="background1"/>
            <w:noWrap/>
            <w:vAlign w:val="center"/>
            <w:hideMark/>
          </w:tcPr>
          <w:p w14:paraId="3721468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46.4</w:t>
            </w:r>
          </w:p>
        </w:tc>
        <w:tc>
          <w:tcPr>
            <w:tcW w:w="222" w:type="pct"/>
            <w:tcBorders>
              <w:top w:val="nil"/>
              <w:left w:val="nil"/>
              <w:bottom w:val="nil"/>
              <w:right w:val="single" w:sz="8" w:space="0" w:color="auto"/>
            </w:tcBorders>
            <w:shd w:val="clear" w:color="auto" w:fill="FFFFFF" w:themeFill="background1"/>
            <w:vAlign w:val="center"/>
            <w:hideMark/>
          </w:tcPr>
          <w:p w14:paraId="129BC6B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20.7</w:t>
            </w:r>
          </w:p>
        </w:tc>
        <w:tc>
          <w:tcPr>
            <w:tcW w:w="222" w:type="pct"/>
            <w:tcBorders>
              <w:top w:val="nil"/>
              <w:left w:val="nil"/>
              <w:bottom w:val="nil"/>
              <w:right w:val="nil"/>
            </w:tcBorders>
            <w:shd w:val="clear" w:color="auto" w:fill="FFFFFF" w:themeFill="background1"/>
            <w:noWrap/>
            <w:vAlign w:val="center"/>
            <w:hideMark/>
          </w:tcPr>
          <w:p w14:paraId="7D2254B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2919815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nil"/>
              <w:right w:val="nil"/>
            </w:tcBorders>
            <w:shd w:val="clear" w:color="auto" w:fill="FFFFFF" w:themeFill="background1"/>
            <w:noWrap/>
            <w:vAlign w:val="center"/>
            <w:hideMark/>
          </w:tcPr>
          <w:p w14:paraId="5284E1A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w:t>
            </w:r>
          </w:p>
        </w:tc>
        <w:tc>
          <w:tcPr>
            <w:tcW w:w="222" w:type="pct"/>
            <w:tcBorders>
              <w:top w:val="nil"/>
              <w:left w:val="nil"/>
              <w:bottom w:val="nil"/>
              <w:right w:val="nil"/>
            </w:tcBorders>
            <w:shd w:val="clear" w:color="auto" w:fill="FFFFFF" w:themeFill="background1"/>
            <w:noWrap/>
            <w:vAlign w:val="center"/>
            <w:hideMark/>
          </w:tcPr>
          <w:p w14:paraId="4ED233E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26.7</w:t>
            </w:r>
          </w:p>
        </w:tc>
        <w:tc>
          <w:tcPr>
            <w:tcW w:w="222" w:type="pct"/>
            <w:tcBorders>
              <w:top w:val="nil"/>
              <w:left w:val="nil"/>
              <w:bottom w:val="nil"/>
              <w:right w:val="nil"/>
            </w:tcBorders>
            <w:shd w:val="clear" w:color="auto" w:fill="FFFFFF" w:themeFill="background1"/>
            <w:noWrap/>
            <w:vAlign w:val="center"/>
            <w:hideMark/>
          </w:tcPr>
          <w:p w14:paraId="711D725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73.3</w:t>
            </w:r>
          </w:p>
        </w:tc>
        <w:tc>
          <w:tcPr>
            <w:tcW w:w="220" w:type="pct"/>
            <w:tcBorders>
              <w:top w:val="nil"/>
              <w:left w:val="nil"/>
              <w:bottom w:val="nil"/>
              <w:right w:val="single" w:sz="8" w:space="0" w:color="auto"/>
            </w:tcBorders>
            <w:shd w:val="clear" w:color="auto" w:fill="FFFFFF" w:themeFill="background1"/>
            <w:vAlign w:val="center"/>
            <w:hideMark/>
          </w:tcPr>
          <w:p w14:paraId="11B85C8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10.0</w:t>
            </w:r>
          </w:p>
        </w:tc>
      </w:tr>
      <w:tr w:rsidR="00681B50" w:rsidRPr="00435B6B" w14:paraId="09A30734"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680DA96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S2</w:t>
            </w:r>
          </w:p>
        </w:tc>
        <w:tc>
          <w:tcPr>
            <w:tcW w:w="113" w:type="pct"/>
            <w:tcBorders>
              <w:top w:val="nil"/>
              <w:left w:val="nil"/>
              <w:bottom w:val="nil"/>
              <w:right w:val="nil"/>
            </w:tcBorders>
            <w:shd w:val="clear" w:color="auto" w:fill="FFFFFF" w:themeFill="background1"/>
            <w:noWrap/>
            <w:vAlign w:val="center"/>
            <w:hideMark/>
          </w:tcPr>
          <w:p w14:paraId="6F28C79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0A7D7FF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0BA1E7B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22" w:type="pct"/>
            <w:tcBorders>
              <w:top w:val="nil"/>
              <w:left w:val="nil"/>
              <w:bottom w:val="nil"/>
              <w:right w:val="nil"/>
            </w:tcBorders>
            <w:shd w:val="clear" w:color="auto" w:fill="FFFFFF" w:themeFill="background1"/>
            <w:noWrap/>
            <w:vAlign w:val="center"/>
            <w:hideMark/>
          </w:tcPr>
          <w:p w14:paraId="5D44176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44.4</w:t>
            </w:r>
          </w:p>
        </w:tc>
        <w:tc>
          <w:tcPr>
            <w:tcW w:w="222" w:type="pct"/>
            <w:tcBorders>
              <w:top w:val="nil"/>
              <w:left w:val="nil"/>
              <w:bottom w:val="nil"/>
              <w:right w:val="nil"/>
            </w:tcBorders>
            <w:shd w:val="clear" w:color="auto" w:fill="FFFFFF" w:themeFill="background1"/>
            <w:noWrap/>
            <w:vAlign w:val="center"/>
            <w:hideMark/>
          </w:tcPr>
          <w:p w14:paraId="18437B4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55.6</w:t>
            </w:r>
          </w:p>
        </w:tc>
        <w:tc>
          <w:tcPr>
            <w:tcW w:w="222" w:type="pct"/>
            <w:tcBorders>
              <w:top w:val="nil"/>
              <w:left w:val="nil"/>
              <w:bottom w:val="nil"/>
              <w:right w:val="single" w:sz="8" w:space="0" w:color="auto"/>
            </w:tcBorders>
            <w:shd w:val="clear" w:color="auto" w:fill="FFFFFF" w:themeFill="background1"/>
            <w:vAlign w:val="center"/>
            <w:hideMark/>
          </w:tcPr>
          <w:p w14:paraId="6FDE167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6.5</w:t>
            </w:r>
          </w:p>
        </w:tc>
        <w:tc>
          <w:tcPr>
            <w:tcW w:w="222" w:type="pct"/>
            <w:tcBorders>
              <w:top w:val="nil"/>
              <w:left w:val="nil"/>
              <w:bottom w:val="nil"/>
              <w:right w:val="nil"/>
            </w:tcBorders>
            <w:shd w:val="clear" w:color="auto" w:fill="FFFFFF" w:themeFill="background1"/>
            <w:noWrap/>
            <w:vAlign w:val="center"/>
            <w:hideMark/>
          </w:tcPr>
          <w:p w14:paraId="361160E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53BF26E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6744537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w:t>
            </w:r>
          </w:p>
        </w:tc>
        <w:tc>
          <w:tcPr>
            <w:tcW w:w="222" w:type="pct"/>
            <w:tcBorders>
              <w:top w:val="nil"/>
              <w:left w:val="nil"/>
              <w:bottom w:val="nil"/>
              <w:right w:val="nil"/>
            </w:tcBorders>
            <w:shd w:val="clear" w:color="auto" w:fill="FFFFFF" w:themeFill="background1"/>
            <w:noWrap/>
            <w:vAlign w:val="center"/>
            <w:hideMark/>
          </w:tcPr>
          <w:p w14:paraId="4342FD7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42.9</w:t>
            </w:r>
          </w:p>
        </w:tc>
        <w:tc>
          <w:tcPr>
            <w:tcW w:w="222" w:type="pct"/>
            <w:tcBorders>
              <w:top w:val="nil"/>
              <w:left w:val="nil"/>
              <w:bottom w:val="nil"/>
              <w:right w:val="nil"/>
            </w:tcBorders>
            <w:shd w:val="clear" w:color="auto" w:fill="FFFFFF" w:themeFill="background1"/>
            <w:noWrap/>
            <w:vAlign w:val="center"/>
            <w:hideMark/>
          </w:tcPr>
          <w:p w14:paraId="7C033E2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57.1</w:t>
            </w:r>
          </w:p>
        </w:tc>
        <w:tc>
          <w:tcPr>
            <w:tcW w:w="222" w:type="pct"/>
            <w:tcBorders>
              <w:top w:val="nil"/>
              <w:left w:val="nil"/>
              <w:bottom w:val="nil"/>
              <w:right w:val="single" w:sz="8" w:space="0" w:color="auto"/>
            </w:tcBorders>
            <w:shd w:val="clear" w:color="auto" w:fill="FFFFFF" w:themeFill="background1"/>
            <w:vAlign w:val="center"/>
            <w:hideMark/>
          </w:tcPr>
          <w:p w14:paraId="23757D7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5.2</w:t>
            </w:r>
          </w:p>
        </w:tc>
        <w:tc>
          <w:tcPr>
            <w:tcW w:w="222" w:type="pct"/>
            <w:tcBorders>
              <w:top w:val="nil"/>
              <w:left w:val="nil"/>
              <w:bottom w:val="nil"/>
              <w:right w:val="nil"/>
            </w:tcBorders>
            <w:shd w:val="clear" w:color="auto" w:fill="FFFFFF" w:themeFill="background1"/>
            <w:noWrap/>
            <w:vAlign w:val="center"/>
            <w:hideMark/>
          </w:tcPr>
          <w:p w14:paraId="6D5C44A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07C3B55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7A113E7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02977132" w14:textId="03D2F429"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22" w:type="pct"/>
            <w:tcBorders>
              <w:top w:val="nil"/>
              <w:left w:val="nil"/>
              <w:bottom w:val="nil"/>
              <w:right w:val="nil"/>
            </w:tcBorders>
            <w:shd w:val="clear" w:color="auto" w:fill="FFFFFF" w:themeFill="background1"/>
            <w:noWrap/>
            <w:vAlign w:val="center"/>
            <w:hideMark/>
          </w:tcPr>
          <w:p w14:paraId="06DE43BD" w14:textId="348BF9D6"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0" w:type="pct"/>
            <w:tcBorders>
              <w:top w:val="nil"/>
              <w:left w:val="nil"/>
              <w:bottom w:val="nil"/>
              <w:right w:val="single" w:sz="8" w:space="0" w:color="auto"/>
            </w:tcBorders>
            <w:shd w:val="clear" w:color="auto" w:fill="FFFFFF" w:themeFill="background1"/>
            <w:vAlign w:val="center"/>
            <w:hideMark/>
          </w:tcPr>
          <w:p w14:paraId="17D9627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w:t>
            </w:r>
          </w:p>
        </w:tc>
      </w:tr>
      <w:tr w:rsidR="00681B50" w:rsidRPr="00435B6B" w14:paraId="3573309C"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4E57FEE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S3</w:t>
            </w:r>
          </w:p>
        </w:tc>
        <w:tc>
          <w:tcPr>
            <w:tcW w:w="113" w:type="pct"/>
            <w:tcBorders>
              <w:top w:val="nil"/>
              <w:left w:val="nil"/>
              <w:bottom w:val="nil"/>
              <w:right w:val="nil"/>
            </w:tcBorders>
            <w:shd w:val="clear" w:color="auto" w:fill="FFFFFF" w:themeFill="background1"/>
            <w:noWrap/>
            <w:vAlign w:val="center"/>
            <w:hideMark/>
          </w:tcPr>
          <w:p w14:paraId="20DB2ED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13A199F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399C961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47369F69" w14:textId="08696FC9"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75</w:t>
            </w:r>
          </w:p>
        </w:tc>
        <w:tc>
          <w:tcPr>
            <w:tcW w:w="222" w:type="pct"/>
            <w:tcBorders>
              <w:top w:val="nil"/>
              <w:left w:val="nil"/>
              <w:bottom w:val="nil"/>
              <w:right w:val="nil"/>
            </w:tcBorders>
            <w:shd w:val="clear" w:color="auto" w:fill="FFFFFF" w:themeFill="background1"/>
            <w:noWrap/>
            <w:vAlign w:val="center"/>
            <w:hideMark/>
          </w:tcPr>
          <w:p w14:paraId="158E5BAF" w14:textId="6ADF5D90"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25</w:t>
            </w:r>
          </w:p>
        </w:tc>
        <w:tc>
          <w:tcPr>
            <w:tcW w:w="222" w:type="pct"/>
            <w:tcBorders>
              <w:top w:val="nil"/>
              <w:left w:val="nil"/>
              <w:bottom w:val="nil"/>
              <w:right w:val="single" w:sz="8" w:space="0" w:color="auto"/>
            </w:tcBorders>
            <w:shd w:val="clear" w:color="auto" w:fill="FFFFFF" w:themeFill="background1"/>
            <w:vAlign w:val="center"/>
            <w:hideMark/>
          </w:tcPr>
          <w:p w14:paraId="1160089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22" w:type="pct"/>
            <w:tcBorders>
              <w:top w:val="nil"/>
              <w:left w:val="nil"/>
              <w:bottom w:val="nil"/>
              <w:right w:val="nil"/>
            </w:tcBorders>
            <w:shd w:val="clear" w:color="auto" w:fill="FFFFFF" w:themeFill="background1"/>
            <w:noWrap/>
            <w:vAlign w:val="center"/>
            <w:hideMark/>
          </w:tcPr>
          <w:p w14:paraId="2C355AC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15E91FD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2B76A1B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0126CEF0" w14:textId="24456A3C"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22" w:type="pct"/>
            <w:tcBorders>
              <w:top w:val="nil"/>
              <w:left w:val="nil"/>
              <w:bottom w:val="nil"/>
              <w:right w:val="nil"/>
            </w:tcBorders>
            <w:shd w:val="clear" w:color="auto" w:fill="FFFFFF" w:themeFill="background1"/>
            <w:noWrap/>
            <w:vAlign w:val="center"/>
            <w:hideMark/>
          </w:tcPr>
          <w:p w14:paraId="48DD7E6A" w14:textId="7D5C4F6E"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2" w:type="pct"/>
            <w:tcBorders>
              <w:top w:val="nil"/>
              <w:left w:val="nil"/>
              <w:bottom w:val="nil"/>
              <w:right w:val="single" w:sz="8" w:space="0" w:color="auto"/>
            </w:tcBorders>
            <w:shd w:val="clear" w:color="auto" w:fill="FFFFFF" w:themeFill="background1"/>
            <w:vAlign w:val="center"/>
            <w:hideMark/>
          </w:tcPr>
          <w:p w14:paraId="74478F4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3.7</w:t>
            </w:r>
          </w:p>
        </w:tc>
        <w:tc>
          <w:tcPr>
            <w:tcW w:w="222" w:type="pct"/>
            <w:tcBorders>
              <w:top w:val="nil"/>
              <w:left w:val="nil"/>
              <w:bottom w:val="nil"/>
              <w:right w:val="nil"/>
            </w:tcBorders>
            <w:shd w:val="clear" w:color="auto" w:fill="FFFFFF" w:themeFill="background1"/>
            <w:noWrap/>
            <w:vAlign w:val="center"/>
            <w:hideMark/>
          </w:tcPr>
          <w:p w14:paraId="7851B71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71E9F50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376ACBC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1717E22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22" w:type="pct"/>
            <w:tcBorders>
              <w:top w:val="nil"/>
              <w:left w:val="nil"/>
              <w:bottom w:val="nil"/>
              <w:right w:val="nil"/>
            </w:tcBorders>
            <w:shd w:val="clear" w:color="auto" w:fill="FFFFFF" w:themeFill="background1"/>
            <w:noWrap/>
            <w:vAlign w:val="center"/>
            <w:hideMark/>
          </w:tcPr>
          <w:p w14:paraId="0A4C356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20" w:type="pct"/>
            <w:tcBorders>
              <w:top w:val="nil"/>
              <w:left w:val="nil"/>
              <w:bottom w:val="nil"/>
              <w:right w:val="single" w:sz="8" w:space="0" w:color="auto"/>
            </w:tcBorders>
            <w:shd w:val="clear" w:color="auto" w:fill="FFFFFF" w:themeFill="background1"/>
            <w:vAlign w:val="center"/>
            <w:hideMark/>
          </w:tcPr>
          <w:p w14:paraId="28AAA470" w14:textId="074A9FE1"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r>
      <w:tr w:rsidR="00681B50" w:rsidRPr="00435B6B" w14:paraId="1FE95438"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1F1C94E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S4</w:t>
            </w:r>
          </w:p>
        </w:tc>
        <w:tc>
          <w:tcPr>
            <w:tcW w:w="113" w:type="pct"/>
            <w:tcBorders>
              <w:top w:val="nil"/>
              <w:left w:val="nil"/>
              <w:bottom w:val="nil"/>
              <w:right w:val="nil"/>
            </w:tcBorders>
            <w:shd w:val="clear" w:color="auto" w:fill="FFFFFF" w:themeFill="background1"/>
            <w:noWrap/>
            <w:vAlign w:val="center"/>
            <w:hideMark/>
          </w:tcPr>
          <w:p w14:paraId="268A5A8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24BF043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4F11ADC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7443EE60" w14:textId="0EC72AA6"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w:t>
            </w:r>
          </w:p>
        </w:tc>
        <w:tc>
          <w:tcPr>
            <w:tcW w:w="222" w:type="pct"/>
            <w:tcBorders>
              <w:top w:val="nil"/>
              <w:left w:val="nil"/>
              <w:bottom w:val="nil"/>
              <w:right w:val="nil"/>
            </w:tcBorders>
            <w:shd w:val="clear" w:color="auto" w:fill="FFFFFF" w:themeFill="background1"/>
            <w:noWrap/>
            <w:vAlign w:val="center"/>
            <w:hideMark/>
          </w:tcPr>
          <w:p w14:paraId="6D1CBF3A" w14:textId="4C3B8814"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w:t>
            </w:r>
          </w:p>
        </w:tc>
        <w:tc>
          <w:tcPr>
            <w:tcW w:w="222" w:type="pct"/>
            <w:tcBorders>
              <w:top w:val="nil"/>
              <w:left w:val="nil"/>
              <w:bottom w:val="nil"/>
              <w:right w:val="single" w:sz="8" w:space="0" w:color="auto"/>
            </w:tcBorders>
            <w:shd w:val="clear" w:color="auto" w:fill="FFFFFF" w:themeFill="background1"/>
            <w:vAlign w:val="center"/>
            <w:hideMark/>
          </w:tcPr>
          <w:p w14:paraId="02E0F2B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22" w:type="pct"/>
            <w:tcBorders>
              <w:top w:val="nil"/>
              <w:left w:val="nil"/>
              <w:bottom w:val="nil"/>
              <w:right w:val="nil"/>
            </w:tcBorders>
            <w:shd w:val="clear" w:color="auto" w:fill="FFFFFF" w:themeFill="background1"/>
            <w:noWrap/>
            <w:vAlign w:val="center"/>
            <w:hideMark/>
          </w:tcPr>
          <w:p w14:paraId="0ACBCD1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4788B6B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62D5770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32438D06" w14:textId="183363B3"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w:t>
            </w:r>
          </w:p>
        </w:tc>
        <w:tc>
          <w:tcPr>
            <w:tcW w:w="222" w:type="pct"/>
            <w:tcBorders>
              <w:top w:val="nil"/>
              <w:left w:val="nil"/>
              <w:bottom w:val="nil"/>
              <w:right w:val="nil"/>
            </w:tcBorders>
            <w:shd w:val="clear" w:color="auto" w:fill="FFFFFF" w:themeFill="background1"/>
            <w:noWrap/>
            <w:vAlign w:val="center"/>
            <w:hideMark/>
          </w:tcPr>
          <w:p w14:paraId="6485FE56" w14:textId="593D9898"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80</w:t>
            </w:r>
          </w:p>
        </w:tc>
        <w:tc>
          <w:tcPr>
            <w:tcW w:w="222" w:type="pct"/>
            <w:tcBorders>
              <w:top w:val="nil"/>
              <w:left w:val="nil"/>
              <w:bottom w:val="nil"/>
              <w:right w:val="single" w:sz="8" w:space="0" w:color="auto"/>
            </w:tcBorders>
            <w:shd w:val="clear" w:color="auto" w:fill="FFFFFF" w:themeFill="background1"/>
            <w:vAlign w:val="center"/>
            <w:hideMark/>
          </w:tcPr>
          <w:p w14:paraId="037B1D4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3.7</w:t>
            </w:r>
          </w:p>
        </w:tc>
        <w:tc>
          <w:tcPr>
            <w:tcW w:w="222" w:type="pct"/>
            <w:tcBorders>
              <w:top w:val="nil"/>
              <w:left w:val="nil"/>
              <w:bottom w:val="nil"/>
              <w:right w:val="nil"/>
            </w:tcBorders>
            <w:shd w:val="clear" w:color="auto" w:fill="FFFFFF" w:themeFill="background1"/>
            <w:noWrap/>
            <w:vAlign w:val="center"/>
            <w:hideMark/>
          </w:tcPr>
          <w:p w14:paraId="2520210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5CA03F1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0AA159F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6B05B8F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5596B4B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single" w:sz="8" w:space="0" w:color="auto"/>
            </w:tcBorders>
            <w:shd w:val="clear" w:color="auto" w:fill="FFFFFF" w:themeFill="background1"/>
            <w:vAlign w:val="center"/>
            <w:hideMark/>
          </w:tcPr>
          <w:p w14:paraId="119F1B5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0.7</w:t>
            </w:r>
          </w:p>
        </w:tc>
      </w:tr>
      <w:tr w:rsidR="00681B50" w:rsidRPr="00435B6B" w14:paraId="6678932A"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555099D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S1-4</w:t>
            </w:r>
          </w:p>
        </w:tc>
        <w:tc>
          <w:tcPr>
            <w:tcW w:w="113" w:type="pct"/>
            <w:tcBorders>
              <w:top w:val="nil"/>
              <w:left w:val="nil"/>
              <w:bottom w:val="nil"/>
              <w:right w:val="nil"/>
            </w:tcBorders>
            <w:shd w:val="clear" w:color="auto" w:fill="FFFFFF" w:themeFill="background1"/>
            <w:noWrap/>
            <w:vAlign w:val="center"/>
            <w:hideMark/>
          </w:tcPr>
          <w:p w14:paraId="102BDC5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nil"/>
              <w:right w:val="nil"/>
            </w:tcBorders>
            <w:shd w:val="clear" w:color="auto" w:fill="FFFFFF" w:themeFill="background1"/>
            <w:noWrap/>
            <w:vAlign w:val="center"/>
            <w:hideMark/>
          </w:tcPr>
          <w:p w14:paraId="7DB02D9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19</w:t>
            </w:r>
          </w:p>
        </w:tc>
        <w:tc>
          <w:tcPr>
            <w:tcW w:w="222" w:type="pct"/>
            <w:tcBorders>
              <w:top w:val="nil"/>
              <w:left w:val="nil"/>
              <w:bottom w:val="nil"/>
              <w:right w:val="nil"/>
            </w:tcBorders>
            <w:shd w:val="clear" w:color="auto" w:fill="FFFFFF" w:themeFill="background1"/>
            <w:noWrap/>
            <w:vAlign w:val="center"/>
            <w:hideMark/>
          </w:tcPr>
          <w:p w14:paraId="6AD2316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22" w:type="pct"/>
            <w:tcBorders>
              <w:top w:val="nil"/>
              <w:left w:val="nil"/>
              <w:bottom w:val="nil"/>
              <w:right w:val="nil"/>
            </w:tcBorders>
            <w:shd w:val="clear" w:color="auto" w:fill="FFFFFF" w:themeFill="background1"/>
            <w:noWrap/>
            <w:vAlign w:val="center"/>
            <w:hideMark/>
          </w:tcPr>
          <w:p w14:paraId="1CBF23B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36.7</w:t>
            </w:r>
          </w:p>
        </w:tc>
        <w:tc>
          <w:tcPr>
            <w:tcW w:w="222" w:type="pct"/>
            <w:tcBorders>
              <w:top w:val="nil"/>
              <w:left w:val="nil"/>
              <w:bottom w:val="nil"/>
              <w:right w:val="nil"/>
            </w:tcBorders>
            <w:shd w:val="clear" w:color="auto" w:fill="FFFFFF" w:themeFill="background1"/>
            <w:noWrap/>
            <w:vAlign w:val="center"/>
            <w:hideMark/>
          </w:tcPr>
          <w:p w14:paraId="6BC962A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63.3</w:t>
            </w:r>
          </w:p>
        </w:tc>
        <w:tc>
          <w:tcPr>
            <w:tcW w:w="222" w:type="pct"/>
            <w:tcBorders>
              <w:top w:val="nil"/>
              <w:left w:val="nil"/>
              <w:bottom w:val="nil"/>
              <w:right w:val="single" w:sz="8" w:space="0" w:color="auto"/>
            </w:tcBorders>
            <w:shd w:val="clear" w:color="auto" w:fill="FFFFFF" w:themeFill="background1"/>
            <w:vAlign w:val="center"/>
            <w:hideMark/>
          </w:tcPr>
          <w:p w14:paraId="27DB0F6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21.7</w:t>
            </w:r>
          </w:p>
        </w:tc>
        <w:tc>
          <w:tcPr>
            <w:tcW w:w="222" w:type="pct"/>
            <w:tcBorders>
              <w:top w:val="nil"/>
              <w:left w:val="nil"/>
              <w:bottom w:val="nil"/>
              <w:right w:val="nil"/>
            </w:tcBorders>
            <w:shd w:val="clear" w:color="auto" w:fill="FFFFFF" w:themeFill="background1"/>
            <w:noWrap/>
            <w:vAlign w:val="center"/>
            <w:hideMark/>
          </w:tcPr>
          <w:p w14:paraId="19EA3E1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22</w:t>
            </w:r>
          </w:p>
        </w:tc>
        <w:tc>
          <w:tcPr>
            <w:tcW w:w="222" w:type="pct"/>
            <w:tcBorders>
              <w:top w:val="nil"/>
              <w:left w:val="nil"/>
              <w:bottom w:val="nil"/>
              <w:right w:val="nil"/>
            </w:tcBorders>
            <w:shd w:val="clear" w:color="auto" w:fill="FFFFFF" w:themeFill="background1"/>
            <w:noWrap/>
            <w:vAlign w:val="center"/>
            <w:hideMark/>
          </w:tcPr>
          <w:p w14:paraId="4A5C5B6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23</w:t>
            </w:r>
          </w:p>
        </w:tc>
        <w:tc>
          <w:tcPr>
            <w:tcW w:w="222" w:type="pct"/>
            <w:tcBorders>
              <w:top w:val="nil"/>
              <w:left w:val="nil"/>
              <w:bottom w:val="nil"/>
              <w:right w:val="nil"/>
            </w:tcBorders>
            <w:shd w:val="clear" w:color="auto" w:fill="FFFFFF" w:themeFill="background1"/>
            <w:noWrap/>
            <w:vAlign w:val="center"/>
            <w:hideMark/>
          </w:tcPr>
          <w:p w14:paraId="542C86D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45</w:t>
            </w:r>
          </w:p>
        </w:tc>
        <w:tc>
          <w:tcPr>
            <w:tcW w:w="222" w:type="pct"/>
            <w:tcBorders>
              <w:top w:val="nil"/>
              <w:left w:val="nil"/>
              <w:bottom w:val="nil"/>
              <w:right w:val="nil"/>
            </w:tcBorders>
            <w:shd w:val="clear" w:color="auto" w:fill="FFFFFF" w:themeFill="background1"/>
            <w:noWrap/>
            <w:vAlign w:val="center"/>
            <w:hideMark/>
          </w:tcPr>
          <w:p w14:paraId="4B3CE36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48.9</w:t>
            </w:r>
          </w:p>
        </w:tc>
        <w:tc>
          <w:tcPr>
            <w:tcW w:w="222" w:type="pct"/>
            <w:tcBorders>
              <w:top w:val="nil"/>
              <w:left w:val="nil"/>
              <w:bottom w:val="nil"/>
              <w:right w:val="nil"/>
            </w:tcBorders>
            <w:shd w:val="clear" w:color="auto" w:fill="FFFFFF" w:themeFill="background1"/>
            <w:noWrap/>
            <w:vAlign w:val="center"/>
            <w:hideMark/>
          </w:tcPr>
          <w:p w14:paraId="79EDD53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51.1</w:t>
            </w:r>
          </w:p>
        </w:tc>
        <w:tc>
          <w:tcPr>
            <w:tcW w:w="222" w:type="pct"/>
            <w:tcBorders>
              <w:top w:val="nil"/>
              <w:left w:val="nil"/>
              <w:bottom w:val="nil"/>
              <w:right w:val="single" w:sz="8" w:space="0" w:color="auto"/>
            </w:tcBorders>
            <w:shd w:val="clear" w:color="auto" w:fill="FFFFFF" w:themeFill="background1"/>
            <w:vAlign w:val="center"/>
            <w:hideMark/>
          </w:tcPr>
          <w:p w14:paraId="341897A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22" w:type="pct"/>
            <w:tcBorders>
              <w:top w:val="nil"/>
              <w:left w:val="nil"/>
              <w:bottom w:val="nil"/>
              <w:right w:val="nil"/>
            </w:tcBorders>
            <w:shd w:val="clear" w:color="auto" w:fill="FFFFFF" w:themeFill="background1"/>
            <w:noWrap/>
            <w:vAlign w:val="center"/>
            <w:hideMark/>
          </w:tcPr>
          <w:p w14:paraId="2E7F06B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22" w:type="pct"/>
            <w:tcBorders>
              <w:top w:val="nil"/>
              <w:left w:val="nil"/>
              <w:bottom w:val="nil"/>
              <w:right w:val="nil"/>
            </w:tcBorders>
            <w:shd w:val="clear" w:color="auto" w:fill="FFFFFF" w:themeFill="background1"/>
            <w:noWrap/>
            <w:vAlign w:val="center"/>
            <w:hideMark/>
          </w:tcPr>
          <w:p w14:paraId="5A323A0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w:t>
            </w:r>
          </w:p>
        </w:tc>
        <w:tc>
          <w:tcPr>
            <w:tcW w:w="222" w:type="pct"/>
            <w:tcBorders>
              <w:top w:val="nil"/>
              <w:left w:val="nil"/>
              <w:bottom w:val="nil"/>
              <w:right w:val="nil"/>
            </w:tcBorders>
            <w:shd w:val="clear" w:color="auto" w:fill="FFFFFF" w:themeFill="background1"/>
            <w:noWrap/>
            <w:vAlign w:val="center"/>
            <w:hideMark/>
          </w:tcPr>
          <w:p w14:paraId="53EA0A2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24</w:t>
            </w:r>
          </w:p>
        </w:tc>
        <w:tc>
          <w:tcPr>
            <w:tcW w:w="222" w:type="pct"/>
            <w:tcBorders>
              <w:top w:val="nil"/>
              <w:left w:val="nil"/>
              <w:bottom w:val="nil"/>
              <w:right w:val="nil"/>
            </w:tcBorders>
            <w:shd w:val="clear" w:color="auto" w:fill="FFFFFF" w:themeFill="background1"/>
            <w:noWrap/>
            <w:vAlign w:val="center"/>
            <w:hideMark/>
          </w:tcPr>
          <w:p w14:paraId="549500B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37.5</w:t>
            </w:r>
          </w:p>
        </w:tc>
        <w:tc>
          <w:tcPr>
            <w:tcW w:w="222" w:type="pct"/>
            <w:tcBorders>
              <w:top w:val="nil"/>
              <w:left w:val="nil"/>
              <w:bottom w:val="nil"/>
              <w:right w:val="nil"/>
            </w:tcBorders>
            <w:shd w:val="clear" w:color="auto" w:fill="FFFFFF" w:themeFill="background1"/>
            <w:noWrap/>
            <w:vAlign w:val="center"/>
            <w:hideMark/>
          </w:tcPr>
          <w:p w14:paraId="7349584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62.5</w:t>
            </w:r>
          </w:p>
        </w:tc>
        <w:tc>
          <w:tcPr>
            <w:tcW w:w="220" w:type="pct"/>
            <w:tcBorders>
              <w:top w:val="nil"/>
              <w:left w:val="nil"/>
              <w:bottom w:val="nil"/>
              <w:right w:val="single" w:sz="8" w:space="0" w:color="auto"/>
            </w:tcBorders>
            <w:shd w:val="clear" w:color="auto" w:fill="FFFFFF" w:themeFill="background1"/>
            <w:vAlign w:val="center"/>
            <w:hideMark/>
          </w:tcPr>
          <w:p w14:paraId="5FCD6A6C" w14:textId="4F2A1889"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16</w:t>
            </w:r>
          </w:p>
        </w:tc>
      </w:tr>
      <w:tr w:rsidR="00681B50" w:rsidRPr="00435B6B" w14:paraId="2731954D" w14:textId="77777777" w:rsidTr="001F4A34">
        <w:trPr>
          <w:trHeight w:val="495"/>
          <w:jc w:val="center"/>
        </w:trPr>
        <w:tc>
          <w:tcPr>
            <w:tcW w:w="1115" w:type="pct"/>
            <w:tcBorders>
              <w:top w:val="nil"/>
              <w:left w:val="single" w:sz="8" w:space="0" w:color="auto"/>
              <w:bottom w:val="single" w:sz="8" w:space="0" w:color="auto"/>
              <w:right w:val="single" w:sz="8" w:space="0" w:color="auto"/>
            </w:tcBorders>
            <w:shd w:val="clear" w:color="auto" w:fill="FFFFFF" w:themeFill="background1"/>
            <w:vAlign w:val="center"/>
            <w:hideMark/>
          </w:tcPr>
          <w:p w14:paraId="3AB29B9C" w14:textId="6D4BDF1E" w:rsidR="003421D4" w:rsidRPr="009819CE" w:rsidRDefault="00272268" w:rsidP="00AB5EC8">
            <w:pPr>
              <w:spacing w:before="0" w:after="0" w:line="240" w:lineRule="auto"/>
              <w:jc w:val="center"/>
              <w:rPr>
                <w:rFonts w:cstheme="minorBidi"/>
                <w:b/>
                <w:bCs/>
                <w:color w:val="000000"/>
                <w:sz w:val="20"/>
                <w:szCs w:val="20"/>
              </w:rPr>
            </w:pPr>
            <w:r w:rsidRPr="00435B6B">
              <w:rPr>
                <w:rFonts w:cstheme="minorBidi"/>
                <w:b/>
                <w:bCs/>
                <w:color w:val="000000"/>
                <w:sz w:val="20"/>
                <w:szCs w:val="20"/>
              </w:rPr>
              <w:t>Moult</w:t>
            </w:r>
            <w:r w:rsidR="003421D4" w:rsidRPr="009819CE">
              <w:rPr>
                <w:rFonts w:cstheme="minorBidi"/>
                <w:b/>
                <w:bCs/>
                <w:color w:val="000000"/>
                <w:sz w:val="20"/>
                <w:szCs w:val="20"/>
              </w:rPr>
              <w:t xml:space="preserve"> parameters</w:t>
            </w:r>
          </w:p>
        </w:tc>
        <w:tc>
          <w:tcPr>
            <w:tcW w:w="113" w:type="pct"/>
            <w:tcBorders>
              <w:top w:val="nil"/>
              <w:left w:val="nil"/>
              <w:bottom w:val="single" w:sz="8" w:space="0" w:color="auto"/>
              <w:right w:val="nil"/>
            </w:tcBorders>
            <w:shd w:val="clear" w:color="auto" w:fill="FFFFFF" w:themeFill="background1"/>
            <w:vAlign w:val="center"/>
            <w:hideMark/>
          </w:tcPr>
          <w:p w14:paraId="710871F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vAlign w:val="center"/>
            <w:hideMark/>
          </w:tcPr>
          <w:p w14:paraId="6C09A0D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noWrap/>
            <w:vAlign w:val="center"/>
            <w:hideMark/>
          </w:tcPr>
          <w:p w14:paraId="486D5A10" w14:textId="6845D789"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2624E391" w14:textId="5A6A85E6"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03AFDA7" w14:textId="439FAE4F"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2221D08D" w14:textId="5FEED9CC"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064A85D2" w14:textId="692663CA"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73FC7F89" w14:textId="00CF1FD1"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8B59817" w14:textId="250449D4"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299884CC" w14:textId="309106A3"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5B2B42CD" w14:textId="46B8582B"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25AE9142" w14:textId="291B4D9D"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35076233" w14:textId="177D560E"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774F1478" w14:textId="3E5B1EA5"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2FD1268C" w14:textId="48B36553"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05C09285" w14:textId="254302A3"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47C19AA2" w14:textId="16C8E6C2" w:rsidR="003421D4" w:rsidRPr="009819CE" w:rsidRDefault="003421D4" w:rsidP="00AB5EC8">
            <w:pPr>
              <w:spacing w:before="0" w:after="0" w:line="240" w:lineRule="auto"/>
              <w:jc w:val="center"/>
              <w:rPr>
                <w:rFonts w:cstheme="minorBidi"/>
                <w:color w:val="000000"/>
                <w:sz w:val="20"/>
                <w:szCs w:val="20"/>
              </w:rPr>
            </w:pP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69561A08" w14:textId="34495527" w:rsidR="003421D4" w:rsidRPr="009819CE" w:rsidRDefault="003421D4" w:rsidP="00AB5EC8">
            <w:pPr>
              <w:spacing w:before="0" w:after="0" w:line="240" w:lineRule="auto"/>
              <w:jc w:val="center"/>
              <w:rPr>
                <w:rFonts w:cstheme="minorBidi"/>
                <w:color w:val="000000"/>
                <w:sz w:val="20"/>
                <w:szCs w:val="20"/>
              </w:rPr>
            </w:pPr>
          </w:p>
        </w:tc>
      </w:tr>
      <w:tr w:rsidR="00681B50" w:rsidRPr="00435B6B" w14:paraId="03881E44"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3439702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Hard (H)</w:t>
            </w:r>
          </w:p>
        </w:tc>
        <w:tc>
          <w:tcPr>
            <w:tcW w:w="113" w:type="pct"/>
            <w:tcBorders>
              <w:top w:val="nil"/>
              <w:left w:val="nil"/>
              <w:bottom w:val="nil"/>
              <w:right w:val="nil"/>
            </w:tcBorders>
            <w:shd w:val="clear" w:color="auto" w:fill="FFFFFF" w:themeFill="background1"/>
            <w:noWrap/>
            <w:vAlign w:val="center"/>
            <w:hideMark/>
          </w:tcPr>
          <w:p w14:paraId="1A8F94E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32</w:t>
            </w:r>
          </w:p>
        </w:tc>
        <w:tc>
          <w:tcPr>
            <w:tcW w:w="222" w:type="pct"/>
            <w:tcBorders>
              <w:top w:val="nil"/>
              <w:left w:val="nil"/>
              <w:bottom w:val="nil"/>
              <w:right w:val="nil"/>
            </w:tcBorders>
            <w:shd w:val="clear" w:color="auto" w:fill="FFFFFF" w:themeFill="background1"/>
            <w:noWrap/>
            <w:vAlign w:val="center"/>
            <w:hideMark/>
          </w:tcPr>
          <w:p w14:paraId="11513A5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91</w:t>
            </w:r>
          </w:p>
        </w:tc>
        <w:tc>
          <w:tcPr>
            <w:tcW w:w="222" w:type="pct"/>
            <w:tcBorders>
              <w:top w:val="nil"/>
              <w:left w:val="nil"/>
              <w:bottom w:val="nil"/>
              <w:right w:val="nil"/>
            </w:tcBorders>
            <w:shd w:val="clear" w:color="auto" w:fill="FFFFFF" w:themeFill="background1"/>
            <w:noWrap/>
            <w:vAlign w:val="center"/>
            <w:hideMark/>
          </w:tcPr>
          <w:p w14:paraId="7438DBB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123</w:t>
            </w:r>
          </w:p>
        </w:tc>
        <w:tc>
          <w:tcPr>
            <w:tcW w:w="222" w:type="pct"/>
            <w:tcBorders>
              <w:top w:val="nil"/>
              <w:left w:val="nil"/>
              <w:bottom w:val="nil"/>
              <w:right w:val="nil"/>
            </w:tcBorders>
            <w:shd w:val="clear" w:color="auto" w:fill="FFFFFF" w:themeFill="background1"/>
            <w:noWrap/>
            <w:vAlign w:val="center"/>
            <w:hideMark/>
          </w:tcPr>
          <w:p w14:paraId="44513AA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26.0</w:t>
            </w:r>
          </w:p>
        </w:tc>
        <w:tc>
          <w:tcPr>
            <w:tcW w:w="222" w:type="pct"/>
            <w:tcBorders>
              <w:top w:val="nil"/>
              <w:left w:val="nil"/>
              <w:bottom w:val="nil"/>
              <w:right w:val="nil"/>
            </w:tcBorders>
            <w:shd w:val="clear" w:color="auto" w:fill="FFFFFF" w:themeFill="background1"/>
            <w:noWrap/>
            <w:vAlign w:val="center"/>
            <w:hideMark/>
          </w:tcPr>
          <w:p w14:paraId="7B44877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74.0</w:t>
            </w:r>
          </w:p>
        </w:tc>
        <w:tc>
          <w:tcPr>
            <w:tcW w:w="222" w:type="pct"/>
            <w:tcBorders>
              <w:top w:val="nil"/>
              <w:left w:val="nil"/>
              <w:bottom w:val="nil"/>
              <w:right w:val="single" w:sz="8" w:space="0" w:color="auto"/>
            </w:tcBorders>
            <w:shd w:val="clear" w:color="auto" w:fill="FFFFFF" w:themeFill="background1"/>
            <w:vAlign w:val="center"/>
            <w:hideMark/>
          </w:tcPr>
          <w:p w14:paraId="0F0DB5C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89.1</w:t>
            </w:r>
          </w:p>
        </w:tc>
        <w:tc>
          <w:tcPr>
            <w:tcW w:w="222" w:type="pct"/>
            <w:tcBorders>
              <w:top w:val="nil"/>
              <w:left w:val="nil"/>
              <w:bottom w:val="nil"/>
              <w:right w:val="nil"/>
            </w:tcBorders>
            <w:shd w:val="clear" w:color="auto" w:fill="FFFFFF" w:themeFill="background1"/>
            <w:noWrap/>
            <w:vAlign w:val="center"/>
            <w:hideMark/>
          </w:tcPr>
          <w:p w14:paraId="1C043DB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43</w:t>
            </w:r>
          </w:p>
        </w:tc>
        <w:tc>
          <w:tcPr>
            <w:tcW w:w="222" w:type="pct"/>
            <w:tcBorders>
              <w:top w:val="nil"/>
              <w:left w:val="nil"/>
              <w:bottom w:val="nil"/>
              <w:right w:val="nil"/>
            </w:tcBorders>
            <w:shd w:val="clear" w:color="auto" w:fill="FFFFFF" w:themeFill="background1"/>
            <w:noWrap/>
            <w:vAlign w:val="center"/>
            <w:hideMark/>
          </w:tcPr>
          <w:p w14:paraId="69C11AF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82</w:t>
            </w:r>
          </w:p>
        </w:tc>
        <w:tc>
          <w:tcPr>
            <w:tcW w:w="222" w:type="pct"/>
            <w:tcBorders>
              <w:top w:val="nil"/>
              <w:left w:val="nil"/>
              <w:bottom w:val="nil"/>
              <w:right w:val="nil"/>
            </w:tcBorders>
            <w:shd w:val="clear" w:color="auto" w:fill="FFFFFF" w:themeFill="background1"/>
            <w:noWrap/>
            <w:vAlign w:val="center"/>
            <w:hideMark/>
          </w:tcPr>
          <w:p w14:paraId="3034E62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125</w:t>
            </w:r>
          </w:p>
        </w:tc>
        <w:tc>
          <w:tcPr>
            <w:tcW w:w="222" w:type="pct"/>
            <w:tcBorders>
              <w:top w:val="nil"/>
              <w:left w:val="nil"/>
              <w:bottom w:val="nil"/>
              <w:right w:val="nil"/>
            </w:tcBorders>
            <w:shd w:val="clear" w:color="auto" w:fill="FFFFFF" w:themeFill="background1"/>
            <w:noWrap/>
            <w:vAlign w:val="center"/>
            <w:hideMark/>
          </w:tcPr>
          <w:p w14:paraId="786F21C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34.4</w:t>
            </w:r>
          </w:p>
        </w:tc>
        <w:tc>
          <w:tcPr>
            <w:tcW w:w="222" w:type="pct"/>
            <w:tcBorders>
              <w:top w:val="nil"/>
              <w:left w:val="nil"/>
              <w:bottom w:val="nil"/>
              <w:right w:val="nil"/>
            </w:tcBorders>
            <w:shd w:val="clear" w:color="auto" w:fill="FFFFFF" w:themeFill="background1"/>
            <w:noWrap/>
            <w:vAlign w:val="center"/>
            <w:hideMark/>
          </w:tcPr>
          <w:p w14:paraId="5A6F38B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65.6</w:t>
            </w:r>
          </w:p>
        </w:tc>
        <w:tc>
          <w:tcPr>
            <w:tcW w:w="222" w:type="pct"/>
            <w:tcBorders>
              <w:top w:val="nil"/>
              <w:left w:val="nil"/>
              <w:bottom w:val="nil"/>
              <w:right w:val="single" w:sz="8" w:space="0" w:color="auto"/>
            </w:tcBorders>
            <w:shd w:val="clear" w:color="auto" w:fill="FFFFFF" w:themeFill="background1"/>
            <w:vAlign w:val="center"/>
            <w:hideMark/>
          </w:tcPr>
          <w:p w14:paraId="77E0911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92.6</w:t>
            </w:r>
          </w:p>
        </w:tc>
        <w:tc>
          <w:tcPr>
            <w:tcW w:w="222" w:type="pct"/>
            <w:tcBorders>
              <w:top w:val="nil"/>
              <w:left w:val="nil"/>
              <w:bottom w:val="nil"/>
              <w:right w:val="nil"/>
            </w:tcBorders>
            <w:shd w:val="clear" w:color="auto" w:fill="FFFFFF" w:themeFill="background1"/>
            <w:noWrap/>
            <w:vAlign w:val="center"/>
            <w:hideMark/>
          </w:tcPr>
          <w:p w14:paraId="7D2ADE7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25</w:t>
            </w:r>
          </w:p>
        </w:tc>
        <w:tc>
          <w:tcPr>
            <w:tcW w:w="222" w:type="pct"/>
            <w:tcBorders>
              <w:top w:val="nil"/>
              <w:left w:val="nil"/>
              <w:bottom w:val="nil"/>
              <w:right w:val="nil"/>
            </w:tcBorders>
            <w:shd w:val="clear" w:color="auto" w:fill="FFFFFF" w:themeFill="background1"/>
            <w:noWrap/>
            <w:vAlign w:val="center"/>
            <w:hideMark/>
          </w:tcPr>
          <w:p w14:paraId="70A4932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97</w:t>
            </w:r>
          </w:p>
        </w:tc>
        <w:tc>
          <w:tcPr>
            <w:tcW w:w="222" w:type="pct"/>
            <w:tcBorders>
              <w:top w:val="nil"/>
              <w:left w:val="nil"/>
              <w:bottom w:val="nil"/>
              <w:right w:val="nil"/>
            </w:tcBorders>
            <w:shd w:val="clear" w:color="auto" w:fill="FFFFFF" w:themeFill="background1"/>
            <w:noWrap/>
            <w:vAlign w:val="center"/>
            <w:hideMark/>
          </w:tcPr>
          <w:p w14:paraId="74AE33F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122</w:t>
            </w:r>
          </w:p>
        </w:tc>
        <w:tc>
          <w:tcPr>
            <w:tcW w:w="222" w:type="pct"/>
            <w:tcBorders>
              <w:top w:val="nil"/>
              <w:left w:val="nil"/>
              <w:bottom w:val="nil"/>
              <w:right w:val="nil"/>
            </w:tcBorders>
            <w:shd w:val="clear" w:color="auto" w:fill="FFFFFF" w:themeFill="background1"/>
            <w:noWrap/>
            <w:vAlign w:val="center"/>
            <w:hideMark/>
          </w:tcPr>
          <w:p w14:paraId="5A0D04E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20.5</w:t>
            </w:r>
          </w:p>
        </w:tc>
        <w:tc>
          <w:tcPr>
            <w:tcW w:w="222" w:type="pct"/>
            <w:tcBorders>
              <w:top w:val="nil"/>
              <w:left w:val="nil"/>
              <w:bottom w:val="nil"/>
              <w:right w:val="nil"/>
            </w:tcBorders>
            <w:shd w:val="clear" w:color="auto" w:fill="FFFFFF" w:themeFill="background1"/>
            <w:noWrap/>
            <w:vAlign w:val="center"/>
            <w:hideMark/>
          </w:tcPr>
          <w:p w14:paraId="4082720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79.5</w:t>
            </w:r>
          </w:p>
        </w:tc>
        <w:tc>
          <w:tcPr>
            <w:tcW w:w="220" w:type="pct"/>
            <w:tcBorders>
              <w:top w:val="nil"/>
              <w:left w:val="nil"/>
              <w:bottom w:val="nil"/>
              <w:right w:val="single" w:sz="8" w:space="0" w:color="auto"/>
            </w:tcBorders>
            <w:shd w:val="clear" w:color="auto" w:fill="FFFFFF" w:themeFill="background1"/>
            <w:vAlign w:val="center"/>
            <w:hideMark/>
          </w:tcPr>
          <w:p w14:paraId="675D5B6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81.3</w:t>
            </w:r>
          </w:p>
        </w:tc>
      </w:tr>
      <w:tr w:rsidR="00681B50" w:rsidRPr="00435B6B" w14:paraId="14C85B7C"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17FDD1C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Soft (S)</w:t>
            </w:r>
          </w:p>
        </w:tc>
        <w:tc>
          <w:tcPr>
            <w:tcW w:w="113" w:type="pct"/>
            <w:tcBorders>
              <w:top w:val="nil"/>
              <w:left w:val="nil"/>
              <w:bottom w:val="nil"/>
              <w:right w:val="nil"/>
            </w:tcBorders>
            <w:shd w:val="clear" w:color="auto" w:fill="FFFFFF" w:themeFill="background1"/>
            <w:noWrap/>
            <w:vAlign w:val="center"/>
            <w:hideMark/>
          </w:tcPr>
          <w:p w14:paraId="7F646B5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2" w:type="pct"/>
            <w:tcBorders>
              <w:top w:val="nil"/>
              <w:left w:val="nil"/>
              <w:bottom w:val="nil"/>
              <w:right w:val="nil"/>
            </w:tcBorders>
            <w:shd w:val="clear" w:color="auto" w:fill="FFFFFF" w:themeFill="background1"/>
            <w:noWrap/>
            <w:vAlign w:val="center"/>
            <w:hideMark/>
          </w:tcPr>
          <w:p w14:paraId="4A7607F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w:t>
            </w:r>
          </w:p>
        </w:tc>
        <w:tc>
          <w:tcPr>
            <w:tcW w:w="222" w:type="pct"/>
            <w:tcBorders>
              <w:top w:val="nil"/>
              <w:left w:val="nil"/>
              <w:bottom w:val="nil"/>
              <w:right w:val="nil"/>
            </w:tcBorders>
            <w:shd w:val="clear" w:color="auto" w:fill="FFFFFF" w:themeFill="background1"/>
            <w:noWrap/>
            <w:vAlign w:val="center"/>
            <w:hideMark/>
          </w:tcPr>
          <w:p w14:paraId="2D1BC32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22" w:type="pct"/>
            <w:tcBorders>
              <w:top w:val="nil"/>
              <w:left w:val="nil"/>
              <w:bottom w:val="nil"/>
              <w:right w:val="nil"/>
            </w:tcBorders>
            <w:shd w:val="clear" w:color="auto" w:fill="FFFFFF" w:themeFill="background1"/>
            <w:noWrap/>
            <w:vAlign w:val="center"/>
            <w:hideMark/>
          </w:tcPr>
          <w:p w14:paraId="1D19984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46.2</w:t>
            </w:r>
          </w:p>
        </w:tc>
        <w:tc>
          <w:tcPr>
            <w:tcW w:w="222" w:type="pct"/>
            <w:tcBorders>
              <w:top w:val="nil"/>
              <w:left w:val="nil"/>
              <w:bottom w:val="nil"/>
              <w:right w:val="nil"/>
            </w:tcBorders>
            <w:shd w:val="clear" w:color="auto" w:fill="FFFFFF" w:themeFill="background1"/>
            <w:noWrap/>
            <w:vAlign w:val="center"/>
            <w:hideMark/>
          </w:tcPr>
          <w:p w14:paraId="79F322E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53.8</w:t>
            </w:r>
          </w:p>
        </w:tc>
        <w:tc>
          <w:tcPr>
            <w:tcW w:w="222" w:type="pct"/>
            <w:tcBorders>
              <w:top w:val="nil"/>
              <w:left w:val="nil"/>
              <w:bottom w:val="nil"/>
              <w:right w:val="single" w:sz="8" w:space="0" w:color="auto"/>
            </w:tcBorders>
            <w:shd w:val="clear" w:color="auto" w:fill="FFFFFF" w:themeFill="background1"/>
            <w:vAlign w:val="center"/>
            <w:hideMark/>
          </w:tcPr>
          <w:p w14:paraId="7F8F96B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9.4</w:t>
            </w:r>
          </w:p>
        </w:tc>
        <w:tc>
          <w:tcPr>
            <w:tcW w:w="222" w:type="pct"/>
            <w:tcBorders>
              <w:top w:val="nil"/>
              <w:left w:val="nil"/>
              <w:bottom w:val="nil"/>
              <w:right w:val="nil"/>
            </w:tcBorders>
            <w:shd w:val="clear" w:color="auto" w:fill="FFFFFF" w:themeFill="background1"/>
            <w:noWrap/>
            <w:vAlign w:val="center"/>
            <w:hideMark/>
          </w:tcPr>
          <w:p w14:paraId="4296DD2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30AEEAD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noWrap/>
            <w:vAlign w:val="center"/>
            <w:hideMark/>
          </w:tcPr>
          <w:p w14:paraId="4173695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2" w:type="pct"/>
            <w:tcBorders>
              <w:top w:val="nil"/>
              <w:left w:val="nil"/>
              <w:bottom w:val="nil"/>
              <w:right w:val="nil"/>
            </w:tcBorders>
            <w:shd w:val="clear" w:color="auto" w:fill="FFFFFF" w:themeFill="background1"/>
            <w:noWrap/>
            <w:vAlign w:val="center"/>
            <w:hideMark/>
          </w:tcPr>
          <w:p w14:paraId="039CC31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50.0</w:t>
            </w:r>
          </w:p>
        </w:tc>
        <w:tc>
          <w:tcPr>
            <w:tcW w:w="222" w:type="pct"/>
            <w:tcBorders>
              <w:top w:val="nil"/>
              <w:left w:val="nil"/>
              <w:bottom w:val="nil"/>
              <w:right w:val="nil"/>
            </w:tcBorders>
            <w:shd w:val="clear" w:color="auto" w:fill="FFFFFF" w:themeFill="background1"/>
            <w:noWrap/>
            <w:vAlign w:val="center"/>
            <w:hideMark/>
          </w:tcPr>
          <w:p w14:paraId="2FF406D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50.0</w:t>
            </w:r>
          </w:p>
        </w:tc>
        <w:tc>
          <w:tcPr>
            <w:tcW w:w="222" w:type="pct"/>
            <w:tcBorders>
              <w:top w:val="nil"/>
              <w:left w:val="nil"/>
              <w:bottom w:val="nil"/>
              <w:right w:val="single" w:sz="8" w:space="0" w:color="auto"/>
            </w:tcBorders>
            <w:shd w:val="clear" w:color="auto" w:fill="FFFFFF" w:themeFill="background1"/>
            <w:vAlign w:val="center"/>
            <w:hideMark/>
          </w:tcPr>
          <w:p w14:paraId="3FB751A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4.4</w:t>
            </w:r>
          </w:p>
        </w:tc>
        <w:tc>
          <w:tcPr>
            <w:tcW w:w="222" w:type="pct"/>
            <w:tcBorders>
              <w:top w:val="nil"/>
              <w:left w:val="nil"/>
              <w:bottom w:val="nil"/>
              <w:right w:val="nil"/>
            </w:tcBorders>
            <w:shd w:val="clear" w:color="auto" w:fill="FFFFFF" w:themeFill="background1"/>
            <w:noWrap/>
            <w:vAlign w:val="center"/>
            <w:hideMark/>
          </w:tcPr>
          <w:p w14:paraId="76C35A1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nil"/>
              <w:right w:val="nil"/>
            </w:tcBorders>
            <w:shd w:val="clear" w:color="auto" w:fill="FFFFFF" w:themeFill="background1"/>
            <w:noWrap/>
            <w:vAlign w:val="center"/>
            <w:hideMark/>
          </w:tcPr>
          <w:p w14:paraId="3F630A1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22" w:type="pct"/>
            <w:tcBorders>
              <w:top w:val="nil"/>
              <w:left w:val="nil"/>
              <w:bottom w:val="nil"/>
              <w:right w:val="nil"/>
            </w:tcBorders>
            <w:shd w:val="clear" w:color="auto" w:fill="FFFFFF" w:themeFill="background1"/>
            <w:noWrap/>
            <w:vAlign w:val="center"/>
            <w:hideMark/>
          </w:tcPr>
          <w:p w14:paraId="55867B4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22" w:type="pct"/>
            <w:tcBorders>
              <w:top w:val="nil"/>
              <w:left w:val="nil"/>
              <w:bottom w:val="nil"/>
              <w:right w:val="nil"/>
            </w:tcBorders>
            <w:shd w:val="clear" w:color="auto" w:fill="FFFFFF" w:themeFill="background1"/>
            <w:noWrap/>
            <w:vAlign w:val="center"/>
            <w:hideMark/>
          </w:tcPr>
          <w:p w14:paraId="23334C3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52.4</w:t>
            </w:r>
          </w:p>
        </w:tc>
        <w:tc>
          <w:tcPr>
            <w:tcW w:w="222" w:type="pct"/>
            <w:tcBorders>
              <w:top w:val="nil"/>
              <w:left w:val="nil"/>
              <w:bottom w:val="nil"/>
              <w:right w:val="nil"/>
            </w:tcBorders>
            <w:shd w:val="clear" w:color="auto" w:fill="FFFFFF" w:themeFill="background1"/>
            <w:noWrap/>
            <w:vAlign w:val="center"/>
            <w:hideMark/>
          </w:tcPr>
          <w:p w14:paraId="01FFF7D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47.6</w:t>
            </w:r>
          </w:p>
        </w:tc>
        <w:tc>
          <w:tcPr>
            <w:tcW w:w="220" w:type="pct"/>
            <w:tcBorders>
              <w:top w:val="nil"/>
              <w:left w:val="nil"/>
              <w:bottom w:val="nil"/>
              <w:right w:val="single" w:sz="8" w:space="0" w:color="auto"/>
            </w:tcBorders>
            <w:shd w:val="clear" w:color="auto" w:fill="FFFFFF" w:themeFill="background1"/>
            <w:vAlign w:val="center"/>
            <w:hideMark/>
          </w:tcPr>
          <w:p w14:paraId="53D45B88" w14:textId="0C8C5D13"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w:t>
            </w:r>
          </w:p>
        </w:tc>
      </w:tr>
      <w:tr w:rsidR="00681B50" w:rsidRPr="00435B6B" w14:paraId="1CA5D53A"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656A5DD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Jelly (J)</w:t>
            </w:r>
          </w:p>
        </w:tc>
        <w:tc>
          <w:tcPr>
            <w:tcW w:w="113" w:type="pct"/>
            <w:tcBorders>
              <w:top w:val="nil"/>
              <w:left w:val="nil"/>
              <w:bottom w:val="nil"/>
              <w:right w:val="nil"/>
            </w:tcBorders>
            <w:shd w:val="clear" w:color="auto" w:fill="FFFFFF" w:themeFill="background1"/>
            <w:noWrap/>
            <w:vAlign w:val="center"/>
            <w:hideMark/>
          </w:tcPr>
          <w:p w14:paraId="3C9DF67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1305F1E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661DF23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25E3581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1DB7583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2" w:type="pct"/>
            <w:tcBorders>
              <w:top w:val="nil"/>
              <w:left w:val="nil"/>
              <w:bottom w:val="nil"/>
              <w:right w:val="single" w:sz="8" w:space="0" w:color="auto"/>
            </w:tcBorders>
            <w:shd w:val="clear" w:color="auto" w:fill="FFFFFF" w:themeFill="background1"/>
            <w:vAlign w:val="center"/>
            <w:hideMark/>
          </w:tcPr>
          <w:p w14:paraId="1DBF814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22" w:type="pct"/>
            <w:tcBorders>
              <w:top w:val="nil"/>
              <w:left w:val="nil"/>
              <w:bottom w:val="nil"/>
              <w:right w:val="nil"/>
            </w:tcBorders>
            <w:shd w:val="clear" w:color="auto" w:fill="FFFFFF" w:themeFill="background1"/>
            <w:noWrap/>
            <w:vAlign w:val="center"/>
            <w:hideMark/>
          </w:tcPr>
          <w:p w14:paraId="56D072F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15D646B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5863B90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04BE975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50.0</w:t>
            </w:r>
          </w:p>
        </w:tc>
        <w:tc>
          <w:tcPr>
            <w:tcW w:w="222" w:type="pct"/>
            <w:tcBorders>
              <w:top w:val="nil"/>
              <w:left w:val="nil"/>
              <w:bottom w:val="nil"/>
              <w:right w:val="nil"/>
            </w:tcBorders>
            <w:shd w:val="clear" w:color="auto" w:fill="FFFFFF" w:themeFill="background1"/>
            <w:noWrap/>
            <w:vAlign w:val="center"/>
            <w:hideMark/>
          </w:tcPr>
          <w:p w14:paraId="1EBFBA5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50.0</w:t>
            </w:r>
          </w:p>
        </w:tc>
        <w:tc>
          <w:tcPr>
            <w:tcW w:w="222" w:type="pct"/>
            <w:tcBorders>
              <w:top w:val="nil"/>
              <w:left w:val="nil"/>
              <w:bottom w:val="nil"/>
              <w:right w:val="single" w:sz="8" w:space="0" w:color="auto"/>
            </w:tcBorders>
            <w:shd w:val="clear" w:color="auto" w:fill="FFFFFF" w:themeFill="background1"/>
            <w:vAlign w:val="center"/>
            <w:hideMark/>
          </w:tcPr>
          <w:p w14:paraId="3C5D8DF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22" w:type="pct"/>
            <w:tcBorders>
              <w:top w:val="nil"/>
              <w:left w:val="nil"/>
              <w:bottom w:val="nil"/>
              <w:right w:val="nil"/>
            </w:tcBorders>
            <w:shd w:val="clear" w:color="auto" w:fill="FFFFFF" w:themeFill="background1"/>
            <w:noWrap/>
            <w:vAlign w:val="center"/>
            <w:hideMark/>
          </w:tcPr>
          <w:p w14:paraId="6C1C83E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2" w:type="pct"/>
            <w:tcBorders>
              <w:top w:val="nil"/>
              <w:left w:val="nil"/>
              <w:bottom w:val="nil"/>
              <w:right w:val="nil"/>
            </w:tcBorders>
            <w:shd w:val="clear" w:color="auto" w:fill="FFFFFF" w:themeFill="background1"/>
            <w:noWrap/>
            <w:vAlign w:val="center"/>
            <w:hideMark/>
          </w:tcPr>
          <w:p w14:paraId="1CFC940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20C78E1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w:t>
            </w:r>
          </w:p>
        </w:tc>
        <w:tc>
          <w:tcPr>
            <w:tcW w:w="222" w:type="pct"/>
            <w:tcBorders>
              <w:top w:val="nil"/>
              <w:left w:val="nil"/>
              <w:bottom w:val="nil"/>
              <w:right w:val="nil"/>
            </w:tcBorders>
            <w:shd w:val="clear" w:color="auto" w:fill="FFFFFF" w:themeFill="background1"/>
            <w:noWrap/>
            <w:vAlign w:val="center"/>
            <w:hideMark/>
          </w:tcPr>
          <w:p w14:paraId="22A1B42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85.7</w:t>
            </w:r>
          </w:p>
        </w:tc>
        <w:tc>
          <w:tcPr>
            <w:tcW w:w="222" w:type="pct"/>
            <w:tcBorders>
              <w:top w:val="nil"/>
              <w:left w:val="nil"/>
              <w:bottom w:val="nil"/>
              <w:right w:val="nil"/>
            </w:tcBorders>
            <w:shd w:val="clear" w:color="auto" w:fill="FFFFFF" w:themeFill="background1"/>
            <w:noWrap/>
            <w:vAlign w:val="center"/>
            <w:hideMark/>
          </w:tcPr>
          <w:p w14:paraId="3089532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14.3</w:t>
            </w:r>
          </w:p>
        </w:tc>
        <w:tc>
          <w:tcPr>
            <w:tcW w:w="220" w:type="pct"/>
            <w:tcBorders>
              <w:top w:val="nil"/>
              <w:left w:val="nil"/>
              <w:bottom w:val="nil"/>
              <w:right w:val="single" w:sz="8" w:space="0" w:color="auto"/>
            </w:tcBorders>
            <w:shd w:val="clear" w:color="auto" w:fill="FFFFFF" w:themeFill="background1"/>
            <w:vAlign w:val="center"/>
            <w:hideMark/>
          </w:tcPr>
          <w:p w14:paraId="1F47B2D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4.7</w:t>
            </w:r>
          </w:p>
        </w:tc>
      </w:tr>
      <w:tr w:rsidR="00681B50" w:rsidRPr="00435B6B" w14:paraId="6591DCF2" w14:textId="77777777" w:rsidTr="001F4A34">
        <w:trPr>
          <w:trHeight w:val="48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20F1DF1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A+B (recently-moulted)</w:t>
            </w:r>
          </w:p>
        </w:tc>
        <w:tc>
          <w:tcPr>
            <w:tcW w:w="113" w:type="pct"/>
            <w:tcBorders>
              <w:top w:val="nil"/>
              <w:left w:val="nil"/>
              <w:bottom w:val="nil"/>
              <w:right w:val="nil"/>
            </w:tcBorders>
            <w:shd w:val="clear" w:color="auto" w:fill="FFFFFF" w:themeFill="background1"/>
            <w:noWrap/>
            <w:vAlign w:val="center"/>
            <w:hideMark/>
          </w:tcPr>
          <w:p w14:paraId="7A08916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2" w:type="pct"/>
            <w:tcBorders>
              <w:top w:val="nil"/>
              <w:left w:val="nil"/>
              <w:bottom w:val="nil"/>
              <w:right w:val="nil"/>
            </w:tcBorders>
            <w:shd w:val="clear" w:color="auto" w:fill="FFFFFF" w:themeFill="background1"/>
            <w:noWrap/>
            <w:vAlign w:val="center"/>
            <w:hideMark/>
          </w:tcPr>
          <w:p w14:paraId="35C0108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22" w:type="pct"/>
            <w:tcBorders>
              <w:top w:val="nil"/>
              <w:left w:val="nil"/>
              <w:bottom w:val="nil"/>
              <w:right w:val="nil"/>
            </w:tcBorders>
            <w:shd w:val="clear" w:color="auto" w:fill="FFFFFF" w:themeFill="background1"/>
            <w:noWrap/>
            <w:vAlign w:val="center"/>
            <w:hideMark/>
          </w:tcPr>
          <w:p w14:paraId="24464CA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w:t>
            </w:r>
          </w:p>
        </w:tc>
        <w:tc>
          <w:tcPr>
            <w:tcW w:w="222" w:type="pct"/>
            <w:tcBorders>
              <w:top w:val="nil"/>
              <w:left w:val="nil"/>
              <w:bottom w:val="nil"/>
              <w:right w:val="nil"/>
            </w:tcBorders>
            <w:shd w:val="clear" w:color="auto" w:fill="FFFFFF" w:themeFill="background1"/>
            <w:noWrap/>
            <w:vAlign w:val="center"/>
            <w:hideMark/>
          </w:tcPr>
          <w:p w14:paraId="37F68A9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40.0</w:t>
            </w:r>
          </w:p>
        </w:tc>
        <w:tc>
          <w:tcPr>
            <w:tcW w:w="222" w:type="pct"/>
            <w:tcBorders>
              <w:top w:val="nil"/>
              <w:left w:val="nil"/>
              <w:bottom w:val="nil"/>
              <w:right w:val="nil"/>
            </w:tcBorders>
            <w:shd w:val="clear" w:color="auto" w:fill="FFFFFF" w:themeFill="background1"/>
            <w:noWrap/>
            <w:vAlign w:val="center"/>
            <w:hideMark/>
          </w:tcPr>
          <w:p w14:paraId="082E9A7F" w14:textId="03A16478"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22" w:type="pct"/>
            <w:tcBorders>
              <w:top w:val="nil"/>
              <w:left w:val="nil"/>
              <w:bottom w:val="nil"/>
              <w:right w:val="single" w:sz="8" w:space="0" w:color="auto"/>
            </w:tcBorders>
            <w:shd w:val="clear" w:color="auto" w:fill="FFFFFF" w:themeFill="background1"/>
            <w:vAlign w:val="center"/>
            <w:hideMark/>
          </w:tcPr>
          <w:p w14:paraId="7EE9A7F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10.9</w:t>
            </w:r>
          </w:p>
        </w:tc>
        <w:tc>
          <w:tcPr>
            <w:tcW w:w="222" w:type="pct"/>
            <w:tcBorders>
              <w:top w:val="nil"/>
              <w:left w:val="nil"/>
              <w:bottom w:val="nil"/>
              <w:right w:val="nil"/>
            </w:tcBorders>
            <w:shd w:val="clear" w:color="auto" w:fill="FFFFFF" w:themeFill="background1"/>
            <w:noWrap/>
            <w:vAlign w:val="center"/>
            <w:hideMark/>
          </w:tcPr>
          <w:p w14:paraId="64DE9B6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4AFCC06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5D6EA85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22" w:type="pct"/>
            <w:tcBorders>
              <w:top w:val="nil"/>
              <w:left w:val="nil"/>
              <w:bottom w:val="nil"/>
              <w:right w:val="nil"/>
            </w:tcBorders>
            <w:shd w:val="clear" w:color="auto" w:fill="FFFFFF" w:themeFill="background1"/>
            <w:noWrap/>
            <w:vAlign w:val="center"/>
            <w:hideMark/>
          </w:tcPr>
          <w:p w14:paraId="793C881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55.6</w:t>
            </w:r>
          </w:p>
        </w:tc>
        <w:tc>
          <w:tcPr>
            <w:tcW w:w="222" w:type="pct"/>
            <w:tcBorders>
              <w:top w:val="nil"/>
              <w:left w:val="nil"/>
              <w:bottom w:val="nil"/>
              <w:right w:val="nil"/>
            </w:tcBorders>
            <w:shd w:val="clear" w:color="auto" w:fill="FFFFFF" w:themeFill="background1"/>
            <w:noWrap/>
            <w:vAlign w:val="center"/>
            <w:hideMark/>
          </w:tcPr>
          <w:p w14:paraId="223DB19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44.4</w:t>
            </w:r>
          </w:p>
        </w:tc>
        <w:tc>
          <w:tcPr>
            <w:tcW w:w="222" w:type="pct"/>
            <w:tcBorders>
              <w:top w:val="nil"/>
              <w:left w:val="nil"/>
              <w:bottom w:val="nil"/>
              <w:right w:val="single" w:sz="8" w:space="0" w:color="auto"/>
            </w:tcBorders>
            <w:shd w:val="clear" w:color="auto" w:fill="FFFFFF" w:themeFill="background1"/>
            <w:vAlign w:val="center"/>
            <w:hideMark/>
          </w:tcPr>
          <w:p w14:paraId="33D2185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6.7</w:t>
            </w:r>
          </w:p>
        </w:tc>
        <w:tc>
          <w:tcPr>
            <w:tcW w:w="222" w:type="pct"/>
            <w:tcBorders>
              <w:top w:val="nil"/>
              <w:left w:val="nil"/>
              <w:bottom w:val="nil"/>
              <w:right w:val="nil"/>
            </w:tcBorders>
            <w:shd w:val="clear" w:color="auto" w:fill="FFFFFF" w:themeFill="background1"/>
            <w:noWrap/>
            <w:vAlign w:val="center"/>
            <w:hideMark/>
          </w:tcPr>
          <w:p w14:paraId="1DFD77F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16</w:t>
            </w:r>
          </w:p>
        </w:tc>
        <w:tc>
          <w:tcPr>
            <w:tcW w:w="222" w:type="pct"/>
            <w:tcBorders>
              <w:top w:val="nil"/>
              <w:left w:val="nil"/>
              <w:bottom w:val="nil"/>
              <w:right w:val="nil"/>
            </w:tcBorders>
            <w:shd w:val="clear" w:color="auto" w:fill="FFFFFF" w:themeFill="background1"/>
            <w:noWrap/>
            <w:vAlign w:val="center"/>
            <w:hideMark/>
          </w:tcPr>
          <w:p w14:paraId="1FEFD97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15</w:t>
            </w:r>
          </w:p>
        </w:tc>
        <w:tc>
          <w:tcPr>
            <w:tcW w:w="222" w:type="pct"/>
            <w:tcBorders>
              <w:top w:val="nil"/>
              <w:left w:val="nil"/>
              <w:bottom w:val="nil"/>
              <w:right w:val="nil"/>
            </w:tcBorders>
            <w:shd w:val="clear" w:color="auto" w:fill="FFFFFF" w:themeFill="background1"/>
            <w:noWrap/>
            <w:vAlign w:val="center"/>
            <w:hideMark/>
          </w:tcPr>
          <w:p w14:paraId="4F77179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31</w:t>
            </w:r>
          </w:p>
        </w:tc>
        <w:tc>
          <w:tcPr>
            <w:tcW w:w="222" w:type="pct"/>
            <w:tcBorders>
              <w:top w:val="nil"/>
              <w:left w:val="nil"/>
              <w:bottom w:val="nil"/>
              <w:right w:val="nil"/>
            </w:tcBorders>
            <w:shd w:val="clear" w:color="auto" w:fill="FFFFFF" w:themeFill="background1"/>
            <w:noWrap/>
            <w:vAlign w:val="center"/>
            <w:hideMark/>
          </w:tcPr>
          <w:p w14:paraId="26D1599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51.6</w:t>
            </w:r>
          </w:p>
        </w:tc>
        <w:tc>
          <w:tcPr>
            <w:tcW w:w="222" w:type="pct"/>
            <w:tcBorders>
              <w:top w:val="nil"/>
              <w:left w:val="nil"/>
              <w:bottom w:val="nil"/>
              <w:right w:val="nil"/>
            </w:tcBorders>
            <w:shd w:val="clear" w:color="auto" w:fill="FFFFFF" w:themeFill="background1"/>
            <w:noWrap/>
            <w:vAlign w:val="center"/>
            <w:hideMark/>
          </w:tcPr>
          <w:p w14:paraId="4865FBB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48.4</w:t>
            </w:r>
          </w:p>
        </w:tc>
        <w:tc>
          <w:tcPr>
            <w:tcW w:w="220" w:type="pct"/>
            <w:tcBorders>
              <w:top w:val="nil"/>
              <w:left w:val="nil"/>
              <w:bottom w:val="nil"/>
              <w:right w:val="single" w:sz="8" w:space="0" w:color="auto"/>
            </w:tcBorders>
            <w:shd w:val="clear" w:color="auto" w:fill="FFFFFF" w:themeFill="background1"/>
            <w:vAlign w:val="center"/>
            <w:hideMark/>
          </w:tcPr>
          <w:p w14:paraId="0B76BF3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20.7</w:t>
            </w:r>
          </w:p>
        </w:tc>
      </w:tr>
      <w:tr w:rsidR="00681B50" w:rsidRPr="00435B6B" w14:paraId="0CB8C78F"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27D60C7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C (inter-moult)</w:t>
            </w:r>
          </w:p>
        </w:tc>
        <w:tc>
          <w:tcPr>
            <w:tcW w:w="113" w:type="pct"/>
            <w:tcBorders>
              <w:top w:val="nil"/>
              <w:left w:val="nil"/>
              <w:bottom w:val="nil"/>
              <w:right w:val="nil"/>
            </w:tcBorders>
            <w:shd w:val="clear" w:color="auto" w:fill="FFFFFF" w:themeFill="background1"/>
            <w:noWrap/>
            <w:vAlign w:val="center"/>
            <w:hideMark/>
          </w:tcPr>
          <w:p w14:paraId="59A87E2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32</w:t>
            </w:r>
          </w:p>
        </w:tc>
        <w:tc>
          <w:tcPr>
            <w:tcW w:w="222" w:type="pct"/>
            <w:tcBorders>
              <w:top w:val="nil"/>
              <w:left w:val="nil"/>
              <w:bottom w:val="nil"/>
              <w:right w:val="nil"/>
            </w:tcBorders>
            <w:shd w:val="clear" w:color="auto" w:fill="FFFFFF" w:themeFill="background1"/>
            <w:noWrap/>
            <w:vAlign w:val="center"/>
            <w:hideMark/>
          </w:tcPr>
          <w:p w14:paraId="2FFB967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91</w:t>
            </w:r>
          </w:p>
        </w:tc>
        <w:tc>
          <w:tcPr>
            <w:tcW w:w="222" w:type="pct"/>
            <w:tcBorders>
              <w:top w:val="nil"/>
              <w:left w:val="nil"/>
              <w:bottom w:val="nil"/>
              <w:right w:val="nil"/>
            </w:tcBorders>
            <w:shd w:val="clear" w:color="auto" w:fill="FFFFFF" w:themeFill="background1"/>
            <w:noWrap/>
            <w:vAlign w:val="center"/>
            <w:hideMark/>
          </w:tcPr>
          <w:p w14:paraId="61C87BA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123</w:t>
            </w:r>
          </w:p>
        </w:tc>
        <w:tc>
          <w:tcPr>
            <w:tcW w:w="222" w:type="pct"/>
            <w:tcBorders>
              <w:top w:val="nil"/>
              <w:left w:val="nil"/>
              <w:bottom w:val="nil"/>
              <w:right w:val="nil"/>
            </w:tcBorders>
            <w:shd w:val="clear" w:color="auto" w:fill="FFFFFF" w:themeFill="background1"/>
            <w:noWrap/>
            <w:vAlign w:val="center"/>
            <w:hideMark/>
          </w:tcPr>
          <w:p w14:paraId="633D358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26.0</w:t>
            </w:r>
          </w:p>
        </w:tc>
        <w:tc>
          <w:tcPr>
            <w:tcW w:w="222" w:type="pct"/>
            <w:tcBorders>
              <w:top w:val="nil"/>
              <w:left w:val="nil"/>
              <w:bottom w:val="nil"/>
              <w:right w:val="nil"/>
            </w:tcBorders>
            <w:shd w:val="clear" w:color="auto" w:fill="FFFFFF" w:themeFill="background1"/>
            <w:noWrap/>
            <w:vAlign w:val="center"/>
            <w:hideMark/>
          </w:tcPr>
          <w:p w14:paraId="3E3C2150" w14:textId="71CB94B6"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74</w:t>
            </w:r>
          </w:p>
        </w:tc>
        <w:tc>
          <w:tcPr>
            <w:tcW w:w="222" w:type="pct"/>
            <w:tcBorders>
              <w:top w:val="nil"/>
              <w:left w:val="nil"/>
              <w:bottom w:val="nil"/>
              <w:right w:val="single" w:sz="8" w:space="0" w:color="auto"/>
            </w:tcBorders>
            <w:shd w:val="clear" w:color="auto" w:fill="FFFFFF" w:themeFill="background1"/>
            <w:vAlign w:val="center"/>
            <w:hideMark/>
          </w:tcPr>
          <w:p w14:paraId="23D6D1A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89.1</w:t>
            </w:r>
          </w:p>
        </w:tc>
        <w:tc>
          <w:tcPr>
            <w:tcW w:w="222" w:type="pct"/>
            <w:tcBorders>
              <w:top w:val="nil"/>
              <w:left w:val="nil"/>
              <w:bottom w:val="nil"/>
              <w:right w:val="nil"/>
            </w:tcBorders>
            <w:shd w:val="clear" w:color="auto" w:fill="FFFFFF" w:themeFill="background1"/>
            <w:noWrap/>
            <w:vAlign w:val="center"/>
            <w:hideMark/>
          </w:tcPr>
          <w:p w14:paraId="0335DA7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39</w:t>
            </w:r>
          </w:p>
        </w:tc>
        <w:tc>
          <w:tcPr>
            <w:tcW w:w="222" w:type="pct"/>
            <w:tcBorders>
              <w:top w:val="nil"/>
              <w:left w:val="nil"/>
              <w:bottom w:val="nil"/>
              <w:right w:val="nil"/>
            </w:tcBorders>
            <w:shd w:val="clear" w:color="auto" w:fill="FFFFFF" w:themeFill="background1"/>
            <w:noWrap/>
            <w:vAlign w:val="center"/>
            <w:hideMark/>
          </w:tcPr>
          <w:p w14:paraId="440B0F8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75</w:t>
            </w:r>
          </w:p>
        </w:tc>
        <w:tc>
          <w:tcPr>
            <w:tcW w:w="222" w:type="pct"/>
            <w:tcBorders>
              <w:top w:val="nil"/>
              <w:left w:val="nil"/>
              <w:bottom w:val="nil"/>
              <w:right w:val="nil"/>
            </w:tcBorders>
            <w:shd w:val="clear" w:color="auto" w:fill="FFFFFF" w:themeFill="background1"/>
            <w:noWrap/>
            <w:vAlign w:val="center"/>
            <w:hideMark/>
          </w:tcPr>
          <w:p w14:paraId="775F710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114</w:t>
            </w:r>
          </w:p>
        </w:tc>
        <w:tc>
          <w:tcPr>
            <w:tcW w:w="222" w:type="pct"/>
            <w:tcBorders>
              <w:top w:val="nil"/>
              <w:left w:val="nil"/>
              <w:bottom w:val="nil"/>
              <w:right w:val="nil"/>
            </w:tcBorders>
            <w:shd w:val="clear" w:color="auto" w:fill="FFFFFF" w:themeFill="background1"/>
            <w:noWrap/>
            <w:vAlign w:val="center"/>
            <w:hideMark/>
          </w:tcPr>
          <w:p w14:paraId="2380193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34.2</w:t>
            </w:r>
          </w:p>
        </w:tc>
        <w:tc>
          <w:tcPr>
            <w:tcW w:w="222" w:type="pct"/>
            <w:tcBorders>
              <w:top w:val="nil"/>
              <w:left w:val="nil"/>
              <w:bottom w:val="nil"/>
              <w:right w:val="nil"/>
            </w:tcBorders>
            <w:shd w:val="clear" w:color="auto" w:fill="FFFFFF" w:themeFill="background1"/>
            <w:noWrap/>
            <w:vAlign w:val="center"/>
            <w:hideMark/>
          </w:tcPr>
          <w:p w14:paraId="045466F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65.8</w:t>
            </w:r>
          </w:p>
        </w:tc>
        <w:tc>
          <w:tcPr>
            <w:tcW w:w="222" w:type="pct"/>
            <w:tcBorders>
              <w:top w:val="nil"/>
              <w:left w:val="nil"/>
              <w:bottom w:val="nil"/>
              <w:right w:val="single" w:sz="8" w:space="0" w:color="auto"/>
            </w:tcBorders>
            <w:shd w:val="clear" w:color="auto" w:fill="FFFFFF" w:themeFill="background1"/>
            <w:vAlign w:val="center"/>
            <w:hideMark/>
          </w:tcPr>
          <w:p w14:paraId="34FEE19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84.4</w:t>
            </w:r>
          </w:p>
        </w:tc>
        <w:tc>
          <w:tcPr>
            <w:tcW w:w="222" w:type="pct"/>
            <w:tcBorders>
              <w:top w:val="nil"/>
              <w:left w:val="nil"/>
              <w:bottom w:val="nil"/>
              <w:right w:val="nil"/>
            </w:tcBorders>
            <w:shd w:val="clear" w:color="auto" w:fill="FFFFFF" w:themeFill="background1"/>
            <w:noWrap/>
            <w:vAlign w:val="center"/>
            <w:hideMark/>
          </w:tcPr>
          <w:p w14:paraId="3121C2E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22" w:type="pct"/>
            <w:tcBorders>
              <w:top w:val="nil"/>
              <w:left w:val="nil"/>
              <w:bottom w:val="nil"/>
              <w:right w:val="nil"/>
            </w:tcBorders>
            <w:shd w:val="clear" w:color="auto" w:fill="FFFFFF" w:themeFill="background1"/>
            <w:noWrap/>
            <w:vAlign w:val="center"/>
            <w:hideMark/>
          </w:tcPr>
          <w:p w14:paraId="773F490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79</w:t>
            </w:r>
          </w:p>
        </w:tc>
        <w:tc>
          <w:tcPr>
            <w:tcW w:w="222" w:type="pct"/>
            <w:tcBorders>
              <w:top w:val="nil"/>
              <w:left w:val="nil"/>
              <w:bottom w:val="nil"/>
              <w:right w:val="nil"/>
            </w:tcBorders>
            <w:shd w:val="clear" w:color="auto" w:fill="FFFFFF" w:themeFill="background1"/>
            <w:noWrap/>
            <w:vAlign w:val="center"/>
            <w:hideMark/>
          </w:tcPr>
          <w:p w14:paraId="51E23A7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92</w:t>
            </w:r>
          </w:p>
        </w:tc>
        <w:tc>
          <w:tcPr>
            <w:tcW w:w="222" w:type="pct"/>
            <w:tcBorders>
              <w:top w:val="nil"/>
              <w:left w:val="nil"/>
              <w:bottom w:val="nil"/>
              <w:right w:val="nil"/>
            </w:tcBorders>
            <w:shd w:val="clear" w:color="auto" w:fill="FFFFFF" w:themeFill="background1"/>
            <w:noWrap/>
            <w:vAlign w:val="center"/>
            <w:hideMark/>
          </w:tcPr>
          <w:p w14:paraId="6EEA7AE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14.1</w:t>
            </w:r>
          </w:p>
        </w:tc>
        <w:tc>
          <w:tcPr>
            <w:tcW w:w="222" w:type="pct"/>
            <w:tcBorders>
              <w:top w:val="nil"/>
              <w:left w:val="nil"/>
              <w:bottom w:val="nil"/>
              <w:right w:val="nil"/>
            </w:tcBorders>
            <w:shd w:val="clear" w:color="auto" w:fill="FFFFFF" w:themeFill="background1"/>
            <w:noWrap/>
            <w:vAlign w:val="center"/>
            <w:hideMark/>
          </w:tcPr>
          <w:p w14:paraId="3479607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85.9</w:t>
            </w:r>
          </w:p>
        </w:tc>
        <w:tc>
          <w:tcPr>
            <w:tcW w:w="220" w:type="pct"/>
            <w:tcBorders>
              <w:top w:val="nil"/>
              <w:left w:val="nil"/>
              <w:bottom w:val="nil"/>
              <w:right w:val="single" w:sz="8" w:space="0" w:color="auto"/>
            </w:tcBorders>
            <w:shd w:val="clear" w:color="auto" w:fill="FFFFFF" w:themeFill="background1"/>
            <w:vAlign w:val="center"/>
            <w:hideMark/>
          </w:tcPr>
          <w:p w14:paraId="2F773F0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61.3</w:t>
            </w:r>
          </w:p>
        </w:tc>
      </w:tr>
      <w:tr w:rsidR="00681B50" w:rsidRPr="00435B6B" w14:paraId="6976D69A"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27CC634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D (pre-moult)</w:t>
            </w:r>
          </w:p>
        </w:tc>
        <w:tc>
          <w:tcPr>
            <w:tcW w:w="113" w:type="pct"/>
            <w:tcBorders>
              <w:top w:val="nil"/>
              <w:left w:val="nil"/>
              <w:bottom w:val="nil"/>
              <w:right w:val="nil"/>
            </w:tcBorders>
            <w:shd w:val="clear" w:color="auto" w:fill="FFFFFF" w:themeFill="background1"/>
            <w:noWrap/>
            <w:vAlign w:val="center"/>
            <w:hideMark/>
          </w:tcPr>
          <w:p w14:paraId="6709B30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7A26B0C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395948F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31520BD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339C3F1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single" w:sz="8" w:space="0" w:color="auto"/>
            </w:tcBorders>
            <w:shd w:val="clear" w:color="auto" w:fill="FFFFFF" w:themeFill="background1"/>
            <w:vAlign w:val="center"/>
            <w:hideMark/>
          </w:tcPr>
          <w:p w14:paraId="0C2C6FD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1FCAED2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noWrap/>
            <w:vAlign w:val="center"/>
            <w:hideMark/>
          </w:tcPr>
          <w:p w14:paraId="46F8186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w:t>
            </w:r>
          </w:p>
        </w:tc>
        <w:tc>
          <w:tcPr>
            <w:tcW w:w="222" w:type="pct"/>
            <w:tcBorders>
              <w:top w:val="nil"/>
              <w:left w:val="nil"/>
              <w:bottom w:val="nil"/>
              <w:right w:val="nil"/>
            </w:tcBorders>
            <w:shd w:val="clear" w:color="auto" w:fill="FFFFFF" w:themeFill="background1"/>
            <w:noWrap/>
            <w:vAlign w:val="center"/>
            <w:hideMark/>
          </w:tcPr>
          <w:p w14:paraId="36CC11B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w:t>
            </w:r>
          </w:p>
        </w:tc>
        <w:tc>
          <w:tcPr>
            <w:tcW w:w="222" w:type="pct"/>
            <w:tcBorders>
              <w:top w:val="nil"/>
              <w:left w:val="nil"/>
              <w:bottom w:val="nil"/>
              <w:right w:val="nil"/>
            </w:tcBorders>
            <w:shd w:val="clear" w:color="auto" w:fill="FFFFFF" w:themeFill="background1"/>
            <w:noWrap/>
            <w:vAlign w:val="center"/>
            <w:hideMark/>
          </w:tcPr>
          <w:p w14:paraId="4DD0501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22" w:type="pct"/>
            <w:tcBorders>
              <w:top w:val="nil"/>
              <w:left w:val="nil"/>
              <w:bottom w:val="nil"/>
              <w:right w:val="nil"/>
            </w:tcBorders>
            <w:shd w:val="clear" w:color="auto" w:fill="FFFFFF" w:themeFill="background1"/>
            <w:noWrap/>
            <w:vAlign w:val="center"/>
            <w:hideMark/>
          </w:tcPr>
          <w:p w14:paraId="4B9DDF3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22" w:type="pct"/>
            <w:tcBorders>
              <w:top w:val="nil"/>
              <w:left w:val="nil"/>
              <w:bottom w:val="nil"/>
              <w:right w:val="single" w:sz="8" w:space="0" w:color="auto"/>
            </w:tcBorders>
            <w:shd w:val="clear" w:color="auto" w:fill="FFFFFF" w:themeFill="background1"/>
            <w:vAlign w:val="center"/>
            <w:hideMark/>
          </w:tcPr>
          <w:p w14:paraId="028A39A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8.9</w:t>
            </w:r>
          </w:p>
        </w:tc>
        <w:tc>
          <w:tcPr>
            <w:tcW w:w="222" w:type="pct"/>
            <w:tcBorders>
              <w:top w:val="nil"/>
              <w:left w:val="nil"/>
              <w:bottom w:val="nil"/>
              <w:right w:val="nil"/>
            </w:tcBorders>
            <w:shd w:val="clear" w:color="auto" w:fill="FFFFFF" w:themeFill="background1"/>
            <w:noWrap/>
            <w:vAlign w:val="center"/>
            <w:hideMark/>
          </w:tcPr>
          <w:p w14:paraId="0BD24CE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22" w:type="pct"/>
            <w:tcBorders>
              <w:top w:val="nil"/>
              <w:left w:val="nil"/>
              <w:bottom w:val="nil"/>
              <w:right w:val="nil"/>
            </w:tcBorders>
            <w:shd w:val="clear" w:color="auto" w:fill="FFFFFF" w:themeFill="background1"/>
            <w:noWrap/>
            <w:vAlign w:val="center"/>
            <w:hideMark/>
          </w:tcPr>
          <w:p w14:paraId="1DDD0B3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22" w:type="pct"/>
            <w:tcBorders>
              <w:top w:val="nil"/>
              <w:left w:val="nil"/>
              <w:bottom w:val="nil"/>
              <w:right w:val="nil"/>
            </w:tcBorders>
            <w:shd w:val="clear" w:color="auto" w:fill="FFFFFF" w:themeFill="background1"/>
            <w:noWrap/>
            <w:vAlign w:val="center"/>
            <w:hideMark/>
          </w:tcPr>
          <w:p w14:paraId="440430E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27</w:t>
            </w:r>
          </w:p>
        </w:tc>
        <w:tc>
          <w:tcPr>
            <w:tcW w:w="222" w:type="pct"/>
            <w:tcBorders>
              <w:top w:val="nil"/>
              <w:left w:val="nil"/>
              <w:bottom w:val="nil"/>
              <w:right w:val="nil"/>
            </w:tcBorders>
            <w:shd w:val="clear" w:color="auto" w:fill="FFFFFF" w:themeFill="background1"/>
            <w:noWrap/>
            <w:vAlign w:val="center"/>
            <w:hideMark/>
          </w:tcPr>
          <w:p w14:paraId="6FD43EF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48.1</w:t>
            </w:r>
          </w:p>
        </w:tc>
        <w:tc>
          <w:tcPr>
            <w:tcW w:w="222" w:type="pct"/>
            <w:tcBorders>
              <w:top w:val="nil"/>
              <w:left w:val="nil"/>
              <w:bottom w:val="nil"/>
              <w:right w:val="nil"/>
            </w:tcBorders>
            <w:shd w:val="clear" w:color="auto" w:fill="FFFFFF" w:themeFill="background1"/>
            <w:noWrap/>
            <w:vAlign w:val="center"/>
            <w:hideMark/>
          </w:tcPr>
          <w:p w14:paraId="3C81027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51.9</w:t>
            </w:r>
          </w:p>
        </w:tc>
        <w:tc>
          <w:tcPr>
            <w:tcW w:w="220" w:type="pct"/>
            <w:tcBorders>
              <w:top w:val="nil"/>
              <w:left w:val="nil"/>
              <w:bottom w:val="nil"/>
              <w:right w:val="single" w:sz="8" w:space="0" w:color="auto"/>
            </w:tcBorders>
            <w:shd w:val="clear" w:color="auto" w:fill="FFFFFF" w:themeFill="background1"/>
            <w:vAlign w:val="center"/>
            <w:hideMark/>
          </w:tcPr>
          <w:p w14:paraId="3C49776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18.0</w:t>
            </w:r>
          </w:p>
        </w:tc>
      </w:tr>
      <w:tr w:rsidR="00681B50" w:rsidRPr="00435B6B" w14:paraId="128F05EE" w14:textId="77777777" w:rsidTr="001F4A34">
        <w:trPr>
          <w:trHeight w:val="255"/>
          <w:jc w:val="center"/>
        </w:trPr>
        <w:tc>
          <w:tcPr>
            <w:tcW w:w="1115" w:type="pct"/>
            <w:tcBorders>
              <w:top w:val="nil"/>
              <w:left w:val="single" w:sz="8" w:space="0" w:color="auto"/>
              <w:bottom w:val="single" w:sz="8" w:space="0" w:color="auto"/>
              <w:right w:val="single" w:sz="8" w:space="0" w:color="auto"/>
            </w:tcBorders>
            <w:shd w:val="clear" w:color="auto" w:fill="FFFFFF" w:themeFill="background1"/>
            <w:vAlign w:val="center"/>
            <w:hideMark/>
          </w:tcPr>
          <w:p w14:paraId="0F13BB86" w14:textId="77777777" w:rsidR="003421D4" w:rsidRPr="009819CE" w:rsidRDefault="003421D4" w:rsidP="00AB5EC8">
            <w:pPr>
              <w:spacing w:before="0" w:after="0" w:line="240" w:lineRule="auto"/>
              <w:jc w:val="center"/>
              <w:rPr>
                <w:rFonts w:cstheme="minorBidi"/>
                <w:b/>
                <w:bCs/>
                <w:color w:val="000000"/>
                <w:sz w:val="20"/>
                <w:szCs w:val="20"/>
              </w:rPr>
            </w:pPr>
            <w:r w:rsidRPr="009819CE">
              <w:rPr>
                <w:rFonts w:cstheme="minorBidi"/>
                <w:b/>
                <w:bCs/>
                <w:color w:val="000000"/>
                <w:sz w:val="20"/>
                <w:szCs w:val="20"/>
              </w:rPr>
              <w:t>Size parameter</w:t>
            </w:r>
          </w:p>
        </w:tc>
        <w:tc>
          <w:tcPr>
            <w:tcW w:w="113" w:type="pct"/>
            <w:tcBorders>
              <w:top w:val="nil"/>
              <w:left w:val="nil"/>
              <w:bottom w:val="single" w:sz="8" w:space="0" w:color="auto"/>
              <w:right w:val="nil"/>
            </w:tcBorders>
            <w:shd w:val="clear" w:color="auto" w:fill="FFFFFF" w:themeFill="background1"/>
            <w:vAlign w:val="center"/>
            <w:hideMark/>
          </w:tcPr>
          <w:p w14:paraId="030DB48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vAlign w:val="center"/>
            <w:hideMark/>
          </w:tcPr>
          <w:p w14:paraId="3FD3AFB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2" w:type="pct"/>
            <w:tcBorders>
              <w:top w:val="nil"/>
              <w:left w:val="nil"/>
              <w:bottom w:val="single" w:sz="8" w:space="0" w:color="auto"/>
              <w:right w:val="nil"/>
            </w:tcBorders>
            <w:shd w:val="clear" w:color="auto" w:fill="FFFFFF" w:themeFill="background1"/>
            <w:noWrap/>
            <w:vAlign w:val="center"/>
            <w:hideMark/>
          </w:tcPr>
          <w:p w14:paraId="3709691C" w14:textId="7C54873D"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F122F49" w14:textId="51D539B4"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7ACF4BC" w14:textId="7C1382AE"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4135BBD2" w14:textId="13895AAE"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457333F1" w14:textId="1768764B"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6F9C776B" w14:textId="1D8ECDC0"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609E4007" w14:textId="0A780290"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320B25A2" w14:textId="3907108D"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0AF9090" w14:textId="5F12BA93"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1A49E6EA" w14:textId="6C8C92EF"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202C6990" w14:textId="67EDCC7D"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vAlign w:val="center"/>
            <w:hideMark/>
          </w:tcPr>
          <w:p w14:paraId="62DA88E2" w14:textId="28CAC661"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74C2428E" w14:textId="06295175"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5B803679" w14:textId="7A269D4A" w:rsidR="003421D4" w:rsidRPr="009819CE" w:rsidRDefault="003421D4" w:rsidP="00AB5EC8">
            <w:pPr>
              <w:spacing w:before="0" w:after="0" w:line="240" w:lineRule="auto"/>
              <w:jc w:val="center"/>
              <w:rPr>
                <w:rFonts w:cstheme="minorBidi"/>
                <w:color w:val="000000"/>
                <w:sz w:val="20"/>
                <w:szCs w:val="20"/>
              </w:rPr>
            </w:pPr>
          </w:p>
        </w:tc>
        <w:tc>
          <w:tcPr>
            <w:tcW w:w="222" w:type="pct"/>
            <w:tcBorders>
              <w:top w:val="nil"/>
              <w:left w:val="nil"/>
              <w:bottom w:val="single" w:sz="8" w:space="0" w:color="auto"/>
              <w:right w:val="nil"/>
            </w:tcBorders>
            <w:shd w:val="clear" w:color="auto" w:fill="FFFFFF" w:themeFill="background1"/>
            <w:noWrap/>
            <w:vAlign w:val="center"/>
            <w:hideMark/>
          </w:tcPr>
          <w:p w14:paraId="60B6A795" w14:textId="366D0B08" w:rsidR="003421D4" w:rsidRPr="009819CE" w:rsidRDefault="003421D4" w:rsidP="00AB5EC8">
            <w:pPr>
              <w:spacing w:before="0" w:after="0" w:line="240" w:lineRule="auto"/>
              <w:jc w:val="center"/>
              <w:rPr>
                <w:rFonts w:cstheme="minorBidi"/>
                <w:color w:val="000000"/>
                <w:sz w:val="20"/>
                <w:szCs w:val="20"/>
              </w:rPr>
            </w:pP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5A47E0FC" w14:textId="104D0228" w:rsidR="003421D4" w:rsidRPr="009819CE" w:rsidRDefault="003421D4" w:rsidP="00AB5EC8">
            <w:pPr>
              <w:spacing w:before="0" w:after="0" w:line="240" w:lineRule="auto"/>
              <w:jc w:val="center"/>
              <w:rPr>
                <w:rFonts w:cstheme="minorBidi"/>
                <w:color w:val="000000"/>
                <w:sz w:val="20"/>
                <w:szCs w:val="20"/>
              </w:rPr>
            </w:pPr>
          </w:p>
        </w:tc>
      </w:tr>
      <w:tr w:rsidR="00681B50" w:rsidRPr="00435B6B" w14:paraId="7F48FE17"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13E341E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SOM immature</w:t>
            </w:r>
          </w:p>
        </w:tc>
        <w:tc>
          <w:tcPr>
            <w:tcW w:w="113" w:type="pct"/>
            <w:tcBorders>
              <w:top w:val="nil"/>
              <w:left w:val="nil"/>
              <w:bottom w:val="nil"/>
              <w:right w:val="nil"/>
            </w:tcBorders>
            <w:shd w:val="clear" w:color="auto" w:fill="FFFFFF" w:themeFill="background1"/>
            <w:vAlign w:val="center"/>
            <w:hideMark/>
          </w:tcPr>
          <w:p w14:paraId="1063BE2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vAlign w:val="center"/>
            <w:hideMark/>
          </w:tcPr>
          <w:p w14:paraId="5D823DA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22" w:type="pct"/>
            <w:tcBorders>
              <w:top w:val="nil"/>
              <w:left w:val="nil"/>
              <w:bottom w:val="nil"/>
              <w:right w:val="nil"/>
            </w:tcBorders>
            <w:shd w:val="clear" w:color="auto" w:fill="FFFFFF" w:themeFill="background1"/>
            <w:noWrap/>
            <w:vAlign w:val="center"/>
            <w:hideMark/>
          </w:tcPr>
          <w:p w14:paraId="6883E99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35</w:t>
            </w:r>
          </w:p>
        </w:tc>
        <w:tc>
          <w:tcPr>
            <w:tcW w:w="222" w:type="pct"/>
            <w:tcBorders>
              <w:top w:val="nil"/>
              <w:left w:val="nil"/>
              <w:bottom w:val="nil"/>
              <w:right w:val="nil"/>
            </w:tcBorders>
            <w:shd w:val="clear" w:color="auto" w:fill="FFFFFF" w:themeFill="background1"/>
            <w:noWrap/>
            <w:vAlign w:val="center"/>
            <w:hideMark/>
          </w:tcPr>
          <w:p w14:paraId="27A508F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14.3</w:t>
            </w:r>
          </w:p>
        </w:tc>
        <w:tc>
          <w:tcPr>
            <w:tcW w:w="222" w:type="pct"/>
            <w:tcBorders>
              <w:top w:val="nil"/>
              <w:left w:val="nil"/>
              <w:bottom w:val="nil"/>
              <w:right w:val="nil"/>
            </w:tcBorders>
            <w:shd w:val="clear" w:color="auto" w:fill="FFFFFF" w:themeFill="background1"/>
            <w:noWrap/>
            <w:vAlign w:val="center"/>
            <w:hideMark/>
          </w:tcPr>
          <w:p w14:paraId="0156C88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85.7</w:t>
            </w:r>
          </w:p>
        </w:tc>
        <w:tc>
          <w:tcPr>
            <w:tcW w:w="222" w:type="pct"/>
            <w:tcBorders>
              <w:top w:val="nil"/>
              <w:left w:val="nil"/>
              <w:bottom w:val="nil"/>
              <w:right w:val="single" w:sz="8" w:space="0" w:color="auto"/>
            </w:tcBorders>
            <w:shd w:val="clear" w:color="auto" w:fill="FFFFFF" w:themeFill="background1"/>
            <w:vAlign w:val="center"/>
            <w:hideMark/>
          </w:tcPr>
          <w:p w14:paraId="795784C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25.4</w:t>
            </w:r>
          </w:p>
        </w:tc>
        <w:tc>
          <w:tcPr>
            <w:tcW w:w="222" w:type="pct"/>
            <w:tcBorders>
              <w:top w:val="nil"/>
              <w:left w:val="nil"/>
              <w:bottom w:val="nil"/>
              <w:right w:val="nil"/>
            </w:tcBorders>
            <w:shd w:val="clear" w:color="auto" w:fill="FFFFFF" w:themeFill="background1"/>
            <w:vAlign w:val="center"/>
            <w:hideMark/>
          </w:tcPr>
          <w:p w14:paraId="2D8CFCA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w:t>
            </w:r>
          </w:p>
        </w:tc>
        <w:tc>
          <w:tcPr>
            <w:tcW w:w="222" w:type="pct"/>
            <w:tcBorders>
              <w:top w:val="nil"/>
              <w:left w:val="nil"/>
              <w:bottom w:val="nil"/>
              <w:right w:val="nil"/>
            </w:tcBorders>
            <w:shd w:val="clear" w:color="auto" w:fill="FFFFFF" w:themeFill="background1"/>
            <w:vAlign w:val="center"/>
            <w:hideMark/>
          </w:tcPr>
          <w:p w14:paraId="14C4EFD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17</w:t>
            </w:r>
          </w:p>
        </w:tc>
        <w:tc>
          <w:tcPr>
            <w:tcW w:w="222" w:type="pct"/>
            <w:tcBorders>
              <w:top w:val="nil"/>
              <w:left w:val="nil"/>
              <w:bottom w:val="nil"/>
              <w:right w:val="nil"/>
            </w:tcBorders>
            <w:shd w:val="clear" w:color="auto" w:fill="FFFFFF" w:themeFill="background1"/>
            <w:noWrap/>
            <w:vAlign w:val="center"/>
            <w:hideMark/>
          </w:tcPr>
          <w:p w14:paraId="6231601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25</w:t>
            </w:r>
          </w:p>
        </w:tc>
        <w:tc>
          <w:tcPr>
            <w:tcW w:w="222" w:type="pct"/>
            <w:tcBorders>
              <w:top w:val="nil"/>
              <w:left w:val="nil"/>
              <w:bottom w:val="nil"/>
              <w:right w:val="nil"/>
            </w:tcBorders>
            <w:shd w:val="clear" w:color="auto" w:fill="FFFFFF" w:themeFill="background1"/>
            <w:noWrap/>
            <w:vAlign w:val="center"/>
            <w:hideMark/>
          </w:tcPr>
          <w:p w14:paraId="1B406EE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32.0</w:t>
            </w:r>
          </w:p>
        </w:tc>
        <w:tc>
          <w:tcPr>
            <w:tcW w:w="222" w:type="pct"/>
            <w:tcBorders>
              <w:top w:val="nil"/>
              <w:left w:val="nil"/>
              <w:bottom w:val="nil"/>
              <w:right w:val="nil"/>
            </w:tcBorders>
            <w:shd w:val="clear" w:color="auto" w:fill="FFFFFF" w:themeFill="background1"/>
            <w:noWrap/>
            <w:vAlign w:val="center"/>
            <w:hideMark/>
          </w:tcPr>
          <w:p w14:paraId="11EA98BD" w14:textId="21E98472"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68</w:t>
            </w:r>
          </w:p>
        </w:tc>
        <w:tc>
          <w:tcPr>
            <w:tcW w:w="222" w:type="pct"/>
            <w:tcBorders>
              <w:top w:val="nil"/>
              <w:left w:val="nil"/>
              <w:bottom w:val="nil"/>
              <w:right w:val="single" w:sz="8" w:space="0" w:color="auto"/>
            </w:tcBorders>
            <w:shd w:val="clear" w:color="auto" w:fill="FFFFFF" w:themeFill="background1"/>
            <w:vAlign w:val="center"/>
            <w:hideMark/>
          </w:tcPr>
          <w:p w14:paraId="6FF24CD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18.5</w:t>
            </w:r>
          </w:p>
        </w:tc>
        <w:tc>
          <w:tcPr>
            <w:tcW w:w="222" w:type="pct"/>
            <w:tcBorders>
              <w:top w:val="nil"/>
              <w:left w:val="nil"/>
              <w:bottom w:val="nil"/>
              <w:right w:val="nil"/>
            </w:tcBorders>
            <w:shd w:val="clear" w:color="auto" w:fill="FFFFFF" w:themeFill="background1"/>
            <w:vAlign w:val="center"/>
            <w:hideMark/>
          </w:tcPr>
          <w:p w14:paraId="3D79FD0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0BED401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22" w:type="pct"/>
            <w:tcBorders>
              <w:top w:val="nil"/>
              <w:left w:val="nil"/>
              <w:bottom w:val="nil"/>
              <w:right w:val="nil"/>
            </w:tcBorders>
            <w:shd w:val="clear" w:color="auto" w:fill="FFFFFF" w:themeFill="background1"/>
            <w:noWrap/>
            <w:vAlign w:val="center"/>
            <w:hideMark/>
          </w:tcPr>
          <w:p w14:paraId="27BFF1C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nil"/>
              <w:right w:val="nil"/>
            </w:tcBorders>
            <w:shd w:val="clear" w:color="auto" w:fill="FFFFFF" w:themeFill="background1"/>
            <w:noWrap/>
            <w:vAlign w:val="center"/>
            <w:hideMark/>
          </w:tcPr>
          <w:p w14:paraId="09AAD66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18.2</w:t>
            </w:r>
          </w:p>
        </w:tc>
        <w:tc>
          <w:tcPr>
            <w:tcW w:w="222" w:type="pct"/>
            <w:tcBorders>
              <w:top w:val="nil"/>
              <w:left w:val="nil"/>
              <w:bottom w:val="nil"/>
              <w:right w:val="nil"/>
            </w:tcBorders>
            <w:shd w:val="clear" w:color="auto" w:fill="FFFFFF" w:themeFill="background1"/>
            <w:noWrap/>
            <w:vAlign w:val="center"/>
            <w:hideMark/>
          </w:tcPr>
          <w:p w14:paraId="79EF097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81.8</w:t>
            </w:r>
          </w:p>
        </w:tc>
        <w:tc>
          <w:tcPr>
            <w:tcW w:w="220" w:type="pct"/>
            <w:tcBorders>
              <w:top w:val="nil"/>
              <w:left w:val="nil"/>
              <w:bottom w:val="nil"/>
              <w:right w:val="single" w:sz="8" w:space="0" w:color="auto"/>
            </w:tcBorders>
            <w:shd w:val="clear" w:color="auto" w:fill="FFFFFF" w:themeFill="background1"/>
            <w:vAlign w:val="center"/>
            <w:hideMark/>
          </w:tcPr>
          <w:p w14:paraId="624B56A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7.3</w:t>
            </w:r>
          </w:p>
        </w:tc>
      </w:tr>
      <w:tr w:rsidR="00681B50" w:rsidRPr="00435B6B" w14:paraId="06A18A0C"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2E48B0F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SOM mature</w:t>
            </w:r>
          </w:p>
        </w:tc>
        <w:tc>
          <w:tcPr>
            <w:tcW w:w="113" w:type="pct"/>
            <w:tcBorders>
              <w:top w:val="nil"/>
              <w:left w:val="nil"/>
              <w:bottom w:val="nil"/>
              <w:right w:val="nil"/>
            </w:tcBorders>
            <w:shd w:val="clear" w:color="auto" w:fill="FFFFFF" w:themeFill="background1"/>
            <w:vAlign w:val="center"/>
            <w:hideMark/>
          </w:tcPr>
          <w:p w14:paraId="35BAC4D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w:t>
            </w:r>
          </w:p>
        </w:tc>
        <w:tc>
          <w:tcPr>
            <w:tcW w:w="222" w:type="pct"/>
            <w:tcBorders>
              <w:top w:val="nil"/>
              <w:left w:val="nil"/>
              <w:bottom w:val="nil"/>
              <w:right w:val="nil"/>
            </w:tcBorders>
            <w:shd w:val="clear" w:color="auto" w:fill="FFFFFF" w:themeFill="background1"/>
            <w:vAlign w:val="center"/>
            <w:hideMark/>
          </w:tcPr>
          <w:p w14:paraId="591E00E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70</w:t>
            </w:r>
          </w:p>
        </w:tc>
        <w:tc>
          <w:tcPr>
            <w:tcW w:w="222" w:type="pct"/>
            <w:tcBorders>
              <w:top w:val="nil"/>
              <w:left w:val="nil"/>
              <w:bottom w:val="nil"/>
              <w:right w:val="nil"/>
            </w:tcBorders>
            <w:shd w:val="clear" w:color="auto" w:fill="FFFFFF" w:themeFill="background1"/>
            <w:noWrap/>
            <w:vAlign w:val="center"/>
            <w:hideMark/>
          </w:tcPr>
          <w:p w14:paraId="6F16BDB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103</w:t>
            </w:r>
          </w:p>
        </w:tc>
        <w:tc>
          <w:tcPr>
            <w:tcW w:w="222" w:type="pct"/>
            <w:tcBorders>
              <w:top w:val="nil"/>
              <w:left w:val="nil"/>
              <w:bottom w:val="nil"/>
              <w:right w:val="nil"/>
            </w:tcBorders>
            <w:shd w:val="clear" w:color="auto" w:fill="FFFFFF" w:themeFill="background1"/>
            <w:noWrap/>
            <w:vAlign w:val="center"/>
            <w:hideMark/>
          </w:tcPr>
          <w:p w14:paraId="56782C94" w14:textId="177D45BC"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32</w:t>
            </w:r>
          </w:p>
        </w:tc>
        <w:tc>
          <w:tcPr>
            <w:tcW w:w="222" w:type="pct"/>
            <w:tcBorders>
              <w:top w:val="nil"/>
              <w:left w:val="nil"/>
              <w:bottom w:val="nil"/>
              <w:right w:val="nil"/>
            </w:tcBorders>
            <w:shd w:val="clear" w:color="auto" w:fill="FFFFFF" w:themeFill="background1"/>
            <w:noWrap/>
            <w:vAlign w:val="center"/>
            <w:hideMark/>
          </w:tcPr>
          <w:p w14:paraId="5B531E94" w14:textId="7A2094C3"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68</w:t>
            </w:r>
          </w:p>
        </w:tc>
        <w:tc>
          <w:tcPr>
            <w:tcW w:w="222" w:type="pct"/>
            <w:tcBorders>
              <w:top w:val="nil"/>
              <w:left w:val="nil"/>
              <w:bottom w:val="nil"/>
              <w:right w:val="single" w:sz="8" w:space="0" w:color="auto"/>
            </w:tcBorders>
            <w:shd w:val="clear" w:color="auto" w:fill="FFFFFF" w:themeFill="background1"/>
            <w:vAlign w:val="center"/>
            <w:hideMark/>
          </w:tcPr>
          <w:p w14:paraId="1EC8F46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74.6</w:t>
            </w:r>
          </w:p>
        </w:tc>
        <w:tc>
          <w:tcPr>
            <w:tcW w:w="222" w:type="pct"/>
            <w:tcBorders>
              <w:top w:val="nil"/>
              <w:left w:val="nil"/>
              <w:bottom w:val="nil"/>
              <w:right w:val="nil"/>
            </w:tcBorders>
            <w:shd w:val="clear" w:color="auto" w:fill="FFFFFF" w:themeFill="background1"/>
            <w:vAlign w:val="center"/>
            <w:hideMark/>
          </w:tcPr>
          <w:p w14:paraId="1E55B93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2" w:type="pct"/>
            <w:tcBorders>
              <w:top w:val="nil"/>
              <w:left w:val="nil"/>
              <w:bottom w:val="nil"/>
              <w:right w:val="nil"/>
            </w:tcBorders>
            <w:shd w:val="clear" w:color="auto" w:fill="FFFFFF" w:themeFill="background1"/>
            <w:vAlign w:val="center"/>
            <w:hideMark/>
          </w:tcPr>
          <w:p w14:paraId="59AF2E9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70</w:t>
            </w:r>
          </w:p>
        </w:tc>
        <w:tc>
          <w:tcPr>
            <w:tcW w:w="222" w:type="pct"/>
            <w:tcBorders>
              <w:top w:val="nil"/>
              <w:left w:val="nil"/>
              <w:bottom w:val="nil"/>
              <w:right w:val="nil"/>
            </w:tcBorders>
            <w:shd w:val="clear" w:color="auto" w:fill="FFFFFF" w:themeFill="background1"/>
            <w:noWrap/>
            <w:vAlign w:val="center"/>
            <w:hideMark/>
          </w:tcPr>
          <w:p w14:paraId="309C7A1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110</w:t>
            </w:r>
          </w:p>
        </w:tc>
        <w:tc>
          <w:tcPr>
            <w:tcW w:w="222" w:type="pct"/>
            <w:tcBorders>
              <w:top w:val="nil"/>
              <w:left w:val="nil"/>
              <w:bottom w:val="nil"/>
              <w:right w:val="nil"/>
            </w:tcBorders>
            <w:shd w:val="clear" w:color="auto" w:fill="FFFFFF" w:themeFill="background1"/>
            <w:noWrap/>
            <w:vAlign w:val="center"/>
            <w:hideMark/>
          </w:tcPr>
          <w:p w14:paraId="7E0435D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36.4</w:t>
            </w:r>
          </w:p>
        </w:tc>
        <w:tc>
          <w:tcPr>
            <w:tcW w:w="222" w:type="pct"/>
            <w:tcBorders>
              <w:top w:val="nil"/>
              <w:left w:val="nil"/>
              <w:bottom w:val="nil"/>
              <w:right w:val="nil"/>
            </w:tcBorders>
            <w:shd w:val="clear" w:color="auto" w:fill="FFFFFF" w:themeFill="background1"/>
            <w:noWrap/>
            <w:vAlign w:val="center"/>
            <w:hideMark/>
          </w:tcPr>
          <w:p w14:paraId="029189F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63.6</w:t>
            </w:r>
          </w:p>
        </w:tc>
        <w:tc>
          <w:tcPr>
            <w:tcW w:w="222" w:type="pct"/>
            <w:tcBorders>
              <w:top w:val="nil"/>
              <w:left w:val="nil"/>
              <w:bottom w:val="nil"/>
              <w:right w:val="single" w:sz="8" w:space="0" w:color="auto"/>
            </w:tcBorders>
            <w:shd w:val="clear" w:color="auto" w:fill="FFFFFF" w:themeFill="background1"/>
            <w:vAlign w:val="center"/>
            <w:hideMark/>
          </w:tcPr>
          <w:p w14:paraId="24677A8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81.5</w:t>
            </w:r>
          </w:p>
        </w:tc>
        <w:tc>
          <w:tcPr>
            <w:tcW w:w="222" w:type="pct"/>
            <w:tcBorders>
              <w:top w:val="nil"/>
              <w:left w:val="nil"/>
              <w:bottom w:val="nil"/>
              <w:right w:val="nil"/>
            </w:tcBorders>
            <w:shd w:val="clear" w:color="auto" w:fill="FFFFFF" w:themeFill="background1"/>
            <w:vAlign w:val="center"/>
            <w:hideMark/>
          </w:tcPr>
          <w:p w14:paraId="30D3D7F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2" w:type="pct"/>
            <w:tcBorders>
              <w:top w:val="nil"/>
              <w:left w:val="nil"/>
              <w:bottom w:val="nil"/>
              <w:right w:val="nil"/>
            </w:tcBorders>
            <w:shd w:val="clear" w:color="auto" w:fill="FFFFFF" w:themeFill="background1"/>
            <w:vAlign w:val="center"/>
            <w:hideMark/>
          </w:tcPr>
          <w:p w14:paraId="4A122B6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99</w:t>
            </w:r>
          </w:p>
        </w:tc>
        <w:tc>
          <w:tcPr>
            <w:tcW w:w="222" w:type="pct"/>
            <w:tcBorders>
              <w:top w:val="nil"/>
              <w:left w:val="nil"/>
              <w:bottom w:val="nil"/>
              <w:right w:val="nil"/>
            </w:tcBorders>
            <w:shd w:val="clear" w:color="auto" w:fill="FFFFFF" w:themeFill="background1"/>
            <w:noWrap/>
            <w:vAlign w:val="center"/>
            <w:hideMark/>
          </w:tcPr>
          <w:p w14:paraId="3617D91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139</w:t>
            </w:r>
          </w:p>
        </w:tc>
        <w:tc>
          <w:tcPr>
            <w:tcW w:w="222" w:type="pct"/>
            <w:tcBorders>
              <w:top w:val="nil"/>
              <w:left w:val="nil"/>
              <w:bottom w:val="nil"/>
              <w:right w:val="nil"/>
            </w:tcBorders>
            <w:shd w:val="clear" w:color="auto" w:fill="FFFFFF" w:themeFill="background1"/>
            <w:noWrap/>
            <w:vAlign w:val="center"/>
            <w:hideMark/>
          </w:tcPr>
          <w:p w14:paraId="4BF157C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28.8</w:t>
            </w:r>
          </w:p>
        </w:tc>
        <w:tc>
          <w:tcPr>
            <w:tcW w:w="222" w:type="pct"/>
            <w:tcBorders>
              <w:top w:val="nil"/>
              <w:left w:val="nil"/>
              <w:bottom w:val="nil"/>
              <w:right w:val="nil"/>
            </w:tcBorders>
            <w:shd w:val="clear" w:color="auto" w:fill="FFFFFF" w:themeFill="background1"/>
            <w:noWrap/>
            <w:vAlign w:val="center"/>
            <w:hideMark/>
          </w:tcPr>
          <w:p w14:paraId="04C114C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71.2</w:t>
            </w:r>
          </w:p>
        </w:tc>
        <w:tc>
          <w:tcPr>
            <w:tcW w:w="220" w:type="pct"/>
            <w:tcBorders>
              <w:top w:val="nil"/>
              <w:left w:val="nil"/>
              <w:bottom w:val="nil"/>
              <w:right w:val="single" w:sz="8" w:space="0" w:color="auto"/>
            </w:tcBorders>
            <w:shd w:val="clear" w:color="auto" w:fill="FFFFFF" w:themeFill="background1"/>
            <w:vAlign w:val="center"/>
            <w:hideMark/>
          </w:tcPr>
          <w:p w14:paraId="7E470BE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92.7</w:t>
            </w:r>
          </w:p>
        </w:tc>
      </w:tr>
      <w:tr w:rsidR="00681B50" w:rsidRPr="00435B6B" w14:paraId="1BECF024"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7E39A71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S (20.8-25mm)</w:t>
            </w:r>
          </w:p>
        </w:tc>
        <w:tc>
          <w:tcPr>
            <w:tcW w:w="113" w:type="pct"/>
            <w:tcBorders>
              <w:top w:val="nil"/>
              <w:left w:val="nil"/>
              <w:bottom w:val="nil"/>
              <w:right w:val="nil"/>
            </w:tcBorders>
            <w:shd w:val="clear" w:color="auto" w:fill="FFFFFF" w:themeFill="background1"/>
            <w:vAlign w:val="center"/>
            <w:hideMark/>
          </w:tcPr>
          <w:p w14:paraId="04CB975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nil"/>
              <w:right w:val="nil"/>
            </w:tcBorders>
            <w:shd w:val="clear" w:color="auto" w:fill="FFFFFF" w:themeFill="background1"/>
            <w:vAlign w:val="center"/>
            <w:hideMark/>
          </w:tcPr>
          <w:p w14:paraId="117A903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w:t>
            </w:r>
          </w:p>
        </w:tc>
        <w:tc>
          <w:tcPr>
            <w:tcW w:w="222" w:type="pct"/>
            <w:tcBorders>
              <w:top w:val="nil"/>
              <w:left w:val="nil"/>
              <w:bottom w:val="nil"/>
              <w:right w:val="nil"/>
            </w:tcBorders>
            <w:shd w:val="clear" w:color="auto" w:fill="FFFFFF" w:themeFill="background1"/>
            <w:noWrap/>
            <w:vAlign w:val="center"/>
            <w:hideMark/>
          </w:tcPr>
          <w:p w14:paraId="25FC82F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w:t>
            </w:r>
          </w:p>
        </w:tc>
        <w:tc>
          <w:tcPr>
            <w:tcW w:w="222" w:type="pct"/>
            <w:tcBorders>
              <w:top w:val="nil"/>
              <w:left w:val="nil"/>
              <w:bottom w:val="nil"/>
              <w:right w:val="nil"/>
            </w:tcBorders>
            <w:shd w:val="clear" w:color="auto" w:fill="FFFFFF" w:themeFill="background1"/>
            <w:noWrap/>
            <w:vAlign w:val="center"/>
            <w:hideMark/>
          </w:tcPr>
          <w:p w14:paraId="63396C3D"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22" w:type="pct"/>
            <w:tcBorders>
              <w:top w:val="nil"/>
              <w:left w:val="nil"/>
              <w:bottom w:val="nil"/>
              <w:right w:val="nil"/>
            </w:tcBorders>
            <w:shd w:val="clear" w:color="auto" w:fill="FFFFFF" w:themeFill="background1"/>
            <w:noWrap/>
            <w:vAlign w:val="center"/>
            <w:hideMark/>
          </w:tcPr>
          <w:p w14:paraId="2CFA3B9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22" w:type="pct"/>
            <w:tcBorders>
              <w:top w:val="nil"/>
              <w:left w:val="nil"/>
              <w:bottom w:val="nil"/>
              <w:right w:val="single" w:sz="8" w:space="0" w:color="auto"/>
            </w:tcBorders>
            <w:shd w:val="clear" w:color="auto" w:fill="FFFFFF" w:themeFill="background1"/>
            <w:vAlign w:val="center"/>
            <w:hideMark/>
          </w:tcPr>
          <w:p w14:paraId="16CC40F5"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8.7</w:t>
            </w:r>
          </w:p>
        </w:tc>
        <w:tc>
          <w:tcPr>
            <w:tcW w:w="222" w:type="pct"/>
            <w:tcBorders>
              <w:top w:val="nil"/>
              <w:left w:val="nil"/>
              <w:bottom w:val="nil"/>
              <w:right w:val="nil"/>
            </w:tcBorders>
            <w:shd w:val="clear" w:color="auto" w:fill="FFFFFF" w:themeFill="background1"/>
            <w:vAlign w:val="center"/>
            <w:hideMark/>
          </w:tcPr>
          <w:p w14:paraId="34E4C69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2" w:type="pct"/>
            <w:tcBorders>
              <w:top w:val="nil"/>
              <w:left w:val="nil"/>
              <w:bottom w:val="nil"/>
              <w:right w:val="nil"/>
            </w:tcBorders>
            <w:shd w:val="clear" w:color="auto" w:fill="FFFFFF" w:themeFill="background1"/>
            <w:vAlign w:val="center"/>
            <w:hideMark/>
          </w:tcPr>
          <w:p w14:paraId="47A2F1D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2" w:type="pct"/>
            <w:tcBorders>
              <w:top w:val="nil"/>
              <w:left w:val="nil"/>
              <w:bottom w:val="nil"/>
              <w:right w:val="nil"/>
            </w:tcBorders>
            <w:shd w:val="clear" w:color="auto" w:fill="FFFFFF" w:themeFill="background1"/>
            <w:noWrap/>
            <w:vAlign w:val="center"/>
            <w:hideMark/>
          </w:tcPr>
          <w:p w14:paraId="5125537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2" w:type="pct"/>
            <w:tcBorders>
              <w:top w:val="nil"/>
              <w:left w:val="nil"/>
              <w:bottom w:val="nil"/>
              <w:right w:val="nil"/>
            </w:tcBorders>
            <w:shd w:val="clear" w:color="auto" w:fill="FFFFFF" w:themeFill="background1"/>
            <w:noWrap/>
            <w:vAlign w:val="center"/>
            <w:hideMark/>
          </w:tcPr>
          <w:p w14:paraId="1FFF240B" w14:textId="1C9AF996"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22" w:type="pct"/>
            <w:tcBorders>
              <w:top w:val="nil"/>
              <w:left w:val="nil"/>
              <w:bottom w:val="nil"/>
              <w:right w:val="nil"/>
            </w:tcBorders>
            <w:shd w:val="clear" w:color="auto" w:fill="FFFFFF" w:themeFill="background1"/>
            <w:noWrap/>
            <w:vAlign w:val="center"/>
            <w:hideMark/>
          </w:tcPr>
          <w:p w14:paraId="1A16757E" w14:textId="567A5225"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2" w:type="pct"/>
            <w:tcBorders>
              <w:top w:val="nil"/>
              <w:left w:val="nil"/>
              <w:bottom w:val="nil"/>
              <w:right w:val="single" w:sz="8" w:space="0" w:color="auto"/>
            </w:tcBorders>
            <w:shd w:val="clear" w:color="auto" w:fill="FFFFFF" w:themeFill="background1"/>
            <w:vAlign w:val="center"/>
            <w:hideMark/>
          </w:tcPr>
          <w:p w14:paraId="6AA61EC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3.7</w:t>
            </w:r>
          </w:p>
        </w:tc>
        <w:tc>
          <w:tcPr>
            <w:tcW w:w="222" w:type="pct"/>
            <w:tcBorders>
              <w:top w:val="nil"/>
              <w:left w:val="nil"/>
              <w:bottom w:val="nil"/>
              <w:right w:val="nil"/>
            </w:tcBorders>
            <w:shd w:val="clear" w:color="auto" w:fill="FFFFFF" w:themeFill="background1"/>
            <w:vAlign w:val="center"/>
            <w:hideMark/>
          </w:tcPr>
          <w:p w14:paraId="01F8182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vAlign w:val="center"/>
            <w:hideMark/>
          </w:tcPr>
          <w:p w14:paraId="25C46CA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7B8961F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2" w:type="pct"/>
            <w:tcBorders>
              <w:top w:val="nil"/>
              <w:left w:val="nil"/>
              <w:bottom w:val="nil"/>
              <w:right w:val="nil"/>
            </w:tcBorders>
            <w:shd w:val="clear" w:color="auto" w:fill="FFFFFF" w:themeFill="background1"/>
            <w:noWrap/>
            <w:vAlign w:val="center"/>
            <w:hideMark/>
          </w:tcPr>
          <w:p w14:paraId="6080380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2" w:type="pct"/>
            <w:tcBorders>
              <w:top w:val="nil"/>
              <w:left w:val="nil"/>
              <w:bottom w:val="nil"/>
              <w:right w:val="nil"/>
            </w:tcBorders>
            <w:shd w:val="clear" w:color="auto" w:fill="FFFFFF" w:themeFill="background1"/>
            <w:noWrap/>
            <w:vAlign w:val="center"/>
            <w:hideMark/>
          </w:tcPr>
          <w:p w14:paraId="31F1D1E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single" w:sz="8" w:space="0" w:color="auto"/>
            </w:tcBorders>
            <w:shd w:val="clear" w:color="auto" w:fill="FFFFFF" w:themeFill="background1"/>
            <w:vAlign w:val="center"/>
            <w:hideMark/>
          </w:tcPr>
          <w:p w14:paraId="250DC28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0.7</w:t>
            </w:r>
          </w:p>
        </w:tc>
      </w:tr>
      <w:tr w:rsidR="00681B50" w:rsidRPr="00435B6B" w14:paraId="40DD5BED" w14:textId="77777777" w:rsidTr="001F4A34">
        <w:trPr>
          <w:trHeight w:val="240"/>
          <w:jc w:val="center"/>
        </w:trPr>
        <w:tc>
          <w:tcPr>
            <w:tcW w:w="1115" w:type="pct"/>
            <w:tcBorders>
              <w:top w:val="nil"/>
              <w:left w:val="single" w:sz="8" w:space="0" w:color="auto"/>
              <w:bottom w:val="nil"/>
              <w:right w:val="single" w:sz="8" w:space="0" w:color="auto"/>
            </w:tcBorders>
            <w:shd w:val="clear" w:color="auto" w:fill="FFFFFF" w:themeFill="background1"/>
            <w:vAlign w:val="center"/>
            <w:hideMark/>
          </w:tcPr>
          <w:p w14:paraId="6BC55DE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M (25-30mm)</w:t>
            </w:r>
          </w:p>
        </w:tc>
        <w:tc>
          <w:tcPr>
            <w:tcW w:w="113" w:type="pct"/>
            <w:tcBorders>
              <w:top w:val="nil"/>
              <w:left w:val="nil"/>
              <w:bottom w:val="nil"/>
              <w:right w:val="nil"/>
            </w:tcBorders>
            <w:shd w:val="clear" w:color="auto" w:fill="FFFFFF" w:themeFill="background1"/>
            <w:vAlign w:val="center"/>
            <w:hideMark/>
          </w:tcPr>
          <w:p w14:paraId="0DB07C6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22" w:type="pct"/>
            <w:tcBorders>
              <w:top w:val="nil"/>
              <w:left w:val="nil"/>
              <w:bottom w:val="nil"/>
              <w:right w:val="nil"/>
            </w:tcBorders>
            <w:shd w:val="clear" w:color="auto" w:fill="FFFFFF" w:themeFill="background1"/>
            <w:vAlign w:val="center"/>
            <w:hideMark/>
          </w:tcPr>
          <w:p w14:paraId="46A13D4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22" w:type="pct"/>
            <w:tcBorders>
              <w:top w:val="nil"/>
              <w:left w:val="nil"/>
              <w:bottom w:val="nil"/>
              <w:right w:val="nil"/>
            </w:tcBorders>
            <w:shd w:val="clear" w:color="auto" w:fill="FFFFFF" w:themeFill="background1"/>
            <w:noWrap/>
            <w:vAlign w:val="center"/>
            <w:hideMark/>
          </w:tcPr>
          <w:p w14:paraId="32B8C00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22" w:type="pct"/>
            <w:tcBorders>
              <w:top w:val="nil"/>
              <w:left w:val="nil"/>
              <w:bottom w:val="nil"/>
              <w:right w:val="nil"/>
            </w:tcBorders>
            <w:shd w:val="clear" w:color="auto" w:fill="FFFFFF" w:themeFill="background1"/>
            <w:noWrap/>
            <w:vAlign w:val="center"/>
            <w:hideMark/>
          </w:tcPr>
          <w:p w14:paraId="74ABDAAE" w14:textId="66C4A2BC"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w:t>
            </w:r>
          </w:p>
        </w:tc>
        <w:tc>
          <w:tcPr>
            <w:tcW w:w="222" w:type="pct"/>
            <w:tcBorders>
              <w:top w:val="nil"/>
              <w:left w:val="nil"/>
              <w:bottom w:val="nil"/>
              <w:right w:val="nil"/>
            </w:tcBorders>
            <w:shd w:val="clear" w:color="auto" w:fill="FFFFFF" w:themeFill="background1"/>
            <w:noWrap/>
            <w:vAlign w:val="center"/>
            <w:hideMark/>
          </w:tcPr>
          <w:p w14:paraId="7FF13500" w14:textId="4D6C8743"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50</w:t>
            </w:r>
          </w:p>
        </w:tc>
        <w:tc>
          <w:tcPr>
            <w:tcW w:w="222" w:type="pct"/>
            <w:tcBorders>
              <w:top w:val="nil"/>
              <w:left w:val="nil"/>
              <w:bottom w:val="nil"/>
              <w:right w:val="single" w:sz="8" w:space="0" w:color="auto"/>
            </w:tcBorders>
            <w:shd w:val="clear" w:color="auto" w:fill="FFFFFF" w:themeFill="background1"/>
            <w:vAlign w:val="center"/>
            <w:hideMark/>
          </w:tcPr>
          <w:p w14:paraId="638B418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43.5</w:t>
            </w:r>
          </w:p>
        </w:tc>
        <w:tc>
          <w:tcPr>
            <w:tcW w:w="222" w:type="pct"/>
            <w:tcBorders>
              <w:top w:val="nil"/>
              <w:left w:val="nil"/>
              <w:bottom w:val="nil"/>
              <w:right w:val="nil"/>
            </w:tcBorders>
            <w:shd w:val="clear" w:color="auto" w:fill="FFFFFF" w:themeFill="background1"/>
            <w:vAlign w:val="center"/>
            <w:hideMark/>
          </w:tcPr>
          <w:p w14:paraId="705CB91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34</w:t>
            </w:r>
          </w:p>
        </w:tc>
        <w:tc>
          <w:tcPr>
            <w:tcW w:w="222" w:type="pct"/>
            <w:tcBorders>
              <w:top w:val="nil"/>
              <w:left w:val="nil"/>
              <w:bottom w:val="nil"/>
              <w:right w:val="nil"/>
            </w:tcBorders>
            <w:shd w:val="clear" w:color="auto" w:fill="FFFFFF" w:themeFill="background1"/>
            <w:vAlign w:val="center"/>
            <w:hideMark/>
          </w:tcPr>
          <w:p w14:paraId="3036AA2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20</w:t>
            </w:r>
          </w:p>
        </w:tc>
        <w:tc>
          <w:tcPr>
            <w:tcW w:w="222" w:type="pct"/>
            <w:tcBorders>
              <w:top w:val="nil"/>
              <w:left w:val="nil"/>
              <w:bottom w:val="nil"/>
              <w:right w:val="nil"/>
            </w:tcBorders>
            <w:shd w:val="clear" w:color="auto" w:fill="FFFFFF" w:themeFill="background1"/>
            <w:noWrap/>
            <w:vAlign w:val="center"/>
            <w:hideMark/>
          </w:tcPr>
          <w:p w14:paraId="3C29CC7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54</w:t>
            </w:r>
          </w:p>
        </w:tc>
        <w:tc>
          <w:tcPr>
            <w:tcW w:w="222" w:type="pct"/>
            <w:tcBorders>
              <w:top w:val="nil"/>
              <w:left w:val="nil"/>
              <w:bottom w:val="nil"/>
              <w:right w:val="nil"/>
            </w:tcBorders>
            <w:shd w:val="clear" w:color="auto" w:fill="FFFFFF" w:themeFill="background1"/>
            <w:noWrap/>
            <w:vAlign w:val="center"/>
            <w:hideMark/>
          </w:tcPr>
          <w:p w14:paraId="2A95E39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63.0</w:t>
            </w:r>
          </w:p>
        </w:tc>
        <w:tc>
          <w:tcPr>
            <w:tcW w:w="222" w:type="pct"/>
            <w:tcBorders>
              <w:top w:val="nil"/>
              <w:left w:val="nil"/>
              <w:bottom w:val="nil"/>
              <w:right w:val="nil"/>
            </w:tcBorders>
            <w:shd w:val="clear" w:color="auto" w:fill="FFFFFF" w:themeFill="background1"/>
            <w:noWrap/>
            <w:vAlign w:val="center"/>
            <w:hideMark/>
          </w:tcPr>
          <w:p w14:paraId="534838EC" w14:textId="0E3BFE83"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37</w:t>
            </w:r>
          </w:p>
        </w:tc>
        <w:tc>
          <w:tcPr>
            <w:tcW w:w="222" w:type="pct"/>
            <w:tcBorders>
              <w:top w:val="nil"/>
              <w:left w:val="nil"/>
              <w:bottom w:val="nil"/>
              <w:right w:val="single" w:sz="8" w:space="0" w:color="auto"/>
            </w:tcBorders>
            <w:shd w:val="clear" w:color="auto" w:fill="FFFFFF" w:themeFill="background1"/>
            <w:vAlign w:val="center"/>
            <w:hideMark/>
          </w:tcPr>
          <w:p w14:paraId="14BC8A42" w14:textId="3BB0B0FD"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2" w:type="pct"/>
            <w:tcBorders>
              <w:top w:val="nil"/>
              <w:left w:val="nil"/>
              <w:bottom w:val="nil"/>
              <w:right w:val="nil"/>
            </w:tcBorders>
            <w:shd w:val="clear" w:color="auto" w:fill="FFFFFF" w:themeFill="background1"/>
            <w:vAlign w:val="center"/>
            <w:hideMark/>
          </w:tcPr>
          <w:p w14:paraId="2010B54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22" w:type="pct"/>
            <w:tcBorders>
              <w:top w:val="nil"/>
              <w:left w:val="nil"/>
              <w:bottom w:val="nil"/>
              <w:right w:val="nil"/>
            </w:tcBorders>
            <w:shd w:val="clear" w:color="auto" w:fill="FFFFFF" w:themeFill="background1"/>
            <w:vAlign w:val="center"/>
            <w:hideMark/>
          </w:tcPr>
          <w:p w14:paraId="3C06700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22" w:type="pct"/>
            <w:tcBorders>
              <w:top w:val="nil"/>
              <w:left w:val="nil"/>
              <w:bottom w:val="nil"/>
              <w:right w:val="nil"/>
            </w:tcBorders>
            <w:shd w:val="clear" w:color="auto" w:fill="FFFFFF" w:themeFill="background1"/>
            <w:noWrap/>
            <w:vAlign w:val="center"/>
            <w:hideMark/>
          </w:tcPr>
          <w:p w14:paraId="5E05A31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22</w:t>
            </w:r>
          </w:p>
        </w:tc>
        <w:tc>
          <w:tcPr>
            <w:tcW w:w="222" w:type="pct"/>
            <w:tcBorders>
              <w:top w:val="nil"/>
              <w:left w:val="nil"/>
              <w:bottom w:val="nil"/>
              <w:right w:val="nil"/>
            </w:tcBorders>
            <w:shd w:val="clear" w:color="auto" w:fill="FFFFFF" w:themeFill="background1"/>
            <w:noWrap/>
            <w:vAlign w:val="center"/>
            <w:hideMark/>
          </w:tcPr>
          <w:p w14:paraId="194DEF8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40.9</w:t>
            </w:r>
          </w:p>
        </w:tc>
        <w:tc>
          <w:tcPr>
            <w:tcW w:w="222" w:type="pct"/>
            <w:tcBorders>
              <w:top w:val="nil"/>
              <w:left w:val="nil"/>
              <w:bottom w:val="nil"/>
              <w:right w:val="nil"/>
            </w:tcBorders>
            <w:shd w:val="clear" w:color="auto" w:fill="FFFFFF" w:themeFill="background1"/>
            <w:noWrap/>
            <w:vAlign w:val="center"/>
            <w:hideMark/>
          </w:tcPr>
          <w:p w14:paraId="5DEA45B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59.1</w:t>
            </w:r>
          </w:p>
        </w:tc>
        <w:tc>
          <w:tcPr>
            <w:tcW w:w="220" w:type="pct"/>
            <w:tcBorders>
              <w:top w:val="nil"/>
              <w:left w:val="nil"/>
              <w:bottom w:val="nil"/>
              <w:right w:val="single" w:sz="8" w:space="0" w:color="auto"/>
            </w:tcBorders>
            <w:shd w:val="clear" w:color="auto" w:fill="FFFFFF" w:themeFill="background1"/>
            <w:vAlign w:val="center"/>
            <w:hideMark/>
          </w:tcPr>
          <w:p w14:paraId="7F8232A2"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14.7</w:t>
            </w:r>
          </w:p>
        </w:tc>
      </w:tr>
      <w:tr w:rsidR="00681B50" w:rsidRPr="00435B6B" w14:paraId="1D3CC9EA" w14:textId="77777777" w:rsidTr="001F4A34">
        <w:trPr>
          <w:trHeight w:val="255"/>
          <w:jc w:val="center"/>
        </w:trPr>
        <w:tc>
          <w:tcPr>
            <w:tcW w:w="1115" w:type="pct"/>
            <w:tcBorders>
              <w:top w:val="nil"/>
              <w:left w:val="single" w:sz="8" w:space="0" w:color="auto"/>
              <w:bottom w:val="single" w:sz="8" w:space="0" w:color="auto"/>
              <w:right w:val="single" w:sz="8" w:space="0" w:color="auto"/>
            </w:tcBorders>
            <w:shd w:val="clear" w:color="auto" w:fill="FFFFFF" w:themeFill="background1"/>
            <w:vAlign w:val="center"/>
            <w:hideMark/>
          </w:tcPr>
          <w:p w14:paraId="071C5C4E"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L (30-45.9mm)</w:t>
            </w:r>
          </w:p>
        </w:tc>
        <w:tc>
          <w:tcPr>
            <w:tcW w:w="113" w:type="pct"/>
            <w:tcBorders>
              <w:top w:val="nil"/>
              <w:left w:val="nil"/>
              <w:bottom w:val="single" w:sz="8" w:space="0" w:color="auto"/>
              <w:right w:val="nil"/>
            </w:tcBorders>
            <w:shd w:val="clear" w:color="auto" w:fill="FFFFFF" w:themeFill="background1"/>
            <w:vAlign w:val="center"/>
            <w:hideMark/>
          </w:tcPr>
          <w:p w14:paraId="660DE191"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2" w:type="pct"/>
            <w:tcBorders>
              <w:top w:val="nil"/>
              <w:left w:val="nil"/>
              <w:bottom w:val="single" w:sz="8" w:space="0" w:color="auto"/>
              <w:right w:val="nil"/>
            </w:tcBorders>
            <w:shd w:val="clear" w:color="auto" w:fill="FFFFFF" w:themeFill="background1"/>
            <w:vAlign w:val="center"/>
            <w:hideMark/>
          </w:tcPr>
          <w:p w14:paraId="3D93719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62</w:t>
            </w:r>
          </w:p>
        </w:tc>
        <w:tc>
          <w:tcPr>
            <w:tcW w:w="222" w:type="pct"/>
            <w:tcBorders>
              <w:top w:val="nil"/>
              <w:left w:val="nil"/>
              <w:bottom w:val="single" w:sz="8" w:space="0" w:color="auto"/>
              <w:right w:val="nil"/>
            </w:tcBorders>
            <w:shd w:val="clear" w:color="auto" w:fill="FFFFFF" w:themeFill="background1"/>
            <w:noWrap/>
            <w:vAlign w:val="center"/>
            <w:hideMark/>
          </w:tcPr>
          <w:p w14:paraId="5C794F4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66</w:t>
            </w:r>
          </w:p>
        </w:tc>
        <w:tc>
          <w:tcPr>
            <w:tcW w:w="222" w:type="pct"/>
            <w:tcBorders>
              <w:top w:val="nil"/>
              <w:left w:val="nil"/>
              <w:bottom w:val="single" w:sz="8" w:space="0" w:color="auto"/>
              <w:right w:val="nil"/>
            </w:tcBorders>
            <w:shd w:val="clear" w:color="auto" w:fill="FFFFFF" w:themeFill="background1"/>
            <w:noWrap/>
            <w:vAlign w:val="center"/>
            <w:hideMark/>
          </w:tcPr>
          <w:p w14:paraId="34E30AB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6.1</w:t>
            </w:r>
          </w:p>
        </w:tc>
        <w:tc>
          <w:tcPr>
            <w:tcW w:w="222" w:type="pct"/>
            <w:tcBorders>
              <w:top w:val="nil"/>
              <w:left w:val="nil"/>
              <w:bottom w:val="single" w:sz="8" w:space="0" w:color="auto"/>
              <w:right w:val="nil"/>
            </w:tcBorders>
            <w:shd w:val="clear" w:color="auto" w:fill="FFFFFF" w:themeFill="background1"/>
            <w:noWrap/>
            <w:vAlign w:val="center"/>
            <w:hideMark/>
          </w:tcPr>
          <w:p w14:paraId="051F09F7"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93.9</w:t>
            </w: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12CE0966"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47.8</w:t>
            </w:r>
          </w:p>
        </w:tc>
        <w:tc>
          <w:tcPr>
            <w:tcW w:w="222" w:type="pct"/>
            <w:tcBorders>
              <w:top w:val="nil"/>
              <w:left w:val="nil"/>
              <w:bottom w:val="single" w:sz="8" w:space="0" w:color="auto"/>
              <w:right w:val="nil"/>
            </w:tcBorders>
            <w:shd w:val="clear" w:color="auto" w:fill="FFFFFF" w:themeFill="background1"/>
            <w:vAlign w:val="center"/>
            <w:hideMark/>
          </w:tcPr>
          <w:p w14:paraId="054B382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22" w:type="pct"/>
            <w:tcBorders>
              <w:top w:val="nil"/>
              <w:left w:val="nil"/>
              <w:bottom w:val="single" w:sz="8" w:space="0" w:color="auto"/>
              <w:right w:val="nil"/>
            </w:tcBorders>
            <w:shd w:val="clear" w:color="auto" w:fill="FFFFFF" w:themeFill="background1"/>
            <w:vAlign w:val="center"/>
            <w:hideMark/>
          </w:tcPr>
          <w:p w14:paraId="31B6803F"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65</w:t>
            </w:r>
          </w:p>
        </w:tc>
        <w:tc>
          <w:tcPr>
            <w:tcW w:w="222" w:type="pct"/>
            <w:tcBorders>
              <w:top w:val="nil"/>
              <w:left w:val="nil"/>
              <w:bottom w:val="single" w:sz="8" w:space="0" w:color="auto"/>
              <w:right w:val="nil"/>
            </w:tcBorders>
            <w:shd w:val="clear" w:color="auto" w:fill="FFFFFF" w:themeFill="background1"/>
            <w:noWrap/>
            <w:vAlign w:val="center"/>
            <w:hideMark/>
          </w:tcPr>
          <w:p w14:paraId="4162B453"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76</w:t>
            </w:r>
          </w:p>
        </w:tc>
        <w:tc>
          <w:tcPr>
            <w:tcW w:w="222" w:type="pct"/>
            <w:tcBorders>
              <w:top w:val="nil"/>
              <w:left w:val="nil"/>
              <w:bottom w:val="single" w:sz="8" w:space="0" w:color="auto"/>
              <w:right w:val="nil"/>
            </w:tcBorders>
            <w:shd w:val="clear" w:color="auto" w:fill="FFFFFF" w:themeFill="background1"/>
            <w:noWrap/>
            <w:vAlign w:val="center"/>
            <w:hideMark/>
          </w:tcPr>
          <w:p w14:paraId="02AC99EA"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14.5</w:t>
            </w:r>
          </w:p>
        </w:tc>
        <w:tc>
          <w:tcPr>
            <w:tcW w:w="222" w:type="pct"/>
            <w:tcBorders>
              <w:top w:val="nil"/>
              <w:left w:val="nil"/>
              <w:bottom w:val="single" w:sz="8" w:space="0" w:color="auto"/>
              <w:right w:val="nil"/>
            </w:tcBorders>
            <w:shd w:val="clear" w:color="auto" w:fill="FFFFFF" w:themeFill="background1"/>
            <w:noWrap/>
            <w:vAlign w:val="center"/>
            <w:hideMark/>
          </w:tcPr>
          <w:p w14:paraId="32995D9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85.5</w:t>
            </w:r>
          </w:p>
        </w:tc>
        <w:tc>
          <w:tcPr>
            <w:tcW w:w="222" w:type="pct"/>
            <w:tcBorders>
              <w:top w:val="nil"/>
              <w:left w:val="nil"/>
              <w:bottom w:val="single" w:sz="8" w:space="0" w:color="auto"/>
              <w:right w:val="single" w:sz="8" w:space="0" w:color="auto"/>
            </w:tcBorders>
            <w:shd w:val="clear" w:color="auto" w:fill="FFFFFF" w:themeFill="background1"/>
            <w:vAlign w:val="center"/>
            <w:hideMark/>
          </w:tcPr>
          <w:p w14:paraId="40A8D49C"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56.3</w:t>
            </w:r>
          </w:p>
        </w:tc>
        <w:tc>
          <w:tcPr>
            <w:tcW w:w="222" w:type="pct"/>
            <w:tcBorders>
              <w:top w:val="nil"/>
              <w:left w:val="nil"/>
              <w:bottom w:val="single" w:sz="8" w:space="0" w:color="auto"/>
              <w:right w:val="nil"/>
            </w:tcBorders>
            <w:shd w:val="clear" w:color="auto" w:fill="FFFFFF" w:themeFill="background1"/>
            <w:vAlign w:val="center"/>
            <w:hideMark/>
          </w:tcPr>
          <w:p w14:paraId="27F1323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33</w:t>
            </w:r>
          </w:p>
        </w:tc>
        <w:tc>
          <w:tcPr>
            <w:tcW w:w="222" w:type="pct"/>
            <w:tcBorders>
              <w:top w:val="nil"/>
              <w:left w:val="nil"/>
              <w:bottom w:val="single" w:sz="8" w:space="0" w:color="auto"/>
              <w:right w:val="nil"/>
            </w:tcBorders>
            <w:shd w:val="clear" w:color="auto" w:fill="FFFFFF" w:themeFill="background1"/>
            <w:vAlign w:val="center"/>
            <w:hideMark/>
          </w:tcPr>
          <w:p w14:paraId="6B208E78"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94</w:t>
            </w:r>
          </w:p>
        </w:tc>
        <w:tc>
          <w:tcPr>
            <w:tcW w:w="222" w:type="pct"/>
            <w:tcBorders>
              <w:top w:val="nil"/>
              <w:left w:val="nil"/>
              <w:bottom w:val="single" w:sz="8" w:space="0" w:color="auto"/>
              <w:right w:val="nil"/>
            </w:tcBorders>
            <w:shd w:val="clear" w:color="auto" w:fill="FFFFFF" w:themeFill="background1"/>
            <w:noWrap/>
            <w:vAlign w:val="center"/>
            <w:hideMark/>
          </w:tcPr>
          <w:p w14:paraId="5B0682A9"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127</w:t>
            </w:r>
          </w:p>
        </w:tc>
        <w:tc>
          <w:tcPr>
            <w:tcW w:w="222" w:type="pct"/>
            <w:tcBorders>
              <w:top w:val="nil"/>
              <w:left w:val="nil"/>
              <w:bottom w:val="single" w:sz="8" w:space="0" w:color="auto"/>
              <w:right w:val="nil"/>
            </w:tcBorders>
            <w:shd w:val="clear" w:color="auto" w:fill="FFFFFF" w:themeFill="background1"/>
            <w:noWrap/>
            <w:vAlign w:val="center"/>
            <w:hideMark/>
          </w:tcPr>
          <w:p w14:paraId="23CF6AFB"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26.0</w:t>
            </w:r>
          </w:p>
        </w:tc>
        <w:tc>
          <w:tcPr>
            <w:tcW w:w="222" w:type="pct"/>
            <w:tcBorders>
              <w:top w:val="nil"/>
              <w:left w:val="nil"/>
              <w:bottom w:val="single" w:sz="8" w:space="0" w:color="auto"/>
              <w:right w:val="nil"/>
            </w:tcBorders>
            <w:shd w:val="clear" w:color="auto" w:fill="FFFFFF" w:themeFill="background1"/>
            <w:noWrap/>
            <w:vAlign w:val="center"/>
            <w:hideMark/>
          </w:tcPr>
          <w:p w14:paraId="6747F400"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74.0</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4E689584" w14:textId="77777777" w:rsidR="003421D4" w:rsidRPr="009819CE" w:rsidRDefault="003421D4" w:rsidP="00AB5EC8">
            <w:pPr>
              <w:spacing w:before="0" w:after="0" w:line="240" w:lineRule="auto"/>
              <w:jc w:val="center"/>
              <w:rPr>
                <w:rFonts w:cstheme="minorBidi"/>
                <w:color w:val="000000"/>
                <w:sz w:val="20"/>
                <w:szCs w:val="20"/>
              </w:rPr>
            </w:pPr>
            <w:r w:rsidRPr="009819CE">
              <w:rPr>
                <w:rFonts w:cstheme="minorBidi"/>
                <w:color w:val="000000"/>
                <w:sz w:val="20"/>
                <w:szCs w:val="20"/>
              </w:rPr>
              <w:t>84.7</w:t>
            </w:r>
          </w:p>
        </w:tc>
      </w:tr>
    </w:tbl>
    <w:p w14:paraId="3E237973" w14:textId="77777777" w:rsidR="004917A9" w:rsidRPr="009819CE" w:rsidRDefault="004917A9">
      <w:pPr>
        <w:rPr>
          <w:rFonts w:cstheme="minorBidi"/>
        </w:rPr>
        <w:sectPr w:rsidR="004917A9" w:rsidRPr="009819CE" w:rsidSect="003A7A28">
          <w:footerReference w:type="default" r:id="rId154"/>
          <w:pgSz w:w="16840" w:h="11900" w:orient="landscape"/>
          <w:pgMar w:top="1440" w:right="1440" w:bottom="1440" w:left="1440" w:header="340" w:footer="340" w:gutter="0"/>
          <w:cols w:space="720"/>
          <w:docGrid w:linePitch="360"/>
        </w:sectPr>
      </w:pPr>
    </w:p>
    <w:tbl>
      <w:tblPr>
        <w:tblW w:w="5000" w:type="pct"/>
        <w:jc w:val="center"/>
        <w:shd w:val="clear" w:color="auto" w:fill="FFFFFF" w:themeFill="background1"/>
        <w:tblLayout w:type="fixed"/>
        <w:tblLook w:val="04A0" w:firstRow="1" w:lastRow="0" w:firstColumn="1" w:lastColumn="0" w:noHBand="0" w:noVBand="1"/>
      </w:tblPr>
      <w:tblGrid>
        <w:gridCol w:w="2932"/>
        <w:gridCol w:w="610"/>
        <w:gridCol w:w="611"/>
        <w:gridCol w:w="613"/>
        <w:gridCol w:w="611"/>
        <w:gridCol w:w="613"/>
        <w:gridCol w:w="611"/>
        <w:gridCol w:w="613"/>
        <w:gridCol w:w="611"/>
        <w:gridCol w:w="613"/>
        <w:gridCol w:w="611"/>
        <w:gridCol w:w="611"/>
        <w:gridCol w:w="613"/>
        <w:gridCol w:w="611"/>
        <w:gridCol w:w="613"/>
        <w:gridCol w:w="611"/>
        <w:gridCol w:w="613"/>
        <w:gridCol w:w="611"/>
        <w:gridCol w:w="608"/>
      </w:tblGrid>
      <w:tr w:rsidR="002D7EE5" w:rsidRPr="00435B6B" w14:paraId="00FBDAF7" w14:textId="77777777" w:rsidTr="001F4A34">
        <w:trPr>
          <w:trHeight w:val="240"/>
          <w:jc w:val="center"/>
        </w:trPr>
        <w:tc>
          <w:tcPr>
            <w:tcW w:w="1052" w:type="pct"/>
            <w:tcBorders>
              <w:top w:val="single" w:sz="8" w:space="0" w:color="auto"/>
              <w:left w:val="single" w:sz="8" w:space="0" w:color="auto"/>
              <w:bottom w:val="nil"/>
              <w:right w:val="single" w:sz="8" w:space="0" w:color="auto"/>
            </w:tcBorders>
            <w:shd w:val="clear" w:color="auto" w:fill="FFFFFF" w:themeFill="background1"/>
            <w:vAlign w:val="bottom"/>
            <w:hideMark/>
          </w:tcPr>
          <w:p w14:paraId="5C96330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1316" w:type="pct"/>
            <w:gridSpan w:val="6"/>
            <w:tcBorders>
              <w:top w:val="single" w:sz="8" w:space="0" w:color="auto"/>
              <w:left w:val="nil"/>
              <w:bottom w:val="nil"/>
              <w:right w:val="single" w:sz="8" w:space="0" w:color="000000"/>
            </w:tcBorders>
            <w:shd w:val="clear" w:color="auto" w:fill="FFFFFF" w:themeFill="background1"/>
            <w:noWrap/>
            <w:vAlign w:val="bottom"/>
            <w:hideMark/>
          </w:tcPr>
          <w:p w14:paraId="09314C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 May 2019</w:t>
            </w:r>
          </w:p>
        </w:tc>
        <w:tc>
          <w:tcPr>
            <w:tcW w:w="1316" w:type="pct"/>
            <w:gridSpan w:val="6"/>
            <w:tcBorders>
              <w:top w:val="single" w:sz="8" w:space="0" w:color="auto"/>
              <w:left w:val="nil"/>
              <w:bottom w:val="nil"/>
              <w:right w:val="single" w:sz="8" w:space="0" w:color="000000"/>
            </w:tcBorders>
            <w:shd w:val="clear" w:color="auto" w:fill="FFFFFF" w:themeFill="background1"/>
            <w:noWrap/>
            <w:vAlign w:val="bottom"/>
            <w:hideMark/>
          </w:tcPr>
          <w:p w14:paraId="4359F8C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18 June 2019</w:t>
            </w:r>
          </w:p>
        </w:tc>
        <w:tc>
          <w:tcPr>
            <w:tcW w:w="1316" w:type="pct"/>
            <w:gridSpan w:val="6"/>
            <w:tcBorders>
              <w:top w:val="single" w:sz="8" w:space="0" w:color="auto"/>
              <w:left w:val="nil"/>
              <w:bottom w:val="nil"/>
              <w:right w:val="single" w:sz="8" w:space="0" w:color="000000"/>
            </w:tcBorders>
            <w:shd w:val="clear" w:color="auto" w:fill="FFFFFF" w:themeFill="background1"/>
            <w:noWrap/>
            <w:vAlign w:val="bottom"/>
            <w:hideMark/>
          </w:tcPr>
          <w:p w14:paraId="6DA8D4E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22 July 2019</w:t>
            </w:r>
          </w:p>
        </w:tc>
      </w:tr>
      <w:tr w:rsidR="00681B50" w:rsidRPr="00435B6B" w14:paraId="462119B9" w14:textId="77777777" w:rsidTr="001F4A34">
        <w:trPr>
          <w:trHeight w:val="255"/>
          <w:jc w:val="center"/>
        </w:trPr>
        <w:tc>
          <w:tcPr>
            <w:tcW w:w="1052" w:type="pct"/>
            <w:tcBorders>
              <w:top w:val="nil"/>
              <w:left w:val="single" w:sz="8" w:space="0" w:color="auto"/>
              <w:bottom w:val="single" w:sz="8" w:space="0" w:color="auto"/>
              <w:right w:val="single" w:sz="8" w:space="0" w:color="auto"/>
            </w:tcBorders>
            <w:shd w:val="clear" w:color="auto" w:fill="FFFFFF" w:themeFill="background1"/>
            <w:vAlign w:val="center"/>
            <w:hideMark/>
          </w:tcPr>
          <w:p w14:paraId="590BE8C1"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Parameters</w:t>
            </w:r>
          </w:p>
        </w:tc>
        <w:tc>
          <w:tcPr>
            <w:tcW w:w="219" w:type="pct"/>
            <w:tcBorders>
              <w:top w:val="nil"/>
              <w:left w:val="nil"/>
              <w:bottom w:val="single" w:sz="8" w:space="0" w:color="auto"/>
              <w:right w:val="nil"/>
            </w:tcBorders>
            <w:shd w:val="clear" w:color="auto" w:fill="FFFFFF" w:themeFill="background1"/>
            <w:vAlign w:val="center"/>
            <w:hideMark/>
          </w:tcPr>
          <w:p w14:paraId="38ED28B4"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F</w:t>
            </w:r>
          </w:p>
        </w:tc>
        <w:tc>
          <w:tcPr>
            <w:tcW w:w="219" w:type="pct"/>
            <w:tcBorders>
              <w:top w:val="nil"/>
              <w:left w:val="nil"/>
              <w:bottom w:val="single" w:sz="8" w:space="0" w:color="auto"/>
              <w:right w:val="nil"/>
            </w:tcBorders>
            <w:shd w:val="clear" w:color="auto" w:fill="FFFFFF" w:themeFill="background1"/>
            <w:vAlign w:val="center"/>
            <w:hideMark/>
          </w:tcPr>
          <w:p w14:paraId="7D3F589B"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M</w:t>
            </w:r>
          </w:p>
        </w:tc>
        <w:tc>
          <w:tcPr>
            <w:tcW w:w="220" w:type="pct"/>
            <w:tcBorders>
              <w:top w:val="nil"/>
              <w:left w:val="nil"/>
              <w:bottom w:val="single" w:sz="8" w:space="0" w:color="auto"/>
              <w:right w:val="nil"/>
            </w:tcBorders>
            <w:shd w:val="clear" w:color="auto" w:fill="FFFFFF" w:themeFill="background1"/>
            <w:vAlign w:val="center"/>
            <w:hideMark/>
          </w:tcPr>
          <w:p w14:paraId="02371CA3"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219" w:type="pct"/>
            <w:tcBorders>
              <w:top w:val="nil"/>
              <w:left w:val="nil"/>
              <w:bottom w:val="single" w:sz="8" w:space="0" w:color="auto"/>
              <w:right w:val="nil"/>
            </w:tcBorders>
            <w:shd w:val="clear" w:color="auto" w:fill="FFFFFF" w:themeFill="background1"/>
            <w:vAlign w:val="center"/>
            <w:hideMark/>
          </w:tcPr>
          <w:p w14:paraId="1752431A"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F</w:t>
            </w:r>
          </w:p>
        </w:tc>
        <w:tc>
          <w:tcPr>
            <w:tcW w:w="220" w:type="pct"/>
            <w:tcBorders>
              <w:top w:val="nil"/>
              <w:left w:val="nil"/>
              <w:bottom w:val="single" w:sz="8" w:space="0" w:color="auto"/>
              <w:right w:val="nil"/>
            </w:tcBorders>
            <w:shd w:val="clear" w:color="auto" w:fill="FFFFFF" w:themeFill="background1"/>
            <w:vAlign w:val="center"/>
            <w:hideMark/>
          </w:tcPr>
          <w:p w14:paraId="49E50487"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M</w:t>
            </w:r>
          </w:p>
        </w:tc>
        <w:tc>
          <w:tcPr>
            <w:tcW w:w="219" w:type="pct"/>
            <w:tcBorders>
              <w:top w:val="nil"/>
              <w:left w:val="nil"/>
              <w:bottom w:val="single" w:sz="8" w:space="0" w:color="auto"/>
              <w:right w:val="single" w:sz="8" w:space="0" w:color="auto"/>
            </w:tcBorders>
            <w:shd w:val="clear" w:color="auto" w:fill="FFFFFF" w:themeFill="background1"/>
            <w:vAlign w:val="center"/>
            <w:hideMark/>
          </w:tcPr>
          <w:p w14:paraId="71EB95D8"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T</w:t>
            </w:r>
          </w:p>
        </w:tc>
        <w:tc>
          <w:tcPr>
            <w:tcW w:w="220" w:type="pct"/>
            <w:tcBorders>
              <w:top w:val="nil"/>
              <w:left w:val="nil"/>
              <w:bottom w:val="single" w:sz="8" w:space="0" w:color="auto"/>
              <w:right w:val="nil"/>
            </w:tcBorders>
            <w:shd w:val="clear" w:color="auto" w:fill="FFFFFF" w:themeFill="background1"/>
            <w:vAlign w:val="center"/>
            <w:hideMark/>
          </w:tcPr>
          <w:p w14:paraId="75E06166"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F</w:t>
            </w:r>
          </w:p>
        </w:tc>
        <w:tc>
          <w:tcPr>
            <w:tcW w:w="219" w:type="pct"/>
            <w:tcBorders>
              <w:top w:val="nil"/>
              <w:left w:val="nil"/>
              <w:bottom w:val="single" w:sz="8" w:space="0" w:color="auto"/>
              <w:right w:val="nil"/>
            </w:tcBorders>
            <w:shd w:val="clear" w:color="auto" w:fill="FFFFFF" w:themeFill="background1"/>
            <w:vAlign w:val="center"/>
            <w:hideMark/>
          </w:tcPr>
          <w:p w14:paraId="3C056F7B"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M</w:t>
            </w:r>
          </w:p>
        </w:tc>
        <w:tc>
          <w:tcPr>
            <w:tcW w:w="220" w:type="pct"/>
            <w:tcBorders>
              <w:top w:val="nil"/>
              <w:left w:val="nil"/>
              <w:bottom w:val="single" w:sz="8" w:space="0" w:color="auto"/>
              <w:right w:val="nil"/>
            </w:tcBorders>
            <w:shd w:val="clear" w:color="auto" w:fill="FFFFFF" w:themeFill="background1"/>
            <w:vAlign w:val="center"/>
            <w:hideMark/>
          </w:tcPr>
          <w:p w14:paraId="37928B0A"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219" w:type="pct"/>
            <w:tcBorders>
              <w:top w:val="nil"/>
              <w:left w:val="nil"/>
              <w:bottom w:val="single" w:sz="8" w:space="0" w:color="auto"/>
              <w:right w:val="nil"/>
            </w:tcBorders>
            <w:shd w:val="clear" w:color="auto" w:fill="FFFFFF" w:themeFill="background1"/>
            <w:vAlign w:val="center"/>
            <w:hideMark/>
          </w:tcPr>
          <w:p w14:paraId="0BECD1CF"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F</w:t>
            </w:r>
          </w:p>
        </w:tc>
        <w:tc>
          <w:tcPr>
            <w:tcW w:w="219" w:type="pct"/>
            <w:tcBorders>
              <w:top w:val="nil"/>
              <w:left w:val="nil"/>
              <w:bottom w:val="single" w:sz="8" w:space="0" w:color="auto"/>
              <w:right w:val="nil"/>
            </w:tcBorders>
            <w:shd w:val="clear" w:color="auto" w:fill="FFFFFF" w:themeFill="background1"/>
            <w:vAlign w:val="center"/>
            <w:hideMark/>
          </w:tcPr>
          <w:p w14:paraId="17399724"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M</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1768089D"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T</w:t>
            </w:r>
          </w:p>
        </w:tc>
        <w:tc>
          <w:tcPr>
            <w:tcW w:w="219" w:type="pct"/>
            <w:tcBorders>
              <w:top w:val="nil"/>
              <w:left w:val="nil"/>
              <w:bottom w:val="single" w:sz="8" w:space="0" w:color="auto"/>
              <w:right w:val="nil"/>
            </w:tcBorders>
            <w:shd w:val="clear" w:color="auto" w:fill="FFFFFF" w:themeFill="background1"/>
            <w:vAlign w:val="center"/>
            <w:hideMark/>
          </w:tcPr>
          <w:p w14:paraId="0D1F1BEC"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F</w:t>
            </w:r>
          </w:p>
        </w:tc>
        <w:tc>
          <w:tcPr>
            <w:tcW w:w="220" w:type="pct"/>
            <w:tcBorders>
              <w:top w:val="nil"/>
              <w:left w:val="nil"/>
              <w:bottom w:val="single" w:sz="8" w:space="0" w:color="auto"/>
              <w:right w:val="nil"/>
            </w:tcBorders>
            <w:shd w:val="clear" w:color="auto" w:fill="FFFFFF" w:themeFill="background1"/>
            <w:vAlign w:val="center"/>
            <w:hideMark/>
          </w:tcPr>
          <w:p w14:paraId="7D7ED8A4"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M</w:t>
            </w:r>
          </w:p>
        </w:tc>
        <w:tc>
          <w:tcPr>
            <w:tcW w:w="219" w:type="pct"/>
            <w:tcBorders>
              <w:top w:val="nil"/>
              <w:left w:val="nil"/>
              <w:bottom w:val="single" w:sz="8" w:space="0" w:color="auto"/>
              <w:right w:val="nil"/>
            </w:tcBorders>
            <w:shd w:val="clear" w:color="auto" w:fill="FFFFFF" w:themeFill="background1"/>
            <w:vAlign w:val="center"/>
            <w:hideMark/>
          </w:tcPr>
          <w:p w14:paraId="0649F65B"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Total</w:t>
            </w:r>
          </w:p>
        </w:tc>
        <w:tc>
          <w:tcPr>
            <w:tcW w:w="220" w:type="pct"/>
            <w:tcBorders>
              <w:top w:val="nil"/>
              <w:left w:val="nil"/>
              <w:bottom w:val="single" w:sz="8" w:space="0" w:color="auto"/>
              <w:right w:val="nil"/>
            </w:tcBorders>
            <w:shd w:val="clear" w:color="auto" w:fill="FFFFFF" w:themeFill="background1"/>
            <w:vAlign w:val="center"/>
            <w:hideMark/>
          </w:tcPr>
          <w:p w14:paraId="5E7CAE64"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F</w:t>
            </w:r>
          </w:p>
        </w:tc>
        <w:tc>
          <w:tcPr>
            <w:tcW w:w="219" w:type="pct"/>
            <w:tcBorders>
              <w:top w:val="nil"/>
              <w:left w:val="nil"/>
              <w:bottom w:val="single" w:sz="8" w:space="0" w:color="auto"/>
              <w:right w:val="nil"/>
            </w:tcBorders>
            <w:shd w:val="clear" w:color="auto" w:fill="FFFFFF" w:themeFill="background1"/>
            <w:vAlign w:val="center"/>
            <w:hideMark/>
          </w:tcPr>
          <w:p w14:paraId="703B080B"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M</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23B08668"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 T</w:t>
            </w:r>
          </w:p>
        </w:tc>
      </w:tr>
      <w:tr w:rsidR="00681B50" w:rsidRPr="00435B6B" w14:paraId="368F7489" w14:textId="77777777" w:rsidTr="001F4A34">
        <w:trPr>
          <w:trHeight w:val="30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7EE4B52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Sex</w:t>
            </w:r>
          </w:p>
        </w:tc>
        <w:tc>
          <w:tcPr>
            <w:tcW w:w="219" w:type="pct"/>
            <w:tcBorders>
              <w:top w:val="nil"/>
              <w:left w:val="nil"/>
              <w:bottom w:val="nil"/>
              <w:right w:val="nil"/>
            </w:tcBorders>
            <w:shd w:val="clear" w:color="auto" w:fill="FFFFFF" w:themeFill="background1"/>
            <w:noWrap/>
            <w:vAlign w:val="center"/>
            <w:hideMark/>
          </w:tcPr>
          <w:p w14:paraId="2706AF6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110</w:t>
            </w:r>
          </w:p>
        </w:tc>
        <w:tc>
          <w:tcPr>
            <w:tcW w:w="219" w:type="pct"/>
            <w:tcBorders>
              <w:top w:val="nil"/>
              <w:left w:val="nil"/>
              <w:bottom w:val="nil"/>
              <w:right w:val="nil"/>
            </w:tcBorders>
            <w:shd w:val="clear" w:color="auto" w:fill="FFFFFF" w:themeFill="background1"/>
            <w:noWrap/>
            <w:vAlign w:val="center"/>
            <w:hideMark/>
          </w:tcPr>
          <w:p w14:paraId="4683BD3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20" w:type="pct"/>
            <w:tcBorders>
              <w:top w:val="nil"/>
              <w:left w:val="nil"/>
              <w:bottom w:val="nil"/>
              <w:right w:val="nil"/>
            </w:tcBorders>
            <w:shd w:val="clear" w:color="auto" w:fill="FFFFFF" w:themeFill="background1"/>
            <w:noWrap/>
            <w:vAlign w:val="center"/>
            <w:hideMark/>
          </w:tcPr>
          <w:p w14:paraId="46FF9730"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140</w:t>
            </w:r>
          </w:p>
        </w:tc>
        <w:tc>
          <w:tcPr>
            <w:tcW w:w="219" w:type="pct"/>
            <w:tcBorders>
              <w:top w:val="nil"/>
              <w:left w:val="nil"/>
              <w:bottom w:val="nil"/>
              <w:right w:val="nil"/>
            </w:tcBorders>
            <w:shd w:val="clear" w:color="auto" w:fill="FFFFFF" w:themeFill="background1"/>
            <w:noWrap/>
            <w:vAlign w:val="center"/>
            <w:hideMark/>
          </w:tcPr>
          <w:p w14:paraId="5657F7F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78.6</w:t>
            </w:r>
          </w:p>
        </w:tc>
        <w:tc>
          <w:tcPr>
            <w:tcW w:w="220" w:type="pct"/>
            <w:tcBorders>
              <w:top w:val="nil"/>
              <w:left w:val="nil"/>
              <w:bottom w:val="nil"/>
              <w:right w:val="nil"/>
            </w:tcBorders>
            <w:shd w:val="clear" w:color="auto" w:fill="FFFFFF" w:themeFill="background1"/>
            <w:noWrap/>
            <w:vAlign w:val="center"/>
            <w:hideMark/>
          </w:tcPr>
          <w:p w14:paraId="07D064F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21.4</w:t>
            </w:r>
          </w:p>
        </w:tc>
        <w:tc>
          <w:tcPr>
            <w:tcW w:w="219" w:type="pct"/>
            <w:tcBorders>
              <w:top w:val="nil"/>
              <w:left w:val="nil"/>
              <w:bottom w:val="nil"/>
              <w:right w:val="single" w:sz="8" w:space="0" w:color="auto"/>
            </w:tcBorders>
            <w:shd w:val="clear" w:color="auto" w:fill="FFFFFF" w:themeFill="background1"/>
            <w:vAlign w:val="center"/>
            <w:hideMark/>
          </w:tcPr>
          <w:p w14:paraId="60BD63D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nil"/>
              <w:right w:val="nil"/>
            </w:tcBorders>
            <w:shd w:val="clear" w:color="auto" w:fill="FFFFFF" w:themeFill="background1"/>
            <w:noWrap/>
            <w:vAlign w:val="center"/>
            <w:hideMark/>
          </w:tcPr>
          <w:p w14:paraId="5CAB22D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124</w:t>
            </w:r>
          </w:p>
        </w:tc>
        <w:tc>
          <w:tcPr>
            <w:tcW w:w="219" w:type="pct"/>
            <w:tcBorders>
              <w:top w:val="nil"/>
              <w:left w:val="nil"/>
              <w:bottom w:val="nil"/>
              <w:right w:val="nil"/>
            </w:tcBorders>
            <w:shd w:val="clear" w:color="auto" w:fill="FFFFFF" w:themeFill="background1"/>
            <w:noWrap/>
            <w:vAlign w:val="center"/>
            <w:hideMark/>
          </w:tcPr>
          <w:p w14:paraId="2C646A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26</w:t>
            </w:r>
          </w:p>
        </w:tc>
        <w:tc>
          <w:tcPr>
            <w:tcW w:w="220" w:type="pct"/>
            <w:tcBorders>
              <w:top w:val="nil"/>
              <w:left w:val="nil"/>
              <w:bottom w:val="nil"/>
              <w:right w:val="nil"/>
            </w:tcBorders>
            <w:shd w:val="clear" w:color="auto" w:fill="FFFFFF" w:themeFill="background1"/>
            <w:noWrap/>
            <w:vAlign w:val="center"/>
            <w:hideMark/>
          </w:tcPr>
          <w:p w14:paraId="235FF6A8"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150</w:t>
            </w:r>
          </w:p>
        </w:tc>
        <w:tc>
          <w:tcPr>
            <w:tcW w:w="219" w:type="pct"/>
            <w:tcBorders>
              <w:top w:val="nil"/>
              <w:left w:val="nil"/>
              <w:bottom w:val="nil"/>
              <w:right w:val="nil"/>
            </w:tcBorders>
            <w:shd w:val="clear" w:color="auto" w:fill="FFFFFF" w:themeFill="background1"/>
            <w:noWrap/>
            <w:vAlign w:val="center"/>
            <w:hideMark/>
          </w:tcPr>
          <w:p w14:paraId="338659A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82.7</w:t>
            </w:r>
          </w:p>
        </w:tc>
        <w:tc>
          <w:tcPr>
            <w:tcW w:w="219" w:type="pct"/>
            <w:tcBorders>
              <w:top w:val="nil"/>
              <w:left w:val="nil"/>
              <w:bottom w:val="nil"/>
              <w:right w:val="nil"/>
            </w:tcBorders>
            <w:shd w:val="clear" w:color="auto" w:fill="FFFFFF" w:themeFill="background1"/>
            <w:noWrap/>
            <w:vAlign w:val="center"/>
            <w:hideMark/>
          </w:tcPr>
          <w:p w14:paraId="4429641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17.3</w:t>
            </w:r>
          </w:p>
        </w:tc>
        <w:tc>
          <w:tcPr>
            <w:tcW w:w="220" w:type="pct"/>
            <w:tcBorders>
              <w:top w:val="nil"/>
              <w:left w:val="nil"/>
              <w:bottom w:val="nil"/>
              <w:right w:val="single" w:sz="8" w:space="0" w:color="auto"/>
            </w:tcBorders>
            <w:shd w:val="clear" w:color="auto" w:fill="FFFFFF" w:themeFill="background1"/>
            <w:noWrap/>
            <w:vAlign w:val="bottom"/>
            <w:hideMark/>
          </w:tcPr>
          <w:p w14:paraId="02F1575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nil"/>
              <w:right w:val="nil"/>
            </w:tcBorders>
            <w:shd w:val="clear" w:color="auto" w:fill="FFFFFF" w:themeFill="background1"/>
            <w:noWrap/>
            <w:vAlign w:val="center"/>
            <w:hideMark/>
          </w:tcPr>
          <w:p w14:paraId="7FB16D8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125</w:t>
            </w:r>
          </w:p>
        </w:tc>
        <w:tc>
          <w:tcPr>
            <w:tcW w:w="220" w:type="pct"/>
            <w:tcBorders>
              <w:top w:val="nil"/>
              <w:left w:val="nil"/>
              <w:bottom w:val="nil"/>
              <w:right w:val="nil"/>
            </w:tcBorders>
            <w:shd w:val="clear" w:color="auto" w:fill="FFFFFF" w:themeFill="background1"/>
            <w:noWrap/>
            <w:vAlign w:val="center"/>
            <w:hideMark/>
          </w:tcPr>
          <w:p w14:paraId="54C4306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24</w:t>
            </w:r>
          </w:p>
        </w:tc>
        <w:tc>
          <w:tcPr>
            <w:tcW w:w="219" w:type="pct"/>
            <w:tcBorders>
              <w:top w:val="nil"/>
              <w:left w:val="nil"/>
              <w:bottom w:val="nil"/>
              <w:right w:val="nil"/>
            </w:tcBorders>
            <w:shd w:val="clear" w:color="auto" w:fill="FFFFFF" w:themeFill="background1"/>
            <w:noWrap/>
            <w:vAlign w:val="center"/>
            <w:hideMark/>
          </w:tcPr>
          <w:p w14:paraId="0581FE7F"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149</w:t>
            </w:r>
          </w:p>
        </w:tc>
        <w:tc>
          <w:tcPr>
            <w:tcW w:w="220" w:type="pct"/>
            <w:tcBorders>
              <w:top w:val="nil"/>
              <w:left w:val="nil"/>
              <w:bottom w:val="nil"/>
              <w:right w:val="nil"/>
            </w:tcBorders>
            <w:shd w:val="clear" w:color="auto" w:fill="FFFFFF" w:themeFill="background1"/>
            <w:noWrap/>
            <w:vAlign w:val="center"/>
            <w:hideMark/>
          </w:tcPr>
          <w:p w14:paraId="670CF32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83.9</w:t>
            </w:r>
          </w:p>
        </w:tc>
        <w:tc>
          <w:tcPr>
            <w:tcW w:w="219" w:type="pct"/>
            <w:tcBorders>
              <w:top w:val="nil"/>
              <w:left w:val="nil"/>
              <w:bottom w:val="nil"/>
              <w:right w:val="nil"/>
            </w:tcBorders>
            <w:shd w:val="clear" w:color="auto" w:fill="FFFFFF" w:themeFill="background1"/>
            <w:noWrap/>
            <w:vAlign w:val="center"/>
            <w:hideMark/>
          </w:tcPr>
          <w:p w14:paraId="76D8EEA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16.1</w:t>
            </w:r>
          </w:p>
        </w:tc>
        <w:tc>
          <w:tcPr>
            <w:tcW w:w="220" w:type="pct"/>
            <w:tcBorders>
              <w:top w:val="nil"/>
              <w:left w:val="nil"/>
              <w:bottom w:val="nil"/>
              <w:right w:val="single" w:sz="8" w:space="0" w:color="auto"/>
            </w:tcBorders>
            <w:shd w:val="clear" w:color="auto" w:fill="FFFFFF" w:themeFill="background1"/>
            <w:noWrap/>
            <w:vAlign w:val="bottom"/>
            <w:hideMark/>
          </w:tcPr>
          <w:p w14:paraId="7B48E53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r>
      <w:tr w:rsidR="00681B50" w:rsidRPr="00435B6B" w14:paraId="034448C4" w14:textId="77777777" w:rsidTr="001F4A34">
        <w:trPr>
          <w:trHeight w:val="495"/>
          <w:jc w:val="center"/>
        </w:trPr>
        <w:tc>
          <w:tcPr>
            <w:tcW w:w="1052" w:type="pct"/>
            <w:tcBorders>
              <w:top w:val="nil"/>
              <w:left w:val="single" w:sz="8" w:space="0" w:color="auto"/>
              <w:bottom w:val="single" w:sz="8" w:space="0" w:color="auto"/>
              <w:right w:val="single" w:sz="8" w:space="0" w:color="auto"/>
            </w:tcBorders>
            <w:shd w:val="clear" w:color="auto" w:fill="FFFFFF" w:themeFill="background1"/>
            <w:vAlign w:val="center"/>
            <w:hideMark/>
          </w:tcPr>
          <w:p w14:paraId="38766CBC" w14:textId="19E7F2B3"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Body</w:t>
            </w:r>
            <w:r w:rsidR="00681B50" w:rsidRPr="009819CE">
              <w:rPr>
                <w:rFonts w:cstheme="minorBidi"/>
                <w:b/>
                <w:bCs/>
                <w:color w:val="000000"/>
                <w:sz w:val="20"/>
                <w:szCs w:val="20"/>
              </w:rPr>
              <w:t xml:space="preserve"> </w:t>
            </w:r>
            <w:r w:rsidRPr="009819CE">
              <w:rPr>
                <w:rFonts w:cstheme="minorBidi"/>
                <w:b/>
                <w:bCs/>
                <w:color w:val="000000"/>
                <w:sz w:val="20"/>
                <w:szCs w:val="20"/>
              </w:rPr>
              <w:t>colour method (BCM)</w:t>
            </w:r>
          </w:p>
        </w:tc>
        <w:tc>
          <w:tcPr>
            <w:tcW w:w="219" w:type="pct"/>
            <w:tcBorders>
              <w:top w:val="nil"/>
              <w:left w:val="nil"/>
              <w:bottom w:val="single" w:sz="8" w:space="0" w:color="auto"/>
              <w:right w:val="nil"/>
            </w:tcBorders>
            <w:shd w:val="clear" w:color="auto" w:fill="FFFFFF" w:themeFill="background1"/>
            <w:noWrap/>
            <w:vAlign w:val="center"/>
            <w:hideMark/>
          </w:tcPr>
          <w:p w14:paraId="32362E4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639A4CA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317BB45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71C1D88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349D717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single" w:sz="8" w:space="0" w:color="auto"/>
            </w:tcBorders>
            <w:shd w:val="clear" w:color="auto" w:fill="FFFFFF" w:themeFill="background1"/>
            <w:vAlign w:val="center"/>
            <w:hideMark/>
          </w:tcPr>
          <w:p w14:paraId="1717A15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0095C47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0C9F3A7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5391A46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155D780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3DD2439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noWrap/>
            <w:vAlign w:val="bottom"/>
            <w:hideMark/>
          </w:tcPr>
          <w:p w14:paraId="4676CCC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569B6DA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23CA545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2412820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7513C42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1259C69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noWrap/>
            <w:vAlign w:val="bottom"/>
            <w:hideMark/>
          </w:tcPr>
          <w:p w14:paraId="192388D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r>
      <w:tr w:rsidR="00681B50" w:rsidRPr="00435B6B" w14:paraId="04966A6D"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6DA8395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NEG (BCM)</w:t>
            </w:r>
          </w:p>
        </w:tc>
        <w:tc>
          <w:tcPr>
            <w:tcW w:w="219" w:type="pct"/>
            <w:tcBorders>
              <w:top w:val="nil"/>
              <w:left w:val="nil"/>
              <w:bottom w:val="nil"/>
              <w:right w:val="nil"/>
            </w:tcBorders>
            <w:shd w:val="clear" w:color="auto" w:fill="FFFFFF" w:themeFill="background1"/>
            <w:noWrap/>
            <w:vAlign w:val="center"/>
            <w:hideMark/>
          </w:tcPr>
          <w:p w14:paraId="69AC393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107</w:t>
            </w:r>
          </w:p>
        </w:tc>
        <w:tc>
          <w:tcPr>
            <w:tcW w:w="219" w:type="pct"/>
            <w:tcBorders>
              <w:top w:val="nil"/>
              <w:left w:val="nil"/>
              <w:bottom w:val="nil"/>
              <w:right w:val="nil"/>
            </w:tcBorders>
            <w:shd w:val="clear" w:color="auto" w:fill="FFFFFF" w:themeFill="background1"/>
            <w:noWrap/>
            <w:vAlign w:val="center"/>
            <w:hideMark/>
          </w:tcPr>
          <w:p w14:paraId="0F1BBA8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20" w:type="pct"/>
            <w:tcBorders>
              <w:top w:val="nil"/>
              <w:left w:val="nil"/>
              <w:bottom w:val="nil"/>
              <w:right w:val="nil"/>
            </w:tcBorders>
            <w:shd w:val="clear" w:color="auto" w:fill="FFFFFF" w:themeFill="background1"/>
            <w:noWrap/>
            <w:vAlign w:val="center"/>
            <w:hideMark/>
          </w:tcPr>
          <w:p w14:paraId="35D0058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136</w:t>
            </w:r>
          </w:p>
        </w:tc>
        <w:tc>
          <w:tcPr>
            <w:tcW w:w="219" w:type="pct"/>
            <w:tcBorders>
              <w:top w:val="nil"/>
              <w:left w:val="nil"/>
              <w:bottom w:val="nil"/>
              <w:right w:val="nil"/>
            </w:tcBorders>
            <w:shd w:val="clear" w:color="auto" w:fill="FFFFFF" w:themeFill="background1"/>
            <w:noWrap/>
            <w:vAlign w:val="center"/>
            <w:hideMark/>
          </w:tcPr>
          <w:p w14:paraId="08707A7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78.7</w:t>
            </w:r>
          </w:p>
        </w:tc>
        <w:tc>
          <w:tcPr>
            <w:tcW w:w="220" w:type="pct"/>
            <w:tcBorders>
              <w:top w:val="nil"/>
              <w:left w:val="nil"/>
              <w:bottom w:val="nil"/>
              <w:right w:val="nil"/>
            </w:tcBorders>
            <w:shd w:val="clear" w:color="auto" w:fill="FFFFFF" w:themeFill="background1"/>
            <w:noWrap/>
            <w:vAlign w:val="center"/>
            <w:hideMark/>
          </w:tcPr>
          <w:p w14:paraId="5E15DA3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21.3</w:t>
            </w:r>
          </w:p>
        </w:tc>
        <w:tc>
          <w:tcPr>
            <w:tcW w:w="219" w:type="pct"/>
            <w:tcBorders>
              <w:top w:val="nil"/>
              <w:left w:val="nil"/>
              <w:bottom w:val="nil"/>
              <w:right w:val="single" w:sz="8" w:space="0" w:color="auto"/>
            </w:tcBorders>
            <w:shd w:val="clear" w:color="auto" w:fill="FFFFFF" w:themeFill="background1"/>
            <w:vAlign w:val="center"/>
            <w:hideMark/>
          </w:tcPr>
          <w:p w14:paraId="0761BE1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97.1</w:t>
            </w:r>
          </w:p>
        </w:tc>
        <w:tc>
          <w:tcPr>
            <w:tcW w:w="220" w:type="pct"/>
            <w:tcBorders>
              <w:top w:val="nil"/>
              <w:left w:val="nil"/>
              <w:bottom w:val="nil"/>
              <w:right w:val="nil"/>
            </w:tcBorders>
            <w:shd w:val="clear" w:color="auto" w:fill="FFFFFF" w:themeFill="background1"/>
            <w:noWrap/>
            <w:vAlign w:val="center"/>
            <w:hideMark/>
          </w:tcPr>
          <w:p w14:paraId="4BC7063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124</w:t>
            </w:r>
          </w:p>
        </w:tc>
        <w:tc>
          <w:tcPr>
            <w:tcW w:w="219" w:type="pct"/>
            <w:tcBorders>
              <w:top w:val="nil"/>
              <w:left w:val="nil"/>
              <w:bottom w:val="nil"/>
              <w:right w:val="nil"/>
            </w:tcBorders>
            <w:shd w:val="clear" w:color="auto" w:fill="FFFFFF" w:themeFill="background1"/>
            <w:noWrap/>
            <w:vAlign w:val="center"/>
            <w:hideMark/>
          </w:tcPr>
          <w:p w14:paraId="2D47831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26</w:t>
            </w:r>
          </w:p>
        </w:tc>
        <w:tc>
          <w:tcPr>
            <w:tcW w:w="220" w:type="pct"/>
            <w:tcBorders>
              <w:top w:val="nil"/>
              <w:left w:val="nil"/>
              <w:bottom w:val="nil"/>
              <w:right w:val="nil"/>
            </w:tcBorders>
            <w:shd w:val="clear" w:color="auto" w:fill="FFFFFF" w:themeFill="background1"/>
            <w:noWrap/>
            <w:vAlign w:val="center"/>
            <w:hideMark/>
          </w:tcPr>
          <w:p w14:paraId="2B7BF76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150</w:t>
            </w:r>
          </w:p>
        </w:tc>
        <w:tc>
          <w:tcPr>
            <w:tcW w:w="219" w:type="pct"/>
            <w:tcBorders>
              <w:top w:val="nil"/>
              <w:left w:val="nil"/>
              <w:bottom w:val="nil"/>
              <w:right w:val="nil"/>
            </w:tcBorders>
            <w:shd w:val="clear" w:color="auto" w:fill="FFFFFF" w:themeFill="background1"/>
            <w:noWrap/>
            <w:vAlign w:val="center"/>
            <w:hideMark/>
          </w:tcPr>
          <w:p w14:paraId="4DCEBDD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82.7</w:t>
            </w:r>
          </w:p>
        </w:tc>
        <w:tc>
          <w:tcPr>
            <w:tcW w:w="219" w:type="pct"/>
            <w:tcBorders>
              <w:top w:val="nil"/>
              <w:left w:val="nil"/>
              <w:bottom w:val="nil"/>
              <w:right w:val="nil"/>
            </w:tcBorders>
            <w:shd w:val="clear" w:color="auto" w:fill="FFFFFF" w:themeFill="background1"/>
            <w:noWrap/>
            <w:vAlign w:val="center"/>
            <w:hideMark/>
          </w:tcPr>
          <w:p w14:paraId="0F55233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17.3</w:t>
            </w:r>
          </w:p>
        </w:tc>
        <w:tc>
          <w:tcPr>
            <w:tcW w:w="220" w:type="pct"/>
            <w:tcBorders>
              <w:top w:val="nil"/>
              <w:left w:val="nil"/>
              <w:bottom w:val="nil"/>
              <w:right w:val="single" w:sz="8" w:space="0" w:color="auto"/>
            </w:tcBorders>
            <w:shd w:val="clear" w:color="auto" w:fill="FFFFFF" w:themeFill="background1"/>
            <w:vAlign w:val="center"/>
            <w:hideMark/>
          </w:tcPr>
          <w:p w14:paraId="5034CD7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19" w:type="pct"/>
            <w:tcBorders>
              <w:top w:val="nil"/>
              <w:left w:val="nil"/>
              <w:bottom w:val="nil"/>
              <w:right w:val="nil"/>
            </w:tcBorders>
            <w:shd w:val="clear" w:color="auto" w:fill="FFFFFF" w:themeFill="background1"/>
            <w:noWrap/>
            <w:vAlign w:val="center"/>
            <w:hideMark/>
          </w:tcPr>
          <w:p w14:paraId="14BB624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125</w:t>
            </w:r>
          </w:p>
        </w:tc>
        <w:tc>
          <w:tcPr>
            <w:tcW w:w="220" w:type="pct"/>
            <w:tcBorders>
              <w:top w:val="nil"/>
              <w:left w:val="nil"/>
              <w:bottom w:val="nil"/>
              <w:right w:val="nil"/>
            </w:tcBorders>
            <w:shd w:val="clear" w:color="auto" w:fill="FFFFFF" w:themeFill="background1"/>
            <w:noWrap/>
            <w:vAlign w:val="center"/>
            <w:hideMark/>
          </w:tcPr>
          <w:p w14:paraId="73B687B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24</w:t>
            </w:r>
          </w:p>
        </w:tc>
        <w:tc>
          <w:tcPr>
            <w:tcW w:w="219" w:type="pct"/>
            <w:tcBorders>
              <w:top w:val="nil"/>
              <w:left w:val="nil"/>
              <w:bottom w:val="nil"/>
              <w:right w:val="nil"/>
            </w:tcBorders>
            <w:shd w:val="clear" w:color="auto" w:fill="FFFFFF" w:themeFill="background1"/>
            <w:noWrap/>
            <w:vAlign w:val="center"/>
            <w:hideMark/>
          </w:tcPr>
          <w:p w14:paraId="3C81B20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149</w:t>
            </w:r>
          </w:p>
        </w:tc>
        <w:tc>
          <w:tcPr>
            <w:tcW w:w="220" w:type="pct"/>
            <w:tcBorders>
              <w:top w:val="nil"/>
              <w:left w:val="nil"/>
              <w:bottom w:val="nil"/>
              <w:right w:val="nil"/>
            </w:tcBorders>
            <w:shd w:val="clear" w:color="auto" w:fill="FFFFFF" w:themeFill="background1"/>
            <w:noWrap/>
            <w:vAlign w:val="center"/>
            <w:hideMark/>
          </w:tcPr>
          <w:p w14:paraId="569881A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83.9</w:t>
            </w:r>
          </w:p>
        </w:tc>
        <w:tc>
          <w:tcPr>
            <w:tcW w:w="219" w:type="pct"/>
            <w:tcBorders>
              <w:top w:val="nil"/>
              <w:left w:val="nil"/>
              <w:bottom w:val="nil"/>
              <w:right w:val="nil"/>
            </w:tcBorders>
            <w:shd w:val="clear" w:color="auto" w:fill="FFFFFF" w:themeFill="background1"/>
            <w:noWrap/>
            <w:vAlign w:val="center"/>
            <w:hideMark/>
          </w:tcPr>
          <w:p w14:paraId="33B2B0D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16.1</w:t>
            </w:r>
          </w:p>
        </w:tc>
        <w:tc>
          <w:tcPr>
            <w:tcW w:w="220" w:type="pct"/>
            <w:tcBorders>
              <w:top w:val="nil"/>
              <w:left w:val="nil"/>
              <w:bottom w:val="nil"/>
              <w:right w:val="single" w:sz="8" w:space="0" w:color="auto"/>
            </w:tcBorders>
            <w:shd w:val="clear" w:color="auto" w:fill="FFFFFF" w:themeFill="background1"/>
            <w:vAlign w:val="center"/>
            <w:hideMark/>
          </w:tcPr>
          <w:p w14:paraId="69372BC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r>
      <w:tr w:rsidR="00681B50" w:rsidRPr="00435B6B" w14:paraId="500D6CBF"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197D8CE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POS (BCM)</w:t>
            </w:r>
          </w:p>
        </w:tc>
        <w:tc>
          <w:tcPr>
            <w:tcW w:w="219" w:type="pct"/>
            <w:tcBorders>
              <w:top w:val="nil"/>
              <w:left w:val="nil"/>
              <w:bottom w:val="nil"/>
              <w:right w:val="nil"/>
            </w:tcBorders>
            <w:shd w:val="clear" w:color="auto" w:fill="FFFFFF" w:themeFill="background1"/>
            <w:noWrap/>
            <w:vAlign w:val="center"/>
            <w:hideMark/>
          </w:tcPr>
          <w:p w14:paraId="0092267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19" w:type="pct"/>
            <w:tcBorders>
              <w:top w:val="nil"/>
              <w:left w:val="nil"/>
              <w:bottom w:val="nil"/>
              <w:right w:val="nil"/>
            </w:tcBorders>
            <w:shd w:val="clear" w:color="auto" w:fill="FFFFFF" w:themeFill="background1"/>
            <w:noWrap/>
            <w:vAlign w:val="center"/>
            <w:hideMark/>
          </w:tcPr>
          <w:p w14:paraId="01DAB32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0" w:type="pct"/>
            <w:tcBorders>
              <w:top w:val="nil"/>
              <w:left w:val="nil"/>
              <w:bottom w:val="nil"/>
              <w:right w:val="nil"/>
            </w:tcBorders>
            <w:shd w:val="clear" w:color="auto" w:fill="FFFFFF" w:themeFill="background1"/>
            <w:noWrap/>
            <w:vAlign w:val="center"/>
            <w:hideMark/>
          </w:tcPr>
          <w:p w14:paraId="3E184FD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19" w:type="pct"/>
            <w:tcBorders>
              <w:top w:val="nil"/>
              <w:left w:val="nil"/>
              <w:bottom w:val="nil"/>
              <w:right w:val="nil"/>
            </w:tcBorders>
            <w:shd w:val="clear" w:color="auto" w:fill="FFFFFF" w:themeFill="background1"/>
            <w:noWrap/>
            <w:vAlign w:val="center"/>
            <w:hideMark/>
          </w:tcPr>
          <w:p w14:paraId="45BBBA91" w14:textId="5083FDBF"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75</w:t>
            </w:r>
          </w:p>
        </w:tc>
        <w:tc>
          <w:tcPr>
            <w:tcW w:w="220" w:type="pct"/>
            <w:tcBorders>
              <w:top w:val="nil"/>
              <w:left w:val="nil"/>
              <w:bottom w:val="nil"/>
              <w:right w:val="nil"/>
            </w:tcBorders>
            <w:shd w:val="clear" w:color="auto" w:fill="FFFFFF" w:themeFill="background1"/>
            <w:noWrap/>
            <w:vAlign w:val="center"/>
            <w:hideMark/>
          </w:tcPr>
          <w:p w14:paraId="4DF1148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25.0</w:t>
            </w:r>
          </w:p>
        </w:tc>
        <w:tc>
          <w:tcPr>
            <w:tcW w:w="219" w:type="pct"/>
            <w:tcBorders>
              <w:top w:val="nil"/>
              <w:left w:val="nil"/>
              <w:bottom w:val="nil"/>
              <w:right w:val="single" w:sz="8" w:space="0" w:color="auto"/>
            </w:tcBorders>
            <w:shd w:val="clear" w:color="auto" w:fill="FFFFFF" w:themeFill="background1"/>
            <w:vAlign w:val="center"/>
            <w:hideMark/>
          </w:tcPr>
          <w:p w14:paraId="34AD86A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20" w:type="pct"/>
            <w:tcBorders>
              <w:top w:val="nil"/>
              <w:left w:val="nil"/>
              <w:bottom w:val="nil"/>
              <w:right w:val="nil"/>
            </w:tcBorders>
            <w:shd w:val="clear" w:color="auto" w:fill="FFFFFF" w:themeFill="background1"/>
            <w:noWrap/>
            <w:vAlign w:val="center"/>
            <w:hideMark/>
          </w:tcPr>
          <w:p w14:paraId="0013F8C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193AEB8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0469F3E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FBEE15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08D6C68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3289D752" w14:textId="3975E69A" w:rsidR="003421D4" w:rsidRPr="009819CE" w:rsidRDefault="00681B50"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D162ED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070EF37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39E4F6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4B5A01D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57051E2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7A6356F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r>
      <w:tr w:rsidR="00681B50" w:rsidRPr="00435B6B" w14:paraId="48BD16C2" w14:textId="77777777" w:rsidTr="001F4A34">
        <w:trPr>
          <w:trHeight w:val="480"/>
          <w:jc w:val="center"/>
        </w:trPr>
        <w:tc>
          <w:tcPr>
            <w:tcW w:w="1052" w:type="pct"/>
            <w:tcBorders>
              <w:top w:val="nil"/>
              <w:left w:val="single" w:sz="8" w:space="0" w:color="auto"/>
              <w:bottom w:val="single" w:sz="8" w:space="0" w:color="auto"/>
              <w:right w:val="single" w:sz="8" w:space="0" w:color="auto"/>
            </w:tcBorders>
            <w:shd w:val="clear" w:color="auto" w:fill="FFFFFF" w:themeFill="background1"/>
            <w:vAlign w:val="center"/>
            <w:hideMark/>
          </w:tcPr>
          <w:p w14:paraId="2E11BBD2"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Pleopod method (PM)</w:t>
            </w:r>
          </w:p>
        </w:tc>
        <w:tc>
          <w:tcPr>
            <w:tcW w:w="219" w:type="pct"/>
            <w:tcBorders>
              <w:top w:val="nil"/>
              <w:left w:val="nil"/>
              <w:bottom w:val="single" w:sz="8" w:space="0" w:color="auto"/>
              <w:right w:val="nil"/>
            </w:tcBorders>
            <w:shd w:val="clear" w:color="auto" w:fill="FFFFFF" w:themeFill="background1"/>
            <w:vAlign w:val="center"/>
            <w:hideMark/>
          </w:tcPr>
          <w:p w14:paraId="795F385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55020FC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4B24A7A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5840816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3DB0BD5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single" w:sz="8" w:space="0" w:color="auto"/>
            </w:tcBorders>
            <w:shd w:val="clear" w:color="auto" w:fill="FFFFFF" w:themeFill="background1"/>
            <w:vAlign w:val="center"/>
            <w:hideMark/>
          </w:tcPr>
          <w:p w14:paraId="405D38B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vAlign w:val="center"/>
            <w:hideMark/>
          </w:tcPr>
          <w:p w14:paraId="535539C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0795EF0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1DFF4BF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6612F31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00048C7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498D027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41A4CEF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vAlign w:val="center"/>
            <w:hideMark/>
          </w:tcPr>
          <w:p w14:paraId="6AA5073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5811A96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389BF27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51B26FB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457586B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r>
      <w:tr w:rsidR="00681B50" w:rsidRPr="00435B6B" w14:paraId="14BF15B5"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191EDDE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S0</w:t>
            </w:r>
          </w:p>
        </w:tc>
        <w:tc>
          <w:tcPr>
            <w:tcW w:w="219" w:type="pct"/>
            <w:tcBorders>
              <w:top w:val="nil"/>
              <w:left w:val="nil"/>
              <w:bottom w:val="nil"/>
              <w:right w:val="nil"/>
            </w:tcBorders>
            <w:shd w:val="clear" w:color="auto" w:fill="FFFFFF" w:themeFill="background1"/>
            <w:noWrap/>
            <w:vAlign w:val="center"/>
            <w:hideMark/>
          </w:tcPr>
          <w:p w14:paraId="5032CC9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101</w:t>
            </w:r>
          </w:p>
        </w:tc>
        <w:tc>
          <w:tcPr>
            <w:tcW w:w="219" w:type="pct"/>
            <w:tcBorders>
              <w:top w:val="nil"/>
              <w:left w:val="nil"/>
              <w:bottom w:val="nil"/>
              <w:right w:val="nil"/>
            </w:tcBorders>
            <w:shd w:val="clear" w:color="auto" w:fill="FFFFFF" w:themeFill="background1"/>
            <w:noWrap/>
            <w:vAlign w:val="center"/>
            <w:hideMark/>
          </w:tcPr>
          <w:p w14:paraId="47DEA99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28</w:t>
            </w:r>
          </w:p>
        </w:tc>
        <w:tc>
          <w:tcPr>
            <w:tcW w:w="220" w:type="pct"/>
            <w:tcBorders>
              <w:top w:val="nil"/>
              <w:left w:val="nil"/>
              <w:bottom w:val="nil"/>
              <w:right w:val="nil"/>
            </w:tcBorders>
            <w:shd w:val="clear" w:color="auto" w:fill="FFFFFF" w:themeFill="background1"/>
            <w:noWrap/>
            <w:vAlign w:val="center"/>
            <w:hideMark/>
          </w:tcPr>
          <w:p w14:paraId="441E15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129</w:t>
            </w:r>
          </w:p>
        </w:tc>
        <w:tc>
          <w:tcPr>
            <w:tcW w:w="219" w:type="pct"/>
            <w:tcBorders>
              <w:top w:val="nil"/>
              <w:left w:val="nil"/>
              <w:bottom w:val="nil"/>
              <w:right w:val="nil"/>
            </w:tcBorders>
            <w:shd w:val="clear" w:color="auto" w:fill="FFFFFF" w:themeFill="background1"/>
            <w:noWrap/>
            <w:vAlign w:val="center"/>
            <w:hideMark/>
          </w:tcPr>
          <w:p w14:paraId="512C8A9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78.3</w:t>
            </w:r>
          </w:p>
        </w:tc>
        <w:tc>
          <w:tcPr>
            <w:tcW w:w="220" w:type="pct"/>
            <w:tcBorders>
              <w:top w:val="nil"/>
              <w:left w:val="nil"/>
              <w:bottom w:val="nil"/>
              <w:right w:val="nil"/>
            </w:tcBorders>
            <w:shd w:val="clear" w:color="auto" w:fill="FFFFFF" w:themeFill="background1"/>
            <w:noWrap/>
            <w:vAlign w:val="center"/>
            <w:hideMark/>
          </w:tcPr>
          <w:p w14:paraId="34CCFB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21.7</w:t>
            </w:r>
          </w:p>
        </w:tc>
        <w:tc>
          <w:tcPr>
            <w:tcW w:w="219" w:type="pct"/>
            <w:tcBorders>
              <w:top w:val="nil"/>
              <w:left w:val="nil"/>
              <w:bottom w:val="nil"/>
              <w:right w:val="single" w:sz="8" w:space="0" w:color="auto"/>
            </w:tcBorders>
            <w:shd w:val="clear" w:color="auto" w:fill="FFFFFF" w:themeFill="background1"/>
            <w:vAlign w:val="center"/>
            <w:hideMark/>
          </w:tcPr>
          <w:p w14:paraId="36DA208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92.1</w:t>
            </w:r>
          </w:p>
        </w:tc>
        <w:tc>
          <w:tcPr>
            <w:tcW w:w="220" w:type="pct"/>
            <w:tcBorders>
              <w:top w:val="nil"/>
              <w:left w:val="nil"/>
              <w:bottom w:val="nil"/>
              <w:right w:val="nil"/>
            </w:tcBorders>
            <w:shd w:val="clear" w:color="auto" w:fill="FFFFFF" w:themeFill="background1"/>
            <w:noWrap/>
            <w:vAlign w:val="center"/>
            <w:hideMark/>
          </w:tcPr>
          <w:p w14:paraId="691E43D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103</w:t>
            </w:r>
          </w:p>
        </w:tc>
        <w:tc>
          <w:tcPr>
            <w:tcW w:w="219" w:type="pct"/>
            <w:tcBorders>
              <w:top w:val="nil"/>
              <w:left w:val="nil"/>
              <w:bottom w:val="nil"/>
              <w:right w:val="nil"/>
            </w:tcBorders>
            <w:shd w:val="clear" w:color="auto" w:fill="FFFFFF" w:themeFill="background1"/>
            <w:noWrap/>
            <w:vAlign w:val="center"/>
            <w:hideMark/>
          </w:tcPr>
          <w:p w14:paraId="491C76E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26</w:t>
            </w:r>
          </w:p>
        </w:tc>
        <w:tc>
          <w:tcPr>
            <w:tcW w:w="220" w:type="pct"/>
            <w:tcBorders>
              <w:top w:val="nil"/>
              <w:left w:val="nil"/>
              <w:bottom w:val="nil"/>
              <w:right w:val="nil"/>
            </w:tcBorders>
            <w:shd w:val="clear" w:color="auto" w:fill="FFFFFF" w:themeFill="background1"/>
            <w:noWrap/>
            <w:vAlign w:val="center"/>
            <w:hideMark/>
          </w:tcPr>
          <w:p w14:paraId="640B3F4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129</w:t>
            </w:r>
          </w:p>
        </w:tc>
        <w:tc>
          <w:tcPr>
            <w:tcW w:w="219" w:type="pct"/>
            <w:tcBorders>
              <w:top w:val="nil"/>
              <w:left w:val="nil"/>
              <w:bottom w:val="nil"/>
              <w:right w:val="nil"/>
            </w:tcBorders>
            <w:shd w:val="clear" w:color="auto" w:fill="FFFFFF" w:themeFill="background1"/>
            <w:noWrap/>
            <w:vAlign w:val="center"/>
            <w:hideMark/>
          </w:tcPr>
          <w:p w14:paraId="1E88920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79.8</w:t>
            </w:r>
          </w:p>
        </w:tc>
        <w:tc>
          <w:tcPr>
            <w:tcW w:w="219" w:type="pct"/>
            <w:tcBorders>
              <w:top w:val="nil"/>
              <w:left w:val="nil"/>
              <w:bottom w:val="nil"/>
              <w:right w:val="nil"/>
            </w:tcBorders>
            <w:shd w:val="clear" w:color="auto" w:fill="FFFFFF" w:themeFill="background1"/>
            <w:noWrap/>
            <w:vAlign w:val="center"/>
            <w:hideMark/>
          </w:tcPr>
          <w:p w14:paraId="7857696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20.2</w:t>
            </w:r>
          </w:p>
        </w:tc>
        <w:tc>
          <w:tcPr>
            <w:tcW w:w="220" w:type="pct"/>
            <w:tcBorders>
              <w:top w:val="nil"/>
              <w:left w:val="nil"/>
              <w:bottom w:val="nil"/>
              <w:right w:val="single" w:sz="8" w:space="0" w:color="auto"/>
            </w:tcBorders>
            <w:shd w:val="clear" w:color="auto" w:fill="FFFFFF" w:themeFill="background1"/>
            <w:vAlign w:val="center"/>
            <w:hideMark/>
          </w:tcPr>
          <w:p w14:paraId="4C730069" w14:textId="578C88DF"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86</w:t>
            </w:r>
          </w:p>
        </w:tc>
        <w:tc>
          <w:tcPr>
            <w:tcW w:w="219" w:type="pct"/>
            <w:tcBorders>
              <w:top w:val="nil"/>
              <w:left w:val="nil"/>
              <w:bottom w:val="nil"/>
              <w:right w:val="nil"/>
            </w:tcBorders>
            <w:shd w:val="clear" w:color="auto" w:fill="FFFFFF" w:themeFill="background1"/>
            <w:noWrap/>
            <w:vAlign w:val="center"/>
            <w:hideMark/>
          </w:tcPr>
          <w:p w14:paraId="72E3A95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96</w:t>
            </w:r>
          </w:p>
        </w:tc>
        <w:tc>
          <w:tcPr>
            <w:tcW w:w="220" w:type="pct"/>
            <w:tcBorders>
              <w:top w:val="nil"/>
              <w:left w:val="nil"/>
              <w:bottom w:val="nil"/>
              <w:right w:val="nil"/>
            </w:tcBorders>
            <w:shd w:val="clear" w:color="auto" w:fill="FFFFFF" w:themeFill="background1"/>
            <w:noWrap/>
            <w:vAlign w:val="center"/>
            <w:hideMark/>
          </w:tcPr>
          <w:p w14:paraId="22E354D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19" w:type="pct"/>
            <w:tcBorders>
              <w:top w:val="nil"/>
              <w:left w:val="nil"/>
              <w:bottom w:val="nil"/>
              <w:right w:val="nil"/>
            </w:tcBorders>
            <w:shd w:val="clear" w:color="auto" w:fill="FFFFFF" w:themeFill="background1"/>
            <w:noWrap/>
            <w:vAlign w:val="center"/>
            <w:hideMark/>
          </w:tcPr>
          <w:p w14:paraId="063B138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117</w:t>
            </w:r>
          </w:p>
        </w:tc>
        <w:tc>
          <w:tcPr>
            <w:tcW w:w="220" w:type="pct"/>
            <w:tcBorders>
              <w:top w:val="nil"/>
              <w:left w:val="nil"/>
              <w:bottom w:val="nil"/>
              <w:right w:val="nil"/>
            </w:tcBorders>
            <w:shd w:val="clear" w:color="auto" w:fill="FFFFFF" w:themeFill="background1"/>
            <w:noWrap/>
            <w:vAlign w:val="center"/>
            <w:hideMark/>
          </w:tcPr>
          <w:p w14:paraId="2368DDD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82.1</w:t>
            </w:r>
          </w:p>
        </w:tc>
        <w:tc>
          <w:tcPr>
            <w:tcW w:w="219" w:type="pct"/>
            <w:tcBorders>
              <w:top w:val="nil"/>
              <w:left w:val="nil"/>
              <w:bottom w:val="nil"/>
              <w:right w:val="nil"/>
            </w:tcBorders>
            <w:shd w:val="clear" w:color="auto" w:fill="FFFFFF" w:themeFill="background1"/>
            <w:noWrap/>
            <w:vAlign w:val="center"/>
            <w:hideMark/>
          </w:tcPr>
          <w:p w14:paraId="091332A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17.9</w:t>
            </w:r>
          </w:p>
        </w:tc>
        <w:tc>
          <w:tcPr>
            <w:tcW w:w="220" w:type="pct"/>
            <w:tcBorders>
              <w:top w:val="nil"/>
              <w:left w:val="nil"/>
              <w:bottom w:val="nil"/>
              <w:right w:val="single" w:sz="8" w:space="0" w:color="auto"/>
            </w:tcBorders>
            <w:shd w:val="clear" w:color="auto" w:fill="FFFFFF" w:themeFill="background1"/>
            <w:vAlign w:val="center"/>
            <w:hideMark/>
          </w:tcPr>
          <w:p w14:paraId="408A4D2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78.5</w:t>
            </w:r>
          </w:p>
        </w:tc>
      </w:tr>
      <w:tr w:rsidR="00681B50" w:rsidRPr="00435B6B" w14:paraId="21D70B9B"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01B0853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S1</w:t>
            </w:r>
          </w:p>
        </w:tc>
        <w:tc>
          <w:tcPr>
            <w:tcW w:w="219" w:type="pct"/>
            <w:tcBorders>
              <w:top w:val="nil"/>
              <w:left w:val="nil"/>
              <w:bottom w:val="nil"/>
              <w:right w:val="nil"/>
            </w:tcBorders>
            <w:shd w:val="clear" w:color="auto" w:fill="FFFFFF" w:themeFill="background1"/>
            <w:noWrap/>
            <w:vAlign w:val="center"/>
            <w:hideMark/>
          </w:tcPr>
          <w:p w14:paraId="6BF44F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19" w:type="pct"/>
            <w:tcBorders>
              <w:top w:val="nil"/>
              <w:left w:val="nil"/>
              <w:bottom w:val="nil"/>
              <w:right w:val="nil"/>
            </w:tcBorders>
            <w:shd w:val="clear" w:color="auto" w:fill="FFFFFF" w:themeFill="background1"/>
            <w:noWrap/>
            <w:vAlign w:val="center"/>
            <w:hideMark/>
          </w:tcPr>
          <w:p w14:paraId="16A4436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0" w:type="pct"/>
            <w:tcBorders>
              <w:top w:val="nil"/>
              <w:left w:val="nil"/>
              <w:bottom w:val="nil"/>
              <w:right w:val="nil"/>
            </w:tcBorders>
            <w:shd w:val="clear" w:color="auto" w:fill="FFFFFF" w:themeFill="background1"/>
            <w:noWrap/>
            <w:vAlign w:val="center"/>
            <w:hideMark/>
          </w:tcPr>
          <w:p w14:paraId="36B9CDD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w:t>
            </w:r>
          </w:p>
        </w:tc>
        <w:tc>
          <w:tcPr>
            <w:tcW w:w="219" w:type="pct"/>
            <w:tcBorders>
              <w:top w:val="nil"/>
              <w:left w:val="nil"/>
              <w:bottom w:val="nil"/>
              <w:right w:val="nil"/>
            </w:tcBorders>
            <w:shd w:val="clear" w:color="auto" w:fill="FFFFFF" w:themeFill="background1"/>
            <w:noWrap/>
            <w:vAlign w:val="center"/>
            <w:hideMark/>
          </w:tcPr>
          <w:p w14:paraId="111B40C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75.0</w:t>
            </w:r>
          </w:p>
        </w:tc>
        <w:tc>
          <w:tcPr>
            <w:tcW w:w="220" w:type="pct"/>
            <w:tcBorders>
              <w:top w:val="nil"/>
              <w:left w:val="nil"/>
              <w:bottom w:val="nil"/>
              <w:right w:val="nil"/>
            </w:tcBorders>
            <w:shd w:val="clear" w:color="auto" w:fill="FFFFFF" w:themeFill="background1"/>
            <w:noWrap/>
            <w:vAlign w:val="center"/>
            <w:hideMark/>
          </w:tcPr>
          <w:p w14:paraId="5D919DB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25.0</w:t>
            </w:r>
          </w:p>
        </w:tc>
        <w:tc>
          <w:tcPr>
            <w:tcW w:w="219" w:type="pct"/>
            <w:tcBorders>
              <w:top w:val="nil"/>
              <w:left w:val="nil"/>
              <w:bottom w:val="nil"/>
              <w:right w:val="single" w:sz="8" w:space="0" w:color="auto"/>
            </w:tcBorders>
            <w:shd w:val="clear" w:color="auto" w:fill="FFFFFF" w:themeFill="background1"/>
            <w:vAlign w:val="center"/>
            <w:hideMark/>
          </w:tcPr>
          <w:p w14:paraId="365C33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5.7</w:t>
            </w:r>
          </w:p>
        </w:tc>
        <w:tc>
          <w:tcPr>
            <w:tcW w:w="220" w:type="pct"/>
            <w:tcBorders>
              <w:top w:val="nil"/>
              <w:left w:val="nil"/>
              <w:bottom w:val="nil"/>
              <w:right w:val="nil"/>
            </w:tcBorders>
            <w:shd w:val="clear" w:color="auto" w:fill="FFFFFF" w:themeFill="background1"/>
            <w:noWrap/>
            <w:vAlign w:val="center"/>
            <w:hideMark/>
          </w:tcPr>
          <w:p w14:paraId="0A315E7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19" w:type="pct"/>
            <w:tcBorders>
              <w:top w:val="nil"/>
              <w:left w:val="nil"/>
              <w:bottom w:val="nil"/>
              <w:right w:val="nil"/>
            </w:tcBorders>
            <w:shd w:val="clear" w:color="auto" w:fill="FFFFFF" w:themeFill="background1"/>
            <w:noWrap/>
            <w:vAlign w:val="center"/>
            <w:hideMark/>
          </w:tcPr>
          <w:p w14:paraId="2300E8D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4F09CF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19" w:type="pct"/>
            <w:tcBorders>
              <w:top w:val="nil"/>
              <w:left w:val="nil"/>
              <w:bottom w:val="nil"/>
              <w:right w:val="nil"/>
            </w:tcBorders>
            <w:shd w:val="clear" w:color="auto" w:fill="FFFFFF" w:themeFill="background1"/>
            <w:noWrap/>
            <w:vAlign w:val="center"/>
            <w:hideMark/>
          </w:tcPr>
          <w:p w14:paraId="4DC2F0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19" w:type="pct"/>
            <w:tcBorders>
              <w:top w:val="nil"/>
              <w:left w:val="nil"/>
              <w:bottom w:val="nil"/>
              <w:right w:val="nil"/>
            </w:tcBorders>
            <w:shd w:val="clear" w:color="auto" w:fill="FFFFFF" w:themeFill="background1"/>
            <w:noWrap/>
            <w:vAlign w:val="center"/>
            <w:hideMark/>
          </w:tcPr>
          <w:p w14:paraId="4A9AA5A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29D0EDF4" w14:textId="281BB80C"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19" w:type="pct"/>
            <w:tcBorders>
              <w:top w:val="nil"/>
              <w:left w:val="nil"/>
              <w:bottom w:val="nil"/>
              <w:right w:val="nil"/>
            </w:tcBorders>
            <w:shd w:val="clear" w:color="auto" w:fill="FFFFFF" w:themeFill="background1"/>
            <w:noWrap/>
            <w:vAlign w:val="center"/>
            <w:hideMark/>
          </w:tcPr>
          <w:p w14:paraId="4F4562A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26</w:t>
            </w:r>
          </w:p>
        </w:tc>
        <w:tc>
          <w:tcPr>
            <w:tcW w:w="220" w:type="pct"/>
            <w:tcBorders>
              <w:top w:val="nil"/>
              <w:left w:val="nil"/>
              <w:bottom w:val="nil"/>
              <w:right w:val="nil"/>
            </w:tcBorders>
            <w:shd w:val="clear" w:color="auto" w:fill="FFFFFF" w:themeFill="background1"/>
            <w:noWrap/>
            <w:vAlign w:val="center"/>
            <w:hideMark/>
          </w:tcPr>
          <w:p w14:paraId="33E6D00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19" w:type="pct"/>
            <w:tcBorders>
              <w:top w:val="nil"/>
              <w:left w:val="nil"/>
              <w:bottom w:val="nil"/>
              <w:right w:val="nil"/>
            </w:tcBorders>
            <w:shd w:val="clear" w:color="auto" w:fill="FFFFFF" w:themeFill="background1"/>
            <w:noWrap/>
            <w:vAlign w:val="center"/>
            <w:hideMark/>
          </w:tcPr>
          <w:p w14:paraId="38C66B5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20" w:type="pct"/>
            <w:tcBorders>
              <w:top w:val="nil"/>
              <w:left w:val="nil"/>
              <w:bottom w:val="nil"/>
              <w:right w:val="nil"/>
            </w:tcBorders>
            <w:shd w:val="clear" w:color="auto" w:fill="FFFFFF" w:themeFill="background1"/>
            <w:noWrap/>
            <w:vAlign w:val="center"/>
            <w:hideMark/>
          </w:tcPr>
          <w:p w14:paraId="2F10AC3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89.7</w:t>
            </w:r>
          </w:p>
        </w:tc>
        <w:tc>
          <w:tcPr>
            <w:tcW w:w="219" w:type="pct"/>
            <w:tcBorders>
              <w:top w:val="nil"/>
              <w:left w:val="nil"/>
              <w:bottom w:val="nil"/>
              <w:right w:val="nil"/>
            </w:tcBorders>
            <w:shd w:val="clear" w:color="auto" w:fill="FFFFFF" w:themeFill="background1"/>
            <w:noWrap/>
            <w:vAlign w:val="center"/>
            <w:hideMark/>
          </w:tcPr>
          <w:p w14:paraId="2DAAA77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10.3</w:t>
            </w:r>
          </w:p>
        </w:tc>
        <w:tc>
          <w:tcPr>
            <w:tcW w:w="220" w:type="pct"/>
            <w:tcBorders>
              <w:top w:val="nil"/>
              <w:left w:val="nil"/>
              <w:bottom w:val="nil"/>
              <w:right w:val="single" w:sz="8" w:space="0" w:color="auto"/>
            </w:tcBorders>
            <w:shd w:val="clear" w:color="auto" w:fill="FFFFFF" w:themeFill="background1"/>
            <w:vAlign w:val="center"/>
            <w:hideMark/>
          </w:tcPr>
          <w:p w14:paraId="06E888D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19.5</w:t>
            </w:r>
          </w:p>
        </w:tc>
      </w:tr>
      <w:tr w:rsidR="00681B50" w:rsidRPr="00435B6B" w14:paraId="67475770"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51E50F2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S2</w:t>
            </w:r>
          </w:p>
        </w:tc>
        <w:tc>
          <w:tcPr>
            <w:tcW w:w="219" w:type="pct"/>
            <w:tcBorders>
              <w:top w:val="nil"/>
              <w:left w:val="nil"/>
              <w:bottom w:val="nil"/>
              <w:right w:val="nil"/>
            </w:tcBorders>
            <w:shd w:val="clear" w:color="auto" w:fill="FFFFFF" w:themeFill="background1"/>
            <w:noWrap/>
            <w:vAlign w:val="center"/>
            <w:hideMark/>
          </w:tcPr>
          <w:p w14:paraId="5B84115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7499B78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4821B09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4F80A43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15299D0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single" w:sz="8" w:space="0" w:color="auto"/>
            </w:tcBorders>
            <w:shd w:val="clear" w:color="auto" w:fill="FFFFFF" w:themeFill="background1"/>
            <w:vAlign w:val="center"/>
            <w:hideMark/>
          </w:tcPr>
          <w:p w14:paraId="787968A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0.0</w:t>
            </w:r>
          </w:p>
        </w:tc>
        <w:tc>
          <w:tcPr>
            <w:tcW w:w="220" w:type="pct"/>
            <w:tcBorders>
              <w:top w:val="nil"/>
              <w:left w:val="nil"/>
              <w:bottom w:val="nil"/>
              <w:right w:val="nil"/>
            </w:tcBorders>
            <w:shd w:val="clear" w:color="auto" w:fill="FFFFFF" w:themeFill="background1"/>
            <w:noWrap/>
            <w:vAlign w:val="center"/>
            <w:hideMark/>
          </w:tcPr>
          <w:p w14:paraId="64B0FCC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74DF236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2F5E2BF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4AC88A6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0A7260B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60F446E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16502B1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0" w:type="pct"/>
            <w:tcBorders>
              <w:top w:val="nil"/>
              <w:left w:val="nil"/>
              <w:bottom w:val="nil"/>
              <w:right w:val="nil"/>
            </w:tcBorders>
            <w:shd w:val="clear" w:color="auto" w:fill="FFFFFF" w:themeFill="background1"/>
            <w:noWrap/>
            <w:vAlign w:val="center"/>
            <w:hideMark/>
          </w:tcPr>
          <w:p w14:paraId="1C92B74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438ECE8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0" w:type="pct"/>
            <w:tcBorders>
              <w:top w:val="nil"/>
              <w:left w:val="nil"/>
              <w:bottom w:val="nil"/>
              <w:right w:val="nil"/>
            </w:tcBorders>
            <w:shd w:val="clear" w:color="auto" w:fill="FFFFFF" w:themeFill="background1"/>
            <w:noWrap/>
            <w:vAlign w:val="center"/>
            <w:hideMark/>
          </w:tcPr>
          <w:p w14:paraId="5896DF4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19" w:type="pct"/>
            <w:tcBorders>
              <w:top w:val="nil"/>
              <w:left w:val="nil"/>
              <w:bottom w:val="nil"/>
              <w:right w:val="nil"/>
            </w:tcBorders>
            <w:shd w:val="clear" w:color="auto" w:fill="FFFFFF" w:themeFill="background1"/>
            <w:noWrap/>
            <w:vAlign w:val="center"/>
            <w:hideMark/>
          </w:tcPr>
          <w:p w14:paraId="2F014BE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5FCA19A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2.0</w:t>
            </w:r>
          </w:p>
        </w:tc>
      </w:tr>
      <w:tr w:rsidR="00681B50" w:rsidRPr="00435B6B" w14:paraId="370B6E29"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36F244D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S3</w:t>
            </w:r>
          </w:p>
        </w:tc>
        <w:tc>
          <w:tcPr>
            <w:tcW w:w="219" w:type="pct"/>
            <w:tcBorders>
              <w:top w:val="nil"/>
              <w:left w:val="nil"/>
              <w:bottom w:val="nil"/>
              <w:right w:val="nil"/>
            </w:tcBorders>
            <w:shd w:val="clear" w:color="auto" w:fill="FFFFFF" w:themeFill="background1"/>
            <w:noWrap/>
            <w:vAlign w:val="center"/>
            <w:hideMark/>
          </w:tcPr>
          <w:p w14:paraId="0748E90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19" w:type="pct"/>
            <w:tcBorders>
              <w:top w:val="nil"/>
              <w:left w:val="nil"/>
              <w:bottom w:val="nil"/>
              <w:right w:val="nil"/>
            </w:tcBorders>
            <w:shd w:val="clear" w:color="auto" w:fill="FFFFFF" w:themeFill="background1"/>
            <w:noWrap/>
            <w:vAlign w:val="center"/>
            <w:hideMark/>
          </w:tcPr>
          <w:p w14:paraId="1321102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6759B1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19" w:type="pct"/>
            <w:tcBorders>
              <w:top w:val="nil"/>
              <w:left w:val="nil"/>
              <w:bottom w:val="nil"/>
              <w:right w:val="nil"/>
            </w:tcBorders>
            <w:shd w:val="clear" w:color="auto" w:fill="FFFFFF" w:themeFill="background1"/>
            <w:noWrap/>
            <w:vAlign w:val="center"/>
            <w:hideMark/>
          </w:tcPr>
          <w:p w14:paraId="18CC4D1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nil"/>
            </w:tcBorders>
            <w:shd w:val="clear" w:color="auto" w:fill="FFFFFF" w:themeFill="background1"/>
            <w:noWrap/>
            <w:vAlign w:val="center"/>
            <w:hideMark/>
          </w:tcPr>
          <w:p w14:paraId="70B5ABE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single" w:sz="8" w:space="0" w:color="auto"/>
            </w:tcBorders>
            <w:shd w:val="clear" w:color="auto" w:fill="FFFFFF" w:themeFill="background1"/>
            <w:vAlign w:val="center"/>
            <w:hideMark/>
          </w:tcPr>
          <w:p w14:paraId="0490297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0.7</w:t>
            </w:r>
          </w:p>
        </w:tc>
        <w:tc>
          <w:tcPr>
            <w:tcW w:w="220" w:type="pct"/>
            <w:tcBorders>
              <w:top w:val="nil"/>
              <w:left w:val="nil"/>
              <w:bottom w:val="nil"/>
              <w:right w:val="nil"/>
            </w:tcBorders>
            <w:shd w:val="clear" w:color="auto" w:fill="FFFFFF" w:themeFill="background1"/>
            <w:noWrap/>
            <w:vAlign w:val="center"/>
            <w:hideMark/>
          </w:tcPr>
          <w:p w14:paraId="29927ED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7418A6B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0C0A58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299C01C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0FD8E0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7A3F899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728E9C9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641AC10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716CC1F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45B4F4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DFCD8D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1816A02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r>
      <w:tr w:rsidR="00681B50" w:rsidRPr="00435B6B" w14:paraId="1EBEFD79"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4C8DDAE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S4</w:t>
            </w:r>
          </w:p>
        </w:tc>
        <w:tc>
          <w:tcPr>
            <w:tcW w:w="219" w:type="pct"/>
            <w:tcBorders>
              <w:top w:val="nil"/>
              <w:left w:val="nil"/>
              <w:bottom w:val="nil"/>
              <w:right w:val="nil"/>
            </w:tcBorders>
            <w:shd w:val="clear" w:color="auto" w:fill="FFFFFF" w:themeFill="background1"/>
            <w:noWrap/>
            <w:vAlign w:val="center"/>
            <w:hideMark/>
          </w:tcPr>
          <w:p w14:paraId="7912EE9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19" w:type="pct"/>
            <w:tcBorders>
              <w:top w:val="nil"/>
              <w:left w:val="nil"/>
              <w:bottom w:val="nil"/>
              <w:right w:val="nil"/>
            </w:tcBorders>
            <w:shd w:val="clear" w:color="auto" w:fill="FFFFFF" w:themeFill="background1"/>
            <w:noWrap/>
            <w:vAlign w:val="center"/>
            <w:hideMark/>
          </w:tcPr>
          <w:p w14:paraId="6657CC3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5141CD5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19" w:type="pct"/>
            <w:tcBorders>
              <w:top w:val="nil"/>
              <w:left w:val="nil"/>
              <w:bottom w:val="nil"/>
              <w:right w:val="nil"/>
            </w:tcBorders>
            <w:shd w:val="clear" w:color="auto" w:fill="FFFFFF" w:themeFill="background1"/>
            <w:noWrap/>
            <w:vAlign w:val="center"/>
            <w:hideMark/>
          </w:tcPr>
          <w:p w14:paraId="646E81E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nil"/>
            </w:tcBorders>
            <w:shd w:val="clear" w:color="auto" w:fill="FFFFFF" w:themeFill="background1"/>
            <w:noWrap/>
            <w:vAlign w:val="center"/>
            <w:hideMark/>
          </w:tcPr>
          <w:p w14:paraId="7E796C5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single" w:sz="8" w:space="0" w:color="auto"/>
            </w:tcBorders>
            <w:shd w:val="clear" w:color="auto" w:fill="FFFFFF" w:themeFill="background1"/>
            <w:vAlign w:val="center"/>
            <w:hideMark/>
          </w:tcPr>
          <w:p w14:paraId="133DB95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20" w:type="pct"/>
            <w:tcBorders>
              <w:top w:val="nil"/>
              <w:left w:val="nil"/>
              <w:bottom w:val="nil"/>
              <w:right w:val="nil"/>
            </w:tcBorders>
            <w:shd w:val="clear" w:color="auto" w:fill="FFFFFF" w:themeFill="background1"/>
            <w:noWrap/>
            <w:vAlign w:val="center"/>
            <w:hideMark/>
          </w:tcPr>
          <w:p w14:paraId="41FB3A5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5DFA9E6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29BE47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1982CD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25FC901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652FA7D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7047419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8AB3CA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5C43B35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2C44834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5B6DE14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21679B5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r>
      <w:tr w:rsidR="00681B50" w:rsidRPr="00435B6B" w14:paraId="79CD6E56"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200ECC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S1-4</w:t>
            </w:r>
          </w:p>
        </w:tc>
        <w:tc>
          <w:tcPr>
            <w:tcW w:w="219" w:type="pct"/>
            <w:tcBorders>
              <w:top w:val="nil"/>
              <w:left w:val="nil"/>
              <w:bottom w:val="nil"/>
              <w:right w:val="nil"/>
            </w:tcBorders>
            <w:shd w:val="clear" w:color="auto" w:fill="FFFFFF" w:themeFill="background1"/>
            <w:noWrap/>
            <w:vAlign w:val="center"/>
            <w:hideMark/>
          </w:tcPr>
          <w:p w14:paraId="72C8E1A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w:t>
            </w:r>
          </w:p>
        </w:tc>
        <w:tc>
          <w:tcPr>
            <w:tcW w:w="219" w:type="pct"/>
            <w:tcBorders>
              <w:top w:val="nil"/>
              <w:left w:val="nil"/>
              <w:bottom w:val="nil"/>
              <w:right w:val="nil"/>
            </w:tcBorders>
            <w:shd w:val="clear" w:color="auto" w:fill="FFFFFF" w:themeFill="background1"/>
            <w:noWrap/>
            <w:vAlign w:val="center"/>
            <w:hideMark/>
          </w:tcPr>
          <w:p w14:paraId="1F86C87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0" w:type="pct"/>
            <w:tcBorders>
              <w:top w:val="nil"/>
              <w:left w:val="nil"/>
              <w:bottom w:val="nil"/>
              <w:right w:val="nil"/>
            </w:tcBorders>
            <w:shd w:val="clear" w:color="auto" w:fill="FFFFFF" w:themeFill="background1"/>
            <w:noWrap/>
            <w:vAlign w:val="center"/>
            <w:hideMark/>
          </w:tcPr>
          <w:p w14:paraId="10C591F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11</w:t>
            </w:r>
          </w:p>
        </w:tc>
        <w:tc>
          <w:tcPr>
            <w:tcW w:w="219" w:type="pct"/>
            <w:tcBorders>
              <w:top w:val="nil"/>
              <w:left w:val="nil"/>
              <w:bottom w:val="nil"/>
              <w:right w:val="nil"/>
            </w:tcBorders>
            <w:shd w:val="clear" w:color="auto" w:fill="FFFFFF" w:themeFill="background1"/>
            <w:noWrap/>
            <w:vAlign w:val="center"/>
            <w:hideMark/>
          </w:tcPr>
          <w:p w14:paraId="067D799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81.8</w:t>
            </w:r>
          </w:p>
        </w:tc>
        <w:tc>
          <w:tcPr>
            <w:tcW w:w="220" w:type="pct"/>
            <w:tcBorders>
              <w:top w:val="nil"/>
              <w:left w:val="nil"/>
              <w:bottom w:val="nil"/>
              <w:right w:val="nil"/>
            </w:tcBorders>
            <w:shd w:val="clear" w:color="auto" w:fill="FFFFFF" w:themeFill="background1"/>
            <w:noWrap/>
            <w:vAlign w:val="center"/>
            <w:hideMark/>
          </w:tcPr>
          <w:p w14:paraId="16AD521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18.2</w:t>
            </w:r>
          </w:p>
        </w:tc>
        <w:tc>
          <w:tcPr>
            <w:tcW w:w="219" w:type="pct"/>
            <w:tcBorders>
              <w:top w:val="nil"/>
              <w:left w:val="nil"/>
              <w:bottom w:val="nil"/>
              <w:right w:val="single" w:sz="8" w:space="0" w:color="auto"/>
            </w:tcBorders>
            <w:shd w:val="clear" w:color="auto" w:fill="FFFFFF" w:themeFill="background1"/>
            <w:vAlign w:val="center"/>
            <w:hideMark/>
          </w:tcPr>
          <w:p w14:paraId="12323E5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7.9</w:t>
            </w:r>
          </w:p>
        </w:tc>
        <w:tc>
          <w:tcPr>
            <w:tcW w:w="220" w:type="pct"/>
            <w:tcBorders>
              <w:top w:val="nil"/>
              <w:left w:val="nil"/>
              <w:bottom w:val="nil"/>
              <w:right w:val="nil"/>
            </w:tcBorders>
            <w:shd w:val="clear" w:color="auto" w:fill="FFFFFF" w:themeFill="background1"/>
            <w:noWrap/>
            <w:vAlign w:val="center"/>
            <w:hideMark/>
          </w:tcPr>
          <w:p w14:paraId="2C8DE26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19" w:type="pct"/>
            <w:tcBorders>
              <w:top w:val="nil"/>
              <w:left w:val="nil"/>
              <w:bottom w:val="nil"/>
              <w:right w:val="nil"/>
            </w:tcBorders>
            <w:shd w:val="clear" w:color="auto" w:fill="FFFFFF" w:themeFill="background1"/>
            <w:noWrap/>
            <w:vAlign w:val="center"/>
            <w:hideMark/>
          </w:tcPr>
          <w:p w14:paraId="5A34352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1FE7226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19" w:type="pct"/>
            <w:tcBorders>
              <w:top w:val="nil"/>
              <w:left w:val="nil"/>
              <w:bottom w:val="nil"/>
              <w:right w:val="nil"/>
            </w:tcBorders>
            <w:shd w:val="clear" w:color="auto" w:fill="FFFFFF" w:themeFill="background1"/>
            <w:noWrap/>
            <w:vAlign w:val="center"/>
            <w:hideMark/>
          </w:tcPr>
          <w:p w14:paraId="011FCD7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19" w:type="pct"/>
            <w:tcBorders>
              <w:top w:val="nil"/>
              <w:left w:val="nil"/>
              <w:bottom w:val="nil"/>
              <w:right w:val="nil"/>
            </w:tcBorders>
            <w:shd w:val="clear" w:color="auto" w:fill="FFFFFF" w:themeFill="background1"/>
            <w:noWrap/>
            <w:vAlign w:val="center"/>
            <w:hideMark/>
          </w:tcPr>
          <w:p w14:paraId="3C1943D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0.0</w:t>
            </w:r>
          </w:p>
        </w:tc>
        <w:tc>
          <w:tcPr>
            <w:tcW w:w="220" w:type="pct"/>
            <w:tcBorders>
              <w:top w:val="nil"/>
              <w:left w:val="nil"/>
              <w:bottom w:val="nil"/>
              <w:right w:val="single" w:sz="8" w:space="0" w:color="auto"/>
            </w:tcBorders>
            <w:shd w:val="clear" w:color="auto" w:fill="FFFFFF" w:themeFill="background1"/>
            <w:vAlign w:val="center"/>
            <w:hideMark/>
          </w:tcPr>
          <w:p w14:paraId="304C5624" w14:textId="04127720"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19" w:type="pct"/>
            <w:tcBorders>
              <w:top w:val="nil"/>
              <w:left w:val="nil"/>
              <w:bottom w:val="nil"/>
              <w:right w:val="nil"/>
            </w:tcBorders>
            <w:shd w:val="clear" w:color="auto" w:fill="FFFFFF" w:themeFill="background1"/>
            <w:noWrap/>
            <w:vAlign w:val="center"/>
            <w:hideMark/>
          </w:tcPr>
          <w:p w14:paraId="7B91698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20" w:type="pct"/>
            <w:tcBorders>
              <w:top w:val="nil"/>
              <w:left w:val="nil"/>
              <w:bottom w:val="nil"/>
              <w:right w:val="nil"/>
            </w:tcBorders>
            <w:shd w:val="clear" w:color="auto" w:fill="FFFFFF" w:themeFill="background1"/>
            <w:noWrap/>
            <w:vAlign w:val="center"/>
            <w:hideMark/>
          </w:tcPr>
          <w:p w14:paraId="1489968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19" w:type="pct"/>
            <w:tcBorders>
              <w:top w:val="nil"/>
              <w:left w:val="nil"/>
              <w:bottom w:val="nil"/>
              <w:right w:val="nil"/>
            </w:tcBorders>
            <w:shd w:val="clear" w:color="auto" w:fill="FFFFFF" w:themeFill="background1"/>
            <w:noWrap/>
            <w:vAlign w:val="center"/>
            <w:hideMark/>
          </w:tcPr>
          <w:p w14:paraId="7D60FEC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32</w:t>
            </w:r>
          </w:p>
        </w:tc>
        <w:tc>
          <w:tcPr>
            <w:tcW w:w="220" w:type="pct"/>
            <w:tcBorders>
              <w:top w:val="nil"/>
              <w:left w:val="nil"/>
              <w:bottom w:val="nil"/>
              <w:right w:val="nil"/>
            </w:tcBorders>
            <w:shd w:val="clear" w:color="auto" w:fill="FFFFFF" w:themeFill="background1"/>
            <w:noWrap/>
            <w:vAlign w:val="center"/>
            <w:hideMark/>
          </w:tcPr>
          <w:p w14:paraId="0D1AFF8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90.6</w:t>
            </w:r>
          </w:p>
        </w:tc>
        <w:tc>
          <w:tcPr>
            <w:tcW w:w="219" w:type="pct"/>
            <w:tcBorders>
              <w:top w:val="nil"/>
              <w:left w:val="nil"/>
              <w:bottom w:val="nil"/>
              <w:right w:val="nil"/>
            </w:tcBorders>
            <w:shd w:val="clear" w:color="auto" w:fill="FFFFFF" w:themeFill="background1"/>
            <w:noWrap/>
            <w:vAlign w:val="center"/>
            <w:hideMark/>
          </w:tcPr>
          <w:p w14:paraId="5FCA5D0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9.4</w:t>
            </w:r>
          </w:p>
        </w:tc>
        <w:tc>
          <w:tcPr>
            <w:tcW w:w="220" w:type="pct"/>
            <w:tcBorders>
              <w:top w:val="nil"/>
              <w:left w:val="nil"/>
              <w:bottom w:val="nil"/>
              <w:right w:val="single" w:sz="8" w:space="0" w:color="auto"/>
            </w:tcBorders>
            <w:shd w:val="clear" w:color="auto" w:fill="FFFFFF" w:themeFill="background1"/>
            <w:vAlign w:val="center"/>
            <w:hideMark/>
          </w:tcPr>
          <w:p w14:paraId="715F8DB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21.5</w:t>
            </w:r>
          </w:p>
        </w:tc>
      </w:tr>
      <w:tr w:rsidR="00681B50" w:rsidRPr="00435B6B" w14:paraId="3981520F" w14:textId="77777777" w:rsidTr="001F4A34">
        <w:trPr>
          <w:trHeight w:val="495"/>
          <w:jc w:val="center"/>
        </w:trPr>
        <w:tc>
          <w:tcPr>
            <w:tcW w:w="1052" w:type="pct"/>
            <w:tcBorders>
              <w:top w:val="nil"/>
              <w:left w:val="single" w:sz="8" w:space="0" w:color="auto"/>
              <w:bottom w:val="single" w:sz="8" w:space="0" w:color="auto"/>
              <w:right w:val="single" w:sz="8" w:space="0" w:color="auto"/>
            </w:tcBorders>
            <w:shd w:val="clear" w:color="auto" w:fill="FFFFFF" w:themeFill="background1"/>
            <w:vAlign w:val="center"/>
            <w:hideMark/>
          </w:tcPr>
          <w:p w14:paraId="590EE1FC" w14:textId="12BB60B0" w:rsidR="003421D4" w:rsidRPr="009819CE" w:rsidRDefault="00272268" w:rsidP="0083610A">
            <w:pPr>
              <w:spacing w:before="0" w:after="0" w:line="240" w:lineRule="auto"/>
              <w:jc w:val="center"/>
              <w:rPr>
                <w:rFonts w:cstheme="minorBidi"/>
                <w:b/>
                <w:bCs/>
                <w:color w:val="000000"/>
                <w:sz w:val="20"/>
                <w:szCs w:val="20"/>
              </w:rPr>
            </w:pPr>
            <w:r w:rsidRPr="00435B6B">
              <w:rPr>
                <w:rFonts w:cstheme="minorBidi"/>
                <w:b/>
                <w:bCs/>
                <w:color w:val="000000"/>
                <w:sz w:val="20"/>
                <w:szCs w:val="20"/>
              </w:rPr>
              <w:t>Moult</w:t>
            </w:r>
            <w:r w:rsidR="003421D4" w:rsidRPr="009819CE">
              <w:rPr>
                <w:rFonts w:cstheme="minorBidi"/>
                <w:b/>
                <w:bCs/>
                <w:color w:val="000000"/>
                <w:sz w:val="20"/>
                <w:szCs w:val="20"/>
              </w:rPr>
              <w:t xml:space="preserve"> parameters</w:t>
            </w:r>
          </w:p>
        </w:tc>
        <w:tc>
          <w:tcPr>
            <w:tcW w:w="219" w:type="pct"/>
            <w:tcBorders>
              <w:top w:val="nil"/>
              <w:left w:val="nil"/>
              <w:bottom w:val="single" w:sz="8" w:space="0" w:color="auto"/>
              <w:right w:val="nil"/>
            </w:tcBorders>
            <w:shd w:val="clear" w:color="auto" w:fill="FFFFFF" w:themeFill="background1"/>
            <w:vAlign w:val="center"/>
            <w:hideMark/>
          </w:tcPr>
          <w:p w14:paraId="2B006D6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4A7278C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2490ABD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5D1CEB0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39719E3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single" w:sz="8" w:space="0" w:color="auto"/>
            </w:tcBorders>
            <w:shd w:val="clear" w:color="auto" w:fill="FFFFFF" w:themeFill="background1"/>
            <w:vAlign w:val="center"/>
            <w:hideMark/>
          </w:tcPr>
          <w:p w14:paraId="56D0B8E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vAlign w:val="center"/>
            <w:hideMark/>
          </w:tcPr>
          <w:p w14:paraId="2051F32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02E9B70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5B1E255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2E8B1FC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2A4EBD0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29B5B38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3AB5AFB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vAlign w:val="center"/>
            <w:hideMark/>
          </w:tcPr>
          <w:p w14:paraId="6722DF9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3FE9659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77EB771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1F43DB3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093E63A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r>
      <w:tr w:rsidR="00681B50" w:rsidRPr="00435B6B" w14:paraId="52453C17"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3135EE3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Hard (H)</w:t>
            </w:r>
          </w:p>
        </w:tc>
        <w:tc>
          <w:tcPr>
            <w:tcW w:w="219" w:type="pct"/>
            <w:tcBorders>
              <w:top w:val="nil"/>
              <w:left w:val="nil"/>
              <w:bottom w:val="nil"/>
              <w:right w:val="nil"/>
            </w:tcBorders>
            <w:shd w:val="clear" w:color="auto" w:fill="FFFFFF" w:themeFill="background1"/>
            <w:noWrap/>
            <w:vAlign w:val="center"/>
            <w:hideMark/>
          </w:tcPr>
          <w:p w14:paraId="7D010CA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34</w:t>
            </w:r>
          </w:p>
        </w:tc>
        <w:tc>
          <w:tcPr>
            <w:tcW w:w="219" w:type="pct"/>
            <w:tcBorders>
              <w:top w:val="nil"/>
              <w:left w:val="nil"/>
              <w:bottom w:val="nil"/>
              <w:right w:val="nil"/>
            </w:tcBorders>
            <w:shd w:val="clear" w:color="auto" w:fill="FFFFFF" w:themeFill="background1"/>
            <w:noWrap/>
            <w:vAlign w:val="center"/>
            <w:hideMark/>
          </w:tcPr>
          <w:p w14:paraId="2C50080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28</w:t>
            </w:r>
          </w:p>
        </w:tc>
        <w:tc>
          <w:tcPr>
            <w:tcW w:w="220" w:type="pct"/>
            <w:tcBorders>
              <w:top w:val="nil"/>
              <w:left w:val="nil"/>
              <w:bottom w:val="nil"/>
              <w:right w:val="nil"/>
            </w:tcBorders>
            <w:shd w:val="clear" w:color="auto" w:fill="FFFFFF" w:themeFill="background1"/>
            <w:noWrap/>
            <w:vAlign w:val="center"/>
            <w:hideMark/>
          </w:tcPr>
          <w:p w14:paraId="155039B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62</w:t>
            </w:r>
          </w:p>
        </w:tc>
        <w:tc>
          <w:tcPr>
            <w:tcW w:w="219" w:type="pct"/>
            <w:tcBorders>
              <w:top w:val="nil"/>
              <w:left w:val="nil"/>
              <w:bottom w:val="nil"/>
              <w:right w:val="nil"/>
            </w:tcBorders>
            <w:shd w:val="clear" w:color="auto" w:fill="FFFFFF" w:themeFill="background1"/>
            <w:noWrap/>
            <w:vAlign w:val="center"/>
            <w:hideMark/>
          </w:tcPr>
          <w:p w14:paraId="41C357D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54.8</w:t>
            </w:r>
          </w:p>
        </w:tc>
        <w:tc>
          <w:tcPr>
            <w:tcW w:w="220" w:type="pct"/>
            <w:tcBorders>
              <w:top w:val="nil"/>
              <w:left w:val="nil"/>
              <w:bottom w:val="nil"/>
              <w:right w:val="nil"/>
            </w:tcBorders>
            <w:shd w:val="clear" w:color="auto" w:fill="FFFFFF" w:themeFill="background1"/>
            <w:noWrap/>
            <w:vAlign w:val="center"/>
            <w:hideMark/>
          </w:tcPr>
          <w:p w14:paraId="7E0E4AB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45.2</w:t>
            </w:r>
          </w:p>
        </w:tc>
        <w:tc>
          <w:tcPr>
            <w:tcW w:w="219" w:type="pct"/>
            <w:tcBorders>
              <w:top w:val="nil"/>
              <w:left w:val="nil"/>
              <w:bottom w:val="nil"/>
              <w:right w:val="single" w:sz="8" w:space="0" w:color="auto"/>
            </w:tcBorders>
            <w:shd w:val="clear" w:color="auto" w:fill="FFFFFF" w:themeFill="background1"/>
            <w:vAlign w:val="center"/>
            <w:hideMark/>
          </w:tcPr>
          <w:p w14:paraId="0556413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44.3</w:t>
            </w:r>
          </w:p>
        </w:tc>
        <w:tc>
          <w:tcPr>
            <w:tcW w:w="220" w:type="pct"/>
            <w:tcBorders>
              <w:top w:val="nil"/>
              <w:left w:val="nil"/>
              <w:bottom w:val="nil"/>
              <w:right w:val="nil"/>
            </w:tcBorders>
            <w:shd w:val="clear" w:color="auto" w:fill="FFFFFF" w:themeFill="background1"/>
            <w:noWrap/>
            <w:vAlign w:val="center"/>
            <w:hideMark/>
          </w:tcPr>
          <w:p w14:paraId="59111E9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69</w:t>
            </w:r>
          </w:p>
        </w:tc>
        <w:tc>
          <w:tcPr>
            <w:tcW w:w="219" w:type="pct"/>
            <w:tcBorders>
              <w:top w:val="nil"/>
              <w:left w:val="nil"/>
              <w:bottom w:val="nil"/>
              <w:right w:val="nil"/>
            </w:tcBorders>
            <w:shd w:val="clear" w:color="auto" w:fill="FFFFFF" w:themeFill="background1"/>
            <w:noWrap/>
            <w:vAlign w:val="center"/>
            <w:hideMark/>
          </w:tcPr>
          <w:p w14:paraId="00D0775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23</w:t>
            </w:r>
          </w:p>
        </w:tc>
        <w:tc>
          <w:tcPr>
            <w:tcW w:w="220" w:type="pct"/>
            <w:tcBorders>
              <w:top w:val="nil"/>
              <w:left w:val="nil"/>
              <w:bottom w:val="nil"/>
              <w:right w:val="nil"/>
            </w:tcBorders>
            <w:shd w:val="clear" w:color="auto" w:fill="FFFFFF" w:themeFill="background1"/>
            <w:noWrap/>
            <w:vAlign w:val="center"/>
            <w:hideMark/>
          </w:tcPr>
          <w:p w14:paraId="587F9D5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92</w:t>
            </w:r>
          </w:p>
        </w:tc>
        <w:tc>
          <w:tcPr>
            <w:tcW w:w="219" w:type="pct"/>
            <w:tcBorders>
              <w:top w:val="nil"/>
              <w:left w:val="nil"/>
              <w:bottom w:val="nil"/>
              <w:right w:val="nil"/>
            </w:tcBorders>
            <w:shd w:val="clear" w:color="auto" w:fill="FFFFFF" w:themeFill="background1"/>
            <w:noWrap/>
            <w:vAlign w:val="center"/>
            <w:hideMark/>
          </w:tcPr>
          <w:p w14:paraId="32C5320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75.0</w:t>
            </w:r>
          </w:p>
        </w:tc>
        <w:tc>
          <w:tcPr>
            <w:tcW w:w="219" w:type="pct"/>
            <w:tcBorders>
              <w:top w:val="nil"/>
              <w:left w:val="nil"/>
              <w:bottom w:val="nil"/>
              <w:right w:val="nil"/>
            </w:tcBorders>
            <w:shd w:val="clear" w:color="auto" w:fill="FFFFFF" w:themeFill="background1"/>
            <w:noWrap/>
            <w:vAlign w:val="center"/>
            <w:hideMark/>
          </w:tcPr>
          <w:p w14:paraId="521C5CA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25.0</w:t>
            </w:r>
          </w:p>
        </w:tc>
        <w:tc>
          <w:tcPr>
            <w:tcW w:w="220" w:type="pct"/>
            <w:tcBorders>
              <w:top w:val="nil"/>
              <w:left w:val="nil"/>
              <w:bottom w:val="nil"/>
              <w:right w:val="single" w:sz="8" w:space="0" w:color="auto"/>
            </w:tcBorders>
            <w:shd w:val="clear" w:color="auto" w:fill="FFFFFF" w:themeFill="background1"/>
            <w:vAlign w:val="center"/>
            <w:hideMark/>
          </w:tcPr>
          <w:p w14:paraId="251A678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61.3</w:t>
            </w:r>
          </w:p>
        </w:tc>
        <w:tc>
          <w:tcPr>
            <w:tcW w:w="219" w:type="pct"/>
            <w:tcBorders>
              <w:top w:val="nil"/>
              <w:left w:val="nil"/>
              <w:bottom w:val="nil"/>
              <w:right w:val="nil"/>
            </w:tcBorders>
            <w:shd w:val="clear" w:color="auto" w:fill="FFFFFF" w:themeFill="background1"/>
            <w:noWrap/>
            <w:vAlign w:val="center"/>
            <w:hideMark/>
          </w:tcPr>
          <w:p w14:paraId="0102741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92</w:t>
            </w:r>
          </w:p>
        </w:tc>
        <w:tc>
          <w:tcPr>
            <w:tcW w:w="220" w:type="pct"/>
            <w:tcBorders>
              <w:top w:val="nil"/>
              <w:left w:val="nil"/>
              <w:bottom w:val="nil"/>
              <w:right w:val="nil"/>
            </w:tcBorders>
            <w:shd w:val="clear" w:color="auto" w:fill="FFFFFF" w:themeFill="background1"/>
            <w:noWrap/>
            <w:vAlign w:val="center"/>
            <w:hideMark/>
          </w:tcPr>
          <w:p w14:paraId="562D871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23</w:t>
            </w:r>
          </w:p>
        </w:tc>
        <w:tc>
          <w:tcPr>
            <w:tcW w:w="219" w:type="pct"/>
            <w:tcBorders>
              <w:top w:val="nil"/>
              <w:left w:val="nil"/>
              <w:bottom w:val="nil"/>
              <w:right w:val="nil"/>
            </w:tcBorders>
            <w:shd w:val="clear" w:color="auto" w:fill="FFFFFF" w:themeFill="background1"/>
            <w:noWrap/>
            <w:vAlign w:val="center"/>
            <w:hideMark/>
          </w:tcPr>
          <w:p w14:paraId="2BA3DE7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115</w:t>
            </w:r>
          </w:p>
        </w:tc>
        <w:tc>
          <w:tcPr>
            <w:tcW w:w="220" w:type="pct"/>
            <w:tcBorders>
              <w:top w:val="nil"/>
              <w:left w:val="nil"/>
              <w:bottom w:val="nil"/>
              <w:right w:val="nil"/>
            </w:tcBorders>
            <w:shd w:val="clear" w:color="auto" w:fill="FFFFFF" w:themeFill="background1"/>
            <w:noWrap/>
            <w:vAlign w:val="center"/>
            <w:hideMark/>
          </w:tcPr>
          <w:p w14:paraId="489B26A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80.0</w:t>
            </w:r>
          </w:p>
        </w:tc>
        <w:tc>
          <w:tcPr>
            <w:tcW w:w="219" w:type="pct"/>
            <w:tcBorders>
              <w:top w:val="nil"/>
              <w:left w:val="nil"/>
              <w:bottom w:val="nil"/>
              <w:right w:val="nil"/>
            </w:tcBorders>
            <w:shd w:val="clear" w:color="auto" w:fill="FFFFFF" w:themeFill="background1"/>
            <w:noWrap/>
            <w:vAlign w:val="center"/>
            <w:hideMark/>
          </w:tcPr>
          <w:p w14:paraId="03265B7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20.0</w:t>
            </w:r>
          </w:p>
        </w:tc>
        <w:tc>
          <w:tcPr>
            <w:tcW w:w="220" w:type="pct"/>
            <w:tcBorders>
              <w:top w:val="nil"/>
              <w:left w:val="nil"/>
              <w:bottom w:val="nil"/>
              <w:right w:val="single" w:sz="8" w:space="0" w:color="auto"/>
            </w:tcBorders>
            <w:shd w:val="clear" w:color="auto" w:fill="FFFFFF" w:themeFill="background1"/>
            <w:vAlign w:val="center"/>
            <w:hideMark/>
          </w:tcPr>
          <w:p w14:paraId="7190923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77.2</w:t>
            </w:r>
          </w:p>
        </w:tc>
      </w:tr>
      <w:tr w:rsidR="00681B50" w:rsidRPr="00435B6B" w14:paraId="29A8AC8E"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451F2A7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Soft (S)</w:t>
            </w:r>
          </w:p>
        </w:tc>
        <w:tc>
          <w:tcPr>
            <w:tcW w:w="219" w:type="pct"/>
            <w:tcBorders>
              <w:top w:val="nil"/>
              <w:left w:val="nil"/>
              <w:bottom w:val="nil"/>
              <w:right w:val="nil"/>
            </w:tcBorders>
            <w:shd w:val="clear" w:color="auto" w:fill="FFFFFF" w:themeFill="background1"/>
            <w:noWrap/>
            <w:vAlign w:val="center"/>
            <w:hideMark/>
          </w:tcPr>
          <w:p w14:paraId="57AD684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66</w:t>
            </w:r>
          </w:p>
        </w:tc>
        <w:tc>
          <w:tcPr>
            <w:tcW w:w="219" w:type="pct"/>
            <w:tcBorders>
              <w:top w:val="nil"/>
              <w:left w:val="nil"/>
              <w:bottom w:val="nil"/>
              <w:right w:val="nil"/>
            </w:tcBorders>
            <w:shd w:val="clear" w:color="auto" w:fill="FFFFFF" w:themeFill="background1"/>
            <w:noWrap/>
            <w:vAlign w:val="center"/>
            <w:hideMark/>
          </w:tcPr>
          <w:p w14:paraId="3286637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20" w:type="pct"/>
            <w:tcBorders>
              <w:top w:val="nil"/>
              <w:left w:val="nil"/>
              <w:bottom w:val="nil"/>
              <w:right w:val="nil"/>
            </w:tcBorders>
            <w:shd w:val="clear" w:color="auto" w:fill="FFFFFF" w:themeFill="background1"/>
            <w:noWrap/>
            <w:vAlign w:val="center"/>
            <w:hideMark/>
          </w:tcPr>
          <w:p w14:paraId="68A2360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68</w:t>
            </w:r>
          </w:p>
        </w:tc>
        <w:tc>
          <w:tcPr>
            <w:tcW w:w="219" w:type="pct"/>
            <w:tcBorders>
              <w:top w:val="nil"/>
              <w:left w:val="nil"/>
              <w:bottom w:val="nil"/>
              <w:right w:val="nil"/>
            </w:tcBorders>
            <w:shd w:val="clear" w:color="auto" w:fill="FFFFFF" w:themeFill="background1"/>
            <w:noWrap/>
            <w:vAlign w:val="center"/>
            <w:hideMark/>
          </w:tcPr>
          <w:p w14:paraId="3200738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97.1</w:t>
            </w:r>
          </w:p>
        </w:tc>
        <w:tc>
          <w:tcPr>
            <w:tcW w:w="220" w:type="pct"/>
            <w:tcBorders>
              <w:top w:val="nil"/>
              <w:left w:val="nil"/>
              <w:bottom w:val="nil"/>
              <w:right w:val="nil"/>
            </w:tcBorders>
            <w:shd w:val="clear" w:color="auto" w:fill="FFFFFF" w:themeFill="background1"/>
            <w:noWrap/>
            <w:vAlign w:val="center"/>
            <w:hideMark/>
          </w:tcPr>
          <w:p w14:paraId="565DD87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19" w:type="pct"/>
            <w:tcBorders>
              <w:top w:val="nil"/>
              <w:left w:val="nil"/>
              <w:bottom w:val="nil"/>
              <w:right w:val="single" w:sz="8" w:space="0" w:color="auto"/>
            </w:tcBorders>
            <w:shd w:val="clear" w:color="auto" w:fill="FFFFFF" w:themeFill="background1"/>
            <w:vAlign w:val="center"/>
            <w:hideMark/>
          </w:tcPr>
          <w:p w14:paraId="69462AD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48.6</w:t>
            </w:r>
          </w:p>
        </w:tc>
        <w:tc>
          <w:tcPr>
            <w:tcW w:w="220" w:type="pct"/>
            <w:tcBorders>
              <w:top w:val="nil"/>
              <w:left w:val="nil"/>
              <w:bottom w:val="nil"/>
              <w:right w:val="nil"/>
            </w:tcBorders>
            <w:shd w:val="clear" w:color="auto" w:fill="FFFFFF" w:themeFill="background1"/>
            <w:noWrap/>
            <w:vAlign w:val="center"/>
            <w:hideMark/>
          </w:tcPr>
          <w:p w14:paraId="43E568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42</w:t>
            </w:r>
          </w:p>
        </w:tc>
        <w:tc>
          <w:tcPr>
            <w:tcW w:w="219" w:type="pct"/>
            <w:tcBorders>
              <w:top w:val="nil"/>
              <w:left w:val="nil"/>
              <w:bottom w:val="nil"/>
              <w:right w:val="nil"/>
            </w:tcBorders>
            <w:shd w:val="clear" w:color="auto" w:fill="FFFFFF" w:themeFill="background1"/>
            <w:noWrap/>
            <w:vAlign w:val="center"/>
            <w:hideMark/>
          </w:tcPr>
          <w:p w14:paraId="52F0328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0" w:type="pct"/>
            <w:tcBorders>
              <w:top w:val="nil"/>
              <w:left w:val="nil"/>
              <w:bottom w:val="nil"/>
              <w:right w:val="nil"/>
            </w:tcBorders>
            <w:shd w:val="clear" w:color="auto" w:fill="FFFFFF" w:themeFill="background1"/>
            <w:noWrap/>
            <w:vAlign w:val="center"/>
            <w:hideMark/>
          </w:tcPr>
          <w:p w14:paraId="63CFB91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45</w:t>
            </w:r>
          </w:p>
        </w:tc>
        <w:tc>
          <w:tcPr>
            <w:tcW w:w="219" w:type="pct"/>
            <w:tcBorders>
              <w:top w:val="nil"/>
              <w:left w:val="nil"/>
              <w:bottom w:val="nil"/>
              <w:right w:val="nil"/>
            </w:tcBorders>
            <w:shd w:val="clear" w:color="auto" w:fill="FFFFFF" w:themeFill="background1"/>
            <w:noWrap/>
            <w:vAlign w:val="center"/>
            <w:hideMark/>
          </w:tcPr>
          <w:p w14:paraId="32FC82D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93.3</w:t>
            </w:r>
          </w:p>
        </w:tc>
        <w:tc>
          <w:tcPr>
            <w:tcW w:w="219" w:type="pct"/>
            <w:tcBorders>
              <w:top w:val="nil"/>
              <w:left w:val="nil"/>
              <w:bottom w:val="nil"/>
              <w:right w:val="nil"/>
            </w:tcBorders>
            <w:shd w:val="clear" w:color="auto" w:fill="FFFFFF" w:themeFill="background1"/>
            <w:noWrap/>
            <w:vAlign w:val="center"/>
            <w:hideMark/>
          </w:tcPr>
          <w:p w14:paraId="1C3469F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6.7</w:t>
            </w:r>
          </w:p>
        </w:tc>
        <w:tc>
          <w:tcPr>
            <w:tcW w:w="220" w:type="pct"/>
            <w:tcBorders>
              <w:top w:val="nil"/>
              <w:left w:val="nil"/>
              <w:bottom w:val="nil"/>
              <w:right w:val="single" w:sz="8" w:space="0" w:color="auto"/>
            </w:tcBorders>
            <w:shd w:val="clear" w:color="auto" w:fill="FFFFFF" w:themeFill="background1"/>
            <w:vAlign w:val="center"/>
            <w:hideMark/>
          </w:tcPr>
          <w:p w14:paraId="21D300BA" w14:textId="0A376356"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30</w:t>
            </w:r>
          </w:p>
        </w:tc>
        <w:tc>
          <w:tcPr>
            <w:tcW w:w="219" w:type="pct"/>
            <w:tcBorders>
              <w:top w:val="nil"/>
              <w:left w:val="nil"/>
              <w:bottom w:val="nil"/>
              <w:right w:val="nil"/>
            </w:tcBorders>
            <w:shd w:val="clear" w:color="auto" w:fill="FFFFFF" w:themeFill="background1"/>
            <w:noWrap/>
            <w:vAlign w:val="center"/>
            <w:hideMark/>
          </w:tcPr>
          <w:p w14:paraId="36CFB60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33</w:t>
            </w:r>
          </w:p>
        </w:tc>
        <w:tc>
          <w:tcPr>
            <w:tcW w:w="220" w:type="pct"/>
            <w:tcBorders>
              <w:top w:val="nil"/>
              <w:left w:val="nil"/>
              <w:bottom w:val="nil"/>
              <w:right w:val="nil"/>
            </w:tcBorders>
            <w:shd w:val="clear" w:color="auto" w:fill="FFFFFF" w:themeFill="background1"/>
            <w:noWrap/>
            <w:vAlign w:val="center"/>
            <w:hideMark/>
          </w:tcPr>
          <w:p w14:paraId="598768A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19" w:type="pct"/>
            <w:tcBorders>
              <w:top w:val="nil"/>
              <w:left w:val="nil"/>
              <w:bottom w:val="nil"/>
              <w:right w:val="nil"/>
            </w:tcBorders>
            <w:shd w:val="clear" w:color="auto" w:fill="FFFFFF" w:themeFill="background1"/>
            <w:noWrap/>
            <w:vAlign w:val="center"/>
            <w:hideMark/>
          </w:tcPr>
          <w:p w14:paraId="3AC6083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34</w:t>
            </w:r>
          </w:p>
        </w:tc>
        <w:tc>
          <w:tcPr>
            <w:tcW w:w="220" w:type="pct"/>
            <w:tcBorders>
              <w:top w:val="nil"/>
              <w:left w:val="nil"/>
              <w:bottom w:val="nil"/>
              <w:right w:val="nil"/>
            </w:tcBorders>
            <w:shd w:val="clear" w:color="auto" w:fill="FFFFFF" w:themeFill="background1"/>
            <w:noWrap/>
            <w:vAlign w:val="center"/>
            <w:hideMark/>
          </w:tcPr>
          <w:p w14:paraId="5A36C9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97.1</w:t>
            </w:r>
          </w:p>
        </w:tc>
        <w:tc>
          <w:tcPr>
            <w:tcW w:w="219" w:type="pct"/>
            <w:tcBorders>
              <w:top w:val="nil"/>
              <w:left w:val="nil"/>
              <w:bottom w:val="nil"/>
              <w:right w:val="nil"/>
            </w:tcBorders>
            <w:shd w:val="clear" w:color="auto" w:fill="FFFFFF" w:themeFill="background1"/>
            <w:noWrap/>
            <w:vAlign w:val="center"/>
            <w:hideMark/>
          </w:tcPr>
          <w:p w14:paraId="02DE10D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2.9</w:t>
            </w:r>
          </w:p>
        </w:tc>
        <w:tc>
          <w:tcPr>
            <w:tcW w:w="220" w:type="pct"/>
            <w:tcBorders>
              <w:top w:val="nil"/>
              <w:left w:val="nil"/>
              <w:bottom w:val="nil"/>
              <w:right w:val="single" w:sz="8" w:space="0" w:color="auto"/>
            </w:tcBorders>
            <w:shd w:val="clear" w:color="auto" w:fill="FFFFFF" w:themeFill="background1"/>
            <w:vAlign w:val="center"/>
            <w:hideMark/>
          </w:tcPr>
          <w:p w14:paraId="1C37F46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22.8</w:t>
            </w:r>
          </w:p>
        </w:tc>
      </w:tr>
      <w:tr w:rsidR="00681B50" w:rsidRPr="00435B6B" w14:paraId="7DEC94A3"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46F07B7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Jelly (J)</w:t>
            </w:r>
          </w:p>
        </w:tc>
        <w:tc>
          <w:tcPr>
            <w:tcW w:w="219" w:type="pct"/>
            <w:tcBorders>
              <w:top w:val="nil"/>
              <w:left w:val="nil"/>
              <w:bottom w:val="nil"/>
              <w:right w:val="nil"/>
            </w:tcBorders>
            <w:shd w:val="clear" w:color="auto" w:fill="FFFFFF" w:themeFill="background1"/>
            <w:noWrap/>
            <w:vAlign w:val="center"/>
            <w:hideMark/>
          </w:tcPr>
          <w:p w14:paraId="12BE0AD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19" w:type="pct"/>
            <w:tcBorders>
              <w:top w:val="nil"/>
              <w:left w:val="nil"/>
              <w:bottom w:val="nil"/>
              <w:right w:val="nil"/>
            </w:tcBorders>
            <w:shd w:val="clear" w:color="auto" w:fill="FFFFFF" w:themeFill="background1"/>
            <w:noWrap/>
            <w:vAlign w:val="center"/>
            <w:hideMark/>
          </w:tcPr>
          <w:p w14:paraId="1FB33FF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3AAA8AE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19" w:type="pct"/>
            <w:tcBorders>
              <w:top w:val="nil"/>
              <w:left w:val="nil"/>
              <w:bottom w:val="nil"/>
              <w:right w:val="nil"/>
            </w:tcBorders>
            <w:shd w:val="clear" w:color="auto" w:fill="FFFFFF" w:themeFill="background1"/>
            <w:noWrap/>
            <w:vAlign w:val="center"/>
            <w:hideMark/>
          </w:tcPr>
          <w:p w14:paraId="3B9E958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nil"/>
            </w:tcBorders>
            <w:shd w:val="clear" w:color="auto" w:fill="FFFFFF" w:themeFill="background1"/>
            <w:noWrap/>
            <w:vAlign w:val="center"/>
            <w:hideMark/>
          </w:tcPr>
          <w:p w14:paraId="4DDB5A4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0.0</w:t>
            </w:r>
          </w:p>
        </w:tc>
        <w:tc>
          <w:tcPr>
            <w:tcW w:w="219" w:type="pct"/>
            <w:tcBorders>
              <w:top w:val="nil"/>
              <w:left w:val="nil"/>
              <w:bottom w:val="nil"/>
              <w:right w:val="single" w:sz="8" w:space="0" w:color="auto"/>
            </w:tcBorders>
            <w:shd w:val="clear" w:color="auto" w:fill="FFFFFF" w:themeFill="background1"/>
            <w:vAlign w:val="center"/>
            <w:hideMark/>
          </w:tcPr>
          <w:p w14:paraId="7323F1E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7.1</w:t>
            </w:r>
          </w:p>
        </w:tc>
        <w:tc>
          <w:tcPr>
            <w:tcW w:w="220" w:type="pct"/>
            <w:tcBorders>
              <w:top w:val="nil"/>
              <w:left w:val="nil"/>
              <w:bottom w:val="nil"/>
              <w:right w:val="nil"/>
            </w:tcBorders>
            <w:shd w:val="clear" w:color="auto" w:fill="FFFFFF" w:themeFill="background1"/>
            <w:noWrap/>
            <w:vAlign w:val="center"/>
            <w:hideMark/>
          </w:tcPr>
          <w:p w14:paraId="4504BC2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19" w:type="pct"/>
            <w:tcBorders>
              <w:top w:val="nil"/>
              <w:left w:val="nil"/>
              <w:bottom w:val="nil"/>
              <w:right w:val="nil"/>
            </w:tcBorders>
            <w:shd w:val="clear" w:color="auto" w:fill="FFFFFF" w:themeFill="background1"/>
            <w:noWrap/>
            <w:vAlign w:val="center"/>
            <w:hideMark/>
          </w:tcPr>
          <w:p w14:paraId="61B41BA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5594F76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w:t>
            </w:r>
          </w:p>
        </w:tc>
        <w:tc>
          <w:tcPr>
            <w:tcW w:w="219" w:type="pct"/>
            <w:tcBorders>
              <w:top w:val="nil"/>
              <w:left w:val="nil"/>
              <w:bottom w:val="nil"/>
              <w:right w:val="nil"/>
            </w:tcBorders>
            <w:shd w:val="clear" w:color="auto" w:fill="FFFFFF" w:themeFill="background1"/>
            <w:noWrap/>
            <w:vAlign w:val="center"/>
            <w:hideMark/>
          </w:tcPr>
          <w:p w14:paraId="4EE43DA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19" w:type="pct"/>
            <w:tcBorders>
              <w:top w:val="nil"/>
              <w:left w:val="nil"/>
              <w:bottom w:val="nil"/>
              <w:right w:val="nil"/>
            </w:tcBorders>
            <w:shd w:val="clear" w:color="auto" w:fill="FFFFFF" w:themeFill="background1"/>
            <w:noWrap/>
            <w:vAlign w:val="center"/>
            <w:hideMark/>
          </w:tcPr>
          <w:p w14:paraId="251E069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0.0</w:t>
            </w:r>
          </w:p>
        </w:tc>
        <w:tc>
          <w:tcPr>
            <w:tcW w:w="220" w:type="pct"/>
            <w:tcBorders>
              <w:top w:val="nil"/>
              <w:left w:val="nil"/>
              <w:bottom w:val="nil"/>
              <w:right w:val="single" w:sz="8" w:space="0" w:color="auto"/>
            </w:tcBorders>
            <w:shd w:val="clear" w:color="auto" w:fill="FFFFFF" w:themeFill="background1"/>
            <w:vAlign w:val="center"/>
            <w:hideMark/>
          </w:tcPr>
          <w:p w14:paraId="0BEF76F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8.7</w:t>
            </w:r>
          </w:p>
        </w:tc>
        <w:tc>
          <w:tcPr>
            <w:tcW w:w="219" w:type="pct"/>
            <w:tcBorders>
              <w:top w:val="nil"/>
              <w:left w:val="nil"/>
              <w:bottom w:val="nil"/>
              <w:right w:val="nil"/>
            </w:tcBorders>
            <w:shd w:val="clear" w:color="auto" w:fill="FFFFFF" w:themeFill="background1"/>
            <w:noWrap/>
            <w:vAlign w:val="center"/>
            <w:hideMark/>
          </w:tcPr>
          <w:p w14:paraId="7CB2DC3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4B6C33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226C908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39F0E8F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6A2599A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single" w:sz="8" w:space="0" w:color="auto"/>
            </w:tcBorders>
            <w:shd w:val="clear" w:color="auto" w:fill="FFFFFF" w:themeFill="background1"/>
            <w:vAlign w:val="center"/>
            <w:hideMark/>
          </w:tcPr>
          <w:p w14:paraId="3F85752A" w14:textId="7EC72366"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r>
      <w:tr w:rsidR="00681B50" w:rsidRPr="00435B6B" w14:paraId="363CBF61" w14:textId="77777777" w:rsidTr="001F4A34">
        <w:trPr>
          <w:trHeight w:val="48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780F1CE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A+B (recently-moulted)</w:t>
            </w:r>
          </w:p>
        </w:tc>
        <w:tc>
          <w:tcPr>
            <w:tcW w:w="219" w:type="pct"/>
            <w:tcBorders>
              <w:top w:val="nil"/>
              <w:left w:val="nil"/>
              <w:bottom w:val="nil"/>
              <w:right w:val="nil"/>
            </w:tcBorders>
            <w:shd w:val="clear" w:color="auto" w:fill="FFFFFF" w:themeFill="background1"/>
            <w:noWrap/>
            <w:vAlign w:val="center"/>
            <w:hideMark/>
          </w:tcPr>
          <w:p w14:paraId="76D40B0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79</w:t>
            </w:r>
          </w:p>
        </w:tc>
        <w:tc>
          <w:tcPr>
            <w:tcW w:w="219" w:type="pct"/>
            <w:tcBorders>
              <w:top w:val="nil"/>
              <w:left w:val="nil"/>
              <w:bottom w:val="nil"/>
              <w:right w:val="nil"/>
            </w:tcBorders>
            <w:shd w:val="clear" w:color="auto" w:fill="FFFFFF" w:themeFill="background1"/>
            <w:noWrap/>
            <w:vAlign w:val="center"/>
            <w:hideMark/>
          </w:tcPr>
          <w:p w14:paraId="3FB8E2C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0" w:type="pct"/>
            <w:tcBorders>
              <w:top w:val="nil"/>
              <w:left w:val="nil"/>
              <w:bottom w:val="nil"/>
              <w:right w:val="nil"/>
            </w:tcBorders>
            <w:shd w:val="clear" w:color="auto" w:fill="FFFFFF" w:themeFill="background1"/>
            <w:noWrap/>
            <w:vAlign w:val="center"/>
            <w:hideMark/>
          </w:tcPr>
          <w:p w14:paraId="32E13CF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85</w:t>
            </w:r>
          </w:p>
        </w:tc>
        <w:tc>
          <w:tcPr>
            <w:tcW w:w="219" w:type="pct"/>
            <w:tcBorders>
              <w:top w:val="nil"/>
              <w:left w:val="nil"/>
              <w:bottom w:val="nil"/>
              <w:right w:val="nil"/>
            </w:tcBorders>
            <w:shd w:val="clear" w:color="auto" w:fill="FFFFFF" w:themeFill="background1"/>
            <w:noWrap/>
            <w:vAlign w:val="center"/>
            <w:hideMark/>
          </w:tcPr>
          <w:p w14:paraId="05ECCAE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92.9</w:t>
            </w:r>
          </w:p>
        </w:tc>
        <w:tc>
          <w:tcPr>
            <w:tcW w:w="220" w:type="pct"/>
            <w:tcBorders>
              <w:top w:val="nil"/>
              <w:left w:val="nil"/>
              <w:bottom w:val="nil"/>
              <w:right w:val="nil"/>
            </w:tcBorders>
            <w:shd w:val="clear" w:color="auto" w:fill="FFFFFF" w:themeFill="background1"/>
            <w:noWrap/>
            <w:vAlign w:val="center"/>
            <w:hideMark/>
          </w:tcPr>
          <w:p w14:paraId="68313E2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7.1</w:t>
            </w:r>
          </w:p>
        </w:tc>
        <w:tc>
          <w:tcPr>
            <w:tcW w:w="219" w:type="pct"/>
            <w:tcBorders>
              <w:top w:val="nil"/>
              <w:left w:val="nil"/>
              <w:bottom w:val="nil"/>
              <w:right w:val="single" w:sz="8" w:space="0" w:color="auto"/>
            </w:tcBorders>
            <w:shd w:val="clear" w:color="auto" w:fill="FFFFFF" w:themeFill="background1"/>
            <w:vAlign w:val="center"/>
            <w:hideMark/>
          </w:tcPr>
          <w:p w14:paraId="442A8BD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60.7</w:t>
            </w:r>
          </w:p>
        </w:tc>
        <w:tc>
          <w:tcPr>
            <w:tcW w:w="220" w:type="pct"/>
            <w:tcBorders>
              <w:top w:val="nil"/>
              <w:left w:val="nil"/>
              <w:bottom w:val="nil"/>
              <w:right w:val="nil"/>
            </w:tcBorders>
            <w:shd w:val="clear" w:color="auto" w:fill="FFFFFF" w:themeFill="background1"/>
            <w:noWrap/>
            <w:vAlign w:val="center"/>
            <w:hideMark/>
          </w:tcPr>
          <w:p w14:paraId="2F4405A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54</w:t>
            </w:r>
          </w:p>
        </w:tc>
        <w:tc>
          <w:tcPr>
            <w:tcW w:w="219" w:type="pct"/>
            <w:tcBorders>
              <w:top w:val="nil"/>
              <w:left w:val="nil"/>
              <w:bottom w:val="nil"/>
              <w:right w:val="nil"/>
            </w:tcBorders>
            <w:shd w:val="clear" w:color="auto" w:fill="FFFFFF" w:themeFill="background1"/>
            <w:noWrap/>
            <w:vAlign w:val="center"/>
            <w:hideMark/>
          </w:tcPr>
          <w:p w14:paraId="5F9ADC1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0" w:type="pct"/>
            <w:tcBorders>
              <w:top w:val="nil"/>
              <w:left w:val="nil"/>
              <w:bottom w:val="nil"/>
              <w:right w:val="nil"/>
            </w:tcBorders>
            <w:shd w:val="clear" w:color="auto" w:fill="FFFFFF" w:themeFill="background1"/>
            <w:noWrap/>
            <w:vAlign w:val="center"/>
            <w:hideMark/>
          </w:tcPr>
          <w:p w14:paraId="52FA768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58</w:t>
            </w:r>
          </w:p>
        </w:tc>
        <w:tc>
          <w:tcPr>
            <w:tcW w:w="219" w:type="pct"/>
            <w:tcBorders>
              <w:top w:val="nil"/>
              <w:left w:val="nil"/>
              <w:bottom w:val="nil"/>
              <w:right w:val="nil"/>
            </w:tcBorders>
            <w:shd w:val="clear" w:color="auto" w:fill="FFFFFF" w:themeFill="background1"/>
            <w:noWrap/>
            <w:vAlign w:val="center"/>
            <w:hideMark/>
          </w:tcPr>
          <w:p w14:paraId="6DA23C3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93.1</w:t>
            </w:r>
          </w:p>
        </w:tc>
        <w:tc>
          <w:tcPr>
            <w:tcW w:w="219" w:type="pct"/>
            <w:tcBorders>
              <w:top w:val="nil"/>
              <w:left w:val="nil"/>
              <w:bottom w:val="nil"/>
              <w:right w:val="nil"/>
            </w:tcBorders>
            <w:shd w:val="clear" w:color="auto" w:fill="FFFFFF" w:themeFill="background1"/>
            <w:noWrap/>
            <w:vAlign w:val="center"/>
            <w:hideMark/>
          </w:tcPr>
          <w:p w14:paraId="03EDBB2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6.9</w:t>
            </w:r>
          </w:p>
        </w:tc>
        <w:tc>
          <w:tcPr>
            <w:tcW w:w="220" w:type="pct"/>
            <w:tcBorders>
              <w:top w:val="nil"/>
              <w:left w:val="nil"/>
              <w:bottom w:val="nil"/>
              <w:right w:val="single" w:sz="8" w:space="0" w:color="auto"/>
            </w:tcBorders>
            <w:shd w:val="clear" w:color="auto" w:fill="FFFFFF" w:themeFill="background1"/>
            <w:vAlign w:val="center"/>
            <w:hideMark/>
          </w:tcPr>
          <w:p w14:paraId="52320D5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38.7</w:t>
            </w:r>
          </w:p>
        </w:tc>
        <w:tc>
          <w:tcPr>
            <w:tcW w:w="219" w:type="pct"/>
            <w:tcBorders>
              <w:top w:val="nil"/>
              <w:left w:val="nil"/>
              <w:bottom w:val="nil"/>
              <w:right w:val="nil"/>
            </w:tcBorders>
            <w:shd w:val="clear" w:color="auto" w:fill="FFFFFF" w:themeFill="background1"/>
            <w:noWrap/>
            <w:vAlign w:val="center"/>
            <w:hideMark/>
          </w:tcPr>
          <w:p w14:paraId="6537206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52</w:t>
            </w:r>
          </w:p>
        </w:tc>
        <w:tc>
          <w:tcPr>
            <w:tcW w:w="220" w:type="pct"/>
            <w:tcBorders>
              <w:top w:val="nil"/>
              <w:left w:val="nil"/>
              <w:bottom w:val="nil"/>
              <w:right w:val="nil"/>
            </w:tcBorders>
            <w:shd w:val="clear" w:color="auto" w:fill="FFFFFF" w:themeFill="background1"/>
            <w:noWrap/>
            <w:vAlign w:val="center"/>
            <w:hideMark/>
          </w:tcPr>
          <w:p w14:paraId="0EE28F5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19" w:type="pct"/>
            <w:tcBorders>
              <w:top w:val="nil"/>
              <w:left w:val="nil"/>
              <w:bottom w:val="nil"/>
              <w:right w:val="nil"/>
            </w:tcBorders>
            <w:shd w:val="clear" w:color="auto" w:fill="FFFFFF" w:themeFill="background1"/>
            <w:noWrap/>
            <w:vAlign w:val="center"/>
            <w:hideMark/>
          </w:tcPr>
          <w:p w14:paraId="24A1F5D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58</w:t>
            </w:r>
          </w:p>
        </w:tc>
        <w:tc>
          <w:tcPr>
            <w:tcW w:w="220" w:type="pct"/>
            <w:tcBorders>
              <w:top w:val="nil"/>
              <w:left w:val="nil"/>
              <w:bottom w:val="nil"/>
              <w:right w:val="nil"/>
            </w:tcBorders>
            <w:shd w:val="clear" w:color="auto" w:fill="FFFFFF" w:themeFill="background1"/>
            <w:noWrap/>
            <w:vAlign w:val="center"/>
            <w:hideMark/>
          </w:tcPr>
          <w:p w14:paraId="74610EE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89.7</w:t>
            </w:r>
          </w:p>
        </w:tc>
        <w:tc>
          <w:tcPr>
            <w:tcW w:w="219" w:type="pct"/>
            <w:tcBorders>
              <w:top w:val="nil"/>
              <w:left w:val="nil"/>
              <w:bottom w:val="nil"/>
              <w:right w:val="nil"/>
            </w:tcBorders>
            <w:shd w:val="clear" w:color="auto" w:fill="FFFFFF" w:themeFill="background1"/>
            <w:noWrap/>
            <w:vAlign w:val="center"/>
            <w:hideMark/>
          </w:tcPr>
          <w:p w14:paraId="4A85669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10.3</w:t>
            </w:r>
          </w:p>
        </w:tc>
        <w:tc>
          <w:tcPr>
            <w:tcW w:w="220" w:type="pct"/>
            <w:tcBorders>
              <w:top w:val="nil"/>
              <w:left w:val="nil"/>
              <w:bottom w:val="nil"/>
              <w:right w:val="single" w:sz="8" w:space="0" w:color="auto"/>
            </w:tcBorders>
            <w:shd w:val="clear" w:color="auto" w:fill="FFFFFF" w:themeFill="background1"/>
            <w:vAlign w:val="center"/>
            <w:hideMark/>
          </w:tcPr>
          <w:p w14:paraId="7ABCC0C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38.9</w:t>
            </w:r>
          </w:p>
        </w:tc>
      </w:tr>
      <w:tr w:rsidR="00681B50" w:rsidRPr="00435B6B" w14:paraId="4E40C182"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5386B67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C (inter-moult)</w:t>
            </w:r>
          </w:p>
        </w:tc>
        <w:tc>
          <w:tcPr>
            <w:tcW w:w="219" w:type="pct"/>
            <w:tcBorders>
              <w:top w:val="nil"/>
              <w:left w:val="nil"/>
              <w:bottom w:val="nil"/>
              <w:right w:val="nil"/>
            </w:tcBorders>
            <w:shd w:val="clear" w:color="auto" w:fill="FFFFFF" w:themeFill="background1"/>
            <w:noWrap/>
            <w:vAlign w:val="center"/>
            <w:hideMark/>
          </w:tcPr>
          <w:p w14:paraId="7213D9D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28</w:t>
            </w:r>
          </w:p>
        </w:tc>
        <w:tc>
          <w:tcPr>
            <w:tcW w:w="219" w:type="pct"/>
            <w:tcBorders>
              <w:top w:val="nil"/>
              <w:left w:val="nil"/>
              <w:bottom w:val="nil"/>
              <w:right w:val="nil"/>
            </w:tcBorders>
            <w:shd w:val="clear" w:color="auto" w:fill="FFFFFF" w:themeFill="background1"/>
            <w:noWrap/>
            <w:vAlign w:val="center"/>
            <w:hideMark/>
          </w:tcPr>
          <w:p w14:paraId="7E98CD5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21</w:t>
            </w:r>
          </w:p>
        </w:tc>
        <w:tc>
          <w:tcPr>
            <w:tcW w:w="220" w:type="pct"/>
            <w:tcBorders>
              <w:top w:val="nil"/>
              <w:left w:val="nil"/>
              <w:bottom w:val="nil"/>
              <w:right w:val="nil"/>
            </w:tcBorders>
            <w:shd w:val="clear" w:color="auto" w:fill="FFFFFF" w:themeFill="background1"/>
            <w:noWrap/>
            <w:vAlign w:val="center"/>
            <w:hideMark/>
          </w:tcPr>
          <w:p w14:paraId="47098FE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49</w:t>
            </w:r>
          </w:p>
        </w:tc>
        <w:tc>
          <w:tcPr>
            <w:tcW w:w="219" w:type="pct"/>
            <w:tcBorders>
              <w:top w:val="nil"/>
              <w:left w:val="nil"/>
              <w:bottom w:val="nil"/>
              <w:right w:val="nil"/>
            </w:tcBorders>
            <w:shd w:val="clear" w:color="auto" w:fill="FFFFFF" w:themeFill="background1"/>
            <w:noWrap/>
            <w:vAlign w:val="center"/>
            <w:hideMark/>
          </w:tcPr>
          <w:p w14:paraId="54E1F43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57.1</w:t>
            </w:r>
          </w:p>
        </w:tc>
        <w:tc>
          <w:tcPr>
            <w:tcW w:w="220" w:type="pct"/>
            <w:tcBorders>
              <w:top w:val="nil"/>
              <w:left w:val="nil"/>
              <w:bottom w:val="nil"/>
              <w:right w:val="nil"/>
            </w:tcBorders>
            <w:shd w:val="clear" w:color="auto" w:fill="FFFFFF" w:themeFill="background1"/>
            <w:noWrap/>
            <w:vAlign w:val="center"/>
            <w:hideMark/>
          </w:tcPr>
          <w:p w14:paraId="7B62F2B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42.9</w:t>
            </w:r>
          </w:p>
        </w:tc>
        <w:tc>
          <w:tcPr>
            <w:tcW w:w="219" w:type="pct"/>
            <w:tcBorders>
              <w:top w:val="nil"/>
              <w:left w:val="nil"/>
              <w:bottom w:val="nil"/>
              <w:right w:val="single" w:sz="8" w:space="0" w:color="auto"/>
            </w:tcBorders>
            <w:shd w:val="clear" w:color="auto" w:fill="FFFFFF" w:themeFill="background1"/>
            <w:vAlign w:val="center"/>
            <w:hideMark/>
          </w:tcPr>
          <w:p w14:paraId="1E073A2B" w14:textId="349C1220"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35</w:t>
            </w:r>
          </w:p>
        </w:tc>
        <w:tc>
          <w:tcPr>
            <w:tcW w:w="220" w:type="pct"/>
            <w:tcBorders>
              <w:top w:val="nil"/>
              <w:left w:val="nil"/>
              <w:bottom w:val="nil"/>
              <w:right w:val="nil"/>
            </w:tcBorders>
            <w:shd w:val="clear" w:color="auto" w:fill="FFFFFF" w:themeFill="background1"/>
            <w:noWrap/>
            <w:vAlign w:val="center"/>
            <w:hideMark/>
          </w:tcPr>
          <w:p w14:paraId="164F40B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66</w:t>
            </w:r>
          </w:p>
        </w:tc>
        <w:tc>
          <w:tcPr>
            <w:tcW w:w="219" w:type="pct"/>
            <w:tcBorders>
              <w:top w:val="nil"/>
              <w:left w:val="nil"/>
              <w:bottom w:val="nil"/>
              <w:right w:val="nil"/>
            </w:tcBorders>
            <w:shd w:val="clear" w:color="auto" w:fill="FFFFFF" w:themeFill="background1"/>
            <w:noWrap/>
            <w:vAlign w:val="center"/>
            <w:hideMark/>
          </w:tcPr>
          <w:p w14:paraId="79717B3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16</w:t>
            </w:r>
          </w:p>
        </w:tc>
        <w:tc>
          <w:tcPr>
            <w:tcW w:w="220" w:type="pct"/>
            <w:tcBorders>
              <w:top w:val="nil"/>
              <w:left w:val="nil"/>
              <w:bottom w:val="nil"/>
              <w:right w:val="nil"/>
            </w:tcBorders>
            <w:shd w:val="clear" w:color="auto" w:fill="FFFFFF" w:themeFill="background1"/>
            <w:noWrap/>
            <w:vAlign w:val="center"/>
            <w:hideMark/>
          </w:tcPr>
          <w:p w14:paraId="1190368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82</w:t>
            </w:r>
          </w:p>
        </w:tc>
        <w:tc>
          <w:tcPr>
            <w:tcW w:w="219" w:type="pct"/>
            <w:tcBorders>
              <w:top w:val="nil"/>
              <w:left w:val="nil"/>
              <w:bottom w:val="nil"/>
              <w:right w:val="nil"/>
            </w:tcBorders>
            <w:shd w:val="clear" w:color="auto" w:fill="FFFFFF" w:themeFill="background1"/>
            <w:noWrap/>
            <w:vAlign w:val="center"/>
            <w:hideMark/>
          </w:tcPr>
          <w:p w14:paraId="6487F11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80.5</w:t>
            </w:r>
          </w:p>
        </w:tc>
        <w:tc>
          <w:tcPr>
            <w:tcW w:w="219" w:type="pct"/>
            <w:tcBorders>
              <w:top w:val="nil"/>
              <w:left w:val="nil"/>
              <w:bottom w:val="nil"/>
              <w:right w:val="nil"/>
            </w:tcBorders>
            <w:shd w:val="clear" w:color="auto" w:fill="FFFFFF" w:themeFill="background1"/>
            <w:noWrap/>
            <w:vAlign w:val="center"/>
            <w:hideMark/>
          </w:tcPr>
          <w:p w14:paraId="4E39E83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19.5</w:t>
            </w:r>
          </w:p>
        </w:tc>
        <w:tc>
          <w:tcPr>
            <w:tcW w:w="220" w:type="pct"/>
            <w:tcBorders>
              <w:top w:val="nil"/>
              <w:left w:val="nil"/>
              <w:bottom w:val="nil"/>
              <w:right w:val="single" w:sz="8" w:space="0" w:color="auto"/>
            </w:tcBorders>
            <w:shd w:val="clear" w:color="auto" w:fill="FFFFFF" w:themeFill="background1"/>
            <w:vAlign w:val="center"/>
            <w:hideMark/>
          </w:tcPr>
          <w:p w14:paraId="1E8E311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54.7</w:t>
            </w:r>
          </w:p>
        </w:tc>
        <w:tc>
          <w:tcPr>
            <w:tcW w:w="219" w:type="pct"/>
            <w:tcBorders>
              <w:top w:val="nil"/>
              <w:left w:val="nil"/>
              <w:bottom w:val="nil"/>
              <w:right w:val="nil"/>
            </w:tcBorders>
            <w:shd w:val="clear" w:color="auto" w:fill="FFFFFF" w:themeFill="background1"/>
            <w:noWrap/>
            <w:vAlign w:val="center"/>
            <w:hideMark/>
          </w:tcPr>
          <w:p w14:paraId="4FFD1DA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67</w:t>
            </w:r>
          </w:p>
        </w:tc>
        <w:tc>
          <w:tcPr>
            <w:tcW w:w="220" w:type="pct"/>
            <w:tcBorders>
              <w:top w:val="nil"/>
              <w:left w:val="nil"/>
              <w:bottom w:val="nil"/>
              <w:right w:val="nil"/>
            </w:tcBorders>
            <w:shd w:val="clear" w:color="auto" w:fill="FFFFFF" w:themeFill="background1"/>
            <w:noWrap/>
            <w:vAlign w:val="center"/>
            <w:hideMark/>
          </w:tcPr>
          <w:p w14:paraId="3C67B6F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19" w:type="pct"/>
            <w:tcBorders>
              <w:top w:val="nil"/>
              <w:left w:val="nil"/>
              <w:bottom w:val="nil"/>
              <w:right w:val="nil"/>
            </w:tcBorders>
            <w:shd w:val="clear" w:color="auto" w:fill="FFFFFF" w:themeFill="background1"/>
            <w:noWrap/>
            <w:vAlign w:val="center"/>
            <w:hideMark/>
          </w:tcPr>
          <w:p w14:paraId="71E3AC2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77</w:t>
            </w:r>
          </w:p>
        </w:tc>
        <w:tc>
          <w:tcPr>
            <w:tcW w:w="220" w:type="pct"/>
            <w:tcBorders>
              <w:top w:val="nil"/>
              <w:left w:val="nil"/>
              <w:bottom w:val="nil"/>
              <w:right w:val="nil"/>
            </w:tcBorders>
            <w:shd w:val="clear" w:color="auto" w:fill="FFFFFF" w:themeFill="background1"/>
            <w:noWrap/>
            <w:vAlign w:val="center"/>
            <w:hideMark/>
          </w:tcPr>
          <w:p w14:paraId="465110E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87.0</w:t>
            </w:r>
          </w:p>
        </w:tc>
        <w:tc>
          <w:tcPr>
            <w:tcW w:w="219" w:type="pct"/>
            <w:tcBorders>
              <w:top w:val="nil"/>
              <w:left w:val="nil"/>
              <w:bottom w:val="nil"/>
              <w:right w:val="nil"/>
            </w:tcBorders>
            <w:shd w:val="clear" w:color="auto" w:fill="FFFFFF" w:themeFill="background1"/>
            <w:noWrap/>
            <w:vAlign w:val="center"/>
            <w:hideMark/>
          </w:tcPr>
          <w:p w14:paraId="2F01CCE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13.0</w:t>
            </w:r>
          </w:p>
        </w:tc>
        <w:tc>
          <w:tcPr>
            <w:tcW w:w="220" w:type="pct"/>
            <w:tcBorders>
              <w:top w:val="nil"/>
              <w:left w:val="nil"/>
              <w:bottom w:val="nil"/>
              <w:right w:val="single" w:sz="8" w:space="0" w:color="auto"/>
            </w:tcBorders>
            <w:shd w:val="clear" w:color="auto" w:fill="FFFFFF" w:themeFill="background1"/>
            <w:vAlign w:val="center"/>
            <w:hideMark/>
          </w:tcPr>
          <w:p w14:paraId="731D833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51.7</w:t>
            </w:r>
          </w:p>
        </w:tc>
      </w:tr>
      <w:tr w:rsidR="00681B50" w:rsidRPr="00435B6B" w14:paraId="7F5D4E35"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254C65E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D (pre-moult)</w:t>
            </w:r>
          </w:p>
        </w:tc>
        <w:tc>
          <w:tcPr>
            <w:tcW w:w="219" w:type="pct"/>
            <w:tcBorders>
              <w:top w:val="nil"/>
              <w:left w:val="nil"/>
              <w:bottom w:val="nil"/>
              <w:right w:val="nil"/>
            </w:tcBorders>
            <w:shd w:val="clear" w:color="auto" w:fill="FFFFFF" w:themeFill="background1"/>
            <w:noWrap/>
            <w:vAlign w:val="center"/>
            <w:hideMark/>
          </w:tcPr>
          <w:p w14:paraId="7EEF1CC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19" w:type="pct"/>
            <w:tcBorders>
              <w:top w:val="nil"/>
              <w:left w:val="nil"/>
              <w:bottom w:val="nil"/>
              <w:right w:val="nil"/>
            </w:tcBorders>
            <w:shd w:val="clear" w:color="auto" w:fill="FFFFFF" w:themeFill="background1"/>
            <w:noWrap/>
            <w:vAlign w:val="center"/>
            <w:hideMark/>
          </w:tcPr>
          <w:p w14:paraId="3630A6E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0" w:type="pct"/>
            <w:tcBorders>
              <w:top w:val="nil"/>
              <w:left w:val="nil"/>
              <w:bottom w:val="nil"/>
              <w:right w:val="nil"/>
            </w:tcBorders>
            <w:shd w:val="clear" w:color="auto" w:fill="FFFFFF" w:themeFill="background1"/>
            <w:noWrap/>
            <w:vAlign w:val="center"/>
            <w:hideMark/>
          </w:tcPr>
          <w:p w14:paraId="0380FD2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19" w:type="pct"/>
            <w:tcBorders>
              <w:top w:val="nil"/>
              <w:left w:val="nil"/>
              <w:bottom w:val="nil"/>
              <w:right w:val="nil"/>
            </w:tcBorders>
            <w:shd w:val="clear" w:color="auto" w:fill="FFFFFF" w:themeFill="background1"/>
            <w:noWrap/>
            <w:vAlign w:val="center"/>
            <w:hideMark/>
          </w:tcPr>
          <w:p w14:paraId="067CDBAD" w14:textId="1FFCB83D"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50</w:t>
            </w:r>
          </w:p>
        </w:tc>
        <w:tc>
          <w:tcPr>
            <w:tcW w:w="220" w:type="pct"/>
            <w:tcBorders>
              <w:top w:val="nil"/>
              <w:left w:val="nil"/>
              <w:bottom w:val="nil"/>
              <w:right w:val="nil"/>
            </w:tcBorders>
            <w:shd w:val="clear" w:color="auto" w:fill="FFFFFF" w:themeFill="background1"/>
            <w:noWrap/>
            <w:vAlign w:val="center"/>
            <w:hideMark/>
          </w:tcPr>
          <w:p w14:paraId="7F041DC9" w14:textId="2C3C8F9E"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50</w:t>
            </w:r>
          </w:p>
        </w:tc>
        <w:tc>
          <w:tcPr>
            <w:tcW w:w="219" w:type="pct"/>
            <w:tcBorders>
              <w:top w:val="nil"/>
              <w:left w:val="nil"/>
              <w:bottom w:val="nil"/>
              <w:right w:val="single" w:sz="8" w:space="0" w:color="auto"/>
            </w:tcBorders>
            <w:shd w:val="clear" w:color="auto" w:fill="FFFFFF" w:themeFill="background1"/>
            <w:vAlign w:val="center"/>
            <w:hideMark/>
          </w:tcPr>
          <w:p w14:paraId="5BF7B31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4.3</w:t>
            </w:r>
          </w:p>
        </w:tc>
        <w:tc>
          <w:tcPr>
            <w:tcW w:w="220" w:type="pct"/>
            <w:tcBorders>
              <w:top w:val="nil"/>
              <w:left w:val="nil"/>
              <w:bottom w:val="nil"/>
              <w:right w:val="nil"/>
            </w:tcBorders>
            <w:shd w:val="clear" w:color="auto" w:fill="FFFFFF" w:themeFill="background1"/>
            <w:noWrap/>
            <w:vAlign w:val="center"/>
            <w:hideMark/>
          </w:tcPr>
          <w:p w14:paraId="489E31A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19" w:type="pct"/>
            <w:tcBorders>
              <w:top w:val="nil"/>
              <w:left w:val="nil"/>
              <w:bottom w:val="nil"/>
              <w:right w:val="nil"/>
            </w:tcBorders>
            <w:shd w:val="clear" w:color="auto" w:fill="FFFFFF" w:themeFill="background1"/>
            <w:noWrap/>
            <w:vAlign w:val="center"/>
            <w:hideMark/>
          </w:tcPr>
          <w:p w14:paraId="77E2B0C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0" w:type="pct"/>
            <w:tcBorders>
              <w:top w:val="nil"/>
              <w:left w:val="nil"/>
              <w:bottom w:val="nil"/>
              <w:right w:val="nil"/>
            </w:tcBorders>
            <w:shd w:val="clear" w:color="auto" w:fill="FFFFFF" w:themeFill="background1"/>
            <w:noWrap/>
            <w:vAlign w:val="center"/>
            <w:hideMark/>
          </w:tcPr>
          <w:p w14:paraId="4EA47A1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19" w:type="pct"/>
            <w:tcBorders>
              <w:top w:val="nil"/>
              <w:left w:val="nil"/>
              <w:bottom w:val="nil"/>
              <w:right w:val="nil"/>
            </w:tcBorders>
            <w:shd w:val="clear" w:color="auto" w:fill="FFFFFF" w:themeFill="background1"/>
            <w:noWrap/>
            <w:vAlign w:val="center"/>
            <w:hideMark/>
          </w:tcPr>
          <w:p w14:paraId="16ED90D1" w14:textId="054CB4BC"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19" w:type="pct"/>
            <w:tcBorders>
              <w:top w:val="nil"/>
              <w:left w:val="nil"/>
              <w:bottom w:val="nil"/>
              <w:right w:val="nil"/>
            </w:tcBorders>
            <w:shd w:val="clear" w:color="auto" w:fill="FFFFFF" w:themeFill="background1"/>
            <w:noWrap/>
            <w:vAlign w:val="center"/>
            <w:hideMark/>
          </w:tcPr>
          <w:p w14:paraId="32D95314" w14:textId="1E74A90A"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20" w:type="pct"/>
            <w:tcBorders>
              <w:top w:val="nil"/>
              <w:left w:val="nil"/>
              <w:bottom w:val="nil"/>
              <w:right w:val="single" w:sz="8" w:space="0" w:color="auto"/>
            </w:tcBorders>
            <w:shd w:val="clear" w:color="auto" w:fill="FFFFFF" w:themeFill="background1"/>
            <w:vAlign w:val="center"/>
            <w:hideMark/>
          </w:tcPr>
          <w:p w14:paraId="5655061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6.7</w:t>
            </w:r>
          </w:p>
        </w:tc>
        <w:tc>
          <w:tcPr>
            <w:tcW w:w="219" w:type="pct"/>
            <w:tcBorders>
              <w:top w:val="nil"/>
              <w:left w:val="nil"/>
              <w:bottom w:val="nil"/>
              <w:right w:val="nil"/>
            </w:tcBorders>
            <w:shd w:val="clear" w:color="auto" w:fill="FFFFFF" w:themeFill="background1"/>
            <w:noWrap/>
            <w:vAlign w:val="center"/>
            <w:hideMark/>
          </w:tcPr>
          <w:p w14:paraId="16D7D32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0" w:type="pct"/>
            <w:tcBorders>
              <w:top w:val="nil"/>
              <w:left w:val="nil"/>
              <w:bottom w:val="nil"/>
              <w:right w:val="nil"/>
            </w:tcBorders>
            <w:shd w:val="clear" w:color="auto" w:fill="FFFFFF" w:themeFill="background1"/>
            <w:noWrap/>
            <w:vAlign w:val="center"/>
            <w:hideMark/>
          </w:tcPr>
          <w:p w14:paraId="70CBA85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w:t>
            </w:r>
          </w:p>
        </w:tc>
        <w:tc>
          <w:tcPr>
            <w:tcW w:w="219" w:type="pct"/>
            <w:tcBorders>
              <w:top w:val="nil"/>
              <w:left w:val="nil"/>
              <w:bottom w:val="nil"/>
              <w:right w:val="nil"/>
            </w:tcBorders>
            <w:shd w:val="clear" w:color="auto" w:fill="FFFFFF" w:themeFill="background1"/>
            <w:noWrap/>
            <w:vAlign w:val="center"/>
            <w:hideMark/>
          </w:tcPr>
          <w:p w14:paraId="5005645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20" w:type="pct"/>
            <w:tcBorders>
              <w:top w:val="nil"/>
              <w:left w:val="nil"/>
              <w:bottom w:val="nil"/>
              <w:right w:val="nil"/>
            </w:tcBorders>
            <w:shd w:val="clear" w:color="auto" w:fill="FFFFFF" w:themeFill="background1"/>
            <w:noWrap/>
            <w:vAlign w:val="center"/>
            <w:hideMark/>
          </w:tcPr>
          <w:p w14:paraId="79E78F4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42.9</w:t>
            </w:r>
          </w:p>
        </w:tc>
        <w:tc>
          <w:tcPr>
            <w:tcW w:w="219" w:type="pct"/>
            <w:tcBorders>
              <w:top w:val="nil"/>
              <w:left w:val="nil"/>
              <w:bottom w:val="nil"/>
              <w:right w:val="nil"/>
            </w:tcBorders>
            <w:shd w:val="clear" w:color="auto" w:fill="FFFFFF" w:themeFill="background1"/>
            <w:noWrap/>
            <w:vAlign w:val="center"/>
            <w:hideMark/>
          </w:tcPr>
          <w:p w14:paraId="436FCA8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57.1</w:t>
            </w:r>
          </w:p>
        </w:tc>
        <w:tc>
          <w:tcPr>
            <w:tcW w:w="220" w:type="pct"/>
            <w:tcBorders>
              <w:top w:val="nil"/>
              <w:left w:val="nil"/>
              <w:bottom w:val="nil"/>
              <w:right w:val="single" w:sz="8" w:space="0" w:color="auto"/>
            </w:tcBorders>
            <w:shd w:val="clear" w:color="auto" w:fill="FFFFFF" w:themeFill="background1"/>
            <w:vAlign w:val="center"/>
            <w:hideMark/>
          </w:tcPr>
          <w:p w14:paraId="32B9076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9.4</w:t>
            </w:r>
          </w:p>
        </w:tc>
      </w:tr>
      <w:tr w:rsidR="00681B50" w:rsidRPr="00435B6B" w14:paraId="03424886" w14:textId="77777777" w:rsidTr="001F4A34">
        <w:trPr>
          <w:trHeight w:val="255"/>
          <w:jc w:val="center"/>
        </w:trPr>
        <w:tc>
          <w:tcPr>
            <w:tcW w:w="1052" w:type="pct"/>
            <w:tcBorders>
              <w:top w:val="nil"/>
              <w:left w:val="single" w:sz="8" w:space="0" w:color="auto"/>
              <w:bottom w:val="single" w:sz="8" w:space="0" w:color="auto"/>
              <w:right w:val="single" w:sz="8" w:space="0" w:color="auto"/>
            </w:tcBorders>
            <w:shd w:val="clear" w:color="auto" w:fill="FFFFFF" w:themeFill="background1"/>
            <w:vAlign w:val="center"/>
            <w:hideMark/>
          </w:tcPr>
          <w:p w14:paraId="398E4103" w14:textId="77777777" w:rsidR="003421D4" w:rsidRPr="009819CE" w:rsidRDefault="003421D4" w:rsidP="0083610A">
            <w:pPr>
              <w:spacing w:before="0" w:after="0" w:line="240" w:lineRule="auto"/>
              <w:jc w:val="center"/>
              <w:rPr>
                <w:rFonts w:cstheme="minorBidi"/>
                <w:b/>
                <w:bCs/>
                <w:color w:val="000000"/>
                <w:sz w:val="20"/>
                <w:szCs w:val="20"/>
              </w:rPr>
            </w:pPr>
            <w:r w:rsidRPr="009819CE">
              <w:rPr>
                <w:rFonts w:cstheme="minorBidi"/>
                <w:b/>
                <w:bCs/>
                <w:color w:val="000000"/>
                <w:sz w:val="20"/>
                <w:szCs w:val="20"/>
              </w:rPr>
              <w:t>Size parameter</w:t>
            </w:r>
          </w:p>
        </w:tc>
        <w:tc>
          <w:tcPr>
            <w:tcW w:w="219" w:type="pct"/>
            <w:tcBorders>
              <w:top w:val="nil"/>
              <w:left w:val="nil"/>
              <w:bottom w:val="single" w:sz="8" w:space="0" w:color="auto"/>
              <w:right w:val="nil"/>
            </w:tcBorders>
            <w:shd w:val="clear" w:color="auto" w:fill="FFFFFF" w:themeFill="background1"/>
            <w:vAlign w:val="center"/>
            <w:hideMark/>
          </w:tcPr>
          <w:p w14:paraId="2160F06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1EF2560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51DA815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46A0AEB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1D5A65B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single" w:sz="8" w:space="0" w:color="auto"/>
            </w:tcBorders>
            <w:shd w:val="clear" w:color="auto" w:fill="FFFFFF" w:themeFill="background1"/>
            <w:vAlign w:val="center"/>
            <w:hideMark/>
          </w:tcPr>
          <w:p w14:paraId="2FFDC84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vAlign w:val="center"/>
            <w:hideMark/>
          </w:tcPr>
          <w:p w14:paraId="35F9CDC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4B57E75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0651E5B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0EE68EC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3E000DF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23253E0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vAlign w:val="center"/>
            <w:hideMark/>
          </w:tcPr>
          <w:p w14:paraId="66C9AFA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vAlign w:val="center"/>
            <w:hideMark/>
          </w:tcPr>
          <w:p w14:paraId="6265092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591C71A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nil"/>
            </w:tcBorders>
            <w:shd w:val="clear" w:color="auto" w:fill="FFFFFF" w:themeFill="background1"/>
            <w:noWrap/>
            <w:vAlign w:val="center"/>
            <w:hideMark/>
          </w:tcPr>
          <w:p w14:paraId="33403F9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19" w:type="pct"/>
            <w:tcBorders>
              <w:top w:val="nil"/>
              <w:left w:val="nil"/>
              <w:bottom w:val="single" w:sz="8" w:space="0" w:color="auto"/>
              <w:right w:val="nil"/>
            </w:tcBorders>
            <w:shd w:val="clear" w:color="auto" w:fill="FFFFFF" w:themeFill="background1"/>
            <w:noWrap/>
            <w:vAlign w:val="center"/>
            <w:hideMark/>
          </w:tcPr>
          <w:p w14:paraId="42D4B21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c>
          <w:tcPr>
            <w:tcW w:w="220" w:type="pct"/>
            <w:tcBorders>
              <w:top w:val="nil"/>
              <w:left w:val="nil"/>
              <w:bottom w:val="single" w:sz="8" w:space="0" w:color="auto"/>
              <w:right w:val="single" w:sz="8" w:space="0" w:color="auto"/>
            </w:tcBorders>
            <w:shd w:val="clear" w:color="auto" w:fill="FFFFFF" w:themeFill="background1"/>
            <w:vAlign w:val="center"/>
            <w:hideMark/>
          </w:tcPr>
          <w:p w14:paraId="74BFF5B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 </w:t>
            </w:r>
          </w:p>
        </w:tc>
      </w:tr>
      <w:tr w:rsidR="00681B50" w:rsidRPr="00435B6B" w14:paraId="07AA7ECB"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20E4E47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SOM immature</w:t>
            </w:r>
          </w:p>
        </w:tc>
        <w:tc>
          <w:tcPr>
            <w:tcW w:w="219" w:type="pct"/>
            <w:tcBorders>
              <w:top w:val="nil"/>
              <w:left w:val="nil"/>
              <w:bottom w:val="nil"/>
              <w:right w:val="nil"/>
            </w:tcBorders>
            <w:shd w:val="clear" w:color="auto" w:fill="FFFFFF" w:themeFill="background1"/>
            <w:vAlign w:val="center"/>
            <w:hideMark/>
          </w:tcPr>
          <w:p w14:paraId="081D946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19" w:type="pct"/>
            <w:tcBorders>
              <w:top w:val="nil"/>
              <w:left w:val="nil"/>
              <w:bottom w:val="nil"/>
              <w:right w:val="nil"/>
            </w:tcBorders>
            <w:shd w:val="clear" w:color="auto" w:fill="FFFFFF" w:themeFill="background1"/>
            <w:vAlign w:val="center"/>
            <w:hideMark/>
          </w:tcPr>
          <w:p w14:paraId="71D2345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w:t>
            </w:r>
          </w:p>
        </w:tc>
        <w:tc>
          <w:tcPr>
            <w:tcW w:w="220" w:type="pct"/>
            <w:tcBorders>
              <w:top w:val="nil"/>
              <w:left w:val="nil"/>
              <w:bottom w:val="nil"/>
              <w:right w:val="nil"/>
            </w:tcBorders>
            <w:shd w:val="clear" w:color="auto" w:fill="FFFFFF" w:themeFill="background1"/>
            <w:noWrap/>
            <w:vAlign w:val="center"/>
            <w:hideMark/>
          </w:tcPr>
          <w:p w14:paraId="282EC50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19" w:type="pct"/>
            <w:tcBorders>
              <w:top w:val="nil"/>
              <w:left w:val="nil"/>
              <w:bottom w:val="nil"/>
              <w:right w:val="nil"/>
            </w:tcBorders>
            <w:shd w:val="clear" w:color="auto" w:fill="FFFFFF" w:themeFill="background1"/>
            <w:noWrap/>
            <w:vAlign w:val="center"/>
            <w:hideMark/>
          </w:tcPr>
          <w:p w14:paraId="254A364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16.7</w:t>
            </w:r>
          </w:p>
        </w:tc>
        <w:tc>
          <w:tcPr>
            <w:tcW w:w="220" w:type="pct"/>
            <w:tcBorders>
              <w:top w:val="nil"/>
              <w:left w:val="nil"/>
              <w:bottom w:val="nil"/>
              <w:right w:val="nil"/>
            </w:tcBorders>
            <w:shd w:val="clear" w:color="auto" w:fill="FFFFFF" w:themeFill="background1"/>
            <w:noWrap/>
            <w:vAlign w:val="center"/>
            <w:hideMark/>
          </w:tcPr>
          <w:p w14:paraId="2B11F2C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83.3</w:t>
            </w:r>
          </w:p>
        </w:tc>
        <w:tc>
          <w:tcPr>
            <w:tcW w:w="219" w:type="pct"/>
            <w:tcBorders>
              <w:top w:val="nil"/>
              <w:left w:val="nil"/>
              <w:bottom w:val="nil"/>
              <w:right w:val="single" w:sz="8" w:space="0" w:color="auto"/>
            </w:tcBorders>
            <w:shd w:val="clear" w:color="auto" w:fill="FFFFFF" w:themeFill="background1"/>
            <w:vAlign w:val="center"/>
            <w:hideMark/>
          </w:tcPr>
          <w:p w14:paraId="6A9A943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4.3</w:t>
            </w:r>
          </w:p>
        </w:tc>
        <w:tc>
          <w:tcPr>
            <w:tcW w:w="220" w:type="pct"/>
            <w:tcBorders>
              <w:top w:val="nil"/>
              <w:left w:val="nil"/>
              <w:bottom w:val="nil"/>
              <w:right w:val="nil"/>
            </w:tcBorders>
            <w:shd w:val="clear" w:color="auto" w:fill="FFFFFF" w:themeFill="background1"/>
            <w:vAlign w:val="center"/>
            <w:hideMark/>
          </w:tcPr>
          <w:p w14:paraId="4735652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19" w:type="pct"/>
            <w:tcBorders>
              <w:top w:val="nil"/>
              <w:left w:val="nil"/>
              <w:bottom w:val="nil"/>
              <w:right w:val="nil"/>
            </w:tcBorders>
            <w:shd w:val="clear" w:color="auto" w:fill="FFFFFF" w:themeFill="background1"/>
            <w:vAlign w:val="center"/>
            <w:hideMark/>
          </w:tcPr>
          <w:p w14:paraId="6676CBE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0" w:type="pct"/>
            <w:tcBorders>
              <w:top w:val="nil"/>
              <w:left w:val="nil"/>
              <w:bottom w:val="nil"/>
              <w:right w:val="nil"/>
            </w:tcBorders>
            <w:shd w:val="clear" w:color="auto" w:fill="FFFFFF" w:themeFill="background1"/>
            <w:noWrap/>
            <w:vAlign w:val="center"/>
            <w:hideMark/>
          </w:tcPr>
          <w:p w14:paraId="7679605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19" w:type="pct"/>
            <w:tcBorders>
              <w:top w:val="nil"/>
              <w:left w:val="nil"/>
              <w:bottom w:val="nil"/>
              <w:right w:val="nil"/>
            </w:tcBorders>
            <w:shd w:val="clear" w:color="auto" w:fill="FFFFFF" w:themeFill="background1"/>
            <w:noWrap/>
            <w:vAlign w:val="center"/>
            <w:hideMark/>
          </w:tcPr>
          <w:p w14:paraId="2971DA6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19" w:type="pct"/>
            <w:tcBorders>
              <w:top w:val="nil"/>
              <w:left w:val="nil"/>
              <w:bottom w:val="nil"/>
              <w:right w:val="nil"/>
            </w:tcBorders>
            <w:shd w:val="clear" w:color="auto" w:fill="FFFFFF" w:themeFill="background1"/>
            <w:noWrap/>
            <w:vAlign w:val="center"/>
            <w:hideMark/>
          </w:tcPr>
          <w:p w14:paraId="0FD3569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20" w:type="pct"/>
            <w:tcBorders>
              <w:top w:val="nil"/>
              <w:left w:val="nil"/>
              <w:bottom w:val="nil"/>
              <w:right w:val="single" w:sz="8" w:space="0" w:color="auto"/>
            </w:tcBorders>
            <w:shd w:val="clear" w:color="auto" w:fill="FFFFFF" w:themeFill="background1"/>
            <w:vAlign w:val="center"/>
            <w:hideMark/>
          </w:tcPr>
          <w:p w14:paraId="39AD9DCC" w14:textId="6A30E8FA"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19" w:type="pct"/>
            <w:tcBorders>
              <w:top w:val="nil"/>
              <w:left w:val="nil"/>
              <w:bottom w:val="nil"/>
              <w:right w:val="nil"/>
            </w:tcBorders>
            <w:shd w:val="clear" w:color="auto" w:fill="FFFFFF" w:themeFill="background1"/>
            <w:vAlign w:val="center"/>
            <w:hideMark/>
          </w:tcPr>
          <w:p w14:paraId="548B64C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vAlign w:val="center"/>
            <w:hideMark/>
          </w:tcPr>
          <w:p w14:paraId="02A57BE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19" w:type="pct"/>
            <w:tcBorders>
              <w:top w:val="nil"/>
              <w:left w:val="nil"/>
              <w:bottom w:val="nil"/>
              <w:right w:val="nil"/>
            </w:tcBorders>
            <w:shd w:val="clear" w:color="auto" w:fill="FFFFFF" w:themeFill="background1"/>
            <w:noWrap/>
            <w:vAlign w:val="center"/>
            <w:hideMark/>
          </w:tcPr>
          <w:p w14:paraId="218E6E4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20" w:type="pct"/>
            <w:tcBorders>
              <w:top w:val="nil"/>
              <w:left w:val="nil"/>
              <w:bottom w:val="nil"/>
              <w:right w:val="nil"/>
            </w:tcBorders>
            <w:shd w:val="clear" w:color="auto" w:fill="FFFFFF" w:themeFill="background1"/>
            <w:noWrap/>
            <w:vAlign w:val="center"/>
            <w:hideMark/>
          </w:tcPr>
          <w:p w14:paraId="7029B08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0.0</w:t>
            </w:r>
          </w:p>
        </w:tc>
        <w:tc>
          <w:tcPr>
            <w:tcW w:w="219" w:type="pct"/>
            <w:tcBorders>
              <w:top w:val="nil"/>
              <w:left w:val="nil"/>
              <w:bottom w:val="nil"/>
              <w:right w:val="nil"/>
            </w:tcBorders>
            <w:shd w:val="clear" w:color="auto" w:fill="FFFFFF" w:themeFill="background1"/>
            <w:noWrap/>
            <w:vAlign w:val="center"/>
            <w:hideMark/>
          </w:tcPr>
          <w:p w14:paraId="0A66ED63" w14:textId="6A6D16C2"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single" w:sz="8" w:space="0" w:color="auto"/>
            </w:tcBorders>
            <w:shd w:val="clear" w:color="auto" w:fill="FFFFFF" w:themeFill="background1"/>
            <w:vAlign w:val="center"/>
            <w:hideMark/>
          </w:tcPr>
          <w:p w14:paraId="29ADB2A0"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2.7</w:t>
            </w:r>
          </w:p>
        </w:tc>
      </w:tr>
      <w:tr w:rsidR="00681B50" w:rsidRPr="00435B6B" w14:paraId="42661AD1"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32CEDCF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SOM mature</w:t>
            </w:r>
          </w:p>
        </w:tc>
        <w:tc>
          <w:tcPr>
            <w:tcW w:w="219" w:type="pct"/>
            <w:tcBorders>
              <w:top w:val="nil"/>
              <w:left w:val="nil"/>
              <w:bottom w:val="nil"/>
              <w:right w:val="nil"/>
            </w:tcBorders>
            <w:shd w:val="clear" w:color="auto" w:fill="FFFFFF" w:themeFill="background1"/>
            <w:vAlign w:val="center"/>
            <w:hideMark/>
          </w:tcPr>
          <w:p w14:paraId="45005B9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109</w:t>
            </w:r>
          </w:p>
        </w:tc>
        <w:tc>
          <w:tcPr>
            <w:tcW w:w="219" w:type="pct"/>
            <w:tcBorders>
              <w:top w:val="nil"/>
              <w:left w:val="nil"/>
              <w:bottom w:val="nil"/>
              <w:right w:val="nil"/>
            </w:tcBorders>
            <w:shd w:val="clear" w:color="auto" w:fill="FFFFFF" w:themeFill="background1"/>
            <w:vAlign w:val="center"/>
            <w:hideMark/>
          </w:tcPr>
          <w:p w14:paraId="39C71BA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25</w:t>
            </w:r>
          </w:p>
        </w:tc>
        <w:tc>
          <w:tcPr>
            <w:tcW w:w="220" w:type="pct"/>
            <w:tcBorders>
              <w:top w:val="nil"/>
              <w:left w:val="nil"/>
              <w:bottom w:val="nil"/>
              <w:right w:val="nil"/>
            </w:tcBorders>
            <w:shd w:val="clear" w:color="auto" w:fill="FFFFFF" w:themeFill="background1"/>
            <w:noWrap/>
            <w:vAlign w:val="center"/>
            <w:hideMark/>
          </w:tcPr>
          <w:p w14:paraId="267CC76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134</w:t>
            </w:r>
          </w:p>
        </w:tc>
        <w:tc>
          <w:tcPr>
            <w:tcW w:w="219" w:type="pct"/>
            <w:tcBorders>
              <w:top w:val="nil"/>
              <w:left w:val="nil"/>
              <w:bottom w:val="nil"/>
              <w:right w:val="nil"/>
            </w:tcBorders>
            <w:shd w:val="clear" w:color="auto" w:fill="FFFFFF" w:themeFill="background1"/>
            <w:noWrap/>
            <w:vAlign w:val="center"/>
            <w:hideMark/>
          </w:tcPr>
          <w:p w14:paraId="1BFAD6A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81.3</w:t>
            </w:r>
          </w:p>
        </w:tc>
        <w:tc>
          <w:tcPr>
            <w:tcW w:w="220" w:type="pct"/>
            <w:tcBorders>
              <w:top w:val="nil"/>
              <w:left w:val="nil"/>
              <w:bottom w:val="nil"/>
              <w:right w:val="nil"/>
            </w:tcBorders>
            <w:shd w:val="clear" w:color="auto" w:fill="FFFFFF" w:themeFill="background1"/>
            <w:noWrap/>
            <w:vAlign w:val="center"/>
            <w:hideMark/>
          </w:tcPr>
          <w:p w14:paraId="0109471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18.7</w:t>
            </w:r>
          </w:p>
        </w:tc>
        <w:tc>
          <w:tcPr>
            <w:tcW w:w="219" w:type="pct"/>
            <w:tcBorders>
              <w:top w:val="nil"/>
              <w:left w:val="nil"/>
              <w:bottom w:val="nil"/>
              <w:right w:val="single" w:sz="8" w:space="0" w:color="auto"/>
            </w:tcBorders>
            <w:shd w:val="clear" w:color="auto" w:fill="FFFFFF" w:themeFill="background1"/>
            <w:vAlign w:val="center"/>
            <w:hideMark/>
          </w:tcPr>
          <w:p w14:paraId="5BF829D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95.7</w:t>
            </w:r>
          </w:p>
        </w:tc>
        <w:tc>
          <w:tcPr>
            <w:tcW w:w="220" w:type="pct"/>
            <w:tcBorders>
              <w:top w:val="nil"/>
              <w:left w:val="nil"/>
              <w:bottom w:val="nil"/>
              <w:right w:val="nil"/>
            </w:tcBorders>
            <w:shd w:val="clear" w:color="auto" w:fill="FFFFFF" w:themeFill="background1"/>
            <w:vAlign w:val="center"/>
            <w:hideMark/>
          </w:tcPr>
          <w:p w14:paraId="5A69448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122</w:t>
            </w:r>
          </w:p>
        </w:tc>
        <w:tc>
          <w:tcPr>
            <w:tcW w:w="219" w:type="pct"/>
            <w:tcBorders>
              <w:top w:val="nil"/>
              <w:left w:val="nil"/>
              <w:bottom w:val="nil"/>
              <w:right w:val="nil"/>
            </w:tcBorders>
            <w:shd w:val="clear" w:color="auto" w:fill="FFFFFF" w:themeFill="background1"/>
            <w:vAlign w:val="center"/>
            <w:hideMark/>
          </w:tcPr>
          <w:p w14:paraId="137752F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22</w:t>
            </w:r>
          </w:p>
        </w:tc>
        <w:tc>
          <w:tcPr>
            <w:tcW w:w="220" w:type="pct"/>
            <w:tcBorders>
              <w:top w:val="nil"/>
              <w:left w:val="nil"/>
              <w:bottom w:val="nil"/>
              <w:right w:val="nil"/>
            </w:tcBorders>
            <w:shd w:val="clear" w:color="auto" w:fill="FFFFFF" w:themeFill="background1"/>
            <w:noWrap/>
            <w:vAlign w:val="center"/>
            <w:hideMark/>
          </w:tcPr>
          <w:p w14:paraId="63B7096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144</w:t>
            </w:r>
          </w:p>
        </w:tc>
        <w:tc>
          <w:tcPr>
            <w:tcW w:w="219" w:type="pct"/>
            <w:tcBorders>
              <w:top w:val="nil"/>
              <w:left w:val="nil"/>
              <w:bottom w:val="nil"/>
              <w:right w:val="nil"/>
            </w:tcBorders>
            <w:shd w:val="clear" w:color="auto" w:fill="FFFFFF" w:themeFill="background1"/>
            <w:noWrap/>
            <w:vAlign w:val="center"/>
            <w:hideMark/>
          </w:tcPr>
          <w:p w14:paraId="7FF174C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84.7</w:t>
            </w:r>
          </w:p>
        </w:tc>
        <w:tc>
          <w:tcPr>
            <w:tcW w:w="219" w:type="pct"/>
            <w:tcBorders>
              <w:top w:val="nil"/>
              <w:left w:val="nil"/>
              <w:bottom w:val="nil"/>
              <w:right w:val="nil"/>
            </w:tcBorders>
            <w:shd w:val="clear" w:color="auto" w:fill="FFFFFF" w:themeFill="background1"/>
            <w:noWrap/>
            <w:vAlign w:val="center"/>
            <w:hideMark/>
          </w:tcPr>
          <w:p w14:paraId="6D1B1DB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15.3</w:t>
            </w:r>
          </w:p>
        </w:tc>
        <w:tc>
          <w:tcPr>
            <w:tcW w:w="220" w:type="pct"/>
            <w:tcBorders>
              <w:top w:val="nil"/>
              <w:left w:val="nil"/>
              <w:bottom w:val="nil"/>
              <w:right w:val="single" w:sz="8" w:space="0" w:color="auto"/>
            </w:tcBorders>
            <w:shd w:val="clear" w:color="auto" w:fill="FFFFFF" w:themeFill="background1"/>
            <w:vAlign w:val="center"/>
            <w:hideMark/>
          </w:tcPr>
          <w:p w14:paraId="444FBA57" w14:textId="6BB32CDA"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96</w:t>
            </w:r>
          </w:p>
        </w:tc>
        <w:tc>
          <w:tcPr>
            <w:tcW w:w="219" w:type="pct"/>
            <w:tcBorders>
              <w:top w:val="nil"/>
              <w:left w:val="nil"/>
              <w:bottom w:val="nil"/>
              <w:right w:val="nil"/>
            </w:tcBorders>
            <w:shd w:val="clear" w:color="auto" w:fill="FFFFFF" w:themeFill="background1"/>
            <w:vAlign w:val="center"/>
            <w:hideMark/>
          </w:tcPr>
          <w:p w14:paraId="41AC72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125</w:t>
            </w:r>
          </w:p>
        </w:tc>
        <w:tc>
          <w:tcPr>
            <w:tcW w:w="220" w:type="pct"/>
            <w:tcBorders>
              <w:top w:val="nil"/>
              <w:left w:val="nil"/>
              <w:bottom w:val="nil"/>
              <w:right w:val="nil"/>
            </w:tcBorders>
            <w:shd w:val="clear" w:color="auto" w:fill="FFFFFF" w:themeFill="background1"/>
            <w:vAlign w:val="center"/>
            <w:hideMark/>
          </w:tcPr>
          <w:p w14:paraId="0FBAECB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20</w:t>
            </w:r>
          </w:p>
        </w:tc>
        <w:tc>
          <w:tcPr>
            <w:tcW w:w="219" w:type="pct"/>
            <w:tcBorders>
              <w:top w:val="nil"/>
              <w:left w:val="nil"/>
              <w:bottom w:val="nil"/>
              <w:right w:val="nil"/>
            </w:tcBorders>
            <w:shd w:val="clear" w:color="auto" w:fill="FFFFFF" w:themeFill="background1"/>
            <w:noWrap/>
            <w:vAlign w:val="center"/>
            <w:hideMark/>
          </w:tcPr>
          <w:p w14:paraId="1119095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145</w:t>
            </w:r>
          </w:p>
        </w:tc>
        <w:tc>
          <w:tcPr>
            <w:tcW w:w="220" w:type="pct"/>
            <w:tcBorders>
              <w:top w:val="nil"/>
              <w:left w:val="nil"/>
              <w:bottom w:val="nil"/>
              <w:right w:val="nil"/>
            </w:tcBorders>
            <w:shd w:val="clear" w:color="auto" w:fill="FFFFFF" w:themeFill="background1"/>
            <w:noWrap/>
            <w:vAlign w:val="center"/>
            <w:hideMark/>
          </w:tcPr>
          <w:p w14:paraId="08874F8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86.2</w:t>
            </w:r>
          </w:p>
        </w:tc>
        <w:tc>
          <w:tcPr>
            <w:tcW w:w="219" w:type="pct"/>
            <w:tcBorders>
              <w:top w:val="nil"/>
              <w:left w:val="nil"/>
              <w:bottom w:val="nil"/>
              <w:right w:val="nil"/>
            </w:tcBorders>
            <w:shd w:val="clear" w:color="auto" w:fill="FFFFFF" w:themeFill="background1"/>
            <w:noWrap/>
            <w:vAlign w:val="center"/>
            <w:hideMark/>
          </w:tcPr>
          <w:p w14:paraId="4A02C57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13.8</w:t>
            </w:r>
          </w:p>
        </w:tc>
        <w:tc>
          <w:tcPr>
            <w:tcW w:w="220" w:type="pct"/>
            <w:tcBorders>
              <w:top w:val="nil"/>
              <w:left w:val="nil"/>
              <w:bottom w:val="nil"/>
              <w:right w:val="single" w:sz="8" w:space="0" w:color="auto"/>
            </w:tcBorders>
            <w:shd w:val="clear" w:color="auto" w:fill="FFFFFF" w:themeFill="background1"/>
            <w:vAlign w:val="center"/>
            <w:hideMark/>
          </w:tcPr>
          <w:p w14:paraId="675EFEE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97.3</w:t>
            </w:r>
          </w:p>
        </w:tc>
      </w:tr>
      <w:tr w:rsidR="00681B50" w:rsidRPr="00435B6B" w14:paraId="2B696141" w14:textId="77777777" w:rsidTr="001F4A34">
        <w:trPr>
          <w:trHeight w:val="240"/>
          <w:jc w:val="center"/>
        </w:trPr>
        <w:tc>
          <w:tcPr>
            <w:tcW w:w="1052" w:type="pct"/>
            <w:tcBorders>
              <w:top w:val="nil"/>
              <w:left w:val="single" w:sz="8" w:space="0" w:color="auto"/>
              <w:bottom w:val="nil"/>
              <w:right w:val="single" w:sz="8" w:space="0" w:color="auto"/>
            </w:tcBorders>
            <w:shd w:val="clear" w:color="auto" w:fill="FFFFFF" w:themeFill="background1"/>
            <w:vAlign w:val="center"/>
            <w:hideMark/>
          </w:tcPr>
          <w:p w14:paraId="621FAC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S (20.8-25mm)</w:t>
            </w:r>
          </w:p>
        </w:tc>
        <w:tc>
          <w:tcPr>
            <w:tcW w:w="219" w:type="pct"/>
            <w:tcBorders>
              <w:top w:val="nil"/>
              <w:left w:val="nil"/>
              <w:bottom w:val="nil"/>
              <w:right w:val="nil"/>
            </w:tcBorders>
            <w:shd w:val="clear" w:color="auto" w:fill="FFFFFF" w:themeFill="background1"/>
            <w:vAlign w:val="center"/>
            <w:hideMark/>
          </w:tcPr>
          <w:p w14:paraId="742A806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vAlign w:val="center"/>
            <w:hideMark/>
          </w:tcPr>
          <w:p w14:paraId="1D8C9C3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0" w:type="pct"/>
            <w:tcBorders>
              <w:top w:val="nil"/>
              <w:left w:val="nil"/>
              <w:bottom w:val="nil"/>
              <w:right w:val="nil"/>
            </w:tcBorders>
            <w:shd w:val="clear" w:color="auto" w:fill="FFFFFF" w:themeFill="background1"/>
            <w:noWrap/>
            <w:vAlign w:val="center"/>
            <w:hideMark/>
          </w:tcPr>
          <w:p w14:paraId="3652288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19" w:type="pct"/>
            <w:tcBorders>
              <w:top w:val="nil"/>
              <w:left w:val="nil"/>
              <w:bottom w:val="nil"/>
              <w:right w:val="nil"/>
            </w:tcBorders>
            <w:shd w:val="clear" w:color="auto" w:fill="FFFFFF" w:themeFill="background1"/>
            <w:noWrap/>
            <w:vAlign w:val="center"/>
            <w:hideMark/>
          </w:tcPr>
          <w:p w14:paraId="08E9732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noWrap/>
            <w:vAlign w:val="center"/>
            <w:hideMark/>
          </w:tcPr>
          <w:p w14:paraId="7EF343C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19" w:type="pct"/>
            <w:tcBorders>
              <w:top w:val="nil"/>
              <w:left w:val="nil"/>
              <w:bottom w:val="nil"/>
              <w:right w:val="single" w:sz="8" w:space="0" w:color="auto"/>
            </w:tcBorders>
            <w:shd w:val="clear" w:color="auto" w:fill="FFFFFF" w:themeFill="background1"/>
            <w:vAlign w:val="center"/>
            <w:hideMark/>
          </w:tcPr>
          <w:p w14:paraId="557D2F3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0.7</w:t>
            </w:r>
          </w:p>
        </w:tc>
        <w:tc>
          <w:tcPr>
            <w:tcW w:w="220" w:type="pct"/>
            <w:tcBorders>
              <w:top w:val="nil"/>
              <w:left w:val="nil"/>
              <w:bottom w:val="nil"/>
              <w:right w:val="nil"/>
            </w:tcBorders>
            <w:shd w:val="clear" w:color="auto" w:fill="FFFFFF" w:themeFill="background1"/>
            <w:vAlign w:val="center"/>
            <w:hideMark/>
          </w:tcPr>
          <w:p w14:paraId="3E895B1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19" w:type="pct"/>
            <w:tcBorders>
              <w:top w:val="nil"/>
              <w:left w:val="nil"/>
              <w:bottom w:val="nil"/>
              <w:right w:val="nil"/>
            </w:tcBorders>
            <w:shd w:val="clear" w:color="auto" w:fill="FFFFFF" w:themeFill="background1"/>
            <w:vAlign w:val="center"/>
            <w:hideMark/>
          </w:tcPr>
          <w:p w14:paraId="3677B8A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0" w:type="pct"/>
            <w:tcBorders>
              <w:top w:val="nil"/>
              <w:left w:val="nil"/>
              <w:bottom w:val="nil"/>
              <w:right w:val="nil"/>
            </w:tcBorders>
            <w:shd w:val="clear" w:color="auto" w:fill="FFFFFF" w:themeFill="background1"/>
            <w:noWrap/>
            <w:vAlign w:val="center"/>
            <w:hideMark/>
          </w:tcPr>
          <w:p w14:paraId="29F4975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19" w:type="pct"/>
            <w:tcBorders>
              <w:top w:val="nil"/>
              <w:left w:val="nil"/>
              <w:bottom w:val="nil"/>
              <w:right w:val="nil"/>
            </w:tcBorders>
            <w:shd w:val="clear" w:color="auto" w:fill="FFFFFF" w:themeFill="background1"/>
            <w:noWrap/>
            <w:vAlign w:val="center"/>
            <w:hideMark/>
          </w:tcPr>
          <w:p w14:paraId="275EE44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66.7</w:t>
            </w:r>
          </w:p>
        </w:tc>
        <w:tc>
          <w:tcPr>
            <w:tcW w:w="219" w:type="pct"/>
            <w:tcBorders>
              <w:top w:val="nil"/>
              <w:left w:val="nil"/>
              <w:bottom w:val="nil"/>
              <w:right w:val="nil"/>
            </w:tcBorders>
            <w:shd w:val="clear" w:color="auto" w:fill="FFFFFF" w:themeFill="background1"/>
            <w:noWrap/>
            <w:vAlign w:val="center"/>
            <w:hideMark/>
          </w:tcPr>
          <w:p w14:paraId="7E688BC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33.3</w:t>
            </w:r>
          </w:p>
        </w:tc>
        <w:tc>
          <w:tcPr>
            <w:tcW w:w="220" w:type="pct"/>
            <w:tcBorders>
              <w:top w:val="nil"/>
              <w:left w:val="nil"/>
              <w:bottom w:val="nil"/>
              <w:right w:val="single" w:sz="8" w:space="0" w:color="auto"/>
            </w:tcBorders>
            <w:shd w:val="clear" w:color="auto" w:fill="FFFFFF" w:themeFill="background1"/>
            <w:vAlign w:val="center"/>
            <w:hideMark/>
          </w:tcPr>
          <w:p w14:paraId="0BC7212C" w14:textId="6DC3851D"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19" w:type="pct"/>
            <w:tcBorders>
              <w:top w:val="nil"/>
              <w:left w:val="nil"/>
              <w:bottom w:val="nil"/>
              <w:right w:val="nil"/>
            </w:tcBorders>
            <w:shd w:val="clear" w:color="auto" w:fill="FFFFFF" w:themeFill="background1"/>
            <w:vAlign w:val="center"/>
            <w:hideMark/>
          </w:tcPr>
          <w:p w14:paraId="71503A5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20" w:type="pct"/>
            <w:tcBorders>
              <w:top w:val="nil"/>
              <w:left w:val="nil"/>
              <w:bottom w:val="nil"/>
              <w:right w:val="nil"/>
            </w:tcBorders>
            <w:shd w:val="clear" w:color="auto" w:fill="FFFFFF" w:themeFill="background1"/>
            <w:vAlign w:val="center"/>
            <w:hideMark/>
          </w:tcPr>
          <w:p w14:paraId="2DDC40D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19" w:type="pct"/>
            <w:tcBorders>
              <w:top w:val="nil"/>
              <w:left w:val="nil"/>
              <w:bottom w:val="nil"/>
              <w:right w:val="nil"/>
            </w:tcBorders>
            <w:shd w:val="clear" w:color="auto" w:fill="FFFFFF" w:themeFill="background1"/>
            <w:noWrap/>
            <w:vAlign w:val="center"/>
            <w:hideMark/>
          </w:tcPr>
          <w:p w14:paraId="75B0CC3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w:t>
            </w:r>
          </w:p>
        </w:tc>
        <w:tc>
          <w:tcPr>
            <w:tcW w:w="220" w:type="pct"/>
            <w:tcBorders>
              <w:top w:val="nil"/>
              <w:left w:val="nil"/>
              <w:bottom w:val="nil"/>
              <w:right w:val="nil"/>
            </w:tcBorders>
            <w:shd w:val="clear" w:color="auto" w:fill="FFFFFF" w:themeFill="background1"/>
            <w:noWrap/>
            <w:vAlign w:val="center"/>
            <w:hideMark/>
          </w:tcPr>
          <w:p w14:paraId="1A97AF8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bottom w:val="nil"/>
              <w:right w:val="nil"/>
            </w:tcBorders>
            <w:shd w:val="clear" w:color="auto" w:fill="FFFFFF" w:themeFill="background1"/>
            <w:noWrap/>
            <w:vAlign w:val="center"/>
            <w:hideMark/>
          </w:tcPr>
          <w:p w14:paraId="48359B9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bottom w:val="nil"/>
              <w:right w:val="single" w:sz="8" w:space="0" w:color="auto"/>
            </w:tcBorders>
            <w:shd w:val="clear" w:color="auto" w:fill="FFFFFF" w:themeFill="background1"/>
            <w:vAlign w:val="center"/>
            <w:hideMark/>
          </w:tcPr>
          <w:p w14:paraId="4B9EEFF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0.7</w:t>
            </w:r>
          </w:p>
        </w:tc>
      </w:tr>
      <w:tr w:rsidR="00681B50" w:rsidRPr="00435B6B" w14:paraId="5C016C1D" w14:textId="77777777" w:rsidTr="001F4A34">
        <w:trPr>
          <w:trHeight w:val="240"/>
          <w:jc w:val="center"/>
        </w:trPr>
        <w:tc>
          <w:tcPr>
            <w:tcW w:w="1052" w:type="pct"/>
            <w:tcBorders>
              <w:top w:val="nil"/>
              <w:left w:val="single" w:sz="8" w:space="0" w:color="auto"/>
              <w:right w:val="single" w:sz="8" w:space="0" w:color="auto"/>
            </w:tcBorders>
            <w:shd w:val="clear" w:color="auto" w:fill="FFFFFF" w:themeFill="background1"/>
            <w:vAlign w:val="center"/>
            <w:hideMark/>
          </w:tcPr>
          <w:p w14:paraId="04C4B1C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M (25-30mm)</w:t>
            </w:r>
          </w:p>
        </w:tc>
        <w:tc>
          <w:tcPr>
            <w:tcW w:w="219" w:type="pct"/>
            <w:tcBorders>
              <w:top w:val="nil"/>
              <w:left w:val="nil"/>
              <w:right w:val="nil"/>
            </w:tcBorders>
            <w:shd w:val="clear" w:color="auto" w:fill="FFFFFF" w:themeFill="background1"/>
            <w:vAlign w:val="center"/>
            <w:hideMark/>
          </w:tcPr>
          <w:p w14:paraId="08E453B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w:t>
            </w:r>
          </w:p>
        </w:tc>
        <w:tc>
          <w:tcPr>
            <w:tcW w:w="219" w:type="pct"/>
            <w:tcBorders>
              <w:top w:val="nil"/>
              <w:left w:val="nil"/>
              <w:right w:val="nil"/>
            </w:tcBorders>
            <w:shd w:val="clear" w:color="auto" w:fill="FFFFFF" w:themeFill="background1"/>
            <w:vAlign w:val="center"/>
            <w:hideMark/>
          </w:tcPr>
          <w:p w14:paraId="3A6B7C9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0" w:type="pct"/>
            <w:tcBorders>
              <w:top w:val="nil"/>
              <w:left w:val="nil"/>
              <w:right w:val="nil"/>
            </w:tcBorders>
            <w:shd w:val="clear" w:color="auto" w:fill="FFFFFF" w:themeFill="background1"/>
            <w:noWrap/>
            <w:vAlign w:val="center"/>
            <w:hideMark/>
          </w:tcPr>
          <w:p w14:paraId="4896F3FC"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w:t>
            </w:r>
          </w:p>
        </w:tc>
        <w:tc>
          <w:tcPr>
            <w:tcW w:w="219" w:type="pct"/>
            <w:tcBorders>
              <w:top w:val="nil"/>
              <w:left w:val="nil"/>
              <w:right w:val="nil"/>
            </w:tcBorders>
            <w:shd w:val="clear" w:color="auto" w:fill="FFFFFF" w:themeFill="background1"/>
            <w:noWrap/>
            <w:vAlign w:val="center"/>
            <w:hideMark/>
          </w:tcPr>
          <w:p w14:paraId="621AE98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57.1</w:t>
            </w:r>
          </w:p>
        </w:tc>
        <w:tc>
          <w:tcPr>
            <w:tcW w:w="220" w:type="pct"/>
            <w:tcBorders>
              <w:top w:val="nil"/>
              <w:left w:val="nil"/>
              <w:right w:val="nil"/>
            </w:tcBorders>
            <w:shd w:val="clear" w:color="auto" w:fill="FFFFFF" w:themeFill="background1"/>
            <w:noWrap/>
            <w:vAlign w:val="center"/>
            <w:hideMark/>
          </w:tcPr>
          <w:p w14:paraId="3D7ED2B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42.9</w:t>
            </w:r>
          </w:p>
        </w:tc>
        <w:tc>
          <w:tcPr>
            <w:tcW w:w="219" w:type="pct"/>
            <w:tcBorders>
              <w:top w:val="nil"/>
              <w:left w:val="nil"/>
              <w:right w:val="single" w:sz="8" w:space="0" w:color="auto"/>
            </w:tcBorders>
            <w:shd w:val="clear" w:color="auto" w:fill="FFFFFF" w:themeFill="background1"/>
            <w:vAlign w:val="center"/>
            <w:hideMark/>
          </w:tcPr>
          <w:p w14:paraId="4566800F" w14:textId="02C40785"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20" w:type="pct"/>
            <w:tcBorders>
              <w:top w:val="nil"/>
              <w:left w:val="nil"/>
              <w:right w:val="nil"/>
            </w:tcBorders>
            <w:shd w:val="clear" w:color="auto" w:fill="FFFFFF" w:themeFill="background1"/>
            <w:vAlign w:val="center"/>
            <w:hideMark/>
          </w:tcPr>
          <w:p w14:paraId="084BA787"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right w:val="nil"/>
            </w:tcBorders>
            <w:shd w:val="clear" w:color="auto" w:fill="FFFFFF" w:themeFill="background1"/>
            <w:vAlign w:val="center"/>
            <w:hideMark/>
          </w:tcPr>
          <w:p w14:paraId="5966A4F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20" w:type="pct"/>
            <w:tcBorders>
              <w:top w:val="nil"/>
              <w:left w:val="nil"/>
              <w:right w:val="nil"/>
            </w:tcBorders>
            <w:shd w:val="clear" w:color="auto" w:fill="FFFFFF" w:themeFill="background1"/>
            <w:noWrap/>
            <w:vAlign w:val="center"/>
            <w:hideMark/>
          </w:tcPr>
          <w:p w14:paraId="51D42133"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3</w:t>
            </w:r>
          </w:p>
        </w:tc>
        <w:tc>
          <w:tcPr>
            <w:tcW w:w="219" w:type="pct"/>
            <w:tcBorders>
              <w:top w:val="nil"/>
              <w:left w:val="nil"/>
              <w:right w:val="nil"/>
            </w:tcBorders>
            <w:shd w:val="clear" w:color="auto" w:fill="FFFFFF" w:themeFill="background1"/>
            <w:noWrap/>
            <w:vAlign w:val="center"/>
            <w:hideMark/>
          </w:tcPr>
          <w:p w14:paraId="520A909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0</w:t>
            </w:r>
          </w:p>
        </w:tc>
        <w:tc>
          <w:tcPr>
            <w:tcW w:w="219" w:type="pct"/>
            <w:tcBorders>
              <w:top w:val="nil"/>
              <w:left w:val="nil"/>
              <w:right w:val="nil"/>
            </w:tcBorders>
            <w:shd w:val="clear" w:color="auto" w:fill="FFFFFF" w:themeFill="background1"/>
            <w:noWrap/>
            <w:vAlign w:val="center"/>
            <w:hideMark/>
          </w:tcPr>
          <w:p w14:paraId="7A591238"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100</w:t>
            </w:r>
          </w:p>
        </w:tc>
        <w:tc>
          <w:tcPr>
            <w:tcW w:w="220" w:type="pct"/>
            <w:tcBorders>
              <w:top w:val="nil"/>
              <w:left w:val="nil"/>
              <w:right w:val="single" w:sz="8" w:space="0" w:color="auto"/>
            </w:tcBorders>
            <w:shd w:val="clear" w:color="auto" w:fill="FFFFFF" w:themeFill="background1"/>
            <w:vAlign w:val="center"/>
            <w:hideMark/>
          </w:tcPr>
          <w:p w14:paraId="461CDEBC" w14:textId="44A25BC5"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w:t>
            </w:r>
          </w:p>
        </w:tc>
        <w:tc>
          <w:tcPr>
            <w:tcW w:w="219" w:type="pct"/>
            <w:tcBorders>
              <w:top w:val="nil"/>
              <w:left w:val="nil"/>
              <w:right w:val="nil"/>
            </w:tcBorders>
            <w:shd w:val="clear" w:color="auto" w:fill="FFFFFF" w:themeFill="background1"/>
            <w:vAlign w:val="center"/>
            <w:hideMark/>
          </w:tcPr>
          <w:p w14:paraId="5C99BDD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w:t>
            </w:r>
          </w:p>
        </w:tc>
        <w:tc>
          <w:tcPr>
            <w:tcW w:w="220" w:type="pct"/>
            <w:tcBorders>
              <w:top w:val="nil"/>
              <w:left w:val="nil"/>
              <w:right w:val="nil"/>
            </w:tcBorders>
            <w:shd w:val="clear" w:color="auto" w:fill="FFFFFF" w:themeFill="background1"/>
            <w:vAlign w:val="center"/>
            <w:hideMark/>
          </w:tcPr>
          <w:p w14:paraId="1113EDDE"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w:t>
            </w:r>
          </w:p>
        </w:tc>
        <w:tc>
          <w:tcPr>
            <w:tcW w:w="219" w:type="pct"/>
            <w:tcBorders>
              <w:top w:val="nil"/>
              <w:left w:val="nil"/>
              <w:right w:val="nil"/>
            </w:tcBorders>
            <w:shd w:val="clear" w:color="auto" w:fill="FFFFFF" w:themeFill="background1"/>
            <w:noWrap/>
            <w:vAlign w:val="center"/>
            <w:hideMark/>
          </w:tcPr>
          <w:p w14:paraId="4499298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w:t>
            </w:r>
          </w:p>
        </w:tc>
        <w:tc>
          <w:tcPr>
            <w:tcW w:w="220" w:type="pct"/>
            <w:tcBorders>
              <w:top w:val="nil"/>
              <w:left w:val="nil"/>
              <w:right w:val="nil"/>
            </w:tcBorders>
            <w:shd w:val="clear" w:color="auto" w:fill="FFFFFF" w:themeFill="background1"/>
            <w:noWrap/>
            <w:vAlign w:val="center"/>
            <w:hideMark/>
          </w:tcPr>
          <w:p w14:paraId="42DBE023" w14:textId="51C9D6B9"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60</w:t>
            </w:r>
          </w:p>
        </w:tc>
        <w:tc>
          <w:tcPr>
            <w:tcW w:w="219" w:type="pct"/>
            <w:tcBorders>
              <w:top w:val="nil"/>
              <w:left w:val="nil"/>
              <w:right w:val="nil"/>
            </w:tcBorders>
            <w:shd w:val="clear" w:color="auto" w:fill="FFFFFF" w:themeFill="background1"/>
            <w:noWrap/>
            <w:vAlign w:val="center"/>
            <w:hideMark/>
          </w:tcPr>
          <w:p w14:paraId="0832775C" w14:textId="66B2A163"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40</w:t>
            </w:r>
          </w:p>
        </w:tc>
        <w:tc>
          <w:tcPr>
            <w:tcW w:w="220" w:type="pct"/>
            <w:tcBorders>
              <w:top w:val="nil"/>
              <w:left w:val="nil"/>
              <w:right w:val="single" w:sz="8" w:space="0" w:color="auto"/>
            </w:tcBorders>
            <w:shd w:val="clear" w:color="auto" w:fill="FFFFFF" w:themeFill="background1"/>
            <w:vAlign w:val="center"/>
            <w:hideMark/>
          </w:tcPr>
          <w:p w14:paraId="1319B354"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6.7</w:t>
            </w:r>
          </w:p>
        </w:tc>
      </w:tr>
      <w:tr w:rsidR="00681B50" w:rsidRPr="00435B6B" w14:paraId="2BCFA69B" w14:textId="77777777" w:rsidTr="001F4A34">
        <w:trPr>
          <w:trHeight w:val="255"/>
          <w:jc w:val="center"/>
        </w:trPr>
        <w:tc>
          <w:tcPr>
            <w:tcW w:w="1052" w:type="pct"/>
            <w:tcBorders>
              <w:top w:val="nil"/>
              <w:left w:val="single" w:sz="8" w:space="0" w:color="auto"/>
              <w:bottom w:val="single" w:sz="4" w:space="0" w:color="auto"/>
              <w:right w:val="single" w:sz="8" w:space="0" w:color="auto"/>
            </w:tcBorders>
            <w:shd w:val="clear" w:color="auto" w:fill="FFFFFF" w:themeFill="background1"/>
            <w:vAlign w:val="center"/>
            <w:hideMark/>
          </w:tcPr>
          <w:p w14:paraId="3D9D832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L (30-45.9mm)</w:t>
            </w:r>
          </w:p>
        </w:tc>
        <w:tc>
          <w:tcPr>
            <w:tcW w:w="219" w:type="pct"/>
            <w:tcBorders>
              <w:top w:val="nil"/>
              <w:left w:val="nil"/>
              <w:bottom w:val="single" w:sz="4" w:space="0" w:color="auto"/>
              <w:right w:val="nil"/>
            </w:tcBorders>
            <w:shd w:val="clear" w:color="auto" w:fill="FFFFFF" w:themeFill="background1"/>
            <w:vAlign w:val="center"/>
            <w:hideMark/>
          </w:tcPr>
          <w:p w14:paraId="5EBC66B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102</w:t>
            </w:r>
          </w:p>
        </w:tc>
        <w:tc>
          <w:tcPr>
            <w:tcW w:w="219" w:type="pct"/>
            <w:tcBorders>
              <w:top w:val="nil"/>
              <w:left w:val="nil"/>
              <w:bottom w:val="single" w:sz="4" w:space="0" w:color="auto"/>
              <w:right w:val="nil"/>
            </w:tcBorders>
            <w:shd w:val="clear" w:color="auto" w:fill="FFFFFF" w:themeFill="background1"/>
            <w:vAlign w:val="center"/>
            <w:hideMark/>
          </w:tcPr>
          <w:p w14:paraId="7CBDA9F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23</w:t>
            </w:r>
          </w:p>
        </w:tc>
        <w:tc>
          <w:tcPr>
            <w:tcW w:w="220" w:type="pct"/>
            <w:tcBorders>
              <w:top w:val="nil"/>
              <w:left w:val="nil"/>
              <w:bottom w:val="single" w:sz="4" w:space="0" w:color="auto"/>
              <w:right w:val="nil"/>
            </w:tcBorders>
            <w:shd w:val="clear" w:color="auto" w:fill="FFFFFF" w:themeFill="background1"/>
            <w:noWrap/>
            <w:vAlign w:val="center"/>
            <w:hideMark/>
          </w:tcPr>
          <w:p w14:paraId="132E2BA5"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125</w:t>
            </w:r>
          </w:p>
        </w:tc>
        <w:tc>
          <w:tcPr>
            <w:tcW w:w="219" w:type="pct"/>
            <w:tcBorders>
              <w:top w:val="nil"/>
              <w:left w:val="nil"/>
              <w:bottom w:val="single" w:sz="4" w:space="0" w:color="auto"/>
              <w:right w:val="nil"/>
            </w:tcBorders>
            <w:shd w:val="clear" w:color="auto" w:fill="FFFFFF" w:themeFill="background1"/>
            <w:noWrap/>
            <w:vAlign w:val="center"/>
            <w:hideMark/>
          </w:tcPr>
          <w:p w14:paraId="6D4D145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81.6</w:t>
            </w:r>
          </w:p>
        </w:tc>
        <w:tc>
          <w:tcPr>
            <w:tcW w:w="220" w:type="pct"/>
            <w:tcBorders>
              <w:top w:val="nil"/>
              <w:left w:val="nil"/>
              <w:bottom w:val="single" w:sz="4" w:space="0" w:color="auto"/>
              <w:right w:val="nil"/>
            </w:tcBorders>
            <w:shd w:val="clear" w:color="auto" w:fill="FFFFFF" w:themeFill="background1"/>
            <w:noWrap/>
            <w:vAlign w:val="center"/>
            <w:hideMark/>
          </w:tcPr>
          <w:p w14:paraId="4112E8D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18.4</w:t>
            </w:r>
          </w:p>
        </w:tc>
        <w:tc>
          <w:tcPr>
            <w:tcW w:w="219" w:type="pct"/>
            <w:tcBorders>
              <w:top w:val="nil"/>
              <w:left w:val="nil"/>
              <w:bottom w:val="single" w:sz="4" w:space="0" w:color="auto"/>
              <w:right w:val="single" w:sz="8" w:space="0" w:color="auto"/>
            </w:tcBorders>
            <w:shd w:val="clear" w:color="auto" w:fill="FFFFFF" w:themeFill="background1"/>
            <w:vAlign w:val="center"/>
            <w:hideMark/>
          </w:tcPr>
          <w:p w14:paraId="0D7B244D"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89.3</w:t>
            </w:r>
          </w:p>
        </w:tc>
        <w:tc>
          <w:tcPr>
            <w:tcW w:w="220" w:type="pct"/>
            <w:tcBorders>
              <w:top w:val="nil"/>
              <w:left w:val="nil"/>
              <w:bottom w:val="single" w:sz="4" w:space="0" w:color="auto"/>
              <w:right w:val="nil"/>
            </w:tcBorders>
            <w:shd w:val="clear" w:color="auto" w:fill="FFFFFF" w:themeFill="background1"/>
            <w:vAlign w:val="center"/>
            <w:hideMark/>
          </w:tcPr>
          <w:p w14:paraId="482C472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122</w:t>
            </w:r>
          </w:p>
        </w:tc>
        <w:tc>
          <w:tcPr>
            <w:tcW w:w="219" w:type="pct"/>
            <w:tcBorders>
              <w:top w:val="nil"/>
              <w:left w:val="nil"/>
              <w:bottom w:val="single" w:sz="4" w:space="0" w:color="auto"/>
              <w:right w:val="nil"/>
            </w:tcBorders>
            <w:shd w:val="clear" w:color="auto" w:fill="FFFFFF" w:themeFill="background1"/>
            <w:vAlign w:val="center"/>
            <w:hideMark/>
          </w:tcPr>
          <w:p w14:paraId="65B3AC2A"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22</w:t>
            </w:r>
          </w:p>
        </w:tc>
        <w:tc>
          <w:tcPr>
            <w:tcW w:w="220" w:type="pct"/>
            <w:tcBorders>
              <w:top w:val="nil"/>
              <w:left w:val="nil"/>
              <w:bottom w:val="single" w:sz="4" w:space="0" w:color="auto"/>
              <w:right w:val="nil"/>
            </w:tcBorders>
            <w:shd w:val="clear" w:color="auto" w:fill="FFFFFF" w:themeFill="background1"/>
            <w:noWrap/>
            <w:vAlign w:val="center"/>
            <w:hideMark/>
          </w:tcPr>
          <w:p w14:paraId="38E0BC26"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144</w:t>
            </w:r>
          </w:p>
        </w:tc>
        <w:tc>
          <w:tcPr>
            <w:tcW w:w="219" w:type="pct"/>
            <w:tcBorders>
              <w:top w:val="nil"/>
              <w:left w:val="nil"/>
              <w:bottom w:val="single" w:sz="4" w:space="0" w:color="auto"/>
              <w:right w:val="nil"/>
            </w:tcBorders>
            <w:shd w:val="clear" w:color="auto" w:fill="FFFFFF" w:themeFill="background1"/>
            <w:noWrap/>
            <w:vAlign w:val="center"/>
            <w:hideMark/>
          </w:tcPr>
          <w:p w14:paraId="209EBF1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84.7</w:t>
            </w:r>
          </w:p>
        </w:tc>
        <w:tc>
          <w:tcPr>
            <w:tcW w:w="219" w:type="pct"/>
            <w:tcBorders>
              <w:top w:val="nil"/>
              <w:left w:val="nil"/>
              <w:bottom w:val="single" w:sz="4" w:space="0" w:color="auto"/>
              <w:right w:val="nil"/>
            </w:tcBorders>
            <w:shd w:val="clear" w:color="auto" w:fill="FFFFFF" w:themeFill="background1"/>
            <w:noWrap/>
            <w:vAlign w:val="center"/>
            <w:hideMark/>
          </w:tcPr>
          <w:p w14:paraId="0514D10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15.3</w:t>
            </w:r>
          </w:p>
        </w:tc>
        <w:tc>
          <w:tcPr>
            <w:tcW w:w="220" w:type="pct"/>
            <w:tcBorders>
              <w:top w:val="nil"/>
              <w:left w:val="nil"/>
              <w:bottom w:val="single" w:sz="4" w:space="0" w:color="auto"/>
              <w:right w:val="single" w:sz="8" w:space="0" w:color="auto"/>
            </w:tcBorders>
            <w:shd w:val="clear" w:color="auto" w:fill="FFFFFF" w:themeFill="background1"/>
            <w:vAlign w:val="center"/>
            <w:hideMark/>
          </w:tcPr>
          <w:p w14:paraId="0AA4024A" w14:textId="2BEFBE6F"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96</w:t>
            </w:r>
          </w:p>
        </w:tc>
        <w:tc>
          <w:tcPr>
            <w:tcW w:w="219" w:type="pct"/>
            <w:tcBorders>
              <w:top w:val="nil"/>
              <w:left w:val="nil"/>
              <w:bottom w:val="single" w:sz="4" w:space="0" w:color="auto"/>
              <w:right w:val="nil"/>
            </w:tcBorders>
            <w:shd w:val="clear" w:color="auto" w:fill="FFFFFF" w:themeFill="background1"/>
            <w:vAlign w:val="center"/>
            <w:hideMark/>
          </w:tcPr>
          <w:p w14:paraId="50F89751"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119</w:t>
            </w:r>
          </w:p>
        </w:tc>
        <w:tc>
          <w:tcPr>
            <w:tcW w:w="220" w:type="pct"/>
            <w:tcBorders>
              <w:top w:val="nil"/>
              <w:left w:val="nil"/>
              <w:bottom w:val="single" w:sz="4" w:space="0" w:color="auto"/>
              <w:right w:val="nil"/>
            </w:tcBorders>
            <w:shd w:val="clear" w:color="auto" w:fill="FFFFFF" w:themeFill="background1"/>
            <w:vAlign w:val="center"/>
            <w:hideMark/>
          </w:tcPr>
          <w:p w14:paraId="6BD1CE5F"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19</w:t>
            </w:r>
          </w:p>
        </w:tc>
        <w:tc>
          <w:tcPr>
            <w:tcW w:w="219" w:type="pct"/>
            <w:tcBorders>
              <w:top w:val="nil"/>
              <w:left w:val="nil"/>
              <w:bottom w:val="single" w:sz="4" w:space="0" w:color="auto"/>
              <w:right w:val="nil"/>
            </w:tcBorders>
            <w:shd w:val="clear" w:color="auto" w:fill="FFFFFF" w:themeFill="background1"/>
            <w:noWrap/>
            <w:vAlign w:val="center"/>
            <w:hideMark/>
          </w:tcPr>
          <w:p w14:paraId="6AE70B72"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138</w:t>
            </w:r>
          </w:p>
        </w:tc>
        <w:tc>
          <w:tcPr>
            <w:tcW w:w="220" w:type="pct"/>
            <w:tcBorders>
              <w:top w:val="nil"/>
              <w:left w:val="nil"/>
              <w:bottom w:val="single" w:sz="4" w:space="0" w:color="auto"/>
              <w:right w:val="nil"/>
            </w:tcBorders>
            <w:shd w:val="clear" w:color="auto" w:fill="FFFFFF" w:themeFill="background1"/>
            <w:noWrap/>
            <w:vAlign w:val="center"/>
            <w:hideMark/>
          </w:tcPr>
          <w:p w14:paraId="3CAEF4D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86.2</w:t>
            </w:r>
          </w:p>
        </w:tc>
        <w:tc>
          <w:tcPr>
            <w:tcW w:w="219" w:type="pct"/>
            <w:tcBorders>
              <w:top w:val="nil"/>
              <w:left w:val="nil"/>
              <w:bottom w:val="single" w:sz="4" w:space="0" w:color="auto"/>
              <w:right w:val="nil"/>
            </w:tcBorders>
            <w:shd w:val="clear" w:color="auto" w:fill="FFFFFF" w:themeFill="background1"/>
            <w:noWrap/>
            <w:vAlign w:val="center"/>
            <w:hideMark/>
          </w:tcPr>
          <w:p w14:paraId="1EF3F9FB"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13.8</w:t>
            </w:r>
          </w:p>
        </w:tc>
        <w:tc>
          <w:tcPr>
            <w:tcW w:w="220" w:type="pct"/>
            <w:tcBorders>
              <w:top w:val="nil"/>
              <w:left w:val="nil"/>
              <w:bottom w:val="single" w:sz="4" w:space="0" w:color="auto"/>
              <w:right w:val="single" w:sz="8" w:space="0" w:color="auto"/>
            </w:tcBorders>
            <w:shd w:val="clear" w:color="auto" w:fill="FFFFFF" w:themeFill="background1"/>
            <w:vAlign w:val="center"/>
            <w:hideMark/>
          </w:tcPr>
          <w:p w14:paraId="10C9E129" w14:textId="77777777" w:rsidR="003421D4" w:rsidRPr="009819CE" w:rsidRDefault="003421D4" w:rsidP="0083610A">
            <w:pPr>
              <w:spacing w:before="0" w:after="0" w:line="240" w:lineRule="auto"/>
              <w:jc w:val="center"/>
              <w:rPr>
                <w:rFonts w:cstheme="minorBidi"/>
                <w:color w:val="000000"/>
                <w:sz w:val="20"/>
                <w:szCs w:val="20"/>
              </w:rPr>
            </w:pPr>
            <w:r w:rsidRPr="009819CE">
              <w:rPr>
                <w:rFonts w:cstheme="minorBidi"/>
                <w:color w:val="000000"/>
                <w:sz w:val="20"/>
                <w:szCs w:val="20"/>
              </w:rPr>
              <w:t>92.6</w:t>
            </w:r>
          </w:p>
        </w:tc>
      </w:tr>
    </w:tbl>
    <w:p w14:paraId="73F88B1C" w14:textId="77777777" w:rsidR="00FF7A3E" w:rsidRPr="009819CE" w:rsidRDefault="00FF7A3E" w:rsidP="00FF7A3E">
      <w:pPr>
        <w:rPr>
          <w:rFonts w:cstheme="minorBidi"/>
        </w:rPr>
        <w:sectPr w:rsidR="00FF7A3E" w:rsidRPr="009819CE" w:rsidSect="003A7A28">
          <w:pgSz w:w="16840" w:h="11900" w:orient="landscape"/>
          <w:pgMar w:top="1440" w:right="1440" w:bottom="1440" w:left="1440" w:header="340" w:footer="340" w:gutter="0"/>
          <w:cols w:space="720"/>
          <w:docGrid w:linePitch="360"/>
        </w:sectPr>
      </w:pPr>
    </w:p>
    <w:tbl>
      <w:tblPr>
        <w:tblW w:w="5000" w:type="pct"/>
        <w:jc w:val="center"/>
        <w:shd w:val="clear" w:color="auto" w:fill="FFFFFF" w:themeFill="background1"/>
        <w:tblLook w:val="04A0" w:firstRow="1" w:lastRow="0" w:firstColumn="1" w:lastColumn="0" w:noHBand="0" w:noVBand="1"/>
      </w:tblPr>
      <w:tblGrid>
        <w:gridCol w:w="2697"/>
        <w:gridCol w:w="558"/>
        <w:gridCol w:w="449"/>
        <w:gridCol w:w="697"/>
        <w:gridCol w:w="689"/>
        <w:gridCol w:w="733"/>
        <w:gridCol w:w="694"/>
        <w:gridCol w:w="449"/>
        <w:gridCol w:w="449"/>
        <w:gridCol w:w="697"/>
        <w:gridCol w:w="691"/>
        <w:gridCol w:w="733"/>
        <w:gridCol w:w="694"/>
        <w:gridCol w:w="449"/>
        <w:gridCol w:w="449"/>
        <w:gridCol w:w="697"/>
        <w:gridCol w:w="691"/>
        <w:gridCol w:w="733"/>
        <w:gridCol w:w="689"/>
      </w:tblGrid>
      <w:tr w:rsidR="00C827E3" w:rsidRPr="00435B6B" w14:paraId="23FF2126" w14:textId="77777777" w:rsidTr="001F4A34">
        <w:trPr>
          <w:trHeight w:val="240"/>
          <w:jc w:val="center"/>
        </w:trPr>
        <w:tc>
          <w:tcPr>
            <w:tcW w:w="968" w:type="pct"/>
            <w:tcBorders>
              <w:top w:val="single" w:sz="8" w:space="0" w:color="auto"/>
              <w:left w:val="single" w:sz="8" w:space="0" w:color="auto"/>
              <w:bottom w:val="nil"/>
              <w:right w:val="single" w:sz="8" w:space="0" w:color="auto"/>
            </w:tcBorders>
            <w:shd w:val="clear" w:color="auto" w:fill="FFFFFF" w:themeFill="background1"/>
            <w:vAlign w:val="bottom"/>
            <w:hideMark/>
          </w:tcPr>
          <w:p w14:paraId="0FAD1E7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369" w:type="pct"/>
            <w:gridSpan w:val="6"/>
            <w:tcBorders>
              <w:top w:val="single" w:sz="8" w:space="0" w:color="auto"/>
              <w:left w:val="nil"/>
              <w:bottom w:val="nil"/>
              <w:right w:val="single" w:sz="8" w:space="0" w:color="000000"/>
            </w:tcBorders>
            <w:shd w:val="clear" w:color="auto" w:fill="FFFFFF" w:themeFill="background1"/>
            <w:noWrap/>
            <w:vAlign w:val="bottom"/>
            <w:hideMark/>
          </w:tcPr>
          <w:p w14:paraId="7F75720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20 August 2019</w:t>
            </w:r>
          </w:p>
        </w:tc>
        <w:tc>
          <w:tcPr>
            <w:tcW w:w="1331" w:type="pct"/>
            <w:gridSpan w:val="6"/>
            <w:tcBorders>
              <w:top w:val="single" w:sz="8" w:space="0" w:color="auto"/>
              <w:left w:val="nil"/>
              <w:bottom w:val="nil"/>
              <w:right w:val="single" w:sz="8" w:space="0" w:color="000000"/>
            </w:tcBorders>
            <w:shd w:val="clear" w:color="auto" w:fill="FFFFFF" w:themeFill="background1"/>
            <w:noWrap/>
            <w:vAlign w:val="bottom"/>
            <w:hideMark/>
          </w:tcPr>
          <w:p w14:paraId="57A51B8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24 September 2019</w:t>
            </w:r>
          </w:p>
        </w:tc>
        <w:tc>
          <w:tcPr>
            <w:tcW w:w="1331" w:type="pct"/>
            <w:gridSpan w:val="6"/>
            <w:tcBorders>
              <w:top w:val="single" w:sz="8" w:space="0" w:color="auto"/>
              <w:left w:val="nil"/>
              <w:bottom w:val="nil"/>
              <w:right w:val="single" w:sz="8" w:space="0" w:color="000000"/>
            </w:tcBorders>
            <w:shd w:val="clear" w:color="auto" w:fill="FFFFFF" w:themeFill="background1"/>
            <w:noWrap/>
            <w:vAlign w:val="bottom"/>
            <w:hideMark/>
          </w:tcPr>
          <w:p w14:paraId="741D52D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 October 2019</w:t>
            </w:r>
          </w:p>
        </w:tc>
      </w:tr>
      <w:tr w:rsidR="00C827E3" w:rsidRPr="00435B6B" w14:paraId="404EF567" w14:textId="77777777" w:rsidTr="001F4A34">
        <w:trPr>
          <w:trHeight w:val="255"/>
          <w:jc w:val="center"/>
        </w:trPr>
        <w:tc>
          <w:tcPr>
            <w:tcW w:w="968" w:type="pct"/>
            <w:tcBorders>
              <w:top w:val="nil"/>
              <w:left w:val="single" w:sz="8" w:space="0" w:color="auto"/>
              <w:bottom w:val="single" w:sz="8" w:space="0" w:color="auto"/>
              <w:right w:val="single" w:sz="8" w:space="0" w:color="auto"/>
            </w:tcBorders>
            <w:shd w:val="clear" w:color="auto" w:fill="FFFFFF" w:themeFill="background1"/>
            <w:vAlign w:val="center"/>
            <w:hideMark/>
          </w:tcPr>
          <w:p w14:paraId="0DA78726"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Parameters</w:t>
            </w:r>
          </w:p>
        </w:tc>
        <w:tc>
          <w:tcPr>
            <w:tcW w:w="200" w:type="pct"/>
            <w:tcBorders>
              <w:top w:val="nil"/>
              <w:left w:val="nil"/>
              <w:bottom w:val="single" w:sz="8" w:space="0" w:color="auto"/>
              <w:right w:val="nil"/>
            </w:tcBorders>
            <w:shd w:val="clear" w:color="auto" w:fill="FFFFFF" w:themeFill="background1"/>
            <w:vAlign w:val="center"/>
            <w:hideMark/>
          </w:tcPr>
          <w:p w14:paraId="6EF87632"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F</w:t>
            </w:r>
          </w:p>
        </w:tc>
        <w:tc>
          <w:tcPr>
            <w:tcW w:w="161" w:type="pct"/>
            <w:tcBorders>
              <w:top w:val="nil"/>
              <w:left w:val="nil"/>
              <w:bottom w:val="single" w:sz="8" w:space="0" w:color="auto"/>
              <w:right w:val="nil"/>
            </w:tcBorders>
            <w:shd w:val="clear" w:color="auto" w:fill="FFFFFF" w:themeFill="background1"/>
            <w:vAlign w:val="center"/>
            <w:hideMark/>
          </w:tcPr>
          <w:p w14:paraId="4CDB619C"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M</w:t>
            </w:r>
          </w:p>
        </w:tc>
        <w:tc>
          <w:tcPr>
            <w:tcW w:w="250" w:type="pct"/>
            <w:tcBorders>
              <w:top w:val="nil"/>
              <w:left w:val="nil"/>
              <w:bottom w:val="single" w:sz="8" w:space="0" w:color="auto"/>
              <w:right w:val="nil"/>
            </w:tcBorders>
            <w:shd w:val="clear" w:color="auto" w:fill="FFFFFF" w:themeFill="background1"/>
            <w:vAlign w:val="center"/>
            <w:hideMark/>
          </w:tcPr>
          <w:p w14:paraId="173C8AD8"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Total</w:t>
            </w:r>
          </w:p>
        </w:tc>
        <w:tc>
          <w:tcPr>
            <w:tcW w:w="247" w:type="pct"/>
            <w:tcBorders>
              <w:top w:val="nil"/>
              <w:left w:val="nil"/>
              <w:bottom w:val="single" w:sz="8" w:space="0" w:color="auto"/>
              <w:right w:val="nil"/>
            </w:tcBorders>
            <w:shd w:val="clear" w:color="auto" w:fill="FFFFFF" w:themeFill="background1"/>
            <w:vAlign w:val="center"/>
            <w:hideMark/>
          </w:tcPr>
          <w:p w14:paraId="08A74CE6"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F</w:t>
            </w:r>
          </w:p>
        </w:tc>
        <w:tc>
          <w:tcPr>
            <w:tcW w:w="263" w:type="pct"/>
            <w:tcBorders>
              <w:top w:val="nil"/>
              <w:left w:val="nil"/>
              <w:bottom w:val="single" w:sz="8" w:space="0" w:color="auto"/>
              <w:right w:val="nil"/>
            </w:tcBorders>
            <w:shd w:val="clear" w:color="auto" w:fill="FFFFFF" w:themeFill="background1"/>
            <w:vAlign w:val="center"/>
            <w:hideMark/>
          </w:tcPr>
          <w:p w14:paraId="153DD186"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M</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7F9BBD78"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T</w:t>
            </w:r>
          </w:p>
        </w:tc>
        <w:tc>
          <w:tcPr>
            <w:tcW w:w="161" w:type="pct"/>
            <w:tcBorders>
              <w:top w:val="nil"/>
              <w:left w:val="nil"/>
              <w:bottom w:val="single" w:sz="8" w:space="0" w:color="auto"/>
              <w:right w:val="nil"/>
            </w:tcBorders>
            <w:shd w:val="clear" w:color="auto" w:fill="FFFFFF" w:themeFill="background1"/>
            <w:vAlign w:val="center"/>
            <w:hideMark/>
          </w:tcPr>
          <w:p w14:paraId="14C0A2DA"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F</w:t>
            </w:r>
          </w:p>
        </w:tc>
        <w:tc>
          <w:tcPr>
            <w:tcW w:w="161" w:type="pct"/>
            <w:tcBorders>
              <w:top w:val="nil"/>
              <w:left w:val="nil"/>
              <w:bottom w:val="single" w:sz="8" w:space="0" w:color="auto"/>
              <w:right w:val="nil"/>
            </w:tcBorders>
            <w:shd w:val="clear" w:color="auto" w:fill="FFFFFF" w:themeFill="background1"/>
            <w:vAlign w:val="center"/>
            <w:hideMark/>
          </w:tcPr>
          <w:p w14:paraId="3D343B38"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M</w:t>
            </w:r>
          </w:p>
        </w:tc>
        <w:tc>
          <w:tcPr>
            <w:tcW w:w="250" w:type="pct"/>
            <w:tcBorders>
              <w:top w:val="nil"/>
              <w:left w:val="nil"/>
              <w:bottom w:val="single" w:sz="8" w:space="0" w:color="auto"/>
              <w:right w:val="nil"/>
            </w:tcBorders>
            <w:shd w:val="clear" w:color="auto" w:fill="FFFFFF" w:themeFill="background1"/>
            <w:vAlign w:val="center"/>
            <w:hideMark/>
          </w:tcPr>
          <w:p w14:paraId="17D0ABC3"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Total</w:t>
            </w:r>
          </w:p>
        </w:tc>
        <w:tc>
          <w:tcPr>
            <w:tcW w:w="248" w:type="pct"/>
            <w:tcBorders>
              <w:top w:val="nil"/>
              <w:left w:val="nil"/>
              <w:bottom w:val="single" w:sz="8" w:space="0" w:color="auto"/>
              <w:right w:val="nil"/>
            </w:tcBorders>
            <w:shd w:val="clear" w:color="auto" w:fill="FFFFFF" w:themeFill="background1"/>
            <w:vAlign w:val="center"/>
            <w:hideMark/>
          </w:tcPr>
          <w:p w14:paraId="3B5A1834"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F</w:t>
            </w:r>
          </w:p>
        </w:tc>
        <w:tc>
          <w:tcPr>
            <w:tcW w:w="263" w:type="pct"/>
            <w:tcBorders>
              <w:top w:val="nil"/>
              <w:left w:val="nil"/>
              <w:bottom w:val="single" w:sz="8" w:space="0" w:color="auto"/>
              <w:right w:val="nil"/>
            </w:tcBorders>
            <w:shd w:val="clear" w:color="auto" w:fill="FFFFFF" w:themeFill="background1"/>
            <w:vAlign w:val="center"/>
            <w:hideMark/>
          </w:tcPr>
          <w:p w14:paraId="0A5F5DDB"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M</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07A061AB"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T</w:t>
            </w:r>
          </w:p>
        </w:tc>
        <w:tc>
          <w:tcPr>
            <w:tcW w:w="161" w:type="pct"/>
            <w:tcBorders>
              <w:top w:val="nil"/>
              <w:left w:val="nil"/>
              <w:bottom w:val="single" w:sz="8" w:space="0" w:color="auto"/>
              <w:right w:val="nil"/>
            </w:tcBorders>
            <w:shd w:val="clear" w:color="auto" w:fill="FFFFFF" w:themeFill="background1"/>
            <w:vAlign w:val="center"/>
            <w:hideMark/>
          </w:tcPr>
          <w:p w14:paraId="2ECF9F0F"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F</w:t>
            </w:r>
          </w:p>
        </w:tc>
        <w:tc>
          <w:tcPr>
            <w:tcW w:w="161" w:type="pct"/>
            <w:tcBorders>
              <w:top w:val="nil"/>
              <w:left w:val="nil"/>
              <w:bottom w:val="single" w:sz="8" w:space="0" w:color="auto"/>
              <w:right w:val="nil"/>
            </w:tcBorders>
            <w:shd w:val="clear" w:color="auto" w:fill="FFFFFF" w:themeFill="background1"/>
            <w:vAlign w:val="center"/>
            <w:hideMark/>
          </w:tcPr>
          <w:p w14:paraId="6E15D64B"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M</w:t>
            </w:r>
          </w:p>
        </w:tc>
        <w:tc>
          <w:tcPr>
            <w:tcW w:w="250" w:type="pct"/>
            <w:tcBorders>
              <w:top w:val="nil"/>
              <w:left w:val="nil"/>
              <w:bottom w:val="single" w:sz="8" w:space="0" w:color="auto"/>
              <w:right w:val="nil"/>
            </w:tcBorders>
            <w:shd w:val="clear" w:color="auto" w:fill="FFFFFF" w:themeFill="background1"/>
            <w:vAlign w:val="center"/>
            <w:hideMark/>
          </w:tcPr>
          <w:p w14:paraId="56CADEE6"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Total</w:t>
            </w:r>
          </w:p>
        </w:tc>
        <w:tc>
          <w:tcPr>
            <w:tcW w:w="248" w:type="pct"/>
            <w:tcBorders>
              <w:top w:val="nil"/>
              <w:left w:val="nil"/>
              <w:bottom w:val="single" w:sz="8" w:space="0" w:color="auto"/>
              <w:right w:val="nil"/>
            </w:tcBorders>
            <w:shd w:val="clear" w:color="auto" w:fill="FFFFFF" w:themeFill="background1"/>
            <w:vAlign w:val="center"/>
            <w:hideMark/>
          </w:tcPr>
          <w:p w14:paraId="3FD60DDF"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F</w:t>
            </w:r>
          </w:p>
        </w:tc>
        <w:tc>
          <w:tcPr>
            <w:tcW w:w="263" w:type="pct"/>
            <w:tcBorders>
              <w:top w:val="nil"/>
              <w:left w:val="nil"/>
              <w:bottom w:val="single" w:sz="8" w:space="0" w:color="auto"/>
              <w:right w:val="nil"/>
            </w:tcBorders>
            <w:shd w:val="clear" w:color="auto" w:fill="FFFFFF" w:themeFill="background1"/>
            <w:vAlign w:val="center"/>
            <w:hideMark/>
          </w:tcPr>
          <w:p w14:paraId="11DF0892"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M</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34587360"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 T</w:t>
            </w:r>
          </w:p>
        </w:tc>
      </w:tr>
      <w:tr w:rsidR="00C827E3" w:rsidRPr="00435B6B" w14:paraId="334E71F2" w14:textId="77777777" w:rsidTr="001F4A34">
        <w:trPr>
          <w:trHeight w:val="30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30294DDB"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Sex</w:t>
            </w:r>
          </w:p>
        </w:tc>
        <w:tc>
          <w:tcPr>
            <w:tcW w:w="200" w:type="pct"/>
            <w:tcBorders>
              <w:top w:val="nil"/>
              <w:left w:val="nil"/>
              <w:bottom w:val="nil"/>
              <w:right w:val="nil"/>
            </w:tcBorders>
            <w:shd w:val="clear" w:color="auto" w:fill="FFFFFF" w:themeFill="background1"/>
            <w:noWrap/>
            <w:vAlign w:val="center"/>
            <w:hideMark/>
          </w:tcPr>
          <w:p w14:paraId="3B9C9171"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119</w:t>
            </w:r>
          </w:p>
        </w:tc>
        <w:tc>
          <w:tcPr>
            <w:tcW w:w="161" w:type="pct"/>
            <w:tcBorders>
              <w:top w:val="nil"/>
              <w:left w:val="nil"/>
              <w:bottom w:val="nil"/>
              <w:right w:val="nil"/>
            </w:tcBorders>
            <w:shd w:val="clear" w:color="auto" w:fill="FFFFFF" w:themeFill="background1"/>
            <w:noWrap/>
            <w:vAlign w:val="center"/>
            <w:hideMark/>
          </w:tcPr>
          <w:p w14:paraId="00846F73"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31</w:t>
            </w:r>
          </w:p>
        </w:tc>
        <w:tc>
          <w:tcPr>
            <w:tcW w:w="250" w:type="pct"/>
            <w:tcBorders>
              <w:top w:val="nil"/>
              <w:left w:val="nil"/>
              <w:bottom w:val="nil"/>
              <w:right w:val="nil"/>
            </w:tcBorders>
            <w:shd w:val="clear" w:color="auto" w:fill="FFFFFF" w:themeFill="background1"/>
            <w:noWrap/>
            <w:vAlign w:val="center"/>
            <w:hideMark/>
          </w:tcPr>
          <w:p w14:paraId="73B4489F" w14:textId="77777777" w:rsidR="003421D4" w:rsidRPr="009819CE" w:rsidRDefault="003421D4" w:rsidP="0083610A">
            <w:pPr>
              <w:spacing w:before="0" w:after="0" w:line="240" w:lineRule="auto"/>
              <w:jc w:val="center"/>
              <w:rPr>
                <w:rFonts w:cstheme="minorBidi"/>
                <w:sz w:val="18"/>
                <w:szCs w:val="18"/>
              </w:rPr>
            </w:pPr>
            <w:r w:rsidRPr="009819CE">
              <w:rPr>
                <w:rFonts w:cstheme="minorBidi"/>
                <w:b/>
                <w:bCs/>
                <w:sz w:val="18"/>
                <w:szCs w:val="18"/>
              </w:rPr>
              <w:t>150</w:t>
            </w:r>
          </w:p>
        </w:tc>
        <w:tc>
          <w:tcPr>
            <w:tcW w:w="247" w:type="pct"/>
            <w:tcBorders>
              <w:top w:val="nil"/>
              <w:left w:val="nil"/>
              <w:bottom w:val="nil"/>
              <w:right w:val="nil"/>
            </w:tcBorders>
            <w:shd w:val="clear" w:color="auto" w:fill="FFFFFF" w:themeFill="background1"/>
            <w:noWrap/>
            <w:vAlign w:val="center"/>
            <w:hideMark/>
          </w:tcPr>
          <w:p w14:paraId="6652DE4B"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79.3</w:t>
            </w:r>
          </w:p>
        </w:tc>
        <w:tc>
          <w:tcPr>
            <w:tcW w:w="263" w:type="pct"/>
            <w:tcBorders>
              <w:top w:val="nil"/>
              <w:left w:val="nil"/>
              <w:bottom w:val="nil"/>
              <w:right w:val="nil"/>
            </w:tcBorders>
            <w:shd w:val="clear" w:color="auto" w:fill="FFFFFF" w:themeFill="background1"/>
            <w:noWrap/>
            <w:vAlign w:val="center"/>
            <w:hideMark/>
          </w:tcPr>
          <w:p w14:paraId="1426C33B" w14:textId="77777777" w:rsidR="003421D4" w:rsidRPr="009819CE" w:rsidRDefault="003421D4" w:rsidP="0083610A">
            <w:pPr>
              <w:spacing w:before="0" w:after="0" w:line="240" w:lineRule="auto"/>
              <w:jc w:val="center"/>
              <w:rPr>
                <w:rFonts w:cstheme="minorBidi"/>
                <w:sz w:val="18"/>
                <w:szCs w:val="18"/>
              </w:rPr>
            </w:pPr>
          </w:p>
        </w:tc>
        <w:tc>
          <w:tcPr>
            <w:tcW w:w="249" w:type="pct"/>
            <w:tcBorders>
              <w:top w:val="nil"/>
              <w:left w:val="nil"/>
              <w:bottom w:val="nil"/>
              <w:right w:val="single" w:sz="8" w:space="0" w:color="auto"/>
            </w:tcBorders>
            <w:shd w:val="clear" w:color="auto" w:fill="FFFFFF" w:themeFill="background1"/>
            <w:noWrap/>
            <w:vAlign w:val="bottom"/>
            <w:hideMark/>
          </w:tcPr>
          <w:p w14:paraId="2E1C7C10"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nil"/>
              <w:right w:val="nil"/>
            </w:tcBorders>
            <w:shd w:val="clear" w:color="auto" w:fill="FFFFFF" w:themeFill="background1"/>
            <w:noWrap/>
            <w:vAlign w:val="center"/>
            <w:hideMark/>
          </w:tcPr>
          <w:p w14:paraId="15D02C2F"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68</w:t>
            </w:r>
          </w:p>
        </w:tc>
        <w:tc>
          <w:tcPr>
            <w:tcW w:w="161" w:type="pct"/>
            <w:tcBorders>
              <w:top w:val="nil"/>
              <w:left w:val="nil"/>
              <w:bottom w:val="nil"/>
              <w:right w:val="nil"/>
            </w:tcBorders>
            <w:shd w:val="clear" w:color="auto" w:fill="FFFFFF" w:themeFill="background1"/>
            <w:noWrap/>
            <w:vAlign w:val="center"/>
            <w:hideMark/>
          </w:tcPr>
          <w:p w14:paraId="6E3BCDA7"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79</w:t>
            </w:r>
          </w:p>
        </w:tc>
        <w:tc>
          <w:tcPr>
            <w:tcW w:w="250" w:type="pct"/>
            <w:tcBorders>
              <w:top w:val="nil"/>
              <w:left w:val="nil"/>
              <w:bottom w:val="nil"/>
              <w:right w:val="nil"/>
            </w:tcBorders>
            <w:shd w:val="clear" w:color="auto" w:fill="FFFFFF" w:themeFill="background1"/>
            <w:noWrap/>
            <w:vAlign w:val="center"/>
            <w:hideMark/>
          </w:tcPr>
          <w:p w14:paraId="074D83EC"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147</w:t>
            </w:r>
          </w:p>
        </w:tc>
        <w:tc>
          <w:tcPr>
            <w:tcW w:w="248" w:type="pct"/>
            <w:tcBorders>
              <w:top w:val="nil"/>
              <w:left w:val="nil"/>
              <w:bottom w:val="nil"/>
              <w:right w:val="nil"/>
            </w:tcBorders>
            <w:shd w:val="clear" w:color="auto" w:fill="FFFFFF" w:themeFill="background1"/>
            <w:noWrap/>
            <w:vAlign w:val="center"/>
            <w:hideMark/>
          </w:tcPr>
          <w:p w14:paraId="43CA98C6"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46.3</w:t>
            </w:r>
          </w:p>
        </w:tc>
        <w:tc>
          <w:tcPr>
            <w:tcW w:w="263" w:type="pct"/>
            <w:tcBorders>
              <w:top w:val="nil"/>
              <w:left w:val="nil"/>
              <w:bottom w:val="nil"/>
              <w:right w:val="nil"/>
            </w:tcBorders>
            <w:shd w:val="clear" w:color="auto" w:fill="FFFFFF" w:themeFill="background1"/>
            <w:noWrap/>
            <w:vAlign w:val="center"/>
            <w:hideMark/>
          </w:tcPr>
          <w:p w14:paraId="4E53CBEE" w14:textId="77777777" w:rsidR="003421D4" w:rsidRPr="009819CE" w:rsidRDefault="003421D4" w:rsidP="0083610A">
            <w:pPr>
              <w:spacing w:before="0" w:after="0" w:line="240" w:lineRule="auto"/>
              <w:jc w:val="center"/>
              <w:rPr>
                <w:rFonts w:cstheme="minorBidi"/>
                <w:sz w:val="18"/>
                <w:szCs w:val="18"/>
              </w:rPr>
            </w:pPr>
          </w:p>
        </w:tc>
        <w:tc>
          <w:tcPr>
            <w:tcW w:w="249" w:type="pct"/>
            <w:tcBorders>
              <w:top w:val="nil"/>
              <w:left w:val="nil"/>
              <w:bottom w:val="nil"/>
              <w:right w:val="single" w:sz="8" w:space="0" w:color="auto"/>
            </w:tcBorders>
            <w:shd w:val="clear" w:color="auto" w:fill="FFFFFF" w:themeFill="background1"/>
            <w:noWrap/>
            <w:vAlign w:val="bottom"/>
            <w:hideMark/>
          </w:tcPr>
          <w:p w14:paraId="7FC347CB"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nil"/>
              <w:right w:val="nil"/>
            </w:tcBorders>
            <w:shd w:val="clear" w:color="auto" w:fill="FFFFFF" w:themeFill="background1"/>
            <w:noWrap/>
            <w:vAlign w:val="center"/>
            <w:hideMark/>
          </w:tcPr>
          <w:p w14:paraId="01A62AE4"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63</w:t>
            </w:r>
          </w:p>
        </w:tc>
        <w:tc>
          <w:tcPr>
            <w:tcW w:w="161" w:type="pct"/>
            <w:tcBorders>
              <w:top w:val="nil"/>
              <w:left w:val="nil"/>
              <w:bottom w:val="nil"/>
              <w:right w:val="nil"/>
            </w:tcBorders>
            <w:shd w:val="clear" w:color="auto" w:fill="FFFFFF" w:themeFill="background1"/>
            <w:noWrap/>
            <w:vAlign w:val="center"/>
            <w:hideMark/>
          </w:tcPr>
          <w:p w14:paraId="5EC80EEB"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87</w:t>
            </w:r>
          </w:p>
        </w:tc>
        <w:tc>
          <w:tcPr>
            <w:tcW w:w="250" w:type="pct"/>
            <w:tcBorders>
              <w:top w:val="nil"/>
              <w:left w:val="nil"/>
              <w:bottom w:val="nil"/>
              <w:right w:val="nil"/>
            </w:tcBorders>
            <w:shd w:val="clear" w:color="auto" w:fill="FFFFFF" w:themeFill="background1"/>
            <w:noWrap/>
            <w:vAlign w:val="center"/>
            <w:hideMark/>
          </w:tcPr>
          <w:p w14:paraId="3BF14003"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150</w:t>
            </w:r>
          </w:p>
        </w:tc>
        <w:tc>
          <w:tcPr>
            <w:tcW w:w="248" w:type="pct"/>
            <w:tcBorders>
              <w:top w:val="nil"/>
              <w:left w:val="nil"/>
              <w:bottom w:val="nil"/>
              <w:right w:val="nil"/>
            </w:tcBorders>
            <w:shd w:val="clear" w:color="auto" w:fill="FFFFFF" w:themeFill="background1"/>
            <w:noWrap/>
            <w:vAlign w:val="center"/>
            <w:hideMark/>
          </w:tcPr>
          <w:p w14:paraId="313194F3"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42.0</w:t>
            </w:r>
          </w:p>
        </w:tc>
        <w:tc>
          <w:tcPr>
            <w:tcW w:w="263" w:type="pct"/>
            <w:tcBorders>
              <w:top w:val="nil"/>
              <w:left w:val="nil"/>
              <w:bottom w:val="nil"/>
              <w:right w:val="nil"/>
            </w:tcBorders>
            <w:shd w:val="clear" w:color="auto" w:fill="FFFFFF" w:themeFill="background1"/>
            <w:noWrap/>
            <w:vAlign w:val="center"/>
            <w:hideMark/>
          </w:tcPr>
          <w:p w14:paraId="562BEA4B" w14:textId="77777777" w:rsidR="003421D4" w:rsidRPr="009819CE" w:rsidRDefault="003421D4" w:rsidP="0083610A">
            <w:pPr>
              <w:spacing w:before="0" w:after="0" w:line="240" w:lineRule="auto"/>
              <w:jc w:val="center"/>
              <w:rPr>
                <w:rFonts w:cstheme="minorBidi"/>
                <w:sz w:val="18"/>
                <w:szCs w:val="18"/>
              </w:rPr>
            </w:pPr>
          </w:p>
        </w:tc>
        <w:tc>
          <w:tcPr>
            <w:tcW w:w="249" w:type="pct"/>
            <w:tcBorders>
              <w:top w:val="nil"/>
              <w:left w:val="nil"/>
              <w:bottom w:val="nil"/>
              <w:right w:val="single" w:sz="8" w:space="0" w:color="auto"/>
            </w:tcBorders>
            <w:shd w:val="clear" w:color="auto" w:fill="FFFFFF" w:themeFill="background1"/>
            <w:noWrap/>
            <w:vAlign w:val="bottom"/>
            <w:hideMark/>
          </w:tcPr>
          <w:p w14:paraId="6DC82C0A"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r>
      <w:tr w:rsidR="00C827E3" w:rsidRPr="00435B6B" w14:paraId="13D1F517" w14:textId="77777777" w:rsidTr="001F4A34">
        <w:trPr>
          <w:trHeight w:val="495"/>
          <w:jc w:val="center"/>
        </w:trPr>
        <w:tc>
          <w:tcPr>
            <w:tcW w:w="968" w:type="pct"/>
            <w:tcBorders>
              <w:top w:val="nil"/>
              <w:left w:val="single" w:sz="8" w:space="0" w:color="auto"/>
              <w:bottom w:val="single" w:sz="8" w:space="0" w:color="auto"/>
              <w:right w:val="single" w:sz="8" w:space="0" w:color="auto"/>
            </w:tcBorders>
            <w:shd w:val="clear" w:color="auto" w:fill="FFFFFF" w:themeFill="background1"/>
            <w:vAlign w:val="center"/>
            <w:hideMark/>
          </w:tcPr>
          <w:p w14:paraId="6376238F" w14:textId="77777777" w:rsidR="003421D4" w:rsidRPr="009819CE" w:rsidRDefault="003421D4" w:rsidP="0083610A">
            <w:pPr>
              <w:spacing w:before="0" w:after="0" w:line="240" w:lineRule="auto"/>
              <w:jc w:val="center"/>
              <w:rPr>
                <w:rFonts w:cstheme="minorBidi"/>
                <w:b/>
                <w:bCs/>
                <w:sz w:val="18"/>
                <w:szCs w:val="18"/>
              </w:rPr>
            </w:pPr>
            <w:r w:rsidRPr="009819CE">
              <w:rPr>
                <w:rFonts w:cstheme="minorBidi"/>
                <w:b/>
                <w:bCs/>
                <w:sz w:val="18"/>
                <w:szCs w:val="18"/>
              </w:rPr>
              <w:t>Body colour method (BCM)</w:t>
            </w:r>
          </w:p>
        </w:tc>
        <w:tc>
          <w:tcPr>
            <w:tcW w:w="200" w:type="pct"/>
            <w:tcBorders>
              <w:top w:val="nil"/>
              <w:left w:val="nil"/>
              <w:bottom w:val="single" w:sz="8" w:space="0" w:color="auto"/>
              <w:right w:val="nil"/>
            </w:tcBorders>
            <w:shd w:val="clear" w:color="auto" w:fill="FFFFFF" w:themeFill="background1"/>
            <w:noWrap/>
            <w:vAlign w:val="center"/>
            <w:hideMark/>
          </w:tcPr>
          <w:p w14:paraId="463F0C33"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single" w:sz="8" w:space="0" w:color="auto"/>
              <w:right w:val="nil"/>
            </w:tcBorders>
            <w:shd w:val="clear" w:color="auto" w:fill="FFFFFF" w:themeFill="background1"/>
            <w:noWrap/>
            <w:vAlign w:val="center"/>
            <w:hideMark/>
          </w:tcPr>
          <w:p w14:paraId="7BC3E5E7"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2557C5E8"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47" w:type="pct"/>
            <w:tcBorders>
              <w:top w:val="nil"/>
              <w:left w:val="nil"/>
              <w:bottom w:val="single" w:sz="8" w:space="0" w:color="auto"/>
              <w:right w:val="nil"/>
            </w:tcBorders>
            <w:shd w:val="clear" w:color="auto" w:fill="FFFFFF" w:themeFill="background1"/>
            <w:noWrap/>
            <w:vAlign w:val="center"/>
            <w:hideMark/>
          </w:tcPr>
          <w:p w14:paraId="335019D7"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22FC2EAA"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49" w:type="pct"/>
            <w:tcBorders>
              <w:top w:val="nil"/>
              <w:left w:val="nil"/>
              <w:bottom w:val="single" w:sz="8" w:space="0" w:color="auto"/>
              <w:right w:val="single" w:sz="8" w:space="0" w:color="auto"/>
            </w:tcBorders>
            <w:shd w:val="clear" w:color="auto" w:fill="FFFFFF" w:themeFill="background1"/>
            <w:noWrap/>
            <w:vAlign w:val="bottom"/>
            <w:hideMark/>
          </w:tcPr>
          <w:p w14:paraId="3F96F644"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single" w:sz="8" w:space="0" w:color="auto"/>
              <w:right w:val="nil"/>
            </w:tcBorders>
            <w:shd w:val="clear" w:color="auto" w:fill="FFFFFF" w:themeFill="background1"/>
            <w:noWrap/>
            <w:vAlign w:val="center"/>
            <w:hideMark/>
          </w:tcPr>
          <w:p w14:paraId="1D72659F"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single" w:sz="8" w:space="0" w:color="auto"/>
              <w:right w:val="nil"/>
            </w:tcBorders>
            <w:shd w:val="clear" w:color="auto" w:fill="FFFFFF" w:themeFill="background1"/>
            <w:noWrap/>
            <w:vAlign w:val="center"/>
            <w:hideMark/>
          </w:tcPr>
          <w:p w14:paraId="48B15336"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55D21F46"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7906A667"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0F2AC5CA"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49" w:type="pct"/>
            <w:tcBorders>
              <w:top w:val="nil"/>
              <w:left w:val="nil"/>
              <w:bottom w:val="single" w:sz="8" w:space="0" w:color="auto"/>
              <w:right w:val="single" w:sz="8" w:space="0" w:color="auto"/>
            </w:tcBorders>
            <w:shd w:val="clear" w:color="auto" w:fill="FFFFFF" w:themeFill="background1"/>
            <w:noWrap/>
            <w:vAlign w:val="bottom"/>
            <w:hideMark/>
          </w:tcPr>
          <w:p w14:paraId="76F2A056"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single" w:sz="8" w:space="0" w:color="auto"/>
              <w:right w:val="nil"/>
            </w:tcBorders>
            <w:shd w:val="clear" w:color="auto" w:fill="FFFFFF" w:themeFill="background1"/>
            <w:noWrap/>
            <w:vAlign w:val="center"/>
            <w:hideMark/>
          </w:tcPr>
          <w:p w14:paraId="54FDE7CC"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161" w:type="pct"/>
            <w:tcBorders>
              <w:top w:val="nil"/>
              <w:left w:val="nil"/>
              <w:bottom w:val="single" w:sz="8" w:space="0" w:color="auto"/>
              <w:right w:val="nil"/>
            </w:tcBorders>
            <w:shd w:val="clear" w:color="auto" w:fill="FFFFFF" w:themeFill="background1"/>
            <w:noWrap/>
            <w:vAlign w:val="center"/>
            <w:hideMark/>
          </w:tcPr>
          <w:p w14:paraId="2BB24DF5"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72658977"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3C5795CA"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071A2E18"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c>
          <w:tcPr>
            <w:tcW w:w="249" w:type="pct"/>
            <w:tcBorders>
              <w:top w:val="nil"/>
              <w:left w:val="nil"/>
              <w:bottom w:val="single" w:sz="8" w:space="0" w:color="auto"/>
              <w:right w:val="single" w:sz="8" w:space="0" w:color="auto"/>
            </w:tcBorders>
            <w:shd w:val="clear" w:color="auto" w:fill="FFFFFF" w:themeFill="background1"/>
            <w:noWrap/>
            <w:vAlign w:val="bottom"/>
            <w:hideMark/>
          </w:tcPr>
          <w:p w14:paraId="1266FBAE" w14:textId="77777777" w:rsidR="003421D4" w:rsidRPr="009819CE" w:rsidRDefault="003421D4" w:rsidP="0083610A">
            <w:pPr>
              <w:spacing w:before="0" w:after="0" w:line="240" w:lineRule="auto"/>
              <w:jc w:val="center"/>
              <w:rPr>
                <w:rFonts w:cstheme="minorBidi"/>
                <w:sz w:val="18"/>
                <w:szCs w:val="18"/>
              </w:rPr>
            </w:pPr>
            <w:r w:rsidRPr="009819CE">
              <w:rPr>
                <w:rFonts w:cstheme="minorBidi"/>
                <w:sz w:val="18"/>
                <w:szCs w:val="18"/>
              </w:rPr>
              <w:t> </w:t>
            </w:r>
          </w:p>
        </w:tc>
      </w:tr>
      <w:tr w:rsidR="00C827E3" w:rsidRPr="00435B6B" w14:paraId="40771B29"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78B433A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NEG (BCM)</w:t>
            </w:r>
          </w:p>
        </w:tc>
        <w:tc>
          <w:tcPr>
            <w:tcW w:w="200" w:type="pct"/>
            <w:tcBorders>
              <w:top w:val="nil"/>
              <w:left w:val="nil"/>
              <w:bottom w:val="nil"/>
              <w:right w:val="nil"/>
            </w:tcBorders>
            <w:shd w:val="clear" w:color="auto" w:fill="FFFFFF" w:themeFill="background1"/>
            <w:noWrap/>
            <w:vAlign w:val="center"/>
            <w:hideMark/>
          </w:tcPr>
          <w:p w14:paraId="342E14F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119</w:t>
            </w:r>
          </w:p>
        </w:tc>
        <w:tc>
          <w:tcPr>
            <w:tcW w:w="161" w:type="pct"/>
            <w:tcBorders>
              <w:top w:val="nil"/>
              <w:left w:val="nil"/>
              <w:bottom w:val="nil"/>
              <w:right w:val="nil"/>
            </w:tcBorders>
            <w:shd w:val="clear" w:color="auto" w:fill="FFFFFF" w:themeFill="background1"/>
            <w:noWrap/>
            <w:vAlign w:val="center"/>
            <w:hideMark/>
          </w:tcPr>
          <w:p w14:paraId="66E6067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31</w:t>
            </w:r>
          </w:p>
        </w:tc>
        <w:tc>
          <w:tcPr>
            <w:tcW w:w="250" w:type="pct"/>
            <w:tcBorders>
              <w:top w:val="nil"/>
              <w:left w:val="nil"/>
              <w:bottom w:val="nil"/>
              <w:right w:val="nil"/>
            </w:tcBorders>
            <w:shd w:val="clear" w:color="auto" w:fill="FFFFFF" w:themeFill="background1"/>
            <w:noWrap/>
            <w:vAlign w:val="center"/>
            <w:hideMark/>
          </w:tcPr>
          <w:p w14:paraId="2193D84E" w14:textId="77777777" w:rsidR="003421D4" w:rsidRPr="009819CE" w:rsidRDefault="003421D4" w:rsidP="0083610A">
            <w:pPr>
              <w:spacing w:before="0" w:after="0" w:line="240" w:lineRule="auto"/>
              <w:jc w:val="center"/>
              <w:rPr>
                <w:rFonts w:cstheme="minorBidi"/>
                <w:b/>
                <w:bCs/>
                <w:color w:val="000000"/>
                <w:sz w:val="18"/>
                <w:szCs w:val="18"/>
              </w:rPr>
            </w:pPr>
            <w:r w:rsidRPr="009819CE">
              <w:rPr>
                <w:rFonts w:cstheme="minorBidi"/>
                <w:b/>
                <w:bCs/>
                <w:color w:val="000000"/>
                <w:sz w:val="18"/>
                <w:szCs w:val="18"/>
              </w:rPr>
              <w:t>150</w:t>
            </w:r>
          </w:p>
        </w:tc>
        <w:tc>
          <w:tcPr>
            <w:tcW w:w="247" w:type="pct"/>
            <w:tcBorders>
              <w:top w:val="nil"/>
              <w:left w:val="nil"/>
              <w:bottom w:val="nil"/>
              <w:right w:val="nil"/>
            </w:tcBorders>
            <w:shd w:val="clear" w:color="auto" w:fill="FFFFFF" w:themeFill="background1"/>
            <w:noWrap/>
            <w:vAlign w:val="center"/>
            <w:hideMark/>
          </w:tcPr>
          <w:p w14:paraId="3FDDFB9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79.3</w:t>
            </w:r>
          </w:p>
        </w:tc>
        <w:tc>
          <w:tcPr>
            <w:tcW w:w="263" w:type="pct"/>
            <w:tcBorders>
              <w:top w:val="nil"/>
              <w:left w:val="nil"/>
              <w:bottom w:val="nil"/>
              <w:right w:val="nil"/>
            </w:tcBorders>
            <w:shd w:val="clear" w:color="auto" w:fill="FFFFFF" w:themeFill="background1"/>
            <w:noWrap/>
            <w:vAlign w:val="center"/>
            <w:hideMark/>
          </w:tcPr>
          <w:p w14:paraId="4209556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20.7</w:t>
            </w:r>
          </w:p>
        </w:tc>
        <w:tc>
          <w:tcPr>
            <w:tcW w:w="249" w:type="pct"/>
            <w:tcBorders>
              <w:top w:val="nil"/>
              <w:left w:val="nil"/>
              <w:bottom w:val="nil"/>
              <w:right w:val="single" w:sz="8" w:space="0" w:color="auto"/>
            </w:tcBorders>
            <w:shd w:val="clear" w:color="auto" w:fill="FFFFFF" w:themeFill="background1"/>
            <w:vAlign w:val="center"/>
            <w:hideMark/>
          </w:tcPr>
          <w:p w14:paraId="7B1E14D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161" w:type="pct"/>
            <w:tcBorders>
              <w:top w:val="nil"/>
              <w:left w:val="nil"/>
              <w:bottom w:val="nil"/>
              <w:right w:val="nil"/>
            </w:tcBorders>
            <w:shd w:val="clear" w:color="auto" w:fill="FFFFFF" w:themeFill="background1"/>
            <w:noWrap/>
            <w:vAlign w:val="center"/>
            <w:hideMark/>
          </w:tcPr>
          <w:p w14:paraId="4C11DCA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68</w:t>
            </w:r>
          </w:p>
        </w:tc>
        <w:tc>
          <w:tcPr>
            <w:tcW w:w="161" w:type="pct"/>
            <w:tcBorders>
              <w:top w:val="nil"/>
              <w:left w:val="nil"/>
              <w:bottom w:val="nil"/>
              <w:right w:val="nil"/>
            </w:tcBorders>
            <w:shd w:val="clear" w:color="auto" w:fill="FFFFFF" w:themeFill="background1"/>
            <w:noWrap/>
            <w:vAlign w:val="center"/>
            <w:hideMark/>
          </w:tcPr>
          <w:p w14:paraId="644A27F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79</w:t>
            </w:r>
          </w:p>
        </w:tc>
        <w:tc>
          <w:tcPr>
            <w:tcW w:w="250" w:type="pct"/>
            <w:tcBorders>
              <w:top w:val="nil"/>
              <w:left w:val="nil"/>
              <w:bottom w:val="nil"/>
              <w:right w:val="nil"/>
            </w:tcBorders>
            <w:shd w:val="clear" w:color="auto" w:fill="FFFFFF" w:themeFill="background1"/>
            <w:noWrap/>
            <w:vAlign w:val="center"/>
            <w:hideMark/>
          </w:tcPr>
          <w:p w14:paraId="0BEC04E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147</w:t>
            </w:r>
          </w:p>
        </w:tc>
        <w:tc>
          <w:tcPr>
            <w:tcW w:w="248" w:type="pct"/>
            <w:tcBorders>
              <w:top w:val="nil"/>
              <w:left w:val="nil"/>
              <w:bottom w:val="nil"/>
              <w:right w:val="nil"/>
            </w:tcBorders>
            <w:shd w:val="clear" w:color="auto" w:fill="FFFFFF" w:themeFill="background1"/>
            <w:noWrap/>
            <w:vAlign w:val="center"/>
            <w:hideMark/>
          </w:tcPr>
          <w:p w14:paraId="7884C10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46.3</w:t>
            </w:r>
          </w:p>
        </w:tc>
        <w:tc>
          <w:tcPr>
            <w:tcW w:w="263" w:type="pct"/>
            <w:tcBorders>
              <w:top w:val="nil"/>
              <w:left w:val="nil"/>
              <w:bottom w:val="nil"/>
              <w:right w:val="nil"/>
            </w:tcBorders>
            <w:shd w:val="clear" w:color="auto" w:fill="FFFFFF" w:themeFill="background1"/>
            <w:noWrap/>
            <w:vAlign w:val="center"/>
            <w:hideMark/>
          </w:tcPr>
          <w:p w14:paraId="17EECCD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53.7</w:t>
            </w:r>
          </w:p>
        </w:tc>
        <w:tc>
          <w:tcPr>
            <w:tcW w:w="249" w:type="pct"/>
            <w:tcBorders>
              <w:top w:val="nil"/>
              <w:left w:val="nil"/>
              <w:bottom w:val="nil"/>
              <w:right w:val="single" w:sz="8" w:space="0" w:color="auto"/>
            </w:tcBorders>
            <w:shd w:val="clear" w:color="auto" w:fill="FFFFFF" w:themeFill="background1"/>
            <w:vAlign w:val="center"/>
            <w:hideMark/>
          </w:tcPr>
          <w:p w14:paraId="3F361C8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161" w:type="pct"/>
            <w:tcBorders>
              <w:top w:val="nil"/>
              <w:left w:val="nil"/>
              <w:bottom w:val="nil"/>
              <w:right w:val="nil"/>
            </w:tcBorders>
            <w:shd w:val="clear" w:color="auto" w:fill="FFFFFF" w:themeFill="background1"/>
            <w:noWrap/>
            <w:vAlign w:val="center"/>
            <w:hideMark/>
          </w:tcPr>
          <w:p w14:paraId="19F0D2D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63</w:t>
            </w:r>
          </w:p>
        </w:tc>
        <w:tc>
          <w:tcPr>
            <w:tcW w:w="161" w:type="pct"/>
            <w:tcBorders>
              <w:top w:val="nil"/>
              <w:left w:val="nil"/>
              <w:bottom w:val="nil"/>
              <w:right w:val="nil"/>
            </w:tcBorders>
            <w:shd w:val="clear" w:color="auto" w:fill="FFFFFF" w:themeFill="background1"/>
            <w:noWrap/>
            <w:vAlign w:val="center"/>
            <w:hideMark/>
          </w:tcPr>
          <w:p w14:paraId="46D44DC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87</w:t>
            </w:r>
          </w:p>
        </w:tc>
        <w:tc>
          <w:tcPr>
            <w:tcW w:w="250" w:type="pct"/>
            <w:tcBorders>
              <w:top w:val="nil"/>
              <w:left w:val="nil"/>
              <w:bottom w:val="nil"/>
              <w:right w:val="nil"/>
            </w:tcBorders>
            <w:shd w:val="clear" w:color="auto" w:fill="FFFFFF" w:themeFill="background1"/>
            <w:noWrap/>
            <w:vAlign w:val="center"/>
            <w:hideMark/>
          </w:tcPr>
          <w:p w14:paraId="59B7B6E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150</w:t>
            </w:r>
          </w:p>
        </w:tc>
        <w:tc>
          <w:tcPr>
            <w:tcW w:w="248" w:type="pct"/>
            <w:tcBorders>
              <w:top w:val="nil"/>
              <w:left w:val="nil"/>
              <w:bottom w:val="nil"/>
              <w:right w:val="nil"/>
            </w:tcBorders>
            <w:shd w:val="clear" w:color="auto" w:fill="FFFFFF" w:themeFill="background1"/>
            <w:noWrap/>
            <w:vAlign w:val="center"/>
            <w:hideMark/>
          </w:tcPr>
          <w:p w14:paraId="77F1D62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42.0</w:t>
            </w:r>
          </w:p>
        </w:tc>
        <w:tc>
          <w:tcPr>
            <w:tcW w:w="263" w:type="pct"/>
            <w:tcBorders>
              <w:top w:val="nil"/>
              <w:left w:val="nil"/>
              <w:bottom w:val="nil"/>
              <w:right w:val="nil"/>
            </w:tcBorders>
            <w:shd w:val="clear" w:color="auto" w:fill="FFFFFF" w:themeFill="background1"/>
            <w:noWrap/>
            <w:vAlign w:val="center"/>
            <w:hideMark/>
          </w:tcPr>
          <w:p w14:paraId="13B15C27" w14:textId="78E57586"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58</w:t>
            </w:r>
          </w:p>
        </w:tc>
        <w:tc>
          <w:tcPr>
            <w:tcW w:w="249" w:type="pct"/>
            <w:tcBorders>
              <w:top w:val="nil"/>
              <w:left w:val="nil"/>
              <w:bottom w:val="nil"/>
              <w:right w:val="single" w:sz="8" w:space="0" w:color="auto"/>
            </w:tcBorders>
            <w:shd w:val="clear" w:color="auto" w:fill="FFFFFF" w:themeFill="background1"/>
            <w:vAlign w:val="center"/>
            <w:hideMark/>
          </w:tcPr>
          <w:p w14:paraId="162910D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r>
      <w:tr w:rsidR="00C827E3" w:rsidRPr="00435B6B" w14:paraId="0109E283"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3459C9B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POS (BCM)</w:t>
            </w:r>
          </w:p>
        </w:tc>
        <w:tc>
          <w:tcPr>
            <w:tcW w:w="200" w:type="pct"/>
            <w:tcBorders>
              <w:top w:val="nil"/>
              <w:left w:val="nil"/>
              <w:bottom w:val="nil"/>
              <w:right w:val="nil"/>
            </w:tcBorders>
            <w:shd w:val="clear" w:color="auto" w:fill="FFFFFF" w:themeFill="background1"/>
            <w:noWrap/>
            <w:vAlign w:val="center"/>
            <w:hideMark/>
          </w:tcPr>
          <w:p w14:paraId="739B3DF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25A48B6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3484356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7" w:type="pct"/>
            <w:tcBorders>
              <w:top w:val="nil"/>
              <w:left w:val="nil"/>
              <w:bottom w:val="nil"/>
              <w:right w:val="nil"/>
            </w:tcBorders>
            <w:shd w:val="clear" w:color="auto" w:fill="FFFFFF" w:themeFill="background1"/>
            <w:noWrap/>
            <w:vAlign w:val="center"/>
            <w:hideMark/>
          </w:tcPr>
          <w:p w14:paraId="4F015B2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0211C90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7F58A77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071D6F5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0F45A87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7E5D804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640E03F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08BB308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1040EF4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2627460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4BB6B4A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3B3DBF1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4AD8AD5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757E061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7EBBADD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r>
      <w:tr w:rsidR="00C827E3" w:rsidRPr="00435B6B" w14:paraId="7DD290CC" w14:textId="77777777" w:rsidTr="001F4A34">
        <w:trPr>
          <w:trHeight w:val="480"/>
          <w:jc w:val="center"/>
        </w:trPr>
        <w:tc>
          <w:tcPr>
            <w:tcW w:w="968" w:type="pct"/>
            <w:tcBorders>
              <w:top w:val="nil"/>
              <w:left w:val="single" w:sz="8" w:space="0" w:color="auto"/>
              <w:bottom w:val="single" w:sz="8" w:space="0" w:color="auto"/>
              <w:right w:val="single" w:sz="8" w:space="0" w:color="auto"/>
            </w:tcBorders>
            <w:shd w:val="clear" w:color="auto" w:fill="FFFFFF" w:themeFill="background1"/>
            <w:vAlign w:val="center"/>
            <w:hideMark/>
          </w:tcPr>
          <w:p w14:paraId="73436C5E" w14:textId="77777777" w:rsidR="003421D4" w:rsidRPr="009819CE" w:rsidRDefault="003421D4" w:rsidP="0083610A">
            <w:pPr>
              <w:spacing w:before="0" w:after="0" w:line="240" w:lineRule="auto"/>
              <w:jc w:val="center"/>
              <w:rPr>
                <w:rFonts w:cstheme="minorBidi"/>
                <w:b/>
                <w:bCs/>
                <w:color w:val="000000"/>
                <w:sz w:val="18"/>
                <w:szCs w:val="18"/>
              </w:rPr>
            </w:pPr>
            <w:r w:rsidRPr="009819CE">
              <w:rPr>
                <w:rFonts w:cstheme="minorBidi"/>
                <w:b/>
                <w:bCs/>
                <w:color w:val="000000"/>
                <w:sz w:val="18"/>
                <w:szCs w:val="18"/>
              </w:rPr>
              <w:t>Pleopod method (PM)</w:t>
            </w:r>
          </w:p>
        </w:tc>
        <w:tc>
          <w:tcPr>
            <w:tcW w:w="200" w:type="pct"/>
            <w:tcBorders>
              <w:top w:val="nil"/>
              <w:left w:val="nil"/>
              <w:bottom w:val="single" w:sz="8" w:space="0" w:color="auto"/>
              <w:right w:val="nil"/>
            </w:tcBorders>
            <w:shd w:val="clear" w:color="auto" w:fill="FFFFFF" w:themeFill="background1"/>
            <w:vAlign w:val="center"/>
            <w:hideMark/>
          </w:tcPr>
          <w:p w14:paraId="7CA1358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4F8E75B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274613C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7" w:type="pct"/>
            <w:tcBorders>
              <w:top w:val="nil"/>
              <w:left w:val="nil"/>
              <w:bottom w:val="single" w:sz="8" w:space="0" w:color="auto"/>
              <w:right w:val="nil"/>
            </w:tcBorders>
            <w:shd w:val="clear" w:color="auto" w:fill="FFFFFF" w:themeFill="background1"/>
            <w:noWrap/>
            <w:vAlign w:val="center"/>
            <w:hideMark/>
          </w:tcPr>
          <w:p w14:paraId="46721C5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22B5843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289E8A6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652F4E8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62E4801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7312AD2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2E8A616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0DC68B6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14DE94A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39F8D6C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1A53840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10FCD93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4F24B55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4E4DBF9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17BB0C4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r>
      <w:tr w:rsidR="00C827E3" w:rsidRPr="00435B6B" w14:paraId="5286E7F2"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1209EB3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S0</w:t>
            </w:r>
          </w:p>
        </w:tc>
        <w:tc>
          <w:tcPr>
            <w:tcW w:w="200" w:type="pct"/>
            <w:tcBorders>
              <w:top w:val="nil"/>
              <w:left w:val="nil"/>
              <w:bottom w:val="nil"/>
              <w:right w:val="nil"/>
            </w:tcBorders>
            <w:shd w:val="clear" w:color="auto" w:fill="FFFFFF" w:themeFill="background1"/>
            <w:noWrap/>
            <w:vAlign w:val="center"/>
            <w:hideMark/>
          </w:tcPr>
          <w:p w14:paraId="2191F97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104</w:t>
            </w:r>
          </w:p>
        </w:tc>
        <w:tc>
          <w:tcPr>
            <w:tcW w:w="161" w:type="pct"/>
            <w:tcBorders>
              <w:top w:val="nil"/>
              <w:left w:val="nil"/>
              <w:bottom w:val="nil"/>
              <w:right w:val="nil"/>
            </w:tcBorders>
            <w:shd w:val="clear" w:color="auto" w:fill="FFFFFF" w:themeFill="background1"/>
            <w:noWrap/>
            <w:vAlign w:val="center"/>
            <w:hideMark/>
          </w:tcPr>
          <w:p w14:paraId="781D466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31</w:t>
            </w:r>
          </w:p>
        </w:tc>
        <w:tc>
          <w:tcPr>
            <w:tcW w:w="250" w:type="pct"/>
            <w:tcBorders>
              <w:top w:val="nil"/>
              <w:left w:val="nil"/>
              <w:bottom w:val="nil"/>
              <w:right w:val="nil"/>
            </w:tcBorders>
            <w:shd w:val="clear" w:color="auto" w:fill="FFFFFF" w:themeFill="background1"/>
            <w:noWrap/>
            <w:vAlign w:val="center"/>
            <w:hideMark/>
          </w:tcPr>
          <w:p w14:paraId="1623431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135</w:t>
            </w:r>
          </w:p>
        </w:tc>
        <w:tc>
          <w:tcPr>
            <w:tcW w:w="247" w:type="pct"/>
            <w:tcBorders>
              <w:top w:val="nil"/>
              <w:left w:val="nil"/>
              <w:bottom w:val="nil"/>
              <w:right w:val="nil"/>
            </w:tcBorders>
            <w:shd w:val="clear" w:color="auto" w:fill="FFFFFF" w:themeFill="background1"/>
            <w:noWrap/>
            <w:vAlign w:val="center"/>
            <w:hideMark/>
          </w:tcPr>
          <w:p w14:paraId="61D0FF6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77.0</w:t>
            </w:r>
          </w:p>
        </w:tc>
        <w:tc>
          <w:tcPr>
            <w:tcW w:w="263" w:type="pct"/>
            <w:tcBorders>
              <w:top w:val="nil"/>
              <w:left w:val="nil"/>
              <w:bottom w:val="nil"/>
              <w:right w:val="nil"/>
            </w:tcBorders>
            <w:shd w:val="clear" w:color="auto" w:fill="FFFFFF" w:themeFill="background1"/>
            <w:noWrap/>
            <w:vAlign w:val="center"/>
            <w:hideMark/>
          </w:tcPr>
          <w:p w14:paraId="29E2E18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23.0</w:t>
            </w:r>
          </w:p>
        </w:tc>
        <w:tc>
          <w:tcPr>
            <w:tcW w:w="249" w:type="pct"/>
            <w:tcBorders>
              <w:top w:val="nil"/>
              <w:left w:val="nil"/>
              <w:bottom w:val="nil"/>
              <w:right w:val="single" w:sz="8" w:space="0" w:color="auto"/>
            </w:tcBorders>
            <w:shd w:val="clear" w:color="auto" w:fill="FFFFFF" w:themeFill="background1"/>
            <w:vAlign w:val="center"/>
            <w:hideMark/>
          </w:tcPr>
          <w:p w14:paraId="7FF36423" w14:textId="0E4A93F4"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90</w:t>
            </w:r>
          </w:p>
        </w:tc>
        <w:tc>
          <w:tcPr>
            <w:tcW w:w="161" w:type="pct"/>
            <w:tcBorders>
              <w:top w:val="nil"/>
              <w:left w:val="nil"/>
              <w:bottom w:val="nil"/>
              <w:right w:val="nil"/>
            </w:tcBorders>
            <w:shd w:val="clear" w:color="auto" w:fill="FFFFFF" w:themeFill="background1"/>
            <w:noWrap/>
            <w:vAlign w:val="center"/>
            <w:hideMark/>
          </w:tcPr>
          <w:p w14:paraId="3755A05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63</w:t>
            </w:r>
          </w:p>
        </w:tc>
        <w:tc>
          <w:tcPr>
            <w:tcW w:w="161" w:type="pct"/>
            <w:tcBorders>
              <w:top w:val="nil"/>
              <w:left w:val="nil"/>
              <w:bottom w:val="nil"/>
              <w:right w:val="nil"/>
            </w:tcBorders>
            <w:shd w:val="clear" w:color="auto" w:fill="FFFFFF" w:themeFill="background1"/>
            <w:noWrap/>
            <w:vAlign w:val="center"/>
            <w:hideMark/>
          </w:tcPr>
          <w:p w14:paraId="6AF49C0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79</w:t>
            </w:r>
          </w:p>
        </w:tc>
        <w:tc>
          <w:tcPr>
            <w:tcW w:w="250" w:type="pct"/>
            <w:tcBorders>
              <w:top w:val="nil"/>
              <w:left w:val="nil"/>
              <w:bottom w:val="nil"/>
              <w:right w:val="nil"/>
            </w:tcBorders>
            <w:shd w:val="clear" w:color="auto" w:fill="FFFFFF" w:themeFill="background1"/>
            <w:noWrap/>
            <w:vAlign w:val="center"/>
            <w:hideMark/>
          </w:tcPr>
          <w:p w14:paraId="4513308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142</w:t>
            </w:r>
          </w:p>
        </w:tc>
        <w:tc>
          <w:tcPr>
            <w:tcW w:w="248" w:type="pct"/>
            <w:tcBorders>
              <w:top w:val="nil"/>
              <w:left w:val="nil"/>
              <w:bottom w:val="nil"/>
              <w:right w:val="nil"/>
            </w:tcBorders>
            <w:shd w:val="clear" w:color="auto" w:fill="FFFFFF" w:themeFill="background1"/>
            <w:noWrap/>
            <w:vAlign w:val="center"/>
            <w:hideMark/>
          </w:tcPr>
          <w:p w14:paraId="0C3A9A6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44.4</w:t>
            </w:r>
          </w:p>
        </w:tc>
        <w:tc>
          <w:tcPr>
            <w:tcW w:w="263" w:type="pct"/>
            <w:tcBorders>
              <w:top w:val="nil"/>
              <w:left w:val="nil"/>
              <w:bottom w:val="nil"/>
              <w:right w:val="nil"/>
            </w:tcBorders>
            <w:shd w:val="clear" w:color="auto" w:fill="FFFFFF" w:themeFill="background1"/>
            <w:noWrap/>
            <w:vAlign w:val="center"/>
            <w:hideMark/>
          </w:tcPr>
          <w:p w14:paraId="3F42C4C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7F82D75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96.6</w:t>
            </w:r>
          </w:p>
        </w:tc>
        <w:tc>
          <w:tcPr>
            <w:tcW w:w="161" w:type="pct"/>
            <w:tcBorders>
              <w:top w:val="nil"/>
              <w:left w:val="nil"/>
              <w:bottom w:val="nil"/>
              <w:right w:val="nil"/>
            </w:tcBorders>
            <w:shd w:val="clear" w:color="auto" w:fill="FFFFFF" w:themeFill="background1"/>
            <w:noWrap/>
            <w:vAlign w:val="center"/>
            <w:hideMark/>
          </w:tcPr>
          <w:p w14:paraId="598BD30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61</w:t>
            </w:r>
          </w:p>
        </w:tc>
        <w:tc>
          <w:tcPr>
            <w:tcW w:w="161" w:type="pct"/>
            <w:tcBorders>
              <w:top w:val="nil"/>
              <w:left w:val="nil"/>
              <w:bottom w:val="nil"/>
              <w:right w:val="nil"/>
            </w:tcBorders>
            <w:shd w:val="clear" w:color="auto" w:fill="FFFFFF" w:themeFill="background1"/>
            <w:noWrap/>
            <w:vAlign w:val="center"/>
            <w:hideMark/>
          </w:tcPr>
          <w:p w14:paraId="642CD7F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86</w:t>
            </w:r>
          </w:p>
        </w:tc>
        <w:tc>
          <w:tcPr>
            <w:tcW w:w="250" w:type="pct"/>
            <w:tcBorders>
              <w:top w:val="nil"/>
              <w:left w:val="nil"/>
              <w:bottom w:val="nil"/>
              <w:right w:val="nil"/>
            </w:tcBorders>
            <w:shd w:val="clear" w:color="auto" w:fill="FFFFFF" w:themeFill="background1"/>
            <w:noWrap/>
            <w:vAlign w:val="center"/>
            <w:hideMark/>
          </w:tcPr>
          <w:p w14:paraId="2765FFB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147</w:t>
            </w:r>
          </w:p>
        </w:tc>
        <w:tc>
          <w:tcPr>
            <w:tcW w:w="248" w:type="pct"/>
            <w:tcBorders>
              <w:top w:val="nil"/>
              <w:left w:val="nil"/>
              <w:bottom w:val="nil"/>
              <w:right w:val="nil"/>
            </w:tcBorders>
            <w:shd w:val="clear" w:color="auto" w:fill="FFFFFF" w:themeFill="background1"/>
            <w:noWrap/>
            <w:vAlign w:val="center"/>
            <w:hideMark/>
          </w:tcPr>
          <w:p w14:paraId="0F0EDE6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41.5</w:t>
            </w:r>
          </w:p>
        </w:tc>
        <w:tc>
          <w:tcPr>
            <w:tcW w:w="263" w:type="pct"/>
            <w:tcBorders>
              <w:top w:val="nil"/>
              <w:left w:val="nil"/>
              <w:bottom w:val="nil"/>
              <w:right w:val="nil"/>
            </w:tcBorders>
            <w:shd w:val="clear" w:color="auto" w:fill="FFFFFF" w:themeFill="background1"/>
            <w:noWrap/>
            <w:vAlign w:val="center"/>
            <w:hideMark/>
          </w:tcPr>
          <w:p w14:paraId="4877CD1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58.5</w:t>
            </w:r>
          </w:p>
        </w:tc>
        <w:tc>
          <w:tcPr>
            <w:tcW w:w="249" w:type="pct"/>
            <w:tcBorders>
              <w:top w:val="nil"/>
              <w:left w:val="nil"/>
              <w:bottom w:val="nil"/>
              <w:right w:val="single" w:sz="8" w:space="0" w:color="auto"/>
            </w:tcBorders>
            <w:shd w:val="clear" w:color="auto" w:fill="FFFFFF" w:themeFill="background1"/>
            <w:vAlign w:val="center"/>
            <w:hideMark/>
          </w:tcPr>
          <w:p w14:paraId="3704E9B7" w14:textId="70353C9A"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98</w:t>
            </w:r>
          </w:p>
        </w:tc>
      </w:tr>
      <w:tr w:rsidR="00C827E3" w:rsidRPr="00435B6B" w14:paraId="1AACFCE4"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1C7D204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S1</w:t>
            </w:r>
          </w:p>
        </w:tc>
        <w:tc>
          <w:tcPr>
            <w:tcW w:w="200" w:type="pct"/>
            <w:tcBorders>
              <w:top w:val="nil"/>
              <w:left w:val="nil"/>
              <w:bottom w:val="nil"/>
              <w:right w:val="nil"/>
            </w:tcBorders>
            <w:shd w:val="clear" w:color="auto" w:fill="FFFFFF" w:themeFill="background1"/>
            <w:noWrap/>
            <w:vAlign w:val="center"/>
            <w:hideMark/>
          </w:tcPr>
          <w:p w14:paraId="074C3D2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w:t>
            </w:r>
          </w:p>
        </w:tc>
        <w:tc>
          <w:tcPr>
            <w:tcW w:w="161" w:type="pct"/>
            <w:tcBorders>
              <w:top w:val="nil"/>
              <w:left w:val="nil"/>
              <w:bottom w:val="nil"/>
              <w:right w:val="nil"/>
            </w:tcBorders>
            <w:shd w:val="clear" w:color="auto" w:fill="FFFFFF" w:themeFill="background1"/>
            <w:noWrap/>
            <w:vAlign w:val="center"/>
            <w:hideMark/>
          </w:tcPr>
          <w:p w14:paraId="12D3CB1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62228F0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w:t>
            </w:r>
          </w:p>
        </w:tc>
        <w:tc>
          <w:tcPr>
            <w:tcW w:w="247" w:type="pct"/>
            <w:tcBorders>
              <w:top w:val="nil"/>
              <w:left w:val="nil"/>
              <w:bottom w:val="nil"/>
              <w:right w:val="nil"/>
            </w:tcBorders>
            <w:shd w:val="clear" w:color="auto" w:fill="FFFFFF" w:themeFill="background1"/>
            <w:noWrap/>
            <w:vAlign w:val="center"/>
            <w:hideMark/>
          </w:tcPr>
          <w:p w14:paraId="62D6452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3" w:type="pct"/>
            <w:tcBorders>
              <w:top w:val="nil"/>
              <w:left w:val="nil"/>
              <w:bottom w:val="nil"/>
              <w:right w:val="nil"/>
            </w:tcBorders>
            <w:shd w:val="clear" w:color="auto" w:fill="FFFFFF" w:themeFill="background1"/>
            <w:noWrap/>
            <w:vAlign w:val="center"/>
            <w:hideMark/>
          </w:tcPr>
          <w:p w14:paraId="5126DC4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5ADE639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9.3</w:t>
            </w:r>
          </w:p>
        </w:tc>
        <w:tc>
          <w:tcPr>
            <w:tcW w:w="161" w:type="pct"/>
            <w:tcBorders>
              <w:top w:val="nil"/>
              <w:left w:val="nil"/>
              <w:bottom w:val="nil"/>
              <w:right w:val="nil"/>
            </w:tcBorders>
            <w:shd w:val="clear" w:color="auto" w:fill="FFFFFF" w:themeFill="background1"/>
            <w:noWrap/>
            <w:vAlign w:val="center"/>
            <w:hideMark/>
          </w:tcPr>
          <w:p w14:paraId="209F8E1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1" w:type="pct"/>
            <w:tcBorders>
              <w:top w:val="nil"/>
              <w:left w:val="nil"/>
              <w:bottom w:val="nil"/>
              <w:right w:val="nil"/>
            </w:tcBorders>
            <w:shd w:val="clear" w:color="auto" w:fill="FFFFFF" w:themeFill="background1"/>
            <w:noWrap/>
            <w:vAlign w:val="center"/>
            <w:hideMark/>
          </w:tcPr>
          <w:p w14:paraId="241AFA5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3A02003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248" w:type="pct"/>
            <w:tcBorders>
              <w:top w:val="nil"/>
              <w:left w:val="nil"/>
              <w:bottom w:val="nil"/>
              <w:right w:val="nil"/>
            </w:tcBorders>
            <w:shd w:val="clear" w:color="auto" w:fill="FFFFFF" w:themeFill="background1"/>
            <w:noWrap/>
            <w:vAlign w:val="center"/>
            <w:hideMark/>
          </w:tcPr>
          <w:p w14:paraId="79CE40E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3" w:type="pct"/>
            <w:tcBorders>
              <w:top w:val="nil"/>
              <w:left w:val="nil"/>
              <w:bottom w:val="nil"/>
              <w:right w:val="nil"/>
            </w:tcBorders>
            <w:shd w:val="clear" w:color="auto" w:fill="FFFFFF" w:themeFill="background1"/>
            <w:noWrap/>
            <w:vAlign w:val="center"/>
            <w:hideMark/>
          </w:tcPr>
          <w:p w14:paraId="789D97D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50D7FC7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3.4</w:t>
            </w:r>
          </w:p>
        </w:tc>
        <w:tc>
          <w:tcPr>
            <w:tcW w:w="161" w:type="pct"/>
            <w:tcBorders>
              <w:top w:val="nil"/>
              <w:left w:val="nil"/>
              <w:bottom w:val="nil"/>
              <w:right w:val="nil"/>
            </w:tcBorders>
            <w:shd w:val="clear" w:color="auto" w:fill="FFFFFF" w:themeFill="background1"/>
            <w:noWrap/>
            <w:vAlign w:val="center"/>
            <w:hideMark/>
          </w:tcPr>
          <w:p w14:paraId="08FDFCF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1" w:type="pct"/>
            <w:tcBorders>
              <w:top w:val="nil"/>
              <w:left w:val="nil"/>
              <w:bottom w:val="nil"/>
              <w:right w:val="nil"/>
            </w:tcBorders>
            <w:shd w:val="clear" w:color="auto" w:fill="FFFFFF" w:themeFill="background1"/>
            <w:noWrap/>
            <w:vAlign w:val="center"/>
            <w:hideMark/>
          </w:tcPr>
          <w:p w14:paraId="12DF248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50" w:type="pct"/>
            <w:tcBorders>
              <w:top w:val="nil"/>
              <w:left w:val="nil"/>
              <w:bottom w:val="nil"/>
              <w:right w:val="nil"/>
            </w:tcBorders>
            <w:shd w:val="clear" w:color="auto" w:fill="FFFFFF" w:themeFill="background1"/>
            <w:noWrap/>
            <w:vAlign w:val="center"/>
            <w:hideMark/>
          </w:tcPr>
          <w:p w14:paraId="1588B50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48" w:type="pct"/>
            <w:tcBorders>
              <w:top w:val="nil"/>
              <w:left w:val="nil"/>
              <w:bottom w:val="nil"/>
              <w:right w:val="nil"/>
            </w:tcBorders>
            <w:shd w:val="clear" w:color="auto" w:fill="FFFFFF" w:themeFill="background1"/>
            <w:noWrap/>
            <w:vAlign w:val="center"/>
            <w:hideMark/>
          </w:tcPr>
          <w:p w14:paraId="38963FB6" w14:textId="09A5A260"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63" w:type="pct"/>
            <w:tcBorders>
              <w:top w:val="nil"/>
              <w:left w:val="nil"/>
              <w:bottom w:val="nil"/>
              <w:right w:val="nil"/>
            </w:tcBorders>
            <w:shd w:val="clear" w:color="auto" w:fill="FFFFFF" w:themeFill="background1"/>
            <w:noWrap/>
            <w:vAlign w:val="center"/>
            <w:hideMark/>
          </w:tcPr>
          <w:p w14:paraId="7717055A" w14:textId="1C6CA43B"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49" w:type="pct"/>
            <w:tcBorders>
              <w:top w:val="nil"/>
              <w:left w:val="nil"/>
              <w:bottom w:val="nil"/>
              <w:right w:val="single" w:sz="8" w:space="0" w:color="auto"/>
            </w:tcBorders>
            <w:shd w:val="clear" w:color="auto" w:fill="FFFFFF" w:themeFill="background1"/>
            <w:vAlign w:val="center"/>
            <w:hideMark/>
          </w:tcPr>
          <w:p w14:paraId="49353E8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w:t>
            </w:r>
          </w:p>
        </w:tc>
      </w:tr>
      <w:tr w:rsidR="00C827E3" w:rsidRPr="00435B6B" w14:paraId="3BCEB3A7"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796E789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S2</w:t>
            </w:r>
          </w:p>
        </w:tc>
        <w:tc>
          <w:tcPr>
            <w:tcW w:w="200" w:type="pct"/>
            <w:tcBorders>
              <w:top w:val="nil"/>
              <w:left w:val="nil"/>
              <w:bottom w:val="nil"/>
              <w:right w:val="nil"/>
            </w:tcBorders>
            <w:shd w:val="clear" w:color="auto" w:fill="FFFFFF" w:themeFill="background1"/>
            <w:noWrap/>
            <w:vAlign w:val="center"/>
            <w:hideMark/>
          </w:tcPr>
          <w:p w14:paraId="1E160B4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1" w:type="pct"/>
            <w:tcBorders>
              <w:top w:val="nil"/>
              <w:left w:val="nil"/>
              <w:bottom w:val="nil"/>
              <w:right w:val="nil"/>
            </w:tcBorders>
            <w:shd w:val="clear" w:color="auto" w:fill="FFFFFF" w:themeFill="background1"/>
            <w:noWrap/>
            <w:vAlign w:val="center"/>
            <w:hideMark/>
          </w:tcPr>
          <w:p w14:paraId="4EBC9B4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349EF5B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47" w:type="pct"/>
            <w:tcBorders>
              <w:top w:val="nil"/>
              <w:left w:val="nil"/>
              <w:bottom w:val="nil"/>
              <w:right w:val="nil"/>
            </w:tcBorders>
            <w:shd w:val="clear" w:color="auto" w:fill="FFFFFF" w:themeFill="background1"/>
            <w:noWrap/>
            <w:vAlign w:val="center"/>
            <w:hideMark/>
          </w:tcPr>
          <w:p w14:paraId="514593B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3" w:type="pct"/>
            <w:tcBorders>
              <w:top w:val="nil"/>
              <w:left w:val="nil"/>
              <w:bottom w:val="nil"/>
              <w:right w:val="nil"/>
            </w:tcBorders>
            <w:shd w:val="clear" w:color="auto" w:fill="FFFFFF" w:themeFill="background1"/>
            <w:noWrap/>
            <w:vAlign w:val="center"/>
            <w:hideMark/>
          </w:tcPr>
          <w:p w14:paraId="7541E28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7B9CFEB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0.7</w:t>
            </w:r>
          </w:p>
        </w:tc>
        <w:tc>
          <w:tcPr>
            <w:tcW w:w="161" w:type="pct"/>
            <w:tcBorders>
              <w:top w:val="nil"/>
              <w:left w:val="nil"/>
              <w:bottom w:val="nil"/>
              <w:right w:val="nil"/>
            </w:tcBorders>
            <w:shd w:val="clear" w:color="auto" w:fill="FFFFFF" w:themeFill="background1"/>
            <w:noWrap/>
            <w:vAlign w:val="center"/>
            <w:hideMark/>
          </w:tcPr>
          <w:p w14:paraId="50E53F1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05B282F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2C57124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2363F6E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4D037A4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1976830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728E8FB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622B70C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3793AA9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370514B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58F8757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4EC0216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r>
      <w:tr w:rsidR="00C827E3" w:rsidRPr="00435B6B" w14:paraId="601225E2"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03CEE6D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S3</w:t>
            </w:r>
          </w:p>
        </w:tc>
        <w:tc>
          <w:tcPr>
            <w:tcW w:w="200" w:type="pct"/>
            <w:tcBorders>
              <w:top w:val="nil"/>
              <w:left w:val="nil"/>
              <w:bottom w:val="nil"/>
              <w:right w:val="nil"/>
            </w:tcBorders>
            <w:shd w:val="clear" w:color="auto" w:fill="FFFFFF" w:themeFill="background1"/>
            <w:noWrap/>
            <w:vAlign w:val="center"/>
            <w:hideMark/>
          </w:tcPr>
          <w:p w14:paraId="337A591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77B792E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588C7F5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7" w:type="pct"/>
            <w:tcBorders>
              <w:top w:val="nil"/>
              <w:left w:val="nil"/>
              <w:bottom w:val="nil"/>
              <w:right w:val="nil"/>
            </w:tcBorders>
            <w:shd w:val="clear" w:color="auto" w:fill="FFFFFF" w:themeFill="background1"/>
            <w:noWrap/>
            <w:vAlign w:val="center"/>
            <w:hideMark/>
          </w:tcPr>
          <w:p w14:paraId="20FD0B9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26B2461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2036EC7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761984F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4C0ED05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6F5CA1D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4FBA242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3308CA4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7343BEE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0900ADD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161" w:type="pct"/>
            <w:tcBorders>
              <w:top w:val="nil"/>
              <w:left w:val="nil"/>
              <w:bottom w:val="nil"/>
              <w:right w:val="nil"/>
            </w:tcBorders>
            <w:shd w:val="clear" w:color="auto" w:fill="FFFFFF" w:themeFill="background1"/>
            <w:noWrap/>
            <w:vAlign w:val="center"/>
            <w:hideMark/>
          </w:tcPr>
          <w:p w14:paraId="7A19006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2C31EC6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48" w:type="pct"/>
            <w:tcBorders>
              <w:top w:val="nil"/>
              <w:left w:val="nil"/>
              <w:bottom w:val="nil"/>
              <w:right w:val="nil"/>
            </w:tcBorders>
            <w:shd w:val="clear" w:color="auto" w:fill="FFFFFF" w:themeFill="background1"/>
            <w:noWrap/>
            <w:vAlign w:val="center"/>
            <w:hideMark/>
          </w:tcPr>
          <w:p w14:paraId="1246011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3" w:type="pct"/>
            <w:tcBorders>
              <w:top w:val="nil"/>
              <w:left w:val="nil"/>
              <w:bottom w:val="nil"/>
              <w:right w:val="nil"/>
            </w:tcBorders>
            <w:shd w:val="clear" w:color="auto" w:fill="FFFFFF" w:themeFill="background1"/>
            <w:noWrap/>
            <w:vAlign w:val="center"/>
            <w:hideMark/>
          </w:tcPr>
          <w:p w14:paraId="22A547A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39BB435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0.7</w:t>
            </w:r>
          </w:p>
        </w:tc>
      </w:tr>
      <w:tr w:rsidR="00C827E3" w:rsidRPr="00435B6B" w14:paraId="7BE24A1F"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3344366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S4</w:t>
            </w:r>
          </w:p>
        </w:tc>
        <w:tc>
          <w:tcPr>
            <w:tcW w:w="200" w:type="pct"/>
            <w:tcBorders>
              <w:top w:val="nil"/>
              <w:left w:val="nil"/>
              <w:bottom w:val="nil"/>
              <w:right w:val="nil"/>
            </w:tcBorders>
            <w:shd w:val="clear" w:color="auto" w:fill="FFFFFF" w:themeFill="background1"/>
            <w:noWrap/>
            <w:vAlign w:val="center"/>
            <w:hideMark/>
          </w:tcPr>
          <w:p w14:paraId="5AE8DFF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32E4136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72C9B4C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7" w:type="pct"/>
            <w:tcBorders>
              <w:top w:val="nil"/>
              <w:left w:val="nil"/>
              <w:bottom w:val="nil"/>
              <w:right w:val="nil"/>
            </w:tcBorders>
            <w:shd w:val="clear" w:color="auto" w:fill="FFFFFF" w:themeFill="background1"/>
            <w:noWrap/>
            <w:vAlign w:val="center"/>
            <w:hideMark/>
          </w:tcPr>
          <w:p w14:paraId="3F2A20D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4E3BE35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6A8DD37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5DF5E83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3DDABFC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0BFD074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050DB0B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79407E7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3A3FB6D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3955AD9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26F0899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74DC222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3C161A8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3703FB3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2EC94ED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r>
      <w:tr w:rsidR="00C827E3" w:rsidRPr="00435B6B" w14:paraId="1544CD7E"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3342740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S1-4</w:t>
            </w:r>
          </w:p>
        </w:tc>
        <w:tc>
          <w:tcPr>
            <w:tcW w:w="200" w:type="pct"/>
            <w:tcBorders>
              <w:top w:val="nil"/>
              <w:left w:val="nil"/>
              <w:bottom w:val="nil"/>
              <w:right w:val="nil"/>
            </w:tcBorders>
            <w:shd w:val="clear" w:color="auto" w:fill="FFFFFF" w:themeFill="background1"/>
            <w:noWrap/>
            <w:vAlign w:val="center"/>
            <w:hideMark/>
          </w:tcPr>
          <w:p w14:paraId="176B336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15</w:t>
            </w:r>
          </w:p>
        </w:tc>
        <w:tc>
          <w:tcPr>
            <w:tcW w:w="161" w:type="pct"/>
            <w:tcBorders>
              <w:top w:val="nil"/>
              <w:left w:val="nil"/>
              <w:bottom w:val="nil"/>
              <w:right w:val="nil"/>
            </w:tcBorders>
            <w:shd w:val="clear" w:color="auto" w:fill="FFFFFF" w:themeFill="background1"/>
            <w:noWrap/>
            <w:vAlign w:val="center"/>
            <w:hideMark/>
          </w:tcPr>
          <w:p w14:paraId="069FA2A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352EB46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15</w:t>
            </w:r>
          </w:p>
        </w:tc>
        <w:tc>
          <w:tcPr>
            <w:tcW w:w="247" w:type="pct"/>
            <w:tcBorders>
              <w:top w:val="nil"/>
              <w:left w:val="nil"/>
              <w:bottom w:val="nil"/>
              <w:right w:val="nil"/>
            </w:tcBorders>
            <w:shd w:val="clear" w:color="auto" w:fill="FFFFFF" w:themeFill="background1"/>
            <w:noWrap/>
            <w:vAlign w:val="center"/>
            <w:hideMark/>
          </w:tcPr>
          <w:p w14:paraId="5BCBE34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3" w:type="pct"/>
            <w:tcBorders>
              <w:top w:val="nil"/>
              <w:left w:val="nil"/>
              <w:bottom w:val="nil"/>
              <w:right w:val="nil"/>
            </w:tcBorders>
            <w:shd w:val="clear" w:color="auto" w:fill="FFFFFF" w:themeFill="background1"/>
            <w:noWrap/>
            <w:vAlign w:val="center"/>
            <w:hideMark/>
          </w:tcPr>
          <w:p w14:paraId="37DB116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6A378AD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161" w:type="pct"/>
            <w:tcBorders>
              <w:top w:val="nil"/>
              <w:left w:val="nil"/>
              <w:bottom w:val="nil"/>
              <w:right w:val="nil"/>
            </w:tcBorders>
            <w:shd w:val="clear" w:color="auto" w:fill="FFFFFF" w:themeFill="background1"/>
            <w:noWrap/>
            <w:vAlign w:val="center"/>
            <w:hideMark/>
          </w:tcPr>
          <w:p w14:paraId="6FD7101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161" w:type="pct"/>
            <w:tcBorders>
              <w:top w:val="nil"/>
              <w:left w:val="nil"/>
              <w:bottom w:val="nil"/>
              <w:right w:val="nil"/>
            </w:tcBorders>
            <w:shd w:val="clear" w:color="auto" w:fill="FFFFFF" w:themeFill="background1"/>
            <w:noWrap/>
            <w:vAlign w:val="center"/>
            <w:hideMark/>
          </w:tcPr>
          <w:p w14:paraId="2890E0A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590642A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248" w:type="pct"/>
            <w:tcBorders>
              <w:top w:val="nil"/>
              <w:left w:val="nil"/>
              <w:bottom w:val="nil"/>
              <w:right w:val="nil"/>
            </w:tcBorders>
            <w:shd w:val="clear" w:color="auto" w:fill="FFFFFF" w:themeFill="background1"/>
            <w:noWrap/>
            <w:vAlign w:val="center"/>
            <w:hideMark/>
          </w:tcPr>
          <w:p w14:paraId="6037C30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63" w:type="pct"/>
            <w:tcBorders>
              <w:top w:val="nil"/>
              <w:left w:val="nil"/>
              <w:bottom w:val="nil"/>
              <w:right w:val="nil"/>
            </w:tcBorders>
            <w:shd w:val="clear" w:color="auto" w:fill="FFFFFF" w:themeFill="background1"/>
            <w:noWrap/>
            <w:vAlign w:val="center"/>
            <w:hideMark/>
          </w:tcPr>
          <w:p w14:paraId="5642C76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5AE79F2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3.4</w:t>
            </w:r>
          </w:p>
        </w:tc>
        <w:tc>
          <w:tcPr>
            <w:tcW w:w="161" w:type="pct"/>
            <w:tcBorders>
              <w:top w:val="nil"/>
              <w:left w:val="nil"/>
              <w:bottom w:val="nil"/>
              <w:right w:val="nil"/>
            </w:tcBorders>
            <w:shd w:val="clear" w:color="auto" w:fill="FFFFFF" w:themeFill="background1"/>
            <w:noWrap/>
            <w:vAlign w:val="center"/>
            <w:hideMark/>
          </w:tcPr>
          <w:p w14:paraId="02D200A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161" w:type="pct"/>
            <w:tcBorders>
              <w:top w:val="nil"/>
              <w:left w:val="nil"/>
              <w:bottom w:val="nil"/>
              <w:right w:val="nil"/>
            </w:tcBorders>
            <w:shd w:val="clear" w:color="auto" w:fill="FFFFFF" w:themeFill="background1"/>
            <w:noWrap/>
            <w:vAlign w:val="center"/>
            <w:hideMark/>
          </w:tcPr>
          <w:p w14:paraId="4D70AE5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50" w:type="pct"/>
            <w:tcBorders>
              <w:top w:val="nil"/>
              <w:left w:val="nil"/>
              <w:bottom w:val="nil"/>
              <w:right w:val="nil"/>
            </w:tcBorders>
            <w:shd w:val="clear" w:color="auto" w:fill="FFFFFF" w:themeFill="background1"/>
            <w:noWrap/>
            <w:vAlign w:val="center"/>
            <w:hideMark/>
          </w:tcPr>
          <w:p w14:paraId="76DCE9A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248" w:type="pct"/>
            <w:tcBorders>
              <w:top w:val="nil"/>
              <w:left w:val="nil"/>
              <w:bottom w:val="nil"/>
              <w:right w:val="nil"/>
            </w:tcBorders>
            <w:shd w:val="clear" w:color="auto" w:fill="FFFFFF" w:themeFill="background1"/>
            <w:noWrap/>
            <w:vAlign w:val="center"/>
            <w:hideMark/>
          </w:tcPr>
          <w:p w14:paraId="13FC259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66.7</w:t>
            </w:r>
          </w:p>
        </w:tc>
        <w:tc>
          <w:tcPr>
            <w:tcW w:w="263" w:type="pct"/>
            <w:tcBorders>
              <w:top w:val="nil"/>
              <w:left w:val="nil"/>
              <w:bottom w:val="nil"/>
              <w:right w:val="nil"/>
            </w:tcBorders>
            <w:shd w:val="clear" w:color="auto" w:fill="FFFFFF" w:themeFill="background1"/>
            <w:noWrap/>
            <w:vAlign w:val="center"/>
            <w:hideMark/>
          </w:tcPr>
          <w:p w14:paraId="4B3B438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33.3</w:t>
            </w:r>
          </w:p>
        </w:tc>
        <w:tc>
          <w:tcPr>
            <w:tcW w:w="249" w:type="pct"/>
            <w:tcBorders>
              <w:top w:val="nil"/>
              <w:left w:val="nil"/>
              <w:bottom w:val="nil"/>
              <w:right w:val="single" w:sz="8" w:space="0" w:color="auto"/>
            </w:tcBorders>
            <w:shd w:val="clear" w:color="auto" w:fill="FFFFFF" w:themeFill="background1"/>
            <w:vAlign w:val="center"/>
            <w:hideMark/>
          </w:tcPr>
          <w:p w14:paraId="3B99C5C4" w14:textId="3579403C"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r>
      <w:tr w:rsidR="00C827E3" w:rsidRPr="00435B6B" w14:paraId="52C73DEC" w14:textId="77777777" w:rsidTr="001F4A34">
        <w:trPr>
          <w:trHeight w:val="495"/>
          <w:jc w:val="center"/>
        </w:trPr>
        <w:tc>
          <w:tcPr>
            <w:tcW w:w="968" w:type="pct"/>
            <w:tcBorders>
              <w:top w:val="nil"/>
              <w:left w:val="single" w:sz="8" w:space="0" w:color="auto"/>
              <w:bottom w:val="single" w:sz="8" w:space="0" w:color="auto"/>
              <w:right w:val="single" w:sz="8" w:space="0" w:color="auto"/>
            </w:tcBorders>
            <w:shd w:val="clear" w:color="auto" w:fill="FFFFFF" w:themeFill="background1"/>
            <w:vAlign w:val="center"/>
            <w:hideMark/>
          </w:tcPr>
          <w:p w14:paraId="0B8C13B9" w14:textId="3978EADF" w:rsidR="003421D4" w:rsidRPr="009819CE" w:rsidRDefault="00272268" w:rsidP="0083610A">
            <w:pPr>
              <w:spacing w:before="0" w:after="0" w:line="240" w:lineRule="auto"/>
              <w:jc w:val="center"/>
              <w:rPr>
                <w:rFonts w:cstheme="minorBidi"/>
                <w:b/>
                <w:bCs/>
                <w:color w:val="000000"/>
                <w:sz w:val="18"/>
                <w:szCs w:val="18"/>
              </w:rPr>
            </w:pPr>
            <w:r w:rsidRPr="00435B6B">
              <w:rPr>
                <w:rFonts w:cstheme="minorBidi"/>
                <w:b/>
                <w:bCs/>
                <w:color w:val="000000"/>
                <w:sz w:val="18"/>
                <w:szCs w:val="18"/>
              </w:rPr>
              <w:t>Moult</w:t>
            </w:r>
            <w:r w:rsidR="003421D4" w:rsidRPr="009819CE">
              <w:rPr>
                <w:rFonts w:cstheme="minorBidi"/>
                <w:b/>
                <w:bCs/>
                <w:color w:val="000000"/>
                <w:sz w:val="18"/>
                <w:szCs w:val="18"/>
              </w:rPr>
              <w:t xml:space="preserve"> parameters</w:t>
            </w:r>
          </w:p>
        </w:tc>
        <w:tc>
          <w:tcPr>
            <w:tcW w:w="200" w:type="pct"/>
            <w:tcBorders>
              <w:top w:val="nil"/>
              <w:left w:val="nil"/>
              <w:bottom w:val="single" w:sz="8" w:space="0" w:color="auto"/>
              <w:right w:val="nil"/>
            </w:tcBorders>
            <w:shd w:val="clear" w:color="auto" w:fill="FFFFFF" w:themeFill="background1"/>
            <w:vAlign w:val="center"/>
            <w:hideMark/>
          </w:tcPr>
          <w:p w14:paraId="17DD557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21252F2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2A8E61A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7" w:type="pct"/>
            <w:tcBorders>
              <w:top w:val="nil"/>
              <w:left w:val="nil"/>
              <w:bottom w:val="single" w:sz="8" w:space="0" w:color="auto"/>
              <w:right w:val="nil"/>
            </w:tcBorders>
            <w:shd w:val="clear" w:color="auto" w:fill="FFFFFF" w:themeFill="background1"/>
            <w:noWrap/>
            <w:vAlign w:val="center"/>
            <w:hideMark/>
          </w:tcPr>
          <w:p w14:paraId="33451AE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7D253A6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183F37C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4C4B683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03E901A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1CF16C6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74D8E4F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3FD3C18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39B31E2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279858B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1A8F63A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09EFDAD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51AB084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296A538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6F134EE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r>
      <w:tr w:rsidR="00C827E3" w:rsidRPr="00435B6B" w14:paraId="569EDD3A"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409F7B8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Hard (H)</w:t>
            </w:r>
          </w:p>
        </w:tc>
        <w:tc>
          <w:tcPr>
            <w:tcW w:w="200" w:type="pct"/>
            <w:tcBorders>
              <w:top w:val="nil"/>
              <w:left w:val="nil"/>
              <w:bottom w:val="nil"/>
              <w:right w:val="nil"/>
            </w:tcBorders>
            <w:shd w:val="clear" w:color="auto" w:fill="FFFFFF" w:themeFill="background1"/>
            <w:noWrap/>
            <w:vAlign w:val="center"/>
            <w:hideMark/>
          </w:tcPr>
          <w:p w14:paraId="41538A8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108</w:t>
            </w:r>
          </w:p>
        </w:tc>
        <w:tc>
          <w:tcPr>
            <w:tcW w:w="161" w:type="pct"/>
            <w:tcBorders>
              <w:top w:val="nil"/>
              <w:left w:val="nil"/>
              <w:bottom w:val="nil"/>
              <w:right w:val="nil"/>
            </w:tcBorders>
            <w:shd w:val="clear" w:color="auto" w:fill="FFFFFF" w:themeFill="background1"/>
            <w:noWrap/>
            <w:vAlign w:val="center"/>
            <w:hideMark/>
          </w:tcPr>
          <w:p w14:paraId="3CF5CFE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26</w:t>
            </w:r>
          </w:p>
        </w:tc>
        <w:tc>
          <w:tcPr>
            <w:tcW w:w="250" w:type="pct"/>
            <w:tcBorders>
              <w:top w:val="nil"/>
              <w:left w:val="nil"/>
              <w:bottom w:val="nil"/>
              <w:right w:val="nil"/>
            </w:tcBorders>
            <w:shd w:val="clear" w:color="auto" w:fill="FFFFFF" w:themeFill="background1"/>
            <w:noWrap/>
            <w:vAlign w:val="center"/>
            <w:hideMark/>
          </w:tcPr>
          <w:p w14:paraId="3D36BF7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134</w:t>
            </w:r>
          </w:p>
        </w:tc>
        <w:tc>
          <w:tcPr>
            <w:tcW w:w="247" w:type="pct"/>
            <w:tcBorders>
              <w:top w:val="nil"/>
              <w:left w:val="nil"/>
              <w:bottom w:val="nil"/>
              <w:right w:val="nil"/>
            </w:tcBorders>
            <w:shd w:val="clear" w:color="auto" w:fill="FFFFFF" w:themeFill="background1"/>
            <w:noWrap/>
            <w:vAlign w:val="center"/>
            <w:hideMark/>
          </w:tcPr>
          <w:p w14:paraId="785C288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80.6</w:t>
            </w:r>
          </w:p>
        </w:tc>
        <w:tc>
          <w:tcPr>
            <w:tcW w:w="263" w:type="pct"/>
            <w:tcBorders>
              <w:top w:val="nil"/>
              <w:left w:val="nil"/>
              <w:bottom w:val="nil"/>
              <w:right w:val="nil"/>
            </w:tcBorders>
            <w:shd w:val="clear" w:color="auto" w:fill="FFFFFF" w:themeFill="background1"/>
            <w:noWrap/>
            <w:vAlign w:val="center"/>
            <w:hideMark/>
          </w:tcPr>
          <w:p w14:paraId="028C676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19.4</w:t>
            </w:r>
          </w:p>
        </w:tc>
        <w:tc>
          <w:tcPr>
            <w:tcW w:w="249" w:type="pct"/>
            <w:tcBorders>
              <w:top w:val="nil"/>
              <w:left w:val="nil"/>
              <w:bottom w:val="nil"/>
              <w:right w:val="single" w:sz="8" w:space="0" w:color="auto"/>
            </w:tcBorders>
            <w:shd w:val="clear" w:color="auto" w:fill="FFFFFF" w:themeFill="background1"/>
            <w:vAlign w:val="center"/>
            <w:hideMark/>
          </w:tcPr>
          <w:p w14:paraId="5F681E5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89.3</w:t>
            </w:r>
          </w:p>
        </w:tc>
        <w:tc>
          <w:tcPr>
            <w:tcW w:w="161" w:type="pct"/>
            <w:tcBorders>
              <w:top w:val="nil"/>
              <w:left w:val="nil"/>
              <w:bottom w:val="nil"/>
              <w:right w:val="nil"/>
            </w:tcBorders>
            <w:shd w:val="clear" w:color="auto" w:fill="FFFFFF" w:themeFill="background1"/>
            <w:noWrap/>
            <w:vAlign w:val="center"/>
            <w:hideMark/>
          </w:tcPr>
          <w:p w14:paraId="3861628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66</w:t>
            </w:r>
          </w:p>
        </w:tc>
        <w:tc>
          <w:tcPr>
            <w:tcW w:w="161" w:type="pct"/>
            <w:tcBorders>
              <w:top w:val="nil"/>
              <w:left w:val="nil"/>
              <w:bottom w:val="nil"/>
              <w:right w:val="nil"/>
            </w:tcBorders>
            <w:shd w:val="clear" w:color="auto" w:fill="FFFFFF" w:themeFill="background1"/>
            <w:noWrap/>
            <w:vAlign w:val="center"/>
            <w:hideMark/>
          </w:tcPr>
          <w:p w14:paraId="0B0D9AE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74</w:t>
            </w:r>
          </w:p>
        </w:tc>
        <w:tc>
          <w:tcPr>
            <w:tcW w:w="250" w:type="pct"/>
            <w:tcBorders>
              <w:top w:val="nil"/>
              <w:left w:val="nil"/>
              <w:bottom w:val="nil"/>
              <w:right w:val="nil"/>
            </w:tcBorders>
            <w:shd w:val="clear" w:color="auto" w:fill="FFFFFF" w:themeFill="background1"/>
            <w:noWrap/>
            <w:vAlign w:val="center"/>
            <w:hideMark/>
          </w:tcPr>
          <w:p w14:paraId="23FB684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140</w:t>
            </w:r>
          </w:p>
        </w:tc>
        <w:tc>
          <w:tcPr>
            <w:tcW w:w="248" w:type="pct"/>
            <w:tcBorders>
              <w:top w:val="nil"/>
              <w:left w:val="nil"/>
              <w:bottom w:val="nil"/>
              <w:right w:val="nil"/>
            </w:tcBorders>
            <w:shd w:val="clear" w:color="auto" w:fill="FFFFFF" w:themeFill="background1"/>
            <w:noWrap/>
            <w:vAlign w:val="center"/>
            <w:hideMark/>
          </w:tcPr>
          <w:p w14:paraId="7EDD458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47.1</w:t>
            </w:r>
          </w:p>
        </w:tc>
        <w:tc>
          <w:tcPr>
            <w:tcW w:w="263" w:type="pct"/>
            <w:tcBorders>
              <w:top w:val="nil"/>
              <w:left w:val="nil"/>
              <w:bottom w:val="nil"/>
              <w:right w:val="nil"/>
            </w:tcBorders>
            <w:shd w:val="clear" w:color="auto" w:fill="FFFFFF" w:themeFill="background1"/>
            <w:noWrap/>
            <w:vAlign w:val="center"/>
            <w:hideMark/>
          </w:tcPr>
          <w:p w14:paraId="09C08FE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52.9</w:t>
            </w:r>
          </w:p>
        </w:tc>
        <w:tc>
          <w:tcPr>
            <w:tcW w:w="249" w:type="pct"/>
            <w:tcBorders>
              <w:top w:val="nil"/>
              <w:left w:val="nil"/>
              <w:bottom w:val="nil"/>
              <w:right w:val="single" w:sz="8" w:space="0" w:color="auto"/>
            </w:tcBorders>
            <w:shd w:val="clear" w:color="auto" w:fill="FFFFFF" w:themeFill="background1"/>
            <w:vAlign w:val="center"/>
            <w:hideMark/>
          </w:tcPr>
          <w:p w14:paraId="3B5C63C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95.2</w:t>
            </w:r>
          </w:p>
        </w:tc>
        <w:tc>
          <w:tcPr>
            <w:tcW w:w="161" w:type="pct"/>
            <w:tcBorders>
              <w:top w:val="nil"/>
              <w:left w:val="nil"/>
              <w:bottom w:val="nil"/>
              <w:right w:val="nil"/>
            </w:tcBorders>
            <w:shd w:val="clear" w:color="auto" w:fill="FFFFFF" w:themeFill="background1"/>
            <w:noWrap/>
            <w:vAlign w:val="center"/>
            <w:hideMark/>
          </w:tcPr>
          <w:p w14:paraId="626BEC1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63</w:t>
            </w:r>
          </w:p>
        </w:tc>
        <w:tc>
          <w:tcPr>
            <w:tcW w:w="161" w:type="pct"/>
            <w:tcBorders>
              <w:top w:val="nil"/>
              <w:left w:val="nil"/>
              <w:bottom w:val="nil"/>
              <w:right w:val="nil"/>
            </w:tcBorders>
            <w:shd w:val="clear" w:color="auto" w:fill="FFFFFF" w:themeFill="background1"/>
            <w:noWrap/>
            <w:vAlign w:val="center"/>
            <w:hideMark/>
          </w:tcPr>
          <w:p w14:paraId="614CBCF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74</w:t>
            </w:r>
          </w:p>
        </w:tc>
        <w:tc>
          <w:tcPr>
            <w:tcW w:w="250" w:type="pct"/>
            <w:tcBorders>
              <w:top w:val="nil"/>
              <w:left w:val="nil"/>
              <w:bottom w:val="nil"/>
              <w:right w:val="nil"/>
            </w:tcBorders>
            <w:shd w:val="clear" w:color="auto" w:fill="FFFFFF" w:themeFill="background1"/>
            <w:noWrap/>
            <w:vAlign w:val="center"/>
            <w:hideMark/>
          </w:tcPr>
          <w:p w14:paraId="57FA39A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137</w:t>
            </w:r>
          </w:p>
        </w:tc>
        <w:tc>
          <w:tcPr>
            <w:tcW w:w="248" w:type="pct"/>
            <w:tcBorders>
              <w:top w:val="nil"/>
              <w:left w:val="nil"/>
              <w:bottom w:val="nil"/>
              <w:right w:val="nil"/>
            </w:tcBorders>
            <w:shd w:val="clear" w:color="auto" w:fill="FFFFFF" w:themeFill="background1"/>
            <w:noWrap/>
            <w:vAlign w:val="center"/>
            <w:hideMark/>
          </w:tcPr>
          <w:p w14:paraId="35839BE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46.0</w:t>
            </w:r>
          </w:p>
        </w:tc>
        <w:tc>
          <w:tcPr>
            <w:tcW w:w="263" w:type="pct"/>
            <w:tcBorders>
              <w:top w:val="nil"/>
              <w:left w:val="nil"/>
              <w:bottom w:val="nil"/>
              <w:right w:val="nil"/>
            </w:tcBorders>
            <w:shd w:val="clear" w:color="auto" w:fill="FFFFFF" w:themeFill="background1"/>
            <w:noWrap/>
            <w:vAlign w:val="center"/>
            <w:hideMark/>
          </w:tcPr>
          <w:p w14:paraId="1500E90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54.0</w:t>
            </w:r>
          </w:p>
        </w:tc>
        <w:tc>
          <w:tcPr>
            <w:tcW w:w="249" w:type="pct"/>
            <w:tcBorders>
              <w:top w:val="nil"/>
              <w:left w:val="nil"/>
              <w:bottom w:val="nil"/>
              <w:right w:val="single" w:sz="8" w:space="0" w:color="auto"/>
            </w:tcBorders>
            <w:shd w:val="clear" w:color="auto" w:fill="FFFFFF" w:themeFill="background1"/>
            <w:vAlign w:val="center"/>
            <w:hideMark/>
          </w:tcPr>
          <w:p w14:paraId="5EF7770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91.3</w:t>
            </w:r>
          </w:p>
        </w:tc>
      </w:tr>
      <w:tr w:rsidR="00C827E3" w:rsidRPr="00435B6B" w14:paraId="73BF66F4"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2799DA0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Soft (S)</w:t>
            </w:r>
          </w:p>
        </w:tc>
        <w:tc>
          <w:tcPr>
            <w:tcW w:w="200" w:type="pct"/>
            <w:tcBorders>
              <w:top w:val="nil"/>
              <w:left w:val="nil"/>
              <w:bottom w:val="nil"/>
              <w:right w:val="nil"/>
            </w:tcBorders>
            <w:shd w:val="clear" w:color="auto" w:fill="FFFFFF" w:themeFill="background1"/>
            <w:noWrap/>
            <w:vAlign w:val="center"/>
            <w:hideMark/>
          </w:tcPr>
          <w:p w14:paraId="544F18B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161" w:type="pct"/>
            <w:tcBorders>
              <w:top w:val="nil"/>
              <w:left w:val="nil"/>
              <w:bottom w:val="nil"/>
              <w:right w:val="nil"/>
            </w:tcBorders>
            <w:shd w:val="clear" w:color="auto" w:fill="FFFFFF" w:themeFill="background1"/>
            <w:noWrap/>
            <w:vAlign w:val="center"/>
            <w:hideMark/>
          </w:tcPr>
          <w:p w14:paraId="7973DED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250" w:type="pct"/>
            <w:tcBorders>
              <w:top w:val="nil"/>
              <w:left w:val="nil"/>
              <w:bottom w:val="nil"/>
              <w:right w:val="nil"/>
            </w:tcBorders>
            <w:shd w:val="clear" w:color="auto" w:fill="FFFFFF" w:themeFill="background1"/>
            <w:noWrap/>
            <w:vAlign w:val="center"/>
            <w:hideMark/>
          </w:tcPr>
          <w:p w14:paraId="6D3917C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w:t>
            </w:r>
          </w:p>
        </w:tc>
        <w:tc>
          <w:tcPr>
            <w:tcW w:w="247" w:type="pct"/>
            <w:tcBorders>
              <w:top w:val="nil"/>
              <w:left w:val="nil"/>
              <w:bottom w:val="nil"/>
              <w:right w:val="nil"/>
            </w:tcBorders>
            <w:shd w:val="clear" w:color="auto" w:fill="FFFFFF" w:themeFill="background1"/>
            <w:noWrap/>
            <w:vAlign w:val="center"/>
            <w:hideMark/>
          </w:tcPr>
          <w:p w14:paraId="42520B5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78.6</w:t>
            </w:r>
          </w:p>
        </w:tc>
        <w:tc>
          <w:tcPr>
            <w:tcW w:w="263" w:type="pct"/>
            <w:tcBorders>
              <w:top w:val="nil"/>
              <w:left w:val="nil"/>
              <w:bottom w:val="nil"/>
              <w:right w:val="nil"/>
            </w:tcBorders>
            <w:shd w:val="clear" w:color="auto" w:fill="FFFFFF" w:themeFill="background1"/>
            <w:noWrap/>
            <w:vAlign w:val="center"/>
            <w:hideMark/>
          </w:tcPr>
          <w:p w14:paraId="60896DD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21.4</w:t>
            </w:r>
          </w:p>
        </w:tc>
        <w:tc>
          <w:tcPr>
            <w:tcW w:w="249" w:type="pct"/>
            <w:tcBorders>
              <w:top w:val="nil"/>
              <w:left w:val="nil"/>
              <w:bottom w:val="nil"/>
              <w:right w:val="single" w:sz="8" w:space="0" w:color="auto"/>
            </w:tcBorders>
            <w:shd w:val="clear" w:color="auto" w:fill="FFFFFF" w:themeFill="background1"/>
            <w:vAlign w:val="center"/>
            <w:hideMark/>
          </w:tcPr>
          <w:p w14:paraId="13484A5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9.3</w:t>
            </w:r>
          </w:p>
        </w:tc>
        <w:tc>
          <w:tcPr>
            <w:tcW w:w="161" w:type="pct"/>
            <w:tcBorders>
              <w:top w:val="nil"/>
              <w:left w:val="nil"/>
              <w:bottom w:val="nil"/>
              <w:right w:val="nil"/>
            </w:tcBorders>
            <w:shd w:val="clear" w:color="auto" w:fill="FFFFFF" w:themeFill="background1"/>
            <w:noWrap/>
            <w:vAlign w:val="center"/>
            <w:hideMark/>
          </w:tcPr>
          <w:p w14:paraId="5757E48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161" w:type="pct"/>
            <w:tcBorders>
              <w:top w:val="nil"/>
              <w:left w:val="nil"/>
              <w:bottom w:val="nil"/>
              <w:right w:val="nil"/>
            </w:tcBorders>
            <w:shd w:val="clear" w:color="auto" w:fill="FFFFFF" w:themeFill="background1"/>
            <w:noWrap/>
            <w:vAlign w:val="center"/>
            <w:hideMark/>
          </w:tcPr>
          <w:p w14:paraId="61E63C5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250" w:type="pct"/>
            <w:tcBorders>
              <w:top w:val="nil"/>
              <w:left w:val="nil"/>
              <w:bottom w:val="nil"/>
              <w:right w:val="nil"/>
            </w:tcBorders>
            <w:shd w:val="clear" w:color="auto" w:fill="FFFFFF" w:themeFill="background1"/>
            <w:noWrap/>
            <w:vAlign w:val="center"/>
            <w:hideMark/>
          </w:tcPr>
          <w:p w14:paraId="58A5019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248" w:type="pct"/>
            <w:tcBorders>
              <w:top w:val="nil"/>
              <w:left w:val="nil"/>
              <w:bottom w:val="nil"/>
              <w:right w:val="nil"/>
            </w:tcBorders>
            <w:shd w:val="clear" w:color="auto" w:fill="FFFFFF" w:themeFill="background1"/>
            <w:noWrap/>
            <w:vAlign w:val="center"/>
            <w:hideMark/>
          </w:tcPr>
          <w:p w14:paraId="4D3BA61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28.6</w:t>
            </w:r>
          </w:p>
        </w:tc>
        <w:tc>
          <w:tcPr>
            <w:tcW w:w="263" w:type="pct"/>
            <w:tcBorders>
              <w:top w:val="nil"/>
              <w:left w:val="nil"/>
              <w:bottom w:val="nil"/>
              <w:right w:val="nil"/>
            </w:tcBorders>
            <w:shd w:val="clear" w:color="auto" w:fill="FFFFFF" w:themeFill="background1"/>
            <w:noWrap/>
            <w:vAlign w:val="center"/>
            <w:hideMark/>
          </w:tcPr>
          <w:p w14:paraId="0460D50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71.4</w:t>
            </w:r>
          </w:p>
        </w:tc>
        <w:tc>
          <w:tcPr>
            <w:tcW w:w="249" w:type="pct"/>
            <w:tcBorders>
              <w:top w:val="nil"/>
              <w:left w:val="nil"/>
              <w:bottom w:val="nil"/>
              <w:right w:val="single" w:sz="8" w:space="0" w:color="auto"/>
            </w:tcBorders>
            <w:shd w:val="clear" w:color="auto" w:fill="FFFFFF" w:themeFill="background1"/>
            <w:vAlign w:val="center"/>
            <w:hideMark/>
          </w:tcPr>
          <w:p w14:paraId="11D9E26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4.8</w:t>
            </w:r>
          </w:p>
        </w:tc>
        <w:tc>
          <w:tcPr>
            <w:tcW w:w="161" w:type="pct"/>
            <w:tcBorders>
              <w:top w:val="nil"/>
              <w:left w:val="nil"/>
              <w:bottom w:val="nil"/>
              <w:right w:val="nil"/>
            </w:tcBorders>
            <w:shd w:val="clear" w:color="auto" w:fill="FFFFFF" w:themeFill="background1"/>
            <w:noWrap/>
            <w:vAlign w:val="center"/>
            <w:hideMark/>
          </w:tcPr>
          <w:p w14:paraId="6ECFA0B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2E54C29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50" w:type="pct"/>
            <w:tcBorders>
              <w:top w:val="nil"/>
              <w:left w:val="nil"/>
              <w:bottom w:val="nil"/>
              <w:right w:val="nil"/>
            </w:tcBorders>
            <w:shd w:val="clear" w:color="auto" w:fill="FFFFFF" w:themeFill="background1"/>
            <w:noWrap/>
            <w:vAlign w:val="center"/>
            <w:hideMark/>
          </w:tcPr>
          <w:p w14:paraId="04BA643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48" w:type="pct"/>
            <w:tcBorders>
              <w:top w:val="nil"/>
              <w:left w:val="nil"/>
              <w:bottom w:val="nil"/>
              <w:right w:val="nil"/>
            </w:tcBorders>
            <w:shd w:val="clear" w:color="auto" w:fill="FFFFFF" w:themeFill="background1"/>
            <w:noWrap/>
            <w:vAlign w:val="center"/>
            <w:hideMark/>
          </w:tcPr>
          <w:p w14:paraId="7DA261E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599293F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49" w:type="pct"/>
            <w:tcBorders>
              <w:top w:val="nil"/>
              <w:left w:val="nil"/>
              <w:bottom w:val="nil"/>
              <w:right w:val="single" w:sz="8" w:space="0" w:color="auto"/>
            </w:tcBorders>
            <w:shd w:val="clear" w:color="auto" w:fill="FFFFFF" w:themeFill="background1"/>
            <w:vAlign w:val="center"/>
            <w:hideMark/>
          </w:tcPr>
          <w:p w14:paraId="674240D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7.3</w:t>
            </w:r>
          </w:p>
        </w:tc>
      </w:tr>
      <w:tr w:rsidR="00C827E3" w:rsidRPr="00435B6B" w14:paraId="08A70023"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10DD847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Jelly (J)</w:t>
            </w:r>
          </w:p>
        </w:tc>
        <w:tc>
          <w:tcPr>
            <w:tcW w:w="200" w:type="pct"/>
            <w:tcBorders>
              <w:top w:val="nil"/>
              <w:left w:val="nil"/>
              <w:bottom w:val="nil"/>
              <w:right w:val="nil"/>
            </w:tcBorders>
            <w:shd w:val="clear" w:color="auto" w:fill="FFFFFF" w:themeFill="background1"/>
            <w:noWrap/>
            <w:vAlign w:val="center"/>
            <w:hideMark/>
          </w:tcPr>
          <w:p w14:paraId="1D2FC3B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4C7502D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50" w:type="pct"/>
            <w:tcBorders>
              <w:top w:val="nil"/>
              <w:left w:val="nil"/>
              <w:bottom w:val="nil"/>
              <w:right w:val="nil"/>
            </w:tcBorders>
            <w:shd w:val="clear" w:color="auto" w:fill="FFFFFF" w:themeFill="background1"/>
            <w:noWrap/>
            <w:vAlign w:val="center"/>
            <w:hideMark/>
          </w:tcPr>
          <w:p w14:paraId="3FFA385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47" w:type="pct"/>
            <w:tcBorders>
              <w:top w:val="nil"/>
              <w:left w:val="nil"/>
              <w:bottom w:val="nil"/>
              <w:right w:val="nil"/>
            </w:tcBorders>
            <w:shd w:val="clear" w:color="auto" w:fill="FFFFFF" w:themeFill="background1"/>
            <w:noWrap/>
            <w:vAlign w:val="center"/>
            <w:hideMark/>
          </w:tcPr>
          <w:p w14:paraId="7D50135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04037B4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49" w:type="pct"/>
            <w:tcBorders>
              <w:top w:val="nil"/>
              <w:left w:val="nil"/>
              <w:bottom w:val="nil"/>
              <w:right w:val="single" w:sz="8" w:space="0" w:color="auto"/>
            </w:tcBorders>
            <w:shd w:val="clear" w:color="auto" w:fill="FFFFFF" w:themeFill="background1"/>
            <w:vAlign w:val="center"/>
            <w:hideMark/>
          </w:tcPr>
          <w:p w14:paraId="149D17F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w:t>
            </w:r>
          </w:p>
        </w:tc>
        <w:tc>
          <w:tcPr>
            <w:tcW w:w="161" w:type="pct"/>
            <w:tcBorders>
              <w:top w:val="nil"/>
              <w:left w:val="nil"/>
              <w:bottom w:val="nil"/>
              <w:right w:val="nil"/>
            </w:tcBorders>
            <w:shd w:val="clear" w:color="auto" w:fill="FFFFFF" w:themeFill="background1"/>
            <w:noWrap/>
            <w:vAlign w:val="center"/>
            <w:hideMark/>
          </w:tcPr>
          <w:p w14:paraId="69ACB83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2224084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50" w:type="pct"/>
            <w:tcBorders>
              <w:top w:val="nil"/>
              <w:left w:val="nil"/>
              <w:bottom w:val="nil"/>
              <w:right w:val="nil"/>
            </w:tcBorders>
            <w:shd w:val="clear" w:color="auto" w:fill="FFFFFF" w:themeFill="background1"/>
            <w:noWrap/>
            <w:vAlign w:val="center"/>
            <w:hideMark/>
          </w:tcPr>
          <w:p w14:paraId="5B5D32C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8" w:type="pct"/>
            <w:tcBorders>
              <w:top w:val="nil"/>
              <w:left w:val="nil"/>
              <w:bottom w:val="nil"/>
              <w:right w:val="nil"/>
            </w:tcBorders>
            <w:shd w:val="clear" w:color="auto" w:fill="FFFFFF" w:themeFill="background1"/>
            <w:noWrap/>
            <w:vAlign w:val="center"/>
            <w:hideMark/>
          </w:tcPr>
          <w:p w14:paraId="2172BB1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49811CC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49" w:type="pct"/>
            <w:tcBorders>
              <w:top w:val="nil"/>
              <w:left w:val="nil"/>
              <w:bottom w:val="nil"/>
              <w:right w:val="single" w:sz="8" w:space="0" w:color="auto"/>
            </w:tcBorders>
            <w:shd w:val="clear" w:color="auto" w:fill="FFFFFF" w:themeFill="background1"/>
            <w:vAlign w:val="center"/>
            <w:hideMark/>
          </w:tcPr>
          <w:p w14:paraId="793AD96F" w14:textId="34E22535"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61B465E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60B6C61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50" w:type="pct"/>
            <w:tcBorders>
              <w:top w:val="nil"/>
              <w:left w:val="nil"/>
              <w:bottom w:val="nil"/>
              <w:right w:val="nil"/>
            </w:tcBorders>
            <w:shd w:val="clear" w:color="auto" w:fill="FFFFFF" w:themeFill="background1"/>
            <w:noWrap/>
            <w:vAlign w:val="center"/>
            <w:hideMark/>
          </w:tcPr>
          <w:p w14:paraId="5EDADC9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248" w:type="pct"/>
            <w:tcBorders>
              <w:top w:val="nil"/>
              <w:left w:val="nil"/>
              <w:bottom w:val="nil"/>
              <w:right w:val="nil"/>
            </w:tcBorders>
            <w:shd w:val="clear" w:color="auto" w:fill="FFFFFF" w:themeFill="background1"/>
            <w:noWrap/>
            <w:vAlign w:val="center"/>
            <w:hideMark/>
          </w:tcPr>
          <w:p w14:paraId="0D4C699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477B813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49" w:type="pct"/>
            <w:tcBorders>
              <w:top w:val="nil"/>
              <w:left w:val="nil"/>
              <w:bottom w:val="nil"/>
              <w:right w:val="single" w:sz="8" w:space="0" w:color="auto"/>
            </w:tcBorders>
            <w:shd w:val="clear" w:color="auto" w:fill="FFFFFF" w:themeFill="background1"/>
            <w:vAlign w:val="center"/>
            <w:hideMark/>
          </w:tcPr>
          <w:p w14:paraId="681855F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w:t>
            </w:r>
          </w:p>
        </w:tc>
      </w:tr>
      <w:tr w:rsidR="00C827E3" w:rsidRPr="00435B6B" w14:paraId="4EFAFD0F" w14:textId="77777777" w:rsidTr="001F4A34">
        <w:trPr>
          <w:trHeight w:val="48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09BCE78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A+B (recently-moulted)</w:t>
            </w:r>
          </w:p>
        </w:tc>
        <w:tc>
          <w:tcPr>
            <w:tcW w:w="200" w:type="pct"/>
            <w:tcBorders>
              <w:top w:val="nil"/>
              <w:left w:val="nil"/>
              <w:bottom w:val="nil"/>
              <w:right w:val="nil"/>
            </w:tcBorders>
            <w:shd w:val="clear" w:color="auto" w:fill="FFFFFF" w:themeFill="background1"/>
            <w:noWrap/>
            <w:vAlign w:val="center"/>
            <w:hideMark/>
          </w:tcPr>
          <w:p w14:paraId="2F0BE5D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161" w:type="pct"/>
            <w:tcBorders>
              <w:top w:val="nil"/>
              <w:left w:val="nil"/>
              <w:bottom w:val="nil"/>
              <w:right w:val="nil"/>
            </w:tcBorders>
            <w:shd w:val="clear" w:color="auto" w:fill="FFFFFF" w:themeFill="background1"/>
            <w:noWrap/>
            <w:vAlign w:val="center"/>
            <w:hideMark/>
          </w:tcPr>
          <w:p w14:paraId="767D25D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w:t>
            </w:r>
          </w:p>
        </w:tc>
        <w:tc>
          <w:tcPr>
            <w:tcW w:w="250" w:type="pct"/>
            <w:tcBorders>
              <w:top w:val="nil"/>
              <w:left w:val="nil"/>
              <w:bottom w:val="nil"/>
              <w:right w:val="nil"/>
            </w:tcBorders>
            <w:shd w:val="clear" w:color="auto" w:fill="FFFFFF" w:themeFill="background1"/>
            <w:noWrap/>
            <w:vAlign w:val="center"/>
            <w:hideMark/>
          </w:tcPr>
          <w:p w14:paraId="3A22C1C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17</w:t>
            </w:r>
          </w:p>
        </w:tc>
        <w:tc>
          <w:tcPr>
            <w:tcW w:w="247" w:type="pct"/>
            <w:tcBorders>
              <w:top w:val="nil"/>
              <w:left w:val="nil"/>
              <w:bottom w:val="nil"/>
              <w:right w:val="nil"/>
            </w:tcBorders>
            <w:shd w:val="clear" w:color="auto" w:fill="FFFFFF" w:themeFill="background1"/>
            <w:noWrap/>
            <w:vAlign w:val="center"/>
            <w:hideMark/>
          </w:tcPr>
          <w:p w14:paraId="6270497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64.7</w:t>
            </w:r>
          </w:p>
        </w:tc>
        <w:tc>
          <w:tcPr>
            <w:tcW w:w="263" w:type="pct"/>
            <w:tcBorders>
              <w:top w:val="nil"/>
              <w:left w:val="nil"/>
              <w:bottom w:val="nil"/>
              <w:right w:val="nil"/>
            </w:tcBorders>
            <w:shd w:val="clear" w:color="auto" w:fill="FFFFFF" w:themeFill="background1"/>
            <w:noWrap/>
            <w:vAlign w:val="center"/>
            <w:hideMark/>
          </w:tcPr>
          <w:p w14:paraId="08BECB6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35.3</w:t>
            </w:r>
          </w:p>
        </w:tc>
        <w:tc>
          <w:tcPr>
            <w:tcW w:w="249" w:type="pct"/>
            <w:tcBorders>
              <w:top w:val="nil"/>
              <w:left w:val="nil"/>
              <w:bottom w:val="nil"/>
              <w:right w:val="single" w:sz="8" w:space="0" w:color="auto"/>
            </w:tcBorders>
            <w:shd w:val="clear" w:color="auto" w:fill="FFFFFF" w:themeFill="background1"/>
            <w:vAlign w:val="center"/>
            <w:hideMark/>
          </w:tcPr>
          <w:p w14:paraId="1A8DBCE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11.3</w:t>
            </w:r>
          </w:p>
        </w:tc>
        <w:tc>
          <w:tcPr>
            <w:tcW w:w="161" w:type="pct"/>
            <w:tcBorders>
              <w:top w:val="nil"/>
              <w:left w:val="nil"/>
              <w:bottom w:val="nil"/>
              <w:right w:val="nil"/>
            </w:tcBorders>
            <w:shd w:val="clear" w:color="auto" w:fill="FFFFFF" w:themeFill="background1"/>
            <w:noWrap/>
            <w:vAlign w:val="center"/>
            <w:hideMark/>
          </w:tcPr>
          <w:p w14:paraId="4A93DFC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161" w:type="pct"/>
            <w:tcBorders>
              <w:top w:val="nil"/>
              <w:left w:val="nil"/>
              <w:bottom w:val="nil"/>
              <w:right w:val="nil"/>
            </w:tcBorders>
            <w:shd w:val="clear" w:color="auto" w:fill="FFFFFF" w:themeFill="background1"/>
            <w:noWrap/>
            <w:vAlign w:val="center"/>
            <w:hideMark/>
          </w:tcPr>
          <w:p w14:paraId="25FBA4B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w:t>
            </w:r>
          </w:p>
        </w:tc>
        <w:tc>
          <w:tcPr>
            <w:tcW w:w="250" w:type="pct"/>
            <w:tcBorders>
              <w:top w:val="nil"/>
              <w:left w:val="nil"/>
              <w:bottom w:val="nil"/>
              <w:right w:val="nil"/>
            </w:tcBorders>
            <w:shd w:val="clear" w:color="auto" w:fill="FFFFFF" w:themeFill="background1"/>
            <w:noWrap/>
            <w:vAlign w:val="center"/>
            <w:hideMark/>
          </w:tcPr>
          <w:p w14:paraId="41E9C8E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248" w:type="pct"/>
            <w:tcBorders>
              <w:top w:val="nil"/>
              <w:left w:val="nil"/>
              <w:bottom w:val="nil"/>
              <w:right w:val="nil"/>
            </w:tcBorders>
            <w:shd w:val="clear" w:color="auto" w:fill="FFFFFF" w:themeFill="background1"/>
            <w:noWrap/>
            <w:vAlign w:val="center"/>
            <w:hideMark/>
          </w:tcPr>
          <w:p w14:paraId="40CD455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33.3</w:t>
            </w:r>
          </w:p>
        </w:tc>
        <w:tc>
          <w:tcPr>
            <w:tcW w:w="263" w:type="pct"/>
            <w:tcBorders>
              <w:top w:val="nil"/>
              <w:left w:val="nil"/>
              <w:bottom w:val="nil"/>
              <w:right w:val="nil"/>
            </w:tcBorders>
            <w:shd w:val="clear" w:color="auto" w:fill="FFFFFF" w:themeFill="background1"/>
            <w:noWrap/>
            <w:vAlign w:val="center"/>
            <w:hideMark/>
          </w:tcPr>
          <w:p w14:paraId="1DEB263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66.7</w:t>
            </w:r>
          </w:p>
        </w:tc>
        <w:tc>
          <w:tcPr>
            <w:tcW w:w="249" w:type="pct"/>
            <w:tcBorders>
              <w:top w:val="nil"/>
              <w:left w:val="nil"/>
              <w:bottom w:val="nil"/>
              <w:right w:val="single" w:sz="8" w:space="0" w:color="auto"/>
            </w:tcBorders>
            <w:shd w:val="clear" w:color="auto" w:fill="FFFFFF" w:themeFill="background1"/>
            <w:vAlign w:val="center"/>
            <w:hideMark/>
          </w:tcPr>
          <w:p w14:paraId="61265B4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6.1</w:t>
            </w:r>
          </w:p>
        </w:tc>
        <w:tc>
          <w:tcPr>
            <w:tcW w:w="161" w:type="pct"/>
            <w:tcBorders>
              <w:top w:val="nil"/>
              <w:left w:val="nil"/>
              <w:bottom w:val="nil"/>
              <w:right w:val="nil"/>
            </w:tcBorders>
            <w:shd w:val="clear" w:color="auto" w:fill="FFFFFF" w:themeFill="background1"/>
            <w:noWrap/>
            <w:vAlign w:val="center"/>
            <w:hideMark/>
          </w:tcPr>
          <w:p w14:paraId="1789B02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18389D5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250" w:type="pct"/>
            <w:tcBorders>
              <w:top w:val="nil"/>
              <w:left w:val="nil"/>
              <w:bottom w:val="nil"/>
              <w:right w:val="nil"/>
            </w:tcBorders>
            <w:shd w:val="clear" w:color="auto" w:fill="FFFFFF" w:themeFill="background1"/>
            <w:noWrap/>
            <w:vAlign w:val="center"/>
            <w:hideMark/>
          </w:tcPr>
          <w:p w14:paraId="4EF806A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12</w:t>
            </w:r>
          </w:p>
        </w:tc>
        <w:tc>
          <w:tcPr>
            <w:tcW w:w="248" w:type="pct"/>
            <w:tcBorders>
              <w:top w:val="nil"/>
              <w:left w:val="nil"/>
              <w:bottom w:val="nil"/>
              <w:right w:val="nil"/>
            </w:tcBorders>
            <w:shd w:val="clear" w:color="auto" w:fill="FFFFFF" w:themeFill="background1"/>
            <w:noWrap/>
            <w:vAlign w:val="center"/>
            <w:hideMark/>
          </w:tcPr>
          <w:p w14:paraId="1C238FB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1B4DBDB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49" w:type="pct"/>
            <w:tcBorders>
              <w:top w:val="nil"/>
              <w:left w:val="nil"/>
              <w:bottom w:val="nil"/>
              <w:right w:val="single" w:sz="8" w:space="0" w:color="auto"/>
            </w:tcBorders>
            <w:shd w:val="clear" w:color="auto" w:fill="FFFFFF" w:themeFill="background1"/>
            <w:vAlign w:val="center"/>
            <w:hideMark/>
          </w:tcPr>
          <w:p w14:paraId="10740BF2" w14:textId="591DEA86"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w:t>
            </w:r>
          </w:p>
        </w:tc>
      </w:tr>
      <w:tr w:rsidR="00C827E3" w:rsidRPr="00435B6B" w14:paraId="4D803133"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0DCB007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C (inter-moult)</w:t>
            </w:r>
          </w:p>
        </w:tc>
        <w:tc>
          <w:tcPr>
            <w:tcW w:w="200" w:type="pct"/>
            <w:tcBorders>
              <w:top w:val="nil"/>
              <w:left w:val="nil"/>
              <w:bottom w:val="nil"/>
              <w:right w:val="nil"/>
            </w:tcBorders>
            <w:shd w:val="clear" w:color="auto" w:fill="FFFFFF" w:themeFill="background1"/>
            <w:noWrap/>
            <w:vAlign w:val="center"/>
            <w:hideMark/>
          </w:tcPr>
          <w:p w14:paraId="3FDEA5A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101</w:t>
            </w:r>
          </w:p>
        </w:tc>
        <w:tc>
          <w:tcPr>
            <w:tcW w:w="161" w:type="pct"/>
            <w:tcBorders>
              <w:top w:val="nil"/>
              <w:left w:val="nil"/>
              <w:bottom w:val="nil"/>
              <w:right w:val="nil"/>
            </w:tcBorders>
            <w:shd w:val="clear" w:color="auto" w:fill="FFFFFF" w:themeFill="background1"/>
            <w:noWrap/>
            <w:vAlign w:val="center"/>
            <w:hideMark/>
          </w:tcPr>
          <w:p w14:paraId="5B860D9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w:t>
            </w:r>
          </w:p>
        </w:tc>
        <w:tc>
          <w:tcPr>
            <w:tcW w:w="250" w:type="pct"/>
            <w:tcBorders>
              <w:top w:val="nil"/>
              <w:left w:val="nil"/>
              <w:bottom w:val="nil"/>
              <w:right w:val="nil"/>
            </w:tcBorders>
            <w:shd w:val="clear" w:color="auto" w:fill="FFFFFF" w:themeFill="background1"/>
            <w:noWrap/>
            <w:vAlign w:val="center"/>
            <w:hideMark/>
          </w:tcPr>
          <w:p w14:paraId="40C4922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122</w:t>
            </w:r>
          </w:p>
        </w:tc>
        <w:tc>
          <w:tcPr>
            <w:tcW w:w="247" w:type="pct"/>
            <w:tcBorders>
              <w:top w:val="nil"/>
              <w:left w:val="nil"/>
              <w:bottom w:val="nil"/>
              <w:right w:val="nil"/>
            </w:tcBorders>
            <w:shd w:val="clear" w:color="auto" w:fill="FFFFFF" w:themeFill="background1"/>
            <w:noWrap/>
            <w:vAlign w:val="center"/>
            <w:hideMark/>
          </w:tcPr>
          <w:p w14:paraId="5028C24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82.8</w:t>
            </w:r>
          </w:p>
        </w:tc>
        <w:tc>
          <w:tcPr>
            <w:tcW w:w="263" w:type="pct"/>
            <w:tcBorders>
              <w:top w:val="nil"/>
              <w:left w:val="nil"/>
              <w:bottom w:val="nil"/>
              <w:right w:val="nil"/>
            </w:tcBorders>
            <w:shd w:val="clear" w:color="auto" w:fill="FFFFFF" w:themeFill="background1"/>
            <w:noWrap/>
            <w:vAlign w:val="center"/>
            <w:hideMark/>
          </w:tcPr>
          <w:p w14:paraId="46B125C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17.2</w:t>
            </w:r>
          </w:p>
        </w:tc>
        <w:tc>
          <w:tcPr>
            <w:tcW w:w="249" w:type="pct"/>
            <w:tcBorders>
              <w:top w:val="nil"/>
              <w:left w:val="nil"/>
              <w:bottom w:val="nil"/>
              <w:right w:val="single" w:sz="8" w:space="0" w:color="auto"/>
            </w:tcBorders>
            <w:shd w:val="clear" w:color="auto" w:fill="FFFFFF" w:themeFill="background1"/>
            <w:vAlign w:val="center"/>
            <w:hideMark/>
          </w:tcPr>
          <w:p w14:paraId="15025DC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81.3</w:t>
            </w:r>
          </w:p>
        </w:tc>
        <w:tc>
          <w:tcPr>
            <w:tcW w:w="161" w:type="pct"/>
            <w:tcBorders>
              <w:top w:val="nil"/>
              <w:left w:val="nil"/>
              <w:bottom w:val="nil"/>
              <w:right w:val="nil"/>
            </w:tcBorders>
            <w:shd w:val="clear" w:color="auto" w:fill="FFFFFF" w:themeFill="background1"/>
            <w:noWrap/>
            <w:vAlign w:val="center"/>
            <w:hideMark/>
          </w:tcPr>
          <w:p w14:paraId="16D3FD5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65</w:t>
            </w:r>
          </w:p>
        </w:tc>
        <w:tc>
          <w:tcPr>
            <w:tcW w:w="161" w:type="pct"/>
            <w:tcBorders>
              <w:top w:val="nil"/>
              <w:left w:val="nil"/>
              <w:bottom w:val="nil"/>
              <w:right w:val="nil"/>
            </w:tcBorders>
            <w:shd w:val="clear" w:color="auto" w:fill="FFFFFF" w:themeFill="background1"/>
            <w:noWrap/>
            <w:vAlign w:val="center"/>
            <w:hideMark/>
          </w:tcPr>
          <w:p w14:paraId="5DAA19D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62</w:t>
            </w:r>
          </w:p>
        </w:tc>
        <w:tc>
          <w:tcPr>
            <w:tcW w:w="250" w:type="pct"/>
            <w:tcBorders>
              <w:top w:val="nil"/>
              <w:left w:val="nil"/>
              <w:bottom w:val="nil"/>
              <w:right w:val="nil"/>
            </w:tcBorders>
            <w:shd w:val="clear" w:color="auto" w:fill="FFFFFF" w:themeFill="background1"/>
            <w:noWrap/>
            <w:vAlign w:val="center"/>
            <w:hideMark/>
          </w:tcPr>
          <w:p w14:paraId="61AD376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127</w:t>
            </w:r>
          </w:p>
        </w:tc>
        <w:tc>
          <w:tcPr>
            <w:tcW w:w="248" w:type="pct"/>
            <w:tcBorders>
              <w:top w:val="nil"/>
              <w:left w:val="nil"/>
              <w:bottom w:val="nil"/>
              <w:right w:val="nil"/>
            </w:tcBorders>
            <w:shd w:val="clear" w:color="auto" w:fill="FFFFFF" w:themeFill="background1"/>
            <w:noWrap/>
            <w:vAlign w:val="center"/>
            <w:hideMark/>
          </w:tcPr>
          <w:p w14:paraId="4D33210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51.2</w:t>
            </w:r>
          </w:p>
        </w:tc>
        <w:tc>
          <w:tcPr>
            <w:tcW w:w="263" w:type="pct"/>
            <w:tcBorders>
              <w:top w:val="nil"/>
              <w:left w:val="nil"/>
              <w:bottom w:val="nil"/>
              <w:right w:val="nil"/>
            </w:tcBorders>
            <w:shd w:val="clear" w:color="auto" w:fill="FFFFFF" w:themeFill="background1"/>
            <w:noWrap/>
            <w:vAlign w:val="center"/>
            <w:hideMark/>
          </w:tcPr>
          <w:p w14:paraId="3D87666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48.8</w:t>
            </w:r>
          </w:p>
        </w:tc>
        <w:tc>
          <w:tcPr>
            <w:tcW w:w="249" w:type="pct"/>
            <w:tcBorders>
              <w:top w:val="nil"/>
              <w:left w:val="nil"/>
              <w:bottom w:val="nil"/>
              <w:right w:val="single" w:sz="8" w:space="0" w:color="auto"/>
            </w:tcBorders>
            <w:shd w:val="clear" w:color="auto" w:fill="FFFFFF" w:themeFill="background1"/>
            <w:vAlign w:val="center"/>
            <w:hideMark/>
          </w:tcPr>
          <w:p w14:paraId="0E71761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86.4</w:t>
            </w:r>
          </w:p>
        </w:tc>
        <w:tc>
          <w:tcPr>
            <w:tcW w:w="161" w:type="pct"/>
            <w:tcBorders>
              <w:top w:val="nil"/>
              <w:left w:val="nil"/>
              <w:bottom w:val="nil"/>
              <w:right w:val="nil"/>
            </w:tcBorders>
            <w:shd w:val="clear" w:color="auto" w:fill="FFFFFF" w:themeFill="background1"/>
            <w:noWrap/>
            <w:vAlign w:val="center"/>
            <w:hideMark/>
          </w:tcPr>
          <w:p w14:paraId="31CBE19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61</w:t>
            </w:r>
          </w:p>
        </w:tc>
        <w:tc>
          <w:tcPr>
            <w:tcW w:w="161" w:type="pct"/>
            <w:tcBorders>
              <w:top w:val="nil"/>
              <w:left w:val="nil"/>
              <w:bottom w:val="nil"/>
              <w:right w:val="nil"/>
            </w:tcBorders>
            <w:shd w:val="clear" w:color="auto" w:fill="FFFFFF" w:themeFill="background1"/>
            <w:noWrap/>
            <w:vAlign w:val="center"/>
            <w:hideMark/>
          </w:tcPr>
          <w:p w14:paraId="759A2F2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64</w:t>
            </w:r>
          </w:p>
        </w:tc>
        <w:tc>
          <w:tcPr>
            <w:tcW w:w="250" w:type="pct"/>
            <w:tcBorders>
              <w:top w:val="nil"/>
              <w:left w:val="nil"/>
              <w:bottom w:val="nil"/>
              <w:right w:val="nil"/>
            </w:tcBorders>
            <w:shd w:val="clear" w:color="auto" w:fill="FFFFFF" w:themeFill="background1"/>
            <w:noWrap/>
            <w:vAlign w:val="center"/>
            <w:hideMark/>
          </w:tcPr>
          <w:p w14:paraId="370FC81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125</w:t>
            </w:r>
          </w:p>
        </w:tc>
        <w:tc>
          <w:tcPr>
            <w:tcW w:w="248" w:type="pct"/>
            <w:tcBorders>
              <w:top w:val="nil"/>
              <w:left w:val="nil"/>
              <w:bottom w:val="nil"/>
              <w:right w:val="nil"/>
            </w:tcBorders>
            <w:shd w:val="clear" w:color="auto" w:fill="FFFFFF" w:themeFill="background1"/>
            <w:noWrap/>
            <w:vAlign w:val="center"/>
            <w:hideMark/>
          </w:tcPr>
          <w:p w14:paraId="737B8A1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48.8</w:t>
            </w:r>
          </w:p>
        </w:tc>
        <w:tc>
          <w:tcPr>
            <w:tcW w:w="263" w:type="pct"/>
            <w:tcBorders>
              <w:top w:val="nil"/>
              <w:left w:val="nil"/>
              <w:bottom w:val="nil"/>
              <w:right w:val="nil"/>
            </w:tcBorders>
            <w:shd w:val="clear" w:color="auto" w:fill="FFFFFF" w:themeFill="background1"/>
            <w:noWrap/>
            <w:vAlign w:val="center"/>
            <w:hideMark/>
          </w:tcPr>
          <w:p w14:paraId="656DAAF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51.2</w:t>
            </w:r>
          </w:p>
        </w:tc>
        <w:tc>
          <w:tcPr>
            <w:tcW w:w="249" w:type="pct"/>
            <w:tcBorders>
              <w:top w:val="nil"/>
              <w:left w:val="nil"/>
              <w:bottom w:val="nil"/>
              <w:right w:val="single" w:sz="8" w:space="0" w:color="auto"/>
            </w:tcBorders>
            <w:shd w:val="clear" w:color="auto" w:fill="FFFFFF" w:themeFill="background1"/>
            <w:vAlign w:val="center"/>
            <w:hideMark/>
          </w:tcPr>
          <w:p w14:paraId="3B447D1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83.3</w:t>
            </w:r>
          </w:p>
        </w:tc>
      </w:tr>
      <w:tr w:rsidR="00C827E3" w:rsidRPr="00435B6B" w14:paraId="481CAE19"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49EC5AC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D (pre-moult)</w:t>
            </w:r>
          </w:p>
        </w:tc>
        <w:tc>
          <w:tcPr>
            <w:tcW w:w="200" w:type="pct"/>
            <w:tcBorders>
              <w:top w:val="nil"/>
              <w:left w:val="nil"/>
              <w:bottom w:val="nil"/>
              <w:right w:val="nil"/>
            </w:tcBorders>
            <w:shd w:val="clear" w:color="auto" w:fill="FFFFFF" w:themeFill="background1"/>
            <w:noWrap/>
            <w:vAlign w:val="center"/>
            <w:hideMark/>
          </w:tcPr>
          <w:p w14:paraId="0B644C2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161" w:type="pct"/>
            <w:tcBorders>
              <w:top w:val="nil"/>
              <w:left w:val="nil"/>
              <w:bottom w:val="nil"/>
              <w:right w:val="nil"/>
            </w:tcBorders>
            <w:shd w:val="clear" w:color="auto" w:fill="FFFFFF" w:themeFill="background1"/>
            <w:noWrap/>
            <w:vAlign w:val="center"/>
            <w:hideMark/>
          </w:tcPr>
          <w:p w14:paraId="21CB552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250" w:type="pct"/>
            <w:tcBorders>
              <w:top w:val="nil"/>
              <w:left w:val="nil"/>
              <w:bottom w:val="nil"/>
              <w:right w:val="nil"/>
            </w:tcBorders>
            <w:shd w:val="clear" w:color="auto" w:fill="FFFFFF" w:themeFill="background1"/>
            <w:noWrap/>
            <w:vAlign w:val="center"/>
            <w:hideMark/>
          </w:tcPr>
          <w:p w14:paraId="108EAE3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47" w:type="pct"/>
            <w:tcBorders>
              <w:top w:val="nil"/>
              <w:left w:val="nil"/>
              <w:bottom w:val="nil"/>
              <w:right w:val="nil"/>
            </w:tcBorders>
            <w:shd w:val="clear" w:color="auto" w:fill="FFFFFF" w:themeFill="background1"/>
            <w:noWrap/>
            <w:vAlign w:val="center"/>
            <w:hideMark/>
          </w:tcPr>
          <w:p w14:paraId="4CBDF67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63.6</w:t>
            </w:r>
          </w:p>
        </w:tc>
        <w:tc>
          <w:tcPr>
            <w:tcW w:w="263" w:type="pct"/>
            <w:tcBorders>
              <w:top w:val="nil"/>
              <w:left w:val="nil"/>
              <w:bottom w:val="nil"/>
              <w:right w:val="nil"/>
            </w:tcBorders>
            <w:shd w:val="clear" w:color="auto" w:fill="FFFFFF" w:themeFill="background1"/>
            <w:noWrap/>
            <w:vAlign w:val="center"/>
            <w:hideMark/>
          </w:tcPr>
          <w:p w14:paraId="2EA499C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36.4</w:t>
            </w:r>
          </w:p>
        </w:tc>
        <w:tc>
          <w:tcPr>
            <w:tcW w:w="249" w:type="pct"/>
            <w:tcBorders>
              <w:top w:val="nil"/>
              <w:left w:val="nil"/>
              <w:bottom w:val="nil"/>
              <w:right w:val="single" w:sz="8" w:space="0" w:color="auto"/>
            </w:tcBorders>
            <w:shd w:val="clear" w:color="auto" w:fill="FFFFFF" w:themeFill="background1"/>
            <w:vAlign w:val="center"/>
            <w:hideMark/>
          </w:tcPr>
          <w:p w14:paraId="7BAB643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7.3</w:t>
            </w:r>
          </w:p>
        </w:tc>
        <w:tc>
          <w:tcPr>
            <w:tcW w:w="161" w:type="pct"/>
            <w:tcBorders>
              <w:top w:val="nil"/>
              <w:left w:val="nil"/>
              <w:bottom w:val="nil"/>
              <w:right w:val="nil"/>
            </w:tcBorders>
            <w:shd w:val="clear" w:color="auto" w:fill="FFFFFF" w:themeFill="background1"/>
            <w:noWrap/>
            <w:vAlign w:val="center"/>
            <w:hideMark/>
          </w:tcPr>
          <w:p w14:paraId="7931844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161" w:type="pct"/>
            <w:tcBorders>
              <w:top w:val="nil"/>
              <w:left w:val="nil"/>
              <w:bottom w:val="nil"/>
              <w:right w:val="nil"/>
            </w:tcBorders>
            <w:shd w:val="clear" w:color="auto" w:fill="FFFFFF" w:themeFill="background1"/>
            <w:noWrap/>
            <w:vAlign w:val="center"/>
            <w:hideMark/>
          </w:tcPr>
          <w:p w14:paraId="7BAC650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50" w:type="pct"/>
            <w:tcBorders>
              <w:top w:val="nil"/>
              <w:left w:val="nil"/>
              <w:bottom w:val="nil"/>
              <w:right w:val="nil"/>
            </w:tcBorders>
            <w:shd w:val="clear" w:color="auto" w:fill="FFFFFF" w:themeFill="background1"/>
            <w:noWrap/>
            <w:vAlign w:val="center"/>
            <w:hideMark/>
          </w:tcPr>
          <w:p w14:paraId="1FAD3B5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48" w:type="pct"/>
            <w:tcBorders>
              <w:top w:val="nil"/>
              <w:left w:val="nil"/>
              <w:bottom w:val="nil"/>
              <w:right w:val="nil"/>
            </w:tcBorders>
            <w:shd w:val="clear" w:color="auto" w:fill="FFFFFF" w:themeFill="background1"/>
            <w:noWrap/>
            <w:vAlign w:val="center"/>
            <w:hideMark/>
          </w:tcPr>
          <w:p w14:paraId="53C9C16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0</w:t>
            </w:r>
          </w:p>
        </w:tc>
        <w:tc>
          <w:tcPr>
            <w:tcW w:w="263" w:type="pct"/>
            <w:tcBorders>
              <w:top w:val="nil"/>
              <w:left w:val="nil"/>
              <w:bottom w:val="nil"/>
              <w:right w:val="nil"/>
            </w:tcBorders>
            <w:shd w:val="clear" w:color="auto" w:fill="FFFFFF" w:themeFill="background1"/>
            <w:noWrap/>
            <w:vAlign w:val="center"/>
            <w:hideMark/>
          </w:tcPr>
          <w:p w14:paraId="7E0CAB7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100</w:t>
            </w:r>
          </w:p>
        </w:tc>
        <w:tc>
          <w:tcPr>
            <w:tcW w:w="249" w:type="pct"/>
            <w:tcBorders>
              <w:top w:val="nil"/>
              <w:left w:val="nil"/>
              <w:bottom w:val="nil"/>
              <w:right w:val="single" w:sz="8" w:space="0" w:color="auto"/>
            </w:tcBorders>
            <w:shd w:val="clear" w:color="auto" w:fill="FFFFFF" w:themeFill="background1"/>
            <w:vAlign w:val="center"/>
            <w:hideMark/>
          </w:tcPr>
          <w:p w14:paraId="471AA60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7.5</w:t>
            </w:r>
          </w:p>
        </w:tc>
        <w:tc>
          <w:tcPr>
            <w:tcW w:w="161" w:type="pct"/>
            <w:tcBorders>
              <w:top w:val="nil"/>
              <w:left w:val="nil"/>
              <w:bottom w:val="nil"/>
              <w:right w:val="nil"/>
            </w:tcBorders>
            <w:shd w:val="clear" w:color="auto" w:fill="FFFFFF" w:themeFill="background1"/>
            <w:noWrap/>
            <w:vAlign w:val="center"/>
            <w:hideMark/>
          </w:tcPr>
          <w:p w14:paraId="64615F5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w:t>
            </w:r>
          </w:p>
        </w:tc>
        <w:tc>
          <w:tcPr>
            <w:tcW w:w="161" w:type="pct"/>
            <w:tcBorders>
              <w:top w:val="nil"/>
              <w:left w:val="nil"/>
              <w:bottom w:val="nil"/>
              <w:right w:val="nil"/>
            </w:tcBorders>
            <w:shd w:val="clear" w:color="auto" w:fill="FFFFFF" w:themeFill="background1"/>
            <w:noWrap/>
            <w:vAlign w:val="center"/>
            <w:hideMark/>
          </w:tcPr>
          <w:p w14:paraId="0693A14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250" w:type="pct"/>
            <w:tcBorders>
              <w:top w:val="nil"/>
              <w:left w:val="nil"/>
              <w:bottom w:val="nil"/>
              <w:right w:val="nil"/>
            </w:tcBorders>
            <w:shd w:val="clear" w:color="auto" w:fill="FFFFFF" w:themeFill="background1"/>
            <w:noWrap/>
            <w:vAlign w:val="center"/>
            <w:hideMark/>
          </w:tcPr>
          <w:p w14:paraId="689E6F9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w:t>
            </w:r>
          </w:p>
        </w:tc>
        <w:tc>
          <w:tcPr>
            <w:tcW w:w="248" w:type="pct"/>
            <w:tcBorders>
              <w:top w:val="nil"/>
              <w:left w:val="nil"/>
              <w:bottom w:val="nil"/>
              <w:right w:val="nil"/>
            </w:tcBorders>
            <w:shd w:val="clear" w:color="auto" w:fill="FFFFFF" w:themeFill="background1"/>
            <w:noWrap/>
            <w:vAlign w:val="center"/>
            <w:hideMark/>
          </w:tcPr>
          <w:p w14:paraId="212ADA8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15.4</w:t>
            </w:r>
          </w:p>
        </w:tc>
        <w:tc>
          <w:tcPr>
            <w:tcW w:w="263" w:type="pct"/>
            <w:tcBorders>
              <w:top w:val="nil"/>
              <w:left w:val="nil"/>
              <w:bottom w:val="nil"/>
              <w:right w:val="nil"/>
            </w:tcBorders>
            <w:shd w:val="clear" w:color="auto" w:fill="FFFFFF" w:themeFill="background1"/>
            <w:noWrap/>
            <w:vAlign w:val="center"/>
            <w:hideMark/>
          </w:tcPr>
          <w:p w14:paraId="040F3B0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84.6</w:t>
            </w:r>
          </w:p>
        </w:tc>
        <w:tc>
          <w:tcPr>
            <w:tcW w:w="249" w:type="pct"/>
            <w:tcBorders>
              <w:top w:val="nil"/>
              <w:left w:val="nil"/>
              <w:bottom w:val="nil"/>
              <w:right w:val="single" w:sz="8" w:space="0" w:color="auto"/>
            </w:tcBorders>
            <w:shd w:val="clear" w:color="auto" w:fill="FFFFFF" w:themeFill="background1"/>
            <w:vAlign w:val="center"/>
            <w:hideMark/>
          </w:tcPr>
          <w:p w14:paraId="5757386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8.7</w:t>
            </w:r>
          </w:p>
        </w:tc>
      </w:tr>
      <w:tr w:rsidR="00C827E3" w:rsidRPr="00435B6B" w14:paraId="5AE33DEA" w14:textId="77777777" w:rsidTr="001F4A34">
        <w:trPr>
          <w:trHeight w:val="255"/>
          <w:jc w:val="center"/>
        </w:trPr>
        <w:tc>
          <w:tcPr>
            <w:tcW w:w="968" w:type="pct"/>
            <w:tcBorders>
              <w:top w:val="nil"/>
              <w:left w:val="single" w:sz="8" w:space="0" w:color="auto"/>
              <w:bottom w:val="single" w:sz="8" w:space="0" w:color="auto"/>
              <w:right w:val="single" w:sz="8" w:space="0" w:color="auto"/>
            </w:tcBorders>
            <w:shd w:val="clear" w:color="auto" w:fill="FFFFFF" w:themeFill="background1"/>
            <w:vAlign w:val="center"/>
            <w:hideMark/>
          </w:tcPr>
          <w:p w14:paraId="0F4FE2A1" w14:textId="77777777" w:rsidR="003421D4" w:rsidRPr="009819CE" w:rsidRDefault="003421D4" w:rsidP="0083610A">
            <w:pPr>
              <w:spacing w:before="0" w:after="0" w:line="240" w:lineRule="auto"/>
              <w:jc w:val="center"/>
              <w:rPr>
                <w:rFonts w:cstheme="minorBidi"/>
                <w:b/>
                <w:bCs/>
                <w:color w:val="000000"/>
                <w:sz w:val="18"/>
                <w:szCs w:val="18"/>
              </w:rPr>
            </w:pPr>
            <w:r w:rsidRPr="009819CE">
              <w:rPr>
                <w:rFonts w:cstheme="minorBidi"/>
                <w:b/>
                <w:bCs/>
                <w:color w:val="000000"/>
                <w:sz w:val="18"/>
                <w:szCs w:val="18"/>
              </w:rPr>
              <w:t>Size parameter</w:t>
            </w:r>
          </w:p>
        </w:tc>
        <w:tc>
          <w:tcPr>
            <w:tcW w:w="200" w:type="pct"/>
            <w:tcBorders>
              <w:top w:val="nil"/>
              <w:left w:val="nil"/>
              <w:bottom w:val="single" w:sz="8" w:space="0" w:color="auto"/>
              <w:right w:val="nil"/>
            </w:tcBorders>
            <w:shd w:val="clear" w:color="auto" w:fill="FFFFFF" w:themeFill="background1"/>
            <w:vAlign w:val="center"/>
            <w:hideMark/>
          </w:tcPr>
          <w:p w14:paraId="06B6036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0FAD096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7C4F0B8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7" w:type="pct"/>
            <w:tcBorders>
              <w:top w:val="nil"/>
              <w:left w:val="nil"/>
              <w:bottom w:val="single" w:sz="8" w:space="0" w:color="auto"/>
              <w:right w:val="nil"/>
            </w:tcBorders>
            <w:shd w:val="clear" w:color="auto" w:fill="FFFFFF" w:themeFill="background1"/>
            <w:noWrap/>
            <w:vAlign w:val="center"/>
            <w:hideMark/>
          </w:tcPr>
          <w:p w14:paraId="7F7A736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17AA920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05B125B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7801553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662E25F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13738DF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5319DB4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21FEF70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4D56DFF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18DBEC1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161" w:type="pct"/>
            <w:tcBorders>
              <w:top w:val="nil"/>
              <w:left w:val="nil"/>
              <w:bottom w:val="single" w:sz="8" w:space="0" w:color="auto"/>
              <w:right w:val="nil"/>
            </w:tcBorders>
            <w:shd w:val="clear" w:color="auto" w:fill="FFFFFF" w:themeFill="background1"/>
            <w:vAlign w:val="center"/>
            <w:hideMark/>
          </w:tcPr>
          <w:p w14:paraId="47FC050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50" w:type="pct"/>
            <w:tcBorders>
              <w:top w:val="nil"/>
              <w:left w:val="nil"/>
              <w:bottom w:val="single" w:sz="8" w:space="0" w:color="auto"/>
              <w:right w:val="nil"/>
            </w:tcBorders>
            <w:shd w:val="clear" w:color="auto" w:fill="FFFFFF" w:themeFill="background1"/>
            <w:noWrap/>
            <w:vAlign w:val="center"/>
            <w:hideMark/>
          </w:tcPr>
          <w:p w14:paraId="2A59572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8" w:type="pct"/>
            <w:tcBorders>
              <w:top w:val="nil"/>
              <w:left w:val="nil"/>
              <w:bottom w:val="single" w:sz="8" w:space="0" w:color="auto"/>
              <w:right w:val="nil"/>
            </w:tcBorders>
            <w:shd w:val="clear" w:color="auto" w:fill="FFFFFF" w:themeFill="background1"/>
            <w:noWrap/>
            <w:vAlign w:val="center"/>
            <w:hideMark/>
          </w:tcPr>
          <w:p w14:paraId="4072225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63" w:type="pct"/>
            <w:tcBorders>
              <w:top w:val="nil"/>
              <w:left w:val="nil"/>
              <w:bottom w:val="single" w:sz="8" w:space="0" w:color="auto"/>
              <w:right w:val="nil"/>
            </w:tcBorders>
            <w:shd w:val="clear" w:color="auto" w:fill="FFFFFF" w:themeFill="background1"/>
            <w:noWrap/>
            <w:vAlign w:val="center"/>
            <w:hideMark/>
          </w:tcPr>
          <w:p w14:paraId="759BC73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74361C2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 </w:t>
            </w:r>
          </w:p>
        </w:tc>
      </w:tr>
      <w:tr w:rsidR="00C827E3" w:rsidRPr="00435B6B" w14:paraId="60111098"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5ACB1EE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SOM immature</w:t>
            </w:r>
          </w:p>
        </w:tc>
        <w:tc>
          <w:tcPr>
            <w:tcW w:w="200" w:type="pct"/>
            <w:tcBorders>
              <w:top w:val="nil"/>
              <w:left w:val="nil"/>
              <w:bottom w:val="nil"/>
              <w:right w:val="nil"/>
            </w:tcBorders>
            <w:shd w:val="clear" w:color="auto" w:fill="FFFFFF" w:themeFill="background1"/>
            <w:vAlign w:val="center"/>
            <w:hideMark/>
          </w:tcPr>
          <w:p w14:paraId="3D6EAA5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w:t>
            </w:r>
          </w:p>
        </w:tc>
        <w:tc>
          <w:tcPr>
            <w:tcW w:w="161" w:type="pct"/>
            <w:tcBorders>
              <w:top w:val="nil"/>
              <w:left w:val="nil"/>
              <w:bottom w:val="nil"/>
              <w:right w:val="nil"/>
            </w:tcBorders>
            <w:shd w:val="clear" w:color="auto" w:fill="FFFFFF" w:themeFill="background1"/>
            <w:vAlign w:val="center"/>
            <w:hideMark/>
          </w:tcPr>
          <w:p w14:paraId="598A8F1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w:t>
            </w:r>
          </w:p>
        </w:tc>
        <w:tc>
          <w:tcPr>
            <w:tcW w:w="250" w:type="pct"/>
            <w:tcBorders>
              <w:top w:val="nil"/>
              <w:left w:val="nil"/>
              <w:bottom w:val="nil"/>
              <w:right w:val="nil"/>
            </w:tcBorders>
            <w:shd w:val="clear" w:color="auto" w:fill="FFFFFF" w:themeFill="background1"/>
            <w:noWrap/>
            <w:vAlign w:val="center"/>
            <w:hideMark/>
          </w:tcPr>
          <w:p w14:paraId="339F84D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w:t>
            </w:r>
          </w:p>
        </w:tc>
        <w:tc>
          <w:tcPr>
            <w:tcW w:w="247" w:type="pct"/>
            <w:tcBorders>
              <w:top w:val="nil"/>
              <w:left w:val="nil"/>
              <w:bottom w:val="nil"/>
              <w:right w:val="nil"/>
            </w:tcBorders>
            <w:shd w:val="clear" w:color="auto" w:fill="FFFFFF" w:themeFill="background1"/>
            <w:noWrap/>
            <w:vAlign w:val="center"/>
            <w:hideMark/>
          </w:tcPr>
          <w:p w14:paraId="09B8547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44.4</w:t>
            </w:r>
          </w:p>
        </w:tc>
        <w:tc>
          <w:tcPr>
            <w:tcW w:w="263" w:type="pct"/>
            <w:tcBorders>
              <w:top w:val="nil"/>
              <w:left w:val="nil"/>
              <w:bottom w:val="nil"/>
              <w:right w:val="nil"/>
            </w:tcBorders>
            <w:shd w:val="clear" w:color="auto" w:fill="FFFFFF" w:themeFill="background1"/>
            <w:noWrap/>
            <w:vAlign w:val="center"/>
            <w:hideMark/>
          </w:tcPr>
          <w:p w14:paraId="7F8D5F0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55.6</w:t>
            </w:r>
          </w:p>
        </w:tc>
        <w:tc>
          <w:tcPr>
            <w:tcW w:w="249" w:type="pct"/>
            <w:tcBorders>
              <w:top w:val="nil"/>
              <w:left w:val="nil"/>
              <w:bottom w:val="nil"/>
              <w:right w:val="single" w:sz="8" w:space="0" w:color="auto"/>
            </w:tcBorders>
            <w:shd w:val="clear" w:color="auto" w:fill="FFFFFF" w:themeFill="background1"/>
            <w:vAlign w:val="center"/>
            <w:hideMark/>
          </w:tcPr>
          <w:p w14:paraId="6D845F4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6.0</w:t>
            </w:r>
          </w:p>
        </w:tc>
        <w:tc>
          <w:tcPr>
            <w:tcW w:w="161" w:type="pct"/>
            <w:tcBorders>
              <w:top w:val="nil"/>
              <w:left w:val="nil"/>
              <w:bottom w:val="nil"/>
              <w:right w:val="nil"/>
            </w:tcBorders>
            <w:shd w:val="clear" w:color="auto" w:fill="FFFFFF" w:themeFill="background1"/>
            <w:vAlign w:val="center"/>
            <w:hideMark/>
          </w:tcPr>
          <w:p w14:paraId="0A48BDE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w:t>
            </w:r>
          </w:p>
        </w:tc>
        <w:tc>
          <w:tcPr>
            <w:tcW w:w="161" w:type="pct"/>
            <w:tcBorders>
              <w:top w:val="nil"/>
              <w:left w:val="nil"/>
              <w:bottom w:val="nil"/>
              <w:right w:val="nil"/>
            </w:tcBorders>
            <w:shd w:val="clear" w:color="auto" w:fill="FFFFFF" w:themeFill="background1"/>
            <w:vAlign w:val="center"/>
            <w:hideMark/>
          </w:tcPr>
          <w:p w14:paraId="23AA11E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w:t>
            </w:r>
          </w:p>
        </w:tc>
        <w:tc>
          <w:tcPr>
            <w:tcW w:w="250" w:type="pct"/>
            <w:tcBorders>
              <w:top w:val="nil"/>
              <w:left w:val="nil"/>
              <w:bottom w:val="nil"/>
              <w:right w:val="nil"/>
            </w:tcBorders>
            <w:shd w:val="clear" w:color="auto" w:fill="FFFFFF" w:themeFill="background1"/>
            <w:noWrap/>
            <w:vAlign w:val="center"/>
            <w:hideMark/>
          </w:tcPr>
          <w:p w14:paraId="4E7E5DC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31</w:t>
            </w:r>
          </w:p>
        </w:tc>
        <w:tc>
          <w:tcPr>
            <w:tcW w:w="248" w:type="pct"/>
            <w:tcBorders>
              <w:top w:val="nil"/>
              <w:left w:val="nil"/>
              <w:bottom w:val="nil"/>
              <w:right w:val="nil"/>
            </w:tcBorders>
            <w:shd w:val="clear" w:color="auto" w:fill="FFFFFF" w:themeFill="background1"/>
            <w:noWrap/>
            <w:vAlign w:val="center"/>
            <w:hideMark/>
          </w:tcPr>
          <w:p w14:paraId="60DF98D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32.3</w:t>
            </w:r>
          </w:p>
        </w:tc>
        <w:tc>
          <w:tcPr>
            <w:tcW w:w="263" w:type="pct"/>
            <w:tcBorders>
              <w:top w:val="nil"/>
              <w:left w:val="nil"/>
              <w:bottom w:val="nil"/>
              <w:right w:val="nil"/>
            </w:tcBorders>
            <w:shd w:val="clear" w:color="auto" w:fill="FFFFFF" w:themeFill="background1"/>
            <w:noWrap/>
            <w:vAlign w:val="center"/>
            <w:hideMark/>
          </w:tcPr>
          <w:p w14:paraId="7CF7673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67.7</w:t>
            </w:r>
          </w:p>
        </w:tc>
        <w:tc>
          <w:tcPr>
            <w:tcW w:w="249" w:type="pct"/>
            <w:tcBorders>
              <w:top w:val="nil"/>
              <w:left w:val="nil"/>
              <w:bottom w:val="nil"/>
              <w:right w:val="single" w:sz="8" w:space="0" w:color="auto"/>
            </w:tcBorders>
            <w:shd w:val="clear" w:color="auto" w:fill="FFFFFF" w:themeFill="background1"/>
            <w:vAlign w:val="center"/>
            <w:hideMark/>
          </w:tcPr>
          <w:p w14:paraId="3A40880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21.1</w:t>
            </w:r>
          </w:p>
        </w:tc>
        <w:tc>
          <w:tcPr>
            <w:tcW w:w="161" w:type="pct"/>
            <w:tcBorders>
              <w:top w:val="nil"/>
              <w:left w:val="nil"/>
              <w:bottom w:val="nil"/>
              <w:right w:val="nil"/>
            </w:tcBorders>
            <w:shd w:val="clear" w:color="auto" w:fill="FFFFFF" w:themeFill="background1"/>
            <w:vAlign w:val="center"/>
            <w:hideMark/>
          </w:tcPr>
          <w:p w14:paraId="58AF013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25</w:t>
            </w:r>
          </w:p>
        </w:tc>
        <w:tc>
          <w:tcPr>
            <w:tcW w:w="161" w:type="pct"/>
            <w:tcBorders>
              <w:top w:val="nil"/>
              <w:left w:val="nil"/>
              <w:bottom w:val="nil"/>
              <w:right w:val="nil"/>
            </w:tcBorders>
            <w:shd w:val="clear" w:color="auto" w:fill="FFFFFF" w:themeFill="background1"/>
            <w:vAlign w:val="center"/>
            <w:hideMark/>
          </w:tcPr>
          <w:p w14:paraId="4CCE1C7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38</w:t>
            </w:r>
          </w:p>
        </w:tc>
        <w:tc>
          <w:tcPr>
            <w:tcW w:w="250" w:type="pct"/>
            <w:tcBorders>
              <w:top w:val="nil"/>
              <w:left w:val="nil"/>
              <w:bottom w:val="nil"/>
              <w:right w:val="nil"/>
            </w:tcBorders>
            <w:shd w:val="clear" w:color="auto" w:fill="FFFFFF" w:themeFill="background1"/>
            <w:noWrap/>
            <w:vAlign w:val="center"/>
            <w:hideMark/>
          </w:tcPr>
          <w:p w14:paraId="1A27667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63</w:t>
            </w:r>
          </w:p>
        </w:tc>
        <w:tc>
          <w:tcPr>
            <w:tcW w:w="248" w:type="pct"/>
            <w:tcBorders>
              <w:top w:val="nil"/>
              <w:left w:val="nil"/>
              <w:bottom w:val="nil"/>
              <w:right w:val="nil"/>
            </w:tcBorders>
            <w:shd w:val="clear" w:color="auto" w:fill="FFFFFF" w:themeFill="background1"/>
            <w:noWrap/>
            <w:vAlign w:val="center"/>
            <w:hideMark/>
          </w:tcPr>
          <w:p w14:paraId="7491A2A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39.7</w:t>
            </w:r>
          </w:p>
        </w:tc>
        <w:tc>
          <w:tcPr>
            <w:tcW w:w="263" w:type="pct"/>
            <w:tcBorders>
              <w:top w:val="nil"/>
              <w:left w:val="nil"/>
              <w:bottom w:val="nil"/>
              <w:right w:val="nil"/>
            </w:tcBorders>
            <w:shd w:val="clear" w:color="auto" w:fill="FFFFFF" w:themeFill="background1"/>
            <w:noWrap/>
            <w:vAlign w:val="center"/>
            <w:hideMark/>
          </w:tcPr>
          <w:p w14:paraId="121A34A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60.3</w:t>
            </w:r>
          </w:p>
        </w:tc>
        <w:tc>
          <w:tcPr>
            <w:tcW w:w="249" w:type="pct"/>
            <w:tcBorders>
              <w:top w:val="nil"/>
              <w:left w:val="nil"/>
              <w:bottom w:val="nil"/>
              <w:right w:val="single" w:sz="8" w:space="0" w:color="auto"/>
            </w:tcBorders>
            <w:shd w:val="clear" w:color="auto" w:fill="FFFFFF" w:themeFill="background1"/>
            <w:vAlign w:val="center"/>
            <w:hideMark/>
          </w:tcPr>
          <w:p w14:paraId="12624C2D" w14:textId="07DD998A"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42</w:t>
            </w:r>
          </w:p>
        </w:tc>
      </w:tr>
      <w:tr w:rsidR="00C827E3" w:rsidRPr="00435B6B" w14:paraId="3072D136"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09B6848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SOM mature</w:t>
            </w:r>
          </w:p>
        </w:tc>
        <w:tc>
          <w:tcPr>
            <w:tcW w:w="200" w:type="pct"/>
            <w:tcBorders>
              <w:top w:val="nil"/>
              <w:left w:val="nil"/>
              <w:bottom w:val="nil"/>
              <w:right w:val="nil"/>
            </w:tcBorders>
            <w:shd w:val="clear" w:color="auto" w:fill="FFFFFF" w:themeFill="background1"/>
            <w:vAlign w:val="center"/>
            <w:hideMark/>
          </w:tcPr>
          <w:p w14:paraId="3A077C7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115</w:t>
            </w:r>
          </w:p>
        </w:tc>
        <w:tc>
          <w:tcPr>
            <w:tcW w:w="161" w:type="pct"/>
            <w:tcBorders>
              <w:top w:val="nil"/>
              <w:left w:val="nil"/>
              <w:bottom w:val="nil"/>
              <w:right w:val="nil"/>
            </w:tcBorders>
            <w:shd w:val="clear" w:color="auto" w:fill="FFFFFF" w:themeFill="background1"/>
            <w:vAlign w:val="center"/>
            <w:hideMark/>
          </w:tcPr>
          <w:p w14:paraId="4C3FF03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26</w:t>
            </w:r>
          </w:p>
        </w:tc>
        <w:tc>
          <w:tcPr>
            <w:tcW w:w="250" w:type="pct"/>
            <w:tcBorders>
              <w:top w:val="nil"/>
              <w:left w:val="nil"/>
              <w:bottom w:val="nil"/>
              <w:right w:val="nil"/>
            </w:tcBorders>
            <w:shd w:val="clear" w:color="auto" w:fill="FFFFFF" w:themeFill="background1"/>
            <w:noWrap/>
            <w:vAlign w:val="center"/>
            <w:hideMark/>
          </w:tcPr>
          <w:p w14:paraId="4BEF9D9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141</w:t>
            </w:r>
          </w:p>
        </w:tc>
        <w:tc>
          <w:tcPr>
            <w:tcW w:w="247" w:type="pct"/>
            <w:tcBorders>
              <w:top w:val="nil"/>
              <w:left w:val="nil"/>
              <w:bottom w:val="nil"/>
              <w:right w:val="nil"/>
            </w:tcBorders>
            <w:shd w:val="clear" w:color="auto" w:fill="FFFFFF" w:themeFill="background1"/>
            <w:noWrap/>
            <w:vAlign w:val="center"/>
            <w:hideMark/>
          </w:tcPr>
          <w:p w14:paraId="427E60E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81.6</w:t>
            </w:r>
          </w:p>
        </w:tc>
        <w:tc>
          <w:tcPr>
            <w:tcW w:w="263" w:type="pct"/>
            <w:tcBorders>
              <w:top w:val="nil"/>
              <w:left w:val="nil"/>
              <w:bottom w:val="nil"/>
              <w:right w:val="nil"/>
            </w:tcBorders>
            <w:shd w:val="clear" w:color="auto" w:fill="FFFFFF" w:themeFill="background1"/>
            <w:noWrap/>
            <w:vAlign w:val="center"/>
            <w:hideMark/>
          </w:tcPr>
          <w:p w14:paraId="0557979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18.4</w:t>
            </w:r>
          </w:p>
        </w:tc>
        <w:tc>
          <w:tcPr>
            <w:tcW w:w="249" w:type="pct"/>
            <w:tcBorders>
              <w:top w:val="nil"/>
              <w:left w:val="nil"/>
              <w:bottom w:val="nil"/>
              <w:right w:val="single" w:sz="8" w:space="0" w:color="auto"/>
            </w:tcBorders>
            <w:shd w:val="clear" w:color="auto" w:fill="FFFFFF" w:themeFill="background1"/>
            <w:vAlign w:val="center"/>
            <w:hideMark/>
          </w:tcPr>
          <w:p w14:paraId="0C5E6AD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94.0</w:t>
            </w:r>
          </w:p>
        </w:tc>
        <w:tc>
          <w:tcPr>
            <w:tcW w:w="161" w:type="pct"/>
            <w:tcBorders>
              <w:top w:val="nil"/>
              <w:left w:val="nil"/>
              <w:bottom w:val="nil"/>
              <w:right w:val="nil"/>
            </w:tcBorders>
            <w:shd w:val="clear" w:color="auto" w:fill="FFFFFF" w:themeFill="background1"/>
            <w:vAlign w:val="center"/>
            <w:hideMark/>
          </w:tcPr>
          <w:p w14:paraId="1D36B4A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58</w:t>
            </w:r>
          </w:p>
        </w:tc>
        <w:tc>
          <w:tcPr>
            <w:tcW w:w="161" w:type="pct"/>
            <w:tcBorders>
              <w:top w:val="nil"/>
              <w:left w:val="nil"/>
              <w:bottom w:val="nil"/>
              <w:right w:val="nil"/>
            </w:tcBorders>
            <w:shd w:val="clear" w:color="auto" w:fill="FFFFFF" w:themeFill="background1"/>
            <w:vAlign w:val="center"/>
            <w:hideMark/>
          </w:tcPr>
          <w:p w14:paraId="56BCEA4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58</w:t>
            </w:r>
          </w:p>
        </w:tc>
        <w:tc>
          <w:tcPr>
            <w:tcW w:w="250" w:type="pct"/>
            <w:tcBorders>
              <w:top w:val="nil"/>
              <w:left w:val="nil"/>
              <w:bottom w:val="nil"/>
              <w:right w:val="nil"/>
            </w:tcBorders>
            <w:shd w:val="clear" w:color="auto" w:fill="FFFFFF" w:themeFill="background1"/>
            <w:noWrap/>
            <w:vAlign w:val="center"/>
            <w:hideMark/>
          </w:tcPr>
          <w:p w14:paraId="28751C9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116</w:t>
            </w:r>
          </w:p>
        </w:tc>
        <w:tc>
          <w:tcPr>
            <w:tcW w:w="248" w:type="pct"/>
            <w:tcBorders>
              <w:top w:val="nil"/>
              <w:left w:val="nil"/>
              <w:bottom w:val="nil"/>
              <w:right w:val="nil"/>
            </w:tcBorders>
            <w:shd w:val="clear" w:color="auto" w:fill="FFFFFF" w:themeFill="background1"/>
            <w:noWrap/>
            <w:vAlign w:val="center"/>
            <w:hideMark/>
          </w:tcPr>
          <w:p w14:paraId="2FD74C96" w14:textId="4022652C"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63" w:type="pct"/>
            <w:tcBorders>
              <w:top w:val="nil"/>
              <w:left w:val="nil"/>
              <w:bottom w:val="nil"/>
              <w:right w:val="nil"/>
            </w:tcBorders>
            <w:shd w:val="clear" w:color="auto" w:fill="FFFFFF" w:themeFill="background1"/>
            <w:noWrap/>
            <w:vAlign w:val="center"/>
            <w:hideMark/>
          </w:tcPr>
          <w:p w14:paraId="71A1EE01" w14:textId="3E3096BF"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49" w:type="pct"/>
            <w:tcBorders>
              <w:top w:val="nil"/>
              <w:left w:val="nil"/>
              <w:bottom w:val="nil"/>
              <w:right w:val="single" w:sz="8" w:space="0" w:color="auto"/>
            </w:tcBorders>
            <w:shd w:val="clear" w:color="auto" w:fill="FFFFFF" w:themeFill="background1"/>
            <w:vAlign w:val="center"/>
            <w:hideMark/>
          </w:tcPr>
          <w:p w14:paraId="6C34A28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78.9</w:t>
            </w:r>
          </w:p>
        </w:tc>
        <w:tc>
          <w:tcPr>
            <w:tcW w:w="161" w:type="pct"/>
            <w:tcBorders>
              <w:top w:val="nil"/>
              <w:left w:val="nil"/>
              <w:bottom w:val="nil"/>
              <w:right w:val="nil"/>
            </w:tcBorders>
            <w:shd w:val="clear" w:color="auto" w:fill="FFFFFF" w:themeFill="background1"/>
            <w:vAlign w:val="center"/>
            <w:hideMark/>
          </w:tcPr>
          <w:p w14:paraId="3A4D2E1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38</w:t>
            </w:r>
          </w:p>
        </w:tc>
        <w:tc>
          <w:tcPr>
            <w:tcW w:w="161" w:type="pct"/>
            <w:tcBorders>
              <w:top w:val="nil"/>
              <w:left w:val="nil"/>
              <w:bottom w:val="nil"/>
              <w:right w:val="nil"/>
            </w:tcBorders>
            <w:shd w:val="clear" w:color="auto" w:fill="FFFFFF" w:themeFill="background1"/>
            <w:vAlign w:val="center"/>
            <w:hideMark/>
          </w:tcPr>
          <w:p w14:paraId="3DED7EE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49</w:t>
            </w:r>
          </w:p>
        </w:tc>
        <w:tc>
          <w:tcPr>
            <w:tcW w:w="250" w:type="pct"/>
            <w:tcBorders>
              <w:top w:val="nil"/>
              <w:left w:val="nil"/>
              <w:bottom w:val="nil"/>
              <w:right w:val="nil"/>
            </w:tcBorders>
            <w:shd w:val="clear" w:color="auto" w:fill="FFFFFF" w:themeFill="background1"/>
            <w:noWrap/>
            <w:vAlign w:val="center"/>
            <w:hideMark/>
          </w:tcPr>
          <w:p w14:paraId="5B2AEC6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87</w:t>
            </w:r>
          </w:p>
        </w:tc>
        <w:tc>
          <w:tcPr>
            <w:tcW w:w="248" w:type="pct"/>
            <w:tcBorders>
              <w:top w:val="nil"/>
              <w:left w:val="nil"/>
              <w:bottom w:val="nil"/>
              <w:right w:val="nil"/>
            </w:tcBorders>
            <w:shd w:val="clear" w:color="auto" w:fill="FFFFFF" w:themeFill="background1"/>
            <w:noWrap/>
            <w:vAlign w:val="center"/>
            <w:hideMark/>
          </w:tcPr>
          <w:p w14:paraId="18BC7FB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43.7</w:t>
            </w:r>
          </w:p>
        </w:tc>
        <w:tc>
          <w:tcPr>
            <w:tcW w:w="263" w:type="pct"/>
            <w:tcBorders>
              <w:top w:val="nil"/>
              <w:left w:val="nil"/>
              <w:bottom w:val="nil"/>
              <w:right w:val="nil"/>
            </w:tcBorders>
            <w:shd w:val="clear" w:color="auto" w:fill="FFFFFF" w:themeFill="background1"/>
            <w:noWrap/>
            <w:vAlign w:val="center"/>
            <w:hideMark/>
          </w:tcPr>
          <w:p w14:paraId="127B735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56.3</w:t>
            </w:r>
          </w:p>
        </w:tc>
        <w:tc>
          <w:tcPr>
            <w:tcW w:w="249" w:type="pct"/>
            <w:tcBorders>
              <w:top w:val="nil"/>
              <w:left w:val="nil"/>
              <w:bottom w:val="nil"/>
              <w:right w:val="single" w:sz="8" w:space="0" w:color="auto"/>
            </w:tcBorders>
            <w:shd w:val="clear" w:color="auto" w:fill="FFFFFF" w:themeFill="background1"/>
            <w:vAlign w:val="center"/>
            <w:hideMark/>
          </w:tcPr>
          <w:p w14:paraId="2504490A" w14:textId="33E34C40"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58</w:t>
            </w:r>
          </w:p>
        </w:tc>
      </w:tr>
      <w:tr w:rsidR="00C827E3" w:rsidRPr="00435B6B" w14:paraId="266C41BA"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3FD0D08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S (20.8-25mm)</w:t>
            </w:r>
          </w:p>
        </w:tc>
        <w:tc>
          <w:tcPr>
            <w:tcW w:w="200" w:type="pct"/>
            <w:tcBorders>
              <w:top w:val="nil"/>
              <w:left w:val="nil"/>
              <w:bottom w:val="nil"/>
              <w:right w:val="nil"/>
            </w:tcBorders>
            <w:shd w:val="clear" w:color="auto" w:fill="FFFFFF" w:themeFill="background1"/>
            <w:vAlign w:val="center"/>
            <w:hideMark/>
          </w:tcPr>
          <w:p w14:paraId="48DC583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w:t>
            </w:r>
          </w:p>
        </w:tc>
        <w:tc>
          <w:tcPr>
            <w:tcW w:w="161" w:type="pct"/>
            <w:tcBorders>
              <w:top w:val="nil"/>
              <w:left w:val="nil"/>
              <w:bottom w:val="nil"/>
              <w:right w:val="nil"/>
            </w:tcBorders>
            <w:shd w:val="clear" w:color="auto" w:fill="FFFFFF" w:themeFill="background1"/>
            <w:vAlign w:val="center"/>
            <w:hideMark/>
          </w:tcPr>
          <w:p w14:paraId="4831A81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24</w:t>
            </w:r>
          </w:p>
        </w:tc>
        <w:tc>
          <w:tcPr>
            <w:tcW w:w="250" w:type="pct"/>
            <w:tcBorders>
              <w:top w:val="nil"/>
              <w:left w:val="nil"/>
              <w:bottom w:val="nil"/>
              <w:right w:val="nil"/>
            </w:tcBorders>
            <w:shd w:val="clear" w:color="auto" w:fill="FFFFFF" w:themeFill="background1"/>
            <w:noWrap/>
            <w:vAlign w:val="center"/>
            <w:hideMark/>
          </w:tcPr>
          <w:p w14:paraId="3409B62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27</w:t>
            </w:r>
          </w:p>
        </w:tc>
        <w:tc>
          <w:tcPr>
            <w:tcW w:w="247" w:type="pct"/>
            <w:tcBorders>
              <w:top w:val="nil"/>
              <w:left w:val="nil"/>
              <w:bottom w:val="nil"/>
              <w:right w:val="nil"/>
            </w:tcBorders>
            <w:shd w:val="clear" w:color="auto" w:fill="FFFFFF" w:themeFill="background1"/>
            <w:noWrap/>
            <w:vAlign w:val="center"/>
            <w:hideMark/>
          </w:tcPr>
          <w:p w14:paraId="739E849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11.1</w:t>
            </w:r>
          </w:p>
        </w:tc>
        <w:tc>
          <w:tcPr>
            <w:tcW w:w="263" w:type="pct"/>
            <w:tcBorders>
              <w:top w:val="nil"/>
              <w:left w:val="nil"/>
              <w:bottom w:val="nil"/>
              <w:right w:val="nil"/>
            </w:tcBorders>
            <w:shd w:val="clear" w:color="auto" w:fill="FFFFFF" w:themeFill="background1"/>
            <w:noWrap/>
            <w:vAlign w:val="center"/>
            <w:hideMark/>
          </w:tcPr>
          <w:p w14:paraId="235136B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88.9</w:t>
            </w:r>
          </w:p>
        </w:tc>
        <w:tc>
          <w:tcPr>
            <w:tcW w:w="249" w:type="pct"/>
            <w:tcBorders>
              <w:top w:val="nil"/>
              <w:left w:val="nil"/>
              <w:bottom w:val="nil"/>
              <w:right w:val="single" w:sz="8" w:space="0" w:color="auto"/>
            </w:tcBorders>
            <w:shd w:val="clear" w:color="auto" w:fill="FFFFFF" w:themeFill="background1"/>
            <w:vAlign w:val="center"/>
            <w:hideMark/>
          </w:tcPr>
          <w:p w14:paraId="7DAD34F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18.0</w:t>
            </w:r>
          </w:p>
        </w:tc>
        <w:tc>
          <w:tcPr>
            <w:tcW w:w="161" w:type="pct"/>
            <w:tcBorders>
              <w:top w:val="nil"/>
              <w:left w:val="nil"/>
              <w:bottom w:val="nil"/>
              <w:right w:val="nil"/>
            </w:tcBorders>
            <w:shd w:val="clear" w:color="auto" w:fill="FFFFFF" w:themeFill="background1"/>
            <w:vAlign w:val="center"/>
            <w:hideMark/>
          </w:tcPr>
          <w:p w14:paraId="78D4E44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w:t>
            </w:r>
          </w:p>
        </w:tc>
        <w:tc>
          <w:tcPr>
            <w:tcW w:w="161" w:type="pct"/>
            <w:tcBorders>
              <w:top w:val="nil"/>
              <w:left w:val="nil"/>
              <w:bottom w:val="nil"/>
              <w:right w:val="nil"/>
            </w:tcBorders>
            <w:shd w:val="clear" w:color="auto" w:fill="FFFFFF" w:themeFill="background1"/>
            <w:vAlign w:val="center"/>
            <w:hideMark/>
          </w:tcPr>
          <w:p w14:paraId="1A476DC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52</w:t>
            </w:r>
          </w:p>
        </w:tc>
        <w:tc>
          <w:tcPr>
            <w:tcW w:w="250" w:type="pct"/>
            <w:tcBorders>
              <w:top w:val="nil"/>
              <w:left w:val="nil"/>
              <w:bottom w:val="nil"/>
              <w:right w:val="nil"/>
            </w:tcBorders>
            <w:shd w:val="clear" w:color="auto" w:fill="FFFFFF" w:themeFill="background1"/>
            <w:noWrap/>
            <w:vAlign w:val="center"/>
            <w:hideMark/>
          </w:tcPr>
          <w:p w14:paraId="414A9B3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60</w:t>
            </w:r>
          </w:p>
        </w:tc>
        <w:tc>
          <w:tcPr>
            <w:tcW w:w="248" w:type="pct"/>
            <w:tcBorders>
              <w:top w:val="nil"/>
              <w:left w:val="nil"/>
              <w:bottom w:val="nil"/>
              <w:right w:val="nil"/>
            </w:tcBorders>
            <w:shd w:val="clear" w:color="auto" w:fill="FFFFFF" w:themeFill="background1"/>
            <w:noWrap/>
            <w:vAlign w:val="center"/>
            <w:hideMark/>
          </w:tcPr>
          <w:p w14:paraId="6630A05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13.3</w:t>
            </w:r>
          </w:p>
        </w:tc>
        <w:tc>
          <w:tcPr>
            <w:tcW w:w="263" w:type="pct"/>
            <w:tcBorders>
              <w:top w:val="nil"/>
              <w:left w:val="nil"/>
              <w:bottom w:val="nil"/>
              <w:right w:val="nil"/>
            </w:tcBorders>
            <w:shd w:val="clear" w:color="auto" w:fill="FFFFFF" w:themeFill="background1"/>
            <w:noWrap/>
            <w:vAlign w:val="center"/>
            <w:hideMark/>
          </w:tcPr>
          <w:p w14:paraId="7283CE8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86.7</w:t>
            </w:r>
          </w:p>
        </w:tc>
        <w:tc>
          <w:tcPr>
            <w:tcW w:w="249" w:type="pct"/>
            <w:tcBorders>
              <w:top w:val="nil"/>
              <w:left w:val="nil"/>
              <w:bottom w:val="nil"/>
              <w:right w:val="single" w:sz="8" w:space="0" w:color="auto"/>
            </w:tcBorders>
            <w:shd w:val="clear" w:color="auto" w:fill="FFFFFF" w:themeFill="background1"/>
            <w:vAlign w:val="center"/>
            <w:hideMark/>
          </w:tcPr>
          <w:p w14:paraId="4597996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40.8</w:t>
            </w:r>
          </w:p>
        </w:tc>
        <w:tc>
          <w:tcPr>
            <w:tcW w:w="161" w:type="pct"/>
            <w:tcBorders>
              <w:top w:val="nil"/>
              <w:left w:val="nil"/>
              <w:bottom w:val="nil"/>
              <w:right w:val="nil"/>
            </w:tcBorders>
            <w:shd w:val="clear" w:color="auto" w:fill="FFFFFF" w:themeFill="background1"/>
            <w:vAlign w:val="center"/>
            <w:hideMark/>
          </w:tcPr>
          <w:p w14:paraId="63E4649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19</w:t>
            </w:r>
          </w:p>
        </w:tc>
        <w:tc>
          <w:tcPr>
            <w:tcW w:w="161" w:type="pct"/>
            <w:tcBorders>
              <w:top w:val="nil"/>
              <w:left w:val="nil"/>
              <w:bottom w:val="nil"/>
              <w:right w:val="nil"/>
            </w:tcBorders>
            <w:shd w:val="clear" w:color="auto" w:fill="FFFFFF" w:themeFill="background1"/>
            <w:vAlign w:val="center"/>
            <w:hideMark/>
          </w:tcPr>
          <w:p w14:paraId="4BF32DA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44</w:t>
            </w:r>
          </w:p>
        </w:tc>
        <w:tc>
          <w:tcPr>
            <w:tcW w:w="250" w:type="pct"/>
            <w:tcBorders>
              <w:top w:val="nil"/>
              <w:left w:val="nil"/>
              <w:bottom w:val="nil"/>
              <w:right w:val="nil"/>
            </w:tcBorders>
            <w:shd w:val="clear" w:color="auto" w:fill="FFFFFF" w:themeFill="background1"/>
            <w:noWrap/>
            <w:vAlign w:val="center"/>
            <w:hideMark/>
          </w:tcPr>
          <w:p w14:paraId="4B2C0A4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63</w:t>
            </w:r>
          </w:p>
        </w:tc>
        <w:tc>
          <w:tcPr>
            <w:tcW w:w="248" w:type="pct"/>
            <w:tcBorders>
              <w:top w:val="nil"/>
              <w:left w:val="nil"/>
              <w:bottom w:val="nil"/>
              <w:right w:val="nil"/>
            </w:tcBorders>
            <w:shd w:val="clear" w:color="auto" w:fill="FFFFFF" w:themeFill="background1"/>
            <w:noWrap/>
            <w:vAlign w:val="center"/>
            <w:hideMark/>
          </w:tcPr>
          <w:p w14:paraId="7392599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30.2</w:t>
            </w:r>
          </w:p>
        </w:tc>
        <w:tc>
          <w:tcPr>
            <w:tcW w:w="263" w:type="pct"/>
            <w:tcBorders>
              <w:top w:val="nil"/>
              <w:left w:val="nil"/>
              <w:bottom w:val="nil"/>
              <w:right w:val="nil"/>
            </w:tcBorders>
            <w:shd w:val="clear" w:color="auto" w:fill="FFFFFF" w:themeFill="background1"/>
            <w:noWrap/>
            <w:vAlign w:val="center"/>
            <w:hideMark/>
          </w:tcPr>
          <w:p w14:paraId="5084115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69.8</w:t>
            </w:r>
          </w:p>
        </w:tc>
        <w:tc>
          <w:tcPr>
            <w:tcW w:w="249" w:type="pct"/>
            <w:tcBorders>
              <w:top w:val="nil"/>
              <w:left w:val="nil"/>
              <w:bottom w:val="nil"/>
              <w:right w:val="single" w:sz="8" w:space="0" w:color="auto"/>
            </w:tcBorders>
            <w:shd w:val="clear" w:color="auto" w:fill="FFFFFF" w:themeFill="background1"/>
            <w:vAlign w:val="center"/>
            <w:hideMark/>
          </w:tcPr>
          <w:p w14:paraId="7599C01E" w14:textId="73EB866E"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42</w:t>
            </w:r>
          </w:p>
        </w:tc>
      </w:tr>
      <w:tr w:rsidR="00C827E3" w:rsidRPr="00435B6B" w14:paraId="26E3AD2B" w14:textId="77777777" w:rsidTr="001F4A34">
        <w:trPr>
          <w:trHeight w:val="240"/>
          <w:jc w:val="center"/>
        </w:trPr>
        <w:tc>
          <w:tcPr>
            <w:tcW w:w="968" w:type="pct"/>
            <w:tcBorders>
              <w:top w:val="nil"/>
              <w:left w:val="single" w:sz="8" w:space="0" w:color="auto"/>
              <w:bottom w:val="nil"/>
              <w:right w:val="single" w:sz="8" w:space="0" w:color="auto"/>
            </w:tcBorders>
            <w:shd w:val="clear" w:color="auto" w:fill="FFFFFF" w:themeFill="background1"/>
            <w:vAlign w:val="center"/>
            <w:hideMark/>
          </w:tcPr>
          <w:p w14:paraId="222235B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M (25-30mm)</w:t>
            </w:r>
          </w:p>
        </w:tc>
        <w:tc>
          <w:tcPr>
            <w:tcW w:w="200" w:type="pct"/>
            <w:tcBorders>
              <w:top w:val="nil"/>
              <w:left w:val="nil"/>
              <w:bottom w:val="nil"/>
              <w:right w:val="nil"/>
            </w:tcBorders>
            <w:shd w:val="clear" w:color="auto" w:fill="FFFFFF" w:themeFill="background1"/>
            <w:vAlign w:val="center"/>
            <w:hideMark/>
          </w:tcPr>
          <w:p w14:paraId="15748435"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15</w:t>
            </w:r>
          </w:p>
        </w:tc>
        <w:tc>
          <w:tcPr>
            <w:tcW w:w="161" w:type="pct"/>
            <w:tcBorders>
              <w:top w:val="nil"/>
              <w:left w:val="nil"/>
              <w:bottom w:val="nil"/>
              <w:right w:val="nil"/>
            </w:tcBorders>
            <w:shd w:val="clear" w:color="auto" w:fill="FFFFFF" w:themeFill="background1"/>
            <w:vAlign w:val="center"/>
            <w:hideMark/>
          </w:tcPr>
          <w:p w14:paraId="320091FD"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w:t>
            </w:r>
          </w:p>
        </w:tc>
        <w:tc>
          <w:tcPr>
            <w:tcW w:w="250" w:type="pct"/>
            <w:tcBorders>
              <w:top w:val="nil"/>
              <w:left w:val="nil"/>
              <w:bottom w:val="nil"/>
              <w:right w:val="nil"/>
            </w:tcBorders>
            <w:shd w:val="clear" w:color="auto" w:fill="FFFFFF" w:themeFill="background1"/>
            <w:noWrap/>
            <w:vAlign w:val="center"/>
            <w:hideMark/>
          </w:tcPr>
          <w:p w14:paraId="5AED5B3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w:t>
            </w:r>
          </w:p>
        </w:tc>
        <w:tc>
          <w:tcPr>
            <w:tcW w:w="247" w:type="pct"/>
            <w:tcBorders>
              <w:top w:val="nil"/>
              <w:left w:val="nil"/>
              <w:bottom w:val="nil"/>
              <w:right w:val="nil"/>
            </w:tcBorders>
            <w:shd w:val="clear" w:color="auto" w:fill="FFFFFF" w:themeFill="background1"/>
            <w:noWrap/>
            <w:vAlign w:val="center"/>
            <w:hideMark/>
          </w:tcPr>
          <w:p w14:paraId="5ED24C8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71.4</w:t>
            </w:r>
          </w:p>
        </w:tc>
        <w:tc>
          <w:tcPr>
            <w:tcW w:w="263" w:type="pct"/>
            <w:tcBorders>
              <w:top w:val="nil"/>
              <w:left w:val="nil"/>
              <w:bottom w:val="nil"/>
              <w:right w:val="nil"/>
            </w:tcBorders>
            <w:shd w:val="clear" w:color="auto" w:fill="FFFFFF" w:themeFill="background1"/>
            <w:noWrap/>
            <w:vAlign w:val="center"/>
            <w:hideMark/>
          </w:tcPr>
          <w:p w14:paraId="44CF1D0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28.6</w:t>
            </w:r>
          </w:p>
        </w:tc>
        <w:tc>
          <w:tcPr>
            <w:tcW w:w="249" w:type="pct"/>
            <w:tcBorders>
              <w:top w:val="nil"/>
              <w:left w:val="nil"/>
              <w:bottom w:val="nil"/>
              <w:right w:val="single" w:sz="8" w:space="0" w:color="auto"/>
            </w:tcBorders>
            <w:shd w:val="clear" w:color="auto" w:fill="FFFFFF" w:themeFill="background1"/>
            <w:vAlign w:val="center"/>
            <w:hideMark/>
          </w:tcPr>
          <w:p w14:paraId="5898852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14.0</w:t>
            </w:r>
          </w:p>
        </w:tc>
        <w:tc>
          <w:tcPr>
            <w:tcW w:w="161" w:type="pct"/>
            <w:tcBorders>
              <w:top w:val="nil"/>
              <w:left w:val="nil"/>
              <w:bottom w:val="nil"/>
              <w:right w:val="nil"/>
            </w:tcBorders>
            <w:shd w:val="clear" w:color="auto" w:fill="FFFFFF" w:themeFill="background1"/>
            <w:vAlign w:val="center"/>
            <w:hideMark/>
          </w:tcPr>
          <w:p w14:paraId="6E39288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11</w:t>
            </w:r>
          </w:p>
        </w:tc>
        <w:tc>
          <w:tcPr>
            <w:tcW w:w="161" w:type="pct"/>
            <w:tcBorders>
              <w:top w:val="nil"/>
              <w:left w:val="nil"/>
              <w:bottom w:val="nil"/>
              <w:right w:val="nil"/>
            </w:tcBorders>
            <w:shd w:val="clear" w:color="auto" w:fill="FFFFFF" w:themeFill="background1"/>
            <w:vAlign w:val="center"/>
            <w:hideMark/>
          </w:tcPr>
          <w:p w14:paraId="21D5549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20</w:t>
            </w:r>
          </w:p>
        </w:tc>
        <w:tc>
          <w:tcPr>
            <w:tcW w:w="250" w:type="pct"/>
            <w:tcBorders>
              <w:top w:val="nil"/>
              <w:left w:val="nil"/>
              <w:bottom w:val="nil"/>
              <w:right w:val="nil"/>
            </w:tcBorders>
            <w:shd w:val="clear" w:color="auto" w:fill="FFFFFF" w:themeFill="background1"/>
            <w:noWrap/>
            <w:vAlign w:val="center"/>
            <w:hideMark/>
          </w:tcPr>
          <w:p w14:paraId="101B9EBF"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31</w:t>
            </w:r>
          </w:p>
        </w:tc>
        <w:tc>
          <w:tcPr>
            <w:tcW w:w="248" w:type="pct"/>
            <w:tcBorders>
              <w:top w:val="nil"/>
              <w:left w:val="nil"/>
              <w:bottom w:val="nil"/>
              <w:right w:val="nil"/>
            </w:tcBorders>
            <w:shd w:val="clear" w:color="auto" w:fill="FFFFFF" w:themeFill="background1"/>
            <w:noWrap/>
            <w:vAlign w:val="center"/>
            <w:hideMark/>
          </w:tcPr>
          <w:p w14:paraId="0EA5B019"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35.5</w:t>
            </w:r>
          </w:p>
        </w:tc>
        <w:tc>
          <w:tcPr>
            <w:tcW w:w="263" w:type="pct"/>
            <w:tcBorders>
              <w:top w:val="nil"/>
              <w:left w:val="nil"/>
              <w:bottom w:val="nil"/>
              <w:right w:val="nil"/>
            </w:tcBorders>
            <w:shd w:val="clear" w:color="auto" w:fill="FFFFFF" w:themeFill="background1"/>
            <w:noWrap/>
            <w:vAlign w:val="center"/>
            <w:hideMark/>
          </w:tcPr>
          <w:p w14:paraId="05617718"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64.5</w:t>
            </w:r>
          </w:p>
        </w:tc>
        <w:tc>
          <w:tcPr>
            <w:tcW w:w="249" w:type="pct"/>
            <w:tcBorders>
              <w:top w:val="nil"/>
              <w:left w:val="nil"/>
              <w:bottom w:val="nil"/>
              <w:right w:val="single" w:sz="8" w:space="0" w:color="auto"/>
            </w:tcBorders>
            <w:shd w:val="clear" w:color="auto" w:fill="FFFFFF" w:themeFill="background1"/>
            <w:vAlign w:val="center"/>
            <w:hideMark/>
          </w:tcPr>
          <w:p w14:paraId="0722763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21.1</w:t>
            </w:r>
          </w:p>
        </w:tc>
        <w:tc>
          <w:tcPr>
            <w:tcW w:w="161" w:type="pct"/>
            <w:tcBorders>
              <w:top w:val="nil"/>
              <w:left w:val="nil"/>
              <w:bottom w:val="nil"/>
              <w:right w:val="nil"/>
            </w:tcBorders>
            <w:shd w:val="clear" w:color="auto" w:fill="FFFFFF" w:themeFill="background1"/>
            <w:vAlign w:val="center"/>
            <w:hideMark/>
          </w:tcPr>
          <w:p w14:paraId="501CD83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24</w:t>
            </w:r>
          </w:p>
        </w:tc>
        <w:tc>
          <w:tcPr>
            <w:tcW w:w="161" w:type="pct"/>
            <w:tcBorders>
              <w:top w:val="nil"/>
              <w:left w:val="nil"/>
              <w:bottom w:val="nil"/>
              <w:right w:val="nil"/>
            </w:tcBorders>
            <w:shd w:val="clear" w:color="auto" w:fill="FFFFFF" w:themeFill="background1"/>
            <w:vAlign w:val="center"/>
            <w:hideMark/>
          </w:tcPr>
          <w:p w14:paraId="7D9EB7F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24</w:t>
            </w:r>
          </w:p>
        </w:tc>
        <w:tc>
          <w:tcPr>
            <w:tcW w:w="250" w:type="pct"/>
            <w:tcBorders>
              <w:top w:val="nil"/>
              <w:left w:val="nil"/>
              <w:bottom w:val="nil"/>
              <w:right w:val="nil"/>
            </w:tcBorders>
            <w:shd w:val="clear" w:color="auto" w:fill="FFFFFF" w:themeFill="background1"/>
            <w:noWrap/>
            <w:vAlign w:val="center"/>
            <w:hideMark/>
          </w:tcPr>
          <w:p w14:paraId="4D03D18C"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48</w:t>
            </w:r>
          </w:p>
        </w:tc>
        <w:tc>
          <w:tcPr>
            <w:tcW w:w="248" w:type="pct"/>
            <w:tcBorders>
              <w:top w:val="nil"/>
              <w:left w:val="nil"/>
              <w:bottom w:val="nil"/>
              <w:right w:val="nil"/>
            </w:tcBorders>
            <w:shd w:val="clear" w:color="auto" w:fill="FFFFFF" w:themeFill="background1"/>
            <w:noWrap/>
            <w:vAlign w:val="center"/>
            <w:hideMark/>
          </w:tcPr>
          <w:p w14:paraId="268AD3D5" w14:textId="6C27E642"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63" w:type="pct"/>
            <w:tcBorders>
              <w:top w:val="nil"/>
              <w:left w:val="nil"/>
              <w:bottom w:val="nil"/>
              <w:right w:val="nil"/>
            </w:tcBorders>
            <w:shd w:val="clear" w:color="auto" w:fill="FFFFFF" w:themeFill="background1"/>
            <w:noWrap/>
            <w:vAlign w:val="center"/>
            <w:hideMark/>
          </w:tcPr>
          <w:p w14:paraId="36ED6267" w14:textId="4DB82CED"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50</w:t>
            </w:r>
          </w:p>
        </w:tc>
        <w:tc>
          <w:tcPr>
            <w:tcW w:w="249" w:type="pct"/>
            <w:tcBorders>
              <w:top w:val="nil"/>
              <w:left w:val="nil"/>
              <w:bottom w:val="nil"/>
              <w:right w:val="single" w:sz="8" w:space="0" w:color="auto"/>
            </w:tcBorders>
            <w:shd w:val="clear" w:color="auto" w:fill="FFFFFF" w:themeFill="background1"/>
            <w:vAlign w:val="center"/>
            <w:hideMark/>
          </w:tcPr>
          <w:p w14:paraId="4BE4E2F5" w14:textId="7CF1AEFC"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32</w:t>
            </w:r>
          </w:p>
        </w:tc>
      </w:tr>
      <w:tr w:rsidR="00C827E3" w:rsidRPr="00435B6B" w14:paraId="64B1D1F3" w14:textId="77777777" w:rsidTr="001F4A34">
        <w:trPr>
          <w:trHeight w:val="255"/>
          <w:jc w:val="center"/>
        </w:trPr>
        <w:tc>
          <w:tcPr>
            <w:tcW w:w="968" w:type="pct"/>
            <w:tcBorders>
              <w:top w:val="nil"/>
              <w:left w:val="single" w:sz="8" w:space="0" w:color="auto"/>
              <w:bottom w:val="single" w:sz="8" w:space="0" w:color="auto"/>
              <w:right w:val="single" w:sz="8" w:space="0" w:color="auto"/>
            </w:tcBorders>
            <w:shd w:val="clear" w:color="auto" w:fill="FFFFFF" w:themeFill="background1"/>
            <w:vAlign w:val="center"/>
            <w:hideMark/>
          </w:tcPr>
          <w:p w14:paraId="07770E2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L (30-45.9mm)</w:t>
            </w:r>
          </w:p>
        </w:tc>
        <w:tc>
          <w:tcPr>
            <w:tcW w:w="200" w:type="pct"/>
            <w:tcBorders>
              <w:top w:val="nil"/>
              <w:left w:val="nil"/>
              <w:bottom w:val="single" w:sz="8" w:space="0" w:color="auto"/>
              <w:right w:val="nil"/>
            </w:tcBorders>
            <w:shd w:val="clear" w:color="auto" w:fill="FFFFFF" w:themeFill="background1"/>
            <w:vAlign w:val="center"/>
            <w:hideMark/>
          </w:tcPr>
          <w:p w14:paraId="7D65FB1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101</w:t>
            </w:r>
          </w:p>
        </w:tc>
        <w:tc>
          <w:tcPr>
            <w:tcW w:w="161" w:type="pct"/>
            <w:tcBorders>
              <w:top w:val="nil"/>
              <w:left w:val="nil"/>
              <w:bottom w:val="single" w:sz="8" w:space="0" w:color="auto"/>
              <w:right w:val="nil"/>
            </w:tcBorders>
            <w:shd w:val="clear" w:color="auto" w:fill="FFFFFF" w:themeFill="background1"/>
            <w:vAlign w:val="center"/>
            <w:hideMark/>
          </w:tcPr>
          <w:p w14:paraId="4C5E081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50" w:type="pct"/>
            <w:tcBorders>
              <w:top w:val="nil"/>
              <w:left w:val="nil"/>
              <w:bottom w:val="single" w:sz="8" w:space="0" w:color="auto"/>
              <w:right w:val="nil"/>
            </w:tcBorders>
            <w:shd w:val="clear" w:color="auto" w:fill="FFFFFF" w:themeFill="background1"/>
            <w:noWrap/>
            <w:vAlign w:val="center"/>
            <w:hideMark/>
          </w:tcPr>
          <w:p w14:paraId="4E69C58E"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102</w:t>
            </w:r>
          </w:p>
        </w:tc>
        <w:tc>
          <w:tcPr>
            <w:tcW w:w="247" w:type="pct"/>
            <w:tcBorders>
              <w:top w:val="nil"/>
              <w:left w:val="nil"/>
              <w:bottom w:val="single" w:sz="8" w:space="0" w:color="auto"/>
              <w:right w:val="nil"/>
            </w:tcBorders>
            <w:shd w:val="clear" w:color="auto" w:fill="FFFFFF" w:themeFill="background1"/>
            <w:noWrap/>
            <w:vAlign w:val="center"/>
            <w:hideMark/>
          </w:tcPr>
          <w:p w14:paraId="4ACCB8F2" w14:textId="3E578443"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99</w:t>
            </w:r>
          </w:p>
        </w:tc>
        <w:tc>
          <w:tcPr>
            <w:tcW w:w="263" w:type="pct"/>
            <w:tcBorders>
              <w:top w:val="nil"/>
              <w:left w:val="nil"/>
              <w:bottom w:val="single" w:sz="8" w:space="0" w:color="auto"/>
              <w:right w:val="nil"/>
            </w:tcBorders>
            <w:shd w:val="clear" w:color="auto" w:fill="FFFFFF" w:themeFill="background1"/>
            <w:noWrap/>
            <w:vAlign w:val="center"/>
            <w:hideMark/>
          </w:tcPr>
          <w:p w14:paraId="2ADFE605" w14:textId="6469E2BE"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6A8819F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68.0</w:t>
            </w:r>
          </w:p>
        </w:tc>
        <w:tc>
          <w:tcPr>
            <w:tcW w:w="161" w:type="pct"/>
            <w:tcBorders>
              <w:top w:val="nil"/>
              <w:left w:val="nil"/>
              <w:bottom w:val="single" w:sz="8" w:space="0" w:color="auto"/>
              <w:right w:val="nil"/>
            </w:tcBorders>
            <w:shd w:val="clear" w:color="auto" w:fill="FFFFFF" w:themeFill="background1"/>
            <w:vAlign w:val="center"/>
            <w:hideMark/>
          </w:tcPr>
          <w:p w14:paraId="0258216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49</w:t>
            </w:r>
          </w:p>
        </w:tc>
        <w:tc>
          <w:tcPr>
            <w:tcW w:w="161" w:type="pct"/>
            <w:tcBorders>
              <w:top w:val="nil"/>
              <w:left w:val="nil"/>
              <w:bottom w:val="single" w:sz="8" w:space="0" w:color="auto"/>
              <w:right w:val="nil"/>
            </w:tcBorders>
            <w:shd w:val="clear" w:color="auto" w:fill="FFFFFF" w:themeFill="background1"/>
            <w:vAlign w:val="center"/>
            <w:hideMark/>
          </w:tcPr>
          <w:p w14:paraId="0A0505C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7</w:t>
            </w:r>
          </w:p>
        </w:tc>
        <w:tc>
          <w:tcPr>
            <w:tcW w:w="250" w:type="pct"/>
            <w:tcBorders>
              <w:top w:val="nil"/>
              <w:left w:val="nil"/>
              <w:bottom w:val="single" w:sz="8" w:space="0" w:color="auto"/>
              <w:right w:val="nil"/>
            </w:tcBorders>
            <w:shd w:val="clear" w:color="auto" w:fill="FFFFFF" w:themeFill="background1"/>
            <w:noWrap/>
            <w:vAlign w:val="center"/>
            <w:hideMark/>
          </w:tcPr>
          <w:p w14:paraId="7DBBECC6"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56</w:t>
            </w:r>
          </w:p>
        </w:tc>
        <w:tc>
          <w:tcPr>
            <w:tcW w:w="248" w:type="pct"/>
            <w:tcBorders>
              <w:top w:val="nil"/>
              <w:left w:val="nil"/>
              <w:bottom w:val="single" w:sz="8" w:space="0" w:color="auto"/>
              <w:right w:val="nil"/>
            </w:tcBorders>
            <w:shd w:val="clear" w:color="auto" w:fill="FFFFFF" w:themeFill="background1"/>
            <w:noWrap/>
            <w:vAlign w:val="center"/>
            <w:hideMark/>
          </w:tcPr>
          <w:p w14:paraId="2D776953"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87.5</w:t>
            </w:r>
          </w:p>
        </w:tc>
        <w:tc>
          <w:tcPr>
            <w:tcW w:w="263" w:type="pct"/>
            <w:tcBorders>
              <w:top w:val="nil"/>
              <w:left w:val="nil"/>
              <w:bottom w:val="single" w:sz="8" w:space="0" w:color="auto"/>
              <w:right w:val="nil"/>
            </w:tcBorders>
            <w:shd w:val="clear" w:color="auto" w:fill="FFFFFF" w:themeFill="background1"/>
            <w:noWrap/>
            <w:vAlign w:val="center"/>
            <w:hideMark/>
          </w:tcPr>
          <w:p w14:paraId="59105404"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12.5</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62740680"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38.1</w:t>
            </w:r>
          </w:p>
        </w:tc>
        <w:tc>
          <w:tcPr>
            <w:tcW w:w="161" w:type="pct"/>
            <w:tcBorders>
              <w:top w:val="nil"/>
              <w:left w:val="nil"/>
              <w:bottom w:val="single" w:sz="8" w:space="0" w:color="auto"/>
              <w:right w:val="nil"/>
            </w:tcBorders>
            <w:shd w:val="clear" w:color="auto" w:fill="FFFFFF" w:themeFill="background1"/>
            <w:vAlign w:val="center"/>
            <w:hideMark/>
          </w:tcPr>
          <w:p w14:paraId="182A4FAB"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20</w:t>
            </w:r>
          </w:p>
        </w:tc>
        <w:tc>
          <w:tcPr>
            <w:tcW w:w="161" w:type="pct"/>
            <w:tcBorders>
              <w:top w:val="nil"/>
              <w:left w:val="nil"/>
              <w:bottom w:val="single" w:sz="8" w:space="0" w:color="auto"/>
              <w:right w:val="nil"/>
            </w:tcBorders>
            <w:shd w:val="clear" w:color="auto" w:fill="FFFFFF" w:themeFill="background1"/>
            <w:vAlign w:val="center"/>
            <w:hideMark/>
          </w:tcPr>
          <w:p w14:paraId="2A3F0D91"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19</w:t>
            </w:r>
          </w:p>
        </w:tc>
        <w:tc>
          <w:tcPr>
            <w:tcW w:w="250" w:type="pct"/>
            <w:tcBorders>
              <w:top w:val="nil"/>
              <w:left w:val="nil"/>
              <w:bottom w:val="single" w:sz="8" w:space="0" w:color="auto"/>
              <w:right w:val="nil"/>
            </w:tcBorders>
            <w:shd w:val="clear" w:color="auto" w:fill="FFFFFF" w:themeFill="background1"/>
            <w:noWrap/>
            <w:vAlign w:val="center"/>
            <w:hideMark/>
          </w:tcPr>
          <w:p w14:paraId="4FF8413A"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39</w:t>
            </w:r>
          </w:p>
        </w:tc>
        <w:tc>
          <w:tcPr>
            <w:tcW w:w="248" w:type="pct"/>
            <w:tcBorders>
              <w:top w:val="nil"/>
              <w:left w:val="nil"/>
              <w:bottom w:val="single" w:sz="8" w:space="0" w:color="auto"/>
              <w:right w:val="nil"/>
            </w:tcBorders>
            <w:shd w:val="clear" w:color="auto" w:fill="FFFFFF" w:themeFill="background1"/>
            <w:noWrap/>
            <w:vAlign w:val="center"/>
            <w:hideMark/>
          </w:tcPr>
          <w:p w14:paraId="01EB27D7"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51.3</w:t>
            </w:r>
          </w:p>
        </w:tc>
        <w:tc>
          <w:tcPr>
            <w:tcW w:w="263" w:type="pct"/>
            <w:tcBorders>
              <w:top w:val="nil"/>
              <w:left w:val="nil"/>
              <w:bottom w:val="single" w:sz="8" w:space="0" w:color="auto"/>
              <w:right w:val="nil"/>
            </w:tcBorders>
            <w:shd w:val="clear" w:color="auto" w:fill="FFFFFF" w:themeFill="background1"/>
            <w:noWrap/>
            <w:vAlign w:val="center"/>
            <w:hideMark/>
          </w:tcPr>
          <w:p w14:paraId="35640772" w14:textId="77777777"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48.7</w:t>
            </w:r>
          </w:p>
        </w:tc>
        <w:tc>
          <w:tcPr>
            <w:tcW w:w="249" w:type="pct"/>
            <w:tcBorders>
              <w:top w:val="nil"/>
              <w:left w:val="nil"/>
              <w:bottom w:val="single" w:sz="8" w:space="0" w:color="auto"/>
              <w:right w:val="single" w:sz="8" w:space="0" w:color="auto"/>
            </w:tcBorders>
            <w:shd w:val="clear" w:color="auto" w:fill="FFFFFF" w:themeFill="background1"/>
            <w:vAlign w:val="center"/>
            <w:hideMark/>
          </w:tcPr>
          <w:p w14:paraId="597E7DED" w14:textId="5CAA849B" w:rsidR="003421D4" w:rsidRPr="009819CE" w:rsidRDefault="003421D4" w:rsidP="0083610A">
            <w:pPr>
              <w:spacing w:before="0" w:after="0" w:line="240" w:lineRule="auto"/>
              <w:jc w:val="center"/>
              <w:rPr>
                <w:rFonts w:cstheme="minorBidi"/>
                <w:color w:val="000000"/>
                <w:sz w:val="18"/>
                <w:szCs w:val="18"/>
              </w:rPr>
            </w:pPr>
            <w:r w:rsidRPr="009819CE">
              <w:rPr>
                <w:rFonts w:cstheme="minorBidi"/>
                <w:color w:val="000000"/>
                <w:sz w:val="18"/>
                <w:szCs w:val="18"/>
              </w:rPr>
              <w:t>26</w:t>
            </w:r>
          </w:p>
        </w:tc>
      </w:tr>
    </w:tbl>
    <w:p w14:paraId="5E9F88CB" w14:textId="77777777" w:rsidR="00061B48" w:rsidRPr="009819CE" w:rsidRDefault="00061B48" w:rsidP="00745500">
      <w:pPr>
        <w:pStyle w:val="Caption"/>
        <w:rPr>
          <w:rFonts w:asciiTheme="minorBidi" w:hAnsiTheme="minorBidi" w:cstheme="minorBidi"/>
          <w:b/>
          <w:bCs/>
        </w:rPr>
        <w:sectPr w:rsidR="00061B48" w:rsidRPr="009819CE" w:rsidSect="003A7A28">
          <w:pgSz w:w="16838" w:h="11906" w:orient="landscape" w:code="9"/>
          <w:pgMar w:top="1440" w:right="1440" w:bottom="1440" w:left="1440" w:header="340" w:footer="340" w:gutter="0"/>
          <w:cols w:space="708"/>
          <w:docGrid w:linePitch="360"/>
        </w:sectPr>
      </w:pPr>
    </w:p>
    <w:p w14:paraId="5D0CA743" w14:textId="73F9265B" w:rsidR="00745500" w:rsidRPr="009819CE" w:rsidRDefault="00745500" w:rsidP="00745500">
      <w:pPr>
        <w:pStyle w:val="Caption"/>
        <w:rPr>
          <w:rFonts w:asciiTheme="minorBidi" w:hAnsiTheme="minorBidi" w:cstheme="minorBidi"/>
        </w:rPr>
      </w:pPr>
      <w:bookmarkStart w:id="788" w:name="_Ref171358046"/>
      <w:bookmarkStart w:id="789" w:name="_Toc204106772"/>
      <w:r w:rsidRPr="009819CE">
        <w:rPr>
          <w:rFonts w:asciiTheme="minorBidi" w:hAnsiTheme="minorBidi" w:cstheme="minorBidi"/>
          <w:b/>
          <w:bCs/>
        </w:rPr>
        <w:t xml:space="preserve">Table S2. </w:t>
      </w:r>
      <w:r w:rsidRPr="009819CE">
        <w:rPr>
          <w:rFonts w:asciiTheme="minorBidi" w:hAnsiTheme="minorBidi" w:cstheme="minorBidi"/>
          <w:b/>
          <w:bCs/>
        </w:rPr>
        <w:fldChar w:fldCharType="begin"/>
      </w:r>
      <w:r w:rsidRPr="009819CE">
        <w:rPr>
          <w:rFonts w:asciiTheme="minorBidi" w:hAnsiTheme="minorBidi" w:cstheme="minorBidi"/>
          <w:b/>
          <w:bCs/>
        </w:rPr>
        <w:instrText xml:space="preserve"> SEQ Table_S2. \* ARABIC </w:instrText>
      </w:r>
      <w:r w:rsidRPr="009819CE">
        <w:rPr>
          <w:rFonts w:asciiTheme="minorBidi" w:hAnsiTheme="minorBidi" w:cstheme="minorBidi"/>
          <w:b/>
          <w:bCs/>
        </w:rPr>
        <w:fldChar w:fldCharType="separate"/>
      </w:r>
      <w:r w:rsidR="008549FC">
        <w:rPr>
          <w:rFonts w:asciiTheme="minorBidi" w:hAnsiTheme="minorBidi" w:cstheme="minorBidi"/>
          <w:b/>
          <w:bCs/>
          <w:noProof/>
        </w:rPr>
        <w:t>3</w:t>
      </w:r>
      <w:r w:rsidRPr="009819CE">
        <w:rPr>
          <w:rFonts w:asciiTheme="minorBidi" w:hAnsiTheme="minorBidi" w:cstheme="minorBidi"/>
          <w:b/>
          <w:bCs/>
        </w:rPr>
        <w:fldChar w:fldCharType="end"/>
      </w:r>
      <w:bookmarkEnd w:id="788"/>
      <w:r w:rsidR="00364615" w:rsidRPr="009819CE">
        <w:rPr>
          <w:rFonts w:asciiTheme="minorBidi" w:hAnsiTheme="minorBidi" w:cstheme="minorBidi"/>
        </w:rPr>
        <w:t xml:space="preserve"> Other regression models used in this study. Binomial Generalised Linear Models and cumulative link mixed models.</w:t>
      </w:r>
      <w:bookmarkEnd w:id="789"/>
    </w:p>
    <w:tbl>
      <w:tblPr>
        <w:tblStyle w:val="TableGridLight1"/>
        <w:tblW w:w="5000" w:type="pct"/>
        <w:tblInd w:w="0" w:type="dxa"/>
        <w:tblLook w:val="04A0" w:firstRow="1" w:lastRow="0" w:firstColumn="1" w:lastColumn="0" w:noHBand="0" w:noVBand="1"/>
      </w:tblPr>
      <w:tblGrid>
        <w:gridCol w:w="5602"/>
        <w:gridCol w:w="2446"/>
        <w:gridCol w:w="1414"/>
        <w:gridCol w:w="982"/>
        <w:gridCol w:w="1197"/>
        <w:gridCol w:w="1414"/>
        <w:gridCol w:w="893"/>
      </w:tblGrid>
      <w:tr w:rsidR="00330FD4" w:rsidRPr="00435B6B" w14:paraId="644194FD" w14:textId="77777777" w:rsidTr="007D6607">
        <w:trPr>
          <w:trHeight w:val="282"/>
        </w:trPr>
        <w:tc>
          <w:tcPr>
            <w:tcW w:w="2008" w:type="pct"/>
            <w:noWrap/>
            <w:hideMark/>
          </w:tcPr>
          <w:p w14:paraId="4D6E6E22" w14:textId="77777777" w:rsidR="00330FD4" w:rsidRPr="009819CE" w:rsidRDefault="00330FD4" w:rsidP="00330FD4">
            <w:pPr>
              <w:spacing w:before="0" w:after="0" w:line="240" w:lineRule="auto"/>
              <w:jc w:val="left"/>
              <w:rPr>
                <w:rFonts w:cstheme="minorBidi"/>
                <w:b/>
                <w:bCs/>
                <w:color w:val="000000"/>
                <w:sz w:val="22"/>
                <w:szCs w:val="22"/>
                <w:lang w:val="en-GB"/>
              </w:rPr>
            </w:pPr>
            <w:bookmarkStart w:id="790" w:name="_Ref138092922"/>
            <w:r w:rsidRPr="009819CE">
              <w:rPr>
                <w:rFonts w:cstheme="minorBidi"/>
                <w:b/>
                <w:bCs/>
                <w:color w:val="000000"/>
                <w:sz w:val="22"/>
                <w:szCs w:val="22"/>
                <w:lang w:val="en-GB"/>
              </w:rPr>
              <w:t xml:space="preserve">Cumulative link mixed model </w:t>
            </w:r>
          </w:p>
          <w:p w14:paraId="2083F06F"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 xml:space="preserve"> (Body-colour infection ) family="binomial"</w:t>
            </w:r>
          </w:p>
        </w:tc>
        <w:tc>
          <w:tcPr>
            <w:tcW w:w="877" w:type="pct"/>
            <w:hideMark/>
          </w:tcPr>
          <w:p w14:paraId="00ABA340" w14:textId="77777777" w:rsidR="00330FD4" w:rsidRPr="009819CE" w:rsidRDefault="00330FD4" w:rsidP="00330FD4">
            <w:pPr>
              <w:spacing w:before="0" w:after="0" w:line="240" w:lineRule="auto"/>
              <w:jc w:val="center"/>
              <w:rPr>
                <w:rFonts w:cstheme="minorBidi"/>
                <w:b/>
                <w:bCs/>
                <w:color w:val="000000"/>
                <w:sz w:val="22"/>
                <w:szCs w:val="22"/>
                <w:lang w:val="en-GB"/>
              </w:rPr>
            </w:pPr>
            <w:r w:rsidRPr="009819CE">
              <w:rPr>
                <w:rFonts w:cstheme="minorBidi"/>
                <w:b/>
                <w:bCs/>
                <w:color w:val="000000"/>
                <w:sz w:val="22"/>
                <w:szCs w:val="22"/>
                <w:lang w:val="en-GB"/>
              </w:rPr>
              <w:t>Factors</w:t>
            </w:r>
          </w:p>
        </w:tc>
        <w:tc>
          <w:tcPr>
            <w:tcW w:w="507" w:type="pct"/>
            <w:noWrap/>
            <w:hideMark/>
          </w:tcPr>
          <w:p w14:paraId="53A28852" w14:textId="77777777" w:rsidR="00330FD4" w:rsidRPr="009819CE" w:rsidRDefault="00330FD4" w:rsidP="00330FD4">
            <w:pPr>
              <w:spacing w:before="0" w:after="0" w:line="240" w:lineRule="auto"/>
              <w:jc w:val="center"/>
              <w:rPr>
                <w:rFonts w:cstheme="minorBidi"/>
                <w:b/>
                <w:bCs/>
                <w:color w:val="000000"/>
                <w:sz w:val="22"/>
                <w:szCs w:val="22"/>
                <w:lang w:val="en-GB"/>
              </w:rPr>
            </w:pPr>
            <w:r w:rsidRPr="009819CE">
              <w:rPr>
                <w:rFonts w:cstheme="minorBidi"/>
                <w:b/>
                <w:bCs/>
                <w:color w:val="000000"/>
                <w:sz w:val="22"/>
                <w:szCs w:val="22"/>
                <w:lang w:val="en-GB"/>
              </w:rPr>
              <w:t>Estimate</w:t>
            </w:r>
          </w:p>
        </w:tc>
        <w:tc>
          <w:tcPr>
            <w:tcW w:w="352" w:type="pct"/>
            <w:noWrap/>
            <w:hideMark/>
          </w:tcPr>
          <w:p w14:paraId="1D5482DD" w14:textId="77777777" w:rsidR="00330FD4" w:rsidRPr="009819CE" w:rsidRDefault="00330FD4" w:rsidP="00330FD4">
            <w:pPr>
              <w:spacing w:before="0" w:after="0" w:line="240" w:lineRule="auto"/>
              <w:jc w:val="center"/>
              <w:rPr>
                <w:rFonts w:cstheme="minorBidi"/>
                <w:b/>
                <w:bCs/>
                <w:color w:val="333333"/>
                <w:sz w:val="22"/>
                <w:szCs w:val="22"/>
                <w:lang w:val="en-GB"/>
              </w:rPr>
            </w:pPr>
            <w:r w:rsidRPr="009819CE">
              <w:rPr>
                <w:rFonts w:cstheme="minorBidi"/>
                <w:b/>
                <w:bCs/>
                <w:color w:val="333333"/>
                <w:sz w:val="22"/>
                <w:szCs w:val="22"/>
                <w:lang w:val="en-GB"/>
              </w:rPr>
              <w:t>SE</w:t>
            </w:r>
          </w:p>
        </w:tc>
        <w:tc>
          <w:tcPr>
            <w:tcW w:w="429" w:type="pct"/>
            <w:noWrap/>
            <w:hideMark/>
          </w:tcPr>
          <w:p w14:paraId="4E2D2BC1" w14:textId="77777777" w:rsidR="00330FD4" w:rsidRPr="009819CE" w:rsidRDefault="00330FD4" w:rsidP="00330FD4">
            <w:pPr>
              <w:spacing w:before="0" w:after="0" w:line="240" w:lineRule="auto"/>
              <w:jc w:val="center"/>
              <w:rPr>
                <w:rFonts w:cstheme="minorBidi"/>
                <w:b/>
                <w:bCs/>
                <w:color w:val="333333"/>
                <w:sz w:val="22"/>
                <w:szCs w:val="22"/>
                <w:lang w:val="en-GB"/>
              </w:rPr>
            </w:pPr>
            <w:r w:rsidRPr="009819CE">
              <w:rPr>
                <w:rFonts w:cstheme="minorBidi"/>
                <w:b/>
                <w:bCs/>
                <w:color w:val="333333"/>
                <w:sz w:val="22"/>
                <w:szCs w:val="22"/>
                <w:lang w:val="en-GB"/>
              </w:rPr>
              <w:t>z value</w:t>
            </w:r>
          </w:p>
        </w:tc>
        <w:tc>
          <w:tcPr>
            <w:tcW w:w="507" w:type="pct"/>
            <w:noWrap/>
            <w:hideMark/>
          </w:tcPr>
          <w:p w14:paraId="35F4724A" w14:textId="77777777" w:rsidR="00330FD4" w:rsidRPr="009819CE" w:rsidRDefault="00330FD4" w:rsidP="00330FD4">
            <w:pPr>
              <w:spacing w:before="0" w:after="0" w:line="240" w:lineRule="auto"/>
              <w:jc w:val="left"/>
              <w:rPr>
                <w:rFonts w:cstheme="minorBidi"/>
                <w:b/>
                <w:bCs/>
                <w:color w:val="333333"/>
                <w:sz w:val="22"/>
                <w:szCs w:val="22"/>
                <w:lang w:val="en-GB"/>
              </w:rPr>
            </w:pPr>
            <w:r w:rsidRPr="009819CE">
              <w:rPr>
                <w:rFonts w:cstheme="minorBidi"/>
                <w:b/>
                <w:bCs/>
                <w:color w:val="333333"/>
                <w:sz w:val="22"/>
                <w:szCs w:val="22"/>
                <w:lang w:val="en-GB"/>
              </w:rPr>
              <w:t>Pr(&gt;|z|)</w:t>
            </w:r>
          </w:p>
        </w:tc>
        <w:tc>
          <w:tcPr>
            <w:tcW w:w="320" w:type="pct"/>
            <w:noWrap/>
            <w:hideMark/>
          </w:tcPr>
          <w:p w14:paraId="7DD15F4A" w14:textId="77777777" w:rsidR="00330FD4" w:rsidRPr="009819CE" w:rsidRDefault="00330FD4" w:rsidP="00330FD4">
            <w:pPr>
              <w:spacing w:before="0" w:after="0" w:line="240" w:lineRule="auto"/>
              <w:jc w:val="left"/>
              <w:rPr>
                <w:rFonts w:cstheme="minorBidi"/>
                <w:b/>
                <w:bCs/>
                <w:color w:val="333333"/>
                <w:sz w:val="22"/>
                <w:szCs w:val="22"/>
                <w:lang w:val="en-GB"/>
              </w:rPr>
            </w:pPr>
            <w:r w:rsidRPr="009819CE">
              <w:rPr>
                <w:rFonts w:cstheme="minorBidi"/>
                <w:b/>
                <w:bCs/>
                <w:color w:val="333333"/>
                <w:sz w:val="22"/>
                <w:szCs w:val="22"/>
                <w:lang w:val="en-GB"/>
              </w:rPr>
              <w:t>Sign</w:t>
            </w:r>
          </w:p>
        </w:tc>
      </w:tr>
      <w:tr w:rsidR="00330FD4" w:rsidRPr="00435B6B" w14:paraId="51A128C4" w14:textId="77777777" w:rsidTr="007D6607">
        <w:trPr>
          <w:trHeight w:val="282"/>
        </w:trPr>
        <w:tc>
          <w:tcPr>
            <w:tcW w:w="2008" w:type="pct"/>
            <w:noWrap/>
            <w:hideMark/>
          </w:tcPr>
          <w:p w14:paraId="42FD9889"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clm1 bc ~CL + sex  + ms + som+  date</w:t>
            </w:r>
          </w:p>
        </w:tc>
        <w:tc>
          <w:tcPr>
            <w:tcW w:w="877" w:type="pct"/>
            <w:noWrap/>
            <w:hideMark/>
          </w:tcPr>
          <w:p w14:paraId="15D18575"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CL</w:t>
            </w:r>
          </w:p>
        </w:tc>
        <w:tc>
          <w:tcPr>
            <w:tcW w:w="507" w:type="pct"/>
            <w:hideMark/>
          </w:tcPr>
          <w:p w14:paraId="21F98A22"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-0.231</w:t>
            </w:r>
          </w:p>
        </w:tc>
        <w:tc>
          <w:tcPr>
            <w:tcW w:w="352" w:type="pct"/>
            <w:hideMark/>
          </w:tcPr>
          <w:p w14:paraId="7D350FC4"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0.057</w:t>
            </w:r>
          </w:p>
        </w:tc>
        <w:tc>
          <w:tcPr>
            <w:tcW w:w="429" w:type="pct"/>
            <w:hideMark/>
          </w:tcPr>
          <w:p w14:paraId="77AAD51A"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-4.063</w:t>
            </w:r>
          </w:p>
        </w:tc>
        <w:tc>
          <w:tcPr>
            <w:tcW w:w="507" w:type="pct"/>
            <w:noWrap/>
            <w:hideMark/>
          </w:tcPr>
          <w:p w14:paraId="6FBE2CDF"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4.85E-05</w:t>
            </w:r>
          </w:p>
        </w:tc>
        <w:tc>
          <w:tcPr>
            <w:tcW w:w="320" w:type="pct"/>
            <w:noWrap/>
            <w:hideMark/>
          </w:tcPr>
          <w:p w14:paraId="6DCC4C89"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45969C02" w14:textId="77777777" w:rsidTr="007D6607">
        <w:trPr>
          <w:trHeight w:val="282"/>
        </w:trPr>
        <w:tc>
          <w:tcPr>
            <w:tcW w:w="2008" w:type="pct"/>
            <w:noWrap/>
            <w:hideMark/>
          </w:tcPr>
          <w:p w14:paraId="2EA5D0EE"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clm2  bc~ CL  + sex + ms+  data</w:t>
            </w:r>
          </w:p>
        </w:tc>
        <w:tc>
          <w:tcPr>
            <w:tcW w:w="877" w:type="pct"/>
            <w:noWrap/>
            <w:hideMark/>
          </w:tcPr>
          <w:p w14:paraId="2A4CF941"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CL</w:t>
            </w:r>
          </w:p>
        </w:tc>
        <w:tc>
          <w:tcPr>
            <w:tcW w:w="507" w:type="pct"/>
            <w:hideMark/>
          </w:tcPr>
          <w:p w14:paraId="6602EE54"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-0.169</w:t>
            </w:r>
          </w:p>
        </w:tc>
        <w:tc>
          <w:tcPr>
            <w:tcW w:w="352" w:type="pct"/>
            <w:hideMark/>
          </w:tcPr>
          <w:p w14:paraId="197E03CE"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0.037</w:t>
            </w:r>
          </w:p>
        </w:tc>
        <w:tc>
          <w:tcPr>
            <w:tcW w:w="429" w:type="pct"/>
            <w:noWrap/>
            <w:hideMark/>
          </w:tcPr>
          <w:p w14:paraId="1264AFE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-4.557</w:t>
            </w:r>
          </w:p>
        </w:tc>
        <w:tc>
          <w:tcPr>
            <w:tcW w:w="507" w:type="pct"/>
            <w:noWrap/>
            <w:hideMark/>
          </w:tcPr>
          <w:p w14:paraId="3BBD285B"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5.19E-06</w:t>
            </w:r>
          </w:p>
        </w:tc>
        <w:tc>
          <w:tcPr>
            <w:tcW w:w="320" w:type="pct"/>
            <w:noWrap/>
            <w:hideMark/>
          </w:tcPr>
          <w:p w14:paraId="62C1F310"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5BCD2FD5" w14:textId="77777777" w:rsidTr="007D6607">
        <w:trPr>
          <w:trHeight w:val="282"/>
        </w:trPr>
        <w:tc>
          <w:tcPr>
            <w:tcW w:w="2008" w:type="pct"/>
            <w:noWrap/>
            <w:hideMark/>
          </w:tcPr>
          <w:p w14:paraId="3DEBC17B"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clm3  bc~ CL + sex   date</w:t>
            </w:r>
          </w:p>
        </w:tc>
        <w:tc>
          <w:tcPr>
            <w:tcW w:w="877" w:type="pct"/>
            <w:noWrap/>
            <w:hideMark/>
          </w:tcPr>
          <w:p w14:paraId="186A73D6"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CL</w:t>
            </w:r>
          </w:p>
        </w:tc>
        <w:tc>
          <w:tcPr>
            <w:tcW w:w="507" w:type="pct"/>
            <w:hideMark/>
          </w:tcPr>
          <w:p w14:paraId="46EA9EA6"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-0.167</w:t>
            </w:r>
          </w:p>
        </w:tc>
        <w:tc>
          <w:tcPr>
            <w:tcW w:w="352" w:type="pct"/>
            <w:hideMark/>
          </w:tcPr>
          <w:p w14:paraId="31D53234"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0.037</w:t>
            </w:r>
          </w:p>
        </w:tc>
        <w:tc>
          <w:tcPr>
            <w:tcW w:w="429" w:type="pct"/>
            <w:hideMark/>
          </w:tcPr>
          <w:p w14:paraId="5AF3BDF2"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-4.549</w:t>
            </w:r>
          </w:p>
        </w:tc>
        <w:tc>
          <w:tcPr>
            <w:tcW w:w="507" w:type="pct"/>
            <w:noWrap/>
            <w:hideMark/>
          </w:tcPr>
          <w:p w14:paraId="53CACA93"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5.38E-06</w:t>
            </w:r>
          </w:p>
        </w:tc>
        <w:tc>
          <w:tcPr>
            <w:tcW w:w="320" w:type="pct"/>
            <w:noWrap/>
            <w:hideMark/>
          </w:tcPr>
          <w:p w14:paraId="25CA4531"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7E4ABE4E" w14:textId="77777777" w:rsidTr="007D6607">
        <w:trPr>
          <w:trHeight w:val="282"/>
        </w:trPr>
        <w:tc>
          <w:tcPr>
            <w:tcW w:w="2008" w:type="pct"/>
            <w:noWrap/>
            <w:hideMark/>
          </w:tcPr>
          <w:p w14:paraId="69B0DFB5"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 xml:space="preserve">clm4 bc ~ CL + date </w:t>
            </w:r>
          </w:p>
        </w:tc>
        <w:tc>
          <w:tcPr>
            <w:tcW w:w="877" w:type="pct"/>
            <w:noWrap/>
            <w:hideMark/>
          </w:tcPr>
          <w:p w14:paraId="41832115"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CL</w:t>
            </w:r>
          </w:p>
        </w:tc>
        <w:tc>
          <w:tcPr>
            <w:tcW w:w="507" w:type="pct"/>
            <w:hideMark/>
          </w:tcPr>
          <w:p w14:paraId="5E9905E8"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-0.175</w:t>
            </w:r>
          </w:p>
        </w:tc>
        <w:tc>
          <w:tcPr>
            <w:tcW w:w="352" w:type="pct"/>
            <w:hideMark/>
          </w:tcPr>
          <w:p w14:paraId="2F8488F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0.036</w:t>
            </w:r>
          </w:p>
        </w:tc>
        <w:tc>
          <w:tcPr>
            <w:tcW w:w="429" w:type="pct"/>
            <w:hideMark/>
          </w:tcPr>
          <w:p w14:paraId="0A877D52"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-4.873</w:t>
            </w:r>
          </w:p>
        </w:tc>
        <w:tc>
          <w:tcPr>
            <w:tcW w:w="507" w:type="pct"/>
            <w:noWrap/>
            <w:hideMark/>
          </w:tcPr>
          <w:p w14:paraId="0ADF637F"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1.10E-06</w:t>
            </w:r>
          </w:p>
        </w:tc>
        <w:tc>
          <w:tcPr>
            <w:tcW w:w="320" w:type="pct"/>
            <w:noWrap/>
            <w:hideMark/>
          </w:tcPr>
          <w:p w14:paraId="36F8B529"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42491370" w14:textId="77777777" w:rsidTr="007D6607">
        <w:trPr>
          <w:trHeight w:val="282"/>
        </w:trPr>
        <w:tc>
          <w:tcPr>
            <w:tcW w:w="2008" w:type="pct"/>
            <w:noWrap/>
          </w:tcPr>
          <w:p w14:paraId="1473C36E"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 xml:space="preserve">Cumulative link mixed model </w:t>
            </w:r>
          </w:p>
          <w:p w14:paraId="381D07A3"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b/>
                <w:bCs/>
                <w:color w:val="000000"/>
                <w:sz w:val="22"/>
                <w:szCs w:val="22"/>
                <w:lang w:val="en-GB"/>
              </w:rPr>
              <w:t xml:space="preserve"> (Pleopod infection) </w:t>
            </w:r>
          </w:p>
        </w:tc>
        <w:tc>
          <w:tcPr>
            <w:tcW w:w="877" w:type="pct"/>
            <w:noWrap/>
          </w:tcPr>
          <w:p w14:paraId="4CBAC64A"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b/>
                <w:bCs/>
                <w:color w:val="000000"/>
                <w:sz w:val="22"/>
                <w:szCs w:val="22"/>
                <w:lang w:val="en-GB"/>
              </w:rPr>
              <w:t>Factors</w:t>
            </w:r>
          </w:p>
        </w:tc>
        <w:tc>
          <w:tcPr>
            <w:tcW w:w="507" w:type="pct"/>
          </w:tcPr>
          <w:p w14:paraId="3455E910"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b/>
                <w:bCs/>
                <w:color w:val="000000"/>
                <w:sz w:val="22"/>
                <w:szCs w:val="22"/>
                <w:lang w:val="en-GB"/>
              </w:rPr>
              <w:t>Estimate</w:t>
            </w:r>
          </w:p>
        </w:tc>
        <w:tc>
          <w:tcPr>
            <w:tcW w:w="352" w:type="pct"/>
          </w:tcPr>
          <w:p w14:paraId="5EDADF08"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b/>
                <w:bCs/>
                <w:color w:val="333333"/>
                <w:sz w:val="22"/>
                <w:szCs w:val="22"/>
                <w:lang w:val="en-GB"/>
              </w:rPr>
              <w:t>SE</w:t>
            </w:r>
          </w:p>
        </w:tc>
        <w:tc>
          <w:tcPr>
            <w:tcW w:w="429" w:type="pct"/>
          </w:tcPr>
          <w:p w14:paraId="0DAB160B"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b/>
                <w:bCs/>
                <w:color w:val="333333"/>
                <w:sz w:val="22"/>
                <w:szCs w:val="22"/>
                <w:lang w:val="en-GB"/>
              </w:rPr>
              <w:t>z value</w:t>
            </w:r>
          </w:p>
        </w:tc>
        <w:tc>
          <w:tcPr>
            <w:tcW w:w="507" w:type="pct"/>
            <w:noWrap/>
          </w:tcPr>
          <w:p w14:paraId="77795931" w14:textId="77777777" w:rsidR="00330FD4" w:rsidRPr="009819CE" w:rsidRDefault="00330FD4" w:rsidP="00330FD4">
            <w:pPr>
              <w:spacing w:before="0" w:after="0" w:line="240" w:lineRule="auto"/>
              <w:jc w:val="right"/>
              <w:rPr>
                <w:rFonts w:cstheme="minorBidi"/>
                <w:color w:val="000000"/>
                <w:sz w:val="22"/>
                <w:lang w:val="en-GB"/>
              </w:rPr>
            </w:pPr>
            <w:r w:rsidRPr="009819CE">
              <w:rPr>
                <w:rFonts w:cstheme="minorBidi"/>
                <w:b/>
                <w:bCs/>
                <w:color w:val="333333"/>
                <w:sz w:val="22"/>
                <w:szCs w:val="22"/>
                <w:lang w:val="en-GB"/>
              </w:rPr>
              <w:t>Pr(&gt;|z|)</w:t>
            </w:r>
          </w:p>
        </w:tc>
        <w:tc>
          <w:tcPr>
            <w:tcW w:w="320" w:type="pct"/>
            <w:noWrap/>
          </w:tcPr>
          <w:p w14:paraId="055FABA9"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b/>
                <w:bCs/>
                <w:color w:val="333333"/>
                <w:sz w:val="22"/>
                <w:szCs w:val="22"/>
                <w:lang w:val="en-GB"/>
              </w:rPr>
              <w:t>Sign</w:t>
            </w:r>
          </w:p>
        </w:tc>
      </w:tr>
      <w:tr w:rsidR="00330FD4" w:rsidRPr="00435B6B" w14:paraId="1841EB68" w14:textId="77777777" w:rsidTr="007D6607">
        <w:trPr>
          <w:trHeight w:val="282"/>
        </w:trPr>
        <w:tc>
          <w:tcPr>
            <w:tcW w:w="2008" w:type="pct"/>
            <w:noWrap/>
          </w:tcPr>
          <w:p w14:paraId="087B8D80"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clm1  ps~ CL +  sex + ms + som+ date</w:t>
            </w:r>
          </w:p>
        </w:tc>
        <w:tc>
          <w:tcPr>
            <w:tcW w:w="877" w:type="pct"/>
            <w:noWrap/>
          </w:tcPr>
          <w:p w14:paraId="06F02ADD"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sexM</w:t>
            </w:r>
          </w:p>
        </w:tc>
        <w:tc>
          <w:tcPr>
            <w:tcW w:w="507" w:type="pct"/>
          </w:tcPr>
          <w:p w14:paraId="46A91F13"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-1.009</w:t>
            </w:r>
          </w:p>
        </w:tc>
        <w:tc>
          <w:tcPr>
            <w:tcW w:w="352" w:type="pct"/>
          </w:tcPr>
          <w:p w14:paraId="6119FDFB"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0.182</w:t>
            </w:r>
          </w:p>
        </w:tc>
        <w:tc>
          <w:tcPr>
            <w:tcW w:w="429" w:type="pct"/>
          </w:tcPr>
          <w:p w14:paraId="3D317D78"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-5.546</w:t>
            </w:r>
          </w:p>
        </w:tc>
        <w:tc>
          <w:tcPr>
            <w:tcW w:w="507" w:type="pct"/>
            <w:noWrap/>
          </w:tcPr>
          <w:p w14:paraId="2EA74507" w14:textId="77777777" w:rsidR="00330FD4" w:rsidRPr="009819CE" w:rsidRDefault="00330FD4" w:rsidP="00330FD4">
            <w:pPr>
              <w:spacing w:before="0" w:after="0" w:line="240" w:lineRule="auto"/>
              <w:jc w:val="right"/>
              <w:rPr>
                <w:rFonts w:cstheme="minorBidi"/>
                <w:color w:val="000000"/>
                <w:sz w:val="22"/>
                <w:lang w:val="en-GB"/>
              </w:rPr>
            </w:pPr>
            <w:r w:rsidRPr="009819CE">
              <w:rPr>
                <w:rFonts w:cstheme="minorBidi"/>
                <w:color w:val="000000"/>
                <w:sz w:val="22"/>
                <w:szCs w:val="22"/>
                <w:lang w:val="en-GB"/>
              </w:rPr>
              <w:t>2.92E-08</w:t>
            </w:r>
          </w:p>
        </w:tc>
        <w:tc>
          <w:tcPr>
            <w:tcW w:w="320" w:type="pct"/>
            <w:noWrap/>
          </w:tcPr>
          <w:p w14:paraId="620FEE9D"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w:t>
            </w:r>
          </w:p>
        </w:tc>
      </w:tr>
      <w:tr w:rsidR="00330FD4" w:rsidRPr="00435B6B" w14:paraId="240DDBE8" w14:textId="77777777" w:rsidTr="007D6607">
        <w:trPr>
          <w:trHeight w:val="282"/>
        </w:trPr>
        <w:tc>
          <w:tcPr>
            <w:tcW w:w="2008" w:type="pct"/>
            <w:noWrap/>
          </w:tcPr>
          <w:p w14:paraId="33F0BD9D"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clm2  ps~  sex + ms+ som + date</w:t>
            </w:r>
          </w:p>
        </w:tc>
        <w:tc>
          <w:tcPr>
            <w:tcW w:w="877" w:type="pct"/>
            <w:noWrap/>
          </w:tcPr>
          <w:p w14:paraId="35A6F8CB"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sexM</w:t>
            </w:r>
          </w:p>
        </w:tc>
        <w:tc>
          <w:tcPr>
            <w:tcW w:w="507" w:type="pct"/>
          </w:tcPr>
          <w:p w14:paraId="61A34588"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-0.949</w:t>
            </w:r>
          </w:p>
        </w:tc>
        <w:tc>
          <w:tcPr>
            <w:tcW w:w="352" w:type="pct"/>
          </w:tcPr>
          <w:p w14:paraId="4FAF5EAD"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0.174</w:t>
            </w:r>
          </w:p>
        </w:tc>
        <w:tc>
          <w:tcPr>
            <w:tcW w:w="429" w:type="pct"/>
          </w:tcPr>
          <w:p w14:paraId="15CFFEBF"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-5.471</w:t>
            </w:r>
          </w:p>
        </w:tc>
        <w:tc>
          <w:tcPr>
            <w:tcW w:w="507" w:type="pct"/>
            <w:noWrap/>
          </w:tcPr>
          <w:p w14:paraId="676CAE71" w14:textId="77777777" w:rsidR="00330FD4" w:rsidRPr="009819CE" w:rsidRDefault="00330FD4" w:rsidP="00330FD4">
            <w:pPr>
              <w:spacing w:before="0" w:after="0" w:line="240" w:lineRule="auto"/>
              <w:jc w:val="right"/>
              <w:rPr>
                <w:rFonts w:cstheme="minorBidi"/>
                <w:color w:val="000000"/>
                <w:sz w:val="22"/>
                <w:lang w:val="en-GB"/>
              </w:rPr>
            </w:pPr>
            <w:r w:rsidRPr="009819CE">
              <w:rPr>
                <w:rFonts w:cstheme="minorBidi"/>
                <w:color w:val="000000"/>
                <w:sz w:val="22"/>
                <w:szCs w:val="22"/>
                <w:lang w:val="en-GB"/>
              </w:rPr>
              <w:t>4.48E-08</w:t>
            </w:r>
          </w:p>
        </w:tc>
        <w:tc>
          <w:tcPr>
            <w:tcW w:w="320" w:type="pct"/>
            <w:noWrap/>
          </w:tcPr>
          <w:p w14:paraId="4F6D02B6"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w:t>
            </w:r>
          </w:p>
        </w:tc>
      </w:tr>
      <w:tr w:rsidR="00330FD4" w:rsidRPr="00435B6B" w14:paraId="1F1268C6" w14:textId="77777777" w:rsidTr="007D6607">
        <w:trPr>
          <w:trHeight w:val="282"/>
        </w:trPr>
        <w:tc>
          <w:tcPr>
            <w:tcW w:w="2008" w:type="pct"/>
            <w:noWrap/>
          </w:tcPr>
          <w:p w14:paraId="42BA1A50"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clm3 ps~  sex + ms+  date</w:t>
            </w:r>
          </w:p>
        </w:tc>
        <w:tc>
          <w:tcPr>
            <w:tcW w:w="877" w:type="pct"/>
            <w:noWrap/>
          </w:tcPr>
          <w:p w14:paraId="78905064"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sexM</w:t>
            </w:r>
          </w:p>
        </w:tc>
        <w:tc>
          <w:tcPr>
            <w:tcW w:w="507" w:type="pct"/>
          </w:tcPr>
          <w:p w14:paraId="53690AA8"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-0.921</w:t>
            </w:r>
          </w:p>
        </w:tc>
        <w:tc>
          <w:tcPr>
            <w:tcW w:w="352" w:type="pct"/>
          </w:tcPr>
          <w:p w14:paraId="7FCAB275"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0.172</w:t>
            </w:r>
          </w:p>
        </w:tc>
        <w:tc>
          <w:tcPr>
            <w:tcW w:w="429" w:type="pct"/>
          </w:tcPr>
          <w:p w14:paraId="1E2D3422"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-5.360</w:t>
            </w:r>
          </w:p>
        </w:tc>
        <w:tc>
          <w:tcPr>
            <w:tcW w:w="507" w:type="pct"/>
            <w:noWrap/>
          </w:tcPr>
          <w:p w14:paraId="4735B91E" w14:textId="77777777" w:rsidR="00330FD4" w:rsidRPr="009819CE" w:rsidRDefault="00330FD4" w:rsidP="00330FD4">
            <w:pPr>
              <w:spacing w:before="0" w:after="0" w:line="240" w:lineRule="auto"/>
              <w:jc w:val="right"/>
              <w:rPr>
                <w:rFonts w:cstheme="minorBidi"/>
                <w:color w:val="000000"/>
                <w:sz w:val="22"/>
                <w:lang w:val="en-GB"/>
              </w:rPr>
            </w:pPr>
            <w:r w:rsidRPr="009819CE">
              <w:rPr>
                <w:rFonts w:cstheme="minorBidi"/>
                <w:color w:val="000000"/>
                <w:sz w:val="22"/>
                <w:szCs w:val="22"/>
                <w:lang w:val="en-GB"/>
              </w:rPr>
              <w:t>8.31E-08</w:t>
            </w:r>
          </w:p>
        </w:tc>
        <w:tc>
          <w:tcPr>
            <w:tcW w:w="320" w:type="pct"/>
            <w:noWrap/>
          </w:tcPr>
          <w:p w14:paraId="730B99A6"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w:t>
            </w:r>
          </w:p>
        </w:tc>
      </w:tr>
      <w:tr w:rsidR="00330FD4" w:rsidRPr="00435B6B" w14:paraId="415D857A" w14:textId="77777777" w:rsidTr="007D6607">
        <w:trPr>
          <w:trHeight w:val="282"/>
        </w:trPr>
        <w:tc>
          <w:tcPr>
            <w:tcW w:w="2008" w:type="pct"/>
            <w:noWrap/>
          </w:tcPr>
          <w:p w14:paraId="204A23F6"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clm4 ps~ sex + date</w:t>
            </w:r>
          </w:p>
        </w:tc>
        <w:tc>
          <w:tcPr>
            <w:tcW w:w="877" w:type="pct"/>
            <w:noWrap/>
          </w:tcPr>
          <w:p w14:paraId="57525867"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sexM</w:t>
            </w:r>
          </w:p>
        </w:tc>
        <w:tc>
          <w:tcPr>
            <w:tcW w:w="507" w:type="pct"/>
          </w:tcPr>
          <w:p w14:paraId="0D163E90"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-0.927</w:t>
            </w:r>
          </w:p>
        </w:tc>
        <w:tc>
          <w:tcPr>
            <w:tcW w:w="352" w:type="pct"/>
          </w:tcPr>
          <w:p w14:paraId="296AD74E"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0.171</w:t>
            </w:r>
          </w:p>
        </w:tc>
        <w:tc>
          <w:tcPr>
            <w:tcW w:w="429" w:type="pct"/>
          </w:tcPr>
          <w:p w14:paraId="02D29FA2" w14:textId="77777777" w:rsidR="00330FD4" w:rsidRPr="009819CE" w:rsidRDefault="00330FD4" w:rsidP="00330FD4">
            <w:pPr>
              <w:spacing w:before="0" w:after="0" w:line="240" w:lineRule="auto"/>
              <w:jc w:val="center"/>
              <w:rPr>
                <w:rFonts w:cstheme="minorBidi"/>
                <w:color w:val="000000"/>
                <w:sz w:val="22"/>
                <w:lang w:val="en-GB"/>
              </w:rPr>
            </w:pPr>
            <w:r w:rsidRPr="009819CE">
              <w:rPr>
                <w:rFonts w:cstheme="minorBidi"/>
                <w:color w:val="000000"/>
                <w:sz w:val="22"/>
                <w:szCs w:val="22"/>
                <w:lang w:val="en-GB"/>
              </w:rPr>
              <w:t>-5.435</w:t>
            </w:r>
          </w:p>
        </w:tc>
        <w:tc>
          <w:tcPr>
            <w:tcW w:w="507" w:type="pct"/>
            <w:noWrap/>
          </w:tcPr>
          <w:p w14:paraId="6542CA96" w14:textId="77777777" w:rsidR="00330FD4" w:rsidRPr="009819CE" w:rsidRDefault="00330FD4" w:rsidP="00330FD4">
            <w:pPr>
              <w:spacing w:before="0" w:after="0" w:line="240" w:lineRule="auto"/>
              <w:jc w:val="right"/>
              <w:rPr>
                <w:rFonts w:cstheme="minorBidi"/>
                <w:color w:val="000000"/>
                <w:sz w:val="22"/>
                <w:lang w:val="en-GB"/>
              </w:rPr>
            </w:pPr>
            <w:r w:rsidRPr="009819CE">
              <w:rPr>
                <w:rFonts w:cstheme="minorBidi"/>
                <w:color w:val="000000"/>
                <w:sz w:val="22"/>
                <w:szCs w:val="22"/>
                <w:lang w:val="en-GB"/>
              </w:rPr>
              <w:t>5.49E-08</w:t>
            </w:r>
          </w:p>
        </w:tc>
        <w:tc>
          <w:tcPr>
            <w:tcW w:w="320" w:type="pct"/>
            <w:noWrap/>
          </w:tcPr>
          <w:p w14:paraId="4E62DA4C" w14:textId="77777777" w:rsidR="00330FD4" w:rsidRPr="009819CE" w:rsidRDefault="00330FD4" w:rsidP="00330FD4">
            <w:pPr>
              <w:spacing w:before="0" w:after="0" w:line="240" w:lineRule="auto"/>
              <w:jc w:val="left"/>
              <w:rPr>
                <w:rFonts w:cstheme="minorBidi"/>
                <w:color w:val="000000"/>
                <w:sz w:val="22"/>
                <w:lang w:val="en-GB"/>
              </w:rPr>
            </w:pPr>
            <w:r w:rsidRPr="009819CE">
              <w:rPr>
                <w:rFonts w:cstheme="minorBidi"/>
                <w:color w:val="000000"/>
                <w:sz w:val="22"/>
                <w:szCs w:val="22"/>
                <w:lang w:val="en-GB"/>
              </w:rPr>
              <w:t>***</w:t>
            </w:r>
          </w:p>
        </w:tc>
      </w:tr>
      <w:tr w:rsidR="00330FD4" w:rsidRPr="00435B6B" w14:paraId="3C87DB99" w14:textId="77777777" w:rsidTr="007D6607">
        <w:trPr>
          <w:trHeight w:val="269"/>
        </w:trPr>
        <w:tc>
          <w:tcPr>
            <w:tcW w:w="2008" w:type="pct"/>
            <w:noWrap/>
            <w:hideMark/>
          </w:tcPr>
          <w:p w14:paraId="3BD67A6E"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 xml:space="preserve">Binomial Generalised Linear Models </w:t>
            </w:r>
          </w:p>
          <w:p w14:paraId="2E239106"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(Pleopod infection) family="binomial"</w:t>
            </w:r>
          </w:p>
        </w:tc>
        <w:tc>
          <w:tcPr>
            <w:tcW w:w="877" w:type="pct"/>
            <w:hideMark/>
          </w:tcPr>
          <w:p w14:paraId="257F5C76" w14:textId="77777777" w:rsidR="00330FD4" w:rsidRPr="009819CE" w:rsidRDefault="00330FD4" w:rsidP="00330FD4">
            <w:pPr>
              <w:spacing w:before="0" w:after="0" w:line="240" w:lineRule="auto"/>
              <w:jc w:val="center"/>
              <w:rPr>
                <w:rFonts w:cstheme="minorBidi"/>
                <w:b/>
                <w:bCs/>
                <w:color w:val="000000"/>
                <w:sz w:val="22"/>
                <w:szCs w:val="22"/>
                <w:lang w:val="en-GB"/>
              </w:rPr>
            </w:pPr>
            <w:r w:rsidRPr="009819CE">
              <w:rPr>
                <w:rFonts w:cstheme="minorBidi"/>
                <w:b/>
                <w:bCs/>
                <w:color w:val="000000"/>
                <w:sz w:val="22"/>
                <w:szCs w:val="22"/>
                <w:lang w:val="en-GB"/>
              </w:rPr>
              <w:t>Factors</w:t>
            </w:r>
          </w:p>
        </w:tc>
        <w:tc>
          <w:tcPr>
            <w:tcW w:w="507" w:type="pct"/>
            <w:noWrap/>
            <w:hideMark/>
          </w:tcPr>
          <w:p w14:paraId="220AE712" w14:textId="77777777" w:rsidR="00330FD4" w:rsidRPr="009819CE" w:rsidRDefault="00330FD4" w:rsidP="00330FD4">
            <w:pPr>
              <w:spacing w:before="0" w:after="0" w:line="240" w:lineRule="auto"/>
              <w:jc w:val="center"/>
              <w:rPr>
                <w:rFonts w:cstheme="minorBidi"/>
                <w:b/>
                <w:bCs/>
                <w:color w:val="000000"/>
                <w:sz w:val="22"/>
                <w:szCs w:val="22"/>
                <w:lang w:val="en-GB"/>
              </w:rPr>
            </w:pPr>
            <w:r w:rsidRPr="009819CE">
              <w:rPr>
                <w:rFonts w:cstheme="minorBidi"/>
                <w:b/>
                <w:bCs/>
                <w:color w:val="000000"/>
                <w:sz w:val="22"/>
                <w:szCs w:val="22"/>
                <w:lang w:val="en-GB"/>
              </w:rPr>
              <w:t>Estimate</w:t>
            </w:r>
          </w:p>
        </w:tc>
        <w:tc>
          <w:tcPr>
            <w:tcW w:w="352" w:type="pct"/>
            <w:noWrap/>
            <w:hideMark/>
          </w:tcPr>
          <w:p w14:paraId="174F6CF7" w14:textId="77777777" w:rsidR="00330FD4" w:rsidRPr="009819CE" w:rsidRDefault="00330FD4" w:rsidP="00330FD4">
            <w:pPr>
              <w:spacing w:before="0" w:after="0" w:line="240" w:lineRule="auto"/>
              <w:jc w:val="center"/>
              <w:rPr>
                <w:rFonts w:cstheme="minorBidi"/>
                <w:b/>
                <w:bCs/>
                <w:color w:val="333333"/>
                <w:sz w:val="22"/>
                <w:szCs w:val="22"/>
                <w:lang w:val="en-GB"/>
              </w:rPr>
            </w:pPr>
            <w:r w:rsidRPr="009819CE">
              <w:rPr>
                <w:rFonts w:cstheme="minorBidi"/>
                <w:b/>
                <w:bCs/>
                <w:color w:val="333333"/>
                <w:sz w:val="22"/>
                <w:szCs w:val="22"/>
                <w:lang w:val="en-GB"/>
              </w:rPr>
              <w:t>SE</w:t>
            </w:r>
          </w:p>
        </w:tc>
        <w:tc>
          <w:tcPr>
            <w:tcW w:w="429" w:type="pct"/>
            <w:noWrap/>
            <w:hideMark/>
          </w:tcPr>
          <w:p w14:paraId="5D1407E3" w14:textId="77777777" w:rsidR="00330FD4" w:rsidRPr="009819CE" w:rsidRDefault="00330FD4" w:rsidP="00330FD4">
            <w:pPr>
              <w:spacing w:before="0" w:after="0" w:line="240" w:lineRule="auto"/>
              <w:jc w:val="center"/>
              <w:rPr>
                <w:rFonts w:cstheme="minorBidi"/>
                <w:b/>
                <w:bCs/>
                <w:color w:val="333333"/>
                <w:sz w:val="22"/>
                <w:szCs w:val="22"/>
                <w:lang w:val="en-GB"/>
              </w:rPr>
            </w:pPr>
            <w:r w:rsidRPr="009819CE">
              <w:rPr>
                <w:rFonts w:cstheme="minorBidi"/>
                <w:b/>
                <w:bCs/>
                <w:color w:val="333333"/>
                <w:sz w:val="22"/>
                <w:szCs w:val="22"/>
                <w:lang w:val="en-GB"/>
              </w:rPr>
              <w:t>z value</w:t>
            </w:r>
          </w:p>
        </w:tc>
        <w:tc>
          <w:tcPr>
            <w:tcW w:w="507" w:type="pct"/>
            <w:noWrap/>
            <w:hideMark/>
          </w:tcPr>
          <w:p w14:paraId="647F663B" w14:textId="77777777" w:rsidR="00330FD4" w:rsidRPr="009819CE" w:rsidRDefault="00330FD4" w:rsidP="00330FD4">
            <w:pPr>
              <w:spacing w:before="0" w:after="0" w:line="240" w:lineRule="auto"/>
              <w:jc w:val="center"/>
              <w:rPr>
                <w:rFonts w:cstheme="minorBidi"/>
                <w:b/>
                <w:bCs/>
                <w:color w:val="333333"/>
                <w:sz w:val="22"/>
                <w:szCs w:val="22"/>
                <w:lang w:val="en-GB"/>
              </w:rPr>
            </w:pPr>
            <w:r w:rsidRPr="009819CE">
              <w:rPr>
                <w:rFonts w:cstheme="minorBidi"/>
                <w:b/>
                <w:bCs/>
                <w:color w:val="333333"/>
                <w:sz w:val="22"/>
                <w:szCs w:val="22"/>
                <w:lang w:val="en-GB"/>
              </w:rPr>
              <w:t>Pr(&gt;|z|)</w:t>
            </w:r>
          </w:p>
        </w:tc>
        <w:tc>
          <w:tcPr>
            <w:tcW w:w="320" w:type="pct"/>
            <w:noWrap/>
            <w:hideMark/>
          </w:tcPr>
          <w:p w14:paraId="0681CC50" w14:textId="77777777" w:rsidR="00330FD4" w:rsidRPr="009819CE" w:rsidRDefault="00330FD4" w:rsidP="00330FD4">
            <w:pPr>
              <w:spacing w:before="0" w:after="0" w:line="240" w:lineRule="auto"/>
              <w:jc w:val="left"/>
              <w:rPr>
                <w:rFonts w:cstheme="minorBidi"/>
                <w:b/>
                <w:bCs/>
                <w:color w:val="333333"/>
                <w:sz w:val="22"/>
                <w:szCs w:val="22"/>
                <w:lang w:val="en-GB"/>
              </w:rPr>
            </w:pPr>
            <w:r w:rsidRPr="009819CE">
              <w:rPr>
                <w:rFonts w:cstheme="minorBidi"/>
                <w:b/>
                <w:bCs/>
                <w:color w:val="333333"/>
                <w:sz w:val="22"/>
                <w:szCs w:val="22"/>
                <w:lang w:val="en-GB"/>
              </w:rPr>
              <w:t>Sign</w:t>
            </w:r>
          </w:p>
        </w:tc>
      </w:tr>
      <w:tr w:rsidR="00330FD4" w:rsidRPr="00435B6B" w14:paraId="7F8D3399" w14:textId="77777777" w:rsidTr="007D6607">
        <w:trPr>
          <w:trHeight w:val="282"/>
        </w:trPr>
        <w:tc>
          <w:tcPr>
            <w:tcW w:w="2008" w:type="pct"/>
            <w:hideMark/>
          </w:tcPr>
          <w:p w14:paraId="430061CF"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glm1</w:t>
            </w:r>
          </w:p>
        </w:tc>
        <w:tc>
          <w:tcPr>
            <w:tcW w:w="877" w:type="pct"/>
            <w:noWrap/>
            <w:hideMark/>
          </w:tcPr>
          <w:p w14:paraId="00B52B41"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(Intercept)</w:t>
            </w:r>
          </w:p>
        </w:tc>
        <w:tc>
          <w:tcPr>
            <w:tcW w:w="507" w:type="pct"/>
            <w:noWrap/>
            <w:hideMark/>
          </w:tcPr>
          <w:p w14:paraId="4149030D"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-2.049</w:t>
            </w:r>
          </w:p>
        </w:tc>
        <w:tc>
          <w:tcPr>
            <w:tcW w:w="352" w:type="pct"/>
            <w:noWrap/>
            <w:hideMark/>
          </w:tcPr>
          <w:p w14:paraId="2906EA88"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0.541</w:t>
            </w:r>
          </w:p>
        </w:tc>
        <w:tc>
          <w:tcPr>
            <w:tcW w:w="429" w:type="pct"/>
            <w:noWrap/>
            <w:hideMark/>
          </w:tcPr>
          <w:p w14:paraId="09603C6D"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-3.790</w:t>
            </w:r>
          </w:p>
        </w:tc>
        <w:tc>
          <w:tcPr>
            <w:tcW w:w="507" w:type="pct"/>
            <w:noWrap/>
            <w:hideMark/>
          </w:tcPr>
          <w:p w14:paraId="4BFACCFB"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0.000151</w:t>
            </w:r>
          </w:p>
        </w:tc>
        <w:tc>
          <w:tcPr>
            <w:tcW w:w="320" w:type="pct"/>
            <w:noWrap/>
            <w:hideMark/>
          </w:tcPr>
          <w:p w14:paraId="6F96998A"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76DAA8FC" w14:textId="77777777" w:rsidTr="007D6607">
        <w:trPr>
          <w:trHeight w:val="390"/>
        </w:trPr>
        <w:tc>
          <w:tcPr>
            <w:tcW w:w="2008" w:type="pct"/>
            <w:hideMark/>
          </w:tcPr>
          <w:p w14:paraId="67016725"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ps2 ~CL+  sex + ms + som + date</w:t>
            </w:r>
          </w:p>
        </w:tc>
        <w:tc>
          <w:tcPr>
            <w:tcW w:w="877" w:type="pct"/>
            <w:noWrap/>
            <w:hideMark/>
          </w:tcPr>
          <w:p w14:paraId="3BDEEC4E"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sexM</w:t>
            </w:r>
          </w:p>
        </w:tc>
        <w:tc>
          <w:tcPr>
            <w:tcW w:w="507" w:type="pct"/>
            <w:noWrap/>
            <w:hideMark/>
          </w:tcPr>
          <w:p w14:paraId="721C3B75"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-1.013</w:t>
            </w:r>
          </w:p>
        </w:tc>
        <w:tc>
          <w:tcPr>
            <w:tcW w:w="352" w:type="pct"/>
            <w:noWrap/>
            <w:hideMark/>
          </w:tcPr>
          <w:p w14:paraId="4021F083"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0.181</w:t>
            </w:r>
          </w:p>
        </w:tc>
        <w:tc>
          <w:tcPr>
            <w:tcW w:w="429" w:type="pct"/>
            <w:noWrap/>
            <w:hideMark/>
          </w:tcPr>
          <w:p w14:paraId="7114B8EA"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-5.596</w:t>
            </w:r>
          </w:p>
        </w:tc>
        <w:tc>
          <w:tcPr>
            <w:tcW w:w="507" w:type="pct"/>
            <w:noWrap/>
            <w:hideMark/>
          </w:tcPr>
          <w:p w14:paraId="4306D55B"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2.19E-08</w:t>
            </w:r>
          </w:p>
        </w:tc>
        <w:tc>
          <w:tcPr>
            <w:tcW w:w="320" w:type="pct"/>
            <w:noWrap/>
            <w:hideMark/>
          </w:tcPr>
          <w:p w14:paraId="7833D0B5"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40ABC476" w14:textId="77777777" w:rsidTr="007D6607">
        <w:trPr>
          <w:trHeight w:val="269"/>
        </w:trPr>
        <w:tc>
          <w:tcPr>
            <w:tcW w:w="2008" w:type="pct"/>
            <w:noWrap/>
            <w:hideMark/>
          </w:tcPr>
          <w:p w14:paraId="3D91C7DA"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 xml:space="preserve">glm2 </w:t>
            </w:r>
          </w:p>
        </w:tc>
        <w:tc>
          <w:tcPr>
            <w:tcW w:w="877" w:type="pct"/>
            <w:noWrap/>
            <w:hideMark/>
          </w:tcPr>
          <w:p w14:paraId="1CACDD3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(Intercept)</w:t>
            </w:r>
          </w:p>
        </w:tc>
        <w:tc>
          <w:tcPr>
            <w:tcW w:w="507" w:type="pct"/>
            <w:noWrap/>
            <w:hideMark/>
          </w:tcPr>
          <w:p w14:paraId="2EAFA42E"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-1.426</w:t>
            </w:r>
          </w:p>
        </w:tc>
        <w:tc>
          <w:tcPr>
            <w:tcW w:w="352" w:type="pct"/>
            <w:noWrap/>
            <w:hideMark/>
          </w:tcPr>
          <w:p w14:paraId="233A55B3"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0.368</w:t>
            </w:r>
          </w:p>
        </w:tc>
        <w:tc>
          <w:tcPr>
            <w:tcW w:w="429" w:type="pct"/>
            <w:noWrap/>
            <w:hideMark/>
          </w:tcPr>
          <w:p w14:paraId="0FF67777"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-3.876</w:t>
            </w:r>
          </w:p>
        </w:tc>
        <w:tc>
          <w:tcPr>
            <w:tcW w:w="507" w:type="pct"/>
            <w:noWrap/>
            <w:hideMark/>
          </w:tcPr>
          <w:p w14:paraId="7D51D5FC"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1.06E-04</w:t>
            </w:r>
          </w:p>
        </w:tc>
        <w:tc>
          <w:tcPr>
            <w:tcW w:w="320" w:type="pct"/>
            <w:noWrap/>
            <w:hideMark/>
          </w:tcPr>
          <w:p w14:paraId="478B28DF"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07605060" w14:textId="77777777" w:rsidTr="007D6607">
        <w:trPr>
          <w:trHeight w:val="336"/>
        </w:trPr>
        <w:tc>
          <w:tcPr>
            <w:tcW w:w="2008" w:type="pct"/>
            <w:hideMark/>
          </w:tcPr>
          <w:p w14:paraId="189CA75B"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ps2 ~  sex + ms + som + date</w:t>
            </w:r>
          </w:p>
        </w:tc>
        <w:tc>
          <w:tcPr>
            <w:tcW w:w="877" w:type="pct"/>
            <w:noWrap/>
            <w:hideMark/>
          </w:tcPr>
          <w:p w14:paraId="4CCD0248"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sexM</w:t>
            </w:r>
          </w:p>
        </w:tc>
        <w:tc>
          <w:tcPr>
            <w:tcW w:w="507" w:type="pct"/>
            <w:noWrap/>
            <w:hideMark/>
          </w:tcPr>
          <w:p w14:paraId="6FDD7525"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-0.935</w:t>
            </w:r>
          </w:p>
        </w:tc>
        <w:tc>
          <w:tcPr>
            <w:tcW w:w="352" w:type="pct"/>
            <w:noWrap/>
            <w:hideMark/>
          </w:tcPr>
          <w:p w14:paraId="1DE4095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0.172</w:t>
            </w:r>
          </w:p>
        </w:tc>
        <w:tc>
          <w:tcPr>
            <w:tcW w:w="429" w:type="pct"/>
            <w:noWrap/>
            <w:hideMark/>
          </w:tcPr>
          <w:p w14:paraId="50476D61"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-5.425</w:t>
            </w:r>
          </w:p>
        </w:tc>
        <w:tc>
          <w:tcPr>
            <w:tcW w:w="507" w:type="pct"/>
            <w:noWrap/>
            <w:hideMark/>
          </w:tcPr>
          <w:p w14:paraId="5F3BF81B"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5.78E-08</w:t>
            </w:r>
          </w:p>
        </w:tc>
        <w:tc>
          <w:tcPr>
            <w:tcW w:w="320" w:type="pct"/>
            <w:noWrap/>
            <w:hideMark/>
          </w:tcPr>
          <w:p w14:paraId="1AAA03CB"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55FA4BFF" w14:textId="77777777" w:rsidTr="007D6607">
        <w:trPr>
          <w:trHeight w:val="269"/>
        </w:trPr>
        <w:tc>
          <w:tcPr>
            <w:tcW w:w="2008" w:type="pct"/>
            <w:noWrap/>
            <w:hideMark/>
          </w:tcPr>
          <w:p w14:paraId="14F82D3F"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 xml:space="preserve">glm3 </w:t>
            </w:r>
          </w:p>
        </w:tc>
        <w:tc>
          <w:tcPr>
            <w:tcW w:w="877" w:type="pct"/>
            <w:noWrap/>
            <w:hideMark/>
          </w:tcPr>
          <w:p w14:paraId="0FEC907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(Intercept)</w:t>
            </w:r>
          </w:p>
        </w:tc>
        <w:tc>
          <w:tcPr>
            <w:tcW w:w="507" w:type="pct"/>
            <w:noWrap/>
            <w:hideMark/>
          </w:tcPr>
          <w:p w14:paraId="016F297C"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-1.636</w:t>
            </w:r>
          </w:p>
        </w:tc>
        <w:tc>
          <w:tcPr>
            <w:tcW w:w="352" w:type="pct"/>
            <w:noWrap/>
            <w:hideMark/>
          </w:tcPr>
          <w:p w14:paraId="20971E04"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0.316</w:t>
            </w:r>
          </w:p>
        </w:tc>
        <w:tc>
          <w:tcPr>
            <w:tcW w:w="429" w:type="pct"/>
            <w:noWrap/>
            <w:hideMark/>
          </w:tcPr>
          <w:p w14:paraId="60673A1F"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-5.171</w:t>
            </w:r>
          </w:p>
        </w:tc>
        <w:tc>
          <w:tcPr>
            <w:tcW w:w="507" w:type="pct"/>
            <w:noWrap/>
            <w:hideMark/>
          </w:tcPr>
          <w:p w14:paraId="732DA537"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2.32E-07</w:t>
            </w:r>
          </w:p>
        </w:tc>
        <w:tc>
          <w:tcPr>
            <w:tcW w:w="320" w:type="pct"/>
            <w:noWrap/>
            <w:hideMark/>
          </w:tcPr>
          <w:p w14:paraId="3928315B"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1A991D36" w14:textId="77777777" w:rsidTr="007D6607">
        <w:trPr>
          <w:trHeight w:val="282"/>
        </w:trPr>
        <w:tc>
          <w:tcPr>
            <w:tcW w:w="2008" w:type="pct"/>
            <w:noWrap/>
            <w:hideMark/>
          </w:tcPr>
          <w:p w14:paraId="7E424A9A"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ps2 ~  sex + ms + date</w:t>
            </w:r>
          </w:p>
        </w:tc>
        <w:tc>
          <w:tcPr>
            <w:tcW w:w="877" w:type="pct"/>
            <w:noWrap/>
            <w:hideMark/>
          </w:tcPr>
          <w:p w14:paraId="5034F566"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sexM</w:t>
            </w:r>
          </w:p>
        </w:tc>
        <w:tc>
          <w:tcPr>
            <w:tcW w:w="507" w:type="pct"/>
            <w:noWrap/>
            <w:hideMark/>
          </w:tcPr>
          <w:p w14:paraId="1AB722D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-0.910</w:t>
            </w:r>
          </w:p>
        </w:tc>
        <w:tc>
          <w:tcPr>
            <w:tcW w:w="352" w:type="pct"/>
            <w:noWrap/>
            <w:hideMark/>
          </w:tcPr>
          <w:p w14:paraId="7EC09BAC"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0.171</w:t>
            </w:r>
          </w:p>
        </w:tc>
        <w:tc>
          <w:tcPr>
            <w:tcW w:w="429" w:type="pct"/>
            <w:noWrap/>
            <w:hideMark/>
          </w:tcPr>
          <w:p w14:paraId="3E210235"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-5.330</w:t>
            </w:r>
          </w:p>
        </w:tc>
        <w:tc>
          <w:tcPr>
            <w:tcW w:w="507" w:type="pct"/>
            <w:noWrap/>
            <w:hideMark/>
          </w:tcPr>
          <w:p w14:paraId="135E7450"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9.82E-08</w:t>
            </w:r>
          </w:p>
        </w:tc>
        <w:tc>
          <w:tcPr>
            <w:tcW w:w="320" w:type="pct"/>
            <w:noWrap/>
            <w:hideMark/>
          </w:tcPr>
          <w:p w14:paraId="29A0D85C"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1EBC751B" w14:textId="77777777" w:rsidTr="007D6607">
        <w:trPr>
          <w:trHeight w:val="269"/>
        </w:trPr>
        <w:tc>
          <w:tcPr>
            <w:tcW w:w="2008" w:type="pct"/>
            <w:noWrap/>
            <w:hideMark/>
          </w:tcPr>
          <w:p w14:paraId="7F0267A5"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 xml:space="preserve">glm4 </w:t>
            </w:r>
          </w:p>
        </w:tc>
        <w:tc>
          <w:tcPr>
            <w:tcW w:w="877" w:type="pct"/>
            <w:noWrap/>
            <w:hideMark/>
          </w:tcPr>
          <w:p w14:paraId="1A4F2CA4"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(Intercept)</w:t>
            </w:r>
          </w:p>
        </w:tc>
        <w:tc>
          <w:tcPr>
            <w:tcW w:w="507" w:type="pct"/>
            <w:hideMark/>
          </w:tcPr>
          <w:p w14:paraId="6A704141"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-1.715</w:t>
            </w:r>
          </w:p>
        </w:tc>
        <w:tc>
          <w:tcPr>
            <w:tcW w:w="352" w:type="pct"/>
            <w:hideMark/>
          </w:tcPr>
          <w:p w14:paraId="6F8444DC"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0.276</w:t>
            </w:r>
          </w:p>
        </w:tc>
        <w:tc>
          <w:tcPr>
            <w:tcW w:w="429" w:type="pct"/>
            <w:hideMark/>
          </w:tcPr>
          <w:p w14:paraId="40529B7E"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-6.218</w:t>
            </w:r>
          </w:p>
        </w:tc>
        <w:tc>
          <w:tcPr>
            <w:tcW w:w="507" w:type="pct"/>
            <w:noWrap/>
            <w:hideMark/>
          </w:tcPr>
          <w:p w14:paraId="3C23F615"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5.02E-10</w:t>
            </w:r>
          </w:p>
        </w:tc>
        <w:tc>
          <w:tcPr>
            <w:tcW w:w="320" w:type="pct"/>
            <w:noWrap/>
            <w:hideMark/>
          </w:tcPr>
          <w:p w14:paraId="4AA45E24"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50C1688C" w14:textId="77777777" w:rsidTr="007D6607">
        <w:trPr>
          <w:trHeight w:val="282"/>
        </w:trPr>
        <w:tc>
          <w:tcPr>
            <w:tcW w:w="2008" w:type="pct"/>
            <w:noWrap/>
            <w:hideMark/>
          </w:tcPr>
          <w:p w14:paraId="3EE5411C"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ps2 ~  sex +  date</w:t>
            </w:r>
          </w:p>
        </w:tc>
        <w:tc>
          <w:tcPr>
            <w:tcW w:w="877" w:type="pct"/>
            <w:noWrap/>
            <w:hideMark/>
          </w:tcPr>
          <w:p w14:paraId="7BFFA0C4"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sexM</w:t>
            </w:r>
          </w:p>
        </w:tc>
        <w:tc>
          <w:tcPr>
            <w:tcW w:w="507" w:type="pct"/>
            <w:hideMark/>
          </w:tcPr>
          <w:p w14:paraId="18C777FE"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-0.918</w:t>
            </w:r>
          </w:p>
        </w:tc>
        <w:tc>
          <w:tcPr>
            <w:tcW w:w="352" w:type="pct"/>
            <w:hideMark/>
          </w:tcPr>
          <w:p w14:paraId="3752F742"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0.170</w:t>
            </w:r>
          </w:p>
        </w:tc>
        <w:tc>
          <w:tcPr>
            <w:tcW w:w="429" w:type="pct"/>
            <w:hideMark/>
          </w:tcPr>
          <w:p w14:paraId="04E46A5C"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-5.416</w:t>
            </w:r>
          </w:p>
        </w:tc>
        <w:tc>
          <w:tcPr>
            <w:tcW w:w="507" w:type="pct"/>
            <w:noWrap/>
            <w:hideMark/>
          </w:tcPr>
          <w:p w14:paraId="49D0F48F"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6.10E-08</w:t>
            </w:r>
          </w:p>
        </w:tc>
        <w:tc>
          <w:tcPr>
            <w:tcW w:w="320" w:type="pct"/>
            <w:noWrap/>
            <w:hideMark/>
          </w:tcPr>
          <w:p w14:paraId="7042E112"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7141DB3F" w14:textId="77777777" w:rsidTr="007D6607">
        <w:trPr>
          <w:trHeight w:val="282"/>
        </w:trPr>
        <w:tc>
          <w:tcPr>
            <w:tcW w:w="2008" w:type="pct"/>
            <w:noWrap/>
            <w:hideMark/>
          </w:tcPr>
          <w:p w14:paraId="26D4AA30" w14:textId="77777777" w:rsidR="00330FD4" w:rsidRPr="009819CE" w:rsidRDefault="00330FD4" w:rsidP="00330FD4">
            <w:pPr>
              <w:spacing w:before="0" w:after="0" w:line="240" w:lineRule="auto"/>
              <w:jc w:val="left"/>
              <w:rPr>
                <w:rFonts w:cstheme="minorBidi"/>
                <w:b/>
                <w:bCs/>
                <w:color w:val="000000"/>
                <w:sz w:val="22"/>
                <w:szCs w:val="22"/>
                <w:lang w:val="en-GB"/>
              </w:rPr>
            </w:pPr>
            <w:r w:rsidRPr="009819CE">
              <w:rPr>
                <w:rFonts w:cstheme="minorBidi"/>
                <w:b/>
                <w:bCs/>
                <w:color w:val="000000"/>
                <w:sz w:val="22"/>
                <w:szCs w:val="22"/>
                <w:lang w:val="en-GB"/>
              </w:rPr>
              <w:t>glm5 ps2 ~ ms + date</w:t>
            </w:r>
          </w:p>
        </w:tc>
        <w:tc>
          <w:tcPr>
            <w:tcW w:w="877" w:type="pct"/>
            <w:noWrap/>
            <w:hideMark/>
          </w:tcPr>
          <w:p w14:paraId="4791B96C"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(Intercept)</w:t>
            </w:r>
          </w:p>
        </w:tc>
        <w:tc>
          <w:tcPr>
            <w:tcW w:w="507" w:type="pct"/>
            <w:hideMark/>
          </w:tcPr>
          <w:p w14:paraId="3C8330BD"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-1.919</w:t>
            </w:r>
          </w:p>
        </w:tc>
        <w:tc>
          <w:tcPr>
            <w:tcW w:w="352" w:type="pct"/>
            <w:hideMark/>
          </w:tcPr>
          <w:p w14:paraId="0FF18799"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0.297</w:t>
            </w:r>
          </w:p>
        </w:tc>
        <w:tc>
          <w:tcPr>
            <w:tcW w:w="429" w:type="pct"/>
            <w:hideMark/>
          </w:tcPr>
          <w:p w14:paraId="3FEBB041" w14:textId="77777777" w:rsidR="00330FD4" w:rsidRPr="009819CE" w:rsidRDefault="00330FD4" w:rsidP="00330FD4">
            <w:pPr>
              <w:spacing w:before="0" w:after="0" w:line="240" w:lineRule="auto"/>
              <w:jc w:val="center"/>
              <w:rPr>
                <w:rFonts w:cstheme="minorBidi"/>
                <w:color w:val="000000"/>
                <w:sz w:val="22"/>
                <w:szCs w:val="22"/>
                <w:lang w:val="en-GB"/>
              </w:rPr>
            </w:pPr>
            <w:r w:rsidRPr="009819CE">
              <w:rPr>
                <w:rFonts w:cstheme="minorBidi"/>
                <w:color w:val="000000"/>
                <w:sz w:val="22"/>
                <w:szCs w:val="22"/>
                <w:lang w:val="en-GB"/>
              </w:rPr>
              <w:t>-6.466</w:t>
            </w:r>
          </w:p>
        </w:tc>
        <w:tc>
          <w:tcPr>
            <w:tcW w:w="507" w:type="pct"/>
            <w:noWrap/>
            <w:hideMark/>
          </w:tcPr>
          <w:p w14:paraId="4FD585E1" w14:textId="77777777" w:rsidR="00330FD4" w:rsidRPr="009819CE" w:rsidRDefault="00330FD4" w:rsidP="00330FD4">
            <w:pPr>
              <w:spacing w:before="0" w:after="0" w:line="240" w:lineRule="auto"/>
              <w:jc w:val="right"/>
              <w:rPr>
                <w:rFonts w:cstheme="minorBidi"/>
                <w:color w:val="000000"/>
                <w:sz w:val="22"/>
                <w:szCs w:val="22"/>
                <w:lang w:val="en-GB"/>
              </w:rPr>
            </w:pPr>
            <w:r w:rsidRPr="009819CE">
              <w:rPr>
                <w:rFonts w:cstheme="minorBidi"/>
                <w:color w:val="000000"/>
                <w:sz w:val="22"/>
                <w:szCs w:val="22"/>
                <w:lang w:val="en-GB"/>
              </w:rPr>
              <w:t>1.01E-10</w:t>
            </w:r>
          </w:p>
        </w:tc>
        <w:tc>
          <w:tcPr>
            <w:tcW w:w="320" w:type="pct"/>
            <w:noWrap/>
            <w:hideMark/>
          </w:tcPr>
          <w:p w14:paraId="4D7DE187" w14:textId="77777777" w:rsidR="00330FD4" w:rsidRPr="009819CE" w:rsidRDefault="00330FD4" w:rsidP="00330FD4">
            <w:pPr>
              <w:spacing w:before="0" w:after="0" w:line="240" w:lineRule="auto"/>
              <w:jc w:val="left"/>
              <w:rPr>
                <w:rFonts w:cstheme="minorBidi"/>
                <w:color w:val="000000"/>
                <w:sz w:val="22"/>
                <w:szCs w:val="22"/>
                <w:lang w:val="en-GB"/>
              </w:rPr>
            </w:pPr>
            <w:r w:rsidRPr="009819CE">
              <w:rPr>
                <w:rFonts w:cstheme="minorBidi"/>
                <w:color w:val="000000"/>
                <w:sz w:val="22"/>
                <w:szCs w:val="22"/>
                <w:lang w:val="en-GB"/>
              </w:rPr>
              <w:t>***</w:t>
            </w:r>
          </w:p>
        </w:tc>
      </w:tr>
      <w:tr w:rsidR="00330FD4" w:rsidRPr="00435B6B" w14:paraId="3475E5BA" w14:textId="77777777" w:rsidTr="007D6607">
        <w:trPr>
          <w:trHeight w:val="269"/>
        </w:trPr>
        <w:tc>
          <w:tcPr>
            <w:tcW w:w="5000" w:type="pct"/>
            <w:gridSpan w:val="7"/>
            <w:hideMark/>
          </w:tcPr>
          <w:p w14:paraId="0684EC9D" w14:textId="6ED749EC" w:rsidR="00330FD4" w:rsidRPr="009819CE" w:rsidRDefault="00330FD4" w:rsidP="00330FD4">
            <w:pPr>
              <w:spacing w:before="0" w:after="0" w:line="240" w:lineRule="auto"/>
              <w:jc w:val="left"/>
              <w:rPr>
                <w:rFonts w:cstheme="minorBidi"/>
                <w:color w:val="212121"/>
                <w:sz w:val="22"/>
                <w:szCs w:val="22"/>
                <w:lang w:val="en-GB"/>
              </w:rPr>
            </w:pPr>
            <w:r w:rsidRPr="009819CE">
              <w:rPr>
                <w:rFonts w:cstheme="minorBidi"/>
                <w:color w:val="212121"/>
                <w:sz w:val="22"/>
                <w:szCs w:val="22"/>
                <w:lang w:val="en-GB"/>
              </w:rPr>
              <w:t xml:space="preserve">SE = standard error; CL = carapace length;  ms= </w:t>
            </w:r>
            <w:r w:rsidR="00C967F0" w:rsidRPr="00435B6B">
              <w:rPr>
                <w:rFonts w:cstheme="minorBidi"/>
                <w:color w:val="212121"/>
                <w:sz w:val="22"/>
                <w:szCs w:val="22"/>
                <w:lang w:val="en-GB"/>
              </w:rPr>
              <w:t>moult stage</w:t>
            </w:r>
            <w:r w:rsidRPr="009819CE">
              <w:rPr>
                <w:rFonts w:cstheme="minorBidi"/>
                <w:color w:val="212121"/>
                <w:sz w:val="22"/>
                <w:szCs w:val="22"/>
                <w:lang w:val="en-GB"/>
              </w:rPr>
              <w:t>; ms D= pre-moult; som= size Onset Maturity; Date as a random factor</w:t>
            </w:r>
          </w:p>
        </w:tc>
      </w:tr>
    </w:tbl>
    <w:p w14:paraId="6AC3EB17" w14:textId="77777777" w:rsidR="00E119AB" w:rsidRPr="009819CE" w:rsidRDefault="00E119AB" w:rsidP="00E119AB">
      <w:pPr>
        <w:rPr>
          <w:rFonts w:cstheme="minorBidi"/>
        </w:rPr>
        <w:sectPr w:rsidR="00E119AB" w:rsidRPr="009819CE" w:rsidSect="003A7A28">
          <w:pgSz w:w="16838" w:h="11906" w:orient="landscape" w:code="9"/>
          <w:pgMar w:top="1440" w:right="1440" w:bottom="1440" w:left="1440" w:header="340" w:footer="340" w:gutter="0"/>
          <w:cols w:space="708"/>
          <w:docGrid w:linePitch="360"/>
        </w:sectPr>
      </w:pPr>
    </w:p>
    <w:p w14:paraId="74CC90FA" w14:textId="2F316658" w:rsidR="00143CAA" w:rsidRPr="009819CE" w:rsidRDefault="00143CAA" w:rsidP="00BE58A8">
      <w:pPr>
        <w:pStyle w:val="Heading2"/>
        <w:numPr>
          <w:ilvl w:val="1"/>
          <w:numId w:val="19"/>
        </w:numPr>
        <w:rPr>
          <w:rFonts w:cstheme="minorBidi"/>
        </w:rPr>
      </w:pPr>
      <w:bookmarkStart w:id="791" w:name="_Toc204106689"/>
      <w:r w:rsidRPr="009819CE">
        <w:rPr>
          <w:rFonts w:cstheme="minorBidi"/>
        </w:rPr>
        <w:t>Supplementary data chapter 3</w:t>
      </w:r>
      <w:bookmarkEnd w:id="791"/>
    </w:p>
    <w:p w14:paraId="3EAFDDA7" w14:textId="249842A9" w:rsidR="00DA6475" w:rsidRPr="009819CE" w:rsidRDefault="009E22E9" w:rsidP="009E22E9">
      <w:pPr>
        <w:pStyle w:val="Caption"/>
        <w:rPr>
          <w:rFonts w:asciiTheme="minorBidi" w:hAnsiTheme="minorBidi" w:cstheme="minorBidi"/>
          <w:bCs/>
        </w:rPr>
      </w:pPr>
      <w:bookmarkStart w:id="792" w:name="_Ref157965373"/>
      <w:bookmarkStart w:id="793" w:name="_Toc204106773"/>
      <w:r w:rsidRPr="009819CE">
        <w:rPr>
          <w:rFonts w:asciiTheme="minorBidi" w:hAnsiTheme="minorBidi" w:cstheme="minorBidi"/>
          <w:b/>
          <w:bCs/>
        </w:rPr>
        <w:t xml:space="preserve">Table S3. </w:t>
      </w:r>
      <w:r w:rsidRPr="009819CE">
        <w:rPr>
          <w:rFonts w:asciiTheme="minorBidi" w:hAnsiTheme="minorBidi" w:cstheme="minorBidi"/>
          <w:b/>
          <w:bCs/>
        </w:rPr>
        <w:fldChar w:fldCharType="begin"/>
      </w:r>
      <w:r w:rsidRPr="009819CE">
        <w:rPr>
          <w:rFonts w:asciiTheme="minorBidi" w:hAnsiTheme="minorBidi" w:cstheme="minorBidi"/>
          <w:b/>
          <w:bCs/>
        </w:rPr>
        <w:instrText xml:space="preserve"> SEQ Table_S3. \* ARABIC </w:instrText>
      </w:r>
      <w:r w:rsidRPr="009819CE">
        <w:rPr>
          <w:rFonts w:asciiTheme="minorBidi" w:hAnsiTheme="minorBidi" w:cstheme="minorBidi"/>
          <w:b/>
          <w:bCs/>
        </w:rPr>
        <w:fldChar w:fldCharType="separate"/>
      </w:r>
      <w:r w:rsidR="008549FC">
        <w:rPr>
          <w:rFonts w:asciiTheme="minorBidi" w:hAnsiTheme="minorBidi" w:cstheme="minorBidi"/>
          <w:b/>
          <w:bCs/>
          <w:noProof/>
        </w:rPr>
        <w:t>1</w:t>
      </w:r>
      <w:r w:rsidRPr="009819CE">
        <w:rPr>
          <w:rFonts w:asciiTheme="minorBidi" w:hAnsiTheme="minorBidi" w:cstheme="minorBidi"/>
          <w:b/>
          <w:bCs/>
        </w:rPr>
        <w:fldChar w:fldCharType="end"/>
      </w:r>
      <w:bookmarkEnd w:id="792"/>
      <w:r w:rsidRPr="009819CE">
        <w:rPr>
          <w:rFonts w:asciiTheme="minorBidi" w:hAnsiTheme="minorBidi" w:cstheme="minorBidi"/>
        </w:rPr>
        <w:t xml:space="preserve"> </w:t>
      </w:r>
      <w:r w:rsidR="00DA6475" w:rsidRPr="009819CE">
        <w:rPr>
          <w:rFonts w:asciiTheme="minorBidi" w:hAnsiTheme="minorBidi" w:cstheme="minorBidi"/>
          <w:bCs/>
        </w:rPr>
        <w:t xml:space="preserve">The core microbiome of haemolymph of apparent </w:t>
      </w:r>
      <w:r w:rsidR="00D94DC1" w:rsidRPr="00435B6B">
        <w:rPr>
          <w:rFonts w:asciiTheme="minorBidi" w:hAnsiTheme="minorBidi" w:cstheme="minorBidi"/>
          <w:bCs/>
        </w:rPr>
        <w:t>“healthy”</w:t>
      </w:r>
      <w:r w:rsidR="00DA6475" w:rsidRPr="009819CE">
        <w:rPr>
          <w:rFonts w:asciiTheme="minorBidi" w:hAnsiTheme="minorBidi" w:cstheme="minorBidi"/>
          <w:bCs/>
        </w:rPr>
        <w:t xml:space="preserve"> </w:t>
      </w:r>
      <w:r w:rsidR="00C31E47" w:rsidRPr="009819CE">
        <w:rPr>
          <w:rFonts w:asciiTheme="minorBidi" w:hAnsiTheme="minorBidi" w:cstheme="minorBidi"/>
          <w:bCs/>
          <w:i/>
          <w:iCs w:val="0"/>
        </w:rPr>
        <w:t>Nephrops</w:t>
      </w:r>
      <w:r w:rsidR="00DA6475" w:rsidRPr="009819CE">
        <w:rPr>
          <w:rFonts w:asciiTheme="minorBidi" w:hAnsiTheme="minorBidi" w:cstheme="minorBidi"/>
          <w:bCs/>
          <w:i/>
        </w:rPr>
        <w:t xml:space="preserve"> norvegicus</w:t>
      </w:r>
      <w:r w:rsidR="00DA6475" w:rsidRPr="009819CE">
        <w:rPr>
          <w:rFonts w:asciiTheme="minorBidi" w:hAnsiTheme="minorBidi" w:cstheme="minorBidi"/>
          <w:bCs/>
        </w:rPr>
        <w:t xml:space="preserve"> (tested negative for </w:t>
      </w:r>
      <w:r w:rsidR="009D03F4" w:rsidRPr="009819CE">
        <w:rPr>
          <w:rFonts w:asciiTheme="minorBidi" w:hAnsiTheme="minorBidi" w:cstheme="minorBidi"/>
          <w:bCs/>
          <w:i/>
        </w:rPr>
        <w:t>Hematodinium</w:t>
      </w:r>
      <w:r w:rsidR="00DA6475" w:rsidRPr="009819CE">
        <w:rPr>
          <w:rFonts w:asciiTheme="minorBidi" w:hAnsiTheme="minorBidi" w:cstheme="minorBidi"/>
          <w:bCs/>
        </w:rPr>
        <w:t xml:space="preserve"> sp. by BCM, PM, PCR, histology, n=45).</w:t>
      </w:r>
      <w:bookmarkEnd w:id="793"/>
    </w:p>
    <w:tbl>
      <w:tblPr>
        <w:tblStyle w:val="PlainTable23"/>
        <w:tblW w:w="5000" w:type="pct"/>
        <w:tblLayout w:type="fixed"/>
        <w:tblLook w:val="04A0" w:firstRow="1" w:lastRow="0" w:firstColumn="1" w:lastColumn="0" w:noHBand="0" w:noVBand="1"/>
      </w:tblPr>
      <w:tblGrid>
        <w:gridCol w:w="1843"/>
        <w:gridCol w:w="2694"/>
        <w:gridCol w:w="3118"/>
        <w:gridCol w:w="3118"/>
        <w:gridCol w:w="3185"/>
      </w:tblGrid>
      <w:tr w:rsidR="00DA6475" w:rsidRPr="00435B6B" w14:paraId="1307FF9B" w14:textId="77777777" w:rsidTr="007D660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BD7163F" w14:textId="77777777" w:rsidR="00DA6475" w:rsidRPr="009819CE" w:rsidRDefault="00DA6475" w:rsidP="00DA6475">
            <w:pPr>
              <w:spacing w:before="0" w:after="0"/>
              <w:rPr>
                <w:rFonts w:eastAsia="Calibri" w:cstheme="minorBidi"/>
                <w:b w:val="0"/>
                <w:bCs w:val="0"/>
                <w:color w:val="000000"/>
                <w:sz w:val="22"/>
                <w:szCs w:val="22"/>
                <w:lang w:eastAsia="en-US"/>
              </w:rPr>
            </w:pPr>
            <w:r w:rsidRPr="009819CE">
              <w:rPr>
                <w:rFonts w:eastAsia="Calibri" w:cstheme="minorBidi"/>
                <w:color w:val="000000"/>
                <w:sz w:val="22"/>
                <w:szCs w:val="22"/>
                <w:lang w:eastAsia="en-US"/>
              </w:rPr>
              <w:t>Phylum</w:t>
            </w:r>
          </w:p>
        </w:tc>
        <w:tc>
          <w:tcPr>
            <w:tcW w:w="965" w:type="pct"/>
            <w:noWrap/>
            <w:hideMark/>
          </w:tcPr>
          <w:p w14:paraId="057D7324"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Class</w:t>
            </w:r>
          </w:p>
        </w:tc>
        <w:tc>
          <w:tcPr>
            <w:tcW w:w="1117" w:type="pct"/>
            <w:noWrap/>
            <w:hideMark/>
          </w:tcPr>
          <w:p w14:paraId="38B6D01F"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Order</w:t>
            </w:r>
          </w:p>
        </w:tc>
        <w:tc>
          <w:tcPr>
            <w:tcW w:w="1117" w:type="pct"/>
            <w:noWrap/>
            <w:hideMark/>
          </w:tcPr>
          <w:p w14:paraId="585AF6E6"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Family</w:t>
            </w:r>
          </w:p>
        </w:tc>
        <w:tc>
          <w:tcPr>
            <w:tcW w:w="1141" w:type="pct"/>
            <w:noWrap/>
            <w:hideMark/>
          </w:tcPr>
          <w:p w14:paraId="34BEB3E4"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Genus</w:t>
            </w:r>
          </w:p>
        </w:tc>
      </w:tr>
      <w:tr w:rsidR="00DA6475" w:rsidRPr="00435B6B" w14:paraId="7CE14313"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4E5A59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965" w:type="pct"/>
            <w:noWrap/>
            <w:hideMark/>
          </w:tcPr>
          <w:p w14:paraId="690F5CB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Actinobacteria</w:t>
            </w:r>
          </w:p>
        </w:tc>
        <w:tc>
          <w:tcPr>
            <w:tcW w:w="1117" w:type="pct"/>
            <w:noWrap/>
            <w:hideMark/>
          </w:tcPr>
          <w:p w14:paraId="0D659D4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Bifidobacteriales</w:t>
            </w:r>
          </w:p>
        </w:tc>
        <w:tc>
          <w:tcPr>
            <w:tcW w:w="1117" w:type="pct"/>
            <w:noWrap/>
            <w:hideMark/>
          </w:tcPr>
          <w:p w14:paraId="0E502FE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Bifidobacteriaceae</w:t>
            </w:r>
          </w:p>
        </w:tc>
        <w:tc>
          <w:tcPr>
            <w:tcW w:w="1141" w:type="pct"/>
            <w:noWrap/>
            <w:hideMark/>
          </w:tcPr>
          <w:p w14:paraId="354A426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Bifidobacterium</w:t>
            </w:r>
          </w:p>
        </w:tc>
      </w:tr>
      <w:tr w:rsidR="00DA6475" w:rsidRPr="00435B6B" w14:paraId="7659C0F8"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8D726D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965" w:type="pct"/>
            <w:noWrap/>
            <w:hideMark/>
          </w:tcPr>
          <w:p w14:paraId="20F8DD98"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Bacteroidia</w:t>
            </w:r>
          </w:p>
        </w:tc>
        <w:tc>
          <w:tcPr>
            <w:tcW w:w="1117" w:type="pct"/>
            <w:noWrap/>
            <w:hideMark/>
          </w:tcPr>
          <w:p w14:paraId="0659D68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Bacteroidales</w:t>
            </w:r>
          </w:p>
        </w:tc>
        <w:tc>
          <w:tcPr>
            <w:tcW w:w="1117" w:type="pct"/>
            <w:noWrap/>
            <w:hideMark/>
          </w:tcPr>
          <w:p w14:paraId="3F86D4E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Bacteroidaceae</w:t>
            </w:r>
          </w:p>
        </w:tc>
        <w:tc>
          <w:tcPr>
            <w:tcW w:w="1141" w:type="pct"/>
            <w:noWrap/>
            <w:hideMark/>
          </w:tcPr>
          <w:p w14:paraId="32A1703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Bacteroides</w:t>
            </w:r>
          </w:p>
        </w:tc>
      </w:tr>
      <w:tr w:rsidR="00DA6475" w:rsidRPr="00435B6B" w14:paraId="1D5A0CDC"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C4CDAA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5B6C727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6A6FEB3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Lachnospirales</w:t>
            </w:r>
          </w:p>
        </w:tc>
        <w:tc>
          <w:tcPr>
            <w:tcW w:w="1117" w:type="pct"/>
            <w:noWrap/>
            <w:hideMark/>
          </w:tcPr>
          <w:p w14:paraId="629F685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141" w:type="pct"/>
            <w:noWrap/>
            <w:hideMark/>
          </w:tcPr>
          <w:p w14:paraId="187360E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Blautia</w:t>
            </w:r>
          </w:p>
        </w:tc>
      </w:tr>
      <w:tr w:rsidR="00DA6475" w:rsidRPr="00435B6B" w14:paraId="5F8E6F83"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2AC269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41506FE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45E2BC7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Lachnospirales</w:t>
            </w:r>
          </w:p>
        </w:tc>
        <w:tc>
          <w:tcPr>
            <w:tcW w:w="1117" w:type="pct"/>
            <w:noWrap/>
            <w:hideMark/>
          </w:tcPr>
          <w:p w14:paraId="266564F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141" w:type="pct"/>
            <w:noWrap/>
            <w:hideMark/>
          </w:tcPr>
          <w:p w14:paraId="1ADE5C7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 unclassified</w:t>
            </w:r>
          </w:p>
        </w:tc>
      </w:tr>
      <w:tr w:rsidR="00DA6475" w:rsidRPr="00435B6B" w14:paraId="37663B14"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658E175"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4ACE42C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65E4E77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Lactobacillales</w:t>
            </w:r>
          </w:p>
        </w:tc>
        <w:tc>
          <w:tcPr>
            <w:tcW w:w="1117" w:type="pct"/>
            <w:noWrap/>
            <w:hideMark/>
          </w:tcPr>
          <w:p w14:paraId="1990C74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Streptococcaceae</w:t>
            </w:r>
          </w:p>
        </w:tc>
        <w:tc>
          <w:tcPr>
            <w:tcW w:w="1141" w:type="pct"/>
            <w:noWrap/>
            <w:hideMark/>
          </w:tcPr>
          <w:p w14:paraId="6238C83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Streptococcus</w:t>
            </w:r>
          </w:p>
        </w:tc>
      </w:tr>
      <w:tr w:rsidR="00DA6475" w:rsidRPr="00435B6B" w14:paraId="250E21EA"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7F5383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457AA0E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0C7B684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Peptostreptococcales-Tissierellales</w:t>
            </w:r>
          </w:p>
        </w:tc>
        <w:tc>
          <w:tcPr>
            <w:tcW w:w="1117" w:type="pct"/>
            <w:noWrap/>
            <w:hideMark/>
          </w:tcPr>
          <w:p w14:paraId="755B512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141" w:type="pct"/>
            <w:noWrap/>
            <w:hideMark/>
          </w:tcPr>
          <w:p w14:paraId="4B44AF8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Romboutsia</w:t>
            </w:r>
          </w:p>
        </w:tc>
      </w:tr>
      <w:tr w:rsidR="00DA6475" w:rsidRPr="00435B6B" w14:paraId="5E27D904"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A37C20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381AA2D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70E4E87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Staphylococcales</w:t>
            </w:r>
          </w:p>
        </w:tc>
        <w:tc>
          <w:tcPr>
            <w:tcW w:w="1117" w:type="pct"/>
            <w:noWrap/>
            <w:hideMark/>
          </w:tcPr>
          <w:p w14:paraId="18B7147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Staphylococcaceae</w:t>
            </w:r>
          </w:p>
        </w:tc>
        <w:tc>
          <w:tcPr>
            <w:tcW w:w="1141" w:type="pct"/>
            <w:noWrap/>
            <w:hideMark/>
          </w:tcPr>
          <w:p w14:paraId="42980C9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Staphylococcus</w:t>
            </w:r>
          </w:p>
        </w:tc>
      </w:tr>
      <w:tr w:rsidR="00DA6475" w:rsidRPr="00435B6B" w14:paraId="062AA429"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9BD585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2FF25B3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7FA3335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Erysipelotrichales</w:t>
            </w:r>
          </w:p>
        </w:tc>
        <w:tc>
          <w:tcPr>
            <w:tcW w:w="1117" w:type="pct"/>
            <w:noWrap/>
            <w:hideMark/>
          </w:tcPr>
          <w:p w14:paraId="32F6487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Erysipelatoclostridiaceae</w:t>
            </w:r>
          </w:p>
        </w:tc>
        <w:tc>
          <w:tcPr>
            <w:tcW w:w="1141" w:type="pct"/>
            <w:noWrap/>
            <w:hideMark/>
          </w:tcPr>
          <w:p w14:paraId="2D468A0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Erysipelatoclostridium</w:t>
            </w:r>
          </w:p>
        </w:tc>
      </w:tr>
      <w:tr w:rsidR="00DA6475" w:rsidRPr="00435B6B" w14:paraId="5B7264D2"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CE87C6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6DF96E8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15114B1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Oscillospirales</w:t>
            </w:r>
          </w:p>
        </w:tc>
        <w:tc>
          <w:tcPr>
            <w:tcW w:w="1117" w:type="pct"/>
            <w:noWrap/>
            <w:hideMark/>
          </w:tcPr>
          <w:p w14:paraId="53799CE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Ruminococcaceae</w:t>
            </w:r>
          </w:p>
        </w:tc>
        <w:tc>
          <w:tcPr>
            <w:tcW w:w="1141" w:type="pct"/>
            <w:noWrap/>
            <w:hideMark/>
          </w:tcPr>
          <w:p w14:paraId="7B85EA1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Faecalibacterium</w:t>
            </w:r>
          </w:p>
        </w:tc>
      </w:tr>
      <w:tr w:rsidR="00DA6475" w:rsidRPr="00435B6B" w14:paraId="5AA6A692"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E92BED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6EB0A6F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0A02D9B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Lachnospirales</w:t>
            </w:r>
          </w:p>
        </w:tc>
        <w:tc>
          <w:tcPr>
            <w:tcW w:w="1117" w:type="pct"/>
            <w:noWrap/>
            <w:hideMark/>
          </w:tcPr>
          <w:p w14:paraId="2A66A53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141" w:type="pct"/>
            <w:noWrap/>
            <w:hideMark/>
          </w:tcPr>
          <w:p w14:paraId="3EDDB64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Agathobacter</w:t>
            </w:r>
          </w:p>
        </w:tc>
      </w:tr>
      <w:tr w:rsidR="00DA6475" w:rsidRPr="00435B6B" w14:paraId="098B719F"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65114A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2F91BD1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0510935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Lactobacillales</w:t>
            </w:r>
          </w:p>
        </w:tc>
        <w:tc>
          <w:tcPr>
            <w:tcW w:w="1117" w:type="pct"/>
            <w:noWrap/>
            <w:hideMark/>
          </w:tcPr>
          <w:p w14:paraId="67F25FD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Streptococcaceae</w:t>
            </w:r>
          </w:p>
        </w:tc>
        <w:tc>
          <w:tcPr>
            <w:tcW w:w="1141" w:type="pct"/>
            <w:noWrap/>
            <w:hideMark/>
          </w:tcPr>
          <w:p w14:paraId="58532A5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Streptococcus</w:t>
            </w:r>
          </w:p>
        </w:tc>
      </w:tr>
      <w:tr w:rsidR="00DA6475" w:rsidRPr="00435B6B" w14:paraId="629FDDAE"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5928E7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227063C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4CB1203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Peptostreptococcales-Tissierellales</w:t>
            </w:r>
          </w:p>
        </w:tc>
        <w:tc>
          <w:tcPr>
            <w:tcW w:w="1117" w:type="pct"/>
            <w:noWrap/>
            <w:hideMark/>
          </w:tcPr>
          <w:p w14:paraId="422CA92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141" w:type="pct"/>
            <w:noWrap/>
            <w:hideMark/>
          </w:tcPr>
          <w:p w14:paraId="4663181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Intestinibacter</w:t>
            </w:r>
          </w:p>
        </w:tc>
      </w:tr>
      <w:tr w:rsidR="00DA6475" w:rsidRPr="00435B6B" w14:paraId="372F219C"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A08465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1A7E265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7491585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Staphylococcales</w:t>
            </w:r>
          </w:p>
        </w:tc>
        <w:tc>
          <w:tcPr>
            <w:tcW w:w="1117" w:type="pct"/>
            <w:noWrap/>
            <w:hideMark/>
          </w:tcPr>
          <w:p w14:paraId="06F76DD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Gemellaceae</w:t>
            </w:r>
          </w:p>
        </w:tc>
        <w:tc>
          <w:tcPr>
            <w:tcW w:w="1141" w:type="pct"/>
            <w:noWrap/>
            <w:hideMark/>
          </w:tcPr>
          <w:p w14:paraId="5D3E397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Gemella</w:t>
            </w:r>
          </w:p>
        </w:tc>
      </w:tr>
      <w:tr w:rsidR="00DA6475" w:rsidRPr="00435B6B" w14:paraId="7136A500"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6292AE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146083F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55B45C1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Lactobacillales</w:t>
            </w:r>
          </w:p>
        </w:tc>
        <w:tc>
          <w:tcPr>
            <w:tcW w:w="1117" w:type="pct"/>
            <w:noWrap/>
            <w:hideMark/>
          </w:tcPr>
          <w:p w14:paraId="033E071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Enterococcaceae</w:t>
            </w:r>
          </w:p>
        </w:tc>
        <w:tc>
          <w:tcPr>
            <w:tcW w:w="1141" w:type="pct"/>
            <w:noWrap/>
            <w:hideMark/>
          </w:tcPr>
          <w:p w14:paraId="7DA2FFA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Enterococcus</w:t>
            </w:r>
          </w:p>
        </w:tc>
      </w:tr>
      <w:tr w:rsidR="00DA6475" w:rsidRPr="00435B6B" w14:paraId="7A6E5B88"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864E12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311F055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117" w:type="pct"/>
            <w:noWrap/>
            <w:hideMark/>
          </w:tcPr>
          <w:p w14:paraId="0E1BADF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Lactobacillales</w:t>
            </w:r>
          </w:p>
        </w:tc>
        <w:tc>
          <w:tcPr>
            <w:tcW w:w="1117" w:type="pct"/>
            <w:noWrap/>
            <w:hideMark/>
          </w:tcPr>
          <w:p w14:paraId="56EDF01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Lactobacillaceae</w:t>
            </w:r>
          </w:p>
        </w:tc>
        <w:tc>
          <w:tcPr>
            <w:tcW w:w="1141" w:type="pct"/>
            <w:noWrap/>
            <w:hideMark/>
          </w:tcPr>
          <w:p w14:paraId="01216D6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Lactobacillus</w:t>
            </w:r>
          </w:p>
        </w:tc>
      </w:tr>
      <w:tr w:rsidR="00DA6475" w:rsidRPr="00435B6B" w14:paraId="69170A01"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6BA782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6AA140D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4740967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Oscillospirales</w:t>
            </w:r>
          </w:p>
        </w:tc>
        <w:tc>
          <w:tcPr>
            <w:tcW w:w="1117" w:type="pct"/>
            <w:noWrap/>
            <w:hideMark/>
          </w:tcPr>
          <w:p w14:paraId="13D9862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Ruminococcaceae</w:t>
            </w:r>
          </w:p>
        </w:tc>
        <w:tc>
          <w:tcPr>
            <w:tcW w:w="1141" w:type="pct"/>
            <w:noWrap/>
            <w:hideMark/>
          </w:tcPr>
          <w:p w14:paraId="1AFCA37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Subdoligranulum</w:t>
            </w:r>
          </w:p>
        </w:tc>
      </w:tr>
      <w:tr w:rsidR="00DA6475" w:rsidRPr="00435B6B" w14:paraId="28609A71"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3E7AE0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65" w:type="pct"/>
            <w:noWrap/>
            <w:hideMark/>
          </w:tcPr>
          <w:p w14:paraId="5A0CA22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tc>
        <w:tc>
          <w:tcPr>
            <w:tcW w:w="1117" w:type="pct"/>
            <w:noWrap/>
            <w:hideMark/>
          </w:tcPr>
          <w:p w14:paraId="31B4A66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Clostridiales</w:t>
            </w:r>
          </w:p>
        </w:tc>
        <w:tc>
          <w:tcPr>
            <w:tcW w:w="1117" w:type="pct"/>
            <w:noWrap/>
            <w:hideMark/>
          </w:tcPr>
          <w:p w14:paraId="7A6186A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Clostridiaceae</w:t>
            </w:r>
          </w:p>
        </w:tc>
        <w:tc>
          <w:tcPr>
            <w:tcW w:w="1141" w:type="pct"/>
            <w:noWrap/>
            <w:hideMark/>
          </w:tcPr>
          <w:p w14:paraId="0A77937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Clostridium sensu stricto 1</w:t>
            </w:r>
          </w:p>
        </w:tc>
      </w:tr>
      <w:tr w:rsidR="00DA6475" w:rsidRPr="00435B6B" w14:paraId="3FADFFD6"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D11979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46F1AB6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4049CB6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Enterobacterales</w:t>
            </w:r>
          </w:p>
        </w:tc>
        <w:tc>
          <w:tcPr>
            <w:tcW w:w="1117" w:type="pct"/>
            <w:noWrap/>
            <w:hideMark/>
          </w:tcPr>
          <w:p w14:paraId="6A0C728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Enterobacteriaceae</w:t>
            </w:r>
          </w:p>
        </w:tc>
        <w:tc>
          <w:tcPr>
            <w:tcW w:w="1141" w:type="pct"/>
            <w:noWrap/>
            <w:hideMark/>
          </w:tcPr>
          <w:p w14:paraId="7A93600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Enterobacteriaceae</w:t>
            </w:r>
          </w:p>
          <w:p w14:paraId="02D8512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r>
      <w:tr w:rsidR="00DA6475" w:rsidRPr="00435B6B" w14:paraId="5780669E"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13C973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5C8163E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6AE38A9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Enterobacterales</w:t>
            </w:r>
          </w:p>
        </w:tc>
        <w:tc>
          <w:tcPr>
            <w:tcW w:w="1117" w:type="pct"/>
            <w:noWrap/>
            <w:hideMark/>
          </w:tcPr>
          <w:p w14:paraId="3648704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Enterobacterales unclassified</w:t>
            </w:r>
          </w:p>
        </w:tc>
        <w:tc>
          <w:tcPr>
            <w:tcW w:w="1141" w:type="pct"/>
            <w:noWrap/>
            <w:hideMark/>
          </w:tcPr>
          <w:p w14:paraId="1407972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Enterobacterales</w:t>
            </w:r>
          </w:p>
          <w:p w14:paraId="023F753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r>
      <w:tr w:rsidR="00DA6475" w:rsidRPr="00435B6B" w14:paraId="3818FDD9"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3ED989C"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7D04880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31E2D84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Pseudomonadales</w:t>
            </w:r>
          </w:p>
        </w:tc>
        <w:tc>
          <w:tcPr>
            <w:tcW w:w="1117" w:type="pct"/>
            <w:noWrap/>
            <w:hideMark/>
          </w:tcPr>
          <w:p w14:paraId="6690A32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Pseudomonadaceae</w:t>
            </w:r>
          </w:p>
        </w:tc>
        <w:tc>
          <w:tcPr>
            <w:tcW w:w="1141" w:type="pct"/>
            <w:noWrap/>
            <w:hideMark/>
          </w:tcPr>
          <w:p w14:paraId="55D06E0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Pseudomonas</w:t>
            </w:r>
          </w:p>
        </w:tc>
      </w:tr>
      <w:tr w:rsidR="00DA6475" w:rsidRPr="00435B6B" w14:paraId="2E22B6DC"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1CF2D5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740C708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1C469F4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Burkholderiales</w:t>
            </w:r>
          </w:p>
        </w:tc>
        <w:tc>
          <w:tcPr>
            <w:tcW w:w="1117" w:type="pct"/>
            <w:noWrap/>
            <w:hideMark/>
          </w:tcPr>
          <w:p w14:paraId="5C5A0AF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Alcaligenaceae</w:t>
            </w:r>
          </w:p>
        </w:tc>
        <w:tc>
          <w:tcPr>
            <w:tcW w:w="1141" w:type="pct"/>
            <w:noWrap/>
            <w:hideMark/>
          </w:tcPr>
          <w:p w14:paraId="05627B5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Alcaligenes</w:t>
            </w:r>
          </w:p>
        </w:tc>
      </w:tr>
      <w:tr w:rsidR="00DA6475" w:rsidRPr="00435B6B" w14:paraId="375B943A"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4CDF23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6BD2B93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Alphaproteobacteria</w:t>
            </w:r>
          </w:p>
        </w:tc>
        <w:tc>
          <w:tcPr>
            <w:tcW w:w="1117" w:type="pct"/>
            <w:noWrap/>
            <w:hideMark/>
          </w:tcPr>
          <w:p w14:paraId="0E196A6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Rhodobacterales</w:t>
            </w:r>
          </w:p>
        </w:tc>
        <w:tc>
          <w:tcPr>
            <w:tcW w:w="1117" w:type="pct"/>
            <w:noWrap/>
            <w:hideMark/>
          </w:tcPr>
          <w:p w14:paraId="0012994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Rhodobacteraceae</w:t>
            </w:r>
          </w:p>
        </w:tc>
        <w:tc>
          <w:tcPr>
            <w:tcW w:w="1141" w:type="pct"/>
            <w:noWrap/>
            <w:hideMark/>
          </w:tcPr>
          <w:p w14:paraId="648E04D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HIMB11</w:t>
            </w:r>
          </w:p>
        </w:tc>
      </w:tr>
      <w:tr w:rsidR="00DA6475" w:rsidRPr="00435B6B" w14:paraId="24A0DB93"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F52556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24A4271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487B834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Burkholderiales</w:t>
            </w:r>
          </w:p>
        </w:tc>
        <w:tc>
          <w:tcPr>
            <w:tcW w:w="1117" w:type="pct"/>
            <w:noWrap/>
            <w:hideMark/>
          </w:tcPr>
          <w:p w14:paraId="45690FC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Comamonadaceae</w:t>
            </w:r>
          </w:p>
        </w:tc>
        <w:tc>
          <w:tcPr>
            <w:tcW w:w="1141" w:type="pct"/>
            <w:noWrap/>
            <w:hideMark/>
          </w:tcPr>
          <w:p w14:paraId="6A8FAB0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Delftia</w:t>
            </w:r>
          </w:p>
        </w:tc>
      </w:tr>
      <w:tr w:rsidR="00DA6475" w:rsidRPr="00435B6B" w14:paraId="309B58A1"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A145A7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09DE51D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30F6155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Burkholderiales</w:t>
            </w:r>
          </w:p>
        </w:tc>
        <w:tc>
          <w:tcPr>
            <w:tcW w:w="1117" w:type="pct"/>
            <w:noWrap/>
            <w:hideMark/>
          </w:tcPr>
          <w:p w14:paraId="6B9EB1C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Burkholderiaceae</w:t>
            </w:r>
          </w:p>
        </w:tc>
        <w:tc>
          <w:tcPr>
            <w:tcW w:w="1141" w:type="pct"/>
            <w:noWrap/>
            <w:hideMark/>
          </w:tcPr>
          <w:p w14:paraId="421812F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Ralstonia</w:t>
            </w:r>
          </w:p>
        </w:tc>
      </w:tr>
      <w:tr w:rsidR="00DA6475" w:rsidRPr="00435B6B" w14:paraId="20FF96FD"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2A3F15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766EF3D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Alphaproteobacteria</w:t>
            </w:r>
          </w:p>
        </w:tc>
        <w:tc>
          <w:tcPr>
            <w:tcW w:w="1117" w:type="pct"/>
            <w:noWrap/>
            <w:hideMark/>
          </w:tcPr>
          <w:p w14:paraId="198E744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Caulobacterales</w:t>
            </w:r>
          </w:p>
        </w:tc>
        <w:tc>
          <w:tcPr>
            <w:tcW w:w="1117" w:type="pct"/>
            <w:noWrap/>
            <w:hideMark/>
          </w:tcPr>
          <w:p w14:paraId="090E849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Caulobacteraceae</w:t>
            </w:r>
          </w:p>
        </w:tc>
        <w:tc>
          <w:tcPr>
            <w:tcW w:w="1141" w:type="pct"/>
            <w:noWrap/>
            <w:hideMark/>
          </w:tcPr>
          <w:p w14:paraId="0D02017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Brevundimonas</w:t>
            </w:r>
          </w:p>
        </w:tc>
      </w:tr>
      <w:tr w:rsidR="00DA6475" w:rsidRPr="00435B6B" w14:paraId="1C2B745F"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850307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075F324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6A195FE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Burkholderiales</w:t>
            </w:r>
          </w:p>
        </w:tc>
        <w:tc>
          <w:tcPr>
            <w:tcW w:w="1117" w:type="pct"/>
            <w:noWrap/>
            <w:hideMark/>
          </w:tcPr>
          <w:p w14:paraId="6A80258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Neisseriaceae</w:t>
            </w:r>
          </w:p>
        </w:tc>
        <w:tc>
          <w:tcPr>
            <w:tcW w:w="1141" w:type="pct"/>
            <w:noWrap/>
            <w:hideMark/>
          </w:tcPr>
          <w:p w14:paraId="512BE63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Neisseria</w:t>
            </w:r>
          </w:p>
        </w:tc>
      </w:tr>
      <w:tr w:rsidR="00DA6475" w:rsidRPr="00435B6B" w14:paraId="0F6E53C3"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A1C1051"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31AAC8E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7FEAC2D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Burkholderiales</w:t>
            </w:r>
          </w:p>
        </w:tc>
        <w:tc>
          <w:tcPr>
            <w:tcW w:w="1117" w:type="pct"/>
            <w:noWrap/>
            <w:hideMark/>
          </w:tcPr>
          <w:p w14:paraId="6C42ED9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tc>
        <w:tc>
          <w:tcPr>
            <w:tcW w:w="1141" w:type="pct"/>
            <w:noWrap/>
            <w:hideMark/>
          </w:tcPr>
          <w:p w14:paraId="5EA2323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Massilia</w:t>
            </w:r>
          </w:p>
        </w:tc>
      </w:tr>
      <w:tr w:rsidR="00DA6475" w:rsidRPr="00435B6B" w14:paraId="3D6B4A73"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6900E2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2F7B850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30AAFA0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Pasteurellales</w:t>
            </w:r>
          </w:p>
        </w:tc>
        <w:tc>
          <w:tcPr>
            <w:tcW w:w="1117" w:type="pct"/>
            <w:noWrap/>
            <w:hideMark/>
          </w:tcPr>
          <w:p w14:paraId="2A46463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Pasteurellaceae</w:t>
            </w:r>
          </w:p>
        </w:tc>
        <w:tc>
          <w:tcPr>
            <w:tcW w:w="1141" w:type="pct"/>
            <w:noWrap/>
            <w:hideMark/>
          </w:tcPr>
          <w:p w14:paraId="64FF9E5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Pasteurellaceae unclassified</w:t>
            </w:r>
          </w:p>
        </w:tc>
      </w:tr>
      <w:tr w:rsidR="00DA6475" w:rsidRPr="00435B6B" w14:paraId="1F21662B"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813F07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0FFE265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2412525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Vibrionales</w:t>
            </w:r>
          </w:p>
        </w:tc>
        <w:tc>
          <w:tcPr>
            <w:tcW w:w="1117" w:type="pct"/>
            <w:noWrap/>
            <w:hideMark/>
          </w:tcPr>
          <w:p w14:paraId="6DECBE6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Vibrionaceae</w:t>
            </w:r>
          </w:p>
        </w:tc>
        <w:tc>
          <w:tcPr>
            <w:tcW w:w="1141" w:type="pct"/>
            <w:noWrap/>
            <w:hideMark/>
          </w:tcPr>
          <w:p w14:paraId="2E521CA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w:t>
            </w:r>
          </w:p>
        </w:tc>
      </w:tr>
      <w:tr w:rsidR="00DA6475" w:rsidRPr="00435B6B" w14:paraId="1FE78A0C"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F59480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7F2C13A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58FB87F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Xanthomonadales</w:t>
            </w:r>
          </w:p>
        </w:tc>
        <w:tc>
          <w:tcPr>
            <w:tcW w:w="1117" w:type="pct"/>
            <w:noWrap/>
            <w:hideMark/>
          </w:tcPr>
          <w:p w14:paraId="449D2BA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Xanthomonadaceae</w:t>
            </w:r>
          </w:p>
        </w:tc>
        <w:tc>
          <w:tcPr>
            <w:tcW w:w="1141" w:type="pct"/>
            <w:noWrap/>
            <w:hideMark/>
          </w:tcPr>
          <w:p w14:paraId="5CA0CD0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Stenotrophomonas</w:t>
            </w:r>
          </w:p>
        </w:tc>
      </w:tr>
      <w:tr w:rsidR="00DA6475" w:rsidRPr="00435B6B" w14:paraId="05D3EEDF"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0A7C0C9"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0E9B8B0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003070B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Pseudomonadales</w:t>
            </w:r>
          </w:p>
        </w:tc>
        <w:tc>
          <w:tcPr>
            <w:tcW w:w="1117" w:type="pct"/>
            <w:noWrap/>
            <w:hideMark/>
          </w:tcPr>
          <w:p w14:paraId="5D61F88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Moraxellaceae</w:t>
            </w:r>
          </w:p>
        </w:tc>
        <w:tc>
          <w:tcPr>
            <w:tcW w:w="1141" w:type="pct"/>
            <w:noWrap/>
            <w:hideMark/>
          </w:tcPr>
          <w:p w14:paraId="1287FBC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Acinetobacter</w:t>
            </w:r>
          </w:p>
        </w:tc>
      </w:tr>
      <w:tr w:rsidR="00DA6475" w:rsidRPr="00435B6B" w14:paraId="4A6A46F8"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E7F9D1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70BAE23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4C84FD7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Pseudomonadales</w:t>
            </w:r>
          </w:p>
        </w:tc>
        <w:tc>
          <w:tcPr>
            <w:tcW w:w="1117" w:type="pct"/>
            <w:noWrap/>
            <w:hideMark/>
          </w:tcPr>
          <w:p w14:paraId="24FBD15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Pseudomonadaceae</w:t>
            </w:r>
          </w:p>
        </w:tc>
        <w:tc>
          <w:tcPr>
            <w:tcW w:w="1141" w:type="pct"/>
            <w:noWrap/>
            <w:hideMark/>
          </w:tcPr>
          <w:p w14:paraId="6B9B932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Pseudomonas</w:t>
            </w:r>
          </w:p>
        </w:tc>
      </w:tr>
      <w:tr w:rsidR="00DA6475" w:rsidRPr="00435B6B" w14:paraId="43870A8D"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A316A4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04C77CB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740743A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Burkholderiales</w:t>
            </w:r>
          </w:p>
        </w:tc>
        <w:tc>
          <w:tcPr>
            <w:tcW w:w="1117" w:type="pct"/>
            <w:noWrap/>
            <w:hideMark/>
          </w:tcPr>
          <w:p w14:paraId="55BC389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Alcaligenaceae</w:t>
            </w:r>
          </w:p>
        </w:tc>
        <w:tc>
          <w:tcPr>
            <w:tcW w:w="1141" w:type="pct"/>
            <w:noWrap/>
            <w:hideMark/>
          </w:tcPr>
          <w:p w14:paraId="30D3AC5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Alcaligenaceae unclassified</w:t>
            </w:r>
          </w:p>
        </w:tc>
      </w:tr>
      <w:tr w:rsidR="00DA6475" w:rsidRPr="00435B6B" w14:paraId="74FB8B60"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EAC9C9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65" w:type="pct"/>
            <w:noWrap/>
            <w:hideMark/>
          </w:tcPr>
          <w:p w14:paraId="2F01014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117" w:type="pct"/>
            <w:noWrap/>
            <w:hideMark/>
          </w:tcPr>
          <w:p w14:paraId="549A331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Enterobacterales</w:t>
            </w:r>
          </w:p>
        </w:tc>
        <w:tc>
          <w:tcPr>
            <w:tcW w:w="1117" w:type="pct"/>
            <w:noWrap/>
            <w:hideMark/>
          </w:tcPr>
          <w:p w14:paraId="3AA6EBB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Enterobacteriaceae</w:t>
            </w:r>
          </w:p>
        </w:tc>
        <w:tc>
          <w:tcPr>
            <w:tcW w:w="1141" w:type="pct"/>
            <w:noWrap/>
            <w:hideMark/>
          </w:tcPr>
          <w:p w14:paraId="30ACEC8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Enterobacteriaceae unclassified</w:t>
            </w:r>
          </w:p>
        </w:tc>
      </w:tr>
    </w:tbl>
    <w:p w14:paraId="711EDDE1" w14:textId="77777777" w:rsidR="00DA6475" w:rsidRPr="009819CE" w:rsidRDefault="00DA6475" w:rsidP="00DA6475">
      <w:pPr>
        <w:spacing w:before="0" w:after="160"/>
        <w:rPr>
          <w:rFonts w:eastAsia="Calibri" w:cstheme="minorBidi"/>
        </w:rPr>
      </w:pPr>
    </w:p>
    <w:p w14:paraId="4832F241" w14:textId="77777777" w:rsidR="00DA6475" w:rsidRPr="009819CE" w:rsidRDefault="00DA6475" w:rsidP="00DA6475">
      <w:pPr>
        <w:spacing w:before="0" w:after="160"/>
        <w:rPr>
          <w:rFonts w:eastAsia="Calibri" w:cstheme="minorBidi"/>
          <w:i/>
          <w:iCs/>
        </w:rPr>
        <w:sectPr w:rsidR="00DA6475" w:rsidRPr="009819CE" w:rsidSect="003A7A28">
          <w:pgSz w:w="16838" w:h="11906" w:orient="landscape" w:code="9"/>
          <w:pgMar w:top="1440" w:right="1440" w:bottom="1440" w:left="1440" w:header="708" w:footer="708" w:gutter="0"/>
          <w:cols w:space="708"/>
          <w:docGrid w:linePitch="360"/>
        </w:sectPr>
      </w:pPr>
    </w:p>
    <w:p w14:paraId="658488A5" w14:textId="4B25C0FC" w:rsidR="00DA6475" w:rsidRPr="009819CE" w:rsidRDefault="009E22E9" w:rsidP="009E22E9">
      <w:pPr>
        <w:pStyle w:val="Caption"/>
        <w:rPr>
          <w:rFonts w:asciiTheme="minorBidi" w:hAnsiTheme="minorBidi" w:cstheme="minorBidi"/>
          <w:bCs/>
        </w:rPr>
      </w:pPr>
      <w:bookmarkStart w:id="794" w:name="_Ref157965386"/>
      <w:bookmarkStart w:id="795" w:name="_Toc204106774"/>
      <w:r w:rsidRPr="009819CE">
        <w:rPr>
          <w:rFonts w:asciiTheme="minorBidi" w:hAnsiTheme="minorBidi" w:cstheme="minorBidi"/>
          <w:b/>
          <w:bCs/>
        </w:rPr>
        <w:t xml:space="preserve">Table S3. </w:t>
      </w:r>
      <w:r w:rsidRPr="009819CE">
        <w:rPr>
          <w:rFonts w:asciiTheme="minorBidi" w:hAnsiTheme="minorBidi" w:cstheme="minorBidi"/>
          <w:b/>
          <w:bCs/>
        </w:rPr>
        <w:fldChar w:fldCharType="begin"/>
      </w:r>
      <w:r w:rsidRPr="009819CE">
        <w:rPr>
          <w:rFonts w:asciiTheme="minorBidi" w:hAnsiTheme="minorBidi" w:cstheme="minorBidi"/>
          <w:b/>
          <w:bCs/>
        </w:rPr>
        <w:instrText xml:space="preserve"> SEQ Table_S3. \* ARABIC </w:instrText>
      </w:r>
      <w:r w:rsidRPr="009819CE">
        <w:rPr>
          <w:rFonts w:asciiTheme="minorBidi" w:hAnsiTheme="minorBidi" w:cstheme="minorBidi"/>
          <w:b/>
          <w:bCs/>
        </w:rPr>
        <w:fldChar w:fldCharType="separate"/>
      </w:r>
      <w:r w:rsidR="008549FC">
        <w:rPr>
          <w:rFonts w:asciiTheme="minorBidi" w:hAnsiTheme="minorBidi" w:cstheme="minorBidi"/>
          <w:b/>
          <w:bCs/>
          <w:noProof/>
        </w:rPr>
        <w:t>2</w:t>
      </w:r>
      <w:r w:rsidRPr="009819CE">
        <w:rPr>
          <w:rFonts w:asciiTheme="minorBidi" w:hAnsiTheme="minorBidi" w:cstheme="minorBidi"/>
          <w:b/>
          <w:bCs/>
        </w:rPr>
        <w:fldChar w:fldCharType="end"/>
      </w:r>
      <w:bookmarkEnd w:id="794"/>
      <w:r w:rsidRPr="009819CE">
        <w:rPr>
          <w:rFonts w:asciiTheme="minorBidi" w:hAnsiTheme="minorBidi" w:cstheme="minorBidi"/>
        </w:rPr>
        <w:t xml:space="preserve"> </w:t>
      </w:r>
      <w:r w:rsidR="00DA6475" w:rsidRPr="009819CE">
        <w:rPr>
          <w:rFonts w:asciiTheme="minorBidi" w:hAnsiTheme="minorBidi" w:cstheme="minorBidi"/>
          <w:bCs/>
        </w:rPr>
        <w:t xml:space="preserve">The core microbiome of gut of apparent </w:t>
      </w:r>
      <w:r w:rsidR="00D94DC1" w:rsidRPr="00435B6B">
        <w:rPr>
          <w:rFonts w:asciiTheme="minorBidi" w:hAnsiTheme="minorBidi" w:cstheme="minorBidi"/>
          <w:bCs/>
        </w:rPr>
        <w:t>“healthy”</w:t>
      </w:r>
      <w:r w:rsidR="00DA6475" w:rsidRPr="009819CE">
        <w:rPr>
          <w:rFonts w:asciiTheme="minorBidi" w:hAnsiTheme="minorBidi" w:cstheme="minorBidi"/>
          <w:bCs/>
        </w:rPr>
        <w:t xml:space="preserve"> </w:t>
      </w:r>
      <w:r w:rsidR="00C31E47" w:rsidRPr="009819CE">
        <w:rPr>
          <w:rFonts w:asciiTheme="minorBidi" w:hAnsiTheme="minorBidi" w:cstheme="minorBidi"/>
          <w:bCs/>
          <w:i/>
        </w:rPr>
        <w:t>Nephrops</w:t>
      </w:r>
      <w:r w:rsidR="00DA6475" w:rsidRPr="009819CE">
        <w:rPr>
          <w:rFonts w:asciiTheme="minorBidi" w:hAnsiTheme="minorBidi" w:cstheme="minorBidi"/>
          <w:bCs/>
        </w:rPr>
        <w:t xml:space="preserve"> norvegicus (tested negative for </w:t>
      </w:r>
      <w:r w:rsidR="009D03F4" w:rsidRPr="009819CE">
        <w:rPr>
          <w:rFonts w:asciiTheme="minorBidi" w:hAnsiTheme="minorBidi" w:cstheme="minorBidi"/>
          <w:bCs/>
          <w:i/>
        </w:rPr>
        <w:t>Hematodinium</w:t>
      </w:r>
      <w:r w:rsidR="00DA6475" w:rsidRPr="009819CE">
        <w:rPr>
          <w:rFonts w:asciiTheme="minorBidi" w:hAnsiTheme="minorBidi" w:cstheme="minorBidi"/>
          <w:bCs/>
        </w:rPr>
        <w:t xml:space="preserve"> sp. by BCM, PM, PCR, histology, n=45).</w:t>
      </w:r>
      <w:bookmarkEnd w:id="795"/>
    </w:p>
    <w:tbl>
      <w:tblPr>
        <w:tblStyle w:val="PlainTable23"/>
        <w:tblW w:w="5000" w:type="pct"/>
        <w:tblLayout w:type="fixed"/>
        <w:tblLook w:val="04A0" w:firstRow="1" w:lastRow="0" w:firstColumn="1" w:lastColumn="0" w:noHBand="0" w:noVBand="1"/>
      </w:tblPr>
      <w:tblGrid>
        <w:gridCol w:w="2127"/>
        <w:gridCol w:w="2554"/>
        <w:gridCol w:w="2831"/>
        <w:gridCol w:w="3403"/>
        <w:gridCol w:w="3043"/>
      </w:tblGrid>
      <w:tr w:rsidR="00DA6475" w:rsidRPr="00435B6B" w14:paraId="17FDFB68" w14:textId="77777777" w:rsidTr="007D660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287B0466" w14:textId="77777777" w:rsidR="00DA6475" w:rsidRPr="009819CE" w:rsidRDefault="00DA6475" w:rsidP="00DA6475">
            <w:pPr>
              <w:spacing w:before="0" w:after="0"/>
              <w:rPr>
                <w:rFonts w:eastAsia="Calibri" w:cstheme="minorBidi"/>
                <w:b w:val="0"/>
                <w:bCs w:val="0"/>
                <w:color w:val="000000"/>
                <w:sz w:val="22"/>
                <w:szCs w:val="22"/>
                <w:lang w:eastAsia="en-US"/>
              </w:rPr>
            </w:pPr>
            <w:r w:rsidRPr="009819CE">
              <w:rPr>
                <w:rFonts w:eastAsia="Calibri" w:cstheme="minorBidi"/>
                <w:color w:val="000000"/>
                <w:sz w:val="22"/>
                <w:szCs w:val="22"/>
                <w:lang w:eastAsia="en-US"/>
              </w:rPr>
              <w:t>Phylum</w:t>
            </w:r>
          </w:p>
        </w:tc>
        <w:tc>
          <w:tcPr>
            <w:tcW w:w="915" w:type="pct"/>
            <w:noWrap/>
            <w:hideMark/>
          </w:tcPr>
          <w:p w14:paraId="12648A75"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Class</w:t>
            </w:r>
          </w:p>
        </w:tc>
        <w:tc>
          <w:tcPr>
            <w:tcW w:w="1014" w:type="pct"/>
            <w:noWrap/>
            <w:hideMark/>
          </w:tcPr>
          <w:p w14:paraId="36207655"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Order</w:t>
            </w:r>
          </w:p>
        </w:tc>
        <w:tc>
          <w:tcPr>
            <w:tcW w:w="1219" w:type="pct"/>
            <w:noWrap/>
            <w:hideMark/>
          </w:tcPr>
          <w:p w14:paraId="16686DD4"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Family</w:t>
            </w:r>
          </w:p>
        </w:tc>
        <w:tc>
          <w:tcPr>
            <w:tcW w:w="1090" w:type="pct"/>
            <w:noWrap/>
            <w:hideMark/>
          </w:tcPr>
          <w:p w14:paraId="3F4A146A" w14:textId="77777777" w:rsidR="00DA6475" w:rsidRPr="009819CE" w:rsidRDefault="00DA6475" w:rsidP="00DA6475">
            <w:pPr>
              <w:spacing w:before="0" w:after="0"/>
              <w:cnfStyle w:val="100000000000" w:firstRow="1" w:lastRow="0" w:firstColumn="0" w:lastColumn="0" w:oddVBand="0" w:evenVBand="0" w:oddHBand="0" w:evenHBand="0" w:firstRowFirstColumn="0" w:firstRowLastColumn="0" w:lastRowFirstColumn="0" w:lastRowLastColumn="0"/>
              <w:rPr>
                <w:rFonts w:eastAsia="Calibri" w:cstheme="minorBidi"/>
                <w:b w:val="0"/>
                <w:bCs w:val="0"/>
                <w:color w:val="000000"/>
                <w:sz w:val="22"/>
                <w:szCs w:val="22"/>
                <w:lang w:eastAsia="en-US"/>
              </w:rPr>
            </w:pPr>
            <w:r w:rsidRPr="009819CE">
              <w:rPr>
                <w:rFonts w:eastAsia="Calibri" w:cstheme="minorBidi"/>
                <w:color w:val="000000"/>
                <w:sz w:val="22"/>
                <w:szCs w:val="22"/>
                <w:lang w:eastAsia="en-US"/>
              </w:rPr>
              <w:t>Genus</w:t>
            </w:r>
          </w:p>
        </w:tc>
      </w:tr>
      <w:tr w:rsidR="00DA6475" w:rsidRPr="00435B6B" w14:paraId="42CCD6BE"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05A2708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915" w:type="pct"/>
            <w:noWrap/>
            <w:hideMark/>
          </w:tcPr>
          <w:p w14:paraId="43C43AF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Bacteroidia</w:t>
            </w:r>
          </w:p>
        </w:tc>
        <w:tc>
          <w:tcPr>
            <w:tcW w:w="1014" w:type="pct"/>
            <w:noWrap/>
            <w:hideMark/>
          </w:tcPr>
          <w:p w14:paraId="5A1717F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Bacteroidales</w:t>
            </w:r>
          </w:p>
        </w:tc>
        <w:tc>
          <w:tcPr>
            <w:tcW w:w="1219" w:type="pct"/>
            <w:noWrap/>
            <w:hideMark/>
          </w:tcPr>
          <w:p w14:paraId="42FEE00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Marinilabiliaceae</w:t>
            </w:r>
          </w:p>
        </w:tc>
        <w:tc>
          <w:tcPr>
            <w:tcW w:w="1090" w:type="pct"/>
            <w:noWrap/>
            <w:hideMark/>
          </w:tcPr>
          <w:p w14:paraId="46E4639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Carboxylicivirga</w:t>
            </w:r>
          </w:p>
        </w:tc>
      </w:tr>
      <w:tr w:rsidR="00DA6475" w:rsidRPr="00435B6B" w14:paraId="441D8336"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475716C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915" w:type="pct"/>
            <w:noWrap/>
            <w:hideMark/>
          </w:tcPr>
          <w:p w14:paraId="7311D5B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Bacteroidia</w:t>
            </w:r>
          </w:p>
        </w:tc>
        <w:tc>
          <w:tcPr>
            <w:tcW w:w="1014" w:type="pct"/>
            <w:noWrap/>
            <w:hideMark/>
          </w:tcPr>
          <w:p w14:paraId="0E41A0C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Bacteroidales</w:t>
            </w:r>
          </w:p>
        </w:tc>
        <w:tc>
          <w:tcPr>
            <w:tcW w:w="1219" w:type="pct"/>
            <w:noWrap/>
            <w:hideMark/>
          </w:tcPr>
          <w:p w14:paraId="06C0F7F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Marinifilaceae</w:t>
            </w:r>
          </w:p>
        </w:tc>
        <w:tc>
          <w:tcPr>
            <w:tcW w:w="1090" w:type="pct"/>
            <w:noWrap/>
            <w:hideMark/>
          </w:tcPr>
          <w:p w14:paraId="33F4744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Marinifilum</w:t>
            </w:r>
          </w:p>
        </w:tc>
      </w:tr>
      <w:tr w:rsidR="00DA6475" w:rsidRPr="00435B6B" w14:paraId="444CB25B"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3B3F8A08" w14:textId="54A5A60B" w:rsidR="00DA6475" w:rsidRPr="009819CE" w:rsidRDefault="00815D08" w:rsidP="00DA6475">
            <w:pPr>
              <w:spacing w:before="0" w:after="0"/>
              <w:rPr>
                <w:rFonts w:eastAsia="Calibri" w:cstheme="minorBidi"/>
                <w:b w:val="0"/>
                <w:bCs w:val="0"/>
                <w:i/>
                <w:iCs/>
                <w:color w:val="000000"/>
                <w:sz w:val="22"/>
                <w:szCs w:val="22"/>
                <w:lang w:eastAsia="en-US"/>
              </w:rPr>
            </w:pPr>
            <w:r w:rsidRPr="007E6468">
              <w:rPr>
                <w:rFonts w:ascii="Arial (Body CS)" w:eastAsia="Calibri" w:hAnsi="Arial (Body CS)" w:cstheme="minorBidi"/>
                <w:i/>
                <w:iCs/>
                <w:color w:val="000000"/>
                <w:sz w:val="22"/>
                <w:szCs w:val="22"/>
                <w:lang w:eastAsia="en-US"/>
              </w:rPr>
              <w:t>Campylobacterota</w:t>
            </w:r>
          </w:p>
        </w:tc>
        <w:tc>
          <w:tcPr>
            <w:tcW w:w="915" w:type="pct"/>
            <w:noWrap/>
            <w:hideMark/>
          </w:tcPr>
          <w:p w14:paraId="0F9F1F7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Campylobacteria</w:t>
            </w:r>
          </w:p>
        </w:tc>
        <w:tc>
          <w:tcPr>
            <w:tcW w:w="1014" w:type="pct"/>
            <w:noWrap/>
            <w:hideMark/>
          </w:tcPr>
          <w:p w14:paraId="6686C17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Campylobacterales</w:t>
            </w:r>
          </w:p>
        </w:tc>
        <w:tc>
          <w:tcPr>
            <w:tcW w:w="1219" w:type="pct"/>
            <w:noWrap/>
            <w:hideMark/>
          </w:tcPr>
          <w:p w14:paraId="5AB7E22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Arcobacteraceae</w:t>
            </w:r>
          </w:p>
        </w:tc>
        <w:tc>
          <w:tcPr>
            <w:tcW w:w="1090" w:type="pct"/>
            <w:noWrap/>
            <w:hideMark/>
          </w:tcPr>
          <w:p w14:paraId="5B6B73F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Halarcobacter</w:t>
            </w:r>
          </w:p>
        </w:tc>
      </w:tr>
      <w:tr w:rsidR="00DA6475" w:rsidRPr="00435B6B" w14:paraId="6BC9D6EC"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4D632EE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915" w:type="pct"/>
            <w:noWrap/>
            <w:hideMark/>
          </w:tcPr>
          <w:p w14:paraId="710BA96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Desulfobacteria</w:t>
            </w:r>
          </w:p>
        </w:tc>
        <w:tc>
          <w:tcPr>
            <w:tcW w:w="1014" w:type="pct"/>
            <w:noWrap/>
            <w:hideMark/>
          </w:tcPr>
          <w:p w14:paraId="676E27C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Desulfobacterales</w:t>
            </w:r>
          </w:p>
        </w:tc>
        <w:tc>
          <w:tcPr>
            <w:tcW w:w="1219" w:type="pct"/>
            <w:noWrap/>
            <w:hideMark/>
          </w:tcPr>
          <w:p w14:paraId="07F833C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uncultured</w:t>
            </w:r>
          </w:p>
        </w:tc>
        <w:tc>
          <w:tcPr>
            <w:tcW w:w="1090" w:type="pct"/>
            <w:noWrap/>
            <w:hideMark/>
          </w:tcPr>
          <w:p w14:paraId="57E79EF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uncultured</w:t>
            </w:r>
          </w:p>
        </w:tc>
      </w:tr>
      <w:tr w:rsidR="00DA6475" w:rsidRPr="00435B6B" w14:paraId="2730F44A"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3947053C"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915" w:type="pct"/>
            <w:noWrap/>
            <w:hideMark/>
          </w:tcPr>
          <w:p w14:paraId="74A09F0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Desulfobulbia</w:t>
            </w:r>
          </w:p>
        </w:tc>
        <w:tc>
          <w:tcPr>
            <w:tcW w:w="1014" w:type="pct"/>
            <w:noWrap/>
            <w:hideMark/>
          </w:tcPr>
          <w:p w14:paraId="5102577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Desulfobulbales</w:t>
            </w:r>
          </w:p>
        </w:tc>
        <w:tc>
          <w:tcPr>
            <w:tcW w:w="1219" w:type="pct"/>
            <w:noWrap/>
            <w:hideMark/>
          </w:tcPr>
          <w:p w14:paraId="61E159F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Desulfocapsaceae</w:t>
            </w:r>
          </w:p>
        </w:tc>
        <w:tc>
          <w:tcPr>
            <w:tcW w:w="1090" w:type="pct"/>
            <w:noWrap/>
            <w:hideMark/>
          </w:tcPr>
          <w:p w14:paraId="1D46849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 xml:space="preserve">Desulfocapsaceae </w:t>
            </w:r>
          </w:p>
          <w:p w14:paraId="3558B55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r>
      <w:tr w:rsidR="00DA6475" w:rsidRPr="00435B6B" w14:paraId="373B5603"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1C188B2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915" w:type="pct"/>
            <w:noWrap/>
            <w:hideMark/>
          </w:tcPr>
          <w:p w14:paraId="749E5F6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Desulfovibrionia</w:t>
            </w:r>
          </w:p>
        </w:tc>
        <w:tc>
          <w:tcPr>
            <w:tcW w:w="1014" w:type="pct"/>
            <w:noWrap/>
            <w:hideMark/>
          </w:tcPr>
          <w:p w14:paraId="7ABFF51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Desulfovibrionales</w:t>
            </w:r>
          </w:p>
        </w:tc>
        <w:tc>
          <w:tcPr>
            <w:tcW w:w="1219" w:type="pct"/>
            <w:noWrap/>
            <w:hideMark/>
          </w:tcPr>
          <w:p w14:paraId="312B915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Desulfovibrionaceae</w:t>
            </w:r>
          </w:p>
        </w:tc>
        <w:tc>
          <w:tcPr>
            <w:tcW w:w="1090" w:type="pct"/>
            <w:noWrap/>
            <w:hideMark/>
          </w:tcPr>
          <w:p w14:paraId="6F73597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Desulfovibrio</w:t>
            </w:r>
          </w:p>
        </w:tc>
      </w:tr>
      <w:tr w:rsidR="00DA6475" w:rsidRPr="00435B6B" w14:paraId="72A507AD"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7A5F84A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915" w:type="pct"/>
            <w:noWrap/>
            <w:hideMark/>
          </w:tcPr>
          <w:p w14:paraId="3D7028F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Desulfobulbia</w:t>
            </w:r>
          </w:p>
        </w:tc>
        <w:tc>
          <w:tcPr>
            <w:tcW w:w="1014" w:type="pct"/>
            <w:noWrap/>
            <w:hideMark/>
          </w:tcPr>
          <w:p w14:paraId="12E1991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Desulfobulbales</w:t>
            </w:r>
          </w:p>
        </w:tc>
        <w:tc>
          <w:tcPr>
            <w:tcW w:w="1219" w:type="pct"/>
            <w:noWrap/>
            <w:hideMark/>
          </w:tcPr>
          <w:p w14:paraId="73BA50F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Desulfocapsaceae</w:t>
            </w:r>
          </w:p>
        </w:tc>
        <w:tc>
          <w:tcPr>
            <w:tcW w:w="1090" w:type="pct"/>
            <w:noWrap/>
            <w:hideMark/>
          </w:tcPr>
          <w:p w14:paraId="4DC0A5C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Desulfotalea</w:t>
            </w:r>
          </w:p>
        </w:tc>
      </w:tr>
      <w:tr w:rsidR="00DA6475" w:rsidRPr="00435B6B" w14:paraId="057F5C35"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40247B1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15" w:type="pct"/>
            <w:noWrap/>
            <w:hideMark/>
          </w:tcPr>
          <w:p w14:paraId="5294371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014" w:type="pct"/>
            <w:noWrap/>
            <w:hideMark/>
          </w:tcPr>
          <w:p w14:paraId="1B125D9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Erysipelotrichales</w:t>
            </w:r>
          </w:p>
        </w:tc>
        <w:tc>
          <w:tcPr>
            <w:tcW w:w="1219" w:type="pct"/>
            <w:noWrap/>
            <w:hideMark/>
          </w:tcPr>
          <w:p w14:paraId="2A9D942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tc>
        <w:tc>
          <w:tcPr>
            <w:tcW w:w="1090" w:type="pct"/>
            <w:noWrap/>
            <w:hideMark/>
          </w:tcPr>
          <w:p w14:paraId="7A4A0A7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ZOR0006</w:t>
            </w:r>
          </w:p>
        </w:tc>
      </w:tr>
      <w:tr w:rsidR="00DA6475" w:rsidRPr="00435B6B" w14:paraId="3F85D994"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020117E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915" w:type="pct"/>
            <w:noWrap/>
            <w:hideMark/>
          </w:tcPr>
          <w:p w14:paraId="7EFF9B3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Bacilli</w:t>
            </w:r>
          </w:p>
        </w:tc>
        <w:tc>
          <w:tcPr>
            <w:tcW w:w="1014" w:type="pct"/>
            <w:noWrap/>
            <w:hideMark/>
          </w:tcPr>
          <w:p w14:paraId="2EF1743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Mycoplasmatales</w:t>
            </w:r>
          </w:p>
        </w:tc>
        <w:tc>
          <w:tcPr>
            <w:tcW w:w="1219" w:type="pct"/>
            <w:noWrap/>
            <w:hideMark/>
          </w:tcPr>
          <w:p w14:paraId="0003D1B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Mycoplasmataceae</w:t>
            </w:r>
          </w:p>
        </w:tc>
        <w:tc>
          <w:tcPr>
            <w:tcW w:w="1090" w:type="pct"/>
            <w:noWrap/>
            <w:hideMark/>
          </w:tcPr>
          <w:p w14:paraId="2D91701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Candidatus Bacilloplasma</w:t>
            </w:r>
          </w:p>
        </w:tc>
      </w:tr>
      <w:tr w:rsidR="00DA6475" w:rsidRPr="00435B6B" w14:paraId="2C5C25B2"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0CF8E56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Fusobacteriota</w:t>
            </w:r>
          </w:p>
        </w:tc>
        <w:tc>
          <w:tcPr>
            <w:tcW w:w="915" w:type="pct"/>
            <w:noWrap/>
            <w:hideMark/>
          </w:tcPr>
          <w:p w14:paraId="4385B8D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Fusobacteriia</w:t>
            </w:r>
          </w:p>
        </w:tc>
        <w:tc>
          <w:tcPr>
            <w:tcW w:w="1014" w:type="pct"/>
            <w:noWrap/>
            <w:hideMark/>
          </w:tcPr>
          <w:p w14:paraId="7C103BA8"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Fusobacteriales</w:t>
            </w:r>
          </w:p>
        </w:tc>
        <w:tc>
          <w:tcPr>
            <w:tcW w:w="1219" w:type="pct"/>
            <w:noWrap/>
            <w:hideMark/>
          </w:tcPr>
          <w:p w14:paraId="15CDA76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Fusobacteriaceae</w:t>
            </w:r>
          </w:p>
        </w:tc>
        <w:tc>
          <w:tcPr>
            <w:tcW w:w="1090" w:type="pct"/>
            <w:noWrap/>
            <w:hideMark/>
          </w:tcPr>
          <w:p w14:paraId="0D9BC83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Psychrilyobacter</w:t>
            </w:r>
          </w:p>
        </w:tc>
      </w:tr>
      <w:tr w:rsidR="00DA6475" w:rsidRPr="00435B6B" w14:paraId="06CC20AF"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661ED6F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15" w:type="pct"/>
            <w:noWrap/>
            <w:hideMark/>
          </w:tcPr>
          <w:p w14:paraId="482A59A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Alphaproteobacteria</w:t>
            </w:r>
          </w:p>
        </w:tc>
        <w:tc>
          <w:tcPr>
            <w:tcW w:w="1014" w:type="pct"/>
            <w:noWrap/>
            <w:hideMark/>
          </w:tcPr>
          <w:p w14:paraId="1BBE999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Alphaproteobacteria unclassified</w:t>
            </w:r>
          </w:p>
        </w:tc>
        <w:tc>
          <w:tcPr>
            <w:tcW w:w="1219" w:type="pct"/>
            <w:noWrap/>
            <w:hideMark/>
          </w:tcPr>
          <w:p w14:paraId="7A17E11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 xml:space="preserve">Alphaproteobacteria </w:t>
            </w:r>
          </w:p>
          <w:p w14:paraId="012427E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1090" w:type="pct"/>
            <w:noWrap/>
            <w:hideMark/>
          </w:tcPr>
          <w:p w14:paraId="631A661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Alphaproteobacteria unclassified</w:t>
            </w:r>
          </w:p>
        </w:tc>
      </w:tr>
      <w:tr w:rsidR="00DA6475" w:rsidRPr="00435B6B" w14:paraId="21C7CCF9"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600E96B7"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15" w:type="pct"/>
            <w:noWrap/>
            <w:hideMark/>
          </w:tcPr>
          <w:p w14:paraId="2AB8CCB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014" w:type="pct"/>
            <w:noWrap/>
            <w:hideMark/>
          </w:tcPr>
          <w:p w14:paraId="0E9240F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Vibrionales</w:t>
            </w:r>
          </w:p>
        </w:tc>
        <w:tc>
          <w:tcPr>
            <w:tcW w:w="1219" w:type="pct"/>
            <w:noWrap/>
            <w:hideMark/>
          </w:tcPr>
          <w:p w14:paraId="1BD38F0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Vibrionaceae</w:t>
            </w:r>
          </w:p>
        </w:tc>
        <w:tc>
          <w:tcPr>
            <w:tcW w:w="1090" w:type="pct"/>
            <w:noWrap/>
            <w:hideMark/>
          </w:tcPr>
          <w:p w14:paraId="1E2237E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w:t>
            </w:r>
          </w:p>
        </w:tc>
      </w:tr>
      <w:tr w:rsidR="00DA6475" w:rsidRPr="00435B6B" w14:paraId="19ECA2A9"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090F327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915" w:type="pct"/>
            <w:noWrap/>
            <w:hideMark/>
          </w:tcPr>
          <w:p w14:paraId="270EE58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Gammaproteobacteria</w:t>
            </w:r>
          </w:p>
        </w:tc>
        <w:tc>
          <w:tcPr>
            <w:tcW w:w="1014" w:type="pct"/>
            <w:noWrap/>
            <w:hideMark/>
          </w:tcPr>
          <w:p w14:paraId="01893D8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Vibrionales</w:t>
            </w:r>
          </w:p>
        </w:tc>
        <w:tc>
          <w:tcPr>
            <w:tcW w:w="1219" w:type="pct"/>
            <w:noWrap/>
            <w:hideMark/>
          </w:tcPr>
          <w:p w14:paraId="0909F55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Vibrionaceae</w:t>
            </w:r>
          </w:p>
        </w:tc>
        <w:tc>
          <w:tcPr>
            <w:tcW w:w="1090" w:type="pct"/>
            <w:noWrap/>
            <w:hideMark/>
          </w:tcPr>
          <w:p w14:paraId="5E1655F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Photobacterium</w:t>
            </w:r>
          </w:p>
        </w:tc>
      </w:tr>
      <w:tr w:rsidR="00DA6475" w:rsidRPr="00435B6B" w14:paraId="7523CC6B" w14:textId="77777777" w:rsidTr="007D6607">
        <w:trPr>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2628F8E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Spirochaetota</w:t>
            </w:r>
          </w:p>
        </w:tc>
        <w:tc>
          <w:tcPr>
            <w:tcW w:w="915" w:type="pct"/>
            <w:noWrap/>
            <w:hideMark/>
          </w:tcPr>
          <w:p w14:paraId="0CE2532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Spirochaetia</w:t>
            </w:r>
          </w:p>
        </w:tc>
        <w:tc>
          <w:tcPr>
            <w:tcW w:w="1014" w:type="pct"/>
            <w:noWrap/>
            <w:hideMark/>
          </w:tcPr>
          <w:p w14:paraId="619D85D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Spirochaetales</w:t>
            </w:r>
          </w:p>
        </w:tc>
        <w:tc>
          <w:tcPr>
            <w:tcW w:w="1219" w:type="pct"/>
            <w:noWrap/>
            <w:hideMark/>
          </w:tcPr>
          <w:p w14:paraId="7325690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Spirochaetaceae</w:t>
            </w:r>
          </w:p>
        </w:tc>
        <w:tc>
          <w:tcPr>
            <w:tcW w:w="1090" w:type="pct"/>
            <w:noWrap/>
            <w:hideMark/>
          </w:tcPr>
          <w:p w14:paraId="7D3BAB3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Spirochaeta 2</w:t>
            </w:r>
          </w:p>
        </w:tc>
      </w:tr>
      <w:tr w:rsidR="00DA6475" w:rsidRPr="00435B6B" w14:paraId="773A91F9" w14:textId="77777777" w:rsidTr="007D660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62" w:type="pct"/>
            <w:noWrap/>
            <w:hideMark/>
          </w:tcPr>
          <w:p w14:paraId="79661FA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915" w:type="pct"/>
            <w:noWrap/>
            <w:hideMark/>
          </w:tcPr>
          <w:p w14:paraId="5DDA24F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Lentisphaeria</w:t>
            </w:r>
          </w:p>
        </w:tc>
        <w:tc>
          <w:tcPr>
            <w:tcW w:w="1014" w:type="pct"/>
            <w:noWrap/>
            <w:hideMark/>
          </w:tcPr>
          <w:p w14:paraId="14C8C79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w:t>
            </w:r>
          </w:p>
        </w:tc>
        <w:tc>
          <w:tcPr>
            <w:tcW w:w="1219" w:type="pct"/>
            <w:noWrap/>
            <w:hideMark/>
          </w:tcPr>
          <w:p w14:paraId="759E882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 fa</w:t>
            </w:r>
          </w:p>
        </w:tc>
        <w:tc>
          <w:tcPr>
            <w:tcW w:w="1090" w:type="pct"/>
            <w:noWrap/>
            <w:hideMark/>
          </w:tcPr>
          <w:p w14:paraId="5DD95FB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 ge</w:t>
            </w:r>
          </w:p>
        </w:tc>
      </w:tr>
    </w:tbl>
    <w:p w14:paraId="1CFF0621" w14:textId="77777777" w:rsidR="00DA6475" w:rsidRPr="009819CE" w:rsidRDefault="00DA6475" w:rsidP="00DA6475">
      <w:pPr>
        <w:spacing w:before="0" w:after="0" w:line="240" w:lineRule="auto"/>
        <w:jc w:val="left"/>
        <w:rPr>
          <w:rFonts w:cstheme="minorBidi"/>
          <w:bCs/>
          <w:sz w:val="22"/>
          <w:szCs w:val="18"/>
        </w:rPr>
        <w:sectPr w:rsidR="00DA6475" w:rsidRPr="009819CE" w:rsidSect="003A7A28">
          <w:pgSz w:w="16838" w:h="11906" w:orient="landscape" w:code="9"/>
          <w:pgMar w:top="1440" w:right="1440" w:bottom="1440" w:left="1440" w:header="708" w:footer="708" w:gutter="0"/>
          <w:cols w:space="708"/>
          <w:docGrid w:linePitch="360"/>
        </w:sectPr>
      </w:pPr>
    </w:p>
    <w:p w14:paraId="7E9ADF73" w14:textId="7965AD20" w:rsidR="00DA6475" w:rsidRPr="009819CE" w:rsidRDefault="009E22E9" w:rsidP="009E22E9">
      <w:pPr>
        <w:pStyle w:val="Caption"/>
        <w:rPr>
          <w:rFonts w:asciiTheme="minorBidi" w:hAnsiTheme="minorBidi" w:cstheme="minorBidi"/>
          <w:bCs/>
        </w:rPr>
      </w:pPr>
      <w:bookmarkStart w:id="796" w:name="_Ref157965415"/>
      <w:bookmarkStart w:id="797" w:name="_Toc204106775"/>
      <w:r w:rsidRPr="009819CE">
        <w:rPr>
          <w:rFonts w:asciiTheme="minorBidi" w:hAnsiTheme="minorBidi" w:cstheme="minorBidi"/>
          <w:b/>
          <w:bCs/>
        </w:rPr>
        <w:t xml:space="preserve">Table S3. </w:t>
      </w:r>
      <w:r w:rsidRPr="009819CE">
        <w:rPr>
          <w:rFonts w:asciiTheme="minorBidi" w:hAnsiTheme="minorBidi" w:cstheme="minorBidi"/>
          <w:b/>
          <w:bCs/>
        </w:rPr>
        <w:fldChar w:fldCharType="begin"/>
      </w:r>
      <w:r w:rsidRPr="009819CE">
        <w:rPr>
          <w:rFonts w:asciiTheme="minorBidi" w:hAnsiTheme="minorBidi" w:cstheme="minorBidi"/>
          <w:b/>
          <w:bCs/>
        </w:rPr>
        <w:instrText xml:space="preserve"> SEQ Table_S3. \* ARABIC </w:instrText>
      </w:r>
      <w:r w:rsidRPr="009819CE">
        <w:rPr>
          <w:rFonts w:asciiTheme="minorBidi" w:hAnsiTheme="minorBidi" w:cstheme="minorBidi"/>
          <w:b/>
          <w:bCs/>
        </w:rPr>
        <w:fldChar w:fldCharType="separate"/>
      </w:r>
      <w:r w:rsidR="008549FC">
        <w:rPr>
          <w:rFonts w:asciiTheme="minorBidi" w:hAnsiTheme="minorBidi" w:cstheme="minorBidi"/>
          <w:b/>
          <w:bCs/>
          <w:noProof/>
        </w:rPr>
        <w:t>3</w:t>
      </w:r>
      <w:r w:rsidRPr="009819CE">
        <w:rPr>
          <w:rFonts w:asciiTheme="minorBidi" w:hAnsiTheme="minorBidi" w:cstheme="minorBidi"/>
          <w:b/>
          <w:bCs/>
        </w:rPr>
        <w:fldChar w:fldCharType="end"/>
      </w:r>
      <w:bookmarkEnd w:id="796"/>
      <w:r w:rsidRPr="009819CE">
        <w:rPr>
          <w:rFonts w:asciiTheme="minorBidi" w:hAnsiTheme="minorBidi" w:cstheme="minorBidi"/>
        </w:rPr>
        <w:t xml:space="preserve"> </w:t>
      </w:r>
      <w:r w:rsidR="00DA6475" w:rsidRPr="009819CE">
        <w:rPr>
          <w:rFonts w:asciiTheme="minorBidi" w:hAnsiTheme="minorBidi" w:cstheme="minorBidi"/>
          <w:bCs/>
        </w:rPr>
        <w:t xml:space="preserve">List of significantly different genera in the haemolymph microbiome of </w:t>
      </w:r>
      <w:r w:rsidR="00C31E47" w:rsidRPr="009819CE">
        <w:rPr>
          <w:rFonts w:asciiTheme="minorBidi" w:hAnsiTheme="minorBidi" w:cstheme="minorBidi"/>
          <w:bCs/>
          <w:i/>
        </w:rPr>
        <w:t>Nephrops</w:t>
      </w:r>
      <w:r w:rsidR="00DA6475" w:rsidRPr="009819CE">
        <w:rPr>
          <w:rFonts w:asciiTheme="minorBidi" w:hAnsiTheme="minorBidi" w:cstheme="minorBidi"/>
          <w:bCs/>
        </w:rPr>
        <w:t xml:space="preserve"> norvegicus between '</w:t>
      </w:r>
      <w:r w:rsidR="009D03F4" w:rsidRPr="009819CE">
        <w:rPr>
          <w:rFonts w:asciiTheme="minorBidi" w:hAnsiTheme="minorBidi" w:cstheme="minorBidi"/>
          <w:bCs/>
          <w:i/>
        </w:rPr>
        <w:t>Hematodinium</w:t>
      </w:r>
      <w:r w:rsidR="00DA6475" w:rsidRPr="009819CE">
        <w:rPr>
          <w:rFonts w:asciiTheme="minorBidi" w:hAnsiTheme="minorBidi" w:cstheme="minorBidi"/>
          <w:bCs/>
        </w:rPr>
        <w:t xml:space="preserve">-free' (Negative by BCM, PM, PCR, and Histology; n=22) and </w:t>
      </w:r>
      <w:r w:rsidR="009D03F4" w:rsidRPr="009819CE">
        <w:rPr>
          <w:rFonts w:asciiTheme="minorBidi" w:hAnsiTheme="minorBidi" w:cstheme="minorBidi"/>
          <w:bCs/>
          <w:i/>
        </w:rPr>
        <w:t>Hematodinium</w:t>
      </w:r>
      <w:r w:rsidR="00DA6475" w:rsidRPr="009819CE">
        <w:rPr>
          <w:rFonts w:asciiTheme="minorBidi" w:hAnsiTheme="minorBidi" w:cstheme="minorBidi"/>
          <w:bCs/>
        </w:rPr>
        <w:t xml:space="preserve"> positive (Positive by BCM, Pleopod Stages 3 and 4; n=22) (Wilcox rank-sum, p &lt; 0.05).</w:t>
      </w:r>
      <w:bookmarkEnd w:id="797"/>
    </w:p>
    <w:tbl>
      <w:tblPr>
        <w:tblStyle w:val="PlainTable23"/>
        <w:tblW w:w="5000" w:type="pct"/>
        <w:jc w:val="center"/>
        <w:tblLayout w:type="fixed"/>
        <w:tblLook w:val="04A0" w:firstRow="1" w:lastRow="0" w:firstColumn="1" w:lastColumn="0" w:noHBand="0" w:noVBand="1"/>
      </w:tblPr>
      <w:tblGrid>
        <w:gridCol w:w="2750"/>
        <w:gridCol w:w="3051"/>
        <w:gridCol w:w="2900"/>
        <w:gridCol w:w="1985"/>
        <w:gridCol w:w="1985"/>
        <w:gridCol w:w="1287"/>
      </w:tblGrid>
      <w:tr w:rsidR="00DA6475" w:rsidRPr="00435B6B" w14:paraId="1B4342AC" w14:textId="77777777" w:rsidTr="007D660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17" w:type="pct"/>
            <w:gridSpan w:val="3"/>
            <w:noWrap/>
            <w:vAlign w:val="center"/>
          </w:tcPr>
          <w:p w14:paraId="167B3937" w14:textId="77777777" w:rsidR="00DA6475" w:rsidRPr="009819CE" w:rsidRDefault="00DA6475" w:rsidP="00DA6475">
            <w:pPr>
              <w:spacing w:before="0" w:after="0"/>
              <w:jc w:val="center"/>
              <w:rPr>
                <w:rFonts w:eastAsia="Calibri" w:cstheme="minorBidi"/>
                <w:b w:val="0"/>
                <w:bCs w:val="0"/>
                <w:color w:val="000000"/>
                <w:sz w:val="22"/>
                <w:szCs w:val="22"/>
                <w:lang w:eastAsia="en-US"/>
              </w:rPr>
            </w:pPr>
            <w:r w:rsidRPr="009819CE">
              <w:rPr>
                <w:rFonts w:eastAsia="Calibri" w:cstheme="minorBidi"/>
                <w:sz w:val="22"/>
                <w:szCs w:val="22"/>
                <w:lang w:eastAsia="en-US"/>
              </w:rPr>
              <w:t>Taxonomy</w:t>
            </w:r>
          </w:p>
        </w:tc>
        <w:tc>
          <w:tcPr>
            <w:tcW w:w="1422" w:type="pct"/>
            <w:gridSpan w:val="2"/>
            <w:noWrap/>
            <w:vAlign w:val="center"/>
          </w:tcPr>
          <w:p w14:paraId="104E9EF7" w14:textId="77777777" w:rsidR="00DA6475" w:rsidRPr="009819CE" w:rsidRDefault="00DA6475" w:rsidP="00DA6475">
            <w:pPr>
              <w:spacing w:before="0" w:after="0"/>
              <w:jc w:val="center"/>
              <w:cnfStyle w:val="100000000000" w:firstRow="1" w:lastRow="0" w:firstColumn="0" w:lastColumn="0" w:oddVBand="0" w:evenVBand="0" w:oddHBand="0" w:evenHBand="0" w:firstRowFirstColumn="0" w:firstRowLastColumn="0" w:lastRowFirstColumn="0" w:lastRowLastColumn="0"/>
              <w:rPr>
                <w:rFonts w:eastAsia="Calibri" w:cstheme="minorBidi"/>
                <w:b w:val="0"/>
                <w:bCs w:val="0"/>
                <w:sz w:val="22"/>
                <w:szCs w:val="22"/>
                <w:lang w:eastAsia="en-US"/>
              </w:rPr>
            </w:pPr>
            <w:r w:rsidRPr="009819CE">
              <w:rPr>
                <w:rFonts w:eastAsia="Calibri" w:cstheme="minorBidi"/>
                <w:sz w:val="22"/>
                <w:szCs w:val="22"/>
                <w:lang w:eastAsia="en-US"/>
              </w:rPr>
              <w:t>Log 10 mean relative abundance</w:t>
            </w:r>
          </w:p>
        </w:tc>
        <w:tc>
          <w:tcPr>
            <w:tcW w:w="461" w:type="pct"/>
            <w:vMerge w:val="restart"/>
            <w:vAlign w:val="center"/>
          </w:tcPr>
          <w:p w14:paraId="3335351C" w14:textId="77777777" w:rsidR="00DA6475" w:rsidRPr="009819CE" w:rsidRDefault="00DA6475" w:rsidP="00DA6475">
            <w:pPr>
              <w:spacing w:before="0" w:after="160"/>
              <w:jc w:val="center"/>
              <w:cnfStyle w:val="100000000000" w:firstRow="1" w:lastRow="0" w:firstColumn="0" w:lastColumn="0" w:oddVBand="0" w:evenVBand="0" w:oddHBand="0" w:evenHBand="0" w:firstRowFirstColumn="0" w:firstRowLastColumn="0" w:lastRowFirstColumn="0" w:lastRowLastColumn="0"/>
              <w:rPr>
                <w:rFonts w:eastAsia="Calibri" w:cstheme="minorBidi"/>
                <w:b w:val="0"/>
                <w:bCs w:val="0"/>
                <w:sz w:val="22"/>
                <w:szCs w:val="22"/>
                <w:lang w:eastAsia="en-US"/>
              </w:rPr>
            </w:pPr>
            <w:r w:rsidRPr="009819CE">
              <w:rPr>
                <w:rFonts w:eastAsia="Calibri" w:cstheme="minorBidi"/>
                <w:sz w:val="22"/>
                <w:szCs w:val="22"/>
                <w:lang w:eastAsia="en-US"/>
              </w:rPr>
              <w:t>Adjusted p-value</w:t>
            </w:r>
          </w:p>
        </w:tc>
      </w:tr>
      <w:tr w:rsidR="00DA6475" w:rsidRPr="00435B6B" w14:paraId="6B335BD5"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E618F9B" w14:textId="77777777" w:rsidR="00DA6475" w:rsidRPr="009819CE" w:rsidRDefault="00DA6475" w:rsidP="00DA6475">
            <w:pPr>
              <w:spacing w:before="0" w:after="0"/>
              <w:jc w:val="center"/>
              <w:rPr>
                <w:rFonts w:eastAsia="Calibri" w:cstheme="minorBidi"/>
                <w:b w:val="0"/>
                <w:bCs w:val="0"/>
                <w:color w:val="000000"/>
                <w:sz w:val="22"/>
                <w:szCs w:val="22"/>
                <w:lang w:eastAsia="en-US"/>
              </w:rPr>
            </w:pPr>
            <w:r w:rsidRPr="009819CE">
              <w:rPr>
                <w:rFonts w:eastAsia="Calibri" w:cstheme="minorBidi"/>
                <w:color w:val="000000"/>
                <w:sz w:val="22"/>
                <w:szCs w:val="22"/>
                <w:lang w:eastAsia="en-US"/>
              </w:rPr>
              <w:t>Phylum</w:t>
            </w:r>
          </w:p>
        </w:tc>
        <w:tc>
          <w:tcPr>
            <w:tcW w:w="1093" w:type="pct"/>
            <w:noWrap/>
            <w:vAlign w:val="center"/>
            <w:hideMark/>
          </w:tcPr>
          <w:p w14:paraId="7FCF265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color w:val="000000"/>
                <w:sz w:val="22"/>
                <w:szCs w:val="22"/>
                <w:lang w:eastAsia="en-US"/>
              </w:rPr>
              <w:t>Family</w:t>
            </w:r>
          </w:p>
        </w:tc>
        <w:tc>
          <w:tcPr>
            <w:tcW w:w="1039" w:type="pct"/>
            <w:noWrap/>
            <w:vAlign w:val="center"/>
            <w:hideMark/>
          </w:tcPr>
          <w:p w14:paraId="48FDD8C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color w:val="000000"/>
                <w:sz w:val="22"/>
                <w:szCs w:val="22"/>
                <w:lang w:eastAsia="en-US"/>
              </w:rPr>
              <w:t>Genus</w:t>
            </w:r>
          </w:p>
        </w:tc>
        <w:tc>
          <w:tcPr>
            <w:tcW w:w="711" w:type="pct"/>
            <w:noWrap/>
            <w:vAlign w:val="center"/>
            <w:hideMark/>
          </w:tcPr>
          <w:p w14:paraId="4D712A2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sz w:val="22"/>
                <w:szCs w:val="22"/>
                <w:lang w:eastAsia="en-US"/>
              </w:rPr>
              <w:t>Negative</w:t>
            </w:r>
          </w:p>
        </w:tc>
        <w:tc>
          <w:tcPr>
            <w:tcW w:w="711" w:type="pct"/>
            <w:noWrap/>
            <w:vAlign w:val="center"/>
            <w:hideMark/>
          </w:tcPr>
          <w:p w14:paraId="096BAD7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sz w:val="22"/>
                <w:szCs w:val="22"/>
                <w:lang w:eastAsia="en-US"/>
              </w:rPr>
              <w:t>Positive</w:t>
            </w:r>
          </w:p>
        </w:tc>
        <w:tc>
          <w:tcPr>
            <w:tcW w:w="461" w:type="pct"/>
            <w:vMerge/>
            <w:noWrap/>
            <w:vAlign w:val="center"/>
            <w:hideMark/>
          </w:tcPr>
          <w:p w14:paraId="02EA2252" w14:textId="77777777" w:rsidR="00DA6475" w:rsidRPr="00435B6B"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p>
        </w:tc>
      </w:tr>
      <w:tr w:rsidR="00DA6475" w:rsidRPr="00435B6B" w14:paraId="28EB877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C56F57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1F14979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Acidobacteriaceae</w:t>
            </w:r>
          </w:p>
          <w:p w14:paraId="7408A49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w:t>
            </w:r>
          </w:p>
        </w:tc>
        <w:tc>
          <w:tcPr>
            <w:tcW w:w="1039" w:type="pct"/>
            <w:noWrap/>
            <w:vAlign w:val="center"/>
            <w:hideMark/>
          </w:tcPr>
          <w:p w14:paraId="0A9F372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Acidipila</w:t>
            </w:r>
          </w:p>
        </w:tc>
        <w:tc>
          <w:tcPr>
            <w:tcW w:w="711" w:type="pct"/>
            <w:noWrap/>
            <w:vAlign w:val="center"/>
            <w:hideMark/>
          </w:tcPr>
          <w:p w14:paraId="1913CE9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3.20E-04</w:t>
            </w:r>
          </w:p>
        </w:tc>
        <w:tc>
          <w:tcPr>
            <w:tcW w:w="711" w:type="pct"/>
            <w:noWrap/>
            <w:vAlign w:val="center"/>
            <w:hideMark/>
          </w:tcPr>
          <w:p w14:paraId="27E8BD7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4.89E-05</w:t>
            </w:r>
          </w:p>
        </w:tc>
        <w:tc>
          <w:tcPr>
            <w:tcW w:w="461" w:type="pct"/>
            <w:noWrap/>
            <w:vAlign w:val="center"/>
            <w:hideMark/>
          </w:tcPr>
          <w:p w14:paraId="26B92C7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2.37E-02</w:t>
            </w:r>
          </w:p>
        </w:tc>
      </w:tr>
      <w:tr w:rsidR="00DA6475" w:rsidRPr="00435B6B" w14:paraId="3AA055B1"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EB940A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53F1ADF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Acidobacteriae</w:t>
            </w:r>
          </w:p>
          <w:p w14:paraId="79AAD2C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1039" w:type="pct"/>
            <w:noWrap/>
            <w:vAlign w:val="center"/>
            <w:hideMark/>
          </w:tcPr>
          <w:p w14:paraId="296559D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Acidobacteriae</w:t>
            </w:r>
          </w:p>
          <w:p w14:paraId="30353C0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054D33C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2.01E-04</w:t>
            </w:r>
          </w:p>
        </w:tc>
        <w:tc>
          <w:tcPr>
            <w:tcW w:w="711" w:type="pct"/>
            <w:noWrap/>
            <w:vAlign w:val="center"/>
            <w:hideMark/>
          </w:tcPr>
          <w:p w14:paraId="7DC86BE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7.11E-05</w:t>
            </w:r>
          </w:p>
        </w:tc>
        <w:tc>
          <w:tcPr>
            <w:tcW w:w="461" w:type="pct"/>
            <w:noWrap/>
            <w:vAlign w:val="center"/>
            <w:hideMark/>
          </w:tcPr>
          <w:p w14:paraId="0CE14EF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6.96E-03</w:t>
            </w:r>
          </w:p>
        </w:tc>
      </w:tr>
      <w:tr w:rsidR="00DA6475" w:rsidRPr="00435B6B" w14:paraId="4200ECA4"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40444F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22D66D2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Bryobacteraceae</w:t>
            </w:r>
          </w:p>
        </w:tc>
        <w:tc>
          <w:tcPr>
            <w:tcW w:w="1039" w:type="pct"/>
            <w:noWrap/>
            <w:vAlign w:val="center"/>
            <w:hideMark/>
          </w:tcPr>
          <w:p w14:paraId="17265E9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Bryobacter</w:t>
            </w:r>
          </w:p>
        </w:tc>
        <w:tc>
          <w:tcPr>
            <w:tcW w:w="711" w:type="pct"/>
            <w:noWrap/>
            <w:vAlign w:val="center"/>
            <w:hideMark/>
          </w:tcPr>
          <w:p w14:paraId="36069BA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6.92E-04</w:t>
            </w:r>
          </w:p>
        </w:tc>
        <w:tc>
          <w:tcPr>
            <w:tcW w:w="711" w:type="pct"/>
            <w:noWrap/>
            <w:vAlign w:val="center"/>
            <w:hideMark/>
          </w:tcPr>
          <w:p w14:paraId="368DE0E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2.66E-04</w:t>
            </w:r>
          </w:p>
        </w:tc>
        <w:tc>
          <w:tcPr>
            <w:tcW w:w="461" w:type="pct"/>
            <w:noWrap/>
            <w:vAlign w:val="center"/>
            <w:hideMark/>
          </w:tcPr>
          <w:p w14:paraId="7BFA078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1.07E-02</w:t>
            </w:r>
          </w:p>
        </w:tc>
      </w:tr>
      <w:tr w:rsidR="00DA6475" w:rsidRPr="00435B6B" w14:paraId="241BDF9B"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883147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17B3E3C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Solibacteraceae</w:t>
            </w:r>
          </w:p>
        </w:tc>
        <w:tc>
          <w:tcPr>
            <w:tcW w:w="1039" w:type="pct"/>
            <w:noWrap/>
            <w:vAlign w:val="center"/>
            <w:hideMark/>
          </w:tcPr>
          <w:p w14:paraId="6B353F7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Candidatus</w:t>
            </w:r>
          </w:p>
          <w:p w14:paraId="74D1E9E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Solibacter</w:t>
            </w:r>
          </w:p>
        </w:tc>
        <w:tc>
          <w:tcPr>
            <w:tcW w:w="711" w:type="pct"/>
            <w:noWrap/>
            <w:vAlign w:val="center"/>
            <w:hideMark/>
          </w:tcPr>
          <w:p w14:paraId="34079CB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6.47E-04</w:t>
            </w:r>
          </w:p>
        </w:tc>
        <w:tc>
          <w:tcPr>
            <w:tcW w:w="711" w:type="pct"/>
            <w:noWrap/>
            <w:vAlign w:val="center"/>
            <w:hideMark/>
          </w:tcPr>
          <w:p w14:paraId="2314B35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1.69E-04</w:t>
            </w:r>
          </w:p>
        </w:tc>
        <w:tc>
          <w:tcPr>
            <w:tcW w:w="461" w:type="pct"/>
            <w:noWrap/>
            <w:vAlign w:val="center"/>
            <w:hideMark/>
          </w:tcPr>
          <w:p w14:paraId="6C30B85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1.26E-02</w:t>
            </w:r>
          </w:p>
        </w:tc>
      </w:tr>
      <w:tr w:rsidR="00DA6475" w:rsidRPr="00435B6B" w14:paraId="73DD889E"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C5E119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1FD6280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Acidobacteriaceae</w:t>
            </w:r>
          </w:p>
          <w:p w14:paraId="75CB2BC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w:t>
            </w:r>
          </w:p>
        </w:tc>
        <w:tc>
          <w:tcPr>
            <w:tcW w:w="1039" w:type="pct"/>
            <w:noWrap/>
            <w:vAlign w:val="center"/>
            <w:hideMark/>
          </w:tcPr>
          <w:p w14:paraId="0E5C305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Granulicella</w:t>
            </w:r>
          </w:p>
        </w:tc>
        <w:tc>
          <w:tcPr>
            <w:tcW w:w="711" w:type="pct"/>
            <w:noWrap/>
            <w:vAlign w:val="center"/>
            <w:hideMark/>
          </w:tcPr>
          <w:p w14:paraId="01B73D9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4.37E-04</w:t>
            </w:r>
          </w:p>
        </w:tc>
        <w:tc>
          <w:tcPr>
            <w:tcW w:w="711" w:type="pct"/>
            <w:noWrap/>
            <w:vAlign w:val="center"/>
            <w:hideMark/>
          </w:tcPr>
          <w:p w14:paraId="6DC1B3D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1.25E-04</w:t>
            </w:r>
          </w:p>
        </w:tc>
        <w:tc>
          <w:tcPr>
            <w:tcW w:w="461" w:type="pct"/>
            <w:noWrap/>
            <w:vAlign w:val="center"/>
            <w:hideMark/>
          </w:tcPr>
          <w:p w14:paraId="3B1D735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170F8C6E"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4CF1D5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68A4997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Acidobacteriaceae</w:t>
            </w:r>
          </w:p>
          <w:p w14:paraId="0D9F8F4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w:t>
            </w:r>
          </w:p>
        </w:tc>
        <w:tc>
          <w:tcPr>
            <w:tcW w:w="1039" w:type="pct"/>
            <w:noWrap/>
            <w:vAlign w:val="center"/>
            <w:hideMark/>
          </w:tcPr>
          <w:p w14:paraId="3D48104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Occallatibacter</w:t>
            </w:r>
          </w:p>
        </w:tc>
        <w:tc>
          <w:tcPr>
            <w:tcW w:w="711" w:type="pct"/>
            <w:noWrap/>
            <w:vAlign w:val="center"/>
            <w:hideMark/>
          </w:tcPr>
          <w:p w14:paraId="10A52ED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9.70E-05</w:t>
            </w:r>
          </w:p>
        </w:tc>
        <w:tc>
          <w:tcPr>
            <w:tcW w:w="711" w:type="pct"/>
            <w:noWrap/>
            <w:vAlign w:val="center"/>
            <w:hideMark/>
          </w:tcPr>
          <w:p w14:paraId="2C02A6A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3.38E-05</w:t>
            </w:r>
          </w:p>
        </w:tc>
        <w:tc>
          <w:tcPr>
            <w:tcW w:w="461" w:type="pct"/>
            <w:noWrap/>
            <w:vAlign w:val="center"/>
            <w:hideMark/>
          </w:tcPr>
          <w:p w14:paraId="7CC11A0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1.37E-02</w:t>
            </w:r>
          </w:p>
        </w:tc>
      </w:tr>
      <w:tr w:rsidR="00DA6475" w:rsidRPr="00435B6B" w14:paraId="0AF8A2C9"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A8B195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5559414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Blastocatellaceae</w:t>
            </w:r>
          </w:p>
        </w:tc>
        <w:tc>
          <w:tcPr>
            <w:tcW w:w="1039" w:type="pct"/>
            <w:noWrap/>
            <w:vAlign w:val="center"/>
            <w:hideMark/>
          </w:tcPr>
          <w:p w14:paraId="5C2B277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Stenotrophobacter</w:t>
            </w:r>
          </w:p>
        </w:tc>
        <w:tc>
          <w:tcPr>
            <w:tcW w:w="711" w:type="pct"/>
            <w:noWrap/>
            <w:vAlign w:val="center"/>
            <w:hideMark/>
          </w:tcPr>
          <w:p w14:paraId="7E963A8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3.21E-05</w:t>
            </w:r>
          </w:p>
        </w:tc>
        <w:tc>
          <w:tcPr>
            <w:tcW w:w="711" w:type="pct"/>
            <w:noWrap/>
            <w:vAlign w:val="center"/>
            <w:hideMark/>
          </w:tcPr>
          <w:p w14:paraId="644F2FC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3.44E-06</w:t>
            </w:r>
          </w:p>
        </w:tc>
        <w:tc>
          <w:tcPr>
            <w:tcW w:w="461" w:type="pct"/>
            <w:noWrap/>
            <w:vAlign w:val="center"/>
            <w:hideMark/>
          </w:tcPr>
          <w:p w14:paraId="4CE8685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178BDDA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F89BB2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61DEBC7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12 fa</w:t>
            </w:r>
          </w:p>
        </w:tc>
        <w:tc>
          <w:tcPr>
            <w:tcW w:w="1039" w:type="pct"/>
            <w:noWrap/>
            <w:vAlign w:val="center"/>
            <w:hideMark/>
          </w:tcPr>
          <w:p w14:paraId="38F0D24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12 ge</w:t>
            </w:r>
          </w:p>
        </w:tc>
        <w:tc>
          <w:tcPr>
            <w:tcW w:w="711" w:type="pct"/>
            <w:noWrap/>
            <w:vAlign w:val="center"/>
            <w:hideMark/>
          </w:tcPr>
          <w:p w14:paraId="09C0F99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1.82E-05</w:t>
            </w:r>
          </w:p>
        </w:tc>
        <w:tc>
          <w:tcPr>
            <w:tcW w:w="711" w:type="pct"/>
            <w:noWrap/>
            <w:vAlign w:val="center"/>
            <w:hideMark/>
          </w:tcPr>
          <w:p w14:paraId="4B32F37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9.78E-06</w:t>
            </w:r>
          </w:p>
        </w:tc>
        <w:tc>
          <w:tcPr>
            <w:tcW w:w="461" w:type="pct"/>
            <w:noWrap/>
            <w:vAlign w:val="center"/>
            <w:hideMark/>
          </w:tcPr>
          <w:p w14:paraId="7CB3C4A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3.32E-02</w:t>
            </w:r>
          </w:p>
        </w:tc>
      </w:tr>
      <w:tr w:rsidR="00DA6475" w:rsidRPr="00435B6B" w14:paraId="7D45F53F"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BC36FA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439EB8D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13 fa</w:t>
            </w:r>
          </w:p>
        </w:tc>
        <w:tc>
          <w:tcPr>
            <w:tcW w:w="1039" w:type="pct"/>
            <w:noWrap/>
            <w:vAlign w:val="center"/>
            <w:hideMark/>
          </w:tcPr>
          <w:p w14:paraId="3B2647C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13 ge</w:t>
            </w:r>
          </w:p>
        </w:tc>
        <w:tc>
          <w:tcPr>
            <w:tcW w:w="711" w:type="pct"/>
            <w:noWrap/>
            <w:vAlign w:val="center"/>
            <w:hideMark/>
          </w:tcPr>
          <w:p w14:paraId="469B98A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1.13E-04</w:t>
            </w:r>
          </w:p>
        </w:tc>
        <w:tc>
          <w:tcPr>
            <w:tcW w:w="711" w:type="pct"/>
            <w:noWrap/>
            <w:vAlign w:val="center"/>
            <w:hideMark/>
          </w:tcPr>
          <w:p w14:paraId="5A3CC4F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9.81E-06</w:t>
            </w:r>
          </w:p>
        </w:tc>
        <w:tc>
          <w:tcPr>
            <w:tcW w:w="461" w:type="pct"/>
            <w:noWrap/>
            <w:vAlign w:val="center"/>
            <w:hideMark/>
          </w:tcPr>
          <w:p w14:paraId="685E1B3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56FF87B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FDE78E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14D1426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15 fa</w:t>
            </w:r>
          </w:p>
        </w:tc>
        <w:tc>
          <w:tcPr>
            <w:tcW w:w="1039" w:type="pct"/>
            <w:noWrap/>
            <w:vAlign w:val="center"/>
            <w:hideMark/>
          </w:tcPr>
          <w:p w14:paraId="3AED7FC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15 ge</w:t>
            </w:r>
          </w:p>
        </w:tc>
        <w:tc>
          <w:tcPr>
            <w:tcW w:w="711" w:type="pct"/>
            <w:noWrap/>
            <w:vAlign w:val="center"/>
            <w:hideMark/>
          </w:tcPr>
          <w:p w14:paraId="444CA42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7.63E-05</w:t>
            </w:r>
          </w:p>
        </w:tc>
        <w:tc>
          <w:tcPr>
            <w:tcW w:w="711" w:type="pct"/>
            <w:noWrap/>
            <w:vAlign w:val="center"/>
            <w:hideMark/>
          </w:tcPr>
          <w:p w14:paraId="4B424D5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1.53E-05</w:t>
            </w:r>
          </w:p>
        </w:tc>
        <w:tc>
          <w:tcPr>
            <w:tcW w:w="461" w:type="pct"/>
            <w:noWrap/>
            <w:vAlign w:val="center"/>
            <w:hideMark/>
          </w:tcPr>
          <w:p w14:paraId="499E3FB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8.92E-03</w:t>
            </w:r>
          </w:p>
        </w:tc>
      </w:tr>
      <w:tr w:rsidR="00DA6475" w:rsidRPr="00435B6B" w14:paraId="76CBB9F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406DD8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366CB67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18 fa</w:t>
            </w:r>
          </w:p>
        </w:tc>
        <w:tc>
          <w:tcPr>
            <w:tcW w:w="1039" w:type="pct"/>
            <w:noWrap/>
            <w:vAlign w:val="center"/>
            <w:hideMark/>
          </w:tcPr>
          <w:p w14:paraId="03A1D9B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18 ge</w:t>
            </w:r>
          </w:p>
        </w:tc>
        <w:tc>
          <w:tcPr>
            <w:tcW w:w="711" w:type="pct"/>
            <w:noWrap/>
            <w:vAlign w:val="center"/>
            <w:hideMark/>
          </w:tcPr>
          <w:p w14:paraId="73290D9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5.94E-05</w:t>
            </w:r>
          </w:p>
        </w:tc>
        <w:tc>
          <w:tcPr>
            <w:tcW w:w="711" w:type="pct"/>
            <w:noWrap/>
            <w:vAlign w:val="center"/>
            <w:hideMark/>
          </w:tcPr>
          <w:p w14:paraId="08FABC0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1.84E-05</w:t>
            </w:r>
          </w:p>
        </w:tc>
        <w:tc>
          <w:tcPr>
            <w:tcW w:w="461" w:type="pct"/>
            <w:noWrap/>
            <w:vAlign w:val="center"/>
            <w:hideMark/>
          </w:tcPr>
          <w:p w14:paraId="160C740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4.08E-02</w:t>
            </w:r>
          </w:p>
        </w:tc>
      </w:tr>
      <w:tr w:rsidR="00DA6475" w:rsidRPr="00435B6B" w14:paraId="0FF909EF"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0AACE0B"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33AF393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2 fa</w:t>
            </w:r>
          </w:p>
        </w:tc>
        <w:tc>
          <w:tcPr>
            <w:tcW w:w="1039" w:type="pct"/>
            <w:noWrap/>
            <w:vAlign w:val="center"/>
            <w:hideMark/>
          </w:tcPr>
          <w:p w14:paraId="6432B5D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2 ge</w:t>
            </w:r>
          </w:p>
        </w:tc>
        <w:tc>
          <w:tcPr>
            <w:tcW w:w="711" w:type="pct"/>
            <w:noWrap/>
            <w:vAlign w:val="center"/>
            <w:hideMark/>
          </w:tcPr>
          <w:p w14:paraId="0875F92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2.43E-03</w:t>
            </w:r>
          </w:p>
        </w:tc>
        <w:tc>
          <w:tcPr>
            <w:tcW w:w="711" w:type="pct"/>
            <w:noWrap/>
            <w:vAlign w:val="center"/>
            <w:hideMark/>
          </w:tcPr>
          <w:p w14:paraId="30E4A78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3.62E-04</w:t>
            </w:r>
          </w:p>
        </w:tc>
        <w:tc>
          <w:tcPr>
            <w:tcW w:w="461" w:type="pct"/>
            <w:noWrap/>
            <w:vAlign w:val="center"/>
            <w:hideMark/>
          </w:tcPr>
          <w:p w14:paraId="4EFB0B9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1.64E-02</w:t>
            </w:r>
          </w:p>
        </w:tc>
      </w:tr>
      <w:tr w:rsidR="00DA6475" w:rsidRPr="00435B6B" w14:paraId="1EBF642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FFEDA6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4F0CC32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21 fa</w:t>
            </w:r>
          </w:p>
        </w:tc>
        <w:tc>
          <w:tcPr>
            <w:tcW w:w="1039" w:type="pct"/>
            <w:noWrap/>
            <w:vAlign w:val="center"/>
            <w:hideMark/>
          </w:tcPr>
          <w:p w14:paraId="37A7C26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21 ge</w:t>
            </w:r>
          </w:p>
        </w:tc>
        <w:tc>
          <w:tcPr>
            <w:tcW w:w="711" w:type="pct"/>
            <w:noWrap/>
            <w:vAlign w:val="center"/>
            <w:hideMark/>
          </w:tcPr>
          <w:p w14:paraId="39D9C05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7.48E-05</w:t>
            </w:r>
          </w:p>
        </w:tc>
        <w:tc>
          <w:tcPr>
            <w:tcW w:w="711" w:type="pct"/>
            <w:noWrap/>
            <w:vAlign w:val="center"/>
            <w:hideMark/>
          </w:tcPr>
          <w:p w14:paraId="71B471B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2.13E-05</w:t>
            </w:r>
          </w:p>
        </w:tc>
        <w:tc>
          <w:tcPr>
            <w:tcW w:w="461" w:type="pct"/>
            <w:noWrap/>
            <w:vAlign w:val="center"/>
            <w:hideMark/>
          </w:tcPr>
          <w:p w14:paraId="327A73F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05C8D184"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F7135E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252ED38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25 fa</w:t>
            </w:r>
          </w:p>
        </w:tc>
        <w:tc>
          <w:tcPr>
            <w:tcW w:w="1039" w:type="pct"/>
            <w:noWrap/>
            <w:vAlign w:val="center"/>
            <w:hideMark/>
          </w:tcPr>
          <w:p w14:paraId="1076141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25 ge</w:t>
            </w:r>
          </w:p>
        </w:tc>
        <w:tc>
          <w:tcPr>
            <w:tcW w:w="711" w:type="pct"/>
            <w:noWrap/>
            <w:vAlign w:val="center"/>
            <w:hideMark/>
          </w:tcPr>
          <w:p w14:paraId="1CECE68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3.89E-05</w:t>
            </w:r>
          </w:p>
        </w:tc>
        <w:tc>
          <w:tcPr>
            <w:tcW w:w="711" w:type="pct"/>
            <w:noWrap/>
            <w:vAlign w:val="center"/>
            <w:hideMark/>
          </w:tcPr>
          <w:p w14:paraId="4755C4A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1.45E-05</w:t>
            </w:r>
          </w:p>
        </w:tc>
        <w:tc>
          <w:tcPr>
            <w:tcW w:w="461" w:type="pct"/>
            <w:noWrap/>
            <w:vAlign w:val="center"/>
            <w:hideMark/>
          </w:tcPr>
          <w:p w14:paraId="406535A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4.51E-02</w:t>
            </w:r>
          </w:p>
        </w:tc>
      </w:tr>
      <w:tr w:rsidR="00DA6475" w:rsidRPr="00435B6B" w14:paraId="6787BF70"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41A7A1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06CB771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5 fa</w:t>
            </w:r>
          </w:p>
        </w:tc>
        <w:tc>
          <w:tcPr>
            <w:tcW w:w="1039" w:type="pct"/>
            <w:noWrap/>
            <w:vAlign w:val="center"/>
            <w:hideMark/>
          </w:tcPr>
          <w:p w14:paraId="46A55F7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5 ge</w:t>
            </w:r>
          </w:p>
        </w:tc>
        <w:tc>
          <w:tcPr>
            <w:tcW w:w="711" w:type="pct"/>
            <w:noWrap/>
            <w:vAlign w:val="center"/>
            <w:hideMark/>
          </w:tcPr>
          <w:p w14:paraId="514B259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1.80E-04</w:t>
            </w:r>
          </w:p>
        </w:tc>
        <w:tc>
          <w:tcPr>
            <w:tcW w:w="711" w:type="pct"/>
            <w:noWrap/>
            <w:vAlign w:val="center"/>
            <w:hideMark/>
          </w:tcPr>
          <w:p w14:paraId="4AEE5D9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3.85E-05</w:t>
            </w:r>
          </w:p>
        </w:tc>
        <w:tc>
          <w:tcPr>
            <w:tcW w:w="461" w:type="pct"/>
            <w:noWrap/>
            <w:vAlign w:val="center"/>
            <w:hideMark/>
          </w:tcPr>
          <w:p w14:paraId="358918C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79702D49"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DC81A4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60A519E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7 fa</w:t>
            </w:r>
          </w:p>
        </w:tc>
        <w:tc>
          <w:tcPr>
            <w:tcW w:w="1039" w:type="pct"/>
            <w:noWrap/>
            <w:vAlign w:val="center"/>
            <w:hideMark/>
          </w:tcPr>
          <w:p w14:paraId="38DF229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7 ge</w:t>
            </w:r>
          </w:p>
        </w:tc>
        <w:tc>
          <w:tcPr>
            <w:tcW w:w="711" w:type="pct"/>
            <w:noWrap/>
            <w:vAlign w:val="center"/>
            <w:hideMark/>
          </w:tcPr>
          <w:p w14:paraId="633E976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5.60E-04</w:t>
            </w:r>
          </w:p>
        </w:tc>
        <w:tc>
          <w:tcPr>
            <w:tcW w:w="711" w:type="pct"/>
            <w:noWrap/>
            <w:vAlign w:val="center"/>
            <w:hideMark/>
          </w:tcPr>
          <w:p w14:paraId="73432C1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2.41E-04</w:t>
            </w:r>
          </w:p>
        </w:tc>
        <w:tc>
          <w:tcPr>
            <w:tcW w:w="461" w:type="pct"/>
            <w:noWrap/>
            <w:vAlign w:val="center"/>
            <w:hideMark/>
          </w:tcPr>
          <w:p w14:paraId="73009C1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4.28E-02</w:t>
            </w:r>
          </w:p>
        </w:tc>
      </w:tr>
      <w:tr w:rsidR="00DA6475" w:rsidRPr="00435B6B" w14:paraId="77BC30B1"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F86462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3D3D162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9 fa</w:t>
            </w:r>
          </w:p>
        </w:tc>
        <w:tc>
          <w:tcPr>
            <w:tcW w:w="1039" w:type="pct"/>
            <w:noWrap/>
            <w:vAlign w:val="center"/>
            <w:hideMark/>
          </w:tcPr>
          <w:p w14:paraId="6B88093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Subgroup 9 ge</w:t>
            </w:r>
          </w:p>
        </w:tc>
        <w:tc>
          <w:tcPr>
            <w:tcW w:w="711" w:type="pct"/>
            <w:noWrap/>
            <w:vAlign w:val="center"/>
            <w:hideMark/>
          </w:tcPr>
          <w:p w14:paraId="5CD7945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3.21E-05</w:t>
            </w:r>
          </w:p>
        </w:tc>
        <w:tc>
          <w:tcPr>
            <w:tcW w:w="711" w:type="pct"/>
            <w:noWrap/>
            <w:vAlign w:val="center"/>
            <w:hideMark/>
          </w:tcPr>
          <w:p w14:paraId="5563DC4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5.62E-06</w:t>
            </w:r>
          </w:p>
        </w:tc>
        <w:tc>
          <w:tcPr>
            <w:tcW w:w="461" w:type="pct"/>
            <w:noWrap/>
            <w:vAlign w:val="center"/>
            <w:hideMark/>
          </w:tcPr>
          <w:p w14:paraId="73073D0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3.72E-02</w:t>
            </w:r>
          </w:p>
        </w:tc>
      </w:tr>
      <w:tr w:rsidR="00DA6475" w:rsidRPr="00435B6B" w14:paraId="40B12A1E"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9A4F4B5"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184C87B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Vicinamibacteraceae</w:t>
            </w:r>
          </w:p>
        </w:tc>
        <w:tc>
          <w:tcPr>
            <w:tcW w:w="1039" w:type="pct"/>
            <w:noWrap/>
            <w:vAlign w:val="center"/>
            <w:hideMark/>
          </w:tcPr>
          <w:p w14:paraId="4AFF47A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Vicinamibacter</w:t>
            </w:r>
          </w:p>
        </w:tc>
        <w:tc>
          <w:tcPr>
            <w:tcW w:w="711" w:type="pct"/>
            <w:noWrap/>
            <w:vAlign w:val="center"/>
            <w:hideMark/>
          </w:tcPr>
          <w:p w14:paraId="3E6CB92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4.58E-05</w:t>
            </w:r>
          </w:p>
        </w:tc>
        <w:tc>
          <w:tcPr>
            <w:tcW w:w="711" w:type="pct"/>
            <w:noWrap/>
            <w:vAlign w:val="center"/>
            <w:hideMark/>
          </w:tcPr>
          <w:p w14:paraId="6C07945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2.56E-06</w:t>
            </w:r>
          </w:p>
        </w:tc>
        <w:tc>
          <w:tcPr>
            <w:tcW w:w="461" w:type="pct"/>
            <w:noWrap/>
            <w:vAlign w:val="center"/>
            <w:hideMark/>
          </w:tcPr>
          <w:p w14:paraId="79D3780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1.81E-02</w:t>
            </w:r>
          </w:p>
        </w:tc>
      </w:tr>
      <w:tr w:rsidR="00DA6475" w:rsidRPr="00435B6B" w14:paraId="09240D8F"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7A99EE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093" w:type="pct"/>
            <w:noWrap/>
            <w:vAlign w:val="center"/>
            <w:hideMark/>
          </w:tcPr>
          <w:p w14:paraId="71430F1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Vicinamibacteraceae</w:t>
            </w:r>
          </w:p>
        </w:tc>
        <w:tc>
          <w:tcPr>
            <w:tcW w:w="1039" w:type="pct"/>
            <w:noWrap/>
            <w:vAlign w:val="center"/>
            <w:hideMark/>
          </w:tcPr>
          <w:p w14:paraId="34A6BE2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Vicinamibacteraceae ge</w:t>
            </w:r>
          </w:p>
        </w:tc>
        <w:tc>
          <w:tcPr>
            <w:tcW w:w="711" w:type="pct"/>
            <w:noWrap/>
            <w:vAlign w:val="center"/>
            <w:hideMark/>
          </w:tcPr>
          <w:p w14:paraId="7BD974B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7.94E-04</w:t>
            </w:r>
          </w:p>
        </w:tc>
        <w:tc>
          <w:tcPr>
            <w:tcW w:w="711" w:type="pct"/>
            <w:noWrap/>
            <w:vAlign w:val="center"/>
            <w:hideMark/>
          </w:tcPr>
          <w:p w14:paraId="605FAA8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3.44E-04</w:t>
            </w:r>
          </w:p>
        </w:tc>
        <w:tc>
          <w:tcPr>
            <w:tcW w:w="461" w:type="pct"/>
            <w:noWrap/>
            <w:vAlign w:val="center"/>
            <w:hideMark/>
          </w:tcPr>
          <w:p w14:paraId="511E0EA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3.47E-02</w:t>
            </w:r>
          </w:p>
        </w:tc>
      </w:tr>
      <w:tr w:rsidR="00DA6475" w:rsidRPr="00435B6B" w14:paraId="7FAB722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728DCF9"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05B214E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Acidothermaceae</w:t>
            </w:r>
          </w:p>
        </w:tc>
        <w:tc>
          <w:tcPr>
            <w:tcW w:w="1039" w:type="pct"/>
            <w:noWrap/>
            <w:vAlign w:val="center"/>
            <w:hideMark/>
          </w:tcPr>
          <w:p w14:paraId="1BD795B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Acidothermus</w:t>
            </w:r>
          </w:p>
        </w:tc>
        <w:tc>
          <w:tcPr>
            <w:tcW w:w="711" w:type="pct"/>
            <w:noWrap/>
            <w:vAlign w:val="center"/>
            <w:hideMark/>
          </w:tcPr>
          <w:p w14:paraId="38984EA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6.91E-04</w:t>
            </w:r>
          </w:p>
        </w:tc>
        <w:tc>
          <w:tcPr>
            <w:tcW w:w="711" w:type="pct"/>
            <w:noWrap/>
            <w:vAlign w:val="center"/>
            <w:hideMark/>
          </w:tcPr>
          <w:p w14:paraId="460D173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1.27E-04</w:t>
            </w:r>
          </w:p>
        </w:tc>
        <w:tc>
          <w:tcPr>
            <w:tcW w:w="461" w:type="pct"/>
            <w:noWrap/>
            <w:vAlign w:val="center"/>
            <w:hideMark/>
          </w:tcPr>
          <w:p w14:paraId="7F411AB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4.08E-02</w:t>
            </w:r>
          </w:p>
        </w:tc>
      </w:tr>
      <w:tr w:rsidR="00DA6475" w:rsidRPr="00435B6B" w14:paraId="3EC9A5D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F46B2C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0646800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Micromonosporaceae</w:t>
            </w:r>
          </w:p>
        </w:tc>
        <w:tc>
          <w:tcPr>
            <w:tcW w:w="1039" w:type="pct"/>
            <w:noWrap/>
            <w:vAlign w:val="center"/>
            <w:hideMark/>
          </w:tcPr>
          <w:p w14:paraId="59AB25E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Actinoplanes</w:t>
            </w:r>
          </w:p>
        </w:tc>
        <w:tc>
          <w:tcPr>
            <w:tcW w:w="711" w:type="pct"/>
            <w:noWrap/>
            <w:vAlign w:val="center"/>
            <w:hideMark/>
          </w:tcPr>
          <w:p w14:paraId="15D9C4B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6.68E-05</w:t>
            </w:r>
          </w:p>
        </w:tc>
        <w:tc>
          <w:tcPr>
            <w:tcW w:w="711" w:type="pct"/>
            <w:noWrap/>
            <w:vAlign w:val="center"/>
            <w:hideMark/>
          </w:tcPr>
          <w:p w14:paraId="5E5C8A5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1.30E-05</w:t>
            </w:r>
          </w:p>
        </w:tc>
        <w:tc>
          <w:tcPr>
            <w:tcW w:w="461" w:type="pct"/>
            <w:noWrap/>
            <w:vAlign w:val="center"/>
            <w:hideMark/>
          </w:tcPr>
          <w:p w14:paraId="1F3491C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1.90E-02</w:t>
            </w:r>
          </w:p>
        </w:tc>
      </w:tr>
      <w:tr w:rsidR="00DA6475" w:rsidRPr="00435B6B" w14:paraId="64A9AC7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8ECBA9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0CBF329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Micromonosporaceae</w:t>
            </w:r>
          </w:p>
        </w:tc>
        <w:tc>
          <w:tcPr>
            <w:tcW w:w="1039" w:type="pct"/>
            <w:noWrap/>
            <w:vAlign w:val="center"/>
            <w:hideMark/>
          </w:tcPr>
          <w:p w14:paraId="1E0558E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Dactylosporangium</w:t>
            </w:r>
          </w:p>
        </w:tc>
        <w:tc>
          <w:tcPr>
            <w:tcW w:w="711" w:type="pct"/>
            <w:noWrap/>
            <w:vAlign w:val="center"/>
            <w:hideMark/>
          </w:tcPr>
          <w:p w14:paraId="4E303B4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4.29E-05</w:t>
            </w:r>
          </w:p>
        </w:tc>
        <w:tc>
          <w:tcPr>
            <w:tcW w:w="711" w:type="pct"/>
            <w:noWrap/>
            <w:vAlign w:val="center"/>
            <w:hideMark/>
          </w:tcPr>
          <w:p w14:paraId="2B6011A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1.18E-06</w:t>
            </w:r>
          </w:p>
        </w:tc>
        <w:tc>
          <w:tcPr>
            <w:tcW w:w="461" w:type="pct"/>
            <w:noWrap/>
            <w:vAlign w:val="center"/>
            <w:hideMark/>
          </w:tcPr>
          <w:p w14:paraId="1F92FAB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1.07E-02</w:t>
            </w:r>
          </w:p>
        </w:tc>
      </w:tr>
      <w:tr w:rsidR="00DA6475" w:rsidRPr="00435B6B" w14:paraId="415EE71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C49B3C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1282F11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Demequinaceae</w:t>
            </w:r>
          </w:p>
        </w:tc>
        <w:tc>
          <w:tcPr>
            <w:tcW w:w="1039" w:type="pct"/>
            <w:noWrap/>
            <w:vAlign w:val="center"/>
            <w:hideMark/>
          </w:tcPr>
          <w:p w14:paraId="4468261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Demequina</w:t>
            </w:r>
          </w:p>
        </w:tc>
        <w:tc>
          <w:tcPr>
            <w:tcW w:w="711" w:type="pct"/>
            <w:noWrap/>
            <w:vAlign w:val="center"/>
            <w:hideMark/>
          </w:tcPr>
          <w:p w14:paraId="6A89602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1.05E-05</w:t>
            </w:r>
          </w:p>
        </w:tc>
        <w:tc>
          <w:tcPr>
            <w:tcW w:w="711" w:type="pct"/>
            <w:noWrap/>
            <w:vAlign w:val="center"/>
            <w:hideMark/>
          </w:tcPr>
          <w:p w14:paraId="333A62F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6.22E-07</w:t>
            </w:r>
          </w:p>
        </w:tc>
        <w:tc>
          <w:tcPr>
            <w:tcW w:w="461" w:type="pct"/>
            <w:noWrap/>
            <w:vAlign w:val="center"/>
            <w:hideMark/>
          </w:tcPr>
          <w:p w14:paraId="61F2F99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4.69E-02</w:t>
            </w:r>
          </w:p>
        </w:tc>
      </w:tr>
      <w:tr w:rsidR="00DA6475" w:rsidRPr="00435B6B" w14:paraId="3C799F1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0D4E64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3293FC9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Demequinaceae</w:t>
            </w:r>
          </w:p>
        </w:tc>
        <w:tc>
          <w:tcPr>
            <w:tcW w:w="1039" w:type="pct"/>
            <w:noWrap/>
            <w:vAlign w:val="center"/>
            <w:hideMark/>
          </w:tcPr>
          <w:p w14:paraId="724E77A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Demequinaceae</w:t>
            </w:r>
          </w:p>
          <w:p w14:paraId="4752695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3F9EFBE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6.28E-05</w:t>
            </w:r>
          </w:p>
        </w:tc>
        <w:tc>
          <w:tcPr>
            <w:tcW w:w="711" w:type="pct"/>
            <w:noWrap/>
            <w:vAlign w:val="center"/>
            <w:hideMark/>
          </w:tcPr>
          <w:p w14:paraId="51329E9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5.43E-06</w:t>
            </w:r>
          </w:p>
        </w:tc>
        <w:tc>
          <w:tcPr>
            <w:tcW w:w="461" w:type="pct"/>
            <w:noWrap/>
            <w:vAlign w:val="center"/>
            <w:hideMark/>
          </w:tcPr>
          <w:p w14:paraId="1DFAE03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3.59E-02</w:t>
            </w:r>
          </w:p>
        </w:tc>
      </w:tr>
      <w:tr w:rsidR="00DA6475" w:rsidRPr="00435B6B" w14:paraId="138F59E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0D9E74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628ACDD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Eggerthellaceae</w:t>
            </w:r>
          </w:p>
        </w:tc>
        <w:tc>
          <w:tcPr>
            <w:tcW w:w="1039" w:type="pct"/>
            <w:noWrap/>
            <w:vAlign w:val="center"/>
            <w:hideMark/>
          </w:tcPr>
          <w:p w14:paraId="020851C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Eggerthella</w:t>
            </w:r>
          </w:p>
        </w:tc>
        <w:tc>
          <w:tcPr>
            <w:tcW w:w="711" w:type="pct"/>
            <w:noWrap/>
            <w:vAlign w:val="center"/>
            <w:hideMark/>
          </w:tcPr>
          <w:p w14:paraId="1437205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1.81E-04</w:t>
            </w:r>
          </w:p>
        </w:tc>
        <w:tc>
          <w:tcPr>
            <w:tcW w:w="711" w:type="pct"/>
            <w:noWrap/>
            <w:vAlign w:val="center"/>
            <w:hideMark/>
          </w:tcPr>
          <w:p w14:paraId="21E118B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8.70E-05</w:t>
            </w:r>
          </w:p>
        </w:tc>
        <w:tc>
          <w:tcPr>
            <w:tcW w:w="461" w:type="pct"/>
            <w:noWrap/>
            <w:vAlign w:val="center"/>
            <w:hideMark/>
          </w:tcPr>
          <w:p w14:paraId="537D937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4.37E-02</w:t>
            </w:r>
          </w:p>
        </w:tc>
      </w:tr>
      <w:tr w:rsidR="00DA6475" w:rsidRPr="00435B6B" w14:paraId="7274D94E"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D77ED2B"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7CD2820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Gaiellales unclassified</w:t>
            </w:r>
          </w:p>
        </w:tc>
        <w:tc>
          <w:tcPr>
            <w:tcW w:w="1039" w:type="pct"/>
            <w:noWrap/>
            <w:vAlign w:val="center"/>
            <w:hideMark/>
          </w:tcPr>
          <w:p w14:paraId="32D4419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Gaiellales unclassified</w:t>
            </w:r>
          </w:p>
        </w:tc>
        <w:tc>
          <w:tcPr>
            <w:tcW w:w="711" w:type="pct"/>
            <w:noWrap/>
            <w:vAlign w:val="center"/>
            <w:hideMark/>
          </w:tcPr>
          <w:p w14:paraId="13E5AE2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1.98E-04</w:t>
            </w:r>
          </w:p>
        </w:tc>
        <w:tc>
          <w:tcPr>
            <w:tcW w:w="711" w:type="pct"/>
            <w:noWrap/>
            <w:vAlign w:val="center"/>
            <w:hideMark/>
          </w:tcPr>
          <w:p w14:paraId="6D56D5A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8.48E-05</w:t>
            </w:r>
          </w:p>
        </w:tc>
        <w:tc>
          <w:tcPr>
            <w:tcW w:w="461" w:type="pct"/>
            <w:noWrap/>
            <w:vAlign w:val="center"/>
            <w:hideMark/>
          </w:tcPr>
          <w:p w14:paraId="374F261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3.72E-02</w:t>
            </w:r>
          </w:p>
        </w:tc>
      </w:tr>
      <w:tr w:rsidR="00DA6475" w:rsidRPr="00435B6B" w14:paraId="1099CA1A"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7C171D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2338D2D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IMCC26256 fa</w:t>
            </w:r>
          </w:p>
        </w:tc>
        <w:tc>
          <w:tcPr>
            <w:tcW w:w="1039" w:type="pct"/>
            <w:noWrap/>
            <w:vAlign w:val="center"/>
            <w:hideMark/>
          </w:tcPr>
          <w:p w14:paraId="55FC7EF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IMCC26256 ge</w:t>
            </w:r>
          </w:p>
        </w:tc>
        <w:tc>
          <w:tcPr>
            <w:tcW w:w="711" w:type="pct"/>
            <w:noWrap/>
            <w:vAlign w:val="center"/>
            <w:hideMark/>
          </w:tcPr>
          <w:p w14:paraId="52A041F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3.62E-04</w:t>
            </w:r>
          </w:p>
        </w:tc>
        <w:tc>
          <w:tcPr>
            <w:tcW w:w="711" w:type="pct"/>
            <w:noWrap/>
            <w:vAlign w:val="center"/>
            <w:hideMark/>
          </w:tcPr>
          <w:p w14:paraId="690F985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1.38E-04</w:t>
            </w:r>
          </w:p>
        </w:tc>
        <w:tc>
          <w:tcPr>
            <w:tcW w:w="461" w:type="pct"/>
            <w:noWrap/>
            <w:vAlign w:val="center"/>
            <w:hideMark/>
          </w:tcPr>
          <w:p w14:paraId="1653315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3.47E-02</w:t>
            </w:r>
          </w:p>
        </w:tc>
      </w:tr>
      <w:tr w:rsidR="00DA6475" w:rsidRPr="00435B6B" w14:paraId="7B15F6B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6EB10F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32F61B6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Frankiaceae</w:t>
            </w:r>
          </w:p>
        </w:tc>
        <w:tc>
          <w:tcPr>
            <w:tcW w:w="1039" w:type="pct"/>
            <w:noWrap/>
            <w:vAlign w:val="center"/>
            <w:hideMark/>
          </w:tcPr>
          <w:p w14:paraId="2685680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Jatrophihabitans</w:t>
            </w:r>
          </w:p>
        </w:tc>
        <w:tc>
          <w:tcPr>
            <w:tcW w:w="711" w:type="pct"/>
            <w:noWrap/>
            <w:vAlign w:val="center"/>
            <w:hideMark/>
          </w:tcPr>
          <w:p w14:paraId="66F49DD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1.22E-04</w:t>
            </w:r>
          </w:p>
        </w:tc>
        <w:tc>
          <w:tcPr>
            <w:tcW w:w="711" w:type="pct"/>
            <w:noWrap/>
            <w:vAlign w:val="center"/>
            <w:hideMark/>
          </w:tcPr>
          <w:p w14:paraId="515773D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5.61E-05</w:t>
            </w:r>
          </w:p>
        </w:tc>
        <w:tc>
          <w:tcPr>
            <w:tcW w:w="461" w:type="pct"/>
            <w:noWrap/>
            <w:vAlign w:val="center"/>
            <w:hideMark/>
          </w:tcPr>
          <w:p w14:paraId="230467F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1874F061"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4A62E29"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46459B8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Microbacteriaceae</w:t>
            </w:r>
          </w:p>
        </w:tc>
        <w:tc>
          <w:tcPr>
            <w:tcW w:w="1039" w:type="pct"/>
            <w:noWrap/>
            <w:vAlign w:val="center"/>
            <w:hideMark/>
          </w:tcPr>
          <w:p w14:paraId="776D8D6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Leucobacter</w:t>
            </w:r>
          </w:p>
        </w:tc>
        <w:tc>
          <w:tcPr>
            <w:tcW w:w="711" w:type="pct"/>
            <w:noWrap/>
            <w:vAlign w:val="center"/>
            <w:hideMark/>
          </w:tcPr>
          <w:p w14:paraId="40D7453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4.28E-05</w:t>
            </w:r>
          </w:p>
        </w:tc>
        <w:tc>
          <w:tcPr>
            <w:tcW w:w="711" w:type="pct"/>
            <w:noWrap/>
            <w:vAlign w:val="center"/>
            <w:hideMark/>
          </w:tcPr>
          <w:p w14:paraId="1D875F3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3.07E-05</w:t>
            </w:r>
          </w:p>
        </w:tc>
        <w:tc>
          <w:tcPr>
            <w:tcW w:w="461" w:type="pct"/>
            <w:noWrap/>
            <w:vAlign w:val="center"/>
            <w:hideMark/>
          </w:tcPr>
          <w:p w14:paraId="6D5CB41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4.99E-02</w:t>
            </w:r>
          </w:p>
        </w:tc>
      </w:tr>
      <w:tr w:rsidR="00DA6475" w:rsidRPr="00435B6B" w14:paraId="264D7477"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9368AF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1C7EC5E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Intrasporangiaceae</w:t>
            </w:r>
          </w:p>
        </w:tc>
        <w:tc>
          <w:tcPr>
            <w:tcW w:w="1039" w:type="pct"/>
            <w:noWrap/>
            <w:vAlign w:val="center"/>
            <w:hideMark/>
          </w:tcPr>
          <w:p w14:paraId="467B1F6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Oryzihumus</w:t>
            </w:r>
          </w:p>
        </w:tc>
        <w:tc>
          <w:tcPr>
            <w:tcW w:w="711" w:type="pct"/>
            <w:noWrap/>
            <w:vAlign w:val="center"/>
            <w:hideMark/>
          </w:tcPr>
          <w:p w14:paraId="7C6FE51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4.52E-05</w:t>
            </w:r>
          </w:p>
        </w:tc>
        <w:tc>
          <w:tcPr>
            <w:tcW w:w="711" w:type="pct"/>
            <w:noWrap/>
            <w:vAlign w:val="center"/>
            <w:hideMark/>
          </w:tcPr>
          <w:p w14:paraId="6BB4922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095894B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740F5DE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479C01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4DCBEBE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Solirubrobacteraceae</w:t>
            </w:r>
          </w:p>
        </w:tc>
        <w:tc>
          <w:tcPr>
            <w:tcW w:w="1039" w:type="pct"/>
            <w:noWrap/>
            <w:vAlign w:val="center"/>
            <w:hideMark/>
          </w:tcPr>
          <w:p w14:paraId="2326E9A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Patulibacter</w:t>
            </w:r>
          </w:p>
        </w:tc>
        <w:tc>
          <w:tcPr>
            <w:tcW w:w="711" w:type="pct"/>
            <w:noWrap/>
            <w:vAlign w:val="center"/>
            <w:hideMark/>
          </w:tcPr>
          <w:p w14:paraId="26DF27A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1.11E-05</w:t>
            </w:r>
          </w:p>
        </w:tc>
        <w:tc>
          <w:tcPr>
            <w:tcW w:w="711" w:type="pct"/>
            <w:noWrap/>
            <w:vAlign w:val="center"/>
            <w:hideMark/>
          </w:tcPr>
          <w:p w14:paraId="5A01060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1.65E-06</w:t>
            </w:r>
          </w:p>
        </w:tc>
        <w:tc>
          <w:tcPr>
            <w:tcW w:w="461" w:type="pct"/>
            <w:noWrap/>
            <w:vAlign w:val="center"/>
            <w:hideMark/>
          </w:tcPr>
          <w:p w14:paraId="7451755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4.37E-02</w:t>
            </w:r>
          </w:p>
        </w:tc>
      </w:tr>
      <w:tr w:rsidR="00DA6475" w:rsidRPr="00435B6B" w14:paraId="6045175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C93265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043297F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Eggerthellaceae</w:t>
            </w:r>
          </w:p>
        </w:tc>
        <w:tc>
          <w:tcPr>
            <w:tcW w:w="1039" w:type="pct"/>
            <w:noWrap/>
            <w:vAlign w:val="center"/>
            <w:hideMark/>
          </w:tcPr>
          <w:p w14:paraId="23FCE00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Slackia</w:t>
            </w:r>
          </w:p>
        </w:tc>
        <w:tc>
          <w:tcPr>
            <w:tcW w:w="711" w:type="pct"/>
            <w:noWrap/>
            <w:vAlign w:val="center"/>
            <w:hideMark/>
          </w:tcPr>
          <w:p w14:paraId="372C668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2.11E-05</w:t>
            </w:r>
          </w:p>
        </w:tc>
        <w:tc>
          <w:tcPr>
            <w:tcW w:w="711" w:type="pct"/>
            <w:noWrap/>
            <w:vAlign w:val="center"/>
            <w:hideMark/>
          </w:tcPr>
          <w:p w14:paraId="3D673DE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1.03E-05</w:t>
            </w:r>
          </w:p>
        </w:tc>
        <w:tc>
          <w:tcPr>
            <w:tcW w:w="461" w:type="pct"/>
            <w:noWrap/>
            <w:vAlign w:val="center"/>
            <w:hideMark/>
          </w:tcPr>
          <w:p w14:paraId="3CBE014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335A3096"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59DC7D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093" w:type="pct"/>
            <w:noWrap/>
            <w:vAlign w:val="center"/>
            <w:hideMark/>
          </w:tcPr>
          <w:p w14:paraId="21093FE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Propionibacteriaceae</w:t>
            </w:r>
          </w:p>
        </w:tc>
        <w:tc>
          <w:tcPr>
            <w:tcW w:w="1039" w:type="pct"/>
            <w:noWrap/>
            <w:vAlign w:val="center"/>
            <w:hideMark/>
          </w:tcPr>
          <w:p w14:paraId="7AE559D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Tessaracoccus</w:t>
            </w:r>
          </w:p>
        </w:tc>
        <w:tc>
          <w:tcPr>
            <w:tcW w:w="711" w:type="pct"/>
            <w:noWrap/>
            <w:vAlign w:val="center"/>
            <w:hideMark/>
          </w:tcPr>
          <w:p w14:paraId="4BB517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711" w:type="pct"/>
            <w:noWrap/>
            <w:vAlign w:val="center"/>
            <w:hideMark/>
          </w:tcPr>
          <w:p w14:paraId="7D5B12A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3.59E-05</w:t>
            </w:r>
          </w:p>
        </w:tc>
        <w:tc>
          <w:tcPr>
            <w:tcW w:w="461" w:type="pct"/>
            <w:noWrap/>
            <w:vAlign w:val="center"/>
            <w:hideMark/>
          </w:tcPr>
          <w:p w14:paraId="29E78E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5D095A61"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606AFE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699605D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Muribaculaceae</w:t>
            </w:r>
          </w:p>
        </w:tc>
        <w:tc>
          <w:tcPr>
            <w:tcW w:w="1039" w:type="pct"/>
            <w:noWrap/>
            <w:vAlign w:val="center"/>
            <w:hideMark/>
          </w:tcPr>
          <w:p w14:paraId="3B6B887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CAG-873</w:t>
            </w:r>
          </w:p>
        </w:tc>
        <w:tc>
          <w:tcPr>
            <w:tcW w:w="711" w:type="pct"/>
            <w:noWrap/>
            <w:vAlign w:val="center"/>
            <w:hideMark/>
          </w:tcPr>
          <w:p w14:paraId="275EF1E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2.31E-05</w:t>
            </w:r>
          </w:p>
        </w:tc>
        <w:tc>
          <w:tcPr>
            <w:tcW w:w="711" w:type="pct"/>
            <w:noWrap/>
            <w:vAlign w:val="center"/>
            <w:hideMark/>
          </w:tcPr>
          <w:p w14:paraId="00731F5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8.71E-05</w:t>
            </w:r>
          </w:p>
        </w:tc>
        <w:tc>
          <w:tcPr>
            <w:tcW w:w="461" w:type="pct"/>
            <w:noWrap/>
            <w:vAlign w:val="center"/>
            <w:hideMark/>
          </w:tcPr>
          <w:p w14:paraId="5B86CA3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3.72E-02</w:t>
            </w:r>
          </w:p>
        </w:tc>
      </w:tr>
      <w:tr w:rsidR="00DA6475" w:rsidRPr="00435B6B" w14:paraId="72243BCD"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ADD26D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2127B34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Weeksellaceae</w:t>
            </w:r>
          </w:p>
        </w:tc>
        <w:tc>
          <w:tcPr>
            <w:tcW w:w="1039" w:type="pct"/>
            <w:noWrap/>
            <w:vAlign w:val="center"/>
            <w:hideMark/>
          </w:tcPr>
          <w:p w14:paraId="0B15E5A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Chryseobacterium</w:t>
            </w:r>
          </w:p>
        </w:tc>
        <w:tc>
          <w:tcPr>
            <w:tcW w:w="711" w:type="pct"/>
            <w:noWrap/>
            <w:vAlign w:val="center"/>
            <w:hideMark/>
          </w:tcPr>
          <w:p w14:paraId="6218850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1.10E-03</w:t>
            </w:r>
          </w:p>
        </w:tc>
        <w:tc>
          <w:tcPr>
            <w:tcW w:w="711" w:type="pct"/>
            <w:noWrap/>
            <w:vAlign w:val="center"/>
            <w:hideMark/>
          </w:tcPr>
          <w:p w14:paraId="61B4F27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4.06E-03</w:t>
            </w:r>
          </w:p>
        </w:tc>
        <w:tc>
          <w:tcPr>
            <w:tcW w:w="461" w:type="pct"/>
            <w:noWrap/>
            <w:vAlign w:val="center"/>
            <w:hideMark/>
          </w:tcPr>
          <w:p w14:paraId="75C7195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28CE7916"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3172AF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5AD863E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Melioribacteraceae</w:t>
            </w:r>
          </w:p>
        </w:tc>
        <w:tc>
          <w:tcPr>
            <w:tcW w:w="1039" w:type="pct"/>
            <w:noWrap/>
            <w:vAlign w:val="center"/>
            <w:hideMark/>
          </w:tcPr>
          <w:p w14:paraId="3A7D7FD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IheB3-7</w:t>
            </w:r>
          </w:p>
        </w:tc>
        <w:tc>
          <w:tcPr>
            <w:tcW w:w="711" w:type="pct"/>
            <w:noWrap/>
            <w:vAlign w:val="center"/>
            <w:hideMark/>
          </w:tcPr>
          <w:p w14:paraId="7B9E3CA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4.64E-05</w:t>
            </w:r>
          </w:p>
        </w:tc>
        <w:tc>
          <w:tcPr>
            <w:tcW w:w="711" w:type="pct"/>
            <w:noWrap/>
            <w:vAlign w:val="center"/>
            <w:hideMark/>
          </w:tcPr>
          <w:p w14:paraId="008A0C4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9.22E-06</w:t>
            </w:r>
          </w:p>
        </w:tc>
        <w:tc>
          <w:tcPr>
            <w:tcW w:w="461" w:type="pct"/>
            <w:noWrap/>
            <w:vAlign w:val="center"/>
            <w:hideMark/>
          </w:tcPr>
          <w:p w14:paraId="4B0563B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17E54529"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40802A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1259B8D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Microscillaceae</w:t>
            </w:r>
          </w:p>
        </w:tc>
        <w:tc>
          <w:tcPr>
            <w:tcW w:w="1039" w:type="pct"/>
            <w:noWrap/>
            <w:vAlign w:val="center"/>
            <w:hideMark/>
          </w:tcPr>
          <w:p w14:paraId="1714446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Microscillaceae unclassified</w:t>
            </w:r>
          </w:p>
        </w:tc>
        <w:tc>
          <w:tcPr>
            <w:tcW w:w="711" w:type="pct"/>
            <w:noWrap/>
            <w:vAlign w:val="center"/>
            <w:hideMark/>
          </w:tcPr>
          <w:p w14:paraId="7F91F84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1.08E-04</w:t>
            </w:r>
          </w:p>
        </w:tc>
        <w:tc>
          <w:tcPr>
            <w:tcW w:w="711" w:type="pct"/>
            <w:noWrap/>
            <w:vAlign w:val="center"/>
            <w:hideMark/>
          </w:tcPr>
          <w:p w14:paraId="1DEE2D6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3.48E-05</w:t>
            </w:r>
          </w:p>
        </w:tc>
        <w:tc>
          <w:tcPr>
            <w:tcW w:w="461" w:type="pct"/>
            <w:noWrap/>
            <w:vAlign w:val="center"/>
            <w:hideMark/>
          </w:tcPr>
          <w:p w14:paraId="5550CD6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4.46E-02</w:t>
            </w:r>
          </w:p>
        </w:tc>
      </w:tr>
      <w:tr w:rsidR="00DA6475" w:rsidRPr="00435B6B" w14:paraId="569F96F2"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19AEDB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3F9E6BA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Chitinophagaceae</w:t>
            </w:r>
          </w:p>
        </w:tc>
        <w:tc>
          <w:tcPr>
            <w:tcW w:w="1039" w:type="pct"/>
            <w:noWrap/>
            <w:vAlign w:val="center"/>
            <w:hideMark/>
          </w:tcPr>
          <w:p w14:paraId="3B95E91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Niastella</w:t>
            </w:r>
          </w:p>
        </w:tc>
        <w:tc>
          <w:tcPr>
            <w:tcW w:w="711" w:type="pct"/>
            <w:noWrap/>
            <w:vAlign w:val="center"/>
            <w:hideMark/>
          </w:tcPr>
          <w:p w14:paraId="011D2E3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3.32E-04</w:t>
            </w:r>
          </w:p>
        </w:tc>
        <w:tc>
          <w:tcPr>
            <w:tcW w:w="711" w:type="pct"/>
            <w:noWrap/>
            <w:vAlign w:val="center"/>
            <w:hideMark/>
          </w:tcPr>
          <w:p w14:paraId="5782D9A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2.29E-05</w:t>
            </w:r>
          </w:p>
        </w:tc>
        <w:tc>
          <w:tcPr>
            <w:tcW w:w="461" w:type="pct"/>
            <w:noWrap/>
            <w:vAlign w:val="center"/>
            <w:hideMark/>
          </w:tcPr>
          <w:p w14:paraId="51E4EE8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08BE1091"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36E9CF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05880AB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Saprospiraceae</w:t>
            </w:r>
          </w:p>
        </w:tc>
        <w:tc>
          <w:tcPr>
            <w:tcW w:w="1039" w:type="pct"/>
            <w:noWrap/>
            <w:vAlign w:val="center"/>
            <w:hideMark/>
          </w:tcPr>
          <w:p w14:paraId="4F0FF2A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Phaeodactylibacter</w:t>
            </w:r>
          </w:p>
        </w:tc>
        <w:tc>
          <w:tcPr>
            <w:tcW w:w="711" w:type="pct"/>
            <w:noWrap/>
            <w:vAlign w:val="center"/>
            <w:hideMark/>
          </w:tcPr>
          <w:p w14:paraId="31DD119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8.04E-05</w:t>
            </w:r>
          </w:p>
        </w:tc>
        <w:tc>
          <w:tcPr>
            <w:tcW w:w="711" w:type="pct"/>
            <w:noWrap/>
            <w:vAlign w:val="center"/>
            <w:hideMark/>
          </w:tcPr>
          <w:p w14:paraId="08F9942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2.70E-05</w:t>
            </w:r>
          </w:p>
        </w:tc>
        <w:tc>
          <w:tcPr>
            <w:tcW w:w="461" w:type="pct"/>
            <w:noWrap/>
            <w:vAlign w:val="center"/>
            <w:hideMark/>
          </w:tcPr>
          <w:p w14:paraId="69B6112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2.27E-02</w:t>
            </w:r>
          </w:p>
        </w:tc>
      </w:tr>
      <w:tr w:rsidR="00DA6475" w:rsidRPr="00435B6B" w14:paraId="69BD7186"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E8E520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34ECED9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Chitinophagaceae</w:t>
            </w:r>
          </w:p>
        </w:tc>
        <w:tc>
          <w:tcPr>
            <w:tcW w:w="1039" w:type="pct"/>
            <w:noWrap/>
            <w:vAlign w:val="center"/>
            <w:hideMark/>
          </w:tcPr>
          <w:p w14:paraId="0062C19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Rurimicrobium</w:t>
            </w:r>
          </w:p>
        </w:tc>
        <w:tc>
          <w:tcPr>
            <w:tcW w:w="711" w:type="pct"/>
            <w:noWrap/>
            <w:vAlign w:val="center"/>
            <w:hideMark/>
          </w:tcPr>
          <w:p w14:paraId="67A9CFF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711" w:type="pct"/>
            <w:noWrap/>
            <w:vAlign w:val="center"/>
            <w:hideMark/>
          </w:tcPr>
          <w:p w14:paraId="789C183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1.25E-05</w:t>
            </w:r>
          </w:p>
        </w:tc>
        <w:tc>
          <w:tcPr>
            <w:tcW w:w="461" w:type="pct"/>
            <w:noWrap/>
            <w:vAlign w:val="center"/>
            <w:hideMark/>
          </w:tcPr>
          <w:p w14:paraId="1759C3E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712EEDA3"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3B8FE25"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0AFA8A7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Rikenellaceae</w:t>
            </w:r>
          </w:p>
        </w:tc>
        <w:tc>
          <w:tcPr>
            <w:tcW w:w="1039" w:type="pct"/>
            <w:noWrap/>
            <w:vAlign w:val="center"/>
            <w:hideMark/>
          </w:tcPr>
          <w:p w14:paraId="489EB37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S50 wastewater-sludge group</w:t>
            </w:r>
          </w:p>
        </w:tc>
        <w:tc>
          <w:tcPr>
            <w:tcW w:w="711" w:type="pct"/>
            <w:noWrap/>
            <w:vAlign w:val="center"/>
            <w:hideMark/>
          </w:tcPr>
          <w:p w14:paraId="0B58044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3.22E-05</w:t>
            </w:r>
          </w:p>
        </w:tc>
        <w:tc>
          <w:tcPr>
            <w:tcW w:w="711" w:type="pct"/>
            <w:noWrap/>
            <w:vAlign w:val="center"/>
            <w:hideMark/>
          </w:tcPr>
          <w:p w14:paraId="4AA99B3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9.25E-06</w:t>
            </w:r>
          </w:p>
        </w:tc>
        <w:tc>
          <w:tcPr>
            <w:tcW w:w="461" w:type="pct"/>
            <w:noWrap/>
            <w:vAlign w:val="center"/>
            <w:hideMark/>
          </w:tcPr>
          <w:p w14:paraId="67B3A0D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4.83E-02</w:t>
            </w:r>
          </w:p>
        </w:tc>
      </w:tr>
      <w:tr w:rsidR="00DA6475" w:rsidRPr="00435B6B" w14:paraId="5233B56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05F7EA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5A89961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Rhodothermaceae</w:t>
            </w:r>
          </w:p>
        </w:tc>
        <w:tc>
          <w:tcPr>
            <w:tcW w:w="1039" w:type="pct"/>
            <w:noWrap/>
            <w:vAlign w:val="center"/>
            <w:hideMark/>
          </w:tcPr>
          <w:p w14:paraId="6B4EF12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Salinibacter</w:t>
            </w:r>
          </w:p>
        </w:tc>
        <w:tc>
          <w:tcPr>
            <w:tcW w:w="711" w:type="pct"/>
            <w:noWrap/>
            <w:vAlign w:val="center"/>
            <w:hideMark/>
          </w:tcPr>
          <w:p w14:paraId="4E85487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4.16E-05</w:t>
            </w:r>
          </w:p>
        </w:tc>
        <w:tc>
          <w:tcPr>
            <w:tcW w:w="711" w:type="pct"/>
            <w:noWrap/>
            <w:vAlign w:val="center"/>
            <w:hideMark/>
          </w:tcPr>
          <w:p w14:paraId="6A3AEAF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7154830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2BBCB73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4C4099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093" w:type="pct"/>
            <w:noWrap/>
            <w:vAlign w:val="center"/>
            <w:hideMark/>
          </w:tcPr>
          <w:p w14:paraId="0FB19EE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Sphingobacteriaceae</w:t>
            </w:r>
          </w:p>
        </w:tc>
        <w:tc>
          <w:tcPr>
            <w:tcW w:w="1039" w:type="pct"/>
            <w:noWrap/>
            <w:vAlign w:val="center"/>
            <w:hideMark/>
          </w:tcPr>
          <w:p w14:paraId="2C2A001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Sphingobacterium</w:t>
            </w:r>
          </w:p>
        </w:tc>
        <w:tc>
          <w:tcPr>
            <w:tcW w:w="711" w:type="pct"/>
            <w:noWrap/>
            <w:vAlign w:val="center"/>
            <w:hideMark/>
          </w:tcPr>
          <w:p w14:paraId="6251B1E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2.57E-04</w:t>
            </w:r>
          </w:p>
        </w:tc>
        <w:tc>
          <w:tcPr>
            <w:tcW w:w="711" w:type="pct"/>
            <w:noWrap/>
            <w:vAlign w:val="center"/>
            <w:hideMark/>
          </w:tcPr>
          <w:p w14:paraId="7323561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7.20E-04</w:t>
            </w:r>
          </w:p>
        </w:tc>
        <w:tc>
          <w:tcPr>
            <w:tcW w:w="461" w:type="pct"/>
            <w:noWrap/>
            <w:vAlign w:val="center"/>
            <w:hideMark/>
          </w:tcPr>
          <w:p w14:paraId="2DAB9D4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2.86E-02</w:t>
            </w:r>
          </w:p>
        </w:tc>
      </w:tr>
      <w:tr w:rsidR="00DA6475" w:rsidRPr="00435B6B" w14:paraId="0B0EA9CC"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1CE2C8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Calditrichota</w:t>
            </w:r>
          </w:p>
        </w:tc>
        <w:tc>
          <w:tcPr>
            <w:tcW w:w="1093" w:type="pct"/>
            <w:noWrap/>
            <w:vAlign w:val="center"/>
            <w:hideMark/>
          </w:tcPr>
          <w:p w14:paraId="5D8DEAB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Calditrichaceae</w:t>
            </w:r>
          </w:p>
        </w:tc>
        <w:tc>
          <w:tcPr>
            <w:tcW w:w="1039" w:type="pct"/>
            <w:noWrap/>
            <w:vAlign w:val="center"/>
            <w:hideMark/>
          </w:tcPr>
          <w:p w14:paraId="28723B8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Calditrichaceae unclassified</w:t>
            </w:r>
          </w:p>
        </w:tc>
        <w:tc>
          <w:tcPr>
            <w:tcW w:w="711" w:type="pct"/>
            <w:noWrap/>
            <w:vAlign w:val="center"/>
            <w:hideMark/>
          </w:tcPr>
          <w:p w14:paraId="4161D09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4.19E-05</w:t>
            </w:r>
          </w:p>
        </w:tc>
        <w:tc>
          <w:tcPr>
            <w:tcW w:w="711" w:type="pct"/>
            <w:noWrap/>
            <w:vAlign w:val="center"/>
            <w:hideMark/>
          </w:tcPr>
          <w:p w14:paraId="608B9C4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2.65E-06</w:t>
            </w:r>
          </w:p>
        </w:tc>
        <w:tc>
          <w:tcPr>
            <w:tcW w:w="461" w:type="pct"/>
            <w:noWrap/>
            <w:vAlign w:val="center"/>
            <w:hideMark/>
          </w:tcPr>
          <w:p w14:paraId="66F61EF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533F53D7"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C94B633" w14:textId="71DFC4B1" w:rsidR="00DA6475" w:rsidRPr="009819CE" w:rsidRDefault="00815D08" w:rsidP="00DA6475">
            <w:pPr>
              <w:spacing w:before="0" w:after="0"/>
              <w:jc w:val="center"/>
              <w:rPr>
                <w:rFonts w:eastAsia="Calibri" w:cstheme="minorBidi"/>
                <w:b w:val="0"/>
                <w:bCs w:val="0"/>
                <w:i/>
                <w:iCs/>
                <w:color w:val="000000"/>
                <w:sz w:val="22"/>
                <w:szCs w:val="22"/>
                <w:lang w:eastAsia="en-US"/>
              </w:rPr>
            </w:pPr>
            <w:r w:rsidRPr="007E6468">
              <w:rPr>
                <w:rFonts w:ascii="Arial (Body CS)" w:eastAsia="Calibri" w:hAnsi="Arial (Body CS)" w:cstheme="minorBidi"/>
                <w:i/>
                <w:iCs/>
                <w:color w:val="000000"/>
                <w:sz w:val="22"/>
                <w:szCs w:val="22"/>
                <w:lang w:eastAsia="en-US"/>
              </w:rPr>
              <w:t>Campylobacterota</w:t>
            </w:r>
          </w:p>
        </w:tc>
        <w:tc>
          <w:tcPr>
            <w:tcW w:w="1093" w:type="pct"/>
            <w:noWrap/>
            <w:vAlign w:val="center"/>
            <w:hideMark/>
          </w:tcPr>
          <w:p w14:paraId="001E9A1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Helicobacteraceae</w:t>
            </w:r>
          </w:p>
        </w:tc>
        <w:tc>
          <w:tcPr>
            <w:tcW w:w="1039" w:type="pct"/>
            <w:noWrap/>
            <w:vAlign w:val="center"/>
            <w:hideMark/>
          </w:tcPr>
          <w:p w14:paraId="310B57B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Wolinella</w:t>
            </w:r>
          </w:p>
        </w:tc>
        <w:tc>
          <w:tcPr>
            <w:tcW w:w="711" w:type="pct"/>
            <w:noWrap/>
            <w:vAlign w:val="center"/>
            <w:hideMark/>
          </w:tcPr>
          <w:p w14:paraId="1B304FF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3.13E-07</w:t>
            </w:r>
          </w:p>
        </w:tc>
        <w:tc>
          <w:tcPr>
            <w:tcW w:w="711" w:type="pct"/>
            <w:noWrap/>
            <w:vAlign w:val="center"/>
            <w:hideMark/>
          </w:tcPr>
          <w:p w14:paraId="277861B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2.86E-05</w:t>
            </w:r>
          </w:p>
        </w:tc>
        <w:tc>
          <w:tcPr>
            <w:tcW w:w="461" w:type="pct"/>
            <w:noWrap/>
            <w:vAlign w:val="center"/>
            <w:hideMark/>
          </w:tcPr>
          <w:p w14:paraId="504A738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2.50E-02</w:t>
            </w:r>
          </w:p>
        </w:tc>
      </w:tr>
      <w:tr w:rsidR="00DA6475" w:rsidRPr="00435B6B" w14:paraId="23FE46B5"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F804FB9"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Chloroflexi</w:t>
            </w:r>
          </w:p>
        </w:tc>
        <w:tc>
          <w:tcPr>
            <w:tcW w:w="1093" w:type="pct"/>
            <w:noWrap/>
            <w:vAlign w:val="center"/>
            <w:hideMark/>
          </w:tcPr>
          <w:p w14:paraId="387F464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Ktedonobacteraceae</w:t>
            </w:r>
          </w:p>
        </w:tc>
        <w:tc>
          <w:tcPr>
            <w:tcW w:w="1039" w:type="pct"/>
            <w:noWrap/>
            <w:vAlign w:val="center"/>
            <w:hideMark/>
          </w:tcPr>
          <w:p w14:paraId="05B7ABA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1959-1</w:t>
            </w:r>
          </w:p>
        </w:tc>
        <w:tc>
          <w:tcPr>
            <w:tcW w:w="711" w:type="pct"/>
            <w:noWrap/>
            <w:vAlign w:val="center"/>
            <w:hideMark/>
          </w:tcPr>
          <w:p w14:paraId="7240A5F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1.23E-05</w:t>
            </w:r>
          </w:p>
        </w:tc>
        <w:tc>
          <w:tcPr>
            <w:tcW w:w="711" w:type="pct"/>
            <w:noWrap/>
            <w:vAlign w:val="center"/>
            <w:hideMark/>
          </w:tcPr>
          <w:p w14:paraId="352BEA7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70CDD8A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2E1C17AA"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CEB49EB"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Chloroflexi</w:t>
            </w:r>
          </w:p>
        </w:tc>
        <w:tc>
          <w:tcPr>
            <w:tcW w:w="1093" w:type="pct"/>
            <w:noWrap/>
            <w:vAlign w:val="center"/>
            <w:hideMark/>
          </w:tcPr>
          <w:p w14:paraId="197FB71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Herpetosiphonaceae</w:t>
            </w:r>
          </w:p>
        </w:tc>
        <w:tc>
          <w:tcPr>
            <w:tcW w:w="1039" w:type="pct"/>
            <w:noWrap/>
            <w:vAlign w:val="center"/>
            <w:hideMark/>
          </w:tcPr>
          <w:p w14:paraId="53A04EA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Herpetosiphon</w:t>
            </w:r>
          </w:p>
        </w:tc>
        <w:tc>
          <w:tcPr>
            <w:tcW w:w="711" w:type="pct"/>
            <w:noWrap/>
            <w:vAlign w:val="center"/>
            <w:hideMark/>
          </w:tcPr>
          <w:p w14:paraId="47F6B10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1.61E-05</w:t>
            </w:r>
          </w:p>
        </w:tc>
        <w:tc>
          <w:tcPr>
            <w:tcW w:w="711" w:type="pct"/>
            <w:noWrap/>
            <w:vAlign w:val="center"/>
            <w:hideMark/>
          </w:tcPr>
          <w:p w14:paraId="5DF1B77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1D179E2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3E7E813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6C49D2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Chloroflexi</w:t>
            </w:r>
          </w:p>
        </w:tc>
        <w:tc>
          <w:tcPr>
            <w:tcW w:w="1093" w:type="pct"/>
            <w:noWrap/>
            <w:vAlign w:val="center"/>
            <w:hideMark/>
          </w:tcPr>
          <w:p w14:paraId="3FCD336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JG30-KF-AS9</w:t>
            </w:r>
          </w:p>
        </w:tc>
        <w:tc>
          <w:tcPr>
            <w:tcW w:w="1039" w:type="pct"/>
            <w:noWrap/>
            <w:vAlign w:val="center"/>
            <w:hideMark/>
          </w:tcPr>
          <w:p w14:paraId="3E39377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JG30-KF-AS9 ge</w:t>
            </w:r>
          </w:p>
        </w:tc>
        <w:tc>
          <w:tcPr>
            <w:tcW w:w="711" w:type="pct"/>
            <w:noWrap/>
            <w:vAlign w:val="center"/>
            <w:hideMark/>
          </w:tcPr>
          <w:p w14:paraId="34122D5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7.39E-05</w:t>
            </w:r>
          </w:p>
        </w:tc>
        <w:tc>
          <w:tcPr>
            <w:tcW w:w="711" w:type="pct"/>
            <w:noWrap/>
            <w:vAlign w:val="center"/>
            <w:hideMark/>
          </w:tcPr>
          <w:p w14:paraId="386263A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1.47E-05</w:t>
            </w:r>
          </w:p>
        </w:tc>
        <w:tc>
          <w:tcPr>
            <w:tcW w:w="461" w:type="pct"/>
            <w:noWrap/>
            <w:vAlign w:val="center"/>
            <w:hideMark/>
          </w:tcPr>
          <w:p w14:paraId="31950F7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1C6A44F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62F53E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Chloroflexi</w:t>
            </w:r>
          </w:p>
        </w:tc>
        <w:tc>
          <w:tcPr>
            <w:tcW w:w="1093" w:type="pct"/>
            <w:noWrap/>
            <w:vAlign w:val="center"/>
            <w:hideMark/>
          </w:tcPr>
          <w:p w14:paraId="30B183C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KD4-96 fa</w:t>
            </w:r>
          </w:p>
        </w:tc>
        <w:tc>
          <w:tcPr>
            <w:tcW w:w="1039" w:type="pct"/>
            <w:noWrap/>
            <w:vAlign w:val="center"/>
            <w:hideMark/>
          </w:tcPr>
          <w:p w14:paraId="2518529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KD4-96 ge</w:t>
            </w:r>
          </w:p>
        </w:tc>
        <w:tc>
          <w:tcPr>
            <w:tcW w:w="711" w:type="pct"/>
            <w:noWrap/>
            <w:vAlign w:val="center"/>
            <w:hideMark/>
          </w:tcPr>
          <w:p w14:paraId="3126202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4.58E-04</w:t>
            </w:r>
          </w:p>
        </w:tc>
        <w:tc>
          <w:tcPr>
            <w:tcW w:w="711" w:type="pct"/>
            <w:noWrap/>
            <w:vAlign w:val="center"/>
            <w:hideMark/>
          </w:tcPr>
          <w:p w14:paraId="1EAC978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2.22E-04</w:t>
            </w:r>
          </w:p>
        </w:tc>
        <w:tc>
          <w:tcPr>
            <w:tcW w:w="461" w:type="pct"/>
            <w:noWrap/>
            <w:vAlign w:val="center"/>
            <w:hideMark/>
          </w:tcPr>
          <w:p w14:paraId="5E3E706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2.53E-02</w:t>
            </w:r>
          </w:p>
        </w:tc>
      </w:tr>
      <w:tr w:rsidR="00DA6475" w:rsidRPr="00435B6B" w14:paraId="77A0A57F"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3E521C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Cyanobacteria</w:t>
            </w:r>
          </w:p>
        </w:tc>
        <w:tc>
          <w:tcPr>
            <w:tcW w:w="1093" w:type="pct"/>
            <w:noWrap/>
            <w:vAlign w:val="center"/>
            <w:hideMark/>
          </w:tcPr>
          <w:p w14:paraId="784EC6C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Unknown Family</w:t>
            </w:r>
          </w:p>
        </w:tc>
        <w:tc>
          <w:tcPr>
            <w:tcW w:w="1039" w:type="pct"/>
            <w:noWrap/>
            <w:vAlign w:val="center"/>
            <w:hideMark/>
          </w:tcPr>
          <w:p w14:paraId="012BE20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Leptolyngbya ANT.L52.2</w:t>
            </w:r>
          </w:p>
        </w:tc>
        <w:tc>
          <w:tcPr>
            <w:tcW w:w="711" w:type="pct"/>
            <w:noWrap/>
            <w:vAlign w:val="center"/>
            <w:hideMark/>
          </w:tcPr>
          <w:p w14:paraId="0B8B39E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2.07E-05</w:t>
            </w:r>
          </w:p>
        </w:tc>
        <w:tc>
          <w:tcPr>
            <w:tcW w:w="711" w:type="pct"/>
            <w:noWrap/>
            <w:vAlign w:val="center"/>
            <w:hideMark/>
          </w:tcPr>
          <w:p w14:paraId="773A1DF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3.69E-07</w:t>
            </w:r>
          </w:p>
        </w:tc>
        <w:tc>
          <w:tcPr>
            <w:tcW w:w="461" w:type="pct"/>
            <w:noWrap/>
            <w:vAlign w:val="center"/>
            <w:hideMark/>
          </w:tcPr>
          <w:p w14:paraId="0B9BEB5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1.62E-02</w:t>
            </w:r>
          </w:p>
        </w:tc>
      </w:tr>
      <w:tr w:rsidR="00DA6475" w:rsidRPr="00435B6B" w14:paraId="3889CB1A"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8F9F61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Cyanobacteria</w:t>
            </w:r>
          </w:p>
        </w:tc>
        <w:tc>
          <w:tcPr>
            <w:tcW w:w="1093" w:type="pct"/>
            <w:noWrap/>
            <w:vAlign w:val="center"/>
            <w:hideMark/>
          </w:tcPr>
          <w:p w14:paraId="5863B5D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Coleofasciculaceae</w:t>
            </w:r>
          </w:p>
        </w:tc>
        <w:tc>
          <w:tcPr>
            <w:tcW w:w="1039" w:type="pct"/>
            <w:noWrap/>
            <w:vAlign w:val="center"/>
            <w:hideMark/>
          </w:tcPr>
          <w:p w14:paraId="0443C3E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Microcoleus SAG 1449-1a</w:t>
            </w:r>
          </w:p>
        </w:tc>
        <w:tc>
          <w:tcPr>
            <w:tcW w:w="711" w:type="pct"/>
            <w:noWrap/>
            <w:vAlign w:val="center"/>
            <w:hideMark/>
          </w:tcPr>
          <w:p w14:paraId="36BE999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3.25E-05</w:t>
            </w:r>
          </w:p>
        </w:tc>
        <w:tc>
          <w:tcPr>
            <w:tcW w:w="711" w:type="pct"/>
            <w:noWrap/>
            <w:vAlign w:val="center"/>
            <w:hideMark/>
          </w:tcPr>
          <w:p w14:paraId="4916B2D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06D8719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1B1811CF"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9416ED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Cyanobacteria</w:t>
            </w:r>
          </w:p>
        </w:tc>
        <w:tc>
          <w:tcPr>
            <w:tcW w:w="1093" w:type="pct"/>
            <w:noWrap/>
            <w:vAlign w:val="center"/>
            <w:hideMark/>
          </w:tcPr>
          <w:p w14:paraId="7E4662D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Sericytochromatia fa</w:t>
            </w:r>
          </w:p>
        </w:tc>
        <w:tc>
          <w:tcPr>
            <w:tcW w:w="1039" w:type="pct"/>
            <w:noWrap/>
            <w:vAlign w:val="center"/>
            <w:hideMark/>
          </w:tcPr>
          <w:p w14:paraId="6D4A63B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Sericytochromatia</w:t>
            </w:r>
          </w:p>
          <w:p w14:paraId="59E0315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w:t>
            </w:r>
          </w:p>
        </w:tc>
        <w:tc>
          <w:tcPr>
            <w:tcW w:w="711" w:type="pct"/>
            <w:noWrap/>
            <w:vAlign w:val="center"/>
            <w:hideMark/>
          </w:tcPr>
          <w:p w14:paraId="08D1593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2.09E-05</w:t>
            </w:r>
          </w:p>
        </w:tc>
        <w:tc>
          <w:tcPr>
            <w:tcW w:w="711" w:type="pct"/>
            <w:noWrap/>
            <w:vAlign w:val="center"/>
            <w:hideMark/>
          </w:tcPr>
          <w:p w14:paraId="6258ED9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1.42E-06</w:t>
            </w:r>
          </w:p>
        </w:tc>
        <w:tc>
          <w:tcPr>
            <w:tcW w:w="461" w:type="pct"/>
            <w:noWrap/>
            <w:vAlign w:val="center"/>
            <w:hideMark/>
          </w:tcPr>
          <w:p w14:paraId="08A0C7A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2.10E-02</w:t>
            </w:r>
          </w:p>
        </w:tc>
      </w:tr>
      <w:tr w:rsidR="00DA6475" w:rsidRPr="00435B6B" w14:paraId="095B0C5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56FF84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Deferribacterota</w:t>
            </w:r>
          </w:p>
        </w:tc>
        <w:tc>
          <w:tcPr>
            <w:tcW w:w="1093" w:type="pct"/>
            <w:noWrap/>
            <w:vAlign w:val="center"/>
            <w:hideMark/>
          </w:tcPr>
          <w:p w14:paraId="3393CF7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Deferribacteraceae</w:t>
            </w:r>
          </w:p>
        </w:tc>
        <w:tc>
          <w:tcPr>
            <w:tcW w:w="1039" w:type="pct"/>
            <w:noWrap/>
            <w:vAlign w:val="center"/>
            <w:hideMark/>
          </w:tcPr>
          <w:p w14:paraId="488A2F9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Calditerrivibrio</w:t>
            </w:r>
          </w:p>
        </w:tc>
        <w:tc>
          <w:tcPr>
            <w:tcW w:w="711" w:type="pct"/>
            <w:noWrap/>
            <w:vAlign w:val="center"/>
            <w:hideMark/>
          </w:tcPr>
          <w:p w14:paraId="7850924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711" w:type="pct"/>
            <w:noWrap/>
            <w:vAlign w:val="center"/>
            <w:hideMark/>
          </w:tcPr>
          <w:p w14:paraId="46080F7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7.95E-06</w:t>
            </w:r>
          </w:p>
        </w:tc>
        <w:tc>
          <w:tcPr>
            <w:tcW w:w="461" w:type="pct"/>
            <w:noWrap/>
            <w:vAlign w:val="center"/>
            <w:hideMark/>
          </w:tcPr>
          <w:p w14:paraId="3E45730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7B767A0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4F4566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Deinococcota</w:t>
            </w:r>
          </w:p>
        </w:tc>
        <w:tc>
          <w:tcPr>
            <w:tcW w:w="1093" w:type="pct"/>
            <w:noWrap/>
            <w:vAlign w:val="center"/>
            <w:hideMark/>
          </w:tcPr>
          <w:p w14:paraId="2CA41C4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Thermaceae</w:t>
            </w:r>
          </w:p>
        </w:tc>
        <w:tc>
          <w:tcPr>
            <w:tcW w:w="1039" w:type="pct"/>
            <w:noWrap/>
            <w:vAlign w:val="center"/>
            <w:hideMark/>
          </w:tcPr>
          <w:p w14:paraId="2EDE1F6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Meiothermus</w:t>
            </w:r>
          </w:p>
        </w:tc>
        <w:tc>
          <w:tcPr>
            <w:tcW w:w="711" w:type="pct"/>
            <w:noWrap/>
            <w:vAlign w:val="center"/>
            <w:hideMark/>
          </w:tcPr>
          <w:p w14:paraId="1A68323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2.07E-05</w:t>
            </w:r>
          </w:p>
        </w:tc>
        <w:tc>
          <w:tcPr>
            <w:tcW w:w="711" w:type="pct"/>
            <w:noWrap/>
            <w:vAlign w:val="center"/>
            <w:hideMark/>
          </w:tcPr>
          <w:p w14:paraId="2A5B933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1.65E-06</w:t>
            </w:r>
          </w:p>
        </w:tc>
        <w:tc>
          <w:tcPr>
            <w:tcW w:w="461" w:type="pct"/>
            <w:noWrap/>
            <w:vAlign w:val="center"/>
            <w:hideMark/>
          </w:tcPr>
          <w:p w14:paraId="162A9A8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1.62E-02</w:t>
            </w:r>
          </w:p>
        </w:tc>
      </w:tr>
      <w:tr w:rsidR="00DA6475" w:rsidRPr="00435B6B" w14:paraId="503B94D1"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B33D0E9"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1093" w:type="pct"/>
            <w:noWrap/>
            <w:vAlign w:val="center"/>
            <w:hideMark/>
          </w:tcPr>
          <w:p w14:paraId="5DE22C0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Desulfuromonadaceae</w:t>
            </w:r>
          </w:p>
        </w:tc>
        <w:tc>
          <w:tcPr>
            <w:tcW w:w="1039" w:type="pct"/>
            <w:noWrap/>
            <w:vAlign w:val="center"/>
            <w:hideMark/>
          </w:tcPr>
          <w:p w14:paraId="48BFB08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Desulfuromonadaceae</w:t>
            </w:r>
          </w:p>
          <w:p w14:paraId="7CE5114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7AD4948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1.82E-05</w:t>
            </w:r>
          </w:p>
        </w:tc>
        <w:tc>
          <w:tcPr>
            <w:tcW w:w="711" w:type="pct"/>
            <w:noWrap/>
            <w:vAlign w:val="center"/>
            <w:hideMark/>
          </w:tcPr>
          <w:p w14:paraId="4852E0A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3.59E-06</w:t>
            </w:r>
          </w:p>
        </w:tc>
        <w:tc>
          <w:tcPr>
            <w:tcW w:w="461" w:type="pct"/>
            <w:noWrap/>
            <w:vAlign w:val="center"/>
            <w:hideMark/>
          </w:tcPr>
          <w:p w14:paraId="2E821A6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160871E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8C906F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Entotheonellaeota</w:t>
            </w:r>
          </w:p>
        </w:tc>
        <w:tc>
          <w:tcPr>
            <w:tcW w:w="1093" w:type="pct"/>
            <w:noWrap/>
            <w:vAlign w:val="center"/>
            <w:hideMark/>
          </w:tcPr>
          <w:p w14:paraId="731E1BC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Entotheonellaceae</w:t>
            </w:r>
          </w:p>
        </w:tc>
        <w:tc>
          <w:tcPr>
            <w:tcW w:w="1039" w:type="pct"/>
            <w:noWrap/>
            <w:vAlign w:val="center"/>
            <w:hideMark/>
          </w:tcPr>
          <w:p w14:paraId="651CBBD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Entotheonellaceae</w:t>
            </w:r>
          </w:p>
          <w:p w14:paraId="1A60295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w:t>
            </w:r>
          </w:p>
        </w:tc>
        <w:tc>
          <w:tcPr>
            <w:tcW w:w="711" w:type="pct"/>
            <w:noWrap/>
            <w:vAlign w:val="center"/>
            <w:hideMark/>
          </w:tcPr>
          <w:p w14:paraId="761F95F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5.09E-05</w:t>
            </w:r>
          </w:p>
        </w:tc>
        <w:tc>
          <w:tcPr>
            <w:tcW w:w="711" w:type="pct"/>
            <w:noWrap/>
            <w:vAlign w:val="center"/>
            <w:hideMark/>
          </w:tcPr>
          <w:p w14:paraId="34C94C5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1.22E-05</w:t>
            </w:r>
          </w:p>
        </w:tc>
        <w:tc>
          <w:tcPr>
            <w:tcW w:w="461" w:type="pct"/>
            <w:noWrap/>
            <w:vAlign w:val="center"/>
            <w:hideMark/>
          </w:tcPr>
          <w:p w14:paraId="2982B28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1.03E-02</w:t>
            </w:r>
          </w:p>
        </w:tc>
      </w:tr>
      <w:tr w:rsidR="00DA6475" w:rsidRPr="00435B6B" w14:paraId="28C34D3E"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D05E0D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Fibrobacterota</w:t>
            </w:r>
          </w:p>
        </w:tc>
        <w:tc>
          <w:tcPr>
            <w:tcW w:w="1093" w:type="pct"/>
            <w:noWrap/>
            <w:vAlign w:val="center"/>
            <w:hideMark/>
          </w:tcPr>
          <w:p w14:paraId="458E731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Fibrobacteraceae</w:t>
            </w:r>
          </w:p>
        </w:tc>
        <w:tc>
          <w:tcPr>
            <w:tcW w:w="1039" w:type="pct"/>
            <w:noWrap/>
            <w:vAlign w:val="center"/>
            <w:hideMark/>
          </w:tcPr>
          <w:p w14:paraId="04E2FA6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Fibrobacter</w:t>
            </w:r>
          </w:p>
        </w:tc>
        <w:tc>
          <w:tcPr>
            <w:tcW w:w="711" w:type="pct"/>
            <w:noWrap/>
            <w:vAlign w:val="center"/>
            <w:hideMark/>
          </w:tcPr>
          <w:p w14:paraId="12ADE7B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1.77E-04</w:t>
            </w:r>
          </w:p>
        </w:tc>
        <w:tc>
          <w:tcPr>
            <w:tcW w:w="711" w:type="pct"/>
            <w:noWrap/>
            <w:vAlign w:val="center"/>
            <w:hideMark/>
          </w:tcPr>
          <w:p w14:paraId="34A003B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2.86E-05</w:t>
            </w:r>
          </w:p>
        </w:tc>
        <w:tc>
          <w:tcPr>
            <w:tcW w:w="461" w:type="pct"/>
            <w:noWrap/>
            <w:vAlign w:val="center"/>
            <w:hideMark/>
          </w:tcPr>
          <w:p w14:paraId="79BB7D5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1.11E-02</w:t>
            </w:r>
          </w:p>
        </w:tc>
      </w:tr>
      <w:tr w:rsidR="00DA6475" w:rsidRPr="00435B6B" w14:paraId="1127B0D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776FBA5"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5AA0C4A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Aerococcaceae</w:t>
            </w:r>
          </w:p>
        </w:tc>
        <w:tc>
          <w:tcPr>
            <w:tcW w:w="1039" w:type="pct"/>
            <w:noWrap/>
            <w:vAlign w:val="center"/>
            <w:hideMark/>
          </w:tcPr>
          <w:p w14:paraId="64A5211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Abiotrophia</w:t>
            </w:r>
          </w:p>
        </w:tc>
        <w:tc>
          <w:tcPr>
            <w:tcW w:w="711" w:type="pct"/>
            <w:noWrap/>
            <w:vAlign w:val="center"/>
            <w:hideMark/>
          </w:tcPr>
          <w:p w14:paraId="2DF37B2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1.55E-04</w:t>
            </w:r>
          </w:p>
        </w:tc>
        <w:tc>
          <w:tcPr>
            <w:tcW w:w="711" w:type="pct"/>
            <w:noWrap/>
            <w:vAlign w:val="center"/>
            <w:hideMark/>
          </w:tcPr>
          <w:p w14:paraId="70C91E9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1.40E-04</w:t>
            </w:r>
          </w:p>
        </w:tc>
        <w:tc>
          <w:tcPr>
            <w:tcW w:w="461" w:type="pct"/>
            <w:noWrap/>
            <w:vAlign w:val="center"/>
            <w:hideMark/>
          </w:tcPr>
          <w:p w14:paraId="6EA6D43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2.72E-02</w:t>
            </w:r>
          </w:p>
        </w:tc>
      </w:tr>
      <w:tr w:rsidR="00DA6475" w:rsidRPr="00435B6B" w14:paraId="75746D98"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AB751B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25C6A2C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039" w:type="pct"/>
            <w:noWrap/>
            <w:vAlign w:val="center"/>
            <w:hideMark/>
          </w:tcPr>
          <w:p w14:paraId="505EDF0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Acetoanaerobium</w:t>
            </w:r>
          </w:p>
        </w:tc>
        <w:tc>
          <w:tcPr>
            <w:tcW w:w="711" w:type="pct"/>
            <w:noWrap/>
            <w:vAlign w:val="center"/>
            <w:hideMark/>
          </w:tcPr>
          <w:p w14:paraId="629F786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6.49E-05</w:t>
            </w:r>
          </w:p>
        </w:tc>
        <w:tc>
          <w:tcPr>
            <w:tcW w:w="711" w:type="pct"/>
            <w:noWrap/>
            <w:vAlign w:val="center"/>
            <w:hideMark/>
          </w:tcPr>
          <w:p w14:paraId="1ADB8F6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1.64E-05</w:t>
            </w:r>
          </w:p>
        </w:tc>
        <w:tc>
          <w:tcPr>
            <w:tcW w:w="461" w:type="pct"/>
            <w:noWrap/>
            <w:vAlign w:val="center"/>
            <w:hideMark/>
          </w:tcPr>
          <w:p w14:paraId="7418C61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3.91E-02</w:t>
            </w:r>
          </w:p>
        </w:tc>
      </w:tr>
      <w:tr w:rsidR="00DA6475" w:rsidRPr="00435B6B" w14:paraId="665ADF80"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E9D493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430DC91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Aerococcaceae</w:t>
            </w:r>
          </w:p>
        </w:tc>
        <w:tc>
          <w:tcPr>
            <w:tcW w:w="1039" w:type="pct"/>
            <w:noWrap/>
            <w:vAlign w:val="center"/>
            <w:hideMark/>
          </w:tcPr>
          <w:p w14:paraId="02E7A37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Aerococcaceae</w:t>
            </w:r>
          </w:p>
          <w:p w14:paraId="0B75C8B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40A2FEB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3.86E-05</w:t>
            </w:r>
          </w:p>
        </w:tc>
        <w:tc>
          <w:tcPr>
            <w:tcW w:w="711" w:type="pct"/>
            <w:noWrap/>
            <w:vAlign w:val="center"/>
            <w:hideMark/>
          </w:tcPr>
          <w:p w14:paraId="4811725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5.41E-06</w:t>
            </w:r>
          </w:p>
        </w:tc>
        <w:tc>
          <w:tcPr>
            <w:tcW w:w="461" w:type="pct"/>
            <w:noWrap/>
            <w:vAlign w:val="center"/>
            <w:hideMark/>
          </w:tcPr>
          <w:p w14:paraId="605CE21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1.90E-02</w:t>
            </w:r>
          </w:p>
        </w:tc>
      </w:tr>
      <w:tr w:rsidR="00DA6475" w:rsidRPr="00435B6B" w14:paraId="7406980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73D2C75"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10DF611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Bacillaceae</w:t>
            </w:r>
          </w:p>
        </w:tc>
        <w:tc>
          <w:tcPr>
            <w:tcW w:w="1039" w:type="pct"/>
            <w:noWrap/>
            <w:vAlign w:val="center"/>
            <w:hideMark/>
          </w:tcPr>
          <w:p w14:paraId="649D82D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Bacillus</w:t>
            </w:r>
          </w:p>
        </w:tc>
        <w:tc>
          <w:tcPr>
            <w:tcW w:w="711" w:type="pct"/>
            <w:noWrap/>
            <w:vAlign w:val="center"/>
            <w:hideMark/>
          </w:tcPr>
          <w:p w14:paraId="09B1E5E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2.28E-03</w:t>
            </w:r>
          </w:p>
        </w:tc>
        <w:tc>
          <w:tcPr>
            <w:tcW w:w="711" w:type="pct"/>
            <w:noWrap/>
            <w:vAlign w:val="center"/>
            <w:hideMark/>
          </w:tcPr>
          <w:p w14:paraId="08CE6AD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9.31E-04</w:t>
            </w:r>
          </w:p>
        </w:tc>
        <w:tc>
          <w:tcPr>
            <w:tcW w:w="461" w:type="pct"/>
            <w:noWrap/>
            <w:vAlign w:val="center"/>
            <w:hideMark/>
          </w:tcPr>
          <w:p w14:paraId="71E4DD3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27CCA5D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C0284A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47A6F0B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039" w:type="pct"/>
            <w:noWrap/>
            <w:vAlign w:val="center"/>
            <w:hideMark/>
          </w:tcPr>
          <w:p w14:paraId="6A6DDA0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Blautia</w:t>
            </w:r>
          </w:p>
        </w:tc>
        <w:tc>
          <w:tcPr>
            <w:tcW w:w="711" w:type="pct"/>
            <w:noWrap/>
            <w:vAlign w:val="center"/>
            <w:hideMark/>
          </w:tcPr>
          <w:p w14:paraId="1352ED5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5.34E-02</w:t>
            </w:r>
          </w:p>
        </w:tc>
        <w:tc>
          <w:tcPr>
            <w:tcW w:w="711" w:type="pct"/>
            <w:noWrap/>
            <w:vAlign w:val="center"/>
            <w:hideMark/>
          </w:tcPr>
          <w:p w14:paraId="6F6789B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2.22E-02</w:t>
            </w:r>
          </w:p>
        </w:tc>
        <w:tc>
          <w:tcPr>
            <w:tcW w:w="461" w:type="pct"/>
            <w:noWrap/>
            <w:vAlign w:val="center"/>
            <w:hideMark/>
          </w:tcPr>
          <w:p w14:paraId="721B991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4.28E-02</w:t>
            </w:r>
          </w:p>
        </w:tc>
      </w:tr>
      <w:tr w:rsidR="00DA6475" w:rsidRPr="00435B6B" w14:paraId="4217682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103735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2C6C8D9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039" w:type="pct"/>
            <w:noWrap/>
            <w:vAlign w:val="center"/>
            <w:hideMark/>
          </w:tcPr>
          <w:p w14:paraId="5B80FB0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Butyrivibrio</w:t>
            </w:r>
          </w:p>
        </w:tc>
        <w:tc>
          <w:tcPr>
            <w:tcW w:w="711" w:type="pct"/>
            <w:noWrap/>
            <w:vAlign w:val="center"/>
            <w:hideMark/>
          </w:tcPr>
          <w:p w14:paraId="7E2B0A3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1.38E-05</w:t>
            </w:r>
          </w:p>
        </w:tc>
        <w:tc>
          <w:tcPr>
            <w:tcW w:w="711" w:type="pct"/>
            <w:noWrap/>
            <w:vAlign w:val="center"/>
            <w:hideMark/>
          </w:tcPr>
          <w:p w14:paraId="5433D58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1.14E-04</w:t>
            </w:r>
          </w:p>
        </w:tc>
        <w:tc>
          <w:tcPr>
            <w:tcW w:w="461" w:type="pct"/>
            <w:noWrap/>
            <w:vAlign w:val="center"/>
            <w:hideMark/>
          </w:tcPr>
          <w:p w14:paraId="63940F2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09480DC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704419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195617E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039" w:type="pct"/>
            <w:noWrap/>
            <w:vAlign w:val="center"/>
            <w:hideMark/>
          </w:tcPr>
          <w:p w14:paraId="16DEBF2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Cellulosilyticum</w:t>
            </w:r>
          </w:p>
        </w:tc>
        <w:tc>
          <w:tcPr>
            <w:tcW w:w="711" w:type="pct"/>
            <w:noWrap/>
            <w:vAlign w:val="center"/>
            <w:hideMark/>
          </w:tcPr>
          <w:p w14:paraId="7A58C9C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9.66E-05</w:t>
            </w:r>
          </w:p>
        </w:tc>
        <w:tc>
          <w:tcPr>
            <w:tcW w:w="711" w:type="pct"/>
            <w:noWrap/>
            <w:vAlign w:val="center"/>
            <w:hideMark/>
          </w:tcPr>
          <w:p w14:paraId="3B42E75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8.87E-06</w:t>
            </w:r>
          </w:p>
        </w:tc>
        <w:tc>
          <w:tcPr>
            <w:tcW w:w="461" w:type="pct"/>
            <w:noWrap/>
            <w:vAlign w:val="center"/>
            <w:hideMark/>
          </w:tcPr>
          <w:p w14:paraId="10B19FB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253FA847"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C45B29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08E1D54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Desulfitobacteriaceae</w:t>
            </w:r>
          </w:p>
        </w:tc>
        <w:tc>
          <w:tcPr>
            <w:tcW w:w="1039" w:type="pct"/>
            <w:noWrap/>
            <w:vAlign w:val="center"/>
            <w:hideMark/>
          </w:tcPr>
          <w:p w14:paraId="5AC0C18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Desulfosporosinus</w:t>
            </w:r>
          </w:p>
        </w:tc>
        <w:tc>
          <w:tcPr>
            <w:tcW w:w="711" w:type="pct"/>
            <w:noWrap/>
            <w:vAlign w:val="center"/>
            <w:hideMark/>
          </w:tcPr>
          <w:p w14:paraId="2FCCB6E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3.88E-05</w:t>
            </w:r>
          </w:p>
        </w:tc>
        <w:tc>
          <w:tcPr>
            <w:tcW w:w="711" w:type="pct"/>
            <w:noWrap/>
            <w:vAlign w:val="center"/>
            <w:hideMark/>
          </w:tcPr>
          <w:p w14:paraId="5B9270F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1.11E-05</w:t>
            </w:r>
          </w:p>
        </w:tc>
        <w:tc>
          <w:tcPr>
            <w:tcW w:w="461" w:type="pct"/>
            <w:noWrap/>
            <w:vAlign w:val="center"/>
            <w:hideMark/>
          </w:tcPr>
          <w:p w14:paraId="1C05CAB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1.88E-02</w:t>
            </w:r>
          </w:p>
        </w:tc>
      </w:tr>
      <w:tr w:rsidR="00DA6475" w:rsidRPr="00435B6B" w14:paraId="416939AC"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62769B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010E39C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Erysipelatoclostridiaceae</w:t>
            </w:r>
          </w:p>
        </w:tc>
        <w:tc>
          <w:tcPr>
            <w:tcW w:w="1039" w:type="pct"/>
            <w:noWrap/>
            <w:vAlign w:val="center"/>
            <w:hideMark/>
          </w:tcPr>
          <w:p w14:paraId="19CAC9D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Erysipelatoclostridium</w:t>
            </w:r>
          </w:p>
        </w:tc>
        <w:tc>
          <w:tcPr>
            <w:tcW w:w="711" w:type="pct"/>
            <w:noWrap/>
            <w:vAlign w:val="center"/>
            <w:hideMark/>
          </w:tcPr>
          <w:p w14:paraId="13AE8C2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1.07E-02</w:t>
            </w:r>
          </w:p>
        </w:tc>
        <w:tc>
          <w:tcPr>
            <w:tcW w:w="711" w:type="pct"/>
            <w:noWrap/>
            <w:vAlign w:val="center"/>
            <w:hideMark/>
          </w:tcPr>
          <w:p w14:paraId="2A42D4D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3.71E-03</w:t>
            </w:r>
          </w:p>
        </w:tc>
        <w:tc>
          <w:tcPr>
            <w:tcW w:w="461" w:type="pct"/>
            <w:noWrap/>
            <w:vAlign w:val="center"/>
            <w:hideMark/>
          </w:tcPr>
          <w:p w14:paraId="60EB640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1.37E-02</w:t>
            </w:r>
          </w:p>
        </w:tc>
      </w:tr>
      <w:tr w:rsidR="00DA6475" w:rsidRPr="00435B6B" w14:paraId="7FFED129"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CD6447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430D5FE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tc>
        <w:tc>
          <w:tcPr>
            <w:tcW w:w="1039" w:type="pct"/>
            <w:noWrap/>
            <w:vAlign w:val="center"/>
            <w:hideMark/>
          </w:tcPr>
          <w:p w14:paraId="7325C0B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p w14:paraId="0A5F207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w:t>
            </w:r>
          </w:p>
        </w:tc>
        <w:tc>
          <w:tcPr>
            <w:tcW w:w="711" w:type="pct"/>
            <w:noWrap/>
            <w:vAlign w:val="center"/>
            <w:hideMark/>
          </w:tcPr>
          <w:p w14:paraId="7E6D7C5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4.34E-03</w:t>
            </w:r>
          </w:p>
        </w:tc>
        <w:tc>
          <w:tcPr>
            <w:tcW w:w="711" w:type="pct"/>
            <w:noWrap/>
            <w:vAlign w:val="center"/>
            <w:hideMark/>
          </w:tcPr>
          <w:p w14:paraId="4947691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1.85E-03</w:t>
            </w:r>
          </w:p>
        </w:tc>
        <w:tc>
          <w:tcPr>
            <w:tcW w:w="461" w:type="pct"/>
            <w:noWrap/>
            <w:vAlign w:val="center"/>
            <w:hideMark/>
          </w:tcPr>
          <w:p w14:paraId="5397C21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3.34E-02</w:t>
            </w:r>
          </w:p>
        </w:tc>
      </w:tr>
      <w:tr w:rsidR="00DA6475" w:rsidRPr="00435B6B" w14:paraId="472094AC"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DAB110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56B9DCA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Bacillaceae</w:t>
            </w:r>
          </w:p>
        </w:tc>
        <w:tc>
          <w:tcPr>
            <w:tcW w:w="1039" w:type="pct"/>
            <w:noWrap/>
            <w:vAlign w:val="center"/>
            <w:hideMark/>
          </w:tcPr>
          <w:p w14:paraId="33524CF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Fictibacillus</w:t>
            </w:r>
          </w:p>
        </w:tc>
        <w:tc>
          <w:tcPr>
            <w:tcW w:w="711" w:type="pct"/>
            <w:noWrap/>
            <w:vAlign w:val="center"/>
            <w:hideMark/>
          </w:tcPr>
          <w:p w14:paraId="7760050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3.43E-05</w:t>
            </w:r>
          </w:p>
        </w:tc>
        <w:tc>
          <w:tcPr>
            <w:tcW w:w="711" w:type="pct"/>
            <w:noWrap/>
            <w:vAlign w:val="center"/>
            <w:hideMark/>
          </w:tcPr>
          <w:p w14:paraId="39AD170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1.87E-05</w:t>
            </w:r>
          </w:p>
        </w:tc>
        <w:tc>
          <w:tcPr>
            <w:tcW w:w="461" w:type="pct"/>
            <w:noWrap/>
            <w:vAlign w:val="center"/>
            <w:hideMark/>
          </w:tcPr>
          <w:p w14:paraId="4059911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1084ABF3"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7F4587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03F36A4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Caloramatoraceae</w:t>
            </w:r>
          </w:p>
        </w:tc>
        <w:tc>
          <w:tcPr>
            <w:tcW w:w="1039" w:type="pct"/>
            <w:noWrap/>
            <w:vAlign w:val="center"/>
            <w:hideMark/>
          </w:tcPr>
          <w:p w14:paraId="2C403E5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Fonticella</w:t>
            </w:r>
          </w:p>
        </w:tc>
        <w:tc>
          <w:tcPr>
            <w:tcW w:w="711" w:type="pct"/>
            <w:noWrap/>
            <w:vAlign w:val="center"/>
            <w:hideMark/>
          </w:tcPr>
          <w:p w14:paraId="37A3892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5.35E-05</w:t>
            </w:r>
          </w:p>
        </w:tc>
        <w:tc>
          <w:tcPr>
            <w:tcW w:w="711" w:type="pct"/>
            <w:noWrap/>
            <w:vAlign w:val="center"/>
            <w:hideMark/>
          </w:tcPr>
          <w:p w14:paraId="17D2AF2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1.92E-05</w:t>
            </w:r>
          </w:p>
        </w:tc>
        <w:tc>
          <w:tcPr>
            <w:tcW w:w="461" w:type="pct"/>
            <w:noWrap/>
            <w:vAlign w:val="center"/>
            <w:hideMark/>
          </w:tcPr>
          <w:p w14:paraId="08967EA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4.46E-02</w:t>
            </w:r>
          </w:p>
        </w:tc>
      </w:tr>
      <w:tr w:rsidR="00DA6475" w:rsidRPr="00435B6B" w14:paraId="09862537"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CC54B5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47E9109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Leuconostocaceae</w:t>
            </w:r>
          </w:p>
        </w:tc>
        <w:tc>
          <w:tcPr>
            <w:tcW w:w="1039" w:type="pct"/>
            <w:noWrap/>
            <w:vAlign w:val="center"/>
            <w:hideMark/>
          </w:tcPr>
          <w:p w14:paraId="532D661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Fructobacillus</w:t>
            </w:r>
          </w:p>
        </w:tc>
        <w:tc>
          <w:tcPr>
            <w:tcW w:w="711" w:type="pct"/>
            <w:noWrap/>
            <w:vAlign w:val="center"/>
            <w:hideMark/>
          </w:tcPr>
          <w:p w14:paraId="0FB24AE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6.60E-06</w:t>
            </w:r>
          </w:p>
        </w:tc>
        <w:tc>
          <w:tcPr>
            <w:tcW w:w="711" w:type="pct"/>
            <w:noWrap/>
            <w:vAlign w:val="center"/>
            <w:hideMark/>
          </w:tcPr>
          <w:p w14:paraId="45F09C3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3AA5E67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347160B3"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A4E703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2E34DC6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039" w:type="pct"/>
            <w:noWrap/>
            <w:vAlign w:val="center"/>
            <w:hideMark/>
          </w:tcPr>
          <w:p w14:paraId="3CF757C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Intestinibacter</w:t>
            </w:r>
          </w:p>
        </w:tc>
        <w:tc>
          <w:tcPr>
            <w:tcW w:w="711" w:type="pct"/>
            <w:noWrap/>
            <w:vAlign w:val="center"/>
            <w:hideMark/>
          </w:tcPr>
          <w:p w14:paraId="77EEF4E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5.75E-03</w:t>
            </w:r>
          </w:p>
        </w:tc>
        <w:tc>
          <w:tcPr>
            <w:tcW w:w="711" w:type="pct"/>
            <w:noWrap/>
            <w:vAlign w:val="center"/>
            <w:hideMark/>
          </w:tcPr>
          <w:p w14:paraId="253762E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2.04E-03</w:t>
            </w:r>
          </w:p>
        </w:tc>
        <w:tc>
          <w:tcPr>
            <w:tcW w:w="461" w:type="pct"/>
            <w:noWrap/>
            <w:vAlign w:val="center"/>
            <w:hideMark/>
          </w:tcPr>
          <w:p w14:paraId="58D9BE9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1.83E-02</w:t>
            </w:r>
          </w:p>
        </w:tc>
      </w:tr>
      <w:tr w:rsidR="00DA6475" w:rsidRPr="00435B6B" w14:paraId="3F9FBE5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C97958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5E51635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Thermoactinomycetaceae</w:t>
            </w:r>
          </w:p>
        </w:tc>
        <w:tc>
          <w:tcPr>
            <w:tcW w:w="1039" w:type="pct"/>
            <w:noWrap/>
            <w:vAlign w:val="center"/>
            <w:hideMark/>
          </w:tcPr>
          <w:p w14:paraId="735C08A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Laceyella</w:t>
            </w:r>
          </w:p>
        </w:tc>
        <w:tc>
          <w:tcPr>
            <w:tcW w:w="711" w:type="pct"/>
            <w:noWrap/>
            <w:vAlign w:val="center"/>
            <w:hideMark/>
          </w:tcPr>
          <w:p w14:paraId="2CC4833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7.33E-05</w:t>
            </w:r>
          </w:p>
        </w:tc>
        <w:tc>
          <w:tcPr>
            <w:tcW w:w="711" w:type="pct"/>
            <w:noWrap/>
            <w:vAlign w:val="center"/>
            <w:hideMark/>
          </w:tcPr>
          <w:p w14:paraId="09EA0CA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72F517D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10224103"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E56BEF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10E9DB8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1039" w:type="pct"/>
            <w:noWrap/>
            <w:vAlign w:val="center"/>
            <w:hideMark/>
          </w:tcPr>
          <w:p w14:paraId="7696DDC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p w14:paraId="14C6BCB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27426C8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7.36E-02</w:t>
            </w:r>
          </w:p>
        </w:tc>
        <w:tc>
          <w:tcPr>
            <w:tcW w:w="711" w:type="pct"/>
            <w:noWrap/>
            <w:vAlign w:val="center"/>
            <w:hideMark/>
          </w:tcPr>
          <w:p w14:paraId="3A4B66A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4.04E-02</w:t>
            </w:r>
          </w:p>
        </w:tc>
        <w:tc>
          <w:tcPr>
            <w:tcW w:w="461" w:type="pct"/>
            <w:noWrap/>
            <w:vAlign w:val="center"/>
            <w:hideMark/>
          </w:tcPr>
          <w:p w14:paraId="79AD805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3.89E-02</w:t>
            </w:r>
          </w:p>
        </w:tc>
      </w:tr>
      <w:tr w:rsidR="00DA6475" w:rsidRPr="00435B6B" w14:paraId="796DE95F"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D24BFA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55D9EA1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Listeriaceae</w:t>
            </w:r>
          </w:p>
        </w:tc>
        <w:tc>
          <w:tcPr>
            <w:tcW w:w="1039" w:type="pct"/>
            <w:noWrap/>
            <w:vAlign w:val="center"/>
            <w:hideMark/>
          </w:tcPr>
          <w:p w14:paraId="23F5A46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Listeria</w:t>
            </w:r>
          </w:p>
        </w:tc>
        <w:tc>
          <w:tcPr>
            <w:tcW w:w="711" w:type="pct"/>
            <w:noWrap/>
            <w:vAlign w:val="center"/>
            <w:hideMark/>
          </w:tcPr>
          <w:p w14:paraId="21B10AE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4.37E-04</w:t>
            </w:r>
          </w:p>
        </w:tc>
        <w:tc>
          <w:tcPr>
            <w:tcW w:w="711" w:type="pct"/>
            <w:noWrap/>
            <w:vAlign w:val="center"/>
            <w:hideMark/>
          </w:tcPr>
          <w:p w14:paraId="1FFB8FE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1.07E-04</w:t>
            </w:r>
          </w:p>
        </w:tc>
        <w:tc>
          <w:tcPr>
            <w:tcW w:w="461" w:type="pct"/>
            <w:noWrap/>
            <w:vAlign w:val="center"/>
            <w:hideMark/>
          </w:tcPr>
          <w:p w14:paraId="10CBE71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1.37E-02</w:t>
            </w:r>
          </w:p>
        </w:tc>
      </w:tr>
      <w:tr w:rsidR="00DA6475" w:rsidRPr="00435B6B" w14:paraId="604519B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89ED74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50B66D2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Oscillospiraceae</w:t>
            </w:r>
          </w:p>
        </w:tc>
        <w:tc>
          <w:tcPr>
            <w:tcW w:w="1039" w:type="pct"/>
            <w:noWrap/>
            <w:vAlign w:val="center"/>
            <w:hideMark/>
          </w:tcPr>
          <w:p w14:paraId="018561C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Oscillospiraceae ge</w:t>
            </w:r>
          </w:p>
        </w:tc>
        <w:tc>
          <w:tcPr>
            <w:tcW w:w="711" w:type="pct"/>
            <w:noWrap/>
            <w:vAlign w:val="center"/>
            <w:hideMark/>
          </w:tcPr>
          <w:p w14:paraId="75040FF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4.42E-05</w:t>
            </w:r>
          </w:p>
        </w:tc>
        <w:tc>
          <w:tcPr>
            <w:tcW w:w="711" w:type="pct"/>
            <w:noWrap/>
            <w:vAlign w:val="center"/>
            <w:hideMark/>
          </w:tcPr>
          <w:p w14:paraId="37E645D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181106F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6B91E308"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5F8F94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4B7F99D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Paenibacillaceae</w:t>
            </w:r>
          </w:p>
        </w:tc>
        <w:tc>
          <w:tcPr>
            <w:tcW w:w="1039" w:type="pct"/>
            <w:noWrap/>
            <w:vAlign w:val="center"/>
            <w:hideMark/>
          </w:tcPr>
          <w:p w14:paraId="793DBBC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Paenibacillaceae</w:t>
            </w:r>
          </w:p>
          <w:p w14:paraId="50597FA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1482487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8.64E-05</w:t>
            </w:r>
          </w:p>
        </w:tc>
        <w:tc>
          <w:tcPr>
            <w:tcW w:w="711" w:type="pct"/>
            <w:noWrap/>
            <w:vAlign w:val="center"/>
            <w:hideMark/>
          </w:tcPr>
          <w:p w14:paraId="6523A6B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1.76E-05</w:t>
            </w:r>
          </w:p>
        </w:tc>
        <w:tc>
          <w:tcPr>
            <w:tcW w:w="461" w:type="pct"/>
            <w:noWrap/>
            <w:vAlign w:val="center"/>
            <w:hideMark/>
          </w:tcPr>
          <w:p w14:paraId="23BED8D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5.43E-03</w:t>
            </w:r>
          </w:p>
        </w:tc>
      </w:tr>
      <w:tr w:rsidR="00DA6475" w:rsidRPr="00435B6B" w14:paraId="27ECFEA0"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6BFA0D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108955F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039" w:type="pct"/>
            <w:noWrap/>
            <w:vAlign w:val="center"/>
            <w:hideMark/>
          </w:tcPr>
          <w:p w14:paraId="7FB35E4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Paeniclostridium</w:t>
            </w:r>
          </w:p>
        </w:tc>
        <w:tc>
          <w:tcPr>
            <w:tcW w:w="711" w:type="pct"/>
            <w:noWrap/>
            <w:vAlign w:val="center"/>
            <w:hideMark/>
          </w:tcPr>
          <w:p w14:paraId="1F34FEE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1.66E-03</w:t>
            </w:r>
          </w:p>
        </w:tc>
        <w:tc>
          <w:tcPr>
            <w:tcW w:w="711" w:type="pct"/>
            <w:noWrap/>
            <w:vAlign w:val="center"/>
            <w:hideMark/>
          </w:tcPr>
          <w:p w14:paraId="4F23721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2.21E-04</w:t>
            </w:r>
          </w:p>
        </w:tc>
        <w:tc>
          <w:tcPr>
            <w:tcW w:w="461" w:type="pct"/>
            <w:noWrap/>
            <w:vAlign w:val="center"/>
            <w:hideMark/>
          </w:tcPr>
          <w:p w14:paraId="1DDC4FC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73526D67"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9F1139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4089956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039" w:type="pct"/>
            <w:noWrap/>
            <w:vAlign w:val="center"/>
            <w:hideMark/>
          </w:tcPr>
          <w:p w14:paraId="7935221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p w14:paraId="066A143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2E95601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1.52E-03</w:t>
            </w:r>
          </w:p>
        </w:tc>
        <w:tc>
          <w:tcPr>
            <w:tcW w:w="711" w:type="pct"/>
            <w:noWrap/>
            <w:vAlign w:val="center"/>
            <w:hideMark/>
          </w:tcPr>
          <w:p w14:paraId="33930B7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6.34E-04</w:t>
            </w:r>
          </w:p>
        </w:tc>
        <w:tc>
          <w:tcPr>
            <w:tcW w:w="461" w:type="pct"/>
            <w:noWrap/>
            <w:vAlign w:val="center"/>
            <w:hideMark/>
          </w:tcPr>
          <w:p w14:paraId="2B2CDE2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4.99E-02</w:t>
            </w:r>
          </w:p>
        </w:tc>
      </w:tr>
      <w:tr w:rsidR="00DA6475" w:rsidRPr="00435B6B" w14:paraId="08E3C22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C3C0B5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093" w:type="pct"/>
            <w:noWrap/>
            <w:vAlign w:val="center"/>
            <w:hideMark/>
          </w:tcPr>
          <w:p w14:paraId="668B08D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1039" w:type="pct"/>
            <w:noWrap/>
            <w:vAlign w:val="center"/>
            <w:hideMark/>
          </w:tcPr>
          <w:p w14:paraId="7EDF78A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Romboutsia</w:t>
            </w:r>
          </w:p>
        </w:tc>
        <w:tc>
          <w:tcPr>
            <w:tcW w:w="711" w:type="pct"/>
            <w:noWrap/>
            <w:vAlign w:val="center"/>
            <w:hideMark/>
          </w:tcPr>
          <w:p w14:paraId="5E244FE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2.01E-02</w:t>
            </w:r>
          </w:p>
        </w:tc>
        <w:tc>
          <w:tcPr>
            <w:tcW w:w="711" w:type="pct"/>
            <w:noWrap/>
            <w:vAlign w:val="center"/>
            <w:hideMark/>
          </w:tcPr>
          <w:p w14:paraId="3219EB1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6.97E-03</w:t>
            </w:r>
          </w:p>
        </w:tc>
        <w:tc>
          <w:tcPr>
            <w:tcW w:w="461" w:type="pct"/>
            <w:noWrap/>
            <w:vAlign w:val="center"/>
            <w:hideMark/>
          </w:tcPr>
          <w:p w14:paraId="275BD41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8.92E-03</w:t>
            </w:r>
          </w:p>
        </w:tc>
      </w:tr>
      <w:tr w:rsidR="00DA6475" w:rsidRPr="00435B6B" w14:paraId="3857390C"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49B550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Gemmatimonadota</w:t>
            </w:r>
          </w:p>
        </w:tc>
        <w:tc>
          <w:tcPr>
            <w:tcW w:w="1093" w:type="pct"/>
            <w:noWrap/>
            <w:vAlign w:val="center"/>
            <w:hideMark/>
          </w:tcPr>
          <w:p w14:paraId="761A2D6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AKAU4049 fa</w:t>
            </w:r>
          </w:p>
        </w:tc>
        <w:tc>
          <w:tcPr>
            <w:tcW w:w="1039" w:type="pct"/>
            <w:noWrap/>
            <w:vAlign w:val="center"/>
            <w:hideMark/>
          </w:tcPr>
          <w:p w14:paraId="654DDC2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AKAU4049 ge</w:t>
            </w:r>
          </w:p>
        </w:tc>
        <w:tc>
          <w:tcPr>
            <w:tcW w:w="711" w:type="pct"/>
            <w:noWrap/>
            <w:vAlign w:val="center"/>
            <w:hideMark/>
          </w:tcPr>
          <w:p w14:paraId="7702D1E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7.58E-05</w:t>
            </w:r>
          </w:p>
        </w:tc>
        <w:tc>
          <w:tcPr>
            <w:tcW w:w="711" w:type="pct"/>
            <w:noWrap/>
            <w:vAlign w:val="center"/>
            <w:hideMark/>
          </w:tcPr>
          <w:p w14:paraId="423B64A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2.60E-05</w:t>
            </w:r>
          </w:p>
        </w:tc>
        <w:tc>
          <w:tcPr>
            <w:tcW w:w="461" w:type="pct"/>
            <w:noWrap/>
            <w:vAlign w:val="center"/>
            <w:hideMark/>
          </w:tcPr>
          <w:p w14:paraId="7B92586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3.29E-02</w:t>
            </w:r>
          </w:p>
        </w:tc>
      </w:tr>
      <w:tr w:rsidR="00DA6475" w:rsidRPr="00435B6B" w14:paraId="0DBDC817"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534471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Gemmatimonadota</w:t>
            </w:r>
          </w:p>
        </w:tc>
        <w:tc>
          <w:tcPr>
            <w:tcW w:w="1093" w:type="pct"/>
            <w:noWrap/>
            <w:vAlign w:val="center"/>
            <w:hideMark/>
          </w:tcPr>
          <w:p w14:paraId="419927D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Longimicrobiaceae</w:t>
            </w:r>
          </w:p>
        </w:tc>
        <w:tc>
          <w:tcPr>
            <w:tcW w:w="1039" w:type="pct"/>
            <w:noWrap/>
            <w:vAlign w:val="center"/>
            <w:hideMark/>
          </w:tcPr>
          <w:p w14:paraId="2B9AF43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Longimicrobiaceae</w:t>
            </w:r>
          </w:p>
          <w:p w14:paraId="7297E54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w:t>
            </w:r>
          </w:p>
        </w:tc>
        <w:tc>
          <w:tcPr>
            <w:tcW w:w="711" w:type="pct"/>
            <w:noWrap/>
            <w:vAlign w:val="center"/>
            <w:hideMark/>
          </w:tcPr>
          <w:p w14:paraId="4842D17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1.05E-04</w:t>
            </w:r>
          </w:p>
        </w:tc>
        <w:tc>
          <w:tcPr>
            <w:tcW w:w="711" w:type="pct"/>
            <w:noWrap/>
            <w:vAlign w:val="center"/>
            <w:hideMark/>
          </w:tcPr>
          <w:p w14:paraId="4669CC5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2.34E-05</w:t>
            </w:r>
          </w:p>
        </w:tc>
        <w:tc>
          <w:tcPr>
            <w:tcW w:w="461" w:type="pct"/>
            <w:noWrap/>
            <w:vAlign w:val="center"/>
            <w:hideMark/>
          </w:tcPr>
          <w:p w14:paraId="63D216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0E744DF0"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4B1E5E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Gemmatimonadota</w:t>
            </w:r>
          </w:p>
        </w:tc>
        <w:tc>
          <w:tcPr>
            <w:tcW w:w="1093" w:type="pct"/>
            <w:noWrap/>
            <w:vAlign w:val="center"/>
            <w:hideMark/>
          </w:tcPr>
          <w:p w14:paraId="77CCEC8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Longimicrobiaceae</w:t>
            </w:r>
          </w:p>
        </w:tc>
        <w:tc>
          <w:tcPr>
            <w:tcW w:w="1039" w:type="pct"/>
            <w:noWrap/>
            <w:vAlign w:val="center"/>
            <w:hideMark/>
          </w:tcPr>
          <w:p w14:paraId="0B9B310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Longimicrobiaceae</w:t>
            </w:r>
          </w:p>
          <w:p w14:paraId="5BB439F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2C21D9C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1.90E-05</w:t>
            </w:r>
          </w:p>
        </w:tc>
        <w:tc>
          <w:tcPr>
            <w:tcW w:w="711" w:type="pct"/>
            <w:noWrap/>
            <w:vAlign w:val="center"/>
            <w:hideMark/>
          </w:tcPr>
          <w:p w14:paraId="29ACA7F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1.28E-06</w:t>
            </w:r>
          </w:p>
        </w:tc>
        <w:tc>
          <w:tcPr>
            <w:tcW w:w="461" w:type="pct"/>
            <w:noWrap/>
            <w:vAlign w:val="center"/>
            <w:hideMark/>
          </w:tcPr>
          <w:p w14:paraId="5FB3C40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2.37E-02</w:t>
            </w:r>
          </w:p>
        </w:tc>
      </w:tr>
      <w:tr w:rsidR="00DA6475" w:rsidRPr="00435B6B" w14:paraId="7ABB5089"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EDE9A4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Gemmatimonadota</w:t>
            </w:r>
          </w:p>
        </w:tc>
        <w:tc>
          <w:tcPr>
            <w:tcW w:w="1093" w:type="pct"/>
            <w:noWrap/>
            <w:vAlign w:val="center"/>
            <w:hideMark/>
          </w:tcPr>
          <w:p w14:paraId="5CD2329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Gemmatimonadaceae</w:t>
            </w:r>
          </w:p>
        </w:tc>
        <w:tc>
          <w:tcPr>
            <w:tcW w:w="1039" w:type="pct"/>
            <w:noWrap/>
            <w:vAlign w:val="center"/>
            <w:hideMark/>
          </w:tcPr>
          <w:p w14:paraId="06EBDB0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Roseisolibacter</w:t>
            </w:r>
          </w:p>
        </w:tc>
        <w:tc>
          <w:tcPr>
            <w:tcW w:w="711" w:type="pct"/>
            <w:noWrap/>
            <w:vAlign w:val="center"/>
            <w:hideMark/>
          </w:tcPr>
          <w:p w14:paraId="213E149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1.42E-04</w:t>
            </w:r>
          </w:p>
        </w:tc>
        <w:tc>
          <w:tcPr>
            <w:tcW w:w="711" w:type="pct"/>
            <w:noWrap/>
            <w:vAlign w:val="center"/>
            <w:hideMark/>
          </w:tcPr>
          <w:p w14:paraId="65A8295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6.88E-05</w:t>
            </w:r>
          </w:p>
        </w:tc>
        <w:tc>
          <w:tcPr>
            <w:tcW w:w="461" w:type="pct"/>
            <w:noWrap/>
            <w:vAlign w:val="center"/>
            <w:hideMark/>
          </w:tcPr>
          <w:p w14:paraId="7F47A61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1.11E-02</w:t>
            </w:r>
          </w:p>
        </w:tc>
      </w:tr>
      <w:tr w:rsidR="00DA6475" w:rsidRPr="00435B6B" w14:paraId="00BF5C60"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F0DA0F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MBNT15</w:t>
            </w:r>
          </w:p>
        </w:tc>
        <w:tc>
          <w:tcPr>
            <w:tcW w:w="1093" w:type="pct"/>
            <w:noWrap/>
            <w:vAlign w:val="center"/>
            <w:hideMark/>
          </w:tcPr>
          <w:p w14:paraId="48E4EDA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MBNT15 fa</w:t>
            </w:r>
          </w:p>
        </w:tc>
        <w:tc>
          <w:tcPr>
            <w:tcW w:w="1039" w:type="pct"/>
            <w:noWrap/>
            <w:vAlign w:val="center"/>
            <w:hideMark/>
          </w:tcPr>
          <w:p w14:paraId="117F373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MBNT15 ge</w:t>
            </w:r>
          </w:p>
        </w:tc>
        <w:tc>
          <w:tcPr>
            <w:tcW w:w="711" w:type="pct"/>
            <w:noWrap/>
            <w:vAlign w:val="center"/>
            <w:hideMark/>
          </w:tcPr>
          <w:p w14:paraId="58759D8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1.85E-04</w:t>
            </w:r>
          </w:p>
        </w:tc>
        <w:tc>
          <w:tcPr>
            <w:tcW w:w="711" w:type="pct"/>
            <w:noWrap/>
            <w:vAlign w:val="center"/>
            <w:hideMark/>
          </w:tcPr>
          <w:p w14:paraId="332A3E5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8.53E-05</w:t>
            </w:r>
          </w:p>
        </w:tc>
        <w:tc>
          <w:tcPr>
            <w:tcW w:w="461" w:type="pct"/>
            <w:noWrap/>
            <w:vAlign w:val="center"/>
            <w:hideMark/>
          </w:tcPr>
          <w:p w14:paraId="76A706D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1.90E-02</w:t>
            </w:r>
          </w:p>
        </w:tc>
      </w:tr>
      <w:tr w:rsidR="00DA6475" w:rsidRPr="00435B6B" w14:paraId="5685525F"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8478DB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Methylomirabilota</w:t>
            </w:r>
          </w:p>
        </w:tc>
        <w:tc>
          <w:tcPr>
            <w:tcW w:w="1093" w:type="pct"/>
            <w:noWrap/>
            <w:vAlign w:val="center"/>
            <w:hideMark/>
          </w:tcPr>
          <w:p w14:paraId="7C1574B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Methylomirabilaceae</w:t>
            </w:r>
          </w:p>
        </w:tc>
        <w:tc>
          <w:tcPr>
            <w:tcW w:w="1039" w:type="pct"/>
            <w:noWrap/>
            <w:vAlign w:val="center"/>
            <w:hideMark/>
          </w:tcPr>
          <w:p w14:paraId="5E2B426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Sh765B-TzT-35</w:t>
            </w:r>
          </w:p>
        </w:tc>
        <w:tc>
          <w:tcPr>
            <w:tcW w:w="711" w:type="pct"/>
            <w:noWrap/>
            <w:vAlign w:val="center"/>
            <w:hideMark/>
          </w:tcPr>
          <w:p w14:paraId="3C9E828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6.00E-05</w:t>
            </w:r>
          </w:p>
        </w:tc>
        <w:tc>
          <w:tcPr>
            <w:tcW w:w="711" w:type="pct"/>
            <w:noWrap/>
            <w:vAlign w:val="center"/>
            <w:hideMark/>
          </w:tcPr>
          <w:p w14:paraId="2802D94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9.91E-06</w:t>
            </w:r>
          </w:p>
        </w:tc>
        <w:tc>
          <w:tcPr>
            <w:tcW w:w="461" w:type="pct"/>
            <w:noWrap/>
            <w:vAlign w:val="center"/>
            <w:hideMark/>
          </w:tcPr>
          <w:p w14:paraId="105636E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1.77E-02</w:t>
            </w:r>
          </w:p>
        </w:tc>
      </w:tr>
      <w:tr w:rsidR="00DA6475" w:rsidRPr="00435B6B" w14:paraId="2C1B4B1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3B5FC8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Methylomirabilota</w:t>
            </w:r>
          </w:p>
        </w:tc>
        <w:tc>
          <w:tcPr>
            <w:tcW w:w="1093" w:type="pct"/>
            <w:noWrap/>
            <w:vAlign w:val="center"/>
            <w:hideMark/>
          </w:tcPr>
          <w:p w14:paraId="07A57DB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Methylomirabilaceae</w:t>
            </w:r>
          </w:p>
        </w:tc>
        <w:tc>
          <w:tcPr>
            <w:tcW w:w="1039" w:type="pct"/>
            <w:noWrap/>
            <w:vAlign w:val="center"/>
            <w:hideMark/>
          </w:tcPr>
          <w:p w14:paraId="72D5AC6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wb1-A12</w:t>
            </w:r>
          </w:p>
        </w:tc>
        <w:tc>
          <w:tcPr>
            <w:tcW w:w="711" w:type="pct"/>
            <w:noWrap/>
            <w:vAlign w:val="center"/>
            <w:hideMark/>
          </w:tcPr>
          <w:p w14:paraId="0A44B99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2.50E-05</w:t>
            </w:r>
          </w:p>
        </w:tc>
        <w:tc>
          <w:tcPr>
            <w:tcW w:w="711" w:type="pct"/>
            <w:noWrap/>
            <w:vAlign w:val="center"/>
            <w:hideMark/>
          </w:tcPr>
          <w:p w14:paraId="099100E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3.39E-06</w:t>
            </w:r>
          </w:p>
        </w:tc>
        <w:tc>
          <w:tcPr>
            <w:tcW w:w="461" w:type="pct"/>
            <w:noWrap/>
            <w:vAlign w:val="center"/>
            <w:hideMark/>
          </w:tcPr>
          <w:p w14:paraId="1ADD052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3.91E-02</w:t>
            </w:r>
          </w:p>
        </w:tc>
      </w:tr>
      <w:tr w:rsidR="00DA6475" w:rsidRPr="00435B6B" w14:paraId="0CF1A203"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E1D55E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Myxococcota</w:t>
            </w:r>
          </w:p>
        </w:tc>
        <w:tc>
          <w:tcPr>
            <w:tcW w:w="1093" w:type="pct"/>
            <w:noWrap/>
            <w:vAlign w:val="center"/>
            <w:hideMark/>
          </w:tcPr>
          <w:p w14:paraId="3674510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bacteriap25 fa</w:t>
            </w:r>
          </w:p>
        </w:tc>
        <w:tc>
          <w:tcPr>
            <w:tcW w:w="1039" w:type="pct"/>
            <w:noWrap/>
            <w:vAlign w:val="center"/>
            <w:hideMark/>
          </w:tcPr>
          <w:p w14:paraId="2754A36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bacteriap25 ge</w:t>
            </w:r>
          </w:p>
        </w:tc>
        <w:tc>
          <w:tcPr>
            <w:tcW w:w="711" w:type="pct"/>
            <w:noWrap/>
            <w:vAlign w:val="center"/>
            <w:hideMark/>
          </w:tcPr>
          <w:p w14:paraId="750C780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6.45E-05</w:t>
            </w:r>
          </w:p>
        </w:tc>
        <w:tc>
          <w:tcPr>
            <w:tcW w:w="711" w:type="pct"/>
            <w:noWrap/>
            <w:vAlign w:val="center"/>
            <w:hideMark/>
          </w:tcPr>
          <w:p w14:paraId="7A66BDA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1.51E-05</w:t>
            </w:r>
          </w:p>
        </w:tc>
        <w:tc>
          <w:tcPr>
            <w:tcW w:w="461" w:type="pct"/>
            <w:noWrap/>
            <w:vAlign w:val="center"/>
            <w:hideMark/>
          </w:tcPr>
          <w:p w14:paraId="5286803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3.23E-02</w:t>
            </w:r>
          </w:p>
        </w:tc>
      </w:tr>
      <w:tr w:rsidR="00DA6475" w:rsidRPr="00435B6B" w14:paraId="62F50CE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CE1136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Myxococcota</w:t>
            </w:r>
          </w:p>
        </w:tc>
        <w:tc>
          <w:tcPr>
            <w:tcW w:w="1093" w:type="pct"/>
            <w:noWrap/>
            <w:vAlign w:val="center"/>
            <w:hideMark/>
          </w:tcPr>
          <w:p w14:paraId="51B10BE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BIrii41</w:t>
            </w:r>
          </w:p>
        </w:tc>
        <w:tc>
          <w:tcPr>
            <w:tcW w:w="1039" w:type="pct"/>
            <w:noWrap/>
            <w:vAlign w:val="center"/>
            <w:hideMark/>
          </w:tcPr>
          <w:p w14:paraId="1021DE4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BIrii41 ge</w:t>
            </w:r>
          </w:p>
        </w:tc>
        <w:tc>
          <w:tcPr>
            <w:tcW w:w="711" w:type="pct"/>
            <w:noWrap/>
            <w:vAlign w:val="center"/>
            <w:hideMark/>
          </w:tcPr>
          <w:p w14:paraId="7E59295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3.24E-04</w:t>
            </w:r>
          </w:p>
        </w:tc>
        <w:tc>
          <w:tcPr>
            <w:tcW w:w="711" w:type="pct"/>
            <w:noWrap/>
            <w:vAlign w:val="center"/>
            <w:hideMark/>
          </w:tcPr>
          <w:p w14:paraId="3D9345B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6.07E-05</w:t>
            </w:r>
          </w:p>
        </w:tc>
        <w:tc>
          <w:tcPr>
            <w:tcW w:w="461" w:type="pct"/>
            <w:noWrap/>
            <w:vAlign w:val="center"/>
            <w:hideMark/>
          </w:tcPr>
          <w:p w14:paraId="55E590E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162DE659"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DFD57C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Myxococcota</w:t>
            </w:r>
          </w:p>
        </w:tc>
        <w:tc>
          <w:tcPr>
            <w:tcW w:w="1093" w:type="pct"/>
            <w:noWrap/>
            <w:vAlign w:val="center"/>
            <w:hideMark/>
          </w:tcPr>
          <w:p w14:paraId="2B1D674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Haliangiaceae</w:t>
            </w:r>
          </w:p>
        </w:tc>
        <w:tc>
          <w:tcPr>
            <w:tcW w:w="1039" w:type="pct"/>
            <w:noWrap/>
            <w:vAlign w:val="center"/>
            <w:hideMark/>
          </w:tcPr>
          <w:p w14:paraId="220FDD8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Haliangium</w:t>
            </w:r>
          </w:p>
        </w:tc>
        <w:tc>
          <w:tcPr>
            <w:tcW w:w="711" w:type="pct"/>
            <w:noWrap/>
            <w:vAlign w:val="center"/>
            <w:hideMark/>
          </w:tcPr>
          <w:p w14:paraId="55B2F3A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6.71E-04</w:t>
            </w:r>
          </w:p>
        </w:tc>
        <w:tc>
          <w:tcPr>
            <w:tcW w:w="711" w:type="pct"/>
            <w:noWrap/>
            <w:vAlign w:val="center"/>
            <w:hideMark/>
          </w:tcPr>
          <w:p w14:paraId="4D3A964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2.27E-04</w:t>
            </w:r>
          </w:p>
        </w:tc>
        <w:tc>
          <w:tcPr>
            <w:tcW w:w="461" w:type="pct"/>
            <w:noWrap/>
            <w:vAlign w:val="center"/>
            <w:hideMark/>
          </w:tcPr>
          <w:p w14:paraId="5BA2F8C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1.89E-02</w:t>
            </w:r>
          </w:p>
        </w:tc>
      </w:tr>
      <w:tr w:rsidR="00DA6475" w:rsidRPr="00435B6B" w14:paraId="3EAE2D54"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9EA9CD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Myxococcota</w:t>
            </w:r>
          </w:p>
        </w:tc>
        <w:tc>
          <w:tcPr>
            <w:tcW w:w="1093" w:type="pct"/>
            <w:noWrap/>
            <w:vAlign w:val="center"/>
            <w:hideMark/>
          </w:tcPr>
          <w:p w14:paraId="388F493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Phaselicystidaceae</w:t>
            </w:r>
          </w:p>
        </w:tc>
        <w:tc>
          <w:tcPr>
            <w:tcW w:w="1039" w:type="pct"/>
            <w:noWrap/>
            <w:vAlign w:val="center"/>
            <w:hideMark/>
          </w:tcPr>
          <w:p w14:paraId="6BF8482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Phaselicystis</w:t>
            </w:r>
          </w:p>
        </w:tc>
        <w:tc>
          <w:tcPr>
            <w:tcW w:w="711" w:type="pct"/>
            <w:noWrap/>
            <w:vAlign w:val="center"/>
            <w:hideMark/>
          </w:tcPr>
          <w:p w14:paraId="2EF4C81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4.52E-05</w:t>
            </w:r>
          </w:p>
        </w:tc>
        <w:tc>
          <w:tcPr>
            <w:tcW w:w="711" w:type="pct"/>
            <w:noWrap/>
            <w:vAlign w:val="center"/>
            <w:hideMark/>
          </w:tcPr>
          <w:p w14:paraId="7FAD4F4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1.23E-05</w:t>
            </w:r>
          </w:p>
        </w:tc>
        <w:tc>
          <w:tcPr>
            <w:tcW w:w="461" w:type="pct"/>
            <w:noWrap/>
            <w:vAlign w:val="center"/>
            <w:hideMark/>
          </w:tcPr>
          <w:p w14:paraId="36C8569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3.91E-02</w:t>
            </w:r>
          </w:p>
        </w:tc>
      </w:tr>
      <w:tr w:rsidR="00DA6475" w:rsidRPr="00435B6B" w14:paraId="665FDD08"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B0DC6E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Myxococcota</w:t>
            </w:r>
          </w:p>
        </w:tc>
        <w:tc>
          <w:tcPr>
            <w:tcW w:w="1093" w:type="pct"/>
            <w:noWrap/>
            <w:vAlign w:val="center"/>
            <w:hideMark/>
          </w:tcPr>
          <w:p w14:paraId="1A939E0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Sandaracinaceae</w:t>
            </w:r>
          </w:p>
        </w:tc>
        <w:tc>
          <w:tcPr>
            <w:tcW w:w="1039" w:type="pct"/>
            <w:noWrap/>
            <w:vAlign w:val="center"/>
            <w:hideMark/>
          </w:tcPr>
          <w:p w14:paraId="2C212DE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Sandaracinus</w:t>
            </w:r>
          </w:p>
        </w:tc>
        <w:tc>
          <w:tcPr>
            <w:tcW w:w="711" w:type="pct"/>
            <w:noWrap/>
            <w:vAlign w:val="center"/>
            <w:hideMark/>
          </w:tcPr>
          <w:p w14:paraId="0FEBEBB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1.62E-04</w:t>
            </w:r>
          </w:p>
        </w:tc>
        <w:tc>
          <w:tcPr>
            <w:tcW w:w="711" w:type="pct"/>
            <w:noWrap/>
            <w:vAlign w:val="center"/>
            <w:hideMark/>
          </w:tcPr>
          <w:p w14:paraId="68BD8BD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8.27E-06</w:t>
            </w:r>
          </w:p>
        </w:tc>
        <w:tc>
          <w:tcPr>
            <w:tcW w:w="461" w:type="pct"/>
            <w:noWrap/>
            <w:vAlign w:val="center"/>
            <w:hideMark/>
          </w:tcPr>
          <w:p w14:paraId="4AA9925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3.34E-02</w:t>
            </w:r>
          </w:p>
        </w:tc>
      </w:tr>
      <w:tr w:rsidR="00DA6475" w:rsidRPr="00435B6B" w14:paraId="221E5FF9"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6AF7C69"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Planctomycetota</w:t>
            </w:r>
          </w:p>
        </w:tc>
        <w:tc>
          <w:tcPr>
            <w:tcW w:w="1093" w:type="pct"/>
            <w:noWrap/>
            <w:vAlign w:val="center"/>
            <w:hideMark/>
          </w:tcPr>
          <w:p w14:paraId="15448F5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OM190 fa</w:t>
            </w:r>
          </w:p>
        </w:tc>
        <w:tc>
          <w:tcPr>
            <w:tcW w:w="1039" w:type="pct"/>
            <w:noWrap/>
            <w:vAlign w:val="center"/>
            <w:hideMark/>
          </w:tcPr>
          <w:p w14:paraId="023B526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OM190 ge</w:t>
            </w:r>
          </w:p>
        </w:tc>
        <w:tc>
          <w:tcPr>
            <w:tcW w:w="711" w:type="pct"/>
            <w:noWrap/>
            <w:vAlign w:val="center"/>
            <w:hideMark/>
          </w:tcPr>
          <w:p w14:paraId="38D5C8F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2.35E-04</w:t>
            </w:r>
          </w:p>
        </w:tc>
        <w:tc>
          <w:tcPr>
            <w:tcW w:w="711" w:type="pct"/>
            <w:noWrap/>
            <w:vAlign w:val="center"/>
            <w:hideMark/>
          </w:tcPr>
          <w:p w14:paraId="7C8B430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4.15E-05</w:t>
            </w:r>
          </w:p>
        </w:tc>
        <w:tc>
          <w:tcPr>
            <w:tcW w:w="461" w:type="pct"/>
            <w:noWrap/>
            <w:vAlign w:val="center"/>
            <w:hideMark/>
          </w:tcPr>
          <w:p w14:paraId="05978D8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71EA23C4"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2548FB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119A15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A21b</w:t>
            </w:r>
          </w:p>
        </w:tc>
        <w:tc>
          <w:tcPr>
            <w:tcW w:w="1039" w:type="pct"/>
            <w:noWrap/>
            <w:vAlign w:val="center"/>
            <w:hideMark/>
          </w:tcPr>
          <w:p w14:paraId="4F5056B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A21b ge</w:t>
            </w:r>
          </w:p>
        </w:tc>
        <w:tc>
          <w:tcPr>
            <w:tcW w:w="711" w:type="pct"/>
            <w:noWrap/>
            <w:vAlign w:val="center"/>
            <w:hideMark/>
          </w:tcPr>
          <w:p w14:paraId="581C54F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2.14E-04</w:t>
            </w:r>
          </w:p>
        </w:tc>
        <w:tc>
          <w:tcPr>
            <w:tcW w:w="711" w:type="pct"/>
            <w:noWrap/>
            <w:vAlign w:val="center"/>
            <w:hideMark/>
          </w:tcPr>
          <w:p w14:paraId="51F54DD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6.44E-05</w:t>
            </w:r>
          </w:p>
        </w:tc>
        <w:tc>
          <w:tcPr>
            <w:tcW w:w="461" w:type="pct"/>
            <w:noWrap/>
            <w:vAlign w:val="center"/>
            <w:hideMark/>
          </w:tcPr>
          <w:p w14:paraId="4AB737F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3.44E-02</w:t>
            </w:r>
          </w:p>
        </w:tc>
      </w:tr>
      <w:tr w:rsidR="00DA6475" w:rsidRPr="00435B6B" w14:paraId="1BAE52D8"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E6B02C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A56476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Nitrincolaceae</w:t>
            </w:r>
          </w:p>
        </w:tc>
        <w:tc>
          <w:tcPr>
            <w:tcW w:w="1039" w:type="pct"/>
            <w:noWrap/>
            <w:vAlign w:val="center"/>
            <w:hideMark/>
          </w:tcPr>
          <w:p w14:paraId="4AFE6D0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Amphritea</w:t>
            </w:r>
          </w:p>
        </w:tc>
        <w:tc>
          <w:tcPr>
            <w:tcW w:w="711" w:type="pct"/>
            <w:noWrap/>
            <w:vAlign w:val="center"/>
            <w:hideMark/>
          </w:tcPr>
          <w:p w14:paraId="1DAA406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6.68E-05</w:t>
            </w:r>
          </w:p>
        </w:tc>
        <w:tc>
          <w:tcPr>
            <w:tcW w:w="711" w:type="pct"/>
            <w:noWrap/>
            <w:vAlign w:val="center"/>
            <w:hideMark/>
          </w:tcPr>
          <w:p w14:paraId="2775572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1.47E-05</w:t>
            </w:r>
          </w:p>
        </w:tc>
        <w:tc>
          <w:tcPr>
            <w:tcW w:w="461" w:type="pct"/>
            <w:noWrap/>
            <w:vAlign w:val="center"/>
            <w:hideMark/>
          </w:tcPr>
          <w:p w14:paraId="5B9C712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8.46E-03</w:t>
            </w:r>
          </w:p>
        </w:tc>
      </w:tr>
      <w:tr w:rsidR="00DA6475" w:rsidRPr="00435B6B" w14:paraId="0FF22FD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9ACE23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87019B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Diplorickettsiaceae</w:t>
            </w:r>
          </w:p>
        </w:tc>
        <w:tc>
          <w:tcPr>
            <w:tcW w:w="1039" w:type="pct"/>
            <w:noWrap/>
            <w:vAlign w:val="center"/>
            <w:hideMark/>
          </w:tcPr>
          <w:p w14:paraId="0F97A6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Aquicella</w:t>
            </w:r>
          </w:p>
        </w:tc>
        <w:tc>
          <w:tcPr>
            <w:tcW w:w="711" w:type="pct"/>
            <w:noWrap/>
            <w:vAlign w:val="center"/>
            <w:hideMark/>
          </w:tcPr>
          <w:p w14:paraId="47E2E85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6.60E-05</w:t>
            </w:r>
          </w:p>
        </w:tc>
        <w:tc>
          <w:tcPr>
            <w:tcW w:w="711" w:type="pct"/>
            <w:noWrap/>
            <w:vAlign w:val="center"/>
            <w:hideMark/>
          </w:tcPr>
          <w:p w14:paraId="66F8E84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2.03E-05</w:t>
            </w:r>
          </w:p>
        </w:tc>
        <w:tc>
          <w:tcPr>
            <w:tcW w:w="461" w:type="pct"/>
            <w:noWrap/>
            <w:vAlign w:val="center"/>
            <w:hideMark/>
          </w:tcPr>
          <w:p w14:paraId="75F3402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2.72E-02</w:t>
            </w:r>
          </w:p>
        </w:tc>
      </w:tr>
      <w:tr w:rsidR="00DA6475" w:rsidRPr="00435B6B" w14:paraId="1B36C988"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922A3D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0F58E8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Rhodocyclaceae</w:t>
            </w:r>
          </w:p>
        </w:tc>
        <w:tc>
          <w:tcPr>
            <w:tcW w:w="1039" w:type="pct"/>
            <w:noWrap/>
            <w:vAlign w:val="center"/>
            <w:hideMark/>
          </w:tcPr>
          <w:p w14:paraId="0768EBA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Azoarcus</w:t>
            </w:r>
          </w:p>
        </w:tc>
        <w:tc>
          <w:tcPr>
            <w:tcW w:w="711" w:type="pct"/>
            <w:noWrap/>
            <w:vAlign w:val="center"/>
            <w:hideMark/>
          </w:tcPr>
          <w:p w14:paraId="5F25BBD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1.31E-03</w:t>
            </w:r>
          </w:p>
        </w:tc>
        <w:tc>
          <w:tcPr>
            <w:tcW w:w="711" w:type="pct"/>
            <w:noWrap/>
            <w:vAlign w:val="center"/>
            <w:hideMark/>
          </w:tcPr>
          <w:p w14:paraId="45A2F95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1.62E-04</w:t>
            </w:r>
          </w:p>
        </w:tc>
        <w:tc>
          <w:tcPr>
            <w:tcW w:w="461" w:type="pct"/>
            <w:noWrap/>
            <w:vAlign w:val="center"/>
            <w:hideMark/>
          </w:tcPr>
          <w:p w14:paraId="18449C8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3.69E-02</w:t>
            </w:r>
          </w:p>
        </w:tc>
      </w:tr>
      <w:tr w:rsidR="00DA6475" w:rsidRPr="00435B6B" w14:paraId="596AF43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FDE26F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88ACE2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Pseudomonadaceae</w:t>
            </w:r>
          </w:p>
        </w:tc>
        <w:tc>
          <w:tcPr>
            <w:tcW w:w="1039" w:type="pct"/>
            <w:noWrap/>
            <w:vAlign w:val="center"/>
            <w:hideMark/>
          </w:tcPr>
          <w:p w14:paraId="70131C2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Azotobacter</w:t>
            </w:r>
          </w:p>
        </w:tc>
        <w:tc>
          <w:tcPr>
            <w:tcW w:w="711" w:type="pct"/>
            <w:noWrap/>
            <w:vAlign w:val="center"/>
            <w:hideMark/>
          </w:tcPr>
          <w:p w14:paraId="282D208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2.07E-05</w:t>
            </w:r>
          </w:p>
        </w:tc>
        <w:tc>
          <w:tcPr>
            <w:tcW w:w="711" w:type="pct"/>
            <w:noWrap/>
            <w:vAlign w:val="center"/>
            <w:hideMark/>
          </w:tcPr>
          <w:p w14:paraId="664497D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1.83E-06</w:t>
            </w:r>
          </w:p>
        </w:tc>
        <w:tc>
          <w:tcPr>
            <w:tcW w:w="461" w:type="pct"/>
            <w:noWrap/>
            <w:vAlign w:val="center"/>
            <w:hideMark/>
          </w:tcPr>
          <w:p w14:paraId="70827FB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3.31E-02</w:t>
            </w:r>
          </w:p>
        </w:tc>
      </w:tr>
      <w:tr w:rsidR="00DA6475" w:rsidRPr="00435B6B" w14:paraId="67C91697"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72890C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6A46896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Rhizobiaceae</w:t>
            </w:r>
          </w:p>
        </w:tc>
        <w:tc>
          <w:tcPr>
            <w:tcW w:w="1039" w:type="pct"/>
            <w:noWrap/>
            <w:vAlign w:val="center"/>
            <w:hideMark/>
          </w:tcPr>
          <w:p w14:paraId="2F129C0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Brucella</w:t>
            </w:r>
          </w:p>
        </w:tc>
        <w:tc>
          <w:tcPr>
            <w:tcW w:w="711" w:type="pct"/>
            <w:noWrap/>
            <w:vAlign w:val="center"/>
            <w:hideMark/>
          </w:tcPr>
          <w:p w14:paraId="77F856F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1.98E-04</w:t>
            </w:r>
          </w:p>
        </w:tc>
        <w:tc>
          <w:tcPr>
            <w:tcW w:w="711" w:type="pct"/>
            <w:noWrap/>
            <w:vAlign w:val="center"/>
            <w:hideMark/>
          </w:tcPr>
          <w:p w14:paraId="0D2D11D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4.97E-04</w:t>
            </w:r>
          </w:p>
        </w:tc>
        <w:tc>
          <w:tcPr>
            <w:tcW w:w="461" w:type="pct"/>
            <w:noWrap/>
            <w:vAlign w:val="center"/>
            <w:hideMark/>
          </w:tcPr>
          <w:p w14:paraId="1511D29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27088AF6"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87484F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191E812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Burkholderiaceae</w:t>
            </w:r>
          </w:p>
        </w:tc>
        <w:tc>
          <w:tcPr>
            <w:tcW w:w="1039" w:type="pct"/>
            <w:noWrap/>
            <w:vAlign w:val="center"/>
            <w:hideMark/>
          </w:tcPr>
          <w:p w14:paraId="424C90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Burkholderia-Caballeronia-Paraburkholderia</w:t>
            </w:r>
          </w:p>
        </w:tc>
        <w:tc>
          <w:tcPr>
            <w:tcW w:w="711" w:type="pct"/>
            <w:noWrap/>
            <w:vAlign w:val="center"/>
            <w:hideMark/>
          </w:tcPr>
          <w:p w14:paraId="0E58085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1.62E-03</w:t>
            </w:r>
          </w:p>
        </w:tc>
        <w:tc>
          <w:tcPr>
            <w:tcW w:w="711" w:type="pct"/>
            <w:noWrap/>
            <w:vAlign w:val="center"/>
            <w:hideMark/>
          </w:tcPr>
          <w:p w14:paraId="62446E8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9.98E-04</w:t>
            </w:r>
          </w:p>
        </w:tc>
        <w:tc>
          <w:tcPr>
            <w:tcW w:w="461" w:type="pct"/>
            <w:noWrap/>
            <w:vAlign w:val="center"/>
            <w:hideMark/>
          </w:tcPr>
          <w:p w14:paraId="7651467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3.23E-02</w:t>
            </w:r>
          </w:p>
        </w:tc>
      </w:tr>
      <w:tr w:rsidR="00DA6475" w:rsidRPr="00435B6B" w14:paraId="0255ADF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DC7C97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488F31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Rhodocyclaceae</w:t>
            </w:r>
          </w:p>
        </w:tc>
        <w:tc>
          <w:tcPr>
            <w:tcW w:w="1039" w:type="pct"/>
            <w:noWrap/>
            <w:vAlign w:val="center"/>
            <w:hideMark/>
          </w:tcPr>
          <w:p w14:paraId="54E25B7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Candidatus Accumulibacter</w:t>
            </w:r>
          </w:p>
        </w:tc>
        <w:tc>
          <w:tcPr>
            <w:tcW w:w="711" w:type="pct"/>
            <w:noWrap/>
            <w:vAlign w:val="center"/>
            <w:hideMark/>
          </w:tcPr>
          <w:p w14:paraId="0ADB170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2.49E-05</w:t>
            </w:r>
          </w:p>
        </w:tc>
        <w:tc>
          <w:tcPr>
            <w:tcW w:w="711" w:type="pct"/>
            <w:noWrap/>
            <w:vAlign w:val="center"/>
            <w:hideMark/>
          </w:tcPr>
          <w:p w14:paraId="12104A7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1.47E-05</w:t>
            </w:r>
          </w:p>
        </w:tc>
        <w:tc>
          <w:tcPr>
            <w:tcW w:w="461" w:type="pct"/>
            <w:noWrap/>
            <w:vAlign w:val="center"/>
            <w:hideMark/>
          </w:tcPr>
          <w:p w14:paraId="160614B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3.66E-02</w:t>
            </w:r>
          </w:p>
        </w:tc>
      </w:tr>
      <w:tr w:rsidR="00DA6475" w:rsidRPr="00435B6B" w14:paraId="3FAE81AF"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C007FE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A37953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Acetobacteraceae</w:t>
            </w:r>
          </w:p>
        </w:tc>
        <w:tc>
          <w:tcPr>
            <w:tcW w:w="1039" w:type="pct"/>
            <w:noWrap/>
            <w:vAlign w:val="center"/>
            <w:hideMark/>
          </w:tcPr>
          <w:p w14:paraId="316436B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Craurococcus-Caldovatus</w:t>
            </w:r>
          </w:p>
        </w:tc>
        <w:tc>
          <w:tcPr>
            <w:tcW w:w="711" w:type="pct"/>
            <w:noWrap/>
            <w:vAlign w:val="center"/>
            <w:hideMark/>
          </w:tcPr>
          <w:p w14:paraId="6C94259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3.85E-05</w:t>
            </w:r>
          </w:p>
        </w:tc>
        <w:tc>
          <w:tcPr>
            <w:tcW w:w="711" w:type="pct"/>
            <w:noWrap/>
            <w:vAlign w:val="center"/>
            <w:hideMark/>
          </w:tcPr>
          <w:p w14:paraId="0A729ED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1.28E-05</w:t>
            </w:r>
          </w:p>
        </w:tc>
        <w:tc>
          <w:tcPr>
            <w:tcW w:w="461" w:type="pct"/>
            <w:noWrap/>
            <w:vAlign w:val="center"/>
            <w:hideMark/>
          </w:tcPr>
          <w:p w14:paraId="6A43A21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6DC6809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4B1DFE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56E880A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Methylomonadaceae</w:t>
            </w:r>
          </w:p>
        </w:tc>
        <w:tc>
          <w:tcPr>
            <w:tcW w:w="1039" w:type="pct"/>
            <w:noWrap/>
            <w:vAlign w:val="center"/>
            <w:hideMark/>
          </w:tcPr>
          <w:p w14:paraId="309B922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Crenothrix</w:t>
            </w:r>
          </w:p>
        </w:tc>
        <w:tc>
          <w:tcPr>
            <w:tcW w:w="711" w:type="pct"/>
            <w:noWrap/>
            <w:vAlign w:val="center"/>
            <w:hideMark/>
          </w:tcPr>
          <w:p w14:paraId="5B42D10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1.58E-05</w:t>
            </w:r>
          </w:p>
        </w:tc>
        <w:tc>
          <w:tcPr>
            <w:tcW w:w="711" w:type="pct"/>
            <w:noWrap/>
            <w:vAlign w:val="center"/>
            <w:hideMark/>
          </w:tcPr>
          <w:p w14:paraId="2D5B260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2.04E-05</w:t>
            </w:r>
          </w:p>
        </w:tc>
        <w:tc>
          <w:tcPr>
            <w:tcW w:w="461" w:type="pct"/>
            <w:noWrap/>
            <w:vAlign w:val="center"/>
            <w:hideMark/>
          </w:tcPr>
          <w:p w14:paraId="1CCFDFB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4.37E-02</w:t>
            </w:r>
          </w:p>
        </w:tc>
      </w:tr>
      <w:tr w:rsidR="00DA6475" w:rsidRPr="00435B6B" w14:paraId="40A5D7C0"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341010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1FD0EB9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Rhizobiaceae</w:t>
            </w:r>
          </w:p>
        </w:tc>
        <w:tc>
          <w:tcPr>
            <w:tcW w:w="1039" w:type="pct"/>
            <w:noWrap/>
            <w:vAlign w:val="center"/>
            <w:hideMark/>
          </w:tcPr>
          <w:p w14:paraId="2CE9EFE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Ensifer</w:t>
            </w:r>
          </w:p>
        </w:tc>
        <w:tc>
          <w:tcPr>
            <w:tcW w:w="711" w:type="pct"/>
            <w:noWrap/>
            <w:vAlign w:val="center"/>
            <w:hideMark/>
          </w:tcPr>
          <w:p w14:paraId="25A5E6D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8.27E-05</w:t>
            </w:r>
          </w:p>
        </w:tc>
        <w:tc>
          <w:tcPr>
            <w:tcW w:w="711" w:type="pct"/>
            <w:noWrap/>
            <w:vAlign w:val="center"/>
            <w:hideMark/>
          </w:tcPr>
          <w:p w14:paraId="689558C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1.41E-05</w:t>
            </w:r>
          </w:p>
        </w:tc>
        <w:tc>
          <w:tcPr>
            <w:tcW w:w="461" w:type="pct"/>
            <w:noWrap/>
            <w:vAlign w:val="center"/>
            <w:hideMark/>
          </w:tcPr>
          <w:p w14:paraId="447B137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1.90E-02</w:t>
            </w:r>
          </w:p>
        </w:tc>
      </w:tr>
      <w:tr w:rsidR="00DA6475" w:rsidRPr="00435B6B" w14:paraId="3B62523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552CAB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43708B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EPR3968-O8a-Bc78 fa</w:t>
            </w:r>
          </w:p>
        </w:tc>
        <w:tc>
          <w:tcPr>
            <w:tcW w:w="1039" w:type="pct"/>
            <w:noWrap/>
            <w:vAlign w:val="center"/>
            <w:hideMark/>
          </w:tcPr>
          <w:p w14:paraId="0E5676E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EPR3968-O8a-Bc78 ge</w:t>
            </w:r>
          </w:p>
        </w:tc>
        <w:tc>
          <w:tcPr>
            <w:tcW w:w="711" w:type="pct"/>
            <w:noWrap/>
            <w:vAlign w:val="center"/>
            <w:hideMark/>
          </w:tcPr>
          <w:p w14:paraId="261D342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6.05E-05</w:t>
            </w:r>
          </w:p>
        </w:tc>
        <w:tc>
          <w:tcPr>
            <w:tcW w:w="711" w:type="pct"/>
            <w:noWrap/>
            <w:vAlign w:val="center"/>
            <w:hideMark/>
          </w:tcPr>
          <w:p w14:paraId="4966454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2.10E-05</w:t>
            </w:r>
          </w:p>
        </w:tc>
        <w:tc>
          <w:tcPr>
            <w:tcW w:w="461" w:type="pct"/>
            <w:noWrap/>
            <w:vAlign w:val="center"/>
            <w:hideMark/>
          </w:tcPr>
          <w:p w14:paraId="737DC7A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1.90E-02</w:t>
            </w:r>
          </w:p>
        </w:tc>
      </w:tr>
      <w:tr w:rsidR="00DA6475" w:rsidRPr="00435B6B" w14:paraId="782987A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5F84F4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620583E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Gallionellaceae</w:t>
            </w:r>
          </w:p>
        </w:tc>
        <w:tc>
          <w:tcPr>
            <w:tcW w:w="1039" w:type="pct"/>
            <w:noWrap/>
            <w:vAlign w:val="center"/>
            <w:hideMark/>
          </w:tcPr>
          <w:p w14:paraId="08A2D2A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Gallionella</w:t>
            </w:r>
          </w:p>
        </w:tc>
        <w:tc>
          <w:tcPr>
            <w:tcW w:w="711" w:type="pct"/>
            <w:noWrap/>
            <w:vAlign w:val="center"/>
            <w:hideMark/>
          </w:tcPr>
          <w:p w14:paraId="6976E81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3.43E-05</w:t>
            </w:r>
          </w:p>
        </w:tc>
        <w:tc>
          <w:tcPr>
            <w:tcW w:w="711" w:type="pct"/>
            <w:noWrap/>
            <w:vAlign w:val="center"/>
            <w:hideMark/>
          </w:tcPr>
          <w:p w14:paraId="11B29B6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8.81E-06</w:t>
            </w:r>
          </w:p>
        </w:tc>
        <w:tc>
          <w:tcPr>
            <w:tcW w:w="461" w:type="pct"/>
            <w:noWrap/>
            <w:vAlign w:val="center"/>
            <w:hideMark/>
          </w:tcPr>
          <w:p w14:paraId="0C00076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1.03E-02</w:t>
            </w:r>
          </w:p>
        </w:tc>
      </w:tr>
      <w:tr w:rsidR="00DA6475" w:rsidRPr="00435B6B" w14:paraId="559199C0"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C45440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38502CF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Acetobacteraceae</w:t>
            </w:r>
          </w:p>
        </w:tc>
        <w:tc>
          <w:tcPr>
            <w:tcW w:w="1039" w:type="pct"/>
            <w:noWrap/>
            <w:vAlign w:val="center"/>
            <w:hideMark/>
          </w:tcPr>
          <w:p w14:paraId="76D8F66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Gluconobacter</w:t>
            </w:r>
          </w:p>
        </w:tc>
        <w:tc>
          <w:tcPr>
            <w:tcW w:w="711" w:type="pct"/>
            <w:noWrap/>
            <w:vAlign w:val="center"/>
            <w:hideMark/>
          </w:tcPr>
          <w:p w14:paraId="7C710FD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2.80E-05</w:t>
            </w:r>
          </w:p>
        </w:tc>
        <w:tc>
          <w:tcPr>
            <w:tcW w:w="711" w:type="pct"/>
            <w:noWrap/>
            <w:vAlign w:val="center"/>
            <w:hideMark/>
          </w:tcPr>
          <w:p w14:paraId="1879062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8.05E-06</w:t>
            </w:r>
          </w:p>
        </w:tc>
        <w:tc>
          <w:tcPr>
            <w:tcW w:w="461" w:type="pct"/>
            <w:noWrap/>
            <w:vAlign w:val="center"/>
            <w:hideMark/>
          </w:tcPr>
          <w:p w14:paraId="75EE647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2.37E-02</w:t>
            </w:r>
          </w:p>
        </w:tc>
      </w:tr>
      <w:tr w:rsidR="00DA6475" w:rsidRPr="00435B6B" w14:paraId="15A79AA6"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DC43749"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7B89D1D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Halomonadaceae</w:t>
            </w:r>
          </w:p>
        </w:tc>
        <w:tc>
          <w:tcPr>
            <w:tcW w:w="1039" w:type="pct"/>
            <w:noWrap/>
            <w:vAlign w:val="center"/>
            <w:hideMark/>
          </w:tcPr>
          <w:p w14:paraId="7145367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Halovibrio</w:t>
            </w:r>
          </w:p>
        </w:tc>
        <w:tc>
          <w:tcPr>
            <w:tcW w:w="711" w:type="pct"/>
            <w:noWrap/>
            <w:vAlign w:val="center"/>
            <w:hideMark/>
          </w:tcPr>
          <w:p w14:paraId="074881E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5.24E-05</w:t>
            </w:r>
          </w:p>
        </w:tc>
        <w:tc>
          <w:tcPr>
            <w:tcW w:w="711" w:type="pct"/>
            <w:noWrap/>
            <w:vAlign w:val="center"/>
            <w:hideMark/>
          </w:tcPr>
          <w:p w14:paraId="03AD283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24EC3B3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7C62ACC0"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9E48F9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3065AA6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HOC36 fa</w:t>
            </w:r>
          </w:p>
        </w:tc>
        <w:tc>
          <w:tcPr>
            <w:tcW w:w="1039" w:type="pct"/>
            <w:noWrap/>
            <w:vAlign w:val="center"/>
            <w:hideMark/>
          </w:tcPr>
          <w:p w14:paraId="47466E9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HOC36 ge</w:t>
            </w:r>
          </w:p>
        </w:tc>
        <w:tc>
          <w:tcPr>
            <w:tcW w:w="711" w:type="pct"/>
            <w:noWrap/>
            <w:vAlign w:val="center"/>
            <w:hideMark/>
          </w:tcPr>
          <w:p w14:paraId="740D231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3.25E-05</w:t>
            </w:r>
          </w:p>
        </w:tc>
        <w:tc>
          <w:tcPr>
            <w:tcW w:w="711" w:type="pct"/>
            <w:noWrap/>
            <w:vAlign w:val="center"/>
            <w:hideMark/>
          </w:tcPr>
          <w:p w14:paraId="3707345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2.06E-06</w:t>
            </w:r>
          </w:p>
        </w:tc>
        <w:tc>
          <w:tcPr>
            <w:tcW w:w="461" w:type="pct"/>
            <w:noWrap/>
            <w:vAlign w:val="center"/>
            <w:hideMark/>
          </w:tcPr>
          <w:p w14:paraId="2A6EEC0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1.37E-02</w:t>
            </w:r>
          </w:p>
        </w:tc>
      </w:tr>
      <w:tr w:rsidR="00DA6475" w:rsidRPr="00435B6B" w14:paraId="7093985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08A2F8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04DDF3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Hydrogenophilaceae</w:t>
            </w:r>
          </w:p>
        </w:tc>
        <w:tc>
          <w:tcPr>
            <w:tcW w:w="1039" w:type="pct"/>
            <w:noWrap/>
            <w:vAlign w:val="center"/>
            <w:hideMark/>
          </w:tcPr>
          <w:p w14:paraId="4678984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Hydrogenophilus</w:t>
            </w:r>
          </w:p>
        </w:tc>
        <w:tc>
          <w:tcPr>
            <w:tcW w:w="711" w:type="pct"/>
            <w:noWrap/>
            <w:vAlign w:val="center"/>
            <w:hideMark/>
          </w:tcPr>
          <w:p w14:paraId="1B775D4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3.89E-04</w:t>
            </w:r>
          </w:p>
        </w:tc>
        <w:tc>
          <w:tcPr>
            <w:tcW w:w="711" w:type="pct"/>
            <w:noWrap/>
            <w:vAlign w:val="center"/>
            <w:hideMark/>
          </w:tcPr>
          <w:p w14:paraId="4D41269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2.42E-03</w:t>
            </w:r>
          </w:p>
        </w:tc>
        <w:tc>
          <w:tcPr>
            <w:tcW w:w="461" w:type="pct"/>
            <w:noWrap/>
            <w:vAlign w:val="center"/>
            <w:hideMark/>
          </w:tcPr>
          <w:p w14:paraId="5772F7A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2.10E-02</w:t>
            </w:r>
          </w:p>
        </w:tc>
      </w:tr>
      <w:tr w:rsidR="00DA6475" w:rsidRPr="00435B6B" w14:paraId="6576AE4C"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948E15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BF9408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Immundisolibacteraceae</w:t>
            </w:r>
          </w:p>
        </w:tc>
        <w:tc>
          <w:tcPr>
            <w:tcW w:w="1039" w:type="pct"/>
            <w:noWrap/>
            <w:vAlign w:val="center"/>
            <w:hideMark/>
          </w:tcPr>
          <w:p w14:paraId="142DACA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Immundisolibacter</w:t>
            </w:r>
          </w:p>
        </w:tc>
        <w:tc>
          <w:tcPr>
            <w:tcW w:w="711" w:type="pct"/>
            <w:noWrap/>
            <w:vAlign w:val="center"/>
            <w:hideMark/>
          </w:tcPr>
          <w:p w14:paraId="37443C5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8.16E-05</w:t>
            </w:r>
          </w:p>
        </w:tc>
        <w:tc>
          <w:tcPr>
            <w:tcW w:w="711" w:type="pct"/>
            <w:noWrap/>
            <w:vAlign w:val="center"/>
            <w:hideMark/>
          </w:tcPr>
          <w:p w14:paraId="4FCB6A4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4.10E-05</w:t>
            </w:r>
          </w:p>
        </w:tc>
        <w:tc>
          <w:tcPr>
            <w:tcW w:w="461" w:type="pct"/>
            <w:noWrap/>
            <w:vAlign w:val="center"/>
            <w:hideMark/>
          </w:tcPr>
          <w:p w14:paraId="49B9517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2.63E-02</w:t>
            </w:r>
          </w:p>
        </w:tc>
      </w:tr>
      <w:tr w:rsidR="00DA6475" w:rsidRPr="00435B6B" w14:paraId="2937485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5098DA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A8CE73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Comamonadaceae</w:t>
            </w:r>
          </w:p>
        </w:tc>
        <w:tc>
          <w:tcPr>
            <w:tcW w:w="1039" w:type="pct"/>
            <w:noWrap/>
            <w:vAlign w:val="center"/>
            <w:hideMark/>
          </w:tcPr>
          <w:p w14:paraId="7A8DDEE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Inhella</w:t>
            </w:r>
          </w:p>
        </w:tc>
        <w:tc>
          <w:tcPr>
            <w:tcW w:w="711" w:type="pct"/>
            <w:noWrap/>
            <w:vAlign w:val="center"/>
            <w:hideMark/>
          </w:tcPr>
          <w:p w14:paraId="2FACFBD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1.17E-05</w:t>
            </w:r>
          </w:p>
        </w:tc>
        <w:tc>
          <w:tcPr>
            <w:tcW w:w="711" w:type="pct"/>
            <w:noWrap/>
            <w:vAlign w:val="center"/>
            <w:hideMark/>
          </w:tcPr>
          <w:p w14:paraId="1A4547E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6EE3837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7C037EBA"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8DE2E6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EA7239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JG36-TzT-191 fa</w:t>
            </w:r>
          </w:p>
        </w:tc>
        <w:tc>
          <w:tcPr>
            <w:tcW w:w="1039" w:type="pct"/>
            <w:noWrap/>
            <w:vAlign w:val="center"/>
            <w:hideMark/>
          </w:tcPr>
          <w:p w14:paraId="3D0D79E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JG36-TzT-191 ge</w:t>
            </w:r>
          </w:p>
        </w:tc>
        <w:tc>
          <w:tcPr>
            <w:tcW w:w="711" w:type="pct"/>
            <w:noWrap/>
            <w:vAlign w:val="center"/>
            <w:hideMark/>
          </w:tcPr>
          <w:p w14:paraId="490B4EA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1.28E-04</w:t>
            </w:r>
          </w:p>
        </w:tc>
        <w:tc>
          <w:tcPr>
            <w:tcW w:w="711" w:type="pct"/>
            <w:noWrap/>
            <w:vAlign w:val="center"/>
            <w:hideMark/>
          </w:tcPr>
          <w:p w14:paraId="51D5BA3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2.86E-05</w:t>
            </w:r>
          </w:p>
        </w:tc>
        <w:tc>
          <w:tcPr>
            <w:tcW w:w="461" w:type="pct"/>
            <w:noWrap/>
            <w:vAlign w:val="center"/>
            <w:hideMark/>
          </w:tcPr>
          <w:p w14:paraId="0F56478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2BBEDE2F"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D21A09B"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7E1B17A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JTB23 fa</w:t>
            </w:r>
          </w:p>
        </w:tc>
        <w:tc>
          <w:tcPr>
            <w:tcW w:w="1039" w:type="pct"/>
            <w:noWrap/>
            <w:vAlign w:val="center"/>
            <w:hideMark/>
          </w:tcPr>
          <w:p w14:paraId="7068189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JTB23 ge</w:t>
            </w:r>
          </w:p>
        </w:tc>
        <w:tc>
          <w:tcPr>
            <w:tcW w:w="711" w:type="pct"/>
            <w:noWrap/>
            <w:vAlign w:val="center"/>
            <w:hideMark/>
          </w:tcPr>
          <w:p w14:paraId="64855E6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7.24E-05</w:t>
            </w:r>
          </w:p>
        </w:tc>
        <w:tc>
          <w:tcPr>
            <w:tcW w:w="711" w:type="pct"/>
            <w:noWrap/>
            <w:vAlign w:val="center"/>
            <w:hideMark/>
          </w:tcPr>
          <w:p w14:paraId="6B83A31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8.16E-06</w:t>
            </w:r>
          </w:p>
        </w:tc>
        <w:tc>
          <w:tcPr>
            <w:tcW w:w="461" w:type="pct"/>
            <w:noWrap/>
            <w:vAlign w:val="center"/>
            <w:hideMark/>
          </w:tcPr>
          <w:p w14:paraId="34152F2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26F4EABC"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545E83F2"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8F8B0B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Kiloniellaceae</w:t>
            </w:r>
          </w:p>
        </w:tc>
        <w:tc>
          <w:tcPr>
            <w:tcW w:w="1039" w:type="pct"/>
            <w:noWrap/>
            <w:vAlign w:val="center"/>
            <w:hideMark/>
          </w:tcPr>
          <w:p w14:paraId="079FE8C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Limibacillus</w:t>
            </w:r>
          </w:p>
        </w:tc>
        <w:tc>
          <w:tcPr>
            <w:tcW w:w="711" w:type="pct"/>
            <w:noWrap/>
            <w:vAlign w:val="center"/>
            <w:hideMark/>
          </w:tcPr>
          <w:p w14:paraId="1CB19F5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9.96E-06</w:t>
            </w:r>
          </w:p>
        </w:tc>
        <w:tc>
          <w:tcPr>
            <w:tcW w:w="711" w:type="pct"/>
            <w:noWrap/>
            <w:vAlign w:val="center"/>
            <w:hideMark/>
          </w:tcPr>
          <w:p w14:paraId="6539A06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6ECC195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777F1FD4"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CDDF6C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A50166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Xanthomonadaceae</w:t>
            </w:r>
          </w:p>
        </w:tc>
        <w:tc>
          <w:tcPr>
            <w:tcW w:w="1039" w:type="pct"/>
            <w:noWrap/>
            <w:vAlign w:val="center"/>
            <w:hideMark/>
          </w:tcPr>
          <w:p w14:paraId="3D77D0B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Lysobacter</w:t>
            </w:r>
          </w:p>
        </w:tc>
        <w:tc>
          <w:tcPr>
            <w:tcW w:w="711" w:type="pct"/>
            <w:noWrap/>
            <w:vAlign w:val="center"/>
            <w:hideMark/>
          </w:tcPr>
          <w:p w14:paraId="388F0D3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5.15E-04</w:t>
            </w:r>
          </w:p>
        </w:tc>
        <w:tc>
          <w:tcPr>
            <w:tcW w:w="711" w:type="pct"/>
            <w:noWrap/>
            <w:vAlign w:val="center"/>
            <w:hideMark/>
          </w:tcPr>
          <w:p w14:paraId="62FBDAA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2.57E-04</w:t>
            </w:r>
          </w:p>
        </w:tc>
        <w:tc>
          <w:tcPr>
            <w:tcW w:w="461" w:type="pct"/>
            <w:noWrap/>
            <w:vAlign w:val="center"/>
            <w:hideMark/>
          </w:tcPr>
          <w:p w14:paraId="73008F1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4.08E-02</w:t>
            </w:r>
          </w:p>
        </w:tc>
      </w:tr>
      <w:tr w:rsidR="00DA6475" w:rsidRPr="00435B6B" w14:paraId="04D9E509"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2F4EF31"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6989094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Nitrincolaceae</w:t>
            </w:r>
          </w:p>
        </w:tc>
        <w:tc>
          <w:tcPr>
            <w:tcW w:w="1039" w:type="pct"/>
            <w:noWrap/>
            <w:vAlign w:val="center"/>
            <w:hideMark/>
          </w:tcPr>
          <w:p w14:paraId="4936113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Marinobacterium</w:t>
            </w:r>
          </w:p>
        </w:tc>
        <w:tc>
          <w:tcPr>
            <w:tcW w:w="711" w:type="pct"/>
            <w:noWrap/>
            <w:vAlign w:val="center"/>
            <w:hideMark/>
          </w:tcPr>
          <w:p w14:paraId="3A3FEAD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1.60E-04</w:t>
            </w:r>
          </w:p>
        </w:tc>
        <w:tc>
          <w:tcPr>
            <w:tcW w:w="711" w:type="pct"/>
            <w:noWrap/>
            <w:vAlign w:val="center"/>
            <w:hideMark/>
          </w:tcPr>
          <w:p w14:paraId="4121DF6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6.46E-05</w:t>
            </w:r>
          </w:p>
        </w:tc>
        <w:tc>
          <w:tcPr>
            <w:tcW w:w="461" w:type="pct"/>
            <w:noWrap/>
            <w:vAlign w:val="center"/>
            <w:hideMark/>
          </w:tcPr>
          <w:p w14:paraId="4B833D7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1.72E-02</w:t>
            </w:r>
          </w:p>
        </w:tc>
      </w:tr>
      <w:tr w:rsidR="00DA6475" w:rsidRPr="00435B6B" w14:paraId="1E173074"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63445D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E680C1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tc>
        <w:tc>
          <w:tcPr>
            <w:tcW w:w="1039" w:type="pct"/>
            <w:noWrap/>
            <w:vAlign w:val="center"/>
            <w:hideMark/>
          </w:tcPr>
          <w:p w14:paraId="48A4B70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Massilia</w:t>
            </w:r>
          </w:p>
        </w:tc>
        <w:tc>
          <w:tcPr>
            <w:tcW w:w="711" w:type="pct"/>
            <w:noWrap/>
            <w:vAlign w:val="center"/>
            <w:hideMark/>
          </w:tcPr>
          <w:p w14:paraId="720E7E3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3.76E-03</w:t>
            </w:r>
          </w:p>
        </w:tc>
        <w:tc>
          <w:tcPr>
            <w:tcW w:w="711" w:type="pct"/>
            <w:noWrap/>
            <w:vAlign w:val="center"/>
            <w:hideMark/>
          </w:tcPr>
          <w:p w14:paraId="310D6C7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1.18E-03</w:t>
            </w:r>
          </w:p>
        </w:tc>
        <w:tc>
          <w:tcPr>
            <w:tcW w:w="461" w:type="pct"/>
            <w:noWrap/>
            <w:vAlign w:val="center"/>
            <w:hideMark/>
          </w:tcPr>
          <w:p w14:paraId="6B079CC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6.70E-03</w:t>
            </w:r>
          </w:p>
        </w:tc>
      </w:tr>
      <w:tr w:rsidR="00DA6475" w:rsidRPr="00435B6B" w14:paraId="3E768272"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AAA8CCE"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7BE8C3A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MBMPE27 fa</w:t>
            </w:r>
          </w:p>
        </w:tc>
        <w:tc>
          <w:tcPr>
            <w:tcW w:w="1039" w:type="pct"/>
            <w:noWrap/>
            <w:vAlign w:val="center"/>
            <w:hideMark/>
          </w:tcPr>
          <w:p w14:paraId="2BA6D19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MBMPE27 ge</w:t>
            </w:r>
          </w:p>
        </w:tc>
        <w:tc>
          <w:tcPr>
            <w:tcW w:w="711" w:type="pct"/>
            <w:noWrap/>
            <w:vAlign w:val="center"/>
            <w:hideMark/>
          </w:tcPr>
          <w:p w14:paraId="39C31AF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3.99E-05</w:t>
            </w:r>
          </w:p>
        </w:tc>
        <w:tc>
          <w:tcPr>
            <w:tcW w:w="711" w:type="pct"/>
            <w:noWrap/>
            <w:vAlign w:val="center"/>
            <w:hideMark/>
          </w:tcPr>
          <w:p w14:paraId="0CEE6DC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6.75E-06</w:t>
            </w:r>
          </w:p>
        </w:tc>
        <w:tc>
          <w:tcPr>
            <w:tcW w:w="461" w:type="pct"/>
            <w:noWrap/>
            <w:vAlign w:val="center"/>
            <w:hideMark/>
          </w:tcPr>
          <w:p w14:paraId="31F5D19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1.59E-02</w:t>
            </w:r>
          </w:p>
        </w:tc>
      </w:tr>
      <w:tr w:rsidR="00DA6475" w:rsidRPr="00435B6B" w14:paraId="7D158B08"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3771B2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6B5A0C9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Methylomonadaceae</w:t>
            </w:r>
          </w:p>
        </w:tc>
        <w:tc>
          <w:tcPr>
            <w:tcW w:w="1039" w:type="pct"/>
            <w:noWrap/>
            <w:vAlign w:val="center"/>
            <w:hideMark/>
          </w:tcPr>
          <w:p w14:paraId="78A22A7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Methylobacter</w:t>
            </w:r>
          </w:p>
        </w:tc>
        <w:tc>
          <w:tcPr>
            <w:tcW w:w="711" w:type="pct"/>
            <w:noWrap/>
            <w:vAlign w:val="center"/>
            <w:hideMark/>
          </w:tcPr>
          <w:p w14:paraId="0043EBD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1.50E-05</w:t>
            </w:r>
          </w:p>
        </w:tc>
        <w:tc>
          <w:tcPr>
            <w:tcW w:w="711" w:type="pct"/>
            <w:noWrap/>
            <w:vAlign w:val="center"/>
            <w:hideMark/>
          </w:tcPr>
          <w:p w14:paraId="48BADA5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6.59E-06</w:t>
            </w:r>
          </w:p>
        </w:tc>
        <w:tc>
          <w:tcPr>
            <w:tcW w:w="461" w:type="pct"/>
            <w:noWrap/>
            <w:vAlign w:val="center"/>
            <w:hideMark/>
          </w:tcPr>
          <w:p w14:paraId="4357098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3.47E-02</w:t>
            </w:r>
          </w:p>
        </w:tc>
      </w:tr>
      <w:tr w:rsidR="00DA6475" w:rsidRPr="00435B6B" w14:paraId="1E175765"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E83AFF0"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5D0151B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Micropepsaceae</w:t>
            </w:r>
          </w:p>
        </w:tc>
        <w:tc>
          <w:tcPr>
            <w:tcW w:w="1039" w:type="pct"/>
            <w:noWrap/>
            <w:vAlign w:val="center"/>
            <w:hideMark/>
          </w:tcPr>
          <w:p w14:paraId="16A9D1C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Micropepsaceae</w:t>
            </w:r>
          </w:p>
          <w:p w14:paraId="0BE1540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5E62364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1.43E-04</w:t>
            </w:r>
          </w:p>
        </w:tc>
        <w:tc>
          <w:tcPr>
            <w:tcW w:w="711" w:type="pct"/>
            <w:noWrap/>
            <w:vAlign w:val="center"/>
            <w:hideMark/>
          </w:tcPr>
          <w:p w14:paraId="78C8836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4.29E-05</w:t>
            </w:r>
          </w:p>
        </w:tc>
        <w:tc>
          <w:tcPr>
            <w:tcW w:w="461" w:type="pct"/>
            <w:noWrap/>
            <w:vAlign w:val="center"/>
            <w:hideMark/>
          </w:tcPr>
          <w:p w14:paraId="3F64EE5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8.92E-03</w:t>
            </w:r>
          </w:p>
        </w:tc>
      </w:tr>
      <w:tr w:rsidR="00DA6475" w:rsidRPr="00435B6B" w14:paraId="7A43459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080797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5BC161F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Nitrincolaceae</w:t>
            </w:r>
          </w:p>
        </w:tc>
        <w:tc>
          <w:tcPr>
            <w:tcW w:w="1039" w:type="pct"/>
            <w:noWrap/>
            <w:vAlign w:val="center"/>
            <w:hideMark/>
          </w:tcPr>
          <w:p w14:paraId="24D7108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Motiliproteus</w:t>
            </w:r>
          </w:p>
        </w:tc>
        <w:tc>
          <w:tcPr>
            <w:tcW w:w="711" w:type="pct"/>
            <w:noWrap/>
            <w:vAlign w:val="center"/>
            <w:hideMark/>
          </w:tcPr>
          <w:p w14:paraId="69A0DB6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1.24E-05</w:t>
            </w:r>
          </w:p>
        </w:tc>
        <w:tc>
          <w:tcPr>
            <w:tcW w:w="711" w:type="pct"/>
            <w:noWrap/>
            <w:vAlign w:val="center"/>
            <w:hideMark/>
          </w:tcPr>
          <w:p w14:paraId="5B0E2DF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4A0699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21402401"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1D26CD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0A6D8B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Solimonadaceae</w:t>
            </w:r>
          </w:p>
        </w:tc>
        <w:tc>
          <w:tcPr>
            <w:tcW w:w="1039" w:type="pct"/>
            <w:noWrap/>
            <w:vAlign w:val="center"/>
            <w:hideMark/>
          </w:tcPr>
          <w:p w14:paraId="1BD49F1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Panacagrimonas</w:t>
            </w:r>
          </w:p>
        </w:tc>
        <w:tc>
          <w:tcPr>
            <w:tcW w:w="711" w:type="pct"/>
            <w:noWrap/>
            <w:vAlign w:val="center"/>
            <w:hideMark/>
          </w:tcPr>
          <w:p w14:paraId="46E78E6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3.70E-05</w:t>
            </w:r>
          </w:p>
        </w:tc>
        <w:tc>
          <w:tcPr>
            <w:tcW w:w="711" w:type="pct"/>
            <w:noWrap/>
            <w:vAlign w:val="center"/>
            <w:hideMark/>
          </w:tcPr>
          <w:p w14:paraId="3C4E47A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8.13E-06</w:t>
            </w:r>
          </w:p>
        </w:tc>
        <w:tc>
          <w:tcPr>
            <w:tcW w:w="461" w:type="pct"/>
            <w:noWrap/>
            <w:vAlign w:val="center"/>
            <w:hideMark/>
          </w:tcPr>
          <w:p w14:paraId="221F2E4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1.89E-02</w:t>
            </w:r>
          </w:p>
        </w:tc>
      </w:tr>
      <w:tr w:rsidR="00DA6475" w:rsidRPr="00435B6B" w14:paraId="747D590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4B200A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BCFA25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PLTA13 fa</w:t>
            </w:r>
          </w:p>
        </w:tc>
        <w:tc>
          <w:tcPr>
            <w:tcW w:w="1039" w:type="pct"/>
            <w:noWrap/>
            <w:vAlign w:val="center"/>
            <w:hideMark/>
          </w:tcPr>
          <w:p w14:paraId="5792D83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PLTA13 ge</w:t>
            </w:r>
          </w:p>
        </w:tc>
        <w:tc>
          <w:tcPr>
            <w:tcW w:w="711" w:type="pct"/>
            <w:noWrap/>
            <w:vAlign w:val="center"/>
            <w:hideMark/>
          </w:tcPr>
          <w:p w14:paraId="377E7BB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1.46E-04</w:t>
            </w:r>
          </w:p>
        </w:tc>
        <w:tc>
          <w:tcPr>
            <w:tcW w:w="711" w:type="pct"/>
            <w:noWrap/>
            <w:vAlign w:val="center"/>
            <w:hideMark/>
          </w:tcPr>
          <w:p w14:paraId="0A5C25D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8.41E-05</w:t>
            </w:r>
          </w:p>
        </w:tc>
        <w:tc>
          <w:tcPr>
            <w:tcW w:w="461" w:type="pct"/>
            <w:noWrap/>
            <w:vAlign w:val="center"/>
            <w:hideMark/>
          </w:tcPr>
          <w:p w14:paraId="0C24A29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25286036"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7CC94B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E730FF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tc>
        <w:tc>
          <w:tcPr>
            <w:tcW w:w="1039" w:type="pct"/>
            <w:noWrap/>
            <w:vAlign w:val="center"/>
            <w:hideMark/>
          </w:tcPr>
          <w:p w14:paraId="2F3879D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Pseudoduganella</w:t>
            </w:r>
          </w:p>
        </w:tc>
        <w:tc>
          <w:tcPr>
            <w:tcW w:w="711" w:type="pct"/>
            <w:noWrap/>
            <w:vAlign w:val="center"/>
            <w:hideMark/>
          </w:tcPr>
          <w:p w14:paraId="24A79B7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1.07E-03</w:t>
            </w:r>
          </w:p>
        </w:tc>
        <w:tc>
          <w:tcPr>
            <w:tcW w:w="711" w:type="pct"/>
            <w:noWrap/>
            <w:vAlign w:val="center"/>
            <w:hideMark/>
          </w:tcPr>
          <w:p w14:paraId="4D03834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1.43E-04</w:t>
            </w:r>
          </w:p>
        </w:tc>
        <w:tc>
          <w:tcPr>
            <w:tcW w:w="461" w:type="pct"/>
            <w:noWrap/>
            <w:vAlign w:val="center"/>
            <w:hideMark/>
          </w:tcPr>
          <w:p w14:paraId="1ACF7E2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1.04E-02</w:t>
            </w:r>
          </w:p>
        </w:tc>
      </w:tr>
      <w:tr w:rsidR="00DA6475" w:rsidRPr="00435B6B" w14:paraId="0DF7F445"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8FFC59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74D1B9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Xanthomonadaceae</w:t>
            </w:r>
          </w:p>
        </w:tc>
        <w:tc>
          <w:tcPr>
            <w:tcW w:w="1039" w:type="pct"/>
            <w:noWrap/>
            <w:vAlign w:val="center"/>
            <w:hideMark/>
          </w:tcPr>
          <w:p w14:paraId="5429080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Pseudoxanthomonas</w:t>
            </w:r>
          </w:p>
        </w:tc>
        <w:tc>
          <w:tcPr>
            <w:tcW w:w="711" w:type="pct"/>
            <w:noWrap/>
            <w:vAlign w:val="center"/>
            <w:hideMark/>
          </w:tcPr>
          <w:p w14:paraId="45253AD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2.42E-04</w:t>
            </w:r>
          </w:p>
        </w:tc>
        <w:tc>
          <w:tcPr>
            <w:tcW w:w="711" w:type="pct"/>
            <w:noWrap/>
            <w:vAlign w:val="center"/>
            <w:hideMark/>
          </w:tcPr>
          <w:p w14:paraId="404F75E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8.96E-05</w:t>
            </w:r>
          </w:p>
        </w:tc>
        <w:tc>
          <w:tcPr>
            <w:tcW w:w="461" w:type="pct"/>
            <w:noWrap/>
            <w:vAlign w:val="center"/>
            <w:hideMark/>
          </w:tcPr>
          <w:p w14:paraId="436B7F1B"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4.41E-02</w:t>
            </w:r>
          </w:p>
        </w:tc>
      </w:tr>
      <w:tr w:rsidR="00DA6475" w:rsidRPr="00435B6B" w14:paraId="3C398996"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C62BD26"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72FF62F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R7C24 fa</w:t>
            </w:r>
          </w:p>
        </w:tc>
        <w:tc>
          <w:tcPr>
            <w:tcW w:w="1039" w:type="pct"/>
            <w:noWrap/>
            <w:vAlign w:val="center"/>
            <w:hideMark/>
          </w:tcPr>
          <w:p w14:paraId="4A83DFC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R7C24 ge</w:t>
            </w:r>
          </w:p>
        </w:tc>
        <w:tc>
          <w:tcPr>
            <w:tcW w:w="711" w:type="pct"/>
            <w:noWrap/>
            <w:vAlign w:val="center"/>
            <w:hideMark/>
          </w:tcPr>
          <w:p w14:paraId="402C33C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6.48E-05</w:t>
            </w:r>
          </w:p>
        </w:tc>
        <w:tc>
          <w:tcPr>
            <w:tcW w:w="711" w:type="pct"/>
            <w:noWrap/>
            <w:vAlign w:val="center"/>
            <w:hideMark/>
          </w:tcPr>
          <w:p w14:paraId="7ACC11E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3.52E-05</w:t>
            </w:r>
          </w:p>
        </w:tc>
        <w:tc>
          <w:tcPr>
            <w:tcW w:w="461" w:type="pct"/>
            <w:noWrap/>
            <w:vAlign w:val="center"/>
            <w:hideMark/>
          </w:tcPr>
          <w:p w14:paraId="01D7508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1.07E-02</w:t>
            </w:r>
          </w:p>
        </w:tc>
      </w:tr>
      <w:tr w:rsidR="00DA6475" w:rsidRPr="00435B6B" w14:paraId="517CDAA7"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66015F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F37606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Micropepsaceae</w:t>
            </w:r>
          </w:p>
        </w:tc>
        <w:tc>
          <w:tcPr>
            <w:tcW w:w="1039" w:type="pct"/>
            <w:noWrap/>
            <w:vAlign w:val="center"/>
            <w:hideMark/>
          </w:tcPr>
          <w:p w14:paraId="7A790CD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Rhizomicrobium</w:t>
            </w:r>
          </w:p>
        </w:tc>
        <w:tc>
          <w:tcPr>
            <w:tcW w:w="711" w:type="pct"/>
            <w:noWrap/>
            <w:vAlign w:val="center"/>
            <w:hideMark/>
          </w:tcPr>
          <w:p w14:paraId="10EE059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3.14E-05</w:t>
            </w:r>
          </w:p>
        </w:tc>
        <w:tc>
          <w:tcPr>
            <w:tcW w:w="711" w:type="pct"/>
            <w:noWrap/>
            <w:vAlign w:val="center"/>
            <w:hideMark/>
          </w:tcPr>
          <w:p w14:paraId="165882E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2.07E-06</w:t>
            </w:r>
          </w:p>
        </w:tc>
        <w:tc>
          <w:tcPr>
            <w:tcW w:w="461" w:type="pct"/>
            <w:noWrap/>
            <w:vAlign w:val="center"/>
            <w:hideMark/>
          </w:tcPr>
          <w:p w14:paraId="5CA217E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3.15E-02</w:t>
            </w:r>
          </w:p>
        </w:tc>
      </w:tr>
      <w:tr w:rsidR="00DA6475" w:rsidRPr="00435B6B" w14:paraId="5FCB607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DDD26AA"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6821141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Rhodanobacteraceae</w:t>
            </w:r>
          </w:p>
        </w:tc>
        <w:tc>
          <w:tcPr>
            <w:tcW w:w="1039" w:type="pct"/>
            <w:noWrap/>
            <w:vAlign w:val="center"/>
            <w:hideMark/>
          </w:tcPr>
          <w:p w14:paraId="580D538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Rhodanobacter</w:t>
            </w:r>
          </w:p>
        </w:tc>
        <w:tc>
          <w:tcPr>
            <w:tcW w:w="711" w:type="pct"/>
            <w:noWrap/>
            <w:vAlign w:val="center"/>
            <w:hideMark/>
          </w:tcPr>
          <w:p w14:paraId="124A6EB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6.79E-04</w:t>
            </w:r>
          </w:p>
        </w:tc>
        <w:tc>
          <w:tcPr>
            <w:tcW w:w="711" w:type="pct"/>
            <w:noWrap/>
            <w:vAlign w:val="center"/>
            <w:hideMark/>
          </w:tcPr>
          <w:p w14:paraId="4C85071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3.96E-04</w:t>
            </w:r>
          </w:p>
        </w:tc>
        <w:tc>
          <w:tcPr>
            <w:tcW w:w="461" w:type="pct"/>
            <w:noWrap/>
            <w:vAlign w:val="center"/>
            <w:hideMark/>
          </w:tcPr>
          <w:p w14:paraId="266DDD3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3.34E-02</w:t>
            </w:r>
          </w:p>
        </w:tc>
      </w:tr>
      <w:tr w:rsidR="00DA6475" w:rsidRPr="00435B6B" w14:paraId="1EA7EE7B"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18418463"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4808FC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Xanthobacteraceae</w:t>
            </w:r>
          </w:p>
        </w:tc>
        <w:tc>
          <w:tcPr>
            <w:tcW w:w="1039" w:type="pct"/>
            <w:noWrap/>
            <w:vAlign w:val="center"/>
            <w:hideMark/>
          </w:tcPr>
          <w:p w14:paraId="73196A0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Rhodoplanes</w:t>
            </w:r>
          </w:p>
        </w:tc>
        <w:tc>
          <w:tcPr>
            <w:tcW w:w="711" w:type="pct"/>
            <w:noWrap/>
            <w:vAlign w:val="center"/>
            <w:hideMark/>
          </w:tcPr>
          <w:p w14:paraId="3105CEC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5.03E-05</w:t>
            </w:r>
          </w:p>
        </w:tc>
        <w:tc>
          <w:tcPr>
            <w:tcW w:w="711" w:type="pct"/>
            <w:noWrap/>
            <w:vAlign w:val="center"/>
            <w:hideMark/>
          </w:tcPr>
          <w:p w14:paraId="46DBB8A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7.66E-06</w:t>
            </w:r>
          </w:p>
        </w:tc>
        <w:tc>
          <w:tcPr>
            <w:tcW w:w="461" w:type="pct"/>
            <w:noWrap/>
            <w:vAlign w:val="center"/>
            <w:hideMark/>
          </w:tcPr>
          <w:p w14:paraId="76470C1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2.22E-02</w:t>
            </w:r>
          </w:p>
        </w:tc>
      </w:tr>
      <w:tr w:rsidR="00DA6475" w:rsidRPr="00435B6B" w14:paraId="381CC189"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B749E9B"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33F5637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Rhodobacteraceae</w:t>
            </w:r>
          </w:p>
        </w:tc>
        <w:tc>
          <w:tcPr>
            <w:tcW w:w="1039" w:type="pct"/>
            <w:noWrap/>
            <w:vAlign w:val="center"/>
            <w:hideMark/>
          </w:tcPr>
          <w:p w14:paraId="67F4DCA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Rhodovulum</w:t>
            </w:r>
          </w:p>
        </w:tc>
        <w:tc>
          <w:tcPr>
            <w:tcW w:w="711" w:type="pct"/>
            <w:noWrap/>
            <w:vAlign w:val="center"/>
            <w:hideMark/>
          </w:tcPr>
          <w:p w14:paraId="37C22DD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711" w:type="pct"/>
            <w:noWrap/>
            <w:vAlign w:val="center"/>
            <w:hideMark/>
          </w:tcPr>
          <w:p w14:paraId="2F6560E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1.32E-05</w:t>
            </w:r>
          </w:p>
        </w:tc>
        <w:tc>
          <w:tcPr>
            <w:tcW w:w="461" w:type="pct"/>
            <w:noWrap/>
            <w:vAlign w:val="center"/>
            <w:hideMark/>
          </w:tcPr>
          <w:p w14:paraId="5F4368E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4.33E-02</w:t>
            </w:r>
          </w:p>
        </w:tc>
      </w:tr>
      <w:tr w:rsidR="00DA6475" w:rsidRPr="00435B6B" w14:paraId="63429F2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239672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F3740D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Beijerinckiaceae</w:t>
            </w:r>
          </w:p>
        </w:tc>
        <w:tc>
          <w:tcPr>
            <w:tcW w:w="1039" w:type="pct"/>
            <w:noWrap/>
            <w:vAlign w:val="center"/>
            <w:hideMark/>
          </w:tcPr>
          <w:p w14:paraId="75BEA99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Roseiarcus</w:t>
            </w:r>
          </w:p>
        </w:tc>
        <w:tc>
          <w:tcPr>
            <w:tcW w:w="711" w:type="pct"/>
            <w:noWrap/>
            <w:vAlign w:val="center"/>
            <w:hideMark/>
          </w:tcPr>
          <w:p w14:paraId="2E7C852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1.47E-04</w:t>
            </w:r>
          </w:p>
        </w:tc>
        <w:tc>
          <w:tcPr>
            <w:tcW w:w="711" w:type="pct"/>
            <w:noWrap/>
            <w:vAlign w:val="center"/>
            <w:hideMark/>
          </w:tcPr>
          <w:p w14:paraId="7A0E1DA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3.91E-05</w:t>
            </w:r>
          </w:p>
        </w:tc>
        <w:tc>
          <w:tcPr>
            <w:tcW w:w="461" w:type="pct"/>
            <w:noWrap/>
            <w:vAlign w:val="center"/>
            <w:hideMark/>
          </w:tcPr>
          <w:p w14:paraId="0A93CD9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3.47E-02</w:t>
            </w:r>
          </w:p>
        </w:tc>
      </w:tr>
      <w:tr w:rsidR="00DA6475" w:rsidRPr="00435B6B" w14:paraId="459027BF"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DE1573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18DBB8F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Steroidobacteraceae</w:t>
            </w:r>
          </w:p>
        </w:tc>
        <w:tc>
          <w:tcPr>
            <w:tcW w:w="1039" w:type="pct"/>
            <w:noWrap/>
            <w:vAlign w:val="center"/>
            <w:hideMark/>
          </w:tcPr>
          <w:p w14:paraId="4053A95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Steroidobacter</w:t>
            </w:r>
          </w:p>
        </w:tc>
        <w:tc>
          <w:tcPr>
            <w:tcW w:w="711" w:type="pct"/>
            <w:noWrap/>
            <w:vAlign w:val="center"/>
            <w:hideMark/>
          </w:tcPr>
          <w:p w14:paraId="6494E8CA"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2.50E-04</w:t>
            </w:r>
          </w:p>
        </w:tc>
        <w:tc>
          <w:tcPr>
            <w:tcW w:w="711" w:type="pct"/>
            <w:noWrap/>
            <w:vAlign w:val="center"/>
            <w:hideMark/>
          </w:tcPr>
          <w:p w14:paraId="3FB37A5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1.10E-04</w:t>
            </w:r>
          </w:p>
        </w:tc>
        <w:tc>
          <w:tcPr>
            <w:tcW w:w="461" w:type="pct"/>
            <w:noWrap/>
            <w:vAlign w:val="center"/>
            <w:hideMark/>
          </w:tcPr>
          <w:p w14:paraId="6368C666"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4.28E-02</w:t>
            </w:r>
          </w:p>
        </w:tc>
      </w:tr>
      <w:tr w:rsidR="00DA6475" w:rsidRPr="00435B6B" w14:paraId="5D372499"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651AB6B"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62A0A5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Steroidobacteraceae</w:t>
            </w:r>
          </w:p>
        </w:tc>
        <w:tc>
          <w:tcPr>
            <w:tcW w:w="1039" w:type="pct"/>
            <w:noWrap/>
            <w:vAlign w:val="center"/>
            <w:hideMark/>
          </w:tcPr>
          <w:p w14:paraId="55DB05E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Steroidobacteraceae</w:t>
            </w:r>
          </w:p>
          <w:p w14:paraId="4E7ED43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711" w:type="pct"/>
            <w:noWrap/>
            <w:vAlign w:val="center"/>
            <w:hideMark/>
          </w:tcPr>
          <w:p w14:paraId="729F7B7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6.49E-05</w:t>
            </w:r>
          </w:p>
        </w:tc>
        <w:tc>
          <w:tcPr>
            <w:tcW w:w="711" w:type="pct"/>
            <w:noWrap/>
            <w:vAlign w:val="center"/>
            <w:hideMark/>
          </w:tcPr>
          <w:p w14:paraId="6B50ADB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1.60E-05</w:t>
            </w:r>
          </w:p>
        </w:tc>
        <w:tc>
          <w:tcPr>
            <w:tcW w:w="461" w:type="pct"/>
            <w:noWrap/>
            <w:vAlign w:val="center"/>
            <w:hideMark/>
          </w:tcPr>
          <w:p w14:paraId="112540E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2.91E-02</w:t>
            </w:r>
          </w:p>
        </w:tc>
      </w:tr>
      <w:tr w:rsidR="00DA6475" w:rsidRPr="00435B6B" w14:paraId="363AE33D"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783DD25"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08C7ACE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Succinivibrionaceae</w:t>
            </w:r>
          </w:p>
        </w:tc>
        <w:tc>
          <w:tcPr>
            <w:tcW w:w="1039" w:type="pct"/>
            <w:noWrap/>
            <w:vAlign w:val="center"/>
            <w:hideMark/>
          </w:tcPr>
          <w:p w14:paraId="6F42142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Succinivibrio</w:t>
            </w:r>
          </w:p>
        </w:tc>
        <w:tc>
          <w:tcPr>
            <w:tcW w:w="711" w:type="pct"/>
            <w:noWrap/>
            <w:vAlign w:val="center"/>
            <w:hideMark/>
          </w:tcPr>
          <w:p w14:paraId="550C195F"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6.25E-05</w:t>
            </w:r>
          </w:p>
        </w:tc>
        <w:tc>
          <w:tcPr>
            <w:tcW w:w="711" w:type="pct"/>
            <w:noWrap/>
            <w:vAlign w:val="center"/>
            <w:hideMark/>
          </w:tcPr>
          <w:p w14:paraId="4C363F6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2.56E-05</w:t>
            </w:r>
          </w:p>
        </w:tc>
        <w:tc>
          <w:tcPr>
            <w:tcW w:w="461" w:type="pct"/>
            <w:noWrap/>
            <w:vAlign w:val="center"/>
            <w:hideMark/>
          </w:tcPr>
          <w:p w14:paraId="582C4AB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4.20E-02</w:t>
            </w:r>
          </w:p>
        </w:tc>
      </w:tr>
      <w:tr w:rsidR="00DA6475" w:rsidRPr="00435B6B" w14:paraId="02C6FF1C"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C2C5AB4"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1CA0601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Sulfuricellaceae</w:t>
            </w:r>
          </w:p>
        </w:tc>
        <w:tc>
          <w:tcPr>
            <w:tcW w:w="1039" w:type="pct"/>
            <w:noWrap/>
            <w:vAlign w:val="center"/>
            <w:hideMark/>
          </w:tcPr>
          <w:p w14:paraId="4F923A40"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Sulfuriferula</w:t>
            </w:r>
          </w:p>
        </w:tc>
        <w:tc>
          <w:tcPr>
            <w:tcW w:w="711" w:type="pct"/>
            <w:noWrap/>
            <w:vAlign w:val="center"/>
            <w:hideMark/>
          </w:tcPr>
          <w:p w14:paraId="37D18D6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5.46E-05</w:t>
            </w:r>
          </w:p>
        </w:tc>
        <w:tc>
          <w:tcPr>
            <w:tcW w:w="711" w:type="pct"/>
            <w:noWrap/>
            <w:vAlign w:val="center"/>
            <w:hideMark/>
          </w:tcPr>
          <w:p w14:paraId="7D2B892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0A3A89D9"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1.03E-02</w:t>
            </w:r>
          </w:p>
        </w:tc>
      </w:tr>
      <w:tr w:rsidR="00DA6475" w:rsidRPr="00435B6B" w14:paraId="4748D25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7358E45"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4C9FB04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Chromatiaceae</w:t>
            </w:r>
          </w:p>
        </w:tc>
        <w:tc>
          <w:tcPr>
            <w:tcW w:w="1039" w:type="pct"/>
            <w:noWrap/>
            <w:vAlign w:val="center"/>
            <w:hideMark/>
          </w:tcPr>
          <w:p w14:paraId="253A820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Thiocapsa</w:t>
            </w:r>
          </w:p>
        </w:tc>
        <w:tc>
          <w:tcPr>
            <w:tcW w:w="711" w:type="pct"/>
            <w:noWrap/>
            <w:vAlign w:val="center"/>
            <w:hideMark/>
          </w:tcPr>
          <w:p w14:paraId="509A8E59"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1.34E-05</w:t>
            </w:r>
          </w:p>
        </w:tc>
        <w:tc>
          <w:tcPr>
            <w:tcW w:w="711" w:type="pct"/>
            <w:noWrap/>
            <w:vAlign w:val="center"/>
            <w:hideMark/>
          </w:tcPr>
          <w:p w14:paraId="5453BD5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2B9326E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2.03E-02</w:t>
            </w:r>
          </w:p>
        </w:tc>
      </w:tr>
      <w:tr w:rsidR="00DA6475" w:rsidRPr="00435B6B" w14:paraId="708A61F3"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FB9828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1AD1871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TRA3-20</w:t>
            </w:r>
          </w:p>
        </w:tc>
        <w:tc>
          <w:tcPr>
            <w:tcW w:w="1039" w:type="pct"/>
            <w:noWrap/>
            <w:vAlign w:val="center"/>
            <w:hideMark/>
          </w:tcPr>
          <w:p w14:paraId="7337E4C7"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TRA3-20 ge</w:t>
            </w:r>
          </w:p>
        </w:tc>
        <w:tc>
          <w:tcPr>
            <w:tcW w:w="711" w:type="pct"/>
            <w:noWrap/>
            <w:vAlign w:val="center"/>
            <w:hideMark/>
          </w:tcPr>
          <w:p w14:paraId="4250905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3.66E-04</w:t>
            </w:r>
          </w:p>
        </w:tc>
        <w:tc>
          <w:tcPr>
            <w:tcW w:w="711" w:type="pct"/>
            <w:noWrap/>
            <w:vAlign w:val="center"/>
            <w:hideMark/>
          </w:tcPr>
          <w:p w14:paraId="27BD4E2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1.23E-04</w:t>
            </w:r>
          </w:p>
        </w:tc>
        <w:tc>
          <w:tcPr>
            <w:tcW w:w="461" w:type="pct"/>
            <w:noWrap/>
            <w:vAlign w:val="center"/>
            <w:hideMark/>
          </w:tcPr>
          <w:p w14:paraId="246C79D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1.37E-02</w:t>
            </w:r>
          </w:p>
        </w:tc>
      </w:tr>
      <w:tr w:rsidR="00DA6475" w:rsidRPr="00435B6B" w14:paraId="12A70496"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07DCA05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3600D7A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tc>
        <w:tc>
          <w:tcPr>
            <w:tcW w:w="1039" w:type="pct"/>
            <w:noWrap/>
            <w:vAlign w:val="center"/>
            <w:hideMark/>
          </w:tcPr>
          <w:p w14:paraId="595D8FD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Undibacterium</w:t>
            </w:r>
          </w:p>
        </w:tc>
        <w:tc>
          <w:tcPr>
            <w:tcW w:w="711" w:type="pct"/>
            <w:noWrap/>
            <w:vAlign w:val="center"/>
            <w:hideMark/>
          </w:tcPr>
          <w:p w14:paraId="7563D5BD"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4.96E-05</w:t>
            </w:r>
          </w:p>
        </w:tc>
        <w:tc>
          <w:tcPr>
            <w:tcW w:w="711" w:type="pct"/>
            <w:noWrap/>
            <w:vAlign w:val="center"/>
            <w:hideMark/>
          </w:tcPr>
          <w:p w14:paraId="120B9B1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4.68E-06</w:t>
            </w:r>
          </w:p>
        </w:tc>
        <w:tc>
          <w:tcPr>
            <w:tcW w:w="461" w:type="pct"/>
            <w:noWrap/>
            <w:vAlign w:val="center"/>
            <w:hideMark/>
          </w:tcPr>
          <w:p w14:paraId="624881C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453AD202"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2C67B3C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216999FD"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Nitrosococcaceae</w:t>
            </w:r>
          </w:p>
        </w:tc>
        <w:tc>
          <w:tcPr>
            <w:tcW w:w="1039" w:type="pct"/>
            <w:noWrap/>
            <w:vAlign w:val="center"/>
            <w:hideMark/>
          </w:tcPr>
          <w:p w14:paraId="6B454291"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wb1-P19</w:t>
            </w:r>
          </w:p>
        </w:tc>
        <w:tc>
          <w:tcPr>
            <w:tcW w:w="711" w:type="pct"/>
            <w:noWrap/>
            <w:vAlign w:val="center"/>
            <w:hideMark/>
          </w:tcPr>
          <w:p w14:paraId="5B17B5B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1.56E-05</w:t>
            </w:r>
          </w:p>
        </w:tc>
        <w:tc>
          <w:tcPr>
            <w:tcW w:w="711" w:type="pct"/>
            <w:noWrap/>
            <w:vAlign w:val="center"/>
            <w:hideMark/>
          </w:tcPr>
          <w:p w14:paraId="37A28C2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461" w:type="pct"/>
            <w:noWrap/>
            <w:vAlign w:val="center"/>
            <w:hideMark/>
          </w:tcPr>
          <w:p w14:paraId="71E6FB12"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68A73A4B"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C9762E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56BB13E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WD260 fa</w:t>
            </w:r>
          </w:p>
        </w:tc>
        <w:tc>
          <w:tcPr>
            <w:tcW w:w="1039" w:type="pct"/>
            <w:noWrap/>
            <w:vAlign w:val="center"/>
            <w:hideMark/>
          </w:tcPr>
          <w:p w14:paraId="61F6B39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WD260 ge</w:t>
            </w:r>
          </w:p>
        </w:tc>
        <w:tc>
          <w:tcPr>
            <w:tcW w:w="711" w:type="pct"/>
            <w:noWrap/>
            <w:vAlign w:val="center"/>
            <w:hideMark/>
          </w:tcPr>
          <w:p w14:paraId="5055B18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5.56E-04</w:t>
            </w:r>
          </w:p>
        </w:tc>
        <w:tc>
          <w:tcPr>
            <w:tcW w:w="711" w:type="pct"/>
            <w:noWrap/>
            <w:vAlign w:val="center"/>
            <w:hideMark/>
          </w:tcPr>
          <w:p w14:paraId="02886EE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1.23E-04</w:t>
            </w:r>
          </w:p>
        </w:tc>
        <w:tc>
          <w:tcPr>
            <w:tcW w:w="461" w:type="pct"/>
            <w:noWrap/>
            <w:vAlign w:val="center"/>
            <w:hideMark/>
          </w:tcPr>
          <w:p w14:paraId="47141645"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6.60E-03</w:t>
            </w:r>
          </w:p>
        </w:tc>
      </w:tr>
      <w:tr w:rsidR="00DA6475" w:rsidRPr="00435B6B" w14:paraId="519E0A5E"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72744F4C"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093" w:type="pct"/>
            <w:noWrap/>
            <w:vAlign w:val="center"/>
            <w:hideMark/>
          </w:tcPr>
          <w:p w14:paraId="731300B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Xanthomonadaceae</w:t>
            </w:r>
          </w:p>
        </w:tc>
        <w:tc>
          <w:tcPr>
            <w:tcW w:w="1039" w:type="pct"/>
            <w:noWrap/>
            <w:vAlign w:val="center"/>
            <w:hideMark/>
          </w:tcPr>
          <w:p w14:paraId="3B0F016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Xanthomonas</w:t>
            </w:r>
          </w:p>
        </w:tc>
        <w:tc>
          <w:tcPr>
            <w:tcW w:w="711" w:type="pct"/>
            <w:noWrap/>
            <w:vAlign w:val="center"/>
            <w:hideMark/>
          </w:tcPr>
          <w:p w14:paraId="49B5008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1.78E-05</w:t>
            </w:r>
          </w:p>
        </w:tc>
        <w:tc>
          <w:tcPr>
            <w:tcW w:w="711" w:type="pct"/>
            <w:noWrap/>
            <w:vAlign w:val="center"/>
            <w:hideMark/>
          </w:tcPr>
          <w:p w14:paraId="3FE1A1B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4.67E-04</w:t>
            </w:r>
          </w:p>
        </w:tc>
        <w:tc>
          <w:tcPr>
            <w:tcW w:w="461" w:type="pct"/>
            <w:noWrap/>
            <w:vAlign w:val="center"/>
            <w:hideMark/>
          </w:tcPr>
          <w:p w14:paraId="4E05DA8C"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2.65E-02</w:t>
            </w:r>
          </w:p>
        </w:tc>
      </w:tr>
      <w:tr w:rsidR="00DA6475" w:rsidRPr="00435B6B" w14:paraId="32781053"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700AC5D"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RCP2-54</w:t>
            </w:r>
          </w:p>
        </w:tc>
        <w:tc>
          <w:tcPr>
            <w:tcW w:w="1093" w:type="pct"/>
            <w:noWrap/>
            <w:vAlign w:val="center"/>
            <w:hideMark/>
          </w:tcPr>
          <w:p w14:paraId="2FE13B10"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RCP2-54 fa</w:t>
            </w:r>
          </w:p>
        </w:tc>
        <w:tc>
          <w:tcPr>
            <w:tcW w:w="1039" w:type="pct"/>
            <w:noWrap/>
            <w:vAlign w:val="center"/>
            <w:hideMark/>
          </w:tcPr>
          <w:p w14:paraId="6EA38F07"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RCP2-54 ge</w:t>
            </w:r>
          </w:p>
        </w:tc>
        <w:tc>
          <w:tcPr>
            <w:tcW w:w="711" w:type="pct"/>
            <w:noWrap/>
            <w:vAlign w:val="center"/>
            <w:hideMark/>
          </w:tcPr>
          <w:p w14:paraId="13B304EB"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5.60E-04</w:t>
            </w:r>
          </w:p>
        </w:tc>
        <w:tc>
          <w:tcPr>
            <w:tcW w:w="711" w:type="pct"/>
            <w:noWrap/>
            <w:vAlign w:val="center"/>
            <w:hideMark/>
          </w:tcPr>
          <w:p w14:paraId="55D06B2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1.04E-04</w:t>
            </w:r>
          </w:p>
        </w:tc>
        <w:tc>
          <w:tcPr>
            <w:tcW w:w="461" w:type="pct"/>
            <w:noWrap/>
            <w:vAlign w:val="center"/>
            <w:hideMark/>
          </w:tcPr>
          <w:p w14:paraId="37AAE74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6.65E-03</w:t>
            </w:r>
          </w:p>
        </w:tc>
      </w:tr>
      <w:tr w:rsidR="00DA6475" w:rsidRPr="00435B6B" w14:paraId="4D0F7AAD"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4316FF1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1093" w:type="pct"/>
            <w:noWrap/>
            <w:vAlign w:val="center"/>
            <w:hideMark/>
          </w:tcPr>
          <w:p w14:paraId="6445055F"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Opitutaceae</w:t>
            </w:r>
          </w:p>
        </w:tc>
        <w:tc>
          <w:tcPr>
            <w:tcW w:w="1039" w:type="pct"/>
            <w:noWrap/>
            <w:vAlign w:val="center"/>
            <w:hideMark/>
          </w:tcPr>
          <w:p w14:paraId="46EBFC8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Lacunisphaera</w:t>
            </w:r>
          </w:p>
        </w:tc>
        <w:tc>
          <w:tcPr>
            <w:tcW w:w="711" w:type="pct"/>
            <w:noWrap/>
            <w:vAlign w:val="center"/>
            <w:hideMark/>
          </w:tcPr>
          <w:p w14:paraId="6644B4C4"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7.16E-04</w:t>
            </w:r>
          </w:p>
        </w:tc>
        <w:tc>
          <w:tcPr>
            <w:tcW w:w="711" w:type="pct"/>
            <w:noWrap/>
            <w:vAlign w:val="center"/>
            <w:hideMark/>
          </w:tcPr>
          <w:p w14:paraId="74D7B39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4.73E-05</w:t>
            </w:r>
          </w:p>
        </w:tc>
        <w:tc>
          <w:tcPr>
            <w:tcW w:w="461" w:type="pct"/>
            <w:noWrap/>
            <w:vAlign w:val="center"/>
            <w:hideMark/>
          </w:tcPr>
          <w:p w14:paraId="1211B9BE"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1.89E-02</w:t>
            </w:r>
          </w:p>
        </w:tc>
      </w:tr>
      <w:tr w:rsidR="00DA6475" w:rsidRPr="00435B6B" w14:paraId="2FDCA312" w14:textId="77777777" w:rsidTr="007D660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65E211B7"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1093" w:type="pct"/>
            <w:noWrap/>
            <w:vAlign w:val="center"/>
            <w:hideMark/>
          </w:tcPr>
          <w:p w14:paraId="2CCE95A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 fa</w:t>
            </w:r>
          </w:p>
        </w:tc>
        <w:tc>
          <w:tcPr>
            <w:tcW w:w="1039" w:type="pct"/>
            <w:noWrap/>
            <w:vAlign w:val="center"/>
            <w:hideMark/>
          </w:tcPr>
          <w:p w14:paraId="0C4F673C"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 ge</w:t>
            </w:r>
          </w:p>
        </w:tc>
        <w:tc>
          <w:tcPr>
            <w:tcW w:w="711" w:type="pct"/>
            <w:noWrap/>
            <w:vAlign w:val="center"/>
            <w:hideMark/>
          </w:tcPr>
          <w:p w14:paraId="5D38142E"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711" w:type="pct"/>
            <w:noWrap/>
            <w:vAlign w:val="center"/>
            <w:hideMark/>
          </w:tcPr>
          <w:p w14:paraId="4B6B0911"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3.99E-05</w:t>
            </w:r>
          </w:p>
        </w:tc>
        <w:tc>
          <w:tcPr>
            <w:tcW w:w="461" w:type="pct"/>
            <w:noWrap/>
            <w:vAlign w:val="center"/>
            <w:hideMark/>
          </w:tcPr>
          <w:p w14:paraId="6447C1A4"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3.08E-02</w:t>
            </w:r>
          </w:p>
        </w:tc>
      </w:tr>
      <w:tr w:rsidR="00DA6475" w:rsidRPr="00435B6B" w14:paraId="6E67B6F6" w14:textId="77777777" w:rsidTr="007D6607">
        <w:trPr>
          <w:trHeight w:val="300"/>
          <w:jc w:val="center"/>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14:paraId="3E68B1FF"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1093" w:type="pct"/>
            <w:noWrap/>
            <w:vAlign w:val="center"/>
            <w:hideMark/>
          </w:tcPr>
          <w:p w14:paraId="51814FEA"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S-BQ2-57 soil</w:t>
            </w:r>
          </w:p>
          <w:p w14:paraId="68E39A6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group fa</w:t>
            </w:r>
          </w:p>
        </w:tc>
        <w:tc>
          <w:tcPr>
            <w:tcW w:w="1039" w:type="pct"/>
            <w:noWrap/>
            <w:vAlign w:val="center"/>
            <w:hideMark/>
          </w:tcPr>
          <w:p w14:paraId="7EA72573"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S-BQ2-57 soil group ge</w:t>
            </w:r>
          </w:p>
        </w:tc>
        <w:tc>
          <w:tcPr>
            <w:tcW w:w="711" w:type="pct"/>
            <w:noWrap/>
            <w:vAlign w:val="center"/>
            <w:hideMark/>
          </w:tcPr>
          <w:p w14:paraId="6D54AA48"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2.09E-05</w:t>
            </w:r>
          </w:p>
        </w:tc>
        <w:tc>
          <w:tcPr>
            <w:tcW w:w="711" w:type="pct"/>
            <w:noWrap/>
            <w:vAlign w:val="center"/>
            <w:hideMark/>
          </w:tcPr>
          <w:p w14:paraId="64156F96"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3.11E-07</w:t>
            </w:r>
          </w:p>
        </w:tc>
        <w:tc>
          <w:tcPr>
            <w:tcW w:w="461" w:type="pct"/>
            <w:noWrap/>
            <w:vAlign w:val="center"/>
            <w:hideMark/>
          </w:tcPr>
          <w:p w14:paraId="2566A8D5" w14:textId="77777777" w:rsidR="00DA6475" w:rsidRPr="009819CE" w:rsidRDefault="00DA6475" w:rsidP="00DA647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1.62E-02</w:t>
            </w:r>
          </w:p>
        </w:tc>
      </w:tr>
    </w:tbl>
    <w:p w14:paraId="1BE2F56E" w14:textId="77777777" w:rsidR="00DA6475" w:rsidRPr="009819CE" w:rsidRDefault="00DA6475" w:rsidP="00DA6475">
      <w:pPr>
        <w:spacing w:before="0" w:after="160"/>
        <w:rPr>
          <w:rFonts w:eastAsia="Calibri" w:cstheme="minorBidi"/>
          <w:szCs w:val="22"/>
        </w:rPr>
      </w:pPr>
    </w:p>
    <w:p w14:paraId="6CEE2C63" w14:textId="77777777" w:rsidR="00DA6475" w:rsidRPr="009819CE" w:rsidRDefault="00DA6475" w:rsidP="00DA6475">
      <w:pPr>
        <w:spacing w:before="0" w:after="160"/>
        <w:rPr>
          <w:rFonts w:eastAsia="Calibri" w:cstheme="minorBidi"/>
        </w:rPr>
      </w:pPr>
    </w:p>
    <w:p w14:paraId="0829D159" w14:textId="77777777" w:rsidR="00DA6475" w:rsidRPr="009819CE" w:rsidRDefault="00DA6475" w:rsidP="00DA6475">
      <w:pPr>
        <w:spacing w:before="0" w:after="160"/>
        <w:rPr>
          <w:rFonts w:eastAsia="Calibri" w:cstheme="minorBidi"/>
        </w:rPr>
        <w:sectPr w:rsidR="00DA6475" w:rsidRPr="009819CE" w:rsidSect="003A7A28">
          <w:pgSz w:w="16838" w:h="11906" w:orient="landscape" w:code="9"/>
          <w:pgMar w:top="1440" w:right="1440" w:bottom="1440" w:left="1440" w:header="708" w:footer="708" w:gutter="0"/>
          <w:cols w:space="708"/>
          <w:docGrid w:linePitch="360"/>
        </w:sectPr>
      </w:pPr>
    </w:p>
    <w:p w14:paraId="4750EEB7" w14:textId="3AFC51BE" w:rsidR="00DA6475" w:rsidRPr="009819CE" w:rsidRDefault="009E22E9" w:rsidP="009E22E9">
      <w:pPr>
        <w:pStyle w:val="Caption"/>
        <w:rPr>
          <w:rFonts w:asciiTheme="minorBidi" w:hAnsiTheme="minorBidi" w:cstheme="minorBidi"/>
          <w:bCs/>
        </w:rPr>
      </w:pPr>
      <w:bookmarkStart w:id="798" w:name="_Ref157965428"/>
      <w:bookmarkStart w:id="799" w:name="_Toc204106776"/>
      <w:r w:rsidRPr="009819CE">
        <w:rPr>
          <w:rFonts w:asciiTheme="minorBidi" w:hAnsiTheme="minorBidi" w:cstheme="minorBidi"/>
          <w:b/>
          <w:bCs/>
        </w:rPr>
        <w:t xml:space="preserve">Table S3. </w:t>
      </w:r>
      <w:r w:rsidRPr="009819CE">
        <w:rPr>
          <w:rFonts w:asciiTheme="minorBidi" w:hAnsiTheme="minorBidi" w:cstheme="minorBidi"/>
          <w:b/>
          <w:bCs/>
        </w:rPr>
        <w:fldChar w:fldCharType="begin"/>
      </w:r>
      <w:r w:rsidRPr="009819CE">
        <w:rPr>
          <w:rFonts w:asciiTheme="minorBidi" w:hAnsiTheme="minorBidi" w:cstheme="minorBidi"/>
          <w:b/>
          <w:bCs/>
        </w:rPr>
        <w:instrText xml:space="preserve"> SEQ Table_S3. \* ARABIC </w:instrText>
      </w:r>
      <w:r w:rsidRPr="009819CE">
        <w:rPr>
          <w:rFonts w:asciiTheme="minorBidi" w:hAnsiTheme="minorBidi" w:cstheme="minorBidi"/>
          <w:b/>
          <w:bCs/>
        </w:rPr>
        <w:fldChar w:fldCharType="separate"/>
      </w:r>
      <w:r w:rsidR="008549FC">
        <w:rPr>
          <w:rFonts w:asciiTheme="minorBidi" w:hAnsiTheme="minorBidi" w:cstheme="minorBidi"/>
          <w:b/>
          <w:bCs/>
          <w:noProof/>
        </w:rPr>
        <w:t>4</w:t>
      </w:r>
      <w:r w:rsidRPr="009819CE">
        <w:rPr>
          <w:rFonts w:asciiTheme="minorBidi" w:hAnsiTheme="minorBidi" w:cstheme="minorBidi"/>
          <w:b/>
          <w:bCs/>
        </w:rPr>
        <w:fldChar w:fldCharType="end"/>
      </w:r>
      <w:bookmarkEnd w:id="798"/>
      <w:r w:rsidRPr="009819CE">
        <w:rPr>
          <w:rFonts w:asciiTheme="minorBidi" w:hAnsiTheme="minorBidi" w:cstheme="minorBidi"/>
        </w:rPr>
        <w:t xml:space="preserve"> </w:t>
      </w:r>
      <w:r w:rsidR="00DA6475" w:rsidRPr="009819CE">
        <w:rPr>
          <w:rFonts w:asciiTheme="minorBidi" w:hAnsiTheme="minorBidi" w:cstheme="minorBidi"/>
          <w:bCs/>
        </w:rPr>
        <w:t xml:space="preserve">List of significantly different genera in the gut microbiome of </w:t>
      </w:r>
      <w:r w:rsidR="00C31E47" w:rsidRPr="009819CE">
        <w:rPr>
          <w:rFonts w:asciiTheme="minorBidi" w:hAnsiTheme="minorBidi" w:cstheme="minorBidi"/>
          <w:bCs/>
          <w:i/>
        </w:rPr>
        <w:t>Nephrops</w:t>
      </w:r>
      <w:r w:rsidR="00DA6475" w:rsidRPr="009819CE">
        <w:rPr>
          <w:rFonts w:asciiTheme="minorBidi" w:hAnsiTheme="minorBidi" w:cstheme="minorBidi"/>
          <w:bCs/>
        </w:rPr>
        <w:t xml:space="preserve"> norvegicus between '</w:t>
      </w:r>
      <w:r w:rsidR="009D03F4" w:rsidRPr="009819CE">
        <w:rPr>
          <w:rFonts w:asciiTheme="minorBidi" w:hAnsiTheme="minorBidi" w:cstheme="minorBidi"/>
          <w:bCs/>
          <w:i/>
        </w:rPr>
        <w:t>Hematodinium</w:t>
      </w:r>
      <w:r w:rsidR="00DA6475" w:rsidRPr="009819CE">
        <w:rPr>
          <w:rFonts w:asciiTheme="minorBidi" w:hAnsiTheme="minorBidi" w:cstheme="minorBidi"/>
          <w:bCs/>
        </w:rPr>
        <w:t xml:space="preserve">-free' (Negative by BCM, PM, PCR, and Histology; n=22) and </w:t>
      </w:r>
      <w:r w:rsidR="009D03F4" w:rsidRPr="009819CE">
        <w:rPr>
          <w:rFonts w:asciiTheme="minorBidi" w:hAnsiTheme="minorBidi" w:cstheme="minorBidi"/>
          <w:bCs/>
          <w:i/>
        </w:rPr>
        <w:t>Hematodinium</w:t>
      </w:r>
      <w:r w:rsidR="00DA6475" w:rsidRPr="009819CE">
        <w:rPr>
          <w:rFonts w:asciiTheme="minorBidi" w:hAnsiTheme="minorBidi" w:cstheme="minorBidi"/>
          <w:bCs/>
        </w:rPr>
        <w:t xml:space="preserve"> positive (Positive by BCM, Pleopod Stages 3 and 4; n=22) (Wilcox rank-sum, p &lt; 0.05).</w:t>
      </w:r>
      <w:bookmarkEnd w:id="799"/>
    </w:p>
    <w:p w14:paraId="06E2C2D8" w14:textId="77777777" w:rsidR="00DA6475" w:rsidRPr="009819CE" w:rsidRDefault="00DA6475" w:rsidP="00DA6475">
      <w:pPr>
        <w:spacing w:before="0" w:after="160"/>
        <w:rPr>
          <w:rFonts w:eastAsia="Calibri" w:cstheme="minorBidi"/>
          <w:szCs w:val="22"/>
        </w:rPr>
      </w:pPr>
    </w:p>
    <w:tbl>
      <w:tblPr>
        <w:tblStyle w:val="PlainTable23"/>
        <w:tblW w:w="5000" w:type="pct"/>
        <w:tblLook w:val="04A0" w:firstRow="1" w:lastRow="0" w:firstColumn="1" w:lastColumn="0" w:noHBand="0" w:noVBand="1"/>
      </w:tblPr>
      <w:tblGrid>
        <w:gridCol w:w="2642"/>
        <w:gridCol w:w="3270"/>
        <w:gridCol w:w="2442"/>
        <w:gridCol w:w="1915"/>
        <w:gridCol w:w="1700"/>
        <w:gridCol w:w="1989"/>
      </w:tblGrid>
      <w:tr w:rsidR="00DA6475" w:rsidRPr="00435B6B" w14:paraId="1D1E3CC0" w14:textId="77777777" w:rsidTr="007D660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4" w:type="pct"/>
            <w:gridSpan w:val="3"/>
            <w:noWrap/>
          </w:tcPr>
          <w:p w14:paraId="44597C36" w14:textId="77777777" w:rsidR="00DA6475" w:rsidRPr="009819CE" w:rsidRDefault="00DA6475" w:rsidP="00DA6475">
            <w:pPr>
              <w:spacing w:before="0" w:after="0"/>
              <w:jc w:val="center"/>
              <w:rPr>
                <w:rFonts w:eastAsia="Calibri" w:cstheme="minorBidi"/>
                <w:b w:val="0"/>
                <w:bCs w:val="0"/>
                <w:color w:val="000000"/>
                <w:sz w:val="22"/>
                <w:szCs w:val="22"/>
                <w:lang w:eastAsia="en-US"/>
              </w:rPr>
            </w:pPr>
            <w:r w:rsidRPr="009819CE">
              <w:rPr>
                <w:rFonts w:eastAsia="Calibri" w:cstheme="minorBidi"/>
                <w:color w:val="000000"/>
                <w:sz w:val="22"/>
                <w:szCs w:val="22"/>
                <w:lang w:eastAsia="en-US"/>
              </w:rPr>
              <w:t>Taxonomy</w:t>
            </w:r>
          </w:p>
        </w:tc>
        <w:tc>
          <w:tcPr>
            <w:tcW w:w="1269" w:type="pct"/>
            <w:gridSpan w:val="2"/>
            <w:noWrap/>
          </w:tcPr>
          <w:p w14:paraId="37FEEFBF" w14:textId="77777777" w:rsidR="00DA6475" w:rsidRPr="009819CE" w:rsidRDefault="00DA6475" w:rsidP="00DA6475">
            <w:pPr>
              <w:spacing w:before="0" w:after="0"/>
              <w:jc w:val="center"/>
              <w:cnfStyle w:val="100000000000" w:firstRow="1" w:lastRow="0" w:firstColumn="0" w:lastColumn="0" w:oddVBand="0" w:evenVBand="0" w:oddHBand="0" w:evenHBand="0" w:firstRowFirstColumn="0" w:firstRowLastColumn="0" w:lastRowFirstColumn="0" w:lastRowLastColumn="0"/>
              <w:rPr>
                <w:rFonts w:eastAsia="Calibri" w:cstheme="minorBidi"/>
                <w:b w:val="0"/>
                <w:bCs w:val="0"/>
                <w:sz w:val="22"/>
                <w:szCs w:val="22"/>
                <w:lang w:eastAsia="en-US"/>
              </w:rPr>
            </w:pPr>
            <w:r w:rsidRPr="009819CE">
              <w:rPr>
                <w:rFonts w:eastAsia="Calibri" w:cstheme="minorBidi"/>
                <w:sz w:val="22"/>
                <w:szCs w:val="22"/>
                <w:lang w:eastAsia="en-US"/>
              </w:rPr>
              <w:t>Log 10 mean relative abundance</w:t>
            </w:r>
          </w:p>
        </w:tc>
        <w:tc>
          <w:tcPr>
            <w:tcW w:w="747" w:type="pct"/>
            <w:vMerge w:val="restart"/>
            <w:noWrap/>
          </w:tcPr>
          <w:p w14:paraId="4A403AD8" w14:textId="77777777" w:rsidR="00DA6475" w:rsidRPr="009819CE" w:rsidRDefault="00DA6475" w:rsidP="00DA6475">
            <w:pPr>
              <w:spacing w:before="0" w:after="160"/>
              <w:jc w:val="center"/>
              <w:cnfStyle w:val="100000000000" w:firstRow="1" w:lastRow="0" w:firstColumn="0" w:lastColumn="0" w:oddVBand="0" w:evenVBand="0" w:oddHBand="0" w:evenHBand="0" w:firstRowFirstColumn="0" w:firstRowLastColumn="0" w:lastRowFirstColumn="0" w:lastRowLastColumn="0"/>
              <w:rPr>
                <w:rFonts w:eastAsia="Calibri" w:cstheme="minorBidi"/>
                <w:b w:val="0"/>
                <w:bCs w:val="0"/>
                <w:sz w:val="22"/>
                <w:szCs w:val="22"/>
                <w:lang w:eastAsia="en-US"/>
              </w:rPr>
            </w:pPr>
            <w:r w:rsidRPr="009819CE">
              <w:rPr>
                <w:rFonts w:eastAsia="Calibri" w:cstheme="minorBidi"/>
                <w:sz w:val="22"/>
                <w:szCs w:val="22"/>
                <w:lang w:eastAsia="en-US"/>
              </w:rPr>
              <w:t>Adjusted p-value</w:t>
            </w:r>
          </w:p>
        </w:tc>
      </w:tr>
      <w:tr w:rsidR="00DA6475" w:rsidRPr="00435B6B" w14:paraId="52C563CE"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tcPr>
          <w:p w14:paraId="2C0D41C8" w14:textId="77777777" w:rsidR="00DA6475" w:rsidRPr="009819CE" w:rsidRDefault="00DA6475" w:rsidP="00DA6475">
            <w:pPr>
              <w:spacing w:before="0" w:after="0"/>
              <w:jc w:val="center"/>
              <w:rPr>
                <w:rFonts w:eastAsia="Calibri" w:cstheme="minorBidi"/>
                <w:b w:val="0"/>
                <w:bCs w:val="0"/>
                <w:i/>
                <w:iCs/>
                <w:color w:val="000000"/>
                <w:sz w:val="22"/>
                <w:szCs w:val="22"/>
                <w:lang w:eastAsia="en-US"/>
              </w:rPr>
            </w:pPr>
            <w:r w:rsidRPr="009819CE">
              <w:rPr>
                <w:rFonts w:eastAsia="Calibri" w:cstheme="minorBidi"/>
                <w:color w:val="000000"/>
                <w:sz w:val="22"/>
                <w:szCs w:val="22"/>
                <w:lang w:eastAsia="en-US"/>
              </w:rPr>
              <w:t>Phylum</w:t>
            </w:r>
          </w:p>
        </w:tc>
        <w:tc>
          <w:tcPr>
            <w:tcW w:w="1120" w:type="pct"/>
            <w:noWrap/>
          </w:tcPr>
          <w:p w14:paraId="13A159B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i/>
                <w:iCs/>
                <w:color w:val="000000"/>
                <w:sz w:val="22"/>
                <w:szCs w:val="22"/>
                <w:lang w:eastAsia="en-US"/>
              </w:rPr>
            </w:pPr>
            <w:r w:rsidRPr="009819CE">
              <w:rPr>
                <w:rFonts w:eastAsia="Calibri" w:cstheme="minorBidi"/>
                <w:b/>
                <w:bCs/>
                <w:color w:val="000000"/>
                <w:sz w:val="22"/>
                <w:szCs w:val="22"/>
                <w:lang w:eastAsia="en-US"/>
              </w:rPr>
              <w:t>Family</w:t>
            </w:r>
          </w:p>
        </w:tc>
        <w:tc>
          <w:tcPr>
            <w:tcW w:w="818" w:type="pct"/>
            <w:noWrap/>
          </w:tcPr>
          <w:p w14:paraId="2FFAB272"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color w:val="000000"/>
                <w:sz w:val="22"/>
                <w:szCs w:val="22"/>
                <w:lang w:eastAsia="en-US"/>
              </w:rPr>
              <w:t>Genus</w:t>
            </w:r>
          </w:p>
        </w:tc>
        <w:tc>
          <w:tcPr>
            <w:tcW w:w="672" w:type="pct"/>
            <w:noWrap/>
          </w:tcPr>
          <w:p w14:paraId="3F9C7C68"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sz w:val="22"/>
                <w:szCs w:val="22"/>
                <w:lang w:eastAsia="en-US"/>
              </w:rPr>
              <w:t>Negative</w:t>
            </w:r>
          </w:p>
        </w:tc>
        <w:tc>
          <w:tcPr>
            <w:tcW w:w="597" w:type="pct"/>
            <w:noWrap/>
          </w:tcPr>
          <w:p w14:paraId="715D7613" w14:textId="77777777" w:rsidR="00DA6475" w:rsidRPr="009819CE" w:rsidRDefault="00DA6475" w:rsidP="00DA647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r w:rsidRPr="009819CE">
              <w:rPr>
                <w:rFonts w:eastAsia="Calibri" w:cstheme="minorBidi"/>
                <w:b/>
                <w:bCs/>
                <w:sz w:val="22"/>
                <w:szCs w:val="22"/>
                <w:lang w:eastAsia="en-US"/>
              </w:rPr>
              <w:t>Positive</w:t>
            </w:r>
          </w:p>
        </w:tc>
        <w:tc>
          <w:tcPr>
            <w:tcW w:w="747" w:type="pct"/>
            <w:vMerge/>
            <w:noWrap/>
          </w:tcPr>
          <w:p w14:paraId="29879E01" w14:textId="77777777" w:rsidR="00DA6475" w:rsidRPr="00435B6B"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b/>
                <w:bCs/>
                <w:color w:val="000000"/>
                <w:sz w:val="22"/>
                <w:szCs w:val="22"/>
                <w:lang w:eastAsia="en-US"/>
              </w:rPr>
            </w:pPr>
          </w:p>
        </w:tc>
      </w:tr>
      <w:tr w:rsidR="00DA6475" w:rsidRPr="00435B6B" w14:paraId="1B498B82"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992AEB3"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Acidobacteriota</w:t>
            </w:r>
          </w:p>
        </w:tc>
        <w:tc>
          <w:tcPr>
            <w:tcW w:w="1120" w:type="pct"/>
            <w:noWrap/>
            <w:hideMark/>
          </w:tcPr>
          <w:p w14:paraId="0B44F33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Vicinamibacterales unclassified</w:t>
            </w:r>
          </w:p>
        </w:tc>
        <w:tc>
          <w:tcPr>
            <w:tcW w:w="818" w:type="pct"/>
            <w:noWrap/>
            <w:hideMark/>
          </w:tcPr>
          <w:p w14:paraId="6F32D43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Vicinamibacterales</w:t>
            </w:r>
          </w:p>
          <w:p w14:paraId="0C039F38"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1FFD00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4.21E-06</w:t>
            </w:r>
          </w:p>
        </w:tc>
        <w:tc>
          <w:tcPr>
            <w:tcW w:w="597" w:type="pct"/>
            <w:noWrap/>
            <w:hideMark/>
          </w:tcPr>
          <w:p w14:paraId="4DDC8E9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2.93E-05</w:t>
            </w:r>
          </w:p>
        </w:tc>
        <w:tc>
          <w:tcPr>
            <w:tcW w:w="747" w:type="pct"/>
            <w:noWrap/>
            <w:hideMark/>
          </w:tcPr>
          <w:p w14:paraId="2156D58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1.45E-02</w:t>
            </w:r>
          </w:p>
        </w:tc>
      </w:tr>
      <w:tr w:rsidR="00DA6475" w:rsidRPr="00435B6B" w14:paraId="138486DA"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F79C54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2D931B5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Bifidobacteriaceae</w:t>
            </w:r>
          </w:p>
        </w:tc>
        <w:tc>
          <w:tcPr>
            <w:tcW w:w="818" w:type="pct"/>
            <w:noWrap/>
            <w:hideMark/>
          </w:tcPr>
          <w:p w14:paraId="7F8C1ED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Bifidobacterium</w:t>
            </w:r>
          </w:p>
        </w:tc>
        <w:tc>
          <w:tcPr>
            <w:tcW w:w="672" w:type="pct"/>
            <w:noWrap/>
            <w:hideMark/>
          </w:tcPr>
          <w:p w14:paraId="3D87CFD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3.68E-04</w:t>
            </w:r>
          </w:p>
        </w:tc>
        <w:tc>
          <w:tcPr>
            <w:tcW w:w="597" w:type="pct"/>
            <w:noWrap/>
            <w:hideMark/>
          </w:tcPr>
          <w:p w14:paraId="1E3DF5C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4.04E-04</w:t>
            </w:r>
          </w:p>
        </w:tc>
        <w:tc>
          <w:tcPr>
            <w:tcW w:w="747" w:type="pct"/>
            <w:noWrap/>
            <w:hideMark/>
          </w:tcPr>
          <w:p w14:paraId="4A0A986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2.13E-02</w:t>
            </w:r>
          </w:p>
        </w:tc>
      </w:tr>
      <w:tr w:rsidR="00DA6475" w:rsidRPr="00435B6B" w14:paraId="3B45AE76"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E3602D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5918651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Actinomarinaceae</w:t>
            </w:r>
          </w:p>
        </w:tc>
        <w:tc>
          <w:tcPr>
            <w:tcW w:w="818" w:type="pct"/>
            <w:noWrap/>
            <w:hideMark/>
          </w:tcPr>
          <w:p w14:paraId="17EB4C3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Candidatus</w:t>
            </w:r>
          </w:p>
          <w:p w14:paraId="38D8D06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Actinomarina</w:t>
            </w:r>
          </w:p>
        </w:tc>
        <w:tc>
          <w:tcPr>
            <w:tcW w:w="672" w:type="pct"/>
            <w:noWrap/>
            <w:hideMark/>
          </w:tcPr>
          <w:p w14:paraId="70BFA5C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1.48E-06</w:t>
            </w:r>
          </w:p>
        </w:tc>
        <w:tc>
          <w:tcPr>
            <w:tcW w:w="597" w:type="pct"/>
            <w:noWrap/>
            <w:hideMark/>
          </w:tcPr>
          <w:p w14:paraId="0347C38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1.98E-05</w:t>
            </w:r>
          </w:p>
        </w:tc>
        <w:tc>
          <w:tcPr>
            <w:tcW w:w="747" w:type="pct"/>
            <w:noWrap/>
            <w:hideMark/>
          </w:tcPr>
          <w:p w14:paraId="7323B0E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1.82E-02</w:t>
            </w:r>
          </w:p>
        </w:tc>
      </w:tr>
      <w:tr w:rsidR="00DA6475" w:rsidRPr="00435B6B" w14:paraId="3AD21AD7"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B42C60C"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4BB4AAC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Solirubrobacteraceae</w:t>
            </w:r>
          </w:p>
        </w:tc>
        <w:tc>
          <w:tcPr>
            <w:tcW w:w="818" w:type="pct"/>
            <w:noWrap/>
            <w:hideMark/>
          </w:tcPr>
          <w:p w14:paraId="6D07734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Conexibacter</w:t>
            </w:r>
          </w:p>
        </w:tc>
        <w:tc>
          <w:tcPr>
            <w:tcW w:w="672" w:type="pct"/>
            <w:noWrap/>
            <w:hideMark/>
          </w:tcPr>
          <w:p w14:paraId="51DE110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1.09E-05</w:t>
            </w:r>
          </w:p>
        </w:tc>
        <w:tc>
          <w:tcPr>
            <w:tcW w:w="597" w:type="pct"/>
            <w:noWrap/>
            <w:hideMark/>
          </w:tcPr>
          <w:p w14:paraId="4F3F45C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6.06E-05</w:t>
            </w:r>
          </w:p>
        </w:tc>
        <w:tc>
          <w:tcPr>
            <w:tcW w:w="747" w:type="pct"/>
            <w:noWrap/>
            <w:hideMark/>
          </w:tcPr>
          <w:p w14:paraId="4964CB25"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1.95E-02</w:t>
            </w:r>
          </w:p>
        </w:tc>
      </w:tr>
      <w:tr w:rsidR="00DA6475" w:rsidRPr="00435B6B" w14:paraId="40A84314"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95C802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5CAC132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Corynebacteriaceae</w:t>
            </w:r>
          </w:p>
        </w:tc>
        <w:tc>
          <w:tcPr>
            <w:tcW w:w="818" w:type="pct"/>
            <w:noWrap/>
            <w:hideMark/>
          </w:tcPr>
          <w:p w14:paraId="5068B77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Corynebacterium</w:t>
            </w:r>
          </w:p>
        </w:tc>
        <w:tc>
          <w:tcPr>
            <w:tcW w:w="672" w:type="pct"/>
            <w:noWrap/>
            <w:hideMark/>
          </w:tcPr>
          <w:p w14:paraId="5C52E4F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4.12E-05</w:t>
            </w:r>
          </w:p>
        </w:tc>
        <w:tc>
          <w:tcPr>
            <w:tcW w:w="597" w:type="pct"/>
            <w:noWrap/>
            <w:hideMark/>
          </w:tcPr>
          <w:p w14:paraId="73277D7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3.03E-04</w:t>
            </w:r>
          </w:p>
        </w:tc>
        <w:tc>
          <w:tcPr>
            <w:tcW w:w="747" w:type="pct"/>
            <w:noWrap/>
            <w:hideMark/>
          </w:tcPr>
          <w:p w14:paraId="4D047FD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2.85E-02</w:t>
            </w:r>
          </w:p>
        </w:tc>
      </w:tr>
      <w:tr w:rsidR="00DA6475" w:rsidRPr="00435B6B" w14:paraId="207FBF7C"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2221B0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417491D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Propionibacteriaceae</w:t>
            </w:r>
          </w:p>
        </w:tc>
        <w:tc>
          <w:tcPr>
            <w:tcW w:w="818" w:type="pct"/>
            <w:noWrap/>
            <w:hideMark/>
          </w:tcPr>
          <w:p w14:paraId="300B05C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Cutibacterium</w:t>
            </w:r>
          </w:p>
        </w:tc>
        <w:tc>
          <w:tcPr>
            <w:tcW w:w="672" w:type="pct"/>
            <w:noWrap/>
            <w:hideMark/>
          </w:tcPr>
          <w:p w14:paraId="31EA3B2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5.99E-06</w:t>
            </w:r>
          </w:p>
        </w:tc>
        <w:tc>
          <w:tcPr>
            <w:tcW w:w="597" w:type="pct"/>
            <w:noWrap/>
            <w:hideMark/>
          </w:tcPr>
          <w:p w14:paraId="01EC0B0F"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3.93E-05</w:t>
            </w:r>
          </w:p>
        </w:tc>
        <w:tc>
          <w:tcPr>
            <w:tcW w:w="747" w:type="pct"/>
            <w:noWrap/>
            <w:hideMark/>
          </w:tcPr>
          <w:p w14:paraId="5770E14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2.76E-02</w:t>
            </w:r>
          </w:p>
        </w:tc>
      </w:tr>
      <w:tr w:rsidR="00DA6475" w:rsidRPr="00435B6B" w14:paraId="7FEB0AC6"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FE1BC3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71FF088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Nocardioidaceae</w:t>
            </w:r>
          </w:p>
        </w:tc>
        <w:tc>
          <w:tcPr>
            <w:tcW w:w="818" w:type="pct"/>
            <w:noWrap/>
            <w:hideMark/>
          </w:tcPr>
          <w:p w14:paraId="5FF664B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Marmoricola</w:t>
            </w:r>
          </w:p>
        </w:tc>
        <w:tc>
          <w:tcPr>
            <w:tcW w:w="672" w:type="pct"/>
            <w:noWrap/>
            <w:hideMark/>
          </w:tcPr>
          <w:p w14:paraId="0A82227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4.34E-06</w:t>
            </w:r>
          </w:p>
        </w:tc>
        <w:tc>
          <w:tcPr>
            <w:tcW w:w="597" w:type="pct"/>
            <w:noWrap/>
            <w:hideMark/>
          </w:tcPr>
          <w:p w14:paraId="3D6FDC6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2.04E-05</w:t>
            </w:r>
          </w:p>
        </w:tc>
        <w:tc>
          <w:tcPr>
            <w:tcW w:w="747" w:type="pct"/>
            <w:noWrap/>
            <w:hideMark/>
          </w:tcPr>
          <w:p w14:paraId="0766703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3.57E-02</w:t>
            </w:r>
          </w:p>
        </w:tc>
      </w:tr>
      <w:tr w:rsidR="00DA6475" w:rsidRPr="00435B6B" w14:paraId="317B3CEB"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7093B3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3832E0B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Micrococcaceae</w:t>
            </w:r>
          </w:p>
        </w:tc>
        <w:tc>
          <w:tcPr>
            <w:tcW w:w="818" w:type="pct"/>
            <w:noWrap/>
            <w:hideMark/>
          </w:tcPr>
          <w:p w14:paraId="12E2A31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Micrococcus</w:t>
            </w:r>
          </w:p>
        </w:tc>
        <w:tc>
          <w:tcPr>
            <w:tcW w:w="672" w:type="pct"/>
            <w:noWrap/>
            <w:hideMark/>
          </w:tcPr>
          <w:p w14:paraId="1B96A8E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7.92E-06</w:t>
            </w:r>
          </w:p>
        </w:tc>
        <w:tc>
          <w:tcPr>
            <w:tcW w:w="597" w:type="pct"/>
            <w:noWrap/>
            <w:hideMark/>
          </w:tcPr>
          <w:p w14:paraId="7DDB7F8F"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3.27E-05</w:t>
            </w:r>
          </w:p>
        </w:tc>
        <w:tc>
          <w:tcPr>
            <w:tcW w:w="747" w:type="pct"/>
            <w:noWrap/>
            <w:hideMark/>
          </w:tcPr>
          <w:p w14:paraId="68B98DA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3.75E-02</w:t>
            </w:r>
          </w:p>
        </w:tc>
      </w:tr>
      <w:tr w:rsidR="00DA6475" w:rsidRPr="00435B6B" w14:paraId="01FF2F59"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FDCDEA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3755CFD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OPB41 fa</w:t>
            </w:r>
          </w:p>
        </w:tc>
        <w:tc>
          <w:tcPr>
            <w:tcW w:w="818" w:type="pct"/>
            <w:noWrap/>
            <w:hideMark/>
          </w:tcPr>
          <w:p w14:paraId="7212F63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OPB41 ge</w:t>
            </w:r>
          </w:p>
        </w:tc>
        <w:tc>
          <w:tcPr>
            <w:tcW w:w="672" w:type="pct"/>
            <w:noWrap/>
            <w:hideMark/>
          </w:tcPr>
          <w:p w14:paraId="5C7BB18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6.29E-06</w:t>
            </w:r>
          </w:p>
        </w:tc>
        <w:tc>
          <w:tcPr>
            <w:tcW w:w="597" w:type="pct"/>
            <w:noWrap/>
            <w:hideMark/>
          </w:tcPr>
          <w:p w14:paraId="10559DD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4.66E-05</w:t>
            </w:r>
          </w:p>
        </w:tc>
        <w:tc>
          <w:tcPr>
            <w:tcW w:w="747" w:type="pct"/>
            <w:noWrap/>
            <w:hideMark/>
          </w:tcPr>
          <w:p w14:paraId="3F963F1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4.29E-02</w:t>
            </w:r>
          </w:p>
        </w:tc>
      </w:tr>
      <w:tr w:rsidR="00DA6475" w:rsidRPr="00435B6B" w14:paraId="3788A72D"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5C8229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59E358E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Propionibacteriaceae</w:t>
            </w:r>
          </w:p>
        </w:tc>
        <w:tc>
          <w:tcPr>
            <w:tcW w:w="818" w:type="pct"/>
            <w:noWrap/>
            <w:hideMark/>
          </w:tcPr>
          <w:p w14:paraId="01D6EEF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Propionibacteriaceae</w:t>
            </w:r>
          </w:p>
          <w:p w14:paraId="2D9B1B8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327CE08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7BBF09B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1.69E-05</w:t>
            </w:r>
          </w:p>
        </w:tc>
        <w:tc>
          <w:tcPr>
            <w:tcW w:w="747" w:type="pct"/>
            <w:noWrap/>
            <w:hideMark/>
          </w:tcPr>
          <w:p w14:paraId="6AE392E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4.62E-03</w:t>
            </w:r>
          </w:p>
        </w:tc>
      </w:tr>
      <w:tr w:rsidR="00DA6475" w:rsidRPr="00435B6B" w14:paraId="5E42EF8C"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08246C9"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70E253E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Micrococcaceae</w:t>
            </w:r>
          </w:p>
        </w:tc>
        <w:tc>
          <w:tcPr>
            <w:tcW w:w="818" w:type="pct"/>
            <w:noWrap/>
            <w:hideMark/>
          </w:tcPr>
          <w:p w14:paraId="35B9985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Pseudarthrobacter</w:t>
            </w:r>
          </w:p>
        </w:tc>
        <w:tc>
          <w:tcPr>
            <w:tcW w:w="672" w:type="pct"/>
            <w:noWrap/>
            <w:hideMark/>
          </w:tcPr>
          <w:p w14:paraId="2C15155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1.38E-05</w:t>
            </w:r>
          </w:p>
        </w:tc>
        <w:tc>
          <w:tcPr>
            <w:tcW w:w="597" w:type="pct"/>
            <w:noWrap/>
            <w:hideMark/>
          </w:tcPr>
          <w:p w14:paraId="3FE0BA7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1.40E-04</w:t>
            </w:r>
          </w:p>
        </w:tc>
        <w:tc>
          <w:tcPr>
            <w:tcW w:w="747" w:type="pct"/>
            <w:noWrap/>
            <w:hideMark/>
          </w:tcPr>
          <w:p w14:paraId="2B5E5DD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1.74E-02</w:t>
            </w:r>
          </w:p>
        </w:tc>
      </w:tr>
      <w:tr w:rsidR="00DA6475" w:rsidRPr="00435B6B" w14:paraId="13D3931D"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8ECC405"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Actinobacteriota</w:t>
            </w:r>
          </w:p>
        </w:tc>
        <w:tc>
          <w:tcPr>
            <w:tcW w:w="1120" w:type="pct"/>
            <w:noWrap/>
            <w:hideMark/>
          </w:tcPr>
          <w:p w14:paraId="3E28DED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Micrococcaceae</w:t>
            </w:r>
          </w:p>
        </w:tc>
        <w:tc>
          <w:tcPr>
            <w:tcW w:w="818" w:type="pct"/>
            <w:noWrap/>
            <w:hideMark/>
          </w:tcPr>
          <w:p w14:paraId="40F8BA1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Rothia</w:t>
            </w:r>
          </w:p>
        </w:tc>
        <w:tc>
          <w:tcPr>
            <w:tcW w:w="672" w:type="pct"/>
            <w:noWrap/>
            <w:hideMark/>
          </w:tcPr>
          <w:p w14:paraId="2107C6BF"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1.40E-05</w:t>
            </w:r>
          </w:p>
        </w:tc>
        <w:tc>
          <w:tcPr>
            <w:tcW w:w="597" w:type="pct"/>
            <w:noWrap/>
            <w:hideMark/>
          </w:tcPr>
          <w:p w14:paraId="42603E5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4.67E-05</w:t>
            </w:r>
          </w:p>
        </w:tc>
        <w:tc>
          <w:tcPr>
            <w:tcW w:w="747" w:type="pct"/>
            <w:noWrap/>
            <w:hideMark/>
          </w:tcPr>
          <w:p w14:paraId="0143745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2.85E-02</w:t>
            </w:r>
          </w:p>
        </w:tc>
      </w:tr>
      <w:tr w:rsidR="00DA6475" w:rsidRPr="00435B6B" w14:paraId="0B5659FD"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6BF810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6BC59F1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Rikenellaceae</w:t>
            </w:r>
          </w:p>
        </w:tc>
        <w:tc>
          <w:tcPr>
            <w:tcW w:w="818" w:type="pct"/>
            <w:noWrap/>
            <w:hideMark/>
          </w:tcPr>
          <w:p w14:paraId="1774A6F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Alistipes</w:t>
            </w:r>
          </w:p>
        </w:tc>
        <w:tc>
          <w:tcPr>
            <w:tcW w:w="672" w:type="pct"/>
            <w:noWrap/>
            <w:hideMark/>
          </w:tcPr>
          <w:p w14:paraId="713656B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9.66E-05</w:t>
            </w:r>
          </w:p>
        </w:tc>
        <w:tc>
          <w:tcPr>
            <w:tcW w:w="597" w:type="pct"/>
            <w:noWrap/>
            <w:hideMark/>
          </w:tcPr>
          <w:p w14:paraId="4CAA073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2.75E-04</w:t>
            </w:r>
          </w:p>
        </w:tc>
        <w:tc>
          <w:tcPr>
            <w:tcW w:w="747" w:type="pct"/>
            <w:noWrap/>
            <w:hideMark/>
          </w:tcPr>
          <w:p w14:paraId="31E3CDA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582BAECC"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AC7073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106CADB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Prevotellaceae</w:t>
            </w:r>
          </w:p>
        </w:tc>
        <w:tc>
          <w:tcPr>
            <w:tcW w:w="818" w:type="pct"/>
            <w:noWrap/>
            <w:hideMark/>
          </w:tcPr>
          <w:p w14:paraId="344FF13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Alloprevotella</w:t>
            </w:r>
          </w:p>
        </w:tc>
        <w:tc>
          <w:tcPr>
            <w:tcW w:w="672" w:type="pct"/>
            <w:noWrap/>
            <w:hideMark/>
          </w:tcPr>
          <w:p w14:paraId="79E567E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1.10E-05</w:t>
            </w:r>
          </w:p>
        </w:tc>
        <w:tc>
          <w:tcPr>
            <w:tcW w:w="597" w:type="pct"/>
            <w:noWrap/>
            <w:hideMark/>
          </w:tcPr>
          <w:p w14:paraId="70CFE71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9.06E-05</w:t>
            </w:r>
          </w:p>
        </w:tc>
        <w:tc>
          <w:tcPr>
            <w:tcW w:w="747" w:type="pct"/>
            <w:noWrap/>
            <w:hideMark/>
          </w:tcPr>
          <w:p w14:paraId="72E1B6B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2.11E-02</w:t>
            </w:r>
          </w:p>
        </w:tc>
      </w:tr>
      <w:tr w:rsidR="00DA6475" w:rsidRPr="00435B6B" w14:paraId="3266E3DB"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EDDAEF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398EE27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Bacteroidaceae</w:t>
            </w:r>
          </w:p>
        </w:tc>
        <w:tc>
          <w:tcPr>
            <w:tcW w:w="818" w:type="pct"/>
            <w:noWrap/>
            <w:hideMark/>
          </w:tcPr>
          <w:p w14:paraId="399214A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Bacteroides</w:t>
            </w:r>
          </w:p>
        </w:tc>
        <w:tc>
          <w:tcPr>
            <w:tcW w:w="672" w:type="pct"/>
            <w:noWrap/>
            <w:hideMark/>
          </w:tcPr>
          <w:p w14:paraId="342EC0A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2.97E-04</w:t>
            </w:r>
          </w:p>
        </w:tc>
        <w:tc>
          <w:tcPr>
            <w:tcW w:w="597" w:type="pct"/>
            <w:noWrap/>
            <w:hideMark/>
          </w:tcPr>
          <w:p w14:paraId="00A0AD4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1.10E-03</w:t>
            </w:r>
          </w:p>
        </w:tc>
        <w:tc>
          <w:tcPr>
            <w:tcW w:w="747" w:type="pct"/>
            <w:noWrap/>
            <w:hideMark/>
          </w:tcPr>
          <w:p w14:paraId="2F24D0B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4.62E-03</w:t>
            </w:r>
          </w:p>
        </w:tc>
      </w:tr>
      <w:tr w:rsidR="00DA6475" w:rsidRPr="00435B6B" w14:paraId="3BF34C05"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040077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236B133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Bacteroidetes vadinHA17</w:t>
            </w:r>
          </w:p>
        </w:tc>
        <w:tc>
          <w:tcPr>
            <w:tcW w:w="818" w:type="pct"/>
            <w:noWrap/>
            <w:hideMark/>
          </w:tcPr>
          <w:p w14:paraId="5DCD294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 xml:space="preserve">Bacteroidetes </w:t>
            </w:r>
          </w:p>
          <w:p w14:paraId="22B4F6B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vadinHA17 ge</w:t>
            </w:r>
          </w:p>
        </w:tc>
        <w:tc>
          <w:tcPr>
            <w:tcW w:w="672" w:type="pct"/>
            <w:noWrap/>
            <w:hideMark/>
          </w:tcPr>
          <w:p w14:paraId="1368FCD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3DB9308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1.43E-05</w:t>
            </w:r>
          </w:p>
        </w:tc>
        <w:tc>
          <w:tcPr>
            <w:tcW w:w="747" w:type="pct"/>
            <w:noWrap/>
            <w:hideMark/>
          </w:tcPr>
          <w:p w14:paraId="0486A1A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7DB31C03"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FB82DE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57C72D0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Chitinophagaceae</w:t>
            </w:r>
          </w:p>
        </w:tc>
        <w:tc>
          <w:tcPr>
            <w:tcW w:w="818" w:type="pct"/>
            <w:noWrap/>
            <w:hideMark/>
          </w:tcPr>
          <w:p w14:paraId="0F171B1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Chitinophagaceae</w:t>
            </w:r>
          </w:p>
          <w:p w14:paraId="047822D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FDE77B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9.66E-06</w:t>
            </w:r>
          </w:p>
        </w:tc>
        <w:tc>
          <w:tcPr>
            <w:tcW w:w="597" w:type="pct"/>
            <w:noWrap/>
            <w:hideMark/>
          </w:tcPr>
          <w:p w14:paraId="64A4666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3.98E-05</w:t>
            </w:r>
          </w:p>
        </w:tc>
        <w:tc>
          <w:tcPr>
            <w:tcW w:w="747" w:type="pct"/>
            <w:noWrap/>
            <w:hideMark/>
          </w:tcPr>
          <w:p w14:paraId="11F84D1D"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4.54E-02</w:t>
            </w:r>
          </w:p>
        </w:tc>
      </w:tr>
      <w:tr w:rsidR="00DA6475" w:rsidRPr="00435B6B" w14:paraId="30DE25F4"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B468E0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3CC4AFB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env.OPS 17</w:t>
            </w:r>
          </w:p>
        </w:tc>
        <w:tc>
          <w:tcPr>
            <w:tcW w:w="818" w:type="pct"/>
            <w:noWrap/>
            <w:hideMark/>
          </w:tcPr>
          <w:p w14:paraId="6096BAC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env.OPS 17 ge</w:t>
            </w:r>
          </w:p>
        </w:tc>
        <w:tc>
          <w:tcPr>
            <w:tcW w:w="672" w:type="pct"/>
            <w:noWrap/>
            <w:hideMark/>
          </w:tcPr>
          <w:p w14:paraId="11884B5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34BE594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5.88E-06</w:t>
            </w:r>
          </w:p>
        </w:tc>
        <w:tc>
          <w:tcPr>
            <w:tcW w:w="747" w:type="pct"/>
            <w:noWrap/>
            <w:hideMark/>
          </w:tcPr>
          <w:p w14:paraId="05733C5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05FF1DBD"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562C76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4988720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Tannerellaceae</w:t>
            </w:r>
          </w:p>
        </w:tc>
        <w:tc>
          <w:tcPr>
            <w:tcW w:w="818" w:type="pct"/>
            <w:noWrap/>
            <w:hideMark/>
          </w:tcPr>
          <w:p w14:paraId="128AD4C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Macellibacteroides</w:t>
            </w:r>
          </w:p>
        </w:tc>
        <w:tc>
          <w:tcPr>
            <w:tcW w:w="672" w:type="pct"/>
            <w:noWrap/>
            <w:hideMark/>
          </w:tcPr>
          <w:p w14:paraId="7310A6A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7.03E-07</w:t>
            </w:r>
          </w:p>
        </w:tc>
        <w:tc>
          <w:tcPr>
            <w:tcW w:w="597" w:type="pct"/>
            <w:noWrap/>
            <w:hideMark/>
          </w:tcPr>
          <w:p w14:paraId="60D6843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2.98E-05</w:t>
            </w:r>
          </w:p>
        </w:tc>
        <w:tc>
          <w:tcPr>
            <w:tcW w:w="747" w:type="pct"/>
            <w:noWrap/>
            <w:hideMark/>
          </w:tcPr>
          <w:p w14:paraId="209B6F0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2.63E-02</w:t>
            </w:r>
          </w:p>
        </w:tc>
      </w:tr>
      <w:tr w:rsidR="00DA6475" w:rsidRPr="00435B6B" w14:paraId="45BBF010"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72485F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3F35532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Muribaculaceae</w:t>
            </w:r>
          </w:p>
        </w:tc>
        <w:tc>
          <w:tcPr>
            <w:tcW w:w="818" w:type="pct"/>
            <w:noWrap/>
            <w:hideMark/>
          </w:tcPr>
          <w:p w14:paraId="7BC44FB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Muribaculaceae</w:t>
            </w:r>
          </w:p>
          <w:p w14:paraId="3532268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w:t>
            </w:r>
          </w:p>
        </w:tc>
        <w:tc>
          <w:tcPr>
            <w:tcW w:w="672" w:type="pct"/>
            <w:noWrap/>
            <w:hideMark/>
          </w:tcPr>
          <w:p w14:paraId="5FFD9C6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3.99E-03</w:t>
            </w:r>
          </w:p>
        </w:tc>
        <w:tc>
          <w:tcPr>
            <w:tcW w:w="597" w:type="pct"/>
            <w:noWrap/>
            <w:hideMark/>
          </w:tcPr>
          <w:p w14:paraId="1F66099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1.08E-02</w:t>
            </w:r>
          </w:p>
        </w:tc>
        <w:tc>
          <w:tcPr>
            <w:tcW w:w="747" w:type="pct"/>
            <w:noWrap/>
            <w:hideMark/>
          </w:tcPr>
          <w:p w14:paraId="2889B39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4.62E-03</w:t>
            </w:r>
          </w:p>
        </w:tc>
      </w:tr>
      <w:tr w:rsidR="00DA6475" w:rsidRPr="00435B6B" w14:paraId="51CDC192"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5F57CD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45C3149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Muribaculaceae</w:t>
            </w:r>
          </w:p>
        </w:tc>
        <w:tc>
          <w:tcPr>
            <w:tcW w:w="818" w:type="pct"/>
            <w:noWrap/>
            <w:hideMark/>
          </w:tcPr>
          <w:p w14:paraId="67F94EC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Muribaculaceae</w:t>
            </w:r>
          </w:p>
          <w:p w14:paraId="624F058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C94B7F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1.70E-05</w:t>
            </w:r>
          </w:p>
        </w:tc>
        <w:tc>
          <w:tcPr>
            <w:tcW w:w="597" w:type="pct"/>
            <w:noWrap/>
            <w:hideMark/>
          </w:tcPr>
          <w:p w14:paraId="4062F62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9.07E-05</w:t>
            </w:r>
          </w:p>
        </w:tc>
        <w:tc>
          <w:tcPr>
            <w:tcW w:w="747" w:type="pct"/>
            <w:noWrap/>
            <w:hideMark/>
          </w:tcPr>
          <w:p w14:paraId="2F89BABD"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531CFFC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D87E0D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40CA94E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NS9 marine group</w:t>
            </w:r>
          </w:p>
        </w:tc>
        <w:tc>
          <w:tcPr>
            <w:tcW w:w="818" w:type="pct"/>
            <w:noWrap/>
            <w:hideMark/>
          </w:tcPr>
          <w:p w14:paraId="36BECC6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NS9 marine group ge</w:t>
            </w:r>
          </w:p>
        </w:tc>
        <w:tc>
          <w:tcPr>
            <w:tcW w:w="672" w:type="pct"/>
            <w:noWrap/>
            <w:hideMark/>
          </w:tcPr>
          <w:p w14:paraId="50B4D35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6.62E-07</w:t>
            </w:r>
          </w:p>
        </w:tc>
        <w:tc>
          <w:tcPr>
            <w:tcW w:w="597" w:type="pct"/>
            <w:noWrap/>
            <w:hideMark/>
          </w:tcPr>
          <w:p w14:paraId="441C08A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1.94E-05</w:t>
            </w:r>
          </w:p>
        </w:tc>
        <w:tc>
          <w:tcPr>
            <w:tcW w:w="747" w:type="pct"/>
            <w:noWrap/>
            <w:hideMark/>
          </w:tcPr>
          <w:p w14:paraId="02856915"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1.71E-02</w:t>
            </w:r>
          </w:p>
        </w:tc>
      </w:tr>
      <w:tr w:rsidR="00DA6475" w:rsidRPr="00435B6B" w14:paraId="44367335"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A8C60A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16642FA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Tannerellaceae</w:t>
            </w:r>
          </w:p>
        </w:tc>
        <w:tc>
          <w:tcPr>
            <w:tcW w:w="818" w:type="pct"/>
            <w:noWrap/>
            <w:hideMark/>
          </w:tcPr>
          <w:p w14:paraId="1C85A6E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Parabacteroides</w:t>
            </w:r>
          </w:p>
        </w:tc>
        <w:tc>
          <w:tcPr>
            <w:tcW w:w="672" w:type="pct"/>
            <w:noWrap/>
            <w:hideMark/>
          </w:tcPr>
          <w:p w14:paraId="4E601E4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6.51E-05</w:t>
            </w:r>
          </w:p>
        </w:tc>
        <w:tc>
          <w:tcPr>
            <w:tcW w:w="597" w:type="pct"/>
            <w:noWrap/>
            <w:hideMark/>
          </w:tcPr>
          <w:p w14:paraId="5876F63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2.39E-04</w:t>
            </w:r>
          </w:p>
        </w:tc>
        <w:tc>
          <w:tcPr>
            <w:tcW w:w="747" w:type="pct"/>
            <w:noWrap/>
            <w:hideMark/>
          </w:tcPr>
          <w:p w14:paraId="66CF928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5.82E-03</w:t>
            </w:r>
          </w:p>
        </w:tc>
      </w:tr>
      <w:tr w:rsidR="00DA6475" w:rsidRPr="00435B6B" w14:paraId="4092540D"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7EE8A5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153F61B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Prevotellaceae</w:t>
            </w:r>
          </w:p>
        </w:tc>
        <w:tc>
          <w:tcPr>
            <w:tcW w:w="818" w:type="pct"/>
            <w:noWrap/>
            <w:hideMark/>
          </w:tcPr>
          <w:p w14:paraId="3B945F0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Prevotella</w:t>
            </w:r>
          </w:p>
        </w:tc>
        <w:tc>
          <w:tcPr>
            <w:tcW w:w="672" w:type="pct"/>
            <w:noWrap/>
            <w:hideMark/>
          </w:tcPr>
          <w:p w14:paraId="460F710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5.27E-05</w:t>
            </w:r>
          </w:p>
        </w:tc>
        <w:tc>
          <w:tcPr>
            <w:tcW w:w="597" w:type="pct"/>
            <w:noWrap/>
            <w:hideMark/>
          </w:tcPr>
          <w:p w14:paraId="5970FF2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1.53E-04</w:t>
            </w:r>
          </w:p>
        </w:tc>
        <w:tc>
          <w:tcPr>
            <w:tcW w:w="747" w:type="pct"/>
            <w:noWrap/>
            <w:hideMark/>
          </w:tcPr>
          <w:p w14:paraId="5EFA3A1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4.29E-02</w:t>
            </w:r>
          </w:p>
        </w:tc>
      </w:tr>
      <w:tr w:rsidR="00DA6475" w:rsidRPr="00435B6B" w14:paraId="29ED1030"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8AF413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0665308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Prevotellaceae</w:t>
            </w:r>
          </w:p>
        </w:tc>
        <w:tc>
          <w:tcPr>
            <w:tcW w:w="818" w:type="pct"/>
            <w:noWrap/>
            <w:hideMark/>
          </w:tcPr>
          <w:p w14:paraId="7302525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Prevotellaceae</w:t>
            </w:r>
          </w:p>
          <w:p w14:paraId="3B1E14D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C128DB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3.51E-05</w:t>
            </w:r>
          </w:p>
        </w:tc>
        <w:tc>
          <w:tcPr>
            <w:tcW w:w="597" w:type="pct"/>
            <w:noWrap/>
            <w:hideMark/>
          </w:tcPr>
          <w:p w14:paraId="3ED2965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1.60E-04</w:t>
            </w:r>
          </w:p>
        </w:tc>
        <w:tc>
          <w:tcPr>
            <w:tcW w:w="747" w:type="pct"/>
            <w:noWrap/>
            <w:hideMark/>
          </w:tcPr>
          <w:p w14:paraId="2FDF708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1.26E-02</w:t>
            </w:r>
          </w:p>
        </w:tc>
      </w:tr>
      <w:tr w:rsidR="00DA6475" w:rsidRPr="00435B6B" w14:paraId="075B291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692C1C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4721B06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Rikenellaceae</w:t>
            </w:r>
          </w:p>
        </w:tc>
        <w:tc>
          <w:tcPr>
            <w:tcW w:w="818" w:type="pct"/>
            <w:noWrap/>
            <w:hideMark/>
          </w:tcPr>
          <w:p w14:paraId="727A7FC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Rikenellaceae</w:t>
            </w:r>
          </w:p>
          <w:p w14:paraId="6085770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RC9 gut group</w:t>
            </w:r>
          </w:p>
        </w:tc>
        <w:tc>
          <w:tcPr>
            <w:tcW w:w="672" w:type="pct"/>
            <w:noWrap/>
            <w:hideMark/>
          </w:tcPr>
          <w:p w14:paraId="7B34DB3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2.05E-05</w:t>
            </w:r>
          </w:p>
        </w:tc>
        <w:tc>
          <w:tcPr>
            <w:tcW w:w="597" w:type="pct"/>
            <w:noWrap/>
            <w:hideMark/>
          </w:tcPr>
          <w:p w14:paraId="35CA3D8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7.24E-05</w:t>
            </w:r>
          </w:p>
        </w:tc>
        <w:tc>
          <w:tcPr>
            <w:tcW w:w="747" w:type="pct"/>
            <w:noWrap/>
            <w:hideMark/>
          </w:tcPr>
          <w:p w14:paraId="2AA7EDD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4.83E-02</w:t>
            </w:r>
          </w:p>
        </w:tc>
      </w:tr>
      <w:tr w:rsidR="00DA6475" w:rsidRPr="00435B6B" w14:paraId="16B3284B"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F45349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Bacteroidota</w:t>
            </w:r>
          </w:p>
        </w:tc>
        <w:tc>
          <w:tcPr>
            <w:tcW w:w="1120" w:type="pct"/>
            <w:noWrap/>
            <w:hideMark/>
          </w:tcPr>
          <w:p w14:paraId="2CFF9D1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Tannerellaceae</w:t>
            </w:r>
          </w:p>
        </w:tc>
        <w:tc>
          <w:tcPr>
            <w:tcW w:w="818" w:type="pct"/>
            <w:noWrap/>
            <w:hideMark/>
          </w:tcPr>
          <w:p w14:paraId="653B189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Tannerellaceae</w:t>
            </w:r>
          </w:p>
          <w:p w14:paraId="272BDF8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592C1DF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1.56E-05</w:t>
            </w:r>
          </w:p>
        </w:tc>
        <w:tc>
          <w:tcPr>
            <w:tcW w:w="597" w:type="pct"/>
            <w:noWrap/>
            <w:hideMark/>
          </w:tcPr>
          <w:p w14:paraId="0C87066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5.58E-05</w:t>
            </w:r>
          </w:p>
        </w:tc>
        <w:tc>
          <w:tcPr>
            <w:tcW w:w="747" w:type="pct"/>
            <w:noWrap/>
            <w:hideMark/>
          </w:tcPr>
          <w:p w14:paraId="330D0CD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4.19E-02</w:t>
            </w:r>
          </w:p>
        </w:tc>
      </w:tr>
      <w:tr w:rsidR="00DA6475" w:rsidRPr="00435B6B" w14:paraId="3A161C4B"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21D8CF3" w14:textId="3089AC31" w:rsidR="00DA6475" w:rsidRPr="009819CE" w:rsidRDefault="00815D08" w:rsidP="00DA6475">
            <w:pPr>
              <w:spacing w:before="0" w:after="0"/>
              <w:rPr>
                <w:rFonts w:eastAsia="Calibri" w:cstheme="minorBidi"/>
                <w:b w:val="0"/>
                <w:bCs w:val="0"/>
                <w:i/>
                <w:iCs/>
                <w:color w:val="000000"/>
                <w:sz w:val="22"/>
                <w:szCs w:val="22"/>
                <w:lang w:eastAsia="en-US"/>
              </w:rPr>
            </w:pPr>
            <w:r w:rsidRPr="007E6468">
              <w:rPr>
                <w:rFonts w:ascii="Arial (Body CS)" w:eastAsia="Calibri" w:hAnsi="Arial (Body CS)" w:cstheme="minorBidi"/>
                <w:i/>
                <w:iCs/>
                <w:color w:val="000000"/>
                <w:sz w:val="22"/>
                <w:szCs w:val="22"/>
                <w:lang w:eastAsia="en-US"/>
              </w:rPr>
              <w:t>Campylobacterota</w:t>
            </w:r>
          </w:p>
        </w:tc>
        <w:tc>
          <w:tcPr>
            <w:tcW w:w="1120" w:type="pct"/>
            <w:noWrap/>
            <w:hideMark/>
          </w:tcPr>
          <w:p w14:paraId="72B53FF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Helicobacteraceae</w:t>
            </w:r>
          </w:p>
        </w:tc>
        <w:tc>
          <w:tcPr>
            <w:tcW w:w="818" w:type="pct"/>
            <w:noWrap/>
            <w:hideMark/>
          </w:tcPr>
          <w:p w14:paraId="2E63999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Helicobacter</w:t>
            </w:r>
          </w:p>
        </w:tc>
        <w:tc>
          <w:tcPr>
            <w:tcW w:w="672" w:type="pct"/>
            <w:noWrap/>
            <w:hideMark/>
          </w:tcPr>
          <w:p w14:paraId="3E08B609"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9.94E-05</w:t>
            </w:r>
          </w:p>
        </w:tc>
        <w:tc>
          <w:tcPr>
            <w:tcW w:w="597" w:type="pct"/>
            <w:noWrap/>
            <w:hideMark/>
          </w:tcPr>
          <w:p w14:paraId="6F3C523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2.98E-04</w:t>
            </w:r>
          </w:p>
        </w:tc>
        <w:tc>
          <w:tcPr>
            <w:tcW w:w="747" w:type="pct"/>
            <w:noWrap/>
            <w:hideMark/>
          </w:tcPr>
          <w:p w14:paraId="782B8EE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2.97E-02</w:t>
            </w:r>
          </w:p>
        </w:tc>
      </w:tr>
      <w:tr w:rsidR="00DA6475" w:rsidRPr="00435B6B" w14:paraId="3BF3F78F"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D484421"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1120" w:type="pct"/>
            <w:noWrap/>
            <w:hideMark/>
          </w:tcPr>
          <w:p w14:paraId="586AB2D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Desulfocapsaceae</w:t>
            </w:r>
          </w:p>
        </w:tc>
        <w:tc>
          <w:tcPr>
            <w:tcW w:w="818" w:type="pct"/>
            <w:noWrap/>
            <w:hideMark/>
          </w:tcPr>
          <w:p w14:paraId="105C419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Desulforhopalus</w:t>
            </w:r>
          </w:p>
        </w:tc>
        <w:tc>
          <w:tcPr>
            <w:tcW w:w="672" w:type="pct"/>
            <w:noWrap/>
            <w:hideMark/>
          </w:tcPr>
          <w:p w14:paraId="3E4E1DD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9.68E-03</w:t>
            </w:r>
          </w:p>
        </w:tc>
        <w:tc>
          <w:tcPr>
            <w:tcW w:w="597" w:type="pct"/>
            <w:noWrap/>
            <w:hideMark/>
          </w:tcPr>
          <w:p w14:paraId="55DCB4D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2.32E-03</w:t>
            </w:r>
          </w:p>
        </w:tc>
        <w:tc>
          <w:tcPr>
            <w:tcW w:w="747" w:type="pct"/>
            <w:noWrap/>
            <w:hideMark/>
          </w:tcPr>
          <w:p w14:paraId="0F11E11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4.04E-02</w:t>
            </w:r>
          </w:p>
        </w:tc>
      </w:tr>
      <w:tr w:rsidR="00DA6475" w:rsidRPr="00435B6B" w14:paraId="0A8FB587"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96CED23"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Desulfobacterota</w:t>
            </w:r>
          </w:p>
        </w:tc>
        <w:tc>
          <w:tcPr>
            <w:tcW w:w="1120" w:type="pct"/>
            <w:noWrap/>
            <w:hideMark/>
          </w:tcPr>
          <w:p w14:paraId="02D2166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Desulfovibrionaceae</w:t>
            </w:r>
          </w:p>
        </w:tc>
        <w:tc>
          <w:tcPr>
            <w:tcW w:w="818" w:type="pct"/>
            <w:noWrap/>
            <w:hideMark/>
          </w:tcPr>
          <w:p w14:paraId="50B3551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Desulfovibrionaceae</w:t>
            </w:r>
          </w:p>
          <w:p w14:paraId="0AD38EF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711FD0F9"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1.16E-03</w:t>
            </w:r>
          </w:p>
        </w:tc>
        <w:tc>
          <w:tcPr>
            <w:tcW w:w="597" w:type="pct"/>
            <w:noWrap/>
            <w:hideMark/>
          </w:tcPr>
          <w:p w14:paraId="6CA0D25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4.27E-04</w:t>
            </w:r>
          </w:p>
        </w:tc>
        <w:tc>
          <w:tcPr>
            <w:tcW w:w="747" w:type="pct"/>
            <w:noWrap/>
            <w:hideMark/>
          </w:tcPr>
          <w:p w14:paraId="70B27DC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0A3A3D79"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633B01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7F851F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1C6CDC6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A2</w:t>
            </w:r>
          </w:p>
        </w:tc>
        <w:tc>
          <w:tcPr>
            <w:tcW w:w="672" w:type="pct"/>
            <w:noWrap/>
            <w:hideMark/>
          </w:tcPr>
          <w:p w14:paraId="175112D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1C4BD83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8.34E-06</w:t>
            </w:r>
          </w:p>
        </w:tc>
        <w:tc>
          <w:tcPr>
            <w:tcW w:w="747" w:type="pct"/>
            <w:noWrap/>
            <w:hideMark/>
          </w:tcPr>
          <w:p w14:paraId="24B3366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2F02B770"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75505B3"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3C88D7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0FE7648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Anaerostipes</w:t>
            </w:r>
          </w:p>
        </w:tc>
        <w:tc>
          <w:tcPr>
            <w:tcW w:w="672" w:type="pct"/>
            <w:noWrap/>
            <w:hideMark/>
          </w:tcPr>
          <w:p w14:paraId="3B072F4F"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1.09E-05</w:t>
            </w:r>
          </w:p>
        </w:tc>
        <w:tc>
          <w:tcPr>
            <w:tcW w:w="597" w:type="pct"/>
            <w:noWrap/>
            <w:hideMark/>
          </w:tcPr>
          <w:p w14:paraId="1DAEB50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4.81E-05</w:t>
            </w:r>
          </w:p>
        </w:tc>
        <w:tc>
          <w:tcPr>
            <w:tcW w:w="747" w:type="pct"/>
            <w:noWrap/>
            <w:hideMark/>
          </w:tcPr>
          <w:p w14:paraId="5262AFE5"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2.96E-02</w:t>
            </w:r>
          </w:p>
        </w:tc>
      </w:tr>
      <w:tr w:rsidR="00DA6475" w:rsidRPr="00435B6B" w14:paraId="0C6ACAD5"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64415F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D0B42C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Anaerovoracaceae</w:t>
            </w:r>
          </w:p>
        </w:tc>
        <w:tc>
          <w:tcPr>
            <w:tcW w:w="818" w:type="pct"/>
            <w:noWrap/>
            <w:hideMark/>
          </w:tcPr>
          <w:p w14:paraId="440D9FE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Anaerovorax</w:t>
            </w:r>
          </w:p>
        </w:tc>
        <w:tc>
          <w:tcPr>
            <w:tcW w:w="672" w:type="pct"/>
            <w:noWrap/>
            <w:hideMark/>
          </w:tcPr>
          <w:p w14:paraId="59BCA2C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34BCC2A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1.04E-05</w:t>
            </w:r>
          </w:p>
        </w:tc>
        <w:tc>
          <w:tcPr>
            <w:tcW w:w="747" w:type="pct"/>
            <w:noWrap/>
            <w:hideMark/>
          </w:tcPr>
          <w:p w14:paraId="4884096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2.96E-02</w:t>
            </w:r>
          </w:p>
        </w:tc>
      </w:tr>
      <w:tr w:rsidR="00DA6475" w:rsidRPr="00435B6B" w14:paraId="656001A5"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7F4093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81394B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Bacillaceae</w:t>
            </w:r>
          </w:p>
        </w:tc>
        <w:tc>
          <w:tcPr>
            <w:tcW w:w="818" w:type="pct"/>
            <w:noWrap/>
            <w:hideMark/>
          </w:tcPr>
          <w:p w14:paraId="523E3BB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Bacillaceae</w:t>
            </w:r>
          </w:p>
          <w:p w14:paraId="38862E5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EAC2B9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3.58E-05</w:t>
            </w:r>
          </w:p>
        </w:tc>
        <w:tc>
          <w:tcPr>
            <w:tcW w:w="597" w:type="pct"/>
            <w:noWrap/>
            <w:hideMark/>
          </w:tcPr>
          <w:p w14:paraId="7E1179A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1.64E-04</w:t>
            </w:r>
          </w:p>
        </w:tc>
        <w:tc>
          <w:tcPr>
            <w:tcW w:w="747" w:type="pct"/>
            <w:noWrap/>
            <w:hideMark/>
          </w:tcPr>
          <w:p w14:paraId="7F75CDA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2.13E-02</w:t>
            </w:r>
          </w:p>
        </w:tc>
      </w:tr>
      <w:tr w:rsidR="00DA6475" w:rsidRPr="00435B6B" w14:paraId="253DC9FA"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F2BFFC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5FFE07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 UCG-014</w:t>
            </w:r>
          </w:p>
          <w:p w14:paraId="0452FC0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 xml:space="preserve"> fa</w:t>
            </w:r>
          </w:p>
        </w:tc>
        <w:tc>
          <w:tcPr>
            <w:tcW w:w="818" w:type="pct"/>
            <w:noWrap/>
            <w:hideMark/>
          </w:tcPr>
          <w:p w14:paraId="7E9BD80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p w14:paraId="3BBC9BC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UCG-014 ge</w:t>
            </w:r>
          </w:p>
        </w:tc>
        <w:tc>
          <w:tcPr>
            <w:tcW w:w="672" w:type="pct"/>
            <w:noWrap/>
            <w:hideMark/>
          </w:tcPr>
          <w:p w14:paraId="4DB1038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8.49E-05</w:t>
            </w:r>
          </w:p>
        </w:tc>
        <w:tc>
          <w:tcPr>
            <w:tcW w:w="597" w:type="pct"/>
            <w:noWrap/>
            <w:hideMark/>
          </w:tcPr>
          <w:p w14:paraId="1AE10A8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2.79E-04</w:t>
            </w:r>
          </w:p>
        </w:tc>
        <w:tc>
          <w:tcPr>
            <w:tcW w:w="747" w:type="pct"/>
            <w:noWrap/>
            <w:hideMark/>
          </w:tcPr>
          <w:p w14:paraId="465E285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9.24E-03</w:t>
            </w:r>
          </w:p>
        </w:tc>
      </w:tr>
      <w:tr w:rsidR="00DA6475" w:rsidRPr="00435B6B" w14:paraId="179418CD"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E7A3CC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27AB10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 unclassified</w:t>
            </w:r>
          </w:p>
        </w:tc>
        <w:tc>
          <w:tcPr>
            <w:tcW w:w="818" w:type="pct"/>
            <w:noWrap/>
            <w:hideMark/>
          </w:tcPr>
          <w:p w14:paraId="77E53FD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p w14:paraId="30CFEC9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33B3EE2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5.88E-05</w:t>
            </w:r>
          </w:p>
        </w:tc>
        <w:tc>
          <w:tcPr>
            <w:tcW w:w="597" w:type="pct"/>
            <w:noWrap/>
            <w:hideMark/>
          </w:tcPr>
          <w:p w14:paraId="18C4998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1.46E-04</w:t>
            </w:r>
          </w:p>
        </w:tc>
        <w:tc>
          <w:tcPr>
            <w:tcW w:w="747" w:type="pct"/>
            <w:noWrap/>
            <w:hideMark/>
          </w:tcPr>
          <w:p w14:paraId="4942827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1.04E-02</w:t>
            </w:r>
          </w:p>
        </w:tc>
      </w:tr>
      <w:tr w:rsidR="00DA6475" w:rsidRPr="00435B6B" w14:paraId="4B397F1A"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78836D5"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2FAC525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 vadinBB60 group fa</w:t>
            </w:r>
          </w:p>
        </w:tc>
        <w:tc>
          <w:tcPr>
            <w:tcW w:w="818" w:type="pct"/>
            <w:noWrap/>
            <w:hideMark/>
          </w:tcPr>
          <w:p w14:paraId="00E06A1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w:t>
            </w:r>
          </w:p>
          <w:p w14:paraId="3C53BA7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vadinBB60 group ge</w:t>
            </w:r>
          </w:p>
        </w:tc>
        <w:tc>
          <w:tcPr>
            <w:tcW w:w="672" w:type="pct"/>
            <w:noWrap/>
            <w:hideMark/>
          </w:tcPr>
          <w:p w14:paraId="73246E1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9.38E-06</w:t>
            </w:r>
          </w:p>
        </w:tc>
        <w:tc>
          <w:tcPr>
            <w:tcW w:w="597" w:type="pct"/>
            <w:noWrap/>
            <w:hideMark/>
          </w:tcPr>
          <w:p w14:paraId="579F98D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2.60E-05</w:t>
            </w:r>
          </w:p>
        </w:tc>
        <w:tc>
          <w:tcPr>
            <w:tcW w:w="747" w:type="pct"/>
            <w:noWrap/>
            <w:hideMark/>
          </w:tcPr>
          <w:p w14:paraId="20B7EE3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2.97E-02</w:t>
            </w:r>
          </w:p>
        </w:tc>
      </w:tr>
      <w:tr w:rsidR="00DA6475" w:rsidRPr="00435B6B" w14:paraId="0A71F1F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7CDF63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336B79C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Clostridiales unclassified</w:t>
            </w:r>
          </w:p>
        </w:tc>
        <w:tc>
          <w:tcPr>
            <w:tcW w:w="818" w:type="pct"/>
            <w:noWrap/>
            <w:hideMark/>
          </w:tcPr>
          <w:p w14:paraId="3D2C241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Clostridiales</w:t>
            </w:r>
          </w:p>
          <w:p w14:paraId="617204F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6E353372"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1.38E-06</w:t>
            </w:r>
          </w:p>
        </w:tc>
        <w:tc>
          <w:tcPr>
            <w:tcW w:w="597" w:type="pct"/>
            <w:noWrap/>
            <w:hideMark/>
          </w:tcPr>
          <w:p w14:paraId="0A0393B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2.24E-05</w:t>
            </w:r>
          </w:p>
        </w:tc>
        <w:tc>
          <w:tcPr>
            <w:tcW w:w="747" w:type="pct"/>
            <w:noWrap/>
            <w:hideMark/>
          </w:tcPr>
          <w:p w14:paraId="46461A7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3.22E-02</w:t>
            </w:r>
          </w:p>
        </w:tc>
      </w:tr>
      <w:tr w:rsidR="00DA6475" w:rsidRPr="00435B6B" w14:paraId="6AFD9140"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05B728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5F46A0C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3392E16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Coprococcus</w:t>
            </w:r>
          </w:p>
        </w:tc>
        <w:tc>
          <w:tcPr>
            <w:tcW w:w="672" w:type="pct"/>
            <w:noWrap/>
            <w:hideMark/>
          </w:tcPr>
          <w:p w14:paraId="24DE614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9.03E-06</w:t>
            </w:r>
          </w:p>
        </w:tc>
        <w:tc>
          <w:tcPr>
            <w:tcW w:w="597" w:type="pct"/>
            <w:noWrap/>
            <w:hideMark/>
          </w:tcPr>
          <w:p w14:paraId="0247668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3.95E-05</w:t>
            </w:r>
          </w:p>
        </w:tc>
        <w:tc>
          <w:tcPr>
            <w:tcW w:w="747" w:type="pct"/>
            <w:noWrap/>
            <w:hideMark/>
          </w:tcPr>
          <w:p w14:paraId="0834C1D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3.13E-02</w:t>
            </w:r>
          </w:p>
        </w:tc>
      </w:tr>
      <w:tr w:rsidR="00DA6475" w:rsidRPr="00435B6B" w14:paraId="4547B196"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CBA38E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2F25DFC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Desulfitobacteriaceae</w:t>
            </w:r>
          </w:p>
        </w:tc>
        <w:tc>
          <w:tcPr>
            <w:tcW w:w="818" w:type="pct"/>
            <w:noWrap/>
            <w:hideMark/>
          </w:tcPr>
          <w:p w14:paraId="5B073B7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Desulfitobacterium</w:t>
            </w:r>
          </w:p>
        </w:tc>
        <w:tc>
          <w:tcPr>
            <w:tcW w:w="672" w:type="pct"/>
            <w:noWrap/>
            <w:hideMark/>
          </w:tcPr>
          <w:p w14:paraId="3F816AC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62EAE5C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2.06E-05</w:t>
            </w:r>
          </w:p>
        </w:tc>
        <w:tc>
          <w:tcPr>
            <w:tcW w:w="747" w:type="pct"/>
            <w:noWrap/>
            <w:hideMark/>
          </w:tcPr>
          <w:p w14:paraId="687E030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4.60E-02</w:t>
            </w:r>
          </w:p>
        </w:tc>
      </w:tr>
      <w:tr w:rsidR="00DA6475" w:rsidRPr="00435B6B" w14:paraId="7E37BC81"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A74933E"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541A3D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tc>
        <w:tc>
          <w:tcPr>
            <w:tcW w:w="818" w:type="pct"/>
            <w:noWrap/>
            <w:hideMark/>
          </w:tcPr>
          <w:p w14:paraId="1238362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Dubosiella</w:t>
            </w:r>
          </w:p>
        </w:tc>
        <w:tc>
          <w:tcPr>
            <w:tcW w:w="672" w:type="pct"/>
            <w:noWrap/>
            <w:hideMark/>
          </w:tcPr>
          <w:p w14:paraId="1182E42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3.11E-04</w:t>
            </w:r>
          </w:p>
        </w:tc>
        <w:tc>
          <w:tcPr>
            <w:tcW w:w="597" w:type="pct"/>
            <w:noWrap/>
            <w:hideMark/>
          </w:tcPr>
          <w:p w14:paraId="65770EB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9.47E-04</w:t>
            </w:r>
          </w:p>
        </w:tc>
        <w:tc>
          <w:tcPr>
            <w:tcW w:w="747" w:type="pct"/>
            <w:noWrap/>
            <w:hideMark/>
          </w:tcPr>
          <w:p w14:paraId="237C9A4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6.17E-03</w:t>
            </w:r>
          </w:p>
        </w:tc>
      </w:tr>
      <w:tr w:rsidR="00DA6475" w:rsidRPr="00435B6B" w14:paraId="560BA88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B47A6D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6D830E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tc>
        <w:tc>
          <w:tcPr>
            <w:tcW w:w="818" w:type="pct"/>
            <w:noWrap/>
            <w:hideMark/>
          </w:tcPr>
          <w:p w14:paraId="6ED869C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Faecalibaculum</w:t>
            </w:r>
          </w:p>
        </w:tc>
        <w:tc>
          <w:tcPr>
            <w:tcW w:w="672" w:type="pct"/>
            <w:noWrap/>
            <w:hideMark/>
          </w:tcPr>
          <w:p w14:paraId="7F5FC88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8.54E-06</w:t>
            </w:r>
          </w:p>
        </w:tc>
        <w:tc>
          <w:tcPr>
            <w:tcW w:w="597" w:type="pct"/>
            <w:noWrap/>
            <w:hideMark/>
          </w:tcPr>
          <w:p w14:paraId="189D6C1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3.42E-05</w:t>
            </w:r>
          </w:p>
        </w:tc>
        <w:tc>
          <w:tcPr>
            <w:tcW w:w="747" w:type="pct"/>
            <w:noWrap/>
            <w:hideMark/>
          </w:tcPr>
          <w:p w14:paraId="6A478D7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3.22E-02</w:t>
            </w:r>
          </w:p>
        </w:tc>
      </w:tr>
      <w:tr w:rsidR="00DA6475" w:rsidRPr="00435B6B" w14:paraId="1AA86EAB"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84E5FF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1C4AE2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Firmicutes unclassified</w:t>
            </w:r>
          </w:p>
        </w:tc>
        <w:tc>
          <w:tcPr>
            <w:tcW w:w="818" w:type="pct"/>
            <w:noWrap/>
            <w:hideMark/>
          </w:tcPr>
          <w:p w14:paraId="4158ACD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Firmicutes</w:t>
            </w:r>
          </w:p>
          <w:p w14:paraId="01EC465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6053705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1.01E-04</w:t>
            </w:r>
          </w:p>
        </w:tc>
        <w:tc>
          <w:tcPr>
            <w:tcW w:w="597" w:type="pct"/>
            <w:noWrap/>
            <w:hideMark/>
          </w:tcPr>
          <w:p w14:paraId="7C089ECD"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2.66E-04</w:t>
            </w:r>
          </w:p>
        </w:tc>
        <w:tc>
          <w:tcPr>
            <w:tcW w:w="747" w:type="pct"/>
            <w:noWrap/>
            <w:hideMark/>
          </w:tcPr>
          <w:p w14:paraId="71C12B5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3.57E-02</w:t>
            </w:r>
          </w:p>
        </w:tc>
      </w:tr>
      <w:tr w:rsidR="00DA6475" w:rsidRPr="00435B6B" w14:paraId="2B959F7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AAA434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00E4CF1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Hungateiclostridiaceae</w:t>
            </w:r>
          </w:p>
        </w:tc>
        <w:tc>
          <w:tcPr>
            <w:tcW w:w="818" w:type="pct"/>
            <w:noWrap/>
            <w:hideMark/>
          </w:tcPr>
          <w:p w14:paraId="64EA8C2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Hungateiclostridiaceae</w:t>
            </w:r>
          </w:p>
          <w:p w14:paraId="1510E28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43D0541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3.69E-06</w:t>
            </w:r>
          </w:p>
        </w:tc>
        <w:tc>
          <w:tcPr>
            <w:tcW w:w="597" w:type="pct"/>
            <w:noWrap/>
            <w:hideMark/>
          </w:tcPr>
          <w:p w14:paraId="2A364BB9"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5.15E-05</w:t>
            </w:r>
          </w:p>
        </w:tc>
        <w:tc>
          <w:tcPr>
            <w:tcW w:w="747" w:type="pct"/>
            <w:noWrap/>
            <w:hideMark/>
          </w:tcPr>
          <w:p w14:paraId="0003C47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2.17E-02</w:t>
            </w:r>
          </w:p>
        </w:tc>
      </w:tr>
      <w:tr w:rsidR="00DA6475" w:rsidRPr="00435B6B" w14:paraId="60B987DB"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6127617"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2D490EF6"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Limnochordia fa</w:t>
            </w:r>
          </w:p>
        </w:tc>
        <w:tc>
          <w:tcPr>
            <w:tcW w:w="818" w:type="pct"/>
            <w:noWrap/>
            <w:hideMark/>
          </w:tcPr>
          <w:p w14:paraId="66CFB0D8"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Hydrogenispora</w:t>
            </w:r>
          </w:p>
        </w:tc>
        <w:tc>
          <w:tcPr>
            <w:tcW w:w="672" w:type="pct"/>
            <w:noWrap/>
            <w:hideMark/>
          </w:tcPr>
          <w:p w14:paraId="48C03CE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7.73E-07</w:t>
            </w:r>
          </w:p>
        </w:tc>
        <w:tc>
          <w:tcPr>
            <w:tcW w:w="597" w:type="pct"/>
            <w:noWrap/>
            <w:hideMark/>
          </w:tcPr>
          <w:p w14:paraId="11EC3CD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1.67E-05</w:t>
            </w:r>
          </w:p>
        </w:tc>
        <w:tc>
          <w:tcPr>
            <w:tcW w:w="747" w:type="pct"/>
            <w:noWrap/>
            <w:hideMark/>
          </w:tcPr>
          <w:p w14:paraId="2EE6A0F4"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4.29E-02</w:t>
            </w:r>
          </w:p>
        </w:tc>
      </w:tr>
      <w:tr w:rsidR="00DA6475" w:rsidRPr="00435B6B" w14:paraId="3842BA0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89DC6E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7E39C4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tc>
        <w:tc>
          <w:tcPr>
            <w:tcW w:w="818" w:type="pct"/>
            <w:noWrap/>
            <w:hideMark/>
          </w:tcPr>
          <w:p w14:paraId="21EF10E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Ileibacterium</w:t>
            </w:r>
          </w:p>
        </w:tc>
        <w:tc>
          <w:tcPr>
            <w:tcW w:w="672" w:type="pct"/>
            <w:noWrap/>
            <w:hideMark/>
          </w:tcPr>
          <w:p w14:paraId="6B68683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6.63E-07</w:t>
            </w:r>
          </w:p>
        </w:tc>
        <w:tc>
          <w:tcPr>
            <w:tcW w:w="597" w:type="pct"/>
            <w:noWrap/>
            <w:hideMark/>
          </w:tcPr>
          <w:p w14:paraId="1F72572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3.01E-05</w:t>
            </w:r>
          </w:p>
        </w:tc>
        <w:tc>
          <w:tcPr>
            <w:tcW w:w="747" w:type="pct"/>
            <w:noWrap/>
            <w:hideMark/>
          </w:tcPr>
          <w:p w14:paraId="008638E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2.13E-02</w:t>
            </w:r>
          </w:p>
        </w:tc>
      </w:tr>
      <w:tr w:rsidR="00DA6475" w:rsidRPr="00435B6B" w14:paraId="61AE04DD"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2E8A2B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1B861C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798B50B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w:t>
            </w:r>
          </w:p>
        </w:tc>
        <w:tc>
          <w:tcPr>
            <w:tcW w:w="672" w:type="pct"/>
            <w:noWrap/>
            <w:hideMark/>
          </w:tcPr>
          <w:p w14:paraId="70A4D61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8.67E-06</w:t>
            </w:r>
          </w:p>
        </w:tc>
        <w:tc>
          <w:tcPr>
            <w:tcW w:w="597" w:type="pct"/>
            <w:noWrap/>
            <w:hideMark/>
          </w:tcPr>
          <w:p w14:paraId="7EB55CF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5.88E-05</w:t>
            </w:r>
          </w:p>
        </w:tc>
        <w:tc>
          <w:tcPr>
            <w:tcW w:w="747" w:type="pct"/>
            <w:noWrap/>
            <w:hideMark/>
          </w:tcPr>
          <w:p w14:paraId="0EBC1CE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1.45E-02</w:t>
            </w:r>
          </w:p>
        </w:tc>
      </w:tr>
      <w:tr w:rsidR="00DA6475" w:rsidRPr="00435B6B" w14:paraId="702EE5B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BFD738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75466C7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29BD0540"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p w14:paraId="537F3C3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ge</w:t>
            </w:r>
          </w:p>
        </w:tc>
        <w:tc>
          <w:tcPr>
            <w:tcW w:w="672" w:type="pct"/>
            <w:noWrap/>
            <w:hideMark/>
          </w:tcPr>
          <w:p w14:paraId="5337081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5.23E-05</w:t>
            </w:r>
          </w:p>
        </w:tc>
        <w:tc>
          <w:tcPr>
            <w:tcW w:w="597" w:type="pct"/>
            <w:noWrap/>
            <w:hideMark/>
          </w:tcPr>
          <w:p w14:paraId="013F287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2.49E-04</w:t>
            </w:r>
          </w:p>
        </w:tc>
        <w:tc>
          <w:tcPr>
            <w:tcW w:w="747" w:type="pct"/>
            <w:noWrap/>
            <w:hideMark/>
          </w:tcPr>
          <w:p w14:paraId="6F000E3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45D60C9A"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22EB135"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4512C79"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1923FF3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p w14:paraId="1502B1F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NK4A136 group</w:t>
            </w:r>
          </w:p>
        </w:tc>
        <w:tc>
          <w:tcPr>
            <w:tcW w:w="672" w:type="pct"/>
            <w:noWrap/>
            <w:hideMark/>
          </w:tcPr>
          <w:p w14:paraId="2372AB3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1.32E-04</w:t>
            </w:r>
          </w:p>
        </w:tc>
        <w:tc>
          <w:tcPr>
            <w:tcW w:w="597" w:type="pct"/>
            <w:noWrap/>
            <w:hideMark/>
          </w:tcPr>
          <w:p w14:paraId="011F76A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3.78E-04</w:t>
            </w:r>
          </w:p>
        </w:tc>
        <w:tc>
          <w:tcPr>
            <w:tcW w:w="747" w:type="pct"/>
            <w:noWrap/>
            <w:hideMark/>
          </w:tcPr>
          <w:p w14:paraId="2F17F9C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4.28E-02</w:t>
            </w:r>
          </w:p>
        </w:tc>
      </w:tr>
      <w:tr w:rsidR="00DA6475" w:rsidRPr="00435B6B" w14:paraId="183CAB78"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FAE55F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E2490A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Lactobacillales</w:t>
            </w:r>
          </w:p>
          <w:p w14:paraId="7BCDA7F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818" w:type="pct"/>
            <w:noWrap/>
            <w:hideMark/>
          </w:tcPr>
          <w:p w14:paraId="1BB2688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Lactobacillales</w:t>
            </w:r>
          </w:p>
          <w:p w14:paraId="2660F82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711CECB2"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5.99E-05</w:t>
            </w:r>
          </w:p>
        </w:tc>
        <w:tc>
          <w:tcPr>
            <w:tcW w:w="597" w:type="pct"/>
            <w:noWrap/>
            <w:hideMark/>
          </w:tcPr>
          <w:p w14:paraId="7DB1648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1.82E-04</w:t>
            </w:r>
          </w:p>
        </w:tc>
        <w:tc>
          <w:tcPr>
            <w:tcW w:w="747" w:type="pct"/>
            <w:noWrap/>
            <w:hideMark/>
          </w:tcPr>
          <w:p w14:paraId="196A25E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1.45E-02</w:t>
            </w:r>
          </w:p>
        </w:tc>
      </w:tr>
      <w:tr w:rsidR="00DA6475" w:rsidRPr="00435B6B" w14:paraId="444538A1"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A8AD5E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B3E2CA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Lactobacillaceae</w:t>
            </w:r>
          </w:p>
        </w:tc>
        <w:tc>
          <w:tcPr>
            <w:tcW w:w="818" w:type="pct"/>
            <w:noWrap/>
            <w:hideMark/>
          </w:tcPr>
          <w:p w14:paraId="4B43118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Lactobacillus</w:t>
            </w:r>
          </w:p>
        </w:tc>
        <w:tc>
          <w:tcPr>
            <w:tcW w:w="672" w:type="pct"/>
            <w:noWrap/>
            <w:hideMark/>
          </w:tcPr>
          <w:p w14:paraId="67043764"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4.98E-04</w:t>
            </w:r>
          </w:p>
        </w:tc>
        <w:tc>
          <w:tcPr>
            <w:tcW w:w="597" w:type="pct"/>
            <w:noWrap/>
            <w:hideMark/>
          </w:tcPr>
          <w:p w14:paraId="27CDDEE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2.63E-03</w:t>
            </w:r>
          </w:p>
        </w:tc>
        <w:tc>
          <w:tcPr>
            <w:tcW w:w="747" w:type="pct"/>
            <w:noWrap/>
            <w:hideMark/>
          </w:tcPr>
          <w:p w14:paraId="1FEC38A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4.34E-02</w:t>
            </w:r>
          </w:p>
        </w:tc>
      </w:tr>
      <w:tr w:rsidR="00DA6475" w:rsidRPr="00435B6B" w14:paraId="675379D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E9A3E8C"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E5E545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Monoglobaceae</w:t>
            </w:r>
          </w:p>
        </w:tc>
        <w:tc>
          <w:tcPr>
            <w:tcW w:w="818" w:type="pct"/>
            <w:noWrap/>
            <w:hideMark/>
          </w:tcPr>
          <w:p w14:paraId="33D601B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Monoglobus</w:t>
            </w:r>
          </w:p>
        </w:tc>
        <w:tc>
          <w:tcPr>
            <w:tcW w:w="672" w:type="pct"/>
            <w:noWrap/>
            <w:hideMark/>
          </w:tcPr>
          <w:p w14:paraId="340BC1C9"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7.76E-06</w:t>
            </w:r>
          </w:p>
        </w:tc>
        <w:tc>
          <w:tcPr>
            <w:tcW w:w="597" w:type="pct"/>
            <w:noWrap/>
            <w:hideMark/>
          </w:tcPr>
          <w:p w14:paraId="421617B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2.93E-05</w:t>
            </w:r>
          </w:p>
        </w:tc>
        <w:tc>
          <w:tcPr>
            <w:tcW w:w="747" w:type="pct"/>
            <w:noWrap/>
            <w:hideMark/>
          </w:tcPr>
          <w:p w14:paraId="6499475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3.75E-02</w:t>
            </w:r>
          </w:p>
        </w:tc>
      </w:tr>
      <w:tr w:rsidR="00DA6475" w:rsidRPr="00435B6B" w14:paraId="61CC98FB"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8775DF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65CB388"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Oscillospiraceae</w:t>
            </w:r>
          </w:p>
        </w:tc>
        <w:tc>
          <w:tcPr>
            <w:tcW w:w="818" w:type="pct"/>
            <w:noWrap/>
            <w:hideMark/>
          </w:tcPr>
          <w:p w14:paraId="0D604A5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NK4A214 group</w:t>
            </w:r>
          </w:p>
        </w:tc>
        <w:tc>
          <w:tcPr>
            <w:tcW w:w="672" w:type="pct"/>
            <w:noWrap/>
            <w:hideMark/>
          </w:tcPr>
          <w:p w14:paraId="4210AE9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1.80E-05</w:t>
            </w:r>
          </w:p>
        </w:tc>
        <w:tc>
          <w:tcPr>
            <w:tcW w:w="597" w:type="pct"/>
            <w:noWrap/>
            <w:hideMark/>
          </w:tcPr>
          <w:p w14:paraId="1506BF8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6.31E-05</w:t>
            </w:r>
          </w:p>
        </w:tc>
        <w:tc>
          <w:tcPr>
            <w:tcW w:w="747" w:type="pct"/>
            <w:noWrap/>
            <w:hideMark/>
          </w:tcPr>
          <w:p w14:paraId="3EEE94B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9.15E-03</w:t>
            </w:r>
          </w:p>
        </w:tc>
      </w:tr>
      <w:tr w:rsidR="00DA6475" w:rsidRPr="00435B6B" w14:paraId="33E8B269"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115C73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3B88C11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Oscillospiraceae</w:t>
            </w:r>
          </w:p>
        </w:tc>
        <w:tc>
          <w:tcPr>
            <w:tcW w:w="818" w:type="pct"/>
            <w:noWrap/>
            <w:hideMark/>
          </w:tcPr>
          <w:p w14:paraId="0864014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Oscillospiraceae</w:t>
            </w:r>
          </w:p>
          <w:p w14:paraId="7F9193A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EDB250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3.32E-05</w:t>
            </w:r>
          </w:p>
        </w:tc>
        <w:tc>
          <w:tcPr>
            <w:tcW w:w="597" w:type="pct"/>
            <w:noWrap/>
            <w:hideMark/>
          </w:tcPr>
          <w:p w14:paraId="082719B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1.86E-04</w:t>
            </w:r>
          </w:p>
        </w:tc>
        <w:tc>
          <w:tcPr>
            <w:tcW w:w="747" w:type="pct"/>
            <w:noWrap/>
            <w:hideMark/>
          </w:tcPr>
          <w:p w14:paraId="5F11409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7.98E-03</w:t>
            </w:r>
          </w:p>
        </w:tc>
      </w:tr>
      <w:tr w:rsidR="00DA6475" w:rsidRPr="00435B6B" w14:paraId="0C40A6EA"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11124C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09BD072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Oscillospirales fa</w:t>
            </w:r>
          </w:p>
        </w:tc>
        <w:tc>
          <w:tcPr>
            <w:tcW w:w="818" w:type="pct"/>
            <w:noWrap/>
            <w:hideMark/>
          </w:tcPr>
          <w:p w14:paraId="33C8AF6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Oscillospirales ge</w:t>
            </w:r>
          </w:p>
        </w:tc>
        <w:tc>
          <w:tcPr>
            <w:tcW w:w="672" w:type="pct"/>
            <w:noWrap/>
            <w:hideMark/>
          </w:tcPr>
          <w:p w14:paraId="34FEAD6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2.96E-05</w:t>
            </w:r>
          </w:p>
        </w:tc>
        <w:tc>
          <w:tcPr>
            <w:tcW w:w="597" w:type="pct"/>
            <w:noWrap/>
            <w:hideMark/>
          </w:tcPr>
          <w:p w14:paraId="294FC8A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1.02E-04</w:t>
            </w:r>
          </w:p>
        </w:tc>
        <w:tc>
          <w:tcPr>
            <w:tcW w:w="747" w:type="pct"/>
            <w:noWrap/>
            <w:hideMark/>
          </w:tcPr>
          <w:p w14:paraId="74D0E07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2.47E-02</w:t>
            </w:r>
          </w:p>
        </w:tc>
      </w:tr>
      <w:tr w:rsidR="00DA6475" w:rsidRPr="00435B6B" w14:paraId="4F3AF4C8"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750212C"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815575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Oscillospirales</w:t>
            </w:r>
          </w:p>
          <w:p w14:paraId="75C5AEC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818" w:type="pct"/>
            <w:noWrap/>
            <w:hideMark/>
          </w:tcPr>
          <w:p w14:paraId="3BCFDFC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Oscillospirales</w:t>
            </w:r>
          </w:p>
          <w:p w14:paraId="30C82E4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0AA35B7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1.11E-05</w:t>
            </w:r>
          </w:p>
        </w:tc>
        <w:tc>
          <w:tcPr>
            <w:tcW w:w="597" w:type="pct"/>
            <w:noWrap/>
            <w:hideMark/>
          </w:tcPr>
          <w:p w14:paraId="37F8B4A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5.67E-05</w:t>
            </w:r>
          </w:p>
        </w:tc>
        <w:tc>
          <w:tcPr>
            <w:tcW w:w="747" w:type="pct"/>
            <w:noWrap/>
            <w:hideMark/>
          </w:tcPr>
          <w:p w14:paraId="5B365A8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35CB9974"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3CD886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EF6B8E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Oxobacteraceae</w:t>
            </w:r>
          </w:p>
        </w:tc>
        <w:tc>
          <w:tcPr>
            <w:tcW w:w="818" w:type="pct"/>
            <w:noWrap/>
            <w:hideMark/>
          </w:tcPr>
          <w:p w14:paraId="7A20357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Oxobacter</w:t>
            </w:r>
          </w:p>
        </w:tc>
        <w:tc>
          <w:tcPr>
            <w:tcW w:w="672" w:type="pct"/>
            <w:noWrap/>
            <w:hideMark/>
          </w:tcPr>
          <w:p w14:paraId="40AFA48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2D4836A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1.37E-05</w:t>
            </w:r>
          </w:p>
        </w:tc>
        <w:tc>
          <w:tcPr>
            <w:tcW w:w="747" w:type="pct"/>
            <w:noWrap/>
            <w:hideMark/>
          </w:tcPr>
          <w:p w14:paraId="4665431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4.60E-02</w:t>
            </w:r>
          </w:p>
        </w:tc>
      </w:tr>
      <w:tr w:rsidR="00DA6475" w:rsidRPr="00435B6B" w14:paraId="180B2E82"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ECAD7A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26BFD35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Peptostreptococcaceae</w:t>
            </w:r>
          </w:p>
        </w:tc>
        <w:tc>
          <w:tcPr>
            <w:tcW w:w="818" w:type="pct"/>
            <w:noWrap/>
            <w:hideMark/>
          </w:tcPr>
          <w:p w14:paraId="281BC13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Peptoclostridium</w:t>
            </w:r>
          </w:p>
        </w:tc>
        <w:tc>
          <w:tcPr>
            <w:tcW w:w="672" w:type="pct"/>
            <w:noWrap/>
            <w:hideMark/>
          </w:tcPr>
          <w:p w14:paraId="4BD04A8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3.94E-04</w:t>
            </w:r>
          </w:p>
        </w:tc>
        <w:tc>
          <w:tcPr>
            <w:tcW w:w="597" w:type="pct"/>
            <w:noWrap/>
            <w:hideMark/>
          </w:tcPr>
          <w:p w14:paraId="10C8C87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2.84E-05</w:t>
            </w:r>
          </w:p>
        </w:tc>
        <w:tc>
          <w:tcPr>
            <w:tcW w:w="747" w:type="pct"/>
            <w:noWrap/>
            <w:hideMark/>
          </w:tcPr>
          <w:p w14:paraId="01BF040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3.13E-02</w:t>
            </w:r>
          </w:p>
        </w:tc>
      </w:tr>
      <w:tr w:rsidR="00DA6475" w:rsidRPr="00435B6B" w14:paraId="244C5D63"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003E529"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307AF54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Sedimentibacteraceae</w:t>
            </w:r>
          </w:p>
        </w:tc>
        <w:tc>
          <w:tcPr>
            <w:tcW w:w="818" w:type="pct"/>
            <w:noWrap/>
            <w:hideMark/>
          </w:tcPr>
          <w:p w14:paraId="7820F5D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Sedimentibacter</w:t>
            </w:r>
          </w:p>
        </w:tc>
        <w:tc>
          <w:tcPr>
            <w:tcW w:w="672" w:type="pct"/>
            <w:noWrap/>
            <w:hideMark/>
          </w:tcPr>
          <w:p w14:paraId="23843E9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3.38E-07</w:t>
            </w:r>
          </w:p>
        </w:tc>
        <w:tc>
          <w:tcPr>
            <w:tcW w:w="597" w:type="pct"/>
            <w:noWrap/>
            <w:hideMark/>
          </w:tcPr>
          <w:p w14:paraId="2362044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1.55E-05</w:t>
            </w:r>
          </w:p>
        </w:tc>
        <w:tc>
          <w:tcPr>
            <w:tcW w:w="747" w:type="pct"/>
            <w:noWrap/>
            <w:hideMark/>
          </w:tcPr>
          <w:p w14:paraId="024B782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2.17E-02</w:t>
            </w:r>
          </w:p>
        </w:tc>
      </w:tr>
      <w:tr w:rsidR="00DA6475" w:rsidRPr="00435B6B" w14:paraId="6060EEA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0A758D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4F06F6B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Acidaminococcaceae</w:t>
            </w:r>
          </w:p>
        </w:tc>
        <w:tc>
          <w:tcPr>
            <w:tcW w:w="818" w:type="pct"/>
            <w:noWrap/>
            <w:hideMark/>
          </w:tcPr>
          <w:p w14:paraId="5934559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Succiniclasticum</w:t>
            </w:r>
          </w:p>
        </w:tc>
        <w:tc>
          <w:tcPr>
            <w:tcW w:w="672" w:type="pct"/>
            <w:noWrap/>
            <w:hideMark/>
          </w:tcPr>
          <w:p w14:paraId="47C4BD7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61A5C49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1.02E-05</w:t>
            </w:r>
          </w:p>
        </w:tc>
        <w:tc>
          <w:tcPr>
            <w:tcW w:w="747" w:type="pct"/>
            <w:noWrap/>
            <w:hideMark/>
          </w:tcPr>
          <w:p w14:paraId="2F72C0F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4.60E-02</w:t>
            </w:r>
          </w:p>
        </w:tc>
      </w:tr>
      <w:tr w:rsidR="00DA6475" w:rsidRPr="00435B6B" w14:paraId="282BC41C"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1B1A99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7C2A1B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Erysipelotrichaceae</w:t>
            </w:r>
          </w:p>
        </w:tc>
        <w:tc>
          <w:tcPr>
            <w:tcW w:w="818" w:type="pct"/>
            <w:noWrap/>
            <w:hideMark/>
          </w:tcPr>
          <w:p w14:paraId="20C2263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Turicibacter</w:t>
            </w:r>
          </w:p>
        </w:tc>
        <w:tc>
          <w:tcPr>
            <w:tcW w:w="672" w:type="pct"/>
            <w:noWrap/>
            <w:hideMark/>
          </w:tcPr>
          <w:p w14:paraId="534038A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7.95E-05</w:t>
            </w:r>
          </w:p>
        </w:tc>
        <w:tc>
          <w:tcPr>
            <w:tcW w:w="597" w:type="pct"/>
            <w:noWrap/>
            <w:hideMark/>
          </w:tcPr>
          <w:p w14:paraId="61CA85D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2.09E-04</w:t>
            </w:r>
          </w:p>
        </w:tc>
        <w:tc>
          <w:tcPr>
            <w:tcW w:w="747" w:type="pct"/>
            <w:noWrap/>
            <w:hideMark/>
          </w:tcPr>
          <w:p w14:paraId="317D1F6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2.05E-02</w:t>
            </w:r>
          </w:p>
        </w:tc>
      </w:tr>
      <w:tr w:rsidR="00DA6475" w:rsidRPr="00435B6B" w14:paraId="4E8F66DA"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20F3765"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0CCCF3A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UCG-010</w:t>
            </w:r>
          </w:p>
        </w:tc>
        <w:tc>
          <w:tcPr>
            <w:tcW w:w="818" w:type="pct"/>
            <w:noWrap/>
            <w:hideMark/>
          </w:tcPr>
          <w:p w14:paraId="2DAB74C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UCG-010 ge</w:t>
            </w:r>
          </w:p>
        </w:tc>
        <w:tc>
          <w:tcPr>
            <w:tcW w:w="672" w:type="pct"/>
            <w:noWrap/>
            <w:hideMark/>
          </w:tcPr>
          <w:p w14:paraId="25ACCC5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8.94E-06</w:t>
            </w:r>
          </w:p>
        </w:tc>
        <w:tc>
          <w:tcPr>
            <w:tcW w:w="597" w:type="pct"/>
            <w:noWrap/>
            <w:hideMark/>
          </w:tcPr>
          <w:p w14:paraId="712806B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5.02E-05</w:t>
            </w:r>
          </w:p>
        </w:tc>
        <w:tc>
          <w:tcPr>
            <w:tcW w:w="747" w:type="pct"/>
            <w:noWrap/>
            <w:hideMark/>
          </w:tcPr>
          <w:p w14:paraId="27965D8B"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1.93E-02</w:t>
            </w:r>
          </w:p>
        </w:tc>
      </w:tr>
      <w:tr w:rsidR="00DA6475" w:rsidRPr="00435B6B" w14:paraId="0B23360C"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E698C5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623ABD7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Veillonellaceae</w:t>
            </w:r>
          </w:p>
        </w:tc>
        <w:tc>
          <w:tcPr>
            <w:tcW w:w="818" w:type="pct"/>
            <w:noWrap/>
            <w:hideMark/>
          </w:tcPr>
          <w:p w14:paraId="0282D3C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Veillonella</w:t>
            </w:r>
          </w:p>
        </w:tc>
        <w:tc>
          <w:tcPr>
            <w:tcW w:w="672" w:type="pct"/>
            <w:noWrap/>
            <w:hideMark/>
          </w:tcPr>
          <w:p w14:paraId="7002209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2.05E-05</w:t>
            </w:r>
          </w:p>
        </w:tc>
        <w:tc>
          <w:tcPr>
            <w:tcW w:w="597" w:type="pct"/>
            <w:noWrap/>
            <w:hideMark/>
          </w:tcPr>
          <w:p w14:paraId="1CA9821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1.48E-04</w:t>
            </w:r>
          </w:p>
        </w:tc>
        <w:tc>
          <w:tcPr>
            <w:tcW w:w="747" w:type="pct"/>
            <w:noWrap/>
            <w:hideMark/>
          </w:tcPr>
          <w:p w14:paraId="2DF0D4D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2.17E-02</w:t>
            </w:r>
          </w:p>
        </w:tc>
      </w:tr>
      <w:tr w:rsidR="00DA6475" w:rsidRPr="00435B6B" w14:paraId="65F1E1BD"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0DD255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Firmicutes</w:t>
            </w:r>
          </w:p>
        </w:tc>
        <w:tc>
          <w:tcPr>
            <w:tcW w:w="1120" w:type="pct"/>
            <w:noWrap/>
            <w:hideMark/>
          </w:tcPr>
          <w:p w14:paraId="1EEDDF7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Lachnospiraceae</w:t>
            </w:r>
          </w:p>
        </w:tc>
        <w:tc>
          <w:tcPr>
            <w:tcW w:w="818" w:type="pct"/>
            <w:noWrap/>
            <w:hideMark/>
          </w:tcPr>
          <w:p w14:paraId="26A354F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XBB1006</w:t>
            </w:r>
          </w:p>
        </w:tc>
        <w:tc>
          <w:tcPr>
            <w:tcW w:w="672" w:type="pct"/>
            <w:noWrap/>
            <w:hideMark/>
          </w:tcPr>
          <w:p w14:paraId="62FF550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3.29E-07</w:t>
            </w:r>
          </w:p>
        </w:tc>
        <w:tc>
          <w:tcPr>
            <w:tcW w:w="597" w:type="pct"/>
            <w:noWrap/>
            <w:hideMark/>
          </w:tcPr>
          <w:p w14:paraId="786EE54E"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3.04E-05</w:t>
            </w:r>
          </w:p>
        </w:tc>
        <w:tc>
          <w:tcPr>
            <w:tcW w:w="747" w:type="pct"/>
            <w:noWrap/>
            <w:hideMark/>
          </w:tcPr>
          <w:p w14:paraId="515FDEC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2.17E-02</w:t>
            </w:r>
          </w:p>
        </w:tc>
      </w:tr>
      <w:tr w:rsidR="00DA6475" w:rsidRPr="00435B6B" w14:paraId="31502F9E"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B6DF60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Fusobacteriota</w:t>
            </w:r>
          </w:p>
        </w:tc>
        <w:tc>
          <w:tcPr>
            <w:tcW w:w="1120" w:type="pct"/>
            <w:noWrap/>
            <w:hideMark/>
          </w:tcPr>
          <w:p w14:paraId="1483AF94"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Fusobacteriaceae</w:t>
            </w:r>
          </w:p>
        </w:tc>
        <w:tc>
          <w:tcPr>
            <w:tcW w:w="818" w:type="pct"/>
            <w:noWrap/>
            <w:hideMark/>
          </w:tcPr>
          <w:p w14:paraId="1AF3761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Fusobacterium</w:t>
            </w:r>
          </w:p>
        </w:tc>
        <w:tc>
          <w:tcPr>
            <w:tcW w:w="672" w:type="pct"/>
            <w:noWrap/>
            <w:hideMark/>
          </w:tcPr>
          <w:p w14:paraId="09071CF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1.80E-05</w:t>
            </w:r>
          </w:p>
        </w:tc>
        <w:tc>
          <w:tcPr>
            <w:tcW w:w="597" w:type="pct"/>
            <w:noWrap/>
            <w:hideMark/>
          </w:tcPr>
          <w:p w14:paraId="70EEEED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1.08E-04</w:t>
            </w:r>
          </w:p>
        </w:tc>
        <w:tc>
          <w:tcPr>
            <w:tcW w:w="747" w:type="pct"/>
            <w:noWrap/>
            <w:hideMark/>
          </w:tcPr>
          <w:p w14:paraId="194CC5E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4.62E-03</w:t>
            </w:r>
          </w:p>
        </w:tc>
      </w:tr>
      <w:tr w:rsidR="00DA6475" w:rsidRPr="00435B6B" w14:paraId="579BD73B"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C3F82E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5B8EF00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Acetobacteraceae</w:t>
            </w:r>
          </w:p>
        </w:tc>
        <w:tc>
          <w:tcPr>
            <w:tcW w:w="818" w:type="pct"/>
            <w:noWrap/>
            <w:hideMark/>
          </w:tcPr>
          <w:p w14:paraId="159C0BD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Acetobacteraceae</w:t>
            </w:r>
          </w:p>
          <w:p w14:paraId="1E7F579B"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16508BA2"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8.43E-06</w:t>
            </w:r>
          </w:p>
        </w:tc>
        <w:tc>
          <w:tcPr>
            <w:tcW w:w="597" w:type="pct"/>
            <w:noWrap/>
            <w:hideMark/>
          </w:tcPr>
          <w:p w14:paraId="2B0993C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3.52E-05</w:t>
            </w:r>
          </w:p>
        </w:tc>
        <w:tc>
          <w:tcPr>
            <w:tcW w:w="747" w:type="pct"/>
            <w:noWrap/>
            <w:hideMark/>
          </w:tcPr>
          <w:p w14:paraId="29770F8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2.13E-02</w:t>
            </w:r>
          </w:p>
        </w:tc>
      </w:tr>
      <w:tr w:rsidR="00DA6475" w:rsidRPr="00435B6B" w14:paraId="30C5B6CA"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09CD1D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6B2A218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Moraxellaceae</w:t>
            </w:r>
          </w:p>
        </w:tc>
        <w:tc>
          <w:tcPr>
            <w:tcW w:w="818" w:type="pct"/>
            <w:noWrap/>
            <w:hideMark/>
          </w:tcPr>
          <w:p w14:paraId="4A5539B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Acinetobacter</w:t>
            </w:r>
          </w:p>
        </w:tc>
        <w:tc>
          <w:tcPr>
            <w:tcW w:w="672" w:type="pct"/>
            <w:noWrap/>
            <w:hideMark/>
          </w:tcPr>
          <w:p w14:paraId="4295180C"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2.04E-04</w:t>
            </w:r>
          </w:p>
        </w:tc>
        <w:tc>
          <w:tcPr>
            <w:tcW w:w="597" w:type="pct"/>
            <w:noWrap/>
            <w:hideMark/>
          </w:tcPr>
          <w:p w14:paraId="6CC85F05"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3.35E-04</w:t>
            </w:r>
          </w:p>
        </w:tc>
        <w:tc>
          <w:tcPr>
            <w:tcW w:w="747" w:type="pct"/>
            <w:noWrap/>
            <w:hideMark/>
          </w:tcPr>
          <w:p w14:paraId="5DF23AC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1.45E-02</w:t>
            </w:r>
          </w:p>
        </w:tc>
      </w:tr>
      <w:tr w:rsidR="00DA6475" w:rsidRPr="00435B6B" w14:paraId="40E49224"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C023CB3"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6CDF664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Alcaligenaceae</w:t>
            </w:r>
          </w:p>
        </w:tc>
        <w:tc>
          <w:tcPr>
            <w:tcW w:w="818" w:type="pct"/>
            <w:noWrap/>
            <w:hideMark/>
          </w:tcPr>
          <w:p w14:paraId="5163CE6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Alcaligenaceae</w:t>
            </w:r>
          </w:p>
          <w:p w14:paraId="7CF1C47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620A156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2.00E-05</w:t>
            </w:r>
          </w:p>
        </w:tc>
        <w:tc>
          <w:tcPr>
            <w:tcW w:w="597" w:type="pct"/>
            <w:noWrap/>
            <w:hideMark/>
          </w:tcPr>
          <w:p w14:paraId="37E37E5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5.80E-05</w:t>
            </w:r>
          </w:p>
        </w:tc>
        <w:tc>
          <w:tcPr>
            <w:tcW w:w="747" w:type="pct"/>
            <w:noWrap/>
            <w:hideMark/>
          </w:tcPr>
          <w:p w14:paraId="2D7371E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4.28E-02</w:t>
            </w:r>
          </w:p>
        </w:tc>
      </w:tr>
      <w:tr w:rsidR="00DA6475" w:rsidRPr="00435B6B" w14:paraId="0B76BA51"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BC73AE8"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452BA93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Alcaligenaceae</w:t>
            </w:r>
          </w:p>
        </w:tc>
        <w:tc>
          <w:tcPr>
            <w:tcW w:w="818" w:type="pct"/>
            <w:noWrap/>
            <w:hideMark/>
          </w:tcPr>
          <w:p w14:paraId="3707F2D5"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Alcaligenes</w:t>
            </w:r>
          </w:p>
        </w:tc>
        <w:tc>
          <w:tcPr>
            <w:tcW w:w="672" w:type="pct"/>
            <w:noWrap/>
            <w:hideMark/>
          </w:tcPr>
          <w:p w14:paraId="46FBAA4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3.47E-05</w:t>
            </w:r>
          </w:p>
        </w:tc>
        <w:tc>
          <w:tcPr>
            <w:tcW w:w="597" w:type="pct"/>
            <w:noWrap/>
            <w:hideMark/>
          </w:tcPr>
          <w:p w14:paraId="3FC0118D"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1.88E-04</w:t>
            </w:r>
          </w:p>
        </w:tc>
        <w:tc>
          <w:tcPr>
            <w:tcW w:w="747" w:type="pct"/>
            <w:noWrap/>
            <w:hideMark/>
          </w:tcPr>
          <w:p w14:paraId="466E2B0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4.62E-03</w:t>
            </w:r>
          </w:p>
        </w:tc>
      </w:tr>
      <w:tr w:rsidR="00DA6475" w:rsidRPr="00435B6B" w14:paraId="2961B184"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64D65D1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0EBD0C07"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Burkholderiaceae</w:t>
            </w:r>
          </w:p>
        </w:tc>
        <w:tc>
          <w:tcPr>
            <w:tcW w:w="818" w:type="pct"/>
            <w:noWrap/>
            <w:hideMark/>
          </w:tcPr>
          <w:p w14:paraId="05831A8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Burkholderia</w:t>
            </w:r>
          </w:p>
          <w:p w14:paraId="119D401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Caballeronia</w:t>
            </w:r>
          </w:p>
          <w:p w14:paraId="58AFF7F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Paraburkholderia</w:t>
            </w:r>
          </w:p>
        </w:tc>
        <w:tc>
          <w:tcPr>
            <w:tcW w:w="672" w:type="pct"/>
            <w:noWrap/>
            <w:hideMark/>
          </w:tcPr>
          <w:p w14:paraId="71C96BA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2.07E-05</w:t>
            </w:r>
          </w:p>
        </w:tc>
        <w:tc>
          <w:tcPr>
            <w:tcW w:w="597" w:type="pct"/>
            <w:noWrap/>
            <w:hideMark/>
          </w:tcPr>
          <w:p w14:paraId="57335E6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6.46E-05</w:t>
            </w:r>
          </w:p>
        </w:tc>
        <w:tc>
          <w:tcPr>
            <w:tcW w:w="747" w:type="pct"/>
            <w:noWrap/>
            <w:hideMark/>
          </w:tcPr>
          <w:p w14:paraId="68B9579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4.28E-02</w:t>
            </w:r>
          </w:p>
        </w:tc>
      </w:tr>
      <w:tr w:rsidR="00DA6475" w:rsidRPr="00435B6B" w14:paraId="5D1C2085"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3E3EC3F"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79EAF7D0"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Moraxellaceae</w:t>
            </w:r>
          </w:p>
        </w:tc>
        <w:tc>
          <w:tcPr>
            <w:tcW w:w="818" w:type="pct"/>
            <w:noWrap/>
            <w:hideMark/>
          </w:tcPr>
          <w:p w14:paraId="4631D8FA"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Enhydrobacter</w:t>
            </w:r>
          </w:p>
        </w:tc>
        <w:tc>
          <w:tcPr>
            <w:tcW w:w="672" w:type="pct"/>
            <w:noWrap/>
            <w:hideMark/>
          </w:tcPr>
          <w:p w14:paraId="015DD6C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6.93E-06</w:t>
            </w:r>
          </w:p>
        </w:tc>
        <w:tc>
          <w:tcPr>
            <w:tcW w:w="597" w:type="pct"/>
            <w:noWrap/>
            <w:hideMark/>
          </w:tcPr>
          <w:p w14:paraId="080434C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4.57E-05</w:t>
            </w:r>
          </w:p>
        </w:tc>
        <w:tc>
          <w:tcPr>
            <w:tcW w:w="747" w:type="pct"/>
            <w:noWrap/>
            <w:hideMark/>
          </w:tcPr>
          <w:p w14:paraId="2468A203"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2.05E-02</w:t>
            </w:r>
          </w:p>
        </w:tc>
      </w:tr>
      <w:tr w:rsidR="00DA6475" w:rsidRPr="00435B6B" w14:paraId="14B9B176"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B188531"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16BA762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Rhodobacteraceae</w:t>
            </w:r>
          </w:p>
        </w:tc>
        <w:tc>
          <w:tcPr>
            <w:tcW w:w="818" w:type="pct"/>
            <w:noWrap/>
            <w:hideMark/>
          </w:tcPr>
          <w:p w14:paraId="0A5294D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HIMB11</w:t>
            </w:r>
          </w:p>
        </w:tc>
        <w:tc>
          <w:tcPr>
            <w:tcW w:w="672" w:type="pct"/>
            <w:noWrap/>
            <w:hideMark/>
          </w:tcPr>
          <w:p w14:paraId="1D251FE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1.74E-05</w:t>
            </w:r>
          </w:p>
        </w:tc>
        <w:tc>
          <w:tcPr>
            <w:tcW w:w="597" w:type="pct"/>
            <w:noWrap/>
            <w:hideMark/>
          </w:tcPr>
          <w:p w14:paraId="344596F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1.29E-04</w:t>
            </w:r>
          </w:p>
        </w:tc>
        <w:tc>
          <w:tcPr>
            <w:tcW w:w="747" w:type="pct"/>
            <w:noWrap/>
            <w:hideMark/>
          </w:tcPr>
          <w:p w14:paraId="6CBC73F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6B90AA75"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2D9B08B"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64569292"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Hydrogenophilaceae</w:t>
            </w:r>
          </w:p>
        </w:tc>
        <w:tc>
          <w:tcPr>
            <w:tcW w:w="818" w:type="pct"/>
            <w:noWrap/>
            <w:hideMark/>
          </w:tcPr>
          <w:p w14:paraId="6841CF3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Hydrogenophilus</w:t>
            </w:r>
          </w:p>
        </w:tc>
        <w:tc>
          <w:tcPr>
            <w:tcW w:w="672" w:type="pct"/>
            <w:noWrap/>
            <w:hideMark/>
          </w:tcPr>
          <w:p w14:paraId="3FB76B90"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3.91E-05</w:t>
            </w:r>
          </w:p>
        </w:tc>
        <w:tc>
          <w:tcPr>
            <w:tcW w:w="597" w:type="pct"/>
            <w:noWrap/>
            <w:hideMark/>
          </w:tcPr>
          <w:p w14:paraId="7AA65371"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8.68E-05</w:t>
            </w:r>
          </w:p>
        </w:tc>
        <w:tc>
          <w:tcPr>
            <w:tcW w:w="747" w:type="pct"/>
            <w:noWrap/>
            <w:hideMark/>
          </w:tcPr>
          <w:p w14:paraId="59DC17F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1.26E-02</w:t>
            </w:r>
          </w:p>
        </w:tc>
      </w:tr>
      <w:tr w:rsidR="00DA6475" w:rsidRPr="00435B6B" w14:paraId="1719205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7E84623"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14D77B7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Rhodobacteraceae</w:t>
            </w:r>
          </w:p>
        </w:tc>
        <w:tc>
          <w:tcPr>
            <w:tcW w:w="818" w:type="pct"/>
            <w:noWrap/>
            <w:hideMark/>
          </w:tcPr>
          <w:p w14:paraId="29A85A6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Marivivens</w:t>
            </w:r>
          </w:p>
        </w:tc>
        <w:tc>
          <w:tcPr>
            <w:tcW w:w="672" w:type="pct"/>
            <w:noWrap/>
            <w:hideMark/>
          </w:tcPr>
          <w:p w14:paraId="3AA0D08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8.28E-07</w:t>
            </w:r>
          </w:p>
        </w:tc>
        <w:tc>
          <w:tcPr>
            <w:tcW w:w="597" w:type="pct"/>
            <w:noWrap/>
            <w:hideMark/>
          </w:tcPr>
          <w:p w14:paraId="466D6E5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3.33E-05</w:t>
            </w:r>
          </w:p>
        </w:tc>
        <w:tc>
          <w:tcPr>
            <w:tcW w:w="747" w:type="pct"/>
            <w:noWrap/>
            <w:hideMark/>
          </w:tcPr>
          <w:p w14:paraId="6F2FC803"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1.26E-02</w:t>
            </w:r>
          </w:p>
        </w:tc>
      </w:tr>
      <w:tr w:rsidR="00DA6475" w:rsidRPr="00435B6B" w14:paraId="42323196"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39F97567"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3219D02D"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tc>
        <w:tc>
          <w:tcPr>
            <w:tcW w:w="818" w:type="pct"/>
            <w:noWrap/>
            <w:hideMark/>
          </w:tcPr>
          <w:p w14:paraId="23542D6F"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Massilia</w:t>
            </w:r>
          </w:p>
        </w:tc>
        <w:tc>
          <w:tcPr>
            <w:tcW w:w="672" w:type="pct"/>
            <w:noWrap/>
            <w:hideMark/>
          </w:tcPr>
          <w:p w14:paraId="6F5FC20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1.15E-05</w:t>
            </w:r>
          </w:p>
        </w:tc>
        <w:tc>
          <w:tcPr>
            <w:tcW w:w="597" w:type="pct"/>
            <w:noWrap/>
            <w:hideMark/>
          </w:tcPr>
          <w:p w14:paraId="47A47EE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5.16E-05</w:t>
            </w:r>
          </w:p>
        </w:tc>
        <w:tc>
          <w:tcPr>
            <w:tcW w:w="747" w:type="pct"/>
            <w:noWrap/>
            <w:hideMark/>
          </w:tcPr>
          <w:p w14:paraId="0CA572C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4E302D11"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AA51EC9"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4B9ACFF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Beijerinckiaceae</w:t>
            </w:r>
          </w:p>
        </w:tc>
        <w:tc>
          <w:tcPr>
            <w:tcW w:w="818" w:type="pct"/>
            <w:noWrap/>
            <w:hideMark/>
          </w:tcPr>
          <w:p w14:paraId="0D28695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Methylobacterium-</w:t>
            </w:r>
          </w:p>
          <w:p w14:paraId="625DA35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Methylorubrum</w:t>
            </w:r>
          </w:p>
        </w:tc>
        <w:tc>
          <w:tcPr>
            <w:tcW w:w="672" w:type="pct"/>
            <w:noWrap/>
            <w:hideMark/>
          </w:tcPr>
          <w:p w14:paraId="3D511D8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3.61E-05</w:t>
            </w:r>
          </w:p>
        </w:tc>
        <w:tc>
          <w:tcPr>
            <w:tcW w:w="597" w:type="pct"/>
            <w:noWrap/>
            <w:hideMark/>
          </w:tcPr>
          <w:p w14:paraId="6BE759E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1.66E-03</w:t>
            </w:r>
          </w:p>
        </w:tc>
        <w:tc>
          <w:tcPr>
            <w:tcW w:w="747" w:type="pct"/>
            <w:noWrap/>
            <w:hideMark/>
          </w:tcPr>
          <w:p w14:paraId="256FD44C"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2.25E-02</w:t>
            </w:r>
          </w:p>
        </w:tc>
      </w:tr>
      <w:tr w:rsidR="00DA6475" w:rsidRPr="00435B6B" w14:paraId="0BF04DD5"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93DCDA1"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430654E8"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Sphingomonadaceae</w:t>
            </w:r>
          </w:p>
        </w:tc>
        <w:tc>
          <w:tcPr>
            <w:tcW w:w="818" w:type="pct"/>
            <w:noWrap/>
            <w:hideMark/>
          </w:tcPr>
          <w:p w14:paraId="64F423B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Novosphingobium</w:t>
            </w:r>
          </w:p>
        </w:tc>
        <w:tc>
          <w:tcPr>
            <w:tcW w:w="672" w:type="pct"/>
            <w:noWrap/>
            <w:hideMark/>
          </w:tcPr>
          <w:p w14:paraId="050A2E39"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4.12E-06</w:t>
            </w:r>
          </w:p>
        </w:tc>
        <w:tc>
          <w:tcPr>
            <w:tcW w:w="597" w:type="pct"/>
            <w:noWrap/>
            <w:hideMark/>
          </w:tcPr>
          <w:p w14:paraId="729BE9E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3.18E-05</w:t>
            </w:r>
          </w:p>
        </w:tc>
        <w:tc>
          <w:tcPr>
            <w:tcW w:w="747" w:type="pct"/>
            <w:noWrap/>
            <w:hideMark/>
          </w:tcPr>
          <w:p w14:paraId="6269B276"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1A2D5313"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CE6AC9D"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5878BA6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tc>
        <w:tc>
          <w:tcPr>
            <w:tcW w:w="818" w:type="pct"/>
            <w:noWrap/>
            <w:hideMark/>
          </w:tcPr>
          <w:p w14:paraId="2A940A8A"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Oxalobacteraceae</w:t>
            </w:r>
          </w:p>
          <w:p w14:paraId="0C65130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1C986EB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9.20E-06</w:t>
            </w:r>
          </w:p>
        </w:tc>
        <w:tc>
          <w:tcPr>
            <w:tcW w:w="597" w:type="pct"/>
            <w:noWrap/>
            <w:hideMark/>
          </w:tcPr>
          <w:p w14:paraId="1EDBC3D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3.73E-05</w:t>
            </w:r>
          </w:p>
        </w:tc>
        <w:tc>
          <w:tcPr>
            <w:tcW w:w="747" w:type="pct"/>
            <w:noWrap/>
            <w:hideMark/>
          </w:tcPr>
          <w:p w14:paraId="6FF4B76A"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58F6DC68"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7D8B33A"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2F60A22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Sphingomonadaceae</w:t>
            </w:r>
          </w:p>
        </w:tc>
        <w:tc>
          <w:tcPr>
            <w:tcW w:w="818" w:type="pct"/>
            <w:noWrap/>
            <w:hideMark/>
          </w:tcPr>
          <w:p w14:paraId="293A2D4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Qipengyuania</w:t>
            </w:r>
          </w:p>
        </w:tc>
        <w:tc>
          <w:tcPr>
            <w:tcW w:w="672" w:type="pct"/>
            <w:noWrap/>
            <w:hideMark/>
          </w:tcPr>
          <w:p w14:paraId="37E6E41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2FC91927"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1.14E-05</w:t>
            </w:r>
          </w:p>
        </w:tc>
        <w:tc>
          <w:tcPr>
            <w:tcW w:w="747" w:type="pct"/>
            <w:noWrap/>
            <w:hideMark/>
          </w:tcPr>
          <w:p w14:paraId="50D6BBF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1.54E-02</w:t>
            </w:r>
          </w:p>
        </w:tc>
      </w:tr>
      <w:tr w:rsidR="00DA6475" w:rsidRPr="00435B6B" w14:paraId="7855B4D3"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1727985"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6FACA0D4"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Rhizobiales</w:t>
            </w:r>
          </w:p>
          <w:p w14:paraId="4CA2EA16"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818" w:type="pct"/>
            <w:noWrap/>
            <w:hideMark/>
          </w:tcPr>
          <w:p w14:paraId="20FB3E9D"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Rhizobiales</w:t>
            </w:r>
          </w:p>
          <w:p w14:paraId="619DC0BC"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7BF7D2DF"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1.04E-04</w:t>
            </w:r>
          </w:p>
        </w:tc>
        <w:tc>
          <w:tcPr>
            <w:tcW w:w="597" w:type="pct"/>
            <w:noWrap/>
            <w:hideMark/>
          </w:tcPr>
          <w:p w14:paraId="6D61A86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5.41E-04</w:t>
            </w:r>
          </w:p>
        </w:tc>
        <w:tc>
          <w:tcPr>
            <w:tcW w:w="747" w:type="pct"/>
            <w:noWrap/>
            <w:hideMark/>
          </w:tcPr>
          <w:p w14:paraId="568646C4"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1.71E-02</w:t>
            </w:r>
          </w:p>
        </w:tc>
      </w:tr>
      <w:tr w:rsidR="00DA6475" w:rsidRPr="00435B6B" w14:paraId="741415F8"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B070AE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2838EF8B"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Acetobacteraceae</w:t>
            </w:r>
          </w:p>
        </w:tc>
        <w:tc>
          <w:tcPr>
            <w:tcW w:w="818" w:type="pct"/>
            <w:noWrap/>
            <w:hideMark/>
          </w:tcPr>
          <w:p w14:paraId="2B4A7BDE"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Roseomonas</w:t>
            </w:r>
          </w:p>
        </w:tc>
        <w:tc>
          <w:tcPr>
            <w:tcW w:w="672" w:type="pct"/>
            <w:noWrap/>
            <w:hideMark/>
          </w:tcPr>
          <w:p w14:paraId="637EBB5A"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0FE6656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1.23E-05</w:t>
            </w:r>
          </w:p>
        </w:tc>
        <w:tc>
          <w:tcPr>
            <w:tcW w:w="747" w:type="pct"/>
            <w:noWrap/>
            <w:hideMark/>
          </w:tcPr>
          <w:p w14:paraId="14CC137B"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2.00E-02</w:t>
            </w:r>
          </w:p>
        </w:tc>
      </w:tr>
      <w:tr w:rsidR="00DA6475" w:rsidRPr="00435B6B" w14:paraId="0E0DC36C"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19BC574"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0FF2BE72"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Porticoccaceae</w:t>
            </w:r>
          </w:p>
        </w:tc>
        <w:tc>
          <w:tcPr>
            <w:tcW w:w="818" w:type="pct"/>
            <w:noWrap/>
            <w:hideMark/>
          </w:tcPr>
          <w:p w14:paraId="6E80E3F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SAR92 clade</w:t>
            </w:r>
          </w:p>
        </w:tc>
        <w:tc>
          <w:tcPr>
            <w:tcW w:w="672" w:type="pct"/>
            <w:noWrap/>
            <w:hideMark/>
          </w:tcPr>
          <w:p w14:paraId="61B58E2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6.61E-07</w:t>
            </w:r>
          </w:p>
        </w:tc>
        <w:tc>
          <w:tcPr>
            <w:tcW w:w="597" w:type="pct"/>
            <w:noWrap/>
            <w:hideMark/>
          </w:tcPr>
          <w:p w14:paraId="0D1B8D3F"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2.69E-05</w:t>
            </w:r>
          </w:p>
        </w:tc>
        <w:tc>
          <w:tcPr>
            <w:tcW w:w="747" w:type="pct"/>
            <w:noWrap/>
            <w:hideMark/>
          </w:tcPr>
          <w:p w14:paraId="75064EE6"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3.85E-02</w:t>
            </w:r>
          </w:p>
        </w:tc>
      </w:tr>
      <w:tr w:rsidR="00DA6475" w:rsidRPr="00435B6B" w14:paraId="3E7EC54A"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410EAF12"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6B5F1F2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SC-I-84</w:t>
            </w:r>
          </w:p>
        </w:tc>
        <w:tc>
          <w:tcPr>
            <w:tcW w:w="818" w:type="pct"/>
            <w:noWrap/>
            <w:hideMark/>
          </w:tcPr>
          <w:p w14:paraId="3B3AFE4C"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SC-I-84 ge</w:t>
            </w:r>
          </w:p>
        </w:tc>
        <w:tc>
          <w:tcPr>
            <w:tcW w:w="672" w:type="pct"/>
            <w:noWrap/>
            <w:hideMark/>
          </w:tcPr>
          <w:p w14:paraId="613A8F6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9.14E-06</w:t>
            </w:r>
          </w:p>
        </w:tc>
        <w:tc>
          <w:tcPr>
            <w:tcW w:w="597" w:type="pct"/>
            <w:noWrap/>
            <w:hideMark/>
          </w:tcPr>
          <w:p w14:paraId="1E9D8FC2"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4.45E-05</w:t>
            </w:r>
          </w:p>
        </w:tc>
        <w:tc>
          <w:tcPr>
            <w:tcW w:w="747" w:type="pct"/>
            <w:noWrap/>
            <w:hideMark/>
          </w:tcPr>
          <w:p w14:paraId="1DA0D7AD"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1.26E-02</w:t>
            </w:r>
          </w:p>
        </w:tc>
      </w:tr>
      <w:tr w:rsidR="00DA6475" w:rsidRPr="00435B6B" w14:paraId="6D31689F"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20637FA0"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Proteobacteria</w:t>
            </w:r>
          </w:p>
        </w:tc>
        <w:tc>
          <w:tcPr>
            <w:tcW w:w="1120" w:type="pct"/>
            <w:noWrap/>
            <w:hideMark/>
          </w:tcPr>
          <w:p w14:paraId="2423EB8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Sphingomonadaceae</w:t>
            </w:r>
          </w:p>
        </w:tc>
        <w:tc>
          <w:tcPr>
            <w:tcW w:w="818" w:type="pct"/>
            <w:noWrap/>
            <w:hideMark/>
          </w:tcPr>
          <w:p w14:paraId="110E6731"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Sphingomonadaceae</w:t>
            </w:r>
          </w:p>
          <w:p w14:paraId="70998689"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4CCB176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2.61E-05</w:t>
            </w:r>
          </w:p>
        </w:tc>
        <w:tc>
          <w:tcPr>
            <w:tcW w:w="597" w:type="pct"/>
            <w:noWrap/>
            <w:hideMark/>
          </w:tcPr>
          <w:p w14:paraId="264D97F8"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1.20E-04</w:t>
            </w:r>
          </w:p>
        </w:tc>
        <w:tc>
          <w:tcPr>
            <w:tcW w:w="747" w:type="pct"/>
            <w:noWrap/>
            <w:hideMark/>
          </w:tcPr>
          <w:p w14:paraId="09CBDED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4.62E-03</w:t>
            </w:r>
          </w:p>
        </w:tc>
      </w:tr>
      <w:tr w:rsidR="00DA6475" w:rsidRPr="00435B6B" w14:paraId="7515BAEF"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1B879FA3"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1120" w:type="pct"/>
            <w:noWrap/>
            <w:hideMark/>
          </w:tcPr>
          <w:p w14:paraId="3D03FE11"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Akkermansiaceae</w:t>
            </w:r>
          </w:p>
        </w:tc>
        <w:tc>
          <w:tcPr>
            <w:tcW w:w="818" w:type="pct"/>
            <w:noWrap/>
            <w:hideMark/>
          </w:tcPr>
          <w:p w14:paraId="5D36A17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Akkermansia</w:t>
            </w:r>
          </w:p>
        </w:tc>
        <w:tc>
          <w:tcPr>
            <w:tcW w:w="672" w:type="pct"/>
            <w:noWrap/>
            <w:hideMark/>
          </w:tcPr>
          <w:p w14:paraId="13DC995D"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3.78E-05</w:t>
            </w:r>
          </w:p>
        </w:tc>
        <w:tc>
          <w:tcPr>
            <w:tcW w:w="597" w:type="pct"/>
            <w:noWrap/>
            <w:hideMark/>
          </w:tcPr>
          <w:p w14:paraId="10F43D6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1.41E-04</w:t>
            </w:r>
          </w:p>
        </w:tc>
        <w:tc>
          <w:tcPr>
            <w:tcW w:w="747" w:type="pct"/>
            <w:noWrap/>
            <w:hideMark/>
          </w:tcPr>
          <w:p w14:paraId="04E58B18"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8.06E-03</w:t>
            </w:r>
          </w:p>
        </w:tc>
      </w:tr>
      <w:tr w:rsidR="00DA6475" w:rsidRPr="00435B6B" w14:paraId="577688D3"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5DB14AE6"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1120" w:type="pct"/>
            <w:noWrap/>
            <w:hideMark/>
          </w:tcPr>
          <w:p w14:paraId="75933EEE"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Lentisphaeria unclassified</w:t>
            </w:r>
          </w:p>
        </w:tc>
        <w:tc>
          <w:tcPr>
            <w:tcW w:w="818" w:type="pct"/>
            <w:noWrap/>
            <w:hideMark/>
          </w:tcPr>
          <w:p w14:paraId="2CE22773"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Lentisphaeria</w:t>
            </w:r>
          </w:p>
          <w:p w14:paraId="7B102B55"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unclassified</w:t>
            </w:r>
          </w:p>
        </w:tc>
        <w:tc>
          <w:tcPr>
            <w:tcW w:w="672" w:type="pct"/>
            <w:noWrap/>
            <w:hideMark/>
          </w:tcPr>
          <w:p w14:paraId="365B63CD"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1.03E-03</w:t>
            </w:r>
          </w:p>
        </w:tc>
        <w:tc>
          <w:tcPr>
            <w:tcW w:w="597" w:type="pct"/>
            <w:noWrap/>
            <w:hideMark/>
          </w:tcPr>
          <w:p w14:paraId="6B107621"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6.15E-04</w:t>
            </w:r>
          </w:p>
        </w:tc>
        <w:tc>
          <w:tcPr>
            <w:tcW w:w="747" w:type="pct"/>
            <w:noWrap/>
            <w:hideMark/>
          </w:tcPr>
          <w:p w14:paraId="7190B4D7"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2.19E-02</w:t>
            </w:r>
          </w:p>
        </w:tc>
      </w:tr>
      <w:tr w:rsidR="00DA6475" w:rsidRPr="00435B6B" w14:paraId="3BD22FC6" w14:textId="77777777" w:rsidTr="007D6607">
        <w:trPr>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796BF611"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Verrucomicrobiota</w:t>
            </w:r>
          </w:p>
        </w:tc>
        <w:tc>
          <w:tcPr>
            <w:tcW w:w="1120" w:type="pct"/>
            <w:noWrap/>
            <w:hideMark/>
          </w:tcPr>
          <w:p w14:paraId="3DCBEE33"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 fa</w:t>
            </w:r>
          </w:p>
        </w:tc>
        <w:tc>
          <w:tcPr>
            <w:tcW w:w="818" w:type="pct"/>
            <w:noWrap/>
            <w:hideMark/>
          </w:tcPr>
          <w:p w14:paraId="537DF677" w14:textId="77777777" w:rsidR="00DA6475" w:rsidRPr="009819CE" w:rsidRDefault="00DA6475" w:rsidP="00DA6475">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P.palmC41 ge</w:t>
            </w:r>
          </w:p>
        </w:tc>
        <w:tc>
          <w:tcPr>
            <w:tcW w:w="672" w:type="pct"/>
            <w:noWrap/>
            <w:hideMark/>
          </w:tcPr>
          <w:p w14:paraId="22650834"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1.01E-01</w:t>
            </w:r>
          </w:p>
        </w:tc>
        <w:tc>
          <w:tcPr>
            <w:tcW w:w="597" w:type="pct"/>
            <w:noWrap/>
            <w:hideMark/>
          </w:tcPr>
          <w:p w14:paraId="18F8659F"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4.47E-02</w:t>
            </w:r>
          </w:p>
        </w:tc>
        <w:tc>
          <w:tcPr>
            <w:tcW w:w="747" w:type="pct"/>
            <w:noWrap/>
            <w:hideMark/>
          </w:tcPr>
          <w:p w14:paraId="0C5F371E" w14:textId="77777777" w:rsidR="00DA6475" w:rsidRPr="009819CE" w:rsidRDefault="00DA6475" w:rsidP="00DA647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1.26E-02</w:t>
            </w:r>
          </w:p>
        </w:tc>
      </w:tr>
      <w:tr w:rsidR="00DA6475" w:rsidRPr="00435B6B" w14:paraId="102423D3" w14:textId="77777777" w:rsidTr="007D66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6" w:type="pct"/>
            <w:noWrap/>
            <w:hideMark/>
          </w:tcPr>
          <w:p w14:paraId="097F8969" w14:textId="77777777" w:rsidR="00DA6475" w:rsidRPr="009819CE" w:rsidRDefault="00DA6475" w:rsidP="00DA6475">
            <w:pPr>
              <w:spacing w:before="0" w:after="0"/>
              <w:rPr>
                <w:rFonts w:eastAsia="Calibri" w:cstheme="minorBidi"/>
                <w:b w:val="0"/>
                <w:bCs w:val="0"/>
                <w:i/>
                <w:iCs/>
                <w:color w:val="000000"/>
                <w:sz w:val="22"/>
                <w:szCs w:val="22"/>
                <w:lang w:eastAsia="en-US"/>
              </w:rPr>
            </w:pPr>
            <w:r w:rsidRPr="009819CE">
              <w:rPr>
                <w:rFonts w:eastAsia="Calibri" w:cstheme="minorBidi"/>
                <w:b w:val="0"/>
                <w:bCs w:val="0"/>
                <w:i/>
                <w:iCs/>
                <w:color w:val="000000"/>
                <w:sz w:val="22"/>
                <w:szCs w:val="22"/>
                <w:lang w:eastAsia="en-US"/>
              </w:rPr>
              <w:t>WS4</w:t>
            </w:r>
          </w:p>
        </w:tc>
        <w:tc>
          <w:tcPr>
            <w:tcW w:w="1120" w:type="pct"/>
            <w:noWrap/>
            <w:hideMark/>
          </w:tcPr>
          <w:p w14:paraId="7CC749BF"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WS4 fa</w:t>
            </w:r>
          </w:p>
        </w:tc>
        <w:tc>
          <w:tcPr>
            <w:tcW w:w="818" w:type="pct"/>
            <w:noWrap/>
            <w:hideMark/>
          </w:tcPr>
          <w:p w14:paraId="046524F8" w14:textId="77777777" w:rsidR="00DA6475" w:rsidRPr="009819CE" w:rsidRDefault="00DA6475" w:rsidP="00DA6475">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Bidi"/>
                <w:i/>
                <w:iCs/>
                <w:color w:val="000000"/>
                <w:sz w:val="22"/>
                <w:szCs w:val="22"/>
                <w:lang w:eastAsia="en-US"/>
              </w:rPr>
            </w:pPr>
            <w:r w:rsidRPr="009819CE">
              <w:rPr>
                <w:rFonts w:eastAsia="Calibri" w:cstheme="minorBidi"/>
                <w:i/>
                <w:iCs/>
                <w:color w:val="000000"/>
                <w:sz w:val="22"/>
                <w:szCs w:val="22"/>
                <w:lang w:eastAsia="en-US"/>
              </w:rPr>
              <w:t>WS4 ge</w:t>
            </w:r>
          </w:p>
        </w:tc>
        <w:tc>
          <w:tcPr>
            <w:tcW w:w="672" w:type="pct"/>
            <w:noWrap/>
            <w:hideMark/>
          </w:tcPr>
          <w:p w14:paraId="3747E5E2"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0.00E+00</w:t>
            </w:r>
          </w:p>
        </w:tc>
        <w:tc>
          <w:tcPr>
            <w:tcW w:w="597" w:type="pct"/>
            <w:noWrap/>
            <w:hideMark/>
          </w:tcPr>
          <w:p w14:paraId="5C4AD3E2"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2.73E-05</w:t>
            </w:r>
          </w:p>
        </w:tc>
        <w:tc>
          <w:tcPr>
            <w:tcW w:w="747" w:type="pct"/>
            <w:noWrap/>
            <w:hideMark/>
          </w:tcPr>
          <w:p w14:paraId="3DAF7B90" w14:textId="77777777" w:rsidR="00DA6475" w:rsidRPr="009819CE" w:rsidRDefault="00DA6475" w:rsidP="00DA6475">
            <w:pPr>
              <w:spacing w:before="0" w:after="0"/>
              <w:jc w:val="right"/>
              <w:cnfStyle w:val="000000100000" w:firstRow="0" w:lastRow="0" w:firstColumn="0" w:lastColumn="0" w:oddVBand="0" w:evenVBand="0" w:oddHBand="1" w:evenHBand="0" w:firstRowFirstColumn="0" w:firstRowLastColumn="0" w:lastRowFirstColumn="0" w:lastRowLastColumn="0"/>
              <w:rPr>
                <w:rFonts w:eastAsia="Calibri" w:cstheme="minorBidi"/>
                <w:color w:val="000000"/>
                <w:sz w:val="22"/>
                <w:szCs w:val="22"/>
                <w:lang w:eastAsia="en-US"/>
              </w:rPr>
            </w:pPr>
            <w:r w:rsidRPr="009819CE">
              <w:rPr>
                <w:rFonts w:eastAsia="Calibri" w:cstheme="minorBidi"/>
                <w:color w:val="000000"/>
                <w:sz w:val="22"/>
                <w:szCs w:val="22"/>
                <w:lang w:eastAsia="en-US"/>
              </w:rPr>
              <w:t>4.60E-02</w:t>
            </w:r>
          </w:p>
        </w:tc>
      </w:tr>
    </w:tbl>
    <w:p w14:paraId="557F0754" w14:textId="77777777" w:rsidR="00DA6475" w:rsidRPr="009819CE" w:rsidRDefault="00DA6475" w:rsidP="00DA6475">
      <w:pPr>
        <w:spacing w:before="0" w:after="160"/>
        <w:rPr>
          <w:rFonts w:eastAsia="Calibri" w:cstheme="minorBidi"/>
          <w:szCs w:val="22"/>
        </w:rPr>
        <w:sectPr w:rsidR="00DA6475" w:rsidRPr="009819CE" w:rsidSect="003A7A28">
          <w:pgSz w:w="16838" w:h="11906" w:orient="landscape" w:code="9"/>
          <w:pgMar w:top="1440" w:right="1440" w:bottom="1440" w:left="1440" w:header="708" w:footer="708" w:gutter="0"/>
          <w:cols w:space="708"/>
          <w:docGrid w:linePitch="360"/>
        </w:sectPr>
      </w:pPr>
    </w:p>
    <w:p w14:paraId="0217D3B5" w14:textId="49FD3B43" w:rsidR="00143CAA" w:rsidRPr="009819CE" w:rsidRDefault="00143CAA" w:rsidP="00BE58A8">
      <w:pPr>
        <w:pStyle w:val="Heading2"/>
        <w:numPr>
          <w:ilvl w:val="1"/>
          <w:numId w:val="19"/>
        </w:numPr>
        <w:rPr>
          <w:rFonts w:cstheme="minorBidi"/>
        </w:rPr>
      </w:pPr>
      <w:bookmarkStart w:id="800" w:name="_Toc204106690"/>
      <w:r w:rsidRPr="009819CE">
        <w:rPr>
          <w:rFonts w:cstheme="minorBidi"/>
        </w:rPr>
        <w:t xml:space="preserve">Supplementary data chapter </w:t>
      </w:r>
      <w:r w:rsidR="00D963C3" w:rsidRPr="009819CE">
        <w:rPr>
          <w:rFonts w:cstheme="minorBidi"/>
        </w:rPr>
        <w:t>4</w:t>
      </w:r>
      <w:bookmarkEnd w:id="800"/>
    </w:p>
    <w:p w14:paraId="32F5ACC0" w14:textId="0A2F8A84" w:rsidR="00E6035A" w:rsidRPr="009819CE" w:rsidRDefault="00582FF5" w:rsidP="00582FF5">
      <w:pPr>
        <w:pStyle w:val="Caption"/>
      </w:pPr>
      <w:bookmarkStart w:id="801" w:name="_Ref171449816"/>
      <w:bookmarkStart w:id="802" w:name="_Ref201496496"/>
      <w:bookmarkStart w:id="803" w:name="_Toc204106777"/>
      <w:bookmarkEnd w:id="790"/>
      <w:r w:rsidRPr="009819CE">
        <w:rPr>
          <w:b/>
          <w:bCs/>
        </w:rPr>
        <w:t xml:space="preserve">Table S4. </w:t>
      </w:r>
      <w:r w:rsidRPr="009819CE">
        <w:rPr>
          <w:b/>
          <w:bCs/>
        </w:rPr>
        <w:fldChar w:fldCharType="begin"/>
      </w:r>
      <w:r w:rsidRPr="009819CE">
        <w:rPr>
          <w:b/>
          <w:bCs/>
        </w:rPr>
        <w:instrText xml:space="preserve"> SEQ Table_S4. \* ARABIC </w:instrText>
      </w:r>
      <w:r w:rsidRPr="009819CE">
        <w:rPr>
          <w:b/>
          <w:bCs/>
        </w:rPr>
        <w:fldChar w:fldCharType="separate"/>
      </w:r>
      <w:r w:rsidR="008549FC">
        <w:rPr>
          <w:b/>
          <w:bCs/>
          <w:noProof/>
        </w:rPr>
        <w:t>1</w:t>
      </w:r>
      <w:r w:rsidRPr="009819CE">
        <w:rPr>
          <w:b/>
          <w:bCs/>
        </w:rPr>
        <w:fldChar w:fldCharType="end"/>
      </w:r>
      <w:bookmarkEnd w:id="801"/>
      <w:r w:rsidR="00E6035A" w:rsidRPr="009819CE">
        <w:t xml:space="preserve"> Sporulation Events in </w:t>
      </w:r>
      <w:r w:rsidR="00E6035A" w:rsidRPr="009819CE">
        <w:rPr>
          <w:i/>
          <w:iCs w:val="0"/>
        </w:rPr>
        <w:t>Nephrops norvegicus</w:t>
      </w:r>
      <w:r w:rsidR="00E6035A" w:rsidRPr="009819CE">
        <w:t xml:space="preserve"> from the CSA (2020)</w:t>
      </w:r>
      <w:bookmarkEnd w:id="802"/>
      <w:bookmarkEnd w:id="803"/>
    </w:p>
    <w:tbl>
      <w:tblPr>
        <w:tblStyle w:val="TableGrid"/>
        <w:tblW w:w="0" w:type="auto"/>
        <w:tblLook w:val="04A0" w:firstRow="1" w:lastRow="0" w:firstColumn="1" w:lastColumn="0" w:noHBand="0" w:noVBand="1"/>
      </w:tblPr>
      <w:tblGrid>
        <w:gridCol w:w="13950"/>
      </w:tblGrid>
      <w:tr w:rsidR="00E6035A" w:rsidRPr="00435B6B" w14:paraId="5C7D2FE2" w14:textId="77777777" w:rsidTr="0095549A">
        <w:tc>
          <w:tcPr>
            <w:tcW w:w="13950" w:type="dxa"/>
          </w:tcPr>
          <w:p w14:paraId="15F11346" w14:textId="77777777" w:rsidR="00E6035A" w:rsidRPr="001F4A34" w:rsidRDefault="00E6035A" w:rsidP="0095549A">
            <w:pPr>
              <w:rPr>
                <w:rFonts w:eastAsia="Calibri"/>
                <w:lang w:val="en-GB"/>
              </w:rPr>
            </w:pPr>
            <w:r w:rsidRPr="009819CE">
              <w:rPr>
                <w:rFonts w:eastAsia="Calibri"/>
              </w:rPr>
              <w:t>Links to sporulation videos</w:t>
            </w:r>
          </w:p>
        </w:tc>
      </w:tr>
      <w:tr w:rsidR="00E6035A" w:rsidRPr="00435B6B" w14:paraId="04CEF70C" w14:textId="77777777" w:rsidTr="0095549A">
        <w:tc>
          <w:tcPr>
            <w:tcW w:w="13950" w:type="dxa"/>
          </w:tcPr>
          <w:p w14:paraId="49A2C792" w14:textId="0E5EA2A5" w:rsidR="00E6035A" w:rsidRPr="001F4A34" w:rsidRDefault="00E6035A" w:rsidP="0095549A">
            <w:pPr>
              <w:spacing w:before="0" w:after="0" w:line="240" w:lineRule="auto"/>
              <w:jc w:val="left"/>
              <w:rPr>
                <w:rFonts w:ascii="Times New Roman" w:hAnsi="Times New Roman"/>
                <w:lang w:val="en-GB"/>
              </w:rPr>
            </w:pPr>
            <w:hyperlink r:id="rId155" w:history="1">
              <w:r w:rsidRPr="009819CE">
                <w:rPr>
                  <w:rStyle w:val="Hyperlink"/>
                  <w:rFonts w:eastAsiaTheme="majorEastAsia"/>
                </w:rPr>
                <w:t>Hematodinium sporulation from Nephrops host (1).mp4</w:t>
              </w:r>
            </w:hyperlink>
          </w:p>
        </w:tc>
      </w:tr>
      <w:tr w:rsidR="00E6035A" w:rsidRPr="00435B6B" w14:paraId="7120612E" w14:textId="77777777" w:rsidTr="0095549A">
        <w:tc>
          <w:tcPr>
            <w:tcW w:w="13950" w:type="dxa"/>
          </w:tcPr>
          <w:p w14:paraId="12E83405" w14:textId="0C4BA8B5" w:rsidR="00E6035A" w:rsidRPr="001F4A34" w:rsidRDefault="00E6035A" w:rsidP="0095549A">
            <w:pPr>
              <w:spacing w:before="0" w:after="0" w:line="240" w:lineRule="auto"/>
              <w:jc w:val="left"/>
              <w:rPr>
                <w:rFonts w:ascii="Times New Roman" w:hAnsi="Times New Roman"/>
                <w:lang w:val="en-GB"/>
              </w:rPr>
            </w:pPr>
            <w:hyperlink r:id="rId156" w:history="1">
              <w:r w:rsidRPr="009819CE">
                <w:rPr>
                  <w:rStyle w:val="Hyperlink"/>
                  <w:rFonts w:eastAsiaTheme="majorEastAsia"/>
                </w:rPr>
                <w:t>Hematodinium sporulation from Nephrops host (2).mp4</w:t>
              </w:r>
            </w:hyperlink>
          </w:p>
        </w:tc>
      </w:tr>
      <w:tr w:rsidR="00E6035A" w:rsidRPr="00435B6B" w14:paraId="7CEF0F79" w14:textId="77777777" w:rsidTr="0095549A">
        <w:tc>
          <w:tcPr>
            <w:tcW w:w="13950" w:type="dxa"/>
          </w:tcPr>
          <w:p w14:paraId="023D18DA" w14:textId="3C7F15E8" w:rsidR="00E6035A" w:rsidRPr="001F4A34" w:rsidRDefault="00E6035A" w:rsidP="0095549A">
            <w:pPr>
              <w:spacing w:before="0" w:after="0" w:line="240" w:lineRule="auto"/>
              <w:jc w:val="left"/>
              <w:rPr>
                <w:rFonts w:ascii="Times New Roman" w:hAnsi="Times New Roman"/>
                <w:lang w:val="en-GB"/>
              </w:rPr>
            </w:pPr>
            <w:hyperlink r:id="rId157" w:history="1">
              <w:r w:rsidRPr="009819CE">
                <w:rPr>
                  <w:rStyle w:val="Hyperlink"/>
                  <w:rFonts w:eastAsiaTheme="majorEastAsia"/>
                </w:rPr>
                <w:t>Hematodinium sporulation from Nephrops host (3).mp4</w:t>
              </w:r>
            </w:hyperlink>
          </w:p>
        </w:tc>
      </w:tr>
      <w:tr w:rsidR="00E6035A" w:rsidRPr="00435B6B" w14:paraId="5D36B77E" w14:textId="77777777" w:rsidTr="0095549A">
        <w:tc>
          <w:tcPr>
            <w:tcW w:w="13950" w:type="dxa"/>
          </w:tcPr>
          <w:p w14:paraId="7A31A292" w14:textId="0B08EF34" w:rsidR="00E6035A" w:rsidRPr="001F4A34" w:rsidRDefault="00E6035A" w:rsidP="0095549A">
            <w:pPr>
              <w:spacing w:before="0" w:after="0" w:line="240" w:lineRule="auto"/>
              <w:jc w:val="left"/>
              <w:rPr>
                <w:rFonts w:ascii="Times New Roman" w:hAnsi="Times New Roman"/>
                <w:lang w:val="en-GB"/>
              </w:rPr>
            </w:pPr>
            <w:hyperlink r:id="rId158" w:history="1">
              <w:r w:rsidRPr="009819CE">
                <w:rPr>
                  <w:rStyle w:val="Hyperlink"/>
                  <w:rFonts w:eastAsiaTheme="majorEastAsia"/>
                </w:rPr>
                <w:t>Hematodinium sporulation from Nephrops host (4).mp4</w:t>
              </w:r>
            </w:hyperlink>
          </w:p>
        </w:tc>
      </w:tr>
    </w:tbl>
    <w:p w14:paraId="20EB8B7A" w14:textId="3AF86A08" w:rsidR="00364615" w:rsidRDefault="00364615" w:rsidP="00582FF5">
      <w:pPr>
        <w:rPr>
          <w:rFonts w:cstheme="minorBidi"/>
        </w:rPr>
      </w:pPr>
    </w:p>
    <w:sectPr w:rsidR="00364615" w:rsidSect="003A7A28">
      <w:footerReference w:type="default" r:id="rId159"/>
      <w:pgSz w:w="16840" w:h="1190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8E400" w14:textId="77777777" w:rsidR="003C7792" w:rsidRPr="00435B6B" w:rsidRDefault="003C7792" w:rsidP="005C169C">
      <w:r w:rsidRPr="00435B6B">
        <w:separator/>
      </w:r>
    </w:p>
  </w:endnote>
  <w:endnote w:type="continuationSeparator" w:id="0">
    <w:p w14:paraId="40C3359A" w14:textId="77777777" w:rsidR="003C7792" w:rsidRPr="00435B6B" w:rsidRDefault="003C7792" w:rsidP="005C169C">
      <w:r w:rsidRPr="00435B6B">
        <w:continuationSeparator/>
      </w:r>
    </w:p>
  </w:endnote>
  <w:endnote w:type="continuationNotice" w:id="1">
    <w:p w14:paraId="4FF9791D" w14:textId="77777777" w:rsidR="003C7792" w:rsidRPr="00435B6B" w:rsidRDefault="003C779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dy CS)">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panose1 w:val="00000000000000000000"/>
    <w:charset w:val="00"/>
    <w:family w:val="roman"/>
    <w:notTrueType/>
    <w:pitch w:val="variable"/>
    <w:sig w:usb0="60000287" w:usb1="00000001" w:usb2="00000000" w:usb3="00000000" w:csb0="0000019F" w:csb1="00000000"/>
  </w:font>
  <w:font w:name="Helvetica Neue">
    <w:altName w:val="Sylfaen"/>
    <w:charset w:val="00"/>
    <w:family w:val="auto"/>
    <w:pitch w:val="variable"/>
    <w:sig w:usb0="E50002FF" w:usb1="500079DB" w:usb2="00000010" w:usb3="00000000" w:csb0="00000001" w:csb1="00000000"/>
  </w:font>
  <w:font w:name="Arial Bold">
    <w:altName w:val="Arial"/>
    <w:panose1 w:val="020B0704020202020204"/>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Next LT Pro Light">
    <w:charset w:val="00"/>
    <w:family w:val="swiss"/>
    <w:pitch w:val="variable"/>
    <w:sig w:usb0="A00000EF" w:usb1="5000204B"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971598"/>
      <w:docPartObj>
        <w:docPartGallery w:val="Page Numbers (Bottom of Page)"/>
        <w:docPartUnique/>
      </w:docPartObj>
    </w:sdtPr>
    <w:sdtEndPr/>
    <w:sdtContent>
      <w:p w14:paraId="0B3E9EED" w14:textId="5E63468C" w:rsidR="005324EE" w:rsidRDefault="005324EE">
        <w:pPr>
          <w:pStyle w:val="Footer"/>
          <w:jc w:val="right"/>
        </w:pPr>
        <w:r>
          <w:fldChar w:fldCharType="begin"/>
        </w:r>
        <w:r>
          <w:instrText>PAGE   \* MERGEFORMAT</w:instrText>
        </w:r>
        <w:r>
          <w:fldChar w:fldCharType="separate"/>
        </w:r>
        <w:r>
          <w:t>2</w:t>
        </w:r>
        <w:r>
          <w:fldChar w:fldCharType="end"/>
        </w:r>
      </w:p>
    </w:sdtContent>
  </w:sdt>
  <w:p w14:paraId="18B260DA" w14:textId="77777777" w:rsidR="005324EE" w:rsidRDefault="00532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805889"/>
      <w:docPartObj>
        <w:docPartGallery w:val="Page Numbers (Bottom of Page)"/>
        <w:docPartUnique/>
      </w:docPartObj>
    </w:sdtPr>
    <w:sdtEndPr/>
    <w:sdtContent>
      <w:p w14:paraId="773A16A6" w14:textId="77777777" w:rsidR="00A60CBB" w:rsidRPr="009819CE" w:rsidRDefault="00A60CBB">
        <w:pPr>
          <w:pStyle w:val="Footer"/>
          <w:jc w:val="right"/>
        </w:pPr>
        <w:r w:rsidRPr="009819CE">
          <w:fldChar w:fldCharType="begin"/>
        </w:r>
        <w:r w:rsidRPr="009819CE">
          <w:instrText>PAGE   \* MERGEFORMAT</w:instrText>
        </w:r>
        <w:r w:rsidRPr="009819CE">
          <w:fldChar w:fldCharType="separate"/>
        </w:r>
        <w:r w:rsidRPr="009819CE">
          <w:t>36</w:t>
        </w:r>
        <w:r w:rsidRPr="009819CE">
          <w:fldChar w:fldCharType="end"/>
        </w:r>
      </w:p>
    </w:sdtContent>
  </w:sdt>
  <w:p w14:paraId="0A83D3F2" w14:textId="77777777" w:rsidR="00A60CBB" w:rsidRPr="009819CE" w:rsidRDefault="00A60C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673886"/>
      <w:docPartObj>
        <w:docPartGallery w:val="Page Numbers (Bottom of Page)"/>
        <w:docPartUnique/>
      </w:docPartObj>
    </w:sdtPr>
    <w:sdtEndPr/>
    <w:sdtContent>
      <w:p w14:paraId="18AD1CE7" w14:textId="77777777" w:rsidR="00F36ABA" w:rsidRPr="009819CE" w:rsidRDefault="00F36ABA">
        <w:pPr>
          <w:pStyle w:val="Footer"/>
          <w:jc w:val="right"/>
        </w:pPr>
        <w:r w:rsidRPr="009819CE">
          <w:fldChar w:fldCharType="begin"/>
        </w:r>
        <w:r w:rsidRPr="009819CE">
          <w:instrText>PAGE   \* MERGEFORMAT</w:instrText>
        </w:r>
        <w:r w:rsidRPr="009819CE">
          <w:fldChar w:fldCharType="separate"/>
        </w:r>
        <w:r w:rsidRPr="009819CE">
          <w:t>36</w:t>
        </w:r>
        <w:r w:rsidRPr="009819CE">
          <w:fldChar w:fldCharType="end"/>
        </w:r>
      </w:p>
    </w:sdtContent>
  </w:sdt>
  <w:p w14:paraId="443A870F" w14:textId="77777777" w:rsidR="00F36ABA" w:rsidRPr="009819CE" w:rsidRDefault="00F36A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425306"/>
      <w:docPartObj>
        <w:docPartGallery w:val="Page Numbers (Bottom of Page)"/>
        <w:docPartUnique/>
      </w:docPartObj>
    </w:sdtPr>
    <w:sdtEndPr/>
    <w:sdtContent>
      <w:p w14:paraId="772EDB8F" w14:textId="77777777" w:rsidR="00A0234D" w:rsidRPr="009819CE" w:rsidRDefault="00A0234D">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5BAA00E6" w14:textId="77777777" w:rsidR="00A0234D" w:rsidRPr="009819CE" w:rsidRDefault="00A023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B689" w14:textId="77777777" w:rsidR="00D75A46" w:rsidRPr="009819CE" w:rsidRDefault="00D75A46">
    <w:pPr>
      <w:pStyle w:val="Footer"/>
      <w:jc w:val="right"/>
    </w:pPr>
  </w:p>
  <w:sdt>
    <w:sdtPr>
      <w:id w:val="-1661685878"/>
      <w:docPartObj>
        <w:docPartGallery w:val="Page Numbers (Bottom of Page)"/>
        <w:docPartUnique/>
      </w:docPartObj>
    </w:sdtPr>
    <w:sdtEndPr/>
    <w:sdtContent>
      <w:p w14:paraId="76D3C0DF" w14:textId="06C8A0F6" w:rsidR="00280735" w:rsidRPr="009819CE" w:rsidRDefault="00280735">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5FBD4AA8" w14:textId="77777777" w:rsidR="00B97CAE" w:rsidRPr="009819CE" w:rsidRDefault="00B97C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077071"/>
      <w:docPartObj>
        <w:docPartGallery w:val="Page Numbers (Bottom of Page)"/>
        <w:docPartUnique/>
      </w:docPartObj>
    </w:sdtPr>
    <w:sdtEndPr/>
    <w:sdtContent>
      <w:p w14:paraId="3B5947A2" w14:textId="77777777" w:rsidR="0055220B" w:rsidRPr="009819CE" w:rsidRDefault="0055220B">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6B1DE59E" w14:textId="77777777" w:rsidR="0055220B" w:rsidRPr="009819CE" w:rsidRDefault="005522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463826"/>
      <w:docPartObj>
        <w:docPartGallery w:val="Page Numbers (Bottom of Page)"/>
        <w:docPartUnique/>
      </w:docPartObj>
    </w:sdtPr>
    <w:sdtEndPr/>
    <w:sdtContent>
      <w:p w14:paraId="711BC6C6" w14:textId="77777777" w:rsidR="0055220B" w:rsidRPr="009819CE" w:rsidRDefault="0055220B">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51A59D94" w14:textId="77777777" w:rsidR="0055220B" w:rsidRPr="009819CE" w:rsidRDefault="005522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592974"/>
      <w:docPartObj>
        <w:docPartGallery w:val="Page Numbers (Bottom of Page)"/>
        <w:docPartUnique/>
      </w:docPartObj>
    </w:sdtPr>
    <w:sdtEndPr/>
    <w:sdtContent>
      <w:p w14:paraId="72E16A7B" w14:textId="77777777" w:rsidR="00792E0D" w:rsidRPr="009819CE" w:rsidRDefault="00792E0D">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4CBEF874" w14:textId="77777777" w:rsidR="00792E0D" w:rsidRPr="009819CE" w:rsidRDefault="00792E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365525"/>
      <w:docPartObj>
        <w:docPartGallery w:val="Page Numbers (Bottom of Page)"/>
        <w:docPartUnique/>
      </w:docPartObj>
    </w:sdtPr>
    <w:sdtEndPr/>
    <w:sdtContent>
      <w:p w14:paraId="5719654D" w14:textId="77777777" w:rsidR="006A0363" w:rsidRPr="009819CE" w:rsidRDefault="006A0363">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0450162A" w14:textId="77777777" w:rsidR="006A0363" w:rsidRPr="009819CE" w:rsidRDefault="006A0363">
    <w:pPr>
      <w:pStyle w:val="Footer"/>
    </w:pPr>
  </w:p>
  <w:p w14:paraId="0F6EFEE9" w14:textId="77777777" w:rsidR="006A0363" w:rsidRPr="009819CE" w:rsidRDefault="006A0363"/>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864683"/>
      <w:docPartObj>
        <w:docPartGallery w:val="Page Numbers (Bottom of Page)"/>
        <w:docPartUnique/>
      </w:docPartObj>
    </w:sdtPr>
    <w:sdtEndPr/>
    <w:sdtContent>
      <w:p w14:paraId="1ECDC751" w14:textId="77777777" w:rsidR="006A0363" w:rsidRPr="009819CE" w:rsidRDefault="006A0363">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57642127" w14:textId="77777777" w:rsidR="006A0363" w:rsidRPr="009819CE" w:rsidRDefault="006A0363">
    <w:pPr>
      <w:pStyle w:val="Footer"/>
    </w:pPr>
  </w:p>
  <w:p w14:paraId="3758ADE2" w14:textId="77777777" w:rsidR="006A0363" w:rsidRPr="009819CE" w:rsidRDefault="006A036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1E54" w14:textId="77777777" w:rsidR="00E5225F" w:rsidRPr="009819CE" w:rsidRDefault="00E5225F" w:rsidP="007D6607">
    <w:pPr>
      <w:pStyle w:val="Footer"/>
      <w:pBdr>
        <w:top w:val="single" w:sz="4" w:space="8" w:color="DDDDDD"/>
      </w:pBdr>
      <w:spacing w:before="360"/>
      <w:contextualSpacing/>
      <w:jc w:val="right"/>
      <w:rPr>
        <w:color w:val="404040"/>
      </w:rPr>
    </w:pPr>
    <w:r w:rsidRPr="009819CE">
      <w:rPr>
        <w:color w:val="404040"/>
      </w:rPr>
      <w:fldChar w:fldCharType="begin"/>
    </w:r>
    <w:r w:rsidRPr="009819CE">
      <w:rPr>
        <w:color w:val="404040"/>
      </w:rPr>
      <w:instrText xml:space="preserve"> PAGE   \* MERGEFORMAT </w:instrText>
    </w:r>
    <w:r w:rsidRPr="009819CE">
      <w:rPr>
        <w:color w:val="404040"/>
      </w:rPr>
      <w:fldChar w:fldCharType="separate"/>
    </w:r>
    <w:r w:rsidRPr="009819CE">
      <w:rPr>
        <w:color w:val="404040"/>
      </w:rPr>
      <w:t>2</w:t>
    </w:r>
    <w:r w:rsidRPr="009819CE">
      <w:rPr>
        <w:color w:val="404040"/>
      </w:rPr>
      <w:fldChar w:fldCharType="end"/>
    </w:r>
  </w:p>
  <w:p w14:paraId="499270BB" w14:textId="77777777" w:rsidR="00E5225F" w:rsidRPr="009819CE" w:rsidRDefault="00E5225F">
    <w:pPr>
      <w:pStyle w:val="Footer"/>
    </w:pPr>
  </w:p>
  <w:p w14:paraId="11FB8549" w14:textId="77777777" w:rsidR="00E5225F" w:rsidRPr="009819CE" w:rsidRDefault="00E5225F"/>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E458" w14:textId="77777777" w:rsidR="00D10739" w:rsidRPr="009819CE" w:rsidRDefault="00D10739" w:rsidP="007D6607">
    <w:pPr>
      <w:pStyle w:val="Footer"/>
      <w:pBdr>
        <w:top w:val="single" w:sz="4" w:space="8" w:color="DDDDDD"/>
      </w:pBdr>
      <w:spacing w:before="360"/>
      <w:contextualSpacing/>
      <w:jc w:val="right"/>
      <w:rPr>
        <w:color w:val="404040"/>
      </w:rPr>
    </w:pPr>
    <w:r w:rsidRPr="009819CE">
      <w:rPr>
        <w:color w:val="404040"/>
      </w:rPr>
      <w:fldChar w:fldCharType="begin"/>
    </w:r>
    <w:r w:rsidRPr="009819CE">
      <w:rPr>
        <w:color w:val="404040"/>
      </w:rPr>
      <w:instrText xml:space="preserve"> PAGE   \* MERGEFORMAT </w:instrText>
    </w:r>
    <w:r w:rsidRPr="009819CE">
      <w:rPr>
        <w:color w:val="404040"/>
      </w:rPr>
      <w:fldChar w:fldCharType="separate"/>
    </w:r>
    <w:r w:rsidRPr="009819CE">
      <w:rPr>
        <w:color w:val="404040"/>
      </w:rPr>
      <w:t>2</w:t>
    </w:r>
    <w:r w:rsidRPr="009819CE">
      <w:rPr>
        <w:color w:val="404040"/>
      </w:rPr>
      <w:fldChar w:fldCharType="end"/>
    </w:r>
  </w:p>
  <w:p w14:paraId="6FF9F0B0" w14:textId="77777777" w:rsidR="00D10739" w:rsidRPr="009819CE" w:rsidRDefault="00D10739" w:rsidP="007D6607">
    <w:pPr>
      <w:pStyle w:val="Footer"/>
      <w:pBdr>
        <w:top w:val="single" w:sz="4" w:space="8" w:color="DDDDDD"/>
      </w:pBdr>
      <w:spacing w:before="360"/>
      <w:contextualSpacing/>
      <w:jc w:val="left"/>
      <w:rPr>
        <w:color w:val="404040"/>
      </w:rPr>
    </w:pPr>
  </w:p>
  <w:p w14:paraId="62937F47" w14:textId="77777777" w:rsidR="00D10739" w:rsidRPr="009819CE" w:rsidRDefault="00D10739" w:rsidP="007D6607">
    <w:pPr>
      <w:pStyle w:val="Footer"/>
      <w:pBdr>
        <w:top w:val="single" w:sz="4" w:space="8" w:color="DDDDDD"/>
      </w:pBdr>
      <w:spacing w:before="360"/>
      <w:contextualSpacing/>
      <w:jc w:val="right"/>
      <w:rPr>
        <w:color w:val="40404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952248"/>
      <w:docPartObj>
        <w:docPartGallery w:val="Page Numbers (Bottom of Page)"/>
        <w:docPartUnique/>
      </w:docPartObj>
    </w:sdtPr>
    <w:sdtEndPr/>
    <w:sdtContent>
      <w:p w14:paraId="6D8F39F6" w14:textId="77777777" w:rsidR="000D0EBA" w:rsidRPr="009819CE" w:rsidRDefault="000D0EBA">
        <w:pPr>
          <w:pStyle w:val="Footer"/>
          <w:jc w:val="right"/>
        </w:pPr>
        <w:r w:rsidRPr="009819CE">
          <w:fldChar w:fldCharType="begin"/>
        </w:r>
        <w:r w:rsidRPr="009819CE">
          <w:instrText>PAGE   \* MERGEFORMAT</w:instrText>
        </w:r>
        <w:r w:rsidRPr="009819CE">
          <w:fldChar w:fldCharType="separate"/>
        </w:r>
        <w:r w:rsidRPr="009819CE">
          <w:t>2</w:t>
        </w:r>
        <w:r w:rsidRPr="009819CE">
          <w:fldChar w:fldCharType="end"/>
        </w:r>
      </w:p>
    </w:sdtContent>
  </w:sdt>
  <w:p w14:paraId="2AAF88FB" w14:textId="77777777" w:rsidR="000D0EBA" w:rsidRPr="009819CE" w:rsidRDefault="000D0EBA">
    <w:pPr>
      <w:pStyle w:val="Footer"/>
    </w:pPr>
  </w:p>
  <w:p w14:paraId="2B26CD57" w14:textId="77777777" w:rsidR="000D0EBA" w:rsidRPr="009819CE" w:rsidRDefault="000D0EB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B6B8" w14:textId="77777777" w:rsidR="00337EB7" w:rsidRPr="009819CE" w:rsidRDefault="00337EB7" w:rsidP="007D6607">
    <w:pPr>
      <w:pStyle w:val="Footer"/>
      <w:pBdr>
        <w:top w:val="single" w:sz="4" w:space="8" w:color="DDDDDD"/>
      </w:pBdr>
      <w:spacing w:before="360"/>
      <w:contextualSpacing/>
      <w:jc w:val="right"/>
      <w:rPr>
        <w:color w:val="404040"/>
      </w:rPr>
    </w:pPr>
    <w:r w:rsidRPr="009819CE">
      <w:rPr>
        <w:color w:val="404040"/>
      </w:rPr>
      <w:fldChar w:fldCharType="begin"/>
    </w:r>
    <w:r w:rsidRPr="009819CE">
      <w:rPr>
        <w:color w:val="404040"/>
      </w:rPr>
      <w:instrText xml:space="preserve"> PAGE   \* MERGEFORMAT </w:instrText>
    </w:r>
    <w:r w:rsidRPr="009819CE">
      <w:rPr>
        <w:color w:val="404040"/>
      </w:rPr>
      <w:fldChar w:fldCharType="separate"/>
    </w:r>
    <w:r w:rsidRPr="009819CE">
      <w:rPr>
        <w:color w:val="404040"/>
      </w:rPr>
      <w:t>2</w:t>
    </w:r>
    <w:r w:rsidRPr="009819CE">
      <w:rPr>
        <w:color w:val="404040"/>
      </w:rPr>
      <w:fldChar w:fldCharType="end"/>
    </w:r>
  </w:p>
  <w:p w14:paraId="7B9F619E" w14:textId="77777777" w:rsidR="00337EB7" w:rsidRPr="009819CE" w:rsidRDefault="00337EB7" w:rsidP="007D6607">
    <w:pPr>
      <w:pStyle w:val="Footer"/>
      <w:pBdr>
        <w:top w:val="single" w:sz="4" w:space="8" w:color="DDDDDD"/>
      </w:pBdr>
      <w:spacing w:before="360"/>
      <w:contextualSpacing/>
      <w:jc w:val="left"/>
      <w:rPr>
        <w:color w:val="404040"/>
      </w:rPr>
    </w:pPr>
  </w:p>
  <w:p w14:paraId="2C70F41E" w14:textId="77777777" w:rsidR="00337EB7" w:rsidRPr="009819CE" w:rsidRDefault="00337EB7" w:rsidP="007D6607">
    <w:pPr>
      <w:pStyle w:val="Footer"/>
      <w:pBdr>
        <w:top w:val="single" w:sz="4" w:space="8" w:color="DDDDDD"/>
      </w:pBdr>
      <w:spacing w:before="360"/>
      <w:contextualSpacing/>
      <w:jc w:val="right"/>
      <w:rPr>
        <w:color w:val="40404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314026"/>
      <w:docPartObj>
        <w:docPartGallery w:val="Page Numbers (Bottom of Page)"/>
        <w:docPartUnique/>
      </w:docPartObj>
    </w:sdtPr>
    <w:sdtEndPr/>
    <w:sdtContent>
      <w:p w14:paraId="6D0B81EA" w14:textId="02BD9423" w:rsidR="00111F50" w:rsidRDefault="00111F50">
        <w:pPr>
          <w:pStyle w:val="Footer"/>
          <w:jc w:val="right"/>
        </w:pPr>
        <w:r>
          <w:fldChar w:fldCharType="begin"/>
        </w:r>
        <w:r>
          <w:instrText>PAGE   \* MERGEFORMAT</w:instrText>
        </w:r>
        <w:r>
          <w:fldChar w:fldCharType="separate"/>
        </w:r>
        <w:r>
          <w:t>2</w:t>
        </w:r>
        <w:r>
          <w:fldChar w:fldCharType="end"/>
        </w:r>
      </w:p>
    </w:sdtContent>
  </w:sdt>
  <w:p w14:paraId="31E40364" w14:textId="4FD36F2E" w:rsidR="00156AD6" w:rsidRPr="009819CE" w:rsidRDefault="00156AD6" w:rsidP="00FF7A3E">
    <w:pPr>
      <w:pStyle w:val="Footer"/>
      <w:tabs>
        <w:tab w:val="left" w:pos="3353"/>
        <w:tab w:val="right" w:pos="15400"/>
      </w:tabs>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821125"/>
      <w:docPartObj>
        <w:docPartGallery w:val="Page Numbers (Bottom of Page)"/>
        <w:docPartUnique/>
      </w:docPartObj>
    </w:sdtPr>
    <w:sdtEndPr/>
    <w:sdtContent>
      <w:p w14:paraId="4E8C7CB7" w14:textId="0BF2138E" w:rsidR="00111F50" w:rsidRDefault="00111F50">
        <w:pPr>
          <w:pStyle w:val="Footer"/>
          <w:jc w:val="right"/>
        </w:pPr>
        <w:r>
          <w:fldChar w:fldCharType="begin"/>
        </w:r>
        <w:r>
          <w:instrText>PAGE   \* MERGEFORMAT</w:instrText>
        </w:r>
        <w:r>
          <w:fldChar w:fldCharType="separate"/>
        </w:r>
        <w:r>
          <w:t>2</w:t>
        </w:r>
        <w:r>
          <w:fldChar w:fldCharType="end"/>
        </w:r>
      </w:p>
    </w:sdtContent>
  </w:sdt>
  <w:p w14:paraId="5495EB71" w14:textId="77777777" w:rsidR="00B4386F" w:rsidRPr="009819CE" w:rsidRDefault="00B4386F"/>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404615"/>
      <w:docPartObj>
        <w:docPartGallery w:val="Page Numbers (Bottom of Page)"/>
        <w:docPartUnique/>
      </w:docPartObj>
    </w:sdtPr>
    <w:sdtEndPr/>
    <w:sdtContent>
      <w:p w14:paraId="7F9F8674" w14:textId="323748BC" w:rsidR="00111F50" w:rsidRDefault="00111F50">
        <w:pPr>
          <w:pStyle w:val="Footer"/>
          <w:jc w:val="right"/>
        </w:pPr>
        <w:r>
          <w:fldChar w:fldCharType="begin"/>
        </w:r>
        <w:r>
          <w:instrText>PAGE   \* MERGEFORMAT</w:instrText>
        </w:r>
        <w:r>
          <w:fldChar w:fldCharType="separate"/>
        </w:r>
        <w:r>
          <w:t>2</w:t>
        </w:r>
        <w:r>
          <w:fldChar w:fldCharType="end"/>
        </w:r>
      </w:p>
    </w:sdtContent>
  </w:sdt>
  <w:p w14:paraId="09EE0F5F" w14:textId="74DA12AE" w:rsidR="003D4B33" w:rsidRPr="009819CE" w:rsidRDefault="003D4B33" w:rsidP="00FF7A3E">
    <w:pPr>
      <w:pStyle w:val="Footer"/>
      <w:tabs>
        <w:tab w:val="left" w:pos="3353"/>
        <w:tab w:val="right" w:pos="15400"/>
      </w:tabs>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68D4" w14:textId="77777777" w:rsidR="001D2C76" w:rsidRPr="009819CE" w:rsidRDefault="001D2C76">
    <w:pPr>
      <w:pStyle w:val="Footer"/>
      <w:pBdr>
        <w:top w:val="single" w:sz="4" w:space="8" w:color="DDDDDD" w:themeColor="accent1"/>
      </w:pBdr>
      <w:spacing w:before="360"/>
      <w:contextualSpacing/>
      <w:jc w:val="right"/>
      <w:rPr>
        <w:color w:val="404040" w:themeColor="text1" w:themeTint="BF"/>
      </w:rPr>
    </w:pPr>
    <w:r w:rsidRPr="009819CE">
      <w:rPr>
        <w:color w:val="404040" w:themeColor="text1" w:themeTint="BF"/>
      </w:rPr>
      <w:fldChar w:fldCharType="begin"/>
    </w:r>
    <w:r w:rsidRPr="009819CE">
      <w:rPr>
        <w:color w:val="404040" w:themeColor="text1" w:themeTint="BF"/>
      </w:rPr>
      <w:instrText xml:space="preserve"> PAGE   \* MERGEFORMAT </w:instrText>
    </w:r>
    <w:r w:rsidRPr="009819CE">
      <w:rPr>
        <w:color w:val="404040" w:themeColor="text1" w:themeTint="BF"/>
      </w:rPr>
      <w:fldChar w:fldCharType="separate"/>
    </w:r>
    <w:r w:rsidRPr="009819CE">
      <w:rPr>
        <w:color w:val="404040" w:themeColor="text1" w:themeTint="BF"/>
      </w:rPr>
      <w:t>2</w:t>
    </w:r>
    <w:r w:rsidRPr="009819CE">
      <w:rPr>
        <w:color w:val="404040" w:themeColor="text1" w:themeTint="BF"/>
      </w:rPr>
      <w:fldChar w:fldCharType="end"/>
    </w:r>
  </w:p>
  <w:p w14:paraId="12A820A6" w14:textId="77777777" w:rsidR="00930A0F" w:rsidRPr="009819CE" w:rsidRDefault="00930A0F"/>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B57D5" w14:textId="77777777" w:rsidR="001D2C76" w:rsidRPr="009819CE" w:rsidRDefault="001D2C76">
    <w:pPr>
      <w:pStyle w:val="Footer"/>
      <w:pBdr>
        <w:top w:val="single" w:sz="4" w:space="8" w:color="DDDDDD" w:themeColor="accent1"/>
      </w:pBdr>
      <w:spacing w:before="360"/>
      <w:contextualSpacing/>
      <w:jc w:val="right"/>
      <w:rPr>
        <w:color w:val="404040" w:themeColor="text1" w:themeTint="BF"/>
      </w:rPr>
    </w:pPr>
    <w:r w:rsidRPr="009819CE">
      <w:rPr>
        <w:color w:val="404040" w:themeColor="text1" w:themeTint="BF"/>
      </w:rPr>
      <w:fldChar w:fldCharType="begin"/>
    </w:r>
    <w:r w:rsidRPr="009819CE">
      <w:rPr>
        <w:color w:val="404040" w:themeColor="text1" w:themeTint="BF"/>
      </w:rPr>
      <w:instrText xml:space="preserve"> PAGE   \* MERGEFORMAT </w:instrText>
    </w:r>
    <w:r w:rsidRPr="009819CE">
      <w:rPr>
        <w:color w:val="404040" w:themeColor="text1" w:themeTint="BF"/>
      </w:rPr>
      <w:fldChar w:fldCharType="separate"/>
    </w:r>
    <w:r w:rsidRPr="009819CE">
      <w:rPr>
        <w:color w:val="404040" w:themeColor="text1" w:themeTint="BF"/>
      </w:rPr>
      <w:t>2</w:t>
    </w:r>
    <w:r w:rsidRPr="009819CE">
      <w:rPr>
        <w:color w:val="404040" w:themeColor="text1" w:themeTint="BF"/>
      </w:rPr>
      <w:fldChar w:fldCharType="end"/>
    </w:r>
  </w:p>
  <w:sdt>
    <w:sdtPr>
      <w:alias w:val="Comments"/>
      <w:tag w:val=""/>
      <w:id w:val="-1641492209"/>
      <w:placeholder>
        <w:docPart w:val="80FCE89548D743F0AB7F99EE5B36DD08"/>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p w14:paraId="04E5863C" w14:textId="592AA256" w:rsidR="00895128" w:rsidRPr="009819CE" w:rsidRDefault="00813F5F">
        <w:pPr>
          <w:pStyle w:val="Footer"/>
        </w:pPr>
        <w:r w:rsidRPr="00182806">
          <w:rPr>
            <w:rStyle w:val="PlaceholderText"/>
          </w:rPr>
          <w:t>[Comments]</w:t>
        </w:r>
      </w:p>
    </w:sdtContent>
  </w:sdt>
  <w:p w14:paraId="745B4C17" w14:textId="77777777" w:rsidR="00895128" w:rsidRPr="009819CE" w:rsidRDefault="00895128"/>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3FCE6" w14:textId="5BF6B542" w:rsidR="001D2C76" w:rsidRPr="009819CE" w:rsidRDefault="00750103" w:rsidP="00750103">
    <w:pPr>
      <w:pStyle w:val="Footer"/>
      <w:pBdr>
        <w:top w:val="single" w:sz="4" w:space="8" w:color="DDDDDD" w:themeColor="accent1"/>
      </w:pBdr>
      <w:tabs>
        <w:tab w:val="left" w:pos="2824"/>
        <w:tab w:val="right" w:pos="13958"/>
      </w:tabs>
      <w:spacing w:before="360"/>
      <w:contextualSpacing/>
      <w:jc w:val="left"/>
      <w:rPr>
        <w:color w:val="404040" w:themeColor="text1" w:themeTint="BF"/>
      </w:rPr>
    </w:pPr>
    <w:r w:rsidRPr="009819CE">
      <w:rPr>
        <w:color w:val="404040" w:themeColor="text1" w:themeTint="BF"/>
      </w:rPr>
      <w:tab/>
    </w:r>
    <w:r w:rsidRPr="009819CE">
      <w:rPr>
        <w:color w:val="404040" w:themeColor="text1" w:themeTint="BF"/>
      </w:rPr>
      <w:tab/>
    </w:r>
    <w:r w:rsidRPr="009819CE">
      <w:rPr>
        <w:color w:val="404040" w:themeColor="text1" w:themeTint="BF"/>
      </w:rPr>
      <w:tab/>
    </w:r>
    <w:r w:rsidRPr="009819CE">
      <w:rPr>
        <w:color w:val="404040" w:themeColor="text1" w:themeTint="BF"/>
      </w:rPr>
      <w:tab/>
    </w:r>
    <w:r w:rsidR="001D2C76" w:rsidRPr="009819CE">
      <w:rPr>
        <w:color w:val="404040" w:themeColor="text1" w:themeTint="BF"/>
      </w:rPr>
      <w:fldChar w:fldCharType="begin"/>
    </w:r>
    <w:r w:rsidR="001D2C76" w:rsidRPr="009819CE">
      <w:rPr>
        <w:color w:val="404040" w:themeColor="text1" w:themeTint="BF"/>
      </w:rPr>
      <w:instrText xml:space="preserve"> PAGE   \* MERGEFORMAT </w:instrText>
    </w:r>
    <w:r w:rsidR="001D2C76" w:rsidRPr="009819CE">
      <w:rPr>
        <w:color w:val="404040" w:themeColor="text1" w:themeTint="BF"/>
      </w:rPr>
      <w:fldChar w:fldCharType="separate"/>
    </w:r>
    <w:r w:rsidR="001D2C76" w:rsidRPr="009819CE">
      <w:rPr>
        <w:color w:val="404040" w:themeColor="text1" w:themeTint="BF"/>
      </w:rPr>
      <w:t>2</w:t>
    </w:r>
    <w:r w:rsidR="001D2C76" w:rsidRPr="009819CE">
      <w:rPr>
        <w:color w:val="404040" w:themeColor="text1" w:themeTint="BF"/>
      </w:rPr>
      <w:fldChar w:fldCharType="end"/>
    </w:r>
  </w:p>
  <w:p w14:paraId="0431A794" w14:textId="77777777" w:rsidR="00FF7A3E" w:rsidRPr="009819CE" w:rsidRDefault="00FF7A3E" w:rsidP="00750103">
    <w:pPr>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079045"/>
      <w:docPartObj>
        <w:docPartGallery w:val="Page Numbers (Bottom of Page)"/>
        <w:docPartUnique/>
      </w:docPartObj>
    </w:sdtPr>
    <w:sdtEndPr/>
    <w:sdtContent>
      <w:p w14:paraId="247A6234" w14:textId="2C2F75C9" w:rsidR="006231F4" w:rsidRPr="009819CE" w:rsidRDefault="006231F4" w:rsidP="00FF7A3E">
        <w:pPr>
          <w:pStyle w:val="Footer"/>
          <w:tabs>
            <w:tab w:val="left" w:pos="3353"/>
            <w:tab w:val="right" w:pos="15400"/>
          </w:tabs>
          <w:jc w:val="left"/>
        </w:pPr>
        <w:r w:rsidRPr="009819CE">
          <w:tab/>
        </w:r>
        <w:r w:rsidRPr="009819CE">
          <w:tab/>
        </w:r>
        <w:r w:rsidRPr="009819CE">
          <w:tab/>
        </w:r>
        <w:r w:rsidRPr="009819CE">
          <w:tab/>
        </w:r>
        <w:r w:rsidRPr="009819CE">
          <w:fldChar w:fldCharType="begin"/>
        </w:r>
        <w:r w:rsidRPr="009819CE">
          <w:instrText>PAGE   \* MERGEFORMAT</w:instrText>
        </w:r>
        <w:r w:rsidRPr="009819CE">
          <w:fldChar w:fldCharType="separate"/>
        </w:r>
        <w:r w:rsidRPr="009819CE">
          <w:t>2</w:t>
        </w:r>
        <w:r w:rsidRPr="009819C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90D3" w14:textId="77777777" w:rsidR="003C7792" w:rsidRPr="00435B6B" w:rsidRDefault="003C7792" w:rsidP="005C169C">
      <w:r w:rsidRPr="00435B6B">
        <w:separator/>
      </w:r>
    </w:p>
  </w:footnote>
  <w:footnote w:type="continuationSeparator" w:id="0">
    <w:p w14:paraId="049B97C2" w14:textId="77777777" w:rsidR="003C7792" w:rsidRPr="00435B6B" w:rsidRDefault="003C7792" w:rsidP="005C169C">
      <w:r w:rsidRPr="00435B6B">
        <w:continuationSeparator/>
      </w:r>
    </w:p>
  </w:footnote>
  <w:footnote w:type="continuationNotice" w:id="1">
    <w:p w14:paraId="51912A33" w14:textId="77777777" w:rsidR="003C7792" w:rsidRPr="00435B6B" w:rsidRDefault="003C779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EE88" w14:textId="77777777" w:rsidR="005324EE" w:rsidRPr="009819CE" w:rsidRDefault="005324EE" w:rsidP="00754950">
    <w:pPr>
      <w:pStyle w:val="Header"/>
      <w:pBdr>
        <w:bottom w:val="single" w:sz="4" w:space="1" w:color="auto"/>
      </w:pBdr>
      <w:jc w:val="right"/>
      <w:rPr>
        <w:rFonts w:cstheme="minorBidi"/>
      </w:rPr>
    </w:pPr>
    <w:r>
      <w:rPr>
        <w:rFonts w:cstheme="minorBidi"/>
        <w:color w:val="000000" w:themeColor="text1"/>
      </w:rPr>
      <w:t>Supervisor’s 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C650" w14:textId="75449E3A" w:rsidR="00B66841" w:rsidRPr="009819CE" w:rsidRDefault="00B66841" w:rsidP="00754950">
    <w:pPr>
      <w:pStyle w:val="Header"/>
      <w:pBdr>
        <w:bottom w:val="single" w:sz="4" w:space="1" w:color="auto"/>
      </w:pBdr>
      <w:jc w:val="right"/>
      <w:rPr>
        <w:rFonts w:cstheme="minorBidi"/>
      </w:rPr>
    </w:pPr>
    <w:r>
      <w:rPr>
        <w:rFonts w:cstheme="minorBidi"/>
        <w:color w:val="000000" w:themeColor="text1"/>
      </w:rPr>
      <w:t>Declaration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00A1" w14:textId="612D80DD" w:rsidR="005324EE" w:rsidRPr="009819CE" w:rsidRDefault="005324EE" w:rsidP="00754950">
    <w:pPr>
      <w:pStyle w:val="Header"/>
      <w:pBdr>
        <w:bottom w:val="single" w:sz="4" w:space="1" w:color="auto"/>
      </w:pBdr>
      <w:jc w:val="right"/>
      <w:rPr>
        <w:rFonts w:cstheme="minorBidi"/>
      </w:rPr>
    </w:pPr>
    <w:r>
      <w:rPr>
        <w:rFonts w:cstheme="minorBidi"/>
        <w:color w:val="000000" w:themeColor="text1"/>
      </w:rPr>
      <w:t>Authors contributions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B6F99" w14:textId="23DE6F58" w:rsidR="005324EE" w:rsidRPr="009819CE" w:rsidRDefault="005324EE" w:rsidP="00754950">
    <w:pPr>
      <w:pStyle w:val="Header"/>
      <w:pBdr>
        <w:bottom w:val="single" w:sz="4" w:space="1" w:color="auto"/>
      </w:pBdr>
      <w:jc w:val="right"/>
      <w:rPr>
        <w:rFonts w:cstheme="minorBidi"/>
      </w:rPr>
    </w:pPr>
    <w:r>
      <w:rPr>
        <w:rFonts w:cstheme="minorBidi"/>
        <w:color w:val="000000" w:themeColor="text1"/>
      </w:rPr>
      <w:t>Acknowledgements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5688" w14:textId="70866D72" w:rsidR="00B66841" w:rsidRPr="00B66841" w:rsidRDefault="00B66841" w:rsidP="00B66841">
    <w:pPr>
      <w:pStyle w:val="Header"/>
    </w:pPr>
    <w:r>
      <w:tab/>
    </w:r>
    <w:r>
      <w:tab/>
      <w:t>Dedicatory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42CC" w14:textId="77777777" w:rsidR="001332F0" w:rsidRPr="009819CE" w:rsidRDefault="001332F0" w:rsidP="00754950">
    <w:pPr>
      <w:pStyle w:val="Header"/>
      <w:pBdr>
        <w:bottom w:val="single" w:sz="4" w:space="1" w:color="auto"/>
      </w:pBdr>
      <w:jc w:val="right"/>
      <w:rPr>
        <w:rFonts w:cstheme="minorBidi"/>
      </w:rPr>
    </w:pPr>
    <w:r>
      <w:rPr>
        <w:rFonts w:cstheme="minorBidi"/>
        <w:color w:val="000000" w:themeColor="text1"/>
      </w:rPr>
      <w:t>Publications. Conferences. Workshops. Grants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56DD" w14:textId="77777777" w:rsidR="00B541B4" w:rsidRPr="009819CE" w:rsidRDefault="00B541B4" w:rsidP="00754950">
    <w:pPr>
      <w:pStyle w:val="Header"/>
      <w:pBdr>
        <w:bottom w:val="single" w:sz="4" w:space="1" w:color="auto"/>
      </w:pBdr>
      <w:jc w:val="right"/>
      <w:rPr>
        <w:rFonts w:cstheme="minorBidi"/>
      </w:rPr>
    </w:pPr>
    <w:r>
      <w:rPr>
        <w:rFonts w:cstheme="minorBidi"/>
        <w:color w:val="000000" w:themeColor="text1"/>
      </w:rPr>
      <w:t>List of abbreviations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8299" w14:textId="6B023E20" w:rsidR="00B541B4" w:rsidRPr="009819CE" w:rsidRDefault="00B541B4" w:rsidP="00754950">
    <w:pPr>
      <w:pStyle w:val="Header"/>
      <w:pBdr>
        <w:bottom w:val="single" w:sz="4" w:space="1" w:color="auto"/>
      </w:pBdr>
      <w:jc w:val="right"/>
      <w:rPr>
        <w:rFonts w:cstheme="minorBidi"/>
      </w:rPr>
    </w:pPr>
    <w:r>
      <w:rPr>
        <w:rFonts w:cstheme="minorBidi"/>
        <w:color w:val="000000" w:themeColor="text1"/>
      </w:rPr>
      <w:t>Abstract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A42E" w14:textId="2F90E270" w:rsidR="00D04A8D" w:rsidRPr="009819CE" w:rsidRDefault="00D04A8D" w:rsidP="00754950">
    <w:pPr>
      <w:pStyle w:val="Header"/>
      <w:pBdr>
        <w:bottom w:val="single" w:sz="4" w:space="1" w:color="auto"/>
      </w:pBdr>
      <w:jc w:val="right"/>
      <w:rPr>
        <w:rFonts w:cstheme="minorBidi"/>
      </w:rPr>
    </w:pPr>
    <w:r>
      <w:rPr>
        <w:rFonts w:cstheme="minorBidi"/>
      </w:rPr>
      <w:t>Table of contents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7C66" w14:textId="538D97F0" w:rsidR="008E565E" w:rsidRPr="009819CE" w:rsidRDefault="008E565E" w:rsidP="00754950">
    <w:pPr>
      <w:pStyle w:val="Header"/>
      <w:pBdr>
        <w:bottom w:val="single" w:sz="4" w:space="1" w:color="auto"/>
      </w:pBdr>
      <w:jc w:val="right"/>
      <w:rPr>
        <w:rFonts w:cstheme="minorBidi"/>
      </w:rPr>
    </w:pPr>
    <w:r>
      <w:rPr>
        <w:rFonts w:cstheme="minorBidi"/>
        <w:color w:val="000000" w:themeColor="text1"/>
      </w:rPr>
      <w:t>List of figures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50A2" w14:textId="784A811A" w:rsidR="00920FA7" w:rsidRPr="009819CE" w:rsidRDefault="00920FA7" w:rsidP="00754950">
    <w:pPr>
      <w:pStyle w:val="Header"/>
      <w:pBdr>
        <w:bottom w:val="single" w:sz="4" w:space="1" w:color="auto"/>
      </w:pBdr>
      <w:jc w:val="right"/>
      <w:rPr>
        <w:rFonts w:cstheme="minorBidi"/>
      </w:rPr>
    </w:pPr>
    <w:r>
      <w:rPr>
        <w:rFonts w:cstheme="minorBidi"/>
        <w:color w:val="000000" w:themeColor="text1"/>
      </w:rPr>
      <w:t xml:space="preserve">List of </w:t>
    </w:r>
    <w:r w:rsidR="002B2754">
      <w:rPr>
        <w:rFonts w:cstheme="minorBidi"/>
        <w:color w:val="000000" w:themeColor="text1"/>
      </w:rPr>
      <w:t>t</w:t>
    </w:r>
    <w:r>
      <w:rPr>
        <w:rFonts w:cstheme="minorBidi"/>
        <w:color w:val="000000" w:themeColor="text1"/>
      </w:rPr>
      <w:t>ables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9A6C" w14:textId="77C1AEC3" w:rsidR="00CD18A8" w:rsidRPr="009819CE" w:rsidRDefault="00AA7DC6" w:rsidP="00D05550">
    <w:pPr>
      <w:pStyle w:val="Header"/>
      <w:jc w:val="right"/>
    </w:pPr>
    <w:r>
      <w:t>Chapter 1- General introduction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509F" w14:textId="69053FC5" w:rsidR="003D488A" w:rsidRPr="009819CE" w:rsidRDefault="003D488A" w:rsidP="003D488A">
    <w:pPr>
      <w:pStyle w:val="Header"/>
      <w:pBdr>
        <w:bottom w:val="single" w:sz="4" w:space="1" w:color="auto"/>
      </w:pBdr>
      <w:jc w:val="right"/>
      <w:rPr>
        <w:rFonts w:cstheme="minorBidi"/>
      </w:rPr>
    </w:pPr>
    <w:r w:rsidRPr="009819CE">
      <w:rPr>
        <w:rFonts w:cstheme="minorBidi"/>
        <w:color w:val="000000" w:themeColor="text1"/>
      </w:rPr>
      <w:t xml:space="preserve">Chapter </w:t>
    </w:r>
    <w:r w:rsidR="00754950" w:rsidRPr="009819CE">
      <w:rPr>
        <w:rFonts w:cstheme="minorBidi"/>
        <w:color w:val="000000" w:themeColor="text1"/>
      </w:rPr>
      <w:t>2</w:t>
    </w:r>
    <w:r w:rsidRPr="009819CE">
      <w:rPr>
        <w:rFonts w:cstheme="minorBidi"/>
        <w:color w:val="000000" w:themeColor="text1"/>
      </w:rPr>
      <w:t xml:space="preserve"> – </w:t>
    </w:r>
    <w:r w:rsidR="00754950" w:rsidRPr="009819CE">
      <w:rPr>
        <w:rFonts w:cstheme="minorBidi"/>
        <w:color w:val="000000" w:themeColor="text1"/>
      </w:rPr>
      <w:t>Prevalence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293C9" w14:textId="77777777" w:rsidR="00B97CAE" w:rsidRPr="009819CE" w:rsidRDefault="00B97CAE" w:rsidP="00814AB2">
    <w:pPr>
      <w:pStyle w:val="Header"/>
      <w:pBdr>
        <w:bottom w:val="single" w:sz="4" w:space="1" w:color="auto"/>
      </w:pBdr>
      <w:jc w:val="right"/>
      <w:rPr>
        <w:rFonts w:cstheme="minorBidi"/>
      </w:rPr>
    </w:pPr>
    <w:r w:rsidRPr="009819CE">
      <w:rPr>
        <w:rFonts w:cstheme="minorBidi"/>
        <w:color w:val="000000" w:themeColor="text1"/>
      </w:rPr>
      <w:t>Chapter 3 – Microbiome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54F0" w14:textId="77777777" w:rsidR="00814AB2" w:rsidRPr="009819CE" w:rsidRDefault="00814AB2" w:rsidP="00814AB2">
    <w:pPr>
      <w:pStyle w:val="Header"/>
      <w:pBdr>
        <w:bottom w:val="single" w:sz="4" w:space="1" w:color="auto"/>
      </w:pBdr>
      <w:jc w:val="right"/>
      <w:rPr>
        <w:rFonts w:cstheme="minorBidi"/>
      </w:rPr>
    </w:pPr>
    <w:r w:rsidRPr="009819CE">
      <w:rPr>
        <w:rFonts w:cstheme="minorBidi"/>
        <w:color w:val="000000" w:themeColor="text1"/>
      </w:rPr>
      <w:t>Chapter 3 – Microbiome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1E44" w14:textId="77777777" w:rsidR="001E58EC" w:rsidRPr="009819CE" w:rsidRDefault="001E58EC" w:rsidP="00814AB2">
    <w:pPr>
      <w:pStyle w:val="Header"/>
      <w:pBdr>
        <w:bottom w:val="single" w:sz="4" w:space="1" w:color="auto"/>
      </w:pBdr>
      <w:jc w:val="right"/>
      <w:rPr>
        <w:rFonts w:cstheme="minorBidi"/>
      </w:rPr>
    </w:pPr>
    <w:r w:rsidRPr="009819CE">
      <w:rPr>
        <w:rFonts w:cstheme="minorBidi"/>
        <w:color w:val="000000" w:themeColor="text1"/>
      </w:rPr>
      <w:t>Chapter 3 – Microbiome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C75E" w14:textId="77777777" w:rsidR="00192A56" w:rsidRPr="009819CE" w:rsidRDefault="00192A56" w:rsidP="00814AB2">
    <w:pPr>
      <w:pStyle w:val="Header"/>
      <w:pBdr>
        <w:bottom w:val="single" w:sz="4" w:space="1" w:color="auto"/>
      </w:pBdr>
      <w:jc w:val="right"/>
      <w:rPr>
        <w:rFonts w:cstheme="minorBidi"/>
      </w:rPr>
    </w:pPr>
    <w:r w:rsidRPr="009819CE">
      <w:rPr>
        <w:rFonts w:cstheme="minorBidi"/>
        <w:color w:val="000000" w:themeColor="text1"/>
      </w:rPr>
      <w:t>Chapter 3 – Microbiome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ECEA" w14:textId="77777777" w:rsidR="0066434C" w:rsidRPr="009819CE" w:rsidRDefault="0066434C" w:rsidP="00814AB2">
    <w:pPr>
      <w:pStyle w:val="Header"/>
      <w:pBdr>
        <w:bottom w:val="single" w:sz="4" w:space="1" w:color="auto"/>
      </w:pBdr>
      <w:jc w:val="right"/>
      <w:rPr>
        <w:rFonts w:cstheme="minorBidi"/>
      </w:rPr>
    </w:pPr>
    <w:r w:rsidRPr="009819CE">
      <w:rPr>
        <w:rFonts w:cstheme="minorBidi"/>
        <w:color w:val="000000" w:themeColor="text1"/>
      </w:rPr>
      <w:t>Chapter 3 – Microbiome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324A" w14:textId="63DA64C8" w:rsidR="00ED3D3B" w:rsidRPr="009819CE" w:rsidRDefault="00ED3D3B" w:rsidP="00814AB2">
    <w:pPr>
      <w:pStyle w:val="Header"/>
      <w:pBdr>
        <w:bottom w:val="single" w:sz="4" w:space="1" w:color="auto"/>
      </w:pBdr>
      <w:jc w:val="right"/>
      <w:rPr>
        <w:rFonts w:cstheme="minorBidi"/>
      </w:rPr>
    </w:pPr>
    <w:r w:rsidRPr="009819CE">
      <w:rPr>
        <w:rFonts w:cstheme="minorBidi"/>
        <w:color w:val="000000" w:themeColor="text1"/>
      </w:rPr>
      <w:t>Chapter 4 – Sporulation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C8ED" w14:textId="77777777" w:rsidR="00F644FD" w:rsidRPr="009819CE" w:rsidRDefault="00F644FD" w:rsidP="00814AB2">
    <w:pPr>
      <w:pStyle w:val="Header"/>
      <w:pBdr>
        <w:bottom w:val="single" w:sz="4" w:space="1" w:color="auto"/>
      </w:pBdr>
      <w:jc w:val="right"/>
      <w:rPr>
        <w:rFonts w:cstheme="minorBidi"/>
      </w:rPr>
    </w:pPr>
    <w:r w:rsidRPr="009819CE">
      <w:rPr>
        <w:rFonts w:cstheme="minorBidi"/>
        <w:color w:val="000000" w:themeColor="text1"/>
      </w:rPr>
      <w:t>Chapter 4 – Sporulation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C7E4" w14:textId="77777777" w:rsidR="006A6E81" w:rsidRPr="009819CE" w:rsidRDefault="006A6E81" w:rsidP="006A6E81">
    <w:pPr>
      <w:pStyle w:val="Header"/>
      <w:pBdr>
        <w:bottom w:val="single" w:sz="4" w:space="1" w:color="auto"/>
      </w:pBdr>
      <w:jc w:val="right"/>
      <w:rPr>
        <w:rFonts w:cstheme="minorBidi"/>
      </w:rPr>
    </w:pPr>
    <w:r w:rsidRPr="009819CE">
      <w:rPr>
        <w:rFonts w:cstheme="minorBidi"/>
        <w:color w:val="000000" w:themeColor="text1"/>
      </w:rPr>
      <w:t>Chapter 4 – Sporulation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0FBC9" w14:textId="19196CC1" w:rsidR="00A114D4" w:rsidRPr="009819CE" w:rsidRDefault="008D7610" w:rsidP="006A6E81">
    <w:pPr>
      <w:pStyle w:val="Header"/>
      <w:pBdr>
        <w:bottom w:val="single" w:sz="4" w:space="1" w:color="auto"/>
      </w:pBdr>
      <w:jc w:val="right"/>
      <w:rPr>
        <w:rFonts w:cstheme="minorBidi"/>
      </w:rPr>
    </w:pPr>
    <w:r w:rsidRPr="009819CE">
      <w:rPr>
        <w:rFonts w:cstheme="minorBidi"/>
      </w:rPr>
      <w:t>General Discussion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9A2E" w14:textId="48A1E1A0" w:rsidR="00F36716" w:rsidRPr="009819CE" w:rsidRDefault="00F36716" w:rsidP="006A6E81">
    <w:pPr>
      <w:pStyle w:val="Header"/>
      <w:pBdr>
        <w:bottom w:val="single" w:sz="4" w:space="1" w:color="auto"/>
      </w:pBdr>
      <w:jc w:val="right"/>
      <w:rPr>
        <w:rFonts w:cstheme="minorBidi"/>
      </w:rPr>
    </w:pPr>
    <w:r w:rsidRPr="009819CE">
      <w:rPr>
        <w:rFonts w:cstheme="minorBidi"/>
      </w:rPr>
      <w:t>References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EE21" w14:textId="0DFEF2A8" w:rsidR="008F21DD" w:rsidRPr="009819CE" w:rsidRDefault="008F21DD" w:rsidP="00C23A98">
    <w:pPr>
      <w:pStyle w:val="Header"/>
      <w:pBdr>
        <w:bottom w:val="single" w:sz="4" w:space="1" w:color="auto"/>
      </w:pBdr>
      <w:jc w:val="right"/>
      <w:rPr>
        <w:rFonts w:cstheme="minorBidi"/>
      </w:rPr>
    </w:pPr>
    <w:r w:rsidRPr="009819CE">
      <w:rPr>
        <w:rFonts w:cstheme="minorBidi"/>
        <w:color w:val="000000" w:themeColor="text1"/>
      </w:rPr>
      <w:t>Appen</w:t>
    </w:r>
    <w:r w:rsidR="00AB13AB" w:rsidRPr="009819CE">
      <w:rPr>
        <w:rFonts w:cstheme="minorBidi"/>
        <w:color w:val="000000" w:themeColor="text1"/>
      </w:rPr>
      <w:t>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9A"/>
    <w:multiLevelType w:val="hybridMultilevel"/>
    <w:tmpl w:val="FC72537E"/>
    <w:lvl w:ilvl="0" w:tplc="04090019">
      <w:start w:val="1"/>
      <w:numFmt w:val="lowerLetter"/>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 w15:restartNumberingAfterBreak="0">
    <w:nsid w:val="03806418"/>
    <w:multiLevelType w:val="hybridMultilevel"/>
    <w:tmpl w:val="73948B8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2A6093"/>
    <w:multiLevelType w:val="singleLevel"/>
    <w:tmpl w:val="BFF6EC3A"/>
    <w:lvl w:ilvl="0">
      <w:start w:val="1"/>
      <w:numFmt w:val="decimal"/>
      <w:pStyle w:val="ListItem"/>
      <w:lvlText w:val="%1."/>
      <w:lvlJc w:val="left"/>
      <w:pPr>
        <w:tabs>
          <w:tab w:val="num" w:pos="1656"/>
        </w:tabs>
        <w:ind w:left="1656" w:hanging="576"/>
      </w:pPr>
      <w:rPr>
        <w:rFonts w:ascii="Arial" w:hAnsi="Arial" w:cs="Arial"/>
        <w:b w:val="0"/>
        <w:i w:val="0"/>
        <w:sz w:val="20"/>
      </w:rPr>
    </w:lvl>
  </w:abstractNum>
  <w:abstractNum w:abstractNumId="3" w15:restartNumberingAfterBreak="0">
    <w:nsid w:val="05AC4215"/>
    <w:multiLevelType w:val="multilevel"/>
    <w:tmpl w:val="07FA7E9C"/>
    <w:styleLink w:val="thesischapters"/>
    <w:lvl w:ilvl="0">
      <w:start w:val="1"/>
      <w:numFmt w:val="decimal"/>
      <w:lvlText w:val="Chapter 6.%1"/>
      <w:lvlJc w:val="left"/>
      <w:pPr>
        <w:ind w:left="360" w:hanging="360"/>
      </w:pPr>
      <w:rPr>
        <w:rFonts w:ascii="Arial" w:hAnsi="Arial" w:hint="default"/>
        <w:b/>
        <w:i w:val="0"/>
        <w:color w:val="000000"/>
        <w:sz w:val="24"/>
      </w:rPr>
    </w:lvl>
    <w:lvl w:ilvl="1">
      <w:start w:val="1"/>
      <w:numFmt w:val="decimal"/>
      <w:lvlText w:val="Chapter 6.1.%2"/>
      <w:lvlJc w:val="left"/>
      <w:pPr>
        <w:ind w:left="0" w:firstLine="0"/>
      </w:pPr>
      <w:rPr>
        <w:rFonts w:ascii="Arial" w:hAnsi="Arial" w:hint="default"/>
        <w:b/>
        <w:i w:val="0"/>
        <w:sz w:val="24"/>
      </w:rPr>
    </w:lvl>
    <w:lvl w:ilvl="2">
      <w:start w:val="1"/>
      <w:numFmt w:val="decimal"/>
      <w:lvlText w:val="Chapter 6.1.1.%3"/>
      <w:lvlJc w:val="left"/>
      <w:pPr>
        <w:ind w:left="0" w:firstLine="0"/>
      </w:pPr>
      <w:rPr>
        <w:rFonts w:hint="default"/>
      </w:rPr>
    </w:lvl>
    <w:lvl w:ilvl="3">
      <w:start w:val="1"/>
      <w:numFmt w:val="decimal"/>
      <w:lvlText w:val="Chapter 6.1.1.1.%4"/>
      <w:lvlJc w:val="left"/>
      <w:pPr>
        <w:ind w:left="0" w:firstLine="0"/>
      </w:pPr>
      <w:rPr>
        <w:rFonts w:hint="default"/>
      </w:rPr>
    </w:lvl>
    <w:lvl w:ilvl="4">
      <w:start w:val="1"/>
      <w:numFmt w:val="decimal"/>
      <w:lvlText w:val="%4%1.%2.%3..%5."/>
      <w:lvlJc w:val="left"/>
      <w:pPr>
        <w:ind w:left="2232" w:hanging="2232"/>
      </w:pPr>
      <w:rPr>
        <w:rFonts w:hint="default"/>
      </w:rPr>
    </w:lvl>
    <w:lvl w:ilvl="5">
      <w:start w:val="1"/>
      <w:numFmt w:val="decimal"/>
      <w:lvlText w:val="%1.%2.%3.%4.%5.%6."/>
      <w:lvlJc w:val="left"/>
      <w:pPr>
        <w:ind w:left="2736" w:hanging="2736"/>
      </w:pPr>
      <w:rPr>
        <w:rFonts w:hint="default"/>
      </w:rPr>
    </w:lvl>
    <w:lvl w:ilvl="6">
      <w:start w:val="1"/>
      <w:numFmt w:val="decimal"/>
      <w:lvlText w:val="%1.%2.%3.%4.%5.%6.%7."/>
      <w:lvlJc w:val="left"/>
      <w:pPr>
        <w:ind w:left="3240" w:hanging="324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F92C5A"/>
    <w:multiLevelType w:val="multilevel"/>
    <w:tmpl w:val="21AC215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273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4320" w:hanging="1440"/>
      </w:pPr>
      <w:rPr>
        <w:rFonts w:hint="default"/>
      </w:rPr>
    </w:lvl>
  </w:abstractNum>
  <w:abstractNum w:abstractNumId="5" w15:restartNumberingAfterBreak="0">
    <w:nsid w:val="0AC02458"/>
    <w:multiLevelType w:val="hybridMultilevel"/>
    <w:tmpl w:val="DC7881E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2C5B5E"/>
    <w:multiLevelType w:val="singleLevel"/>
    <w:tmpl w:val="8E6C718C"/>
    <w:lvl w:ilvl="0">
      <w:start w:val="1"/>
      <w:numFmt w:val="decimal"/>
      <w:pStyle w:val="ReferenceNumber"/>
      <w:lvlText w:val="[Ref. %1]"/>
      <w:lvlJc w:val="left"/>
      <w:pPr>
        <w:tabs>
          <w:tab w:val="num" w:pos="864"/>
        </w:tabs>
        <w:ind w:left="360" w:hanging="360"/>
      </w:pPr>
      <w:rPr>
        <w:rFonts w:ascii="Arial" w:hAnsi="Arial" w:cs="Arial"/>
        <w:b w:val="0"/>
        <w:i w:val="0"/>
        <w:sz w:val="20"/>
      </w:rPr>
    </w:lvl>
  </w:abstractNum>
  <w:abstractNum w:abstractNumId="7" w15:restartNumberingAfterBreak="0">
    <w:nsid w:val="0FBC509D"/>
    <w:multiLevelType w:val="multilevel"/>
    <w:tmpl w:val="C8086BF8"/>
    <w:lvl w:ilvl="0">
      <w:start w:val="1"/>
      <w:numFmt w:val="upperLetter"/>
      <w:pStyle w:val="Annex1"/>
      <w:lvlText w:val="Annex %1"/>
      <w:lvlJc w:val="left"/>
      <w:pPr>
        <w:ind w:left="0" w:firstLine="0"/>
      </w:pPr>
      <w:rPr>
        <w:rFonts w:ascii="Arial" w:hAnsi="Arial" w:cs="Arial" w:hint="default"/>
        <w:b/>
        <w:i w:val="0"/>
        <w:color w:val="333366"/>
        <w:sz w:val="32"/>
        <w:szCs w:val="32"/>
      </w:rPr>
    </w:lvl>
    <w:lvl w:ilvl="1">
      <w:start w:val="1"/>
      <w:numFmt w:val="decimal"/>
      <w:pStyle w:val="Annex2"/>
      <w:lvlText w:val="%1.%2"/>
      <w:lvlJc w:val="left"/>
      <w:pPr>
        <w:tabs>
          <w:tab w:val="num" w:pos="1080"/>
        </w:tabs>
        <w:ind w:left="1080" w:hanging="1080"/>
      </w:pPr>
      <w:rPr>
        <w:rFonts w:ascii="Arial" w:hAnsi="Arial" w:cs="Arial" w:hint="default"/>
        <w:b/>
        <w:i w:val="0"/>
        <w:color w:val="5DBFD4"/>
        <w:sz w:val="28"/>
      </w:rPr>
    </w:lvl>
    <w:lvl w:ilvl="2">
      <w:start w:val="1"/>
      <w:numFmt w:val="decimal"/>
      <w:pStyle w:val="Annex3"/>
      <w:lvlText w:val="%1.%2.%3"/>
      <w:lvlJc w:val="left"/>
      <w:pPr>
        <w:tabs>
          <w:tab w:val="num" w:pos="1080"/>
        </w:tabs>
        <w:ind w:left="1080" w:hanging="1080"/>
      </w:pPr>
      <w:rPr>
        <w:rFonts w:ascii="Arial" w:hAnsi="Arial" w:cs="Arial" w:hint="default"/>
        <w:b/>
        <w:i w:val="0"/>
        <w:color w:val="5DBFD4"/>
        <w:sz w:val="24"/>
      </w:rPr>
    </w:lvl>
    <w:lvl w:ilvl="3">
      <w:start w:val="1"/>
      <w:numFmt w:val="decimal"/>
      <w:pStyle w:val="Annex4"/>
      <w:lvlText w:val="%1.%2.%3.%4"/>
      <w:lvlJc w:val="left"/>
      <w:pPr>
        <w:tabs>
          <w:tab w:val="num" w:pos="1080"/>
        </w:tabs>
        <w:ind w:left="1080" w:hanging="1080"/>
      </w:pPr>
      <w:rPr>
        <w:rFonts w:ascii="Arial" w:hAnsi="Arial" w:cs="Arial" w:hint="default"/>
        <w:b/>
        <w:i w:val="0"/>
        <w:color w:val="5DBFD4"/>
        <w:sz w:val="20"/>
      </w:rPr>
    </w:lvl>
    <w:lvl w:ilvl="4">
      <w:start w:val="1"/>
      <w:numFmt w:val="decimal"/>
      <w:pStyle w:val="Annex5"/>
      <w:lvlText w:val="%1.%2.%3.%4.%5"/>
      <w:lvlJc w:val="left"/>
      <w:pPr>
        <w:tabs>
          <w:tab w:val="num" w:pos="1080"/>
        </w:tabs>
        <w:ind w:left="1080" w:hanging="1080"/>
      </w:pPr>
      <w:rPr>
        <w:rFonts w:ascii="Arial" w:hAnsi="Arial" w:cs="Arial" w:hint="default"/>
        <w:b/>
        <w:i w:val="0"/>
        <w:color w:val="5DBFD4"/>
        <w:sz w:val="20"/>
      </w:rPr>
    </w:lvl>
    <w:lvl w:ilvl="5">
      <w:start w:val="1"/>
      <w:numFmt w:val="decimal"/>
      <w:pStyle w:val="Annex6"/>
      <w:lvlText w:val="%1.%2.%3.%4.%5.%6"/>
      <w:lvlJc w:val="left"/>
      <w:pPr>
        <w:tabs>
          <w:tab w:val="num" w:pos="1080"/>
        </w:tabs>
        <w:ind w:left="1080" w:hanging="1080"/>
      </w:pPr>
      <w:rPr>
        <w:rFonts w:ascii="Arial" w:hAnsi="Arial" w:cs="Arial" w:hint="default"/>
        <w:b/>
        <w:i w:val="0"/>
        <w:color w:val="5DBFD4"/>
        <w:sz w:val="20"/>
      </w:rPr>
    </w:lvl>
    <w:lvl w:ilvl="6">
      <w:start w:val="1"/>
      <w:numFmt w:val="decimal"/>
      <w:pStyle w:val="AnnexPara1"/>
      <w:lvlText w:val="(%7)"/>
      <w:lvlJc w:val="left"/>
      <w:pPr>
        <w:tabs>
          <w:tab w:val="num" w:pos="1080"/>
        </w:tabs>
        <w:ind w:left="1080" w:hanging="1080"/>
      </w:pPr>
      <w:rPr>
        <w:rFonts w:ascii="Arial" w:hAnsi="Arial" w:cs="Arial" w:hint="default"/>
        <w:b w:val="0"/>
        <w:i w:val="0"/>
        <w:color w:val="000000"/>
        <w:sz w:val="20"/>
      </w:rPr>
    </w:lvl>
    <w:lvl w:ilvl="7">
      <w:start w:val="1"/>
      <w:numFmt w:val="lowerLetter"/>
      <w:pStyle w:val="AnnexPara2"/>
      <w:lvlText w:val="(%8)"/>
      <w:lvlJc w:val="left"/>
      <w:pPr>
        <w:tabs>
          <w:tab w:val="num" w:pos="1656"/>
        </w:tabs>
        <w:ind w:left="1656" w:hanging="576"/>
      </w:pPr>
      <w:rPr>
        <w:rFonts w:ascii="Arial" w:hAnsi="Arial" w:cs="Arial" w:hint="default"/>
        <w:b w:val="0"/>
        <w:i w:val="0"/>
        <w:color w:val="000000"/>
        <w:sz w:val="20"/>
      </w:rPr>
    </w:lvl>
    <w:lvl w:ilvl="8">
      <w:start w:val="1"/>
      <w:numFmt w:val="lowerRoman"/>
      <w:pStyle w:val="AnnexPara3"/>
      <w:lvlText w:val="(%9)"/>
      <w:lvlJc w:val="left"/>
      <w:pPr>
        <w:tabs>
          <w:tab w:val="num" w:pos="2232"/>
        </w:tabs>
        <w:ind w:left="2232" w:hanging="576"/>
      </w:pPr>
      <w:rPr>
        <w:rFonts w:ascii="Arial" w:hAnsi="Arial" w:cs="Arial" w:hint="default"/>
        <w:b w:val="0"/>
        <w:i w:val="0"/>
        <w:color w:val="000000"/>
        <w:sz w:val="20"/>
      </w:rPr>
    </w:lvl>
  </w:abstractNum>
  <w:abstractNum w:abstractNumId="8" w15:restartNumberingAfterBreak="0">
    <w:nsid w:val="1BC50A3D"/>
    <w:multiLevelType w:val="hybridMultilevel"/>
    <w:tmpl w:val="C6F07178"/>
    <w:lvl w:ilvl="0" w:tplc="62609166">
      <w:start w:val="1"/>
      <w:numFmt w:val="upperRoman"/>
      <w:lvlText w:val="%1."/>
      <w:lvlJc w:val="right"/>
      <w:pPr>
        <w:ind w:left="180" w:hanging="180"/>
      </w:pPr>
      <w:rPr>
        <w:b/>
        <w:bCs w:val="0"/>
        <w:sz w:val="24"/>
        <w:szCs w:val="32"/>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start w:val="1"/>
      <w:numFmt w:val="decimal"/>
      <w:pStyle w:val="subsubsubsection"/>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9" w15:restartNumberingAfterBreak="0">
    <w:nsid w:val="1C9D6B01"/>
    <w:multiLevelType w:val="hybridMultilevel"/>
    <w:tmpl w:val="B8029566"/>
    <w:lvl w:ilvl="0" w:tplc="4EF80DD6">
      <w:start w:val="1"/>
      <w:numFmt w:val="bullet"/>
      <w:pStyle w:val="Bullet1"/>
      <w:lvlText w:val=""/>
      <w:lvlJc w:val="left"/>
      <w:pPr>
        <w:tabs>
          <w:tab w:val="num" w:pos="2952"/>
        </w:tabs>
        <w:ind w:left="2952" w:hanging="360"/>
      </w:pPr>
      <w:rPr>
        <w:rFonts w:ascii="Symbol" w:hAnsi="Symbol" w:hint="default"/>
      </w:rPr>
    </w:lvl>
    <w:lvl w:ilvl="1" w:tplc="08090003">
      <w:start w:val="1"/>
      <w:numFmt w:val="bullet"/>
      <w:lvlText w:val="o"/>
      <w:lvlJc w:val="left"/>
      <w:pPr>
        <w:tabs>
          <w:tab w:val="num" w:pos="3672"/>
        </w:tabs>
        <w:ind w:left="3672" w:hanging="360"/>
      </w:pPr>
      <w:rPr>
        <w:rFonts w:ascii="Courier New" w:hAnsi="Courier New" w:cs="Courier New" w:hint="default"/>
      </w:rPr>
    </w:lvl>
    <w:lvl w:ilvl="2" w:tplc="08090005">
      <w:start w:val="1"/>
      <w:numFmt w:val="bullet"/>
      <w:lvlText w:val=""/>
      <w:lvlJc w:val="left"/>
      <w:pPr>
        <w:tabs>
          <w:tab w:val="num" w:pos="4392"/>
        </w:tabs>
        <w:ind w:left="4392" w:hanging="360"/>
      </w:pPr>
      <w:rPr>
        <w:rFonts w:ascii="Wingdings" w:hAnsi="Wingdings" w:hint="default"/>
      </w:rPr>
    </w:lvl>
    <w:lvl w:ilvl="3" w:tplc="08090001">
      <w:start w:val="1"/>
      <w:numFmt w:val="bullet"/>
      <w:lvlText w:val=""/>
      <w:lvlJc w:val="left"/>
      <w:pPr>
        <w:tabs>
          <w:tab w:val="num" w:pos="5112"/>
        </w:tabs>
        <w:ind w:left="5112" w:hanging="360"/>
      </w:pPr>
      <w:rPr>
        <w:rFonts w:ascii="Symbol" w:hAnsi="Symbol" w:hint="default"/>
      </w:rPr>
    </w:lvl>
    <w:lvl w:ilvl="4" w:tplc="08090003">
      <w:start w:val="1"/>
      <w:numFmt w:val="bullet"/>
      <w:lvlText w:val="o"/>
      <w:lvlJc w:val="left"/>
      <w:pPr>
        <w:tabs>
          <w:tab w:val="num" w:pos="5832"/>
        </w:tabs>
        <w:ind w:left="5832" w:hanging="360"/>
      </w:pPr>
      <w:rPr>
        <w:rFonts w:ascii="Courier New" w:hAnsi="Courier New" w:cs="Courier New" w:hint="default"/>
      </w:rPr>
    </w:lvl>
    <w:lvl w:ilvl="5" w:tplc="08090005">
      <w:start w:val="1"/>
      <w:numFmt w:val="bullet"/>
      <w:lvlText w:val=""/>
      <w:lvlJc w:val="left"/>
      <w:pPr>
        <w:tabs>
          <w:tab w:val="num" w:pos="6552"/>
        </w:tabs>
        <w:ind w:left="6552" w:hanging="360"/>
      </w:pPr>
      <w:rPr>
        <w:rFonts w:ascii="Wingdings" w:hAnsi="Wingdings" w:hint="default"/>
      </w:rPr>
    </w:lvl>
    <w:lvl w:ilvl="6" w:tplc="08090001">
      <w:start w:val="1"/>
      <w:numFmt w:val="bullet"/>
      <w:lvlText w:val=""/>
      <w:lvlJc w:val="left"/>
      <w:pPr>
        <w:tabs>
          <w:tab w:val="num" w:pos="7272"/>
        </w:tabs>
        <w:ind w:left="7272" w:hanging="360"/>
      </w:pPr>
      <w:rPr>
        <w:rFonts w:ascii="Symbol" w:hAnsi="Symbol" w:hint="default"/>
      </w:rPr>
    </w:lvl>
    <w:lvl w:ilvl="7" w:tplc="08090003">
      <w:start w:val="1"/>
      <w:numFmt w:val="bullet"/>
      <w:lvlText w:val="o"/>
      <w:lvlJc w:val="left"/>
      <w:pPr>
        <w:tabs>
          <w:tab w:val="num" w:pos="7992"/>
        </w:tabs>
        <w:ind w:left="7992" w:hanging="360"/>
      </w:pPr>
      <w:rPr>
        <w:rFonts w:ascii="Courier New" w:hAnsi="Courier New" w:cs="Courier New" w:hint="default"/>
      </w:rPr>
    </w:lvl>
    <w:lvl w:ilvl="8" w:tplc="08090005">
      <w:start w:val="1"/>
      <w:numFmt w:val="bullet"/>
      <w:lvlText w:val=""/>
      <w:lvlJc w:val="left"/>
      <w:pPr>
        <w:tabs>
          <w:tab w:val="num" w:pos="8712"/>
        </w:tabs>
        <w:ind w:left="8712" w:hanging="360"/>
      </w:pPr>
      <w:rPr>
        <w:rFonts w:ascii="Wingdings" w:hAnsi="Wingdings" w:hint="default"/>
      </w:rPr>
    </w:lvl>
  </w:abstractNum>
  <w:abstractNum w:abstractNumId="10" w15:restartNumberingAfterBreak="0">
    <w:nsid w:val="1E9A2724"/>
    <w:multiLevelType w:val="hybridMultilevel"/>
    <w:tmpl w:val="ADBC7A7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F1832"/>
    <w:multiLevelType w:val="hybridMultilevel"/>
    <w:tmpl w:val="CE867458"/>
    <w:lvl w:ilvl="0" w:tplc="2604C2DE">
      <w:start w:val="1"/>
      <w:numFmt w:val="bullet"/>
      <w:pStyle w:val="Bullet1-unnumbered"/>
      <w:lvlText w:val=""/>
      <w:lvlJc w:val="left"/>
      <w:pPr>
        <w:tabs>
          <w:tab w:val="num" w:pos="2376"/>
        </w:tabs>
        <w:ind w:left="2376" w:hanging="360"/>
      </w:pPr>
      <w:rPr>
        <w:rFonts w:ascii="Symbol" w:hAnsi="Symbol" w:hint="default"/>
      </w:rPr>
    </w:lvl>
    <w:lvl w:ilvl="1" w:tplc="08090003">
      <w:start w:val="1"/>
      <w:numFmt w:val="bullet"/>
      <w:lvlText w:val="o"/>
      <w:lvlJc w:val="left"/>
      <w:pPr>
        <w:tabs>
          <w:tab w:val="num" w:pos="3096"/>
        </w:tabs>
        <w:ind w:left="3096" w:hanging="360"/>
      </w:pPr>
      <w:rPr>
        <w:rFonts w:ascii="Courier New" w:hAnsi="Courier New" w:cs="Courier New" w:hint="default"/>
      </w:rPr>
    </w:lvl>
    <w:lvl w:ilvl="2" w:tplc="08090005">
      <w:start w:val="1"/>
      <w:numFmt w:val="bullet"/>
      <w:lvlText w:val=""/>
      <w:lvlJc w:val="left"/>
      <w:pPr>
        <w:tabs>
          <w:tab w:val="num" w:pos="3816"/>
        </w:tabs>
        <w:ind w:left="3816" w:hanging="360"/>
      </w:pPr>
      <w:rPr>
        <w:rFonts w:ascii="Wingdings" w:hAnsi="Wingdings" w:hint="default"/>
      </w:rPr>
    </w:lvl>
    <w:lvl w:ilvl="3" w:tplc="08090001">
      <w:start w:val="1"/>
      <w:numFmt w:val="bullet"/>
      <w:lvlText w:val=""/>
      <w:lvlJc w:val="left"/>
      <w:pPr>
        <w:tabs>
          <w:tab w:val="num" w:pos="4536"/>
        </w:tabs>
        <w:ind w:left="4536" w:hanging="360"/>
      </w:pPr>
      <w:rPr>
        <w:rFonts w:ascii="Symbol" w:hAnsi="Symbol" w:hint="default"/>
      </w:rPr>
    </w:lvl>
    <w:lvl w:ilvl="4" w:tplc="08090003">
      <w:start w:val="1"/>
      <w:numFmt w:val="bullet"/>
      <w:lvlText w:val="o"/>
      <w:lvlJc w:val="left"/>
      <w:pPr>
        <w:tabs>
          <w:tab w:val="num" w:pos="5256"/>
        </w:tabs>
        <w:ind w:left="5256" w:hanging="360"/>
      </w:pPr>
      <w:rPr>
        <w:rFonts w:ascii="Courier New" w:hAnsi="Courier New" w:cs="Courier New" w:hint="default"/>
      </w:rPr>
    </w:lvl>
    <w:lvl w:ilvl="5" w:tplc="08090005">
      <w:start w:val="1"/>
      <w:numFmt w:val="bullet"/>
      <w:lvlText w:val=""/>
      <w:lvlJc w:val="left"/>
      <w:pPr>
        <w:tabs>
          <w:tab w:val="num" w:pos="5976"/>
        </w:tabs>
        <w:ind w:left="5976" w:hanging="360"/>
      </w:pPr>
      <w:rPr>
        <w:rFonts w:ascii="Wingdings" w:hAnsi="Wingdings" w:hint="default"/>
      </w:rPr>
    </w:lvl>
    <w:lvl w:ilvl="6" w:tplc="08090001">
      <w:start w:val="1"/>
      <w:numFmt w:val="bullet"/>
      <w:lvlText w:val=""/>
      <w:lvlJc w:val="left"/>
      <w:pPr>
        <w:tabs>
          <w:tab w:val="num" w:pos="6696"/>
        </w:tabs>
        <w:ind w:left="6696" w:hanging="360"/>
      </w:pPr>
      <w:rPr>
        <w:rFonts w:ascii="Symbol" w:hAnsi="Symbol" w:hint="default"/>
      </w:rPr>
    </w:lvl>
    <w:lvl w:ilvl="7" w:tplc="08090003">
      <w:start w:val="1"/>
      <w:numFmt w:val="bullet"/>
      <w:lvlText w:val="o"/>
      <w:lvlJc w:val="left"/>
      <w:pPr>
        <w:tabs>
          <w:tab w:val="num" w:pos="7416"/>
        </w:tabs>
        <w:ind w:left="7416" w:hanging="360"/>
      </w:pPr>
      <w:rPr>
        <w:rFonts w:ascii="Courier New" w:hAnsi="Courier New" w:cs="Courier New" w:hint="default"/>
      </w:rPr>
    </w:lvl>
    <w:lvl w:ilvl="8" w:tplc="08090005">
      <w:start w:val="1"/>
      <w:numFmt w:val="bullet"/>
      <w:lvlText w:val=""/>
      <w:lvlJc w:val="left"/>
      <w:pPr>
        <w:tabs>
          <w:tab w:val="num" w:pos="8136"/>
        </w:tabs>
        <w:ind w:left="8136" w:hanging="360"/>
      </w:pPr>
      <w:rPr>
        <w:rFonts w:ascii="Wingdings" w:hAnsi="Wingdings" w:hint="default"/>
      </w:rPr>
    </w:lvl>
  </w:abstractNum>
  <w:abstractNum w:abstractNumId="12" w15:restartNumberingAfterBreak="0">
    <w:nsid w:val="31FE07DF"/>
    <w:multiLevelType w:val="hybridMultilevel"/>
    <w:tmpl w:val="54C453C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 w15:restartNumberingAfterBreak="0">
    <w:nsid w:val="33626AB7"/>
    <w:multiLevelType w:val="multilevel"/>
    <w:tmpl w:val="6F26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111583"/>
    <w:multiLevelType w:val="hybridMultilevel"/>
    <w:tmpl w:val="F50ED636"/>
    <w:lvl w:ilvl="0" w:tplc="756E95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63262D"/>
    <w:multiLevelType w:val="multilevel"/>
    <w:tmpl w:val="6EB0BCE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7781C77"/>
    <w:multiLevelType w:val="hybridMultilevel"/>
    <w:tmpl w:val="5EA2F6D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502096"/>
    <w:multiLevelType w:val="multilevel"/>
    <w:tmpl w:val="036CBD18"/>
    <w:styleLink w:val="Headings"/>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63B4B7C"/>
    <w:multiLevelType w:val="hybridMultilevel"/>
    <w:tmpl w:val="A1E444D2"/>
    <w:lvl w:ilvl="0" w:tplc="FFFFFFFF">
      <w:start w:val="1"/>
      <w:numFmt w:val="decimal"/>
      <w:lvlText w:val="%1."/>
      <w:lvlJc w:val="left"/>
      <w:pPr>
        <w:ind w:left="360" w:hanging="360"/>
      </w:p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abstractNum w:abstractNumId="19" w15:restartNumberingAfterBreak="0">
    <w:nsid w:val="57563D92"/>
    <w:multiLevelType w:val="multilevel"/>
    <w:tmpl w:val="2DE28512"/>
    <w:styleLink w:val="Chapter6"/>
    <w:lvl w:ilvl="0">
      <w:start w:val="6"/>
      <w:numFmt w:val="decimal"/>
      <w:lvlText w:val="Chapter %1"/>
      <w:lvlJc w:val="left"/>
      <w:pPr>
        <w:ind w:left="0" w:firstLine="0"/>
      </w:pPr>
      <w:rPr>
        <w:rFonts w:ascii="Arial" w:hAnsi="Arial" w:hint="default"/>
        <w:b/>
        <w:i w:val="0"/>
        <w:sz w:val="24"/>
      </w:rPr>
    </w:lvl>
    <w:lvl w:ilvl="1">
      <w:start w:val="1"/>
      <w:numFmt w:val="decimal"/>
      <w:lvlText w:val="Chapter %1.%2."/>
      <w:lvlJc w:val="left"/>
      <w:pPr>
        <w:ind w:left="0" w:firstLine="0"/>
      </w:pPr>
      <w:rPr>
        <w:rFonts w:ascii="Arial" w:hAnsi="Arial" w:hint="default"/>
        <w:b/>
        <w:i w:val="0"/>
        <w:sz w:val="24"/>
      </w:rPr>
    </w:lvl>
    <w:lvl w:ilvl="2">
      <w:start w:val="1"/>
      <w:numFmt w:val="none"/>
      <w:lvlText w:val="Chapter 6.1.1"/>
      <w:lvlJc w:val="left"/>
      <w:pPr>
        <w:ind w:left="1224" w:hanging="504"/>
      </w:pPr>
      <w:rPr>
        <w:rFonts w:ascii="Arial" w:hAnsi="Arial" w:hint="default"/>
        <w:b/>
        <w:i w:val="0"/>
        <w:sz w:val="24"/>
      </w:rPr>
    </w:lvl>
    <w:lvl w:ilvl="3">
      <w:start w:val="1"/>
      <w:numFmt w:val="decimal"/>
      <w:lvlText w:val="Chapter %1.%2%3.%4.1"/>
      <w:lvlJc w:val="left"/>
      <w:pPr>
        <w:ind w:left="1728" w:hanging="648"/>
      </w:pPr>
      <w:rPr>
        <w:rFonts w:ascii="Arial" w:hAnsi="Arial"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9CE76EA"/>
    <w:multiLevelType w:val="hybridMultilevel"/>
    <w:tmpl w:val="A1E444D2"/>
    <w:lvl w:ilvl="0" w:tplc="FFFFFFFF">
      <w:start w:val="1"/>
      <w:numFmt w:val="decimal"/>
      <w:lvlText w:val="%1."/>
      <w:lvlJc w:val="left"/>
      <w:pPr>
        <w:ind w:left="360" w:hanging="360"/>
      </w:p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abstractNum w:abstractNumId="21" w15:restartNumberingAfterBreak="0">
    <w:nsid w:val="5B383723"/>
    <w:multiLevelType w:val="multilevel"/>
    <w:tmpl w:val="CB4C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9273B8"/>
    <w:multiLevelType w:val="hybridMultilevel"/>
    <w:tmpl w:val="64E0692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065D0F"/>
    <w:multiLevelType w:val="multilevel"/>
    <w:tmpl w:val="AA480A66"/>
    <w:lvl w:ilvl="0">
      <w:start w:val="1"/>
      <w:numFmt w:val="decimal"/>
      <w:pStyle w:val="Appendix1"/>
      <w:lvlText w:val="Appendix %1"/>
      <w:lvlJc w:val="left"/>
      <w:pPr>
        <w:ind w:left="0" w:firstLine="0"/>
      </w:pPr>
      <w:rPr>
        <w:rFonts w:ascii="Arial" w:hAnsi="Arial" w:cs="Arial" w:hint="default"/>
        <w:b/>
        <w:i w:val="0"/>
        <w:color w:val="333366"/>
        <w:sz w:val="32"/>
      </w:rPr>
    </w:lvl>
    <w:lvl w:ilvl="1">
      <w:start w:val="1"/>
      <w:numFmt w:val="decimal"/>
      <w:pStyle w:val="Appendix2"/>
      <w:lvlText w:val="A%1.%2"/>
      <w:lvlJc w:val="left"/>
      <w:pPr>
        <w:tabs>
          <w:tab w:val="num" w:pos="1080"/>
        </w:tabs>
        <w:ind w:left="1080" w:hanging="1080"/>
      </w:pPr>
      <w:rPr>
        <w:rFonts w:ascii="Arial" w:hAnsi="Arial" w:cs="Arial" w:hint="default"/>
        <w:b/>
        <w:i w:val="0"/>
        <w:color w:val="5DBFD4"/>
        <w:sz w:val="28"/>
      </w:rPr>
    </w:lvl>
    <w:lvl w:ilvl="2">
      <w:start w:val="1"/>
      <w:numFmt w:val="decimal"/>
      <w:pStyle w:val="Appendix3"/>
      <w:lvlText w:val="A%1.%2.%3"/>
      <w:lvlJc w:val="left"/>
      <w:pPr>
        <w:tabs>
          <w:tab w:val="num" w:pos="1080"/>
        </w:tabs>
        <w:ind w:left="1080" w:hanging="1080"/>
      </w:pPr>
      <w:rPr>
        <w:rFonts w:ascii="Arial" w:hAnsi="Arial" w:cs="Arial" w:hint="default"/>
        <w:b/>
        <w:i w:val="0"/>
        <w:color w:val="5DBFD4"/>
        <w:sz w:val="24"/>
      </w:rPr>
    </w:lvl>
    <w:lvl w:ilvl="3">
      <w:start w:val="1"/>
      <w:numFmt w:val="decimal"/>
      <w:pStyle w:val="Appendix4"/>
      <w:lvlText w:val="A%1.%2.%3.%4"/>
      <w:lvlJc w:val="left"/>
      <w:pPr>
        <w:tabs>
          <w:tab w:val="num" w:pos="1080"/>
        </w:tabs>
        <w:ind w:left="1080" w:hanging="1080"/>
      </w:pPr>
      <w:rPr>
        <w:rFonts w:ascii="Arial" w:hAnsi="Arial" w:cs="Arial" w:hint="default"/>
        <w:b/>
        <w:i w:val="0"/>
        <w:color w:val="5DBFD4"/>
        <w:sz w:val="20"/>
      </w:rPr>
    </w:lvl>
    <w:lvl w:ilvl="4">
      <w:start w:val="1"/>
      <w:numFmt w:val="decimal"/>
      <w:pStyle w:val="Appendix5"/>
      <w:lvlText w:val="A%1.%2.%3.%4.%5"/>
      <w:lvlJc w:val="left"/>
      <w:pPr>
        <w:tabs>
          <w:tab w:val="num" w:pos="1080"/>
        </w:tabs>
        <w:ind w:left="1080" w:hanging="1080"/>
      </w:pPr>
      <w:rPr>
        <w:rFonts w:ascii="Arial" w:hAnsi="Arial" w:cs="Arial" w:hint="default"/>
        <w:b/>
        <w:i w:val="0"/>
        <w:color w:val="5DBFD4"/>
        <w:sz w:val="20"/>
      </w:rPr>
    </w:lvl>
    <w:lvl w:ilvl="5">
      <w:start w:val="1"/>
      <w:numFmt w:val="decimal"/>
      <w:pStyle w:val="Appendix6"/>
      <w:lvlText w:val="A%1.%2.%3.%4.%5.%6"/>
      <w:lvlJc w:val="left"/>
      <w:pPr>
        <w:tabs>
          <w:tab w:val="num" w:pos="1080"/>
        </w:tabs>
        <w:ind w:left="1080" w:hanging="1080"/>
      </w:pPr>
      <w:rPr>
        <w:rFonts w:ascii="Arial" w:hAnsi="Arial" w:cs="Arial" w:hint="default"/>
        <w:b/>
        <w:i w:val="0"/>
        <w:color w:val="5DBFD4"/>
        <w:sz w:val="20"/>
      </w:rPr>
    </w:lvl>
    <w:lvl w:ilvl="6">
      <w:start w:val="1"/>
      <w:numFmt w:val="decimal"/>
      <w:pStyle w:val="AppendixPara1"/>
      <w:lvlText w:val="(%7)"/>
      <w:lvlJc w:val="left"/>
      <w:pPr>
        <w:tabs>
          <w:tab w:val="num" w:pos="1080"/>
        </w:tabs>
        <w:ind w:left="1080" w:hanging="1080"/>
      </w:pPr>
      <w:rPr>
        <w:rFonts w:ascii="Arial" w:hAnsi="Arial" w:cs="Arial" w:hint="default"/>
        <w:b w:val="0"/>
        <w:i w:val="0"/>
        <w:color w:val="000000"/>
        <w:sz w:val="20"/>
      </w:rPr>
    </w:lvl>
    <w:lvl w:ilvl="7">
      <w:start w:val="1"/>
      <w:numFmt w:val="lowerLetter"/>
      <w:pStyle w:val="AppendixPara2"/>
      <w:lvlText w:val="(%8)"/>
      <w:lvlJc w:val="left"/>
      <w:pPr>
        <w:tabs>
          <w:tab w:val="num" w:pos="1656"/>
        </w:tabs>
        <w:ind w:left="1656" w:hanging="576"/>
      </w:pPr>
      <w:rPr>
        <w:rFonts w:ascii="Arial" w:hAnsi="Arial" w:cs="Arial" w:hint="default"/>
        <w:b w:val="0"/>
        <w:i w:val="0"/>
        <w:color w:val="000000"/>
        <w:sz w:val="20"/>
      </w:rPr>
    </w:lvl>
    <w:lvl w:ilvl="8">
      <w:start w:val="1"/>
      <w:numFmt w:val="lowerRoman"/>
      <w:pStyle w:val="AppendixPara3"/>
      <w:lvlText w:val="(%9)"/>
      <w:lvlJc w:val="left"/>
      <w:pPr>
        <w:tabs>
          <w:tab w:val="num" w:pos="2232"/>
        </w:tabs>
        <w:ind w:left="2232" w:hanging="576"/>
      </w:pPr>
      <w:rPr>
        <w:rFonts w:ascii="Arial" w:hAnsi="Arial" w:cs="Arial" w:hint="default"/>
        <w:b w:val="0"/>
        <w:i w:val="0"/>
        <w:color w:val="000000"/>
        <w:sz w:val="20"/>
      </w:rPr>
    </w:lvl>
  </w:abstractNum>
  <w:abstractNum w:abstractNumId="24" w15:restartNumberingAfterBreak="0">
    <w:nsid w:val="649753A7"/>
    <w:multiLevelType w:val="multilevel"/>
    <w:tmpl w:val="C9A2D4B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C76472"/>
    <w:multiLevelType w:val="hybridMultilevel"/>
    <w:tmpl w:val="FC748E52"/>
    <w:lvl w:ilvl="0" w:tplc="AC5A7370">
      <w:start w:val="1"/>
      <w:numFmt w:val="decimal"/>
      <w:lvlText w:val="%1."/>
      <w:lvlJc w:val="left"/>
      <w:pPr>
        <w:ind w:left="900" w:hanging="360"/>
      </w:pPr>
      <w:rPr>
        <w:rFonts w:hint="default"/>
        <w:b/>
        <w:i w:val="0"/>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6B4F76CC"/>
    <w:multiLevelType w:val="multilevel"/>
    <w:tmpl w:val="946A4506"/>
    <w:styleLink w:val="Heading"/>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D35533A"/>
    <w:multiLevelType w:val="multilevel"/>
    <w:tmpl w:val="335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A57D6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495554"/>
    <w:multiLevelType w:val="hybridMultilevel"/>
    <w:tmpl w:val="7DAC9E5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842F05"/>
    <w:multiLevelType w:val="multilevel"/>
    <w:tmpl w:val="3A4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374707"/>
    <w:multiLevelType w:val="hybridMultilevel"/>
    <w:tmpl w:val="1FD801C4"/>
    <w:lvl w:ilvl="0" w:tplc="4368817C">
      <w:start w:val="1"/>
      <w:numFmt w:val="bullet"/>
      <w:pStyle w:val="Bullet2-unnumbered"/>
      <w:lvlText w:val=""/>
      <w:lvlJc w:val="left"/>
      <w:pPr>
        <w:tabs>
          <w:tab w:val="num" w:pos="2664"/>
        </w:tabs>
        <w:ind w:left="2664" w:hanging="360"/>
      </w:pPr>
      <w:rPr>
        <w:rFonts w:ascii="Symbol" w:hAnsi="Symbol" w:hint="default"/>
      </w:rPr>
    </w:lvl>
    <w:lvl w:ilvl="1" w:tplc="08090003">
      <w:start w:val="1"/>
      <w:numFmt w:val="bullet"/>
      <w:lvlText w:val="o"/>
      <w:lvlJc w:val="left"/>
      <w:pPr>
        <w:tabs>
          <w:tab w:val="num" w:pos="3384"/>
        </w:tabs>
        <w:ind w:left="3384" w:hanging="360"/>
      </w:pPr>
      <w:rPr>
        <w:rFonts w:ascii="Courier New" w:hAnsi="Courier New" w:cs="Courier New" w:hint="default"/>
      </w:rPr>
    </w:lvl>
    <w:lvl w:ilvl="2" w:tplc="08090005">
      <w:start w:val="1"/>
      <w:numFmt w:val="bullet"/>
      <w:lvlText w:val=""/>
      <w:lvlJc w:val="left"/>
      <w:pPr>
        <w:tabs>
          <w:tab w:val="num" w:pos="4104"/>
        </w:tabs>
        <w:ind w:left="4104" w:hanging="360"/>
      </w:pPr>
      <w:rPr>
        <w:rFonts w:ascii="Wingdings" w:hAnsi="Wingdings" w:hint="default"/>
      </w:rPr>
    </w:lvl>
    <w:lvl w:ilvl="3" w:tplc="08090001">
      <w:start w:val="1"/>
      <w:numFmt w:val="bullet"/>
      <w:lvlText w:val=""/>
      <w:lvlJc w:val="left"/>
      <w:pPr>
        <w:tabs>
          <w:tab w:val="num" w:pos="4824"/>
        </w:tabs>
        <w:ind w:left="4824" w:hanging="360"/>
      </w:pPr>
      <w:rPr>
        <w:rFonts w:ascii="Symbol" w:hAnsi="Symbol" w:hint="default"/>
      </w:rPr>
    </w:lvl>
    <w:lvl w:ilvl="4" w:tplc="08090003">
      <w:start w:val="1"/>
      <w:numFmt w:val="bullet"/>
      <w:lvlText w:val="o"/>
      <w:lvlJc w:val="left"/>
      <w:pPr>
        <w:tabs>
          <w:tab w:val="num" w:pos="5544"/>
        </w:tabs>
        <w:ind w:left="5544" w:hanging="360"/>
      </w:pPr>
      <w:rPr>
        <w:rFonts w:ascii="Courier New" w:hAnsi="Courier New" w:cs="Courier New" w:hint="default"/>
      </w:rPr>
    </w:lvl>
    <w:lvl w:ilvl="5" w:tplc="08090005">
      <w:start w:val="1"/>
      <w:numFmt w:val="bullet"/>
      <w:lvlText w:val=""/>
      <w:lvlJc w:val="left"/>
      <w:pPr>
        <w:tabs>
          <w:tab w:val="num" w:pos="6264"/>
        </w:tabs>
        <w:ind w:left="6264" w:hanging="360"/>
      </w:pPr>
      <w:rPr>
        <w:rFonts w:ascii="Wingdings" w:hAnsi="Wingdings" w:hint="default"/>
      </w:rPr>
    </w:lvl>
    <w:lvl w:ilvl="6" w:tplc="08090001">
      <w:start w:val="1"/>
      <w:numFmt w:val="bullet"/>
      <w:lvlText w:val=""/>
      <w:lvlJc w:val="left"/>
      <w:pPr>
        <w:tabs>
          <w:tab w:val="num" w:pos="6984"/>
        </w:tabs>
        <w:ind w:left="6984" w:hanging="360"/>
      </w:pPr>
      <w:rPr>
        <w:rFonts w:ascii="Symbol" w:hAnsi="Symbol" w:hint="default"/>
      </w:rPr>
    </w:lvl>
    <w:lvl w:ilvl="7" w:tplc="08090003">
      <w:start w:val="1"/>
      <w:numFmt w:val="bullet"/>
      <w:lvlText w:val="o"/>
      <w:lvlJc w:val="left"/>
      <w:pPr>
        <w:tabs>
          <w:tab w:val="num" w:pos="7704"/>
        </w:tabs>
        <w:ind w:left="7704" w:hanging="360"/>
      </w:pPr>
      <w:rPr>
        <w:rFonts w:ascii="Courier New" w:hAnsi="Courier New" w:cs="Courier New" w:hint="default"/>
      </w:rPr>
    </w:lvl>
    <w:lvl w:ilvl="8" w:tplc="08090005">
      <w:start w:val="1"/>
      <w:numFmt w:val="bullet"/>
      <w:lvlText w:val=""/>
      <w:lvlJc w:val="left"/>
      <w:pPr>
        <w:tabs>
          <w:tab w:val="num" w:pos="8424"/>
        </w:tabs>
        <w:ind w:left="8424" w:hanging="360"/>
      </w:pPr>
      <w:rPr>
        <w:rFonts w:ascii="Wingdings" w:hAnsi="Wingdings" w:hint="default"/>
      </w:rPr>
    </w:lvl>
  </w:abstractNum>
  <w:abstractNum w:abstractNumId="32" w15:restartNumberingAfterBreak="0">
    <w:nsid w:val="77D5058B"/>
    <w:multiLevelType w:val="multilevel"/>
    <w:tmpl w:val="7D92EA42"/>
    <w:styleLink w:val="NumberedHeadingList"/>
    <w:lvl w:ilvl="0">
      <w:start w:val="1"/>
      <w:numFmt w:val="decimal"/>
      <w:lvlText w:val="%1."/>
      <w:lvlJc w:val="left"/>
      <w:pPr>
        <w:ind w:left="360" w:hanging="360"/>
      </w:pPr>
      <w:rPr>
        <w:rFonts w:asciiTheme="majorBidi" w:hAnsiTheme="majorBidi" w:hint="default"/>
        <w:b/>
        <w:sz w:val="24"/>
      </w:rPr>
    </w:lvl>
    <w:lvl w:ilvl="1">
      <w:start w:val="1"/>
      <w:numFmt w:val="decimal"/>
      <w:lvlText w:val="%1.%2."/>
      <w:lvlJc w:val="left"/>
      <w:pPr>
        <w:ind w:left="792" w:hanging="432"/>
      </w:pPr>
      <w:rPr>
        <w:rFonts w:asciiTheme="majorBidi" w:hAnsiTheme="majorBidi" w:hint="default"/>
        <w:b/>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A6A0496"/>
    <w:multiLevelType w:val="multilevel"/>
    <w:tmpl w:val="4F468E50"/>
    <w:lvl w:ilvl="0">
      <w:start w:val="1"/>
      <w:numFmt w:val="decimal"/>
      <w:lvlText w:val="%1."/>
      <w:lvlJc w:val="left"/>
      <w:pPr>
        <w:ind w:left="35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40" w:hanging="720"/>
      </w:pPr>
      <w:rPr>
        <w:rFonts w:hint="default"/>
      </w:rPr>
    </w:lvl>
    <w:lvl w:ilvl="4">
      <w:start w:val="1"/>
      <w:numFmt w:val="decimal"/>
      <w:isLgl/>
      <w:lvlText w:val="%1.%2.%3.%4.%5."/>
      <w:lvlJc w:val="left"/>
      <w:pPr>
        <w:ind w:left="1110" w:hanging="1080"/>
      </w:pPr>
      <w:rPr>
        <w:rFonts w:hint="default"/>
      </w:rPr>
    </w:lvl>
    <w:lvl w:ilvl="5">
      <w:start w:val="1"/>
      <w:numFmt w:val="decimal"/>
      <w:isLgl/>
      <w:lvlText w:val="%1.%2.%3.%4.%5.%6."/>
      <w:lvlJc w:val="left"/>
      <w:pPr>
        <w:ind w:left="1120" w:hanging="1080"/>
      </w:pPr>
      <w:rPr>
        <w:rFonts w:hint="default"/>
      </w:rPr>
    </w:lvl>
    <w:lvl w:ilvl="6">
      <w:start w:val="1"/>
      <w:numFmt w:val="decimal"/>
      <w:isLgl/>
      <w:lvlText w:val="%1.%2.%3.%4.%5.%6.%7."/>
      <w:lvlJc w:val="left"/>
      <w:pPr>
        <w:ind w:left="1130" w:hanging="108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510" w:hanging="1440"/>
      </w:pPr>
      <w:rPr>
        <w:rFonts w:hint="default"/>
      </w:rPr>
    </w:lvl>
  </w:abstractNum>
  <w:abstractNum w:abstractNumId="34" w15:restartNumberingAfterBreak="0">
    <w:nsid w:val="7AFD0743"/>
    <w:multiLevelType w:val="hybridMultilevel"/>
    <w:tmpl w:val="8318C84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DE790A"/>
    <w:multiLevelType w:val="hybridMultilevel"/>
    <w:tmpl w:val="1772B01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206289">
    <w:abstractNumId w:val="4"/>
  </w:num>
  <w:num w:numId="2" w16cid:durableId="115948812">
    <w:abstractNumId w:val="17"/>
  </w:num>
  <w:num w:numId="3" w16cid:durableId="984822357">
    <w:abstractNumId w:val="26"/>
  </w:num>
  <w:num w:numId="4" w16cid:durableId="1781561326">
    <w:abstractNumId w:val="19"/>
  </w:num>
  <w:num w:numId="5" w16cid:durableId="1554730487">
    <w:abstractNumId w:val="3"/>
  </w:num>
  <w:num w:numId="6" w16cid:durableId="100226041">
    <w:abstractNumId w:val="8"/>
  </w:num>
  <w:num w:numId="7" w16cid:durableId="28649699">
    <w:abstractNumId w:val="1"/>
  </w:num>
  <w:num w:numId="8" w16cid:durableId="643583595">
    <w:abstractNumId w:val="32"/>
  </w:num>
  <w:num w:numId="9" w16cid:durableId="9534847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349034">
    <w:abstractNumId w:val="18"/>
  </w:num>
  <w:num w:numId="11" w16cid:durableId="1313289868">
    <w:abstractNumId w:val="7"/>
  </w:num>
  <w:num w:numId="12" w16cid:durableId="2125271850">
    <w:abstractNumId w:val="23"/>
  </w:num>
  <w:num w:numId="13" w16cid:durableId="1830563064">
    <w:abstractNumId w:val="2"/>
  </w:num>
  <w:num w:numId="14" w16cid:durableId="184639157">
    <w:abstractNumId w:val="6"/>
  </w:num>
  <w:num w:numId="15" w16cid:durableId="244605843">
    <w:abstractNumId w:val="9"/>
  </w:num>
  <w:num w:numId="16" w16cid:durableId="1271625700">
    <w:abstractNumId w:val="11"/>
  </w:num>
  <w:num w:numId="17" w16cid:durableId="629436121">
    <w:abstractNumId w:val="31"/>
  </w:num>
  <w:num w:numId="18" w16cid:durableId="9061833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3963763">
    <w:abstractNumId w:val="4"/>
  </w:num>
  <w:num w:numId="20" w16cid:durableId="1611159238">
    <w:abstractNumId w:val="4"/>
  </w:num>
  <w:num w:numId="21" w16cid:durableId="1303925999">
    <w:abstractNumId w:val="4"/>
  </w:num>
  <w:num w:numId="22" w16cid:durableId="1824925945">
    <w:abstractNumId w:val="4"/>
  </w:num>
  <w:num w:numId="23" w16cid:durableId="1373076657">
    <w:abstractNumId w:val="28"/>
  </w:num>
  <w:num w:numId="24" w16cid:durableId="1125586616">
    <w:abstractNumId w:val="4"/>
  </w:num>
  <w:num w:numId="25" w16cid:durableId="875969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7940863">
    <w:abstractNumId w:val="14"/>
  </w:num>
  <w:num w:numId="27" w16cid:durableId="270094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885449">
    <w:abstractNumId w:val="24"/>
  </w:num>
  <w:num w:numId="29" w16cid:durableId="62722738">
    <w:abstractNumId w:val="33"/>
  </w:num>
  <w:num w:numId="30" w16cid:durableId="1340350007">
    <w:abstractNumId w:val="15"/>
  </w:num>
  <w:num w:numId="31" w16cid:durableId="1508254701">
    <w:abstractNumId w:val="4"/>
  </w:num>
  <w:num w:numId="32" w16cid:durableId="736441313">
    <w:abstractNumId w:val="0"/>
  </w:num>
  <w:num w:numId="33" w16cid:durableId="1177963261">
    <w:abstractNumId w:val="25"/>
  </w:num>
  <w:num w:numId="34" w16cid:durableId="417017951">
    <w:abstractNumId w:val="30"/>
  </w:num>
  <w:num w:numId="35" w16cid:durableId="130875397">
    <w:abstractNumId w:val="27"/>
  </w:num>
  <w:num w:numId="36" w16cid:durableId="1131820550">
    <w:abstractNumId w:val="21"/>
  </w:num>
  <w:num w:numId="37" w16cid:durableId="895359869">
    <w:abstractNumId w:val="13"/>
  </w:num>
  <w:num w:numId="38" w16cid:durableId="2051688255">
    <w:abstractNumId w:val="35"/>
  </w:num>
  <w:num w:numId="39" w16cid:durableId="1759716302">
    <w:abstractNumId w:val="22"/>
  </w:num>
  <w:num w:numId="40" w16cid:durableId="351886235">
    <w:abstractNumId w:val="5"/>
  </w:num>
  <w:num w:numId="41" w16cid:durableId="1148127185">
    <w:abstractNumId w:val="34"/>
  </w:num>
  <w:num w:numId="42" w16cid:durableId="914121756">
    <w:abstractNumId w:val="16"/>
  </w:num>
  <w:num w:numId="43" w16cid:durableId="1690254736">
    <w:abstractNumId w:val="29"/>
  </w:num>
  <w:num w:numId="44" w16cid:durableId="314601740">
    <w:abstractNumId w:val="10"/>
  </w:num>
  <w:num w:numId="45" w16cid:durableId="166662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34288822">
    <w:abstractNumId w:val="4"/>
  </w:num>
  <w:num w:numId="47" w16cid:durableId="982274917">
    <w:abstractNumId w:val="4"/>
  </w:num>
  <w:num w:numId="48" w16cid:durableId="173500283">
    <w:abstractNumId w:val="4"/>
  </w:num>
  <w:num w:numId="49" w16cid:durableId="502821787">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yMTcxNLA0MLI0MzFR0lEKTi0uzszPAykwMagFAMOAt+YtAAAA"/>
    <w:docVar w:name="EN.InstantFormat" w:val="&lt;ENInstantFormat&gt;&lt;Enabled&gt;1&lt;/Enabled&gt;&lt;ScanUnformatted&gt;1&lt;/ScanUnformatted&gt;&lt;ScanChanges&gt;1&lt;/ScanChanges&gt;&lt;Suspended&gt;0&lt;/Suspended&gt;&lt;/ENInstantFormat&gt;"/>
    <w:docVar w:name="EN.Layout" w:val="&lt;ENLayout&gt;&lt;Style&gt;Harvard (Lancaster University Library)&lt;/Style&gt;&lt;LeftDelim&gt;{&lt;/LeftDelim&gt;&lt;RightDelim&gt;}&lt;/RightDelim&gt;&lt;FontName&gt;Arial&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item db-id=&quot;sd9wrx9fj09rx3erprsx999o0r5aprvp2zse&quot;&gt;My EndNote Library&lt;record-ids&gt;&lt;item&gt;9&lt;/item&gt;&lt;item&gt;11&lt;/item&gt;&lt;item&gt;13&lt;/item&gt;&lt;item&gt;16&lt;/item&gt;&lt;item&gt;17&lt;/item&gt;&lt;item&gt;19&lt;/item&gt;&lt;item&gt;23&lt;/item&gt;&lt;item&gt;24&lt;/item&gt;&lt;item&gt;25&lt;/item&gt;&lt;item&gt;37&lt;/item&gt;&lt;item&gt;38&lt;/item&gt;&lt;item&gt;40&lt;/item&gt;&lt;item&gt;44&lt;/item&gt;&lt;item&gt;49&lt;/item&gt;&lt;item&gt;52&lt;/item&gt;&lt;item&gt;54&lt;/item&gt;&lt;item&gt;56&lt;/item&gt;&lt;item&gt;58&lt;/item&gt;&lt;item&gt;60&lt;/item&gt;&lt;item&gt;71&lt;/item&gt;&lt;item&gt;78&lt;/item&gt;&lt;item&gt;81&lt;/item&gt;&lt;item&gt;85&lt;/item&gt;&lt;item&gt;98&lt;/item&gt;&lt;item&gt;100&lt;/item&gt;&lt;item&gt;101&lt;/item&gt;&lt;item&gt;102&lt;/item&gt;&lt;item&gt;105&lt;/item&gt;&lt;item&gt;106&lt;/item&gt;&lt;item&gt;108&lt;/item&gt;&lt;item&gt;113&lt;/item&gt;&lt;item&gt;124&lt;/item&gt;&lt;item&gt;128&lt;/item&gt;&lt;item&gt;130&lt;/item&gt;&lt;item&gt;132&lt;/item&gt;&lt;item&gt;133&lt;/item&gt;&lt;item&gt;134&lt;/item&gt;&lt;item&gt;142&lt;/item&gt;&lt;item&gt;144&lt;/item&gt;&lt;item&gt;156&lt;/item&gt;&lt;item&gt;160&lt;/item&gt;&lt;item&gt;163&lt;/item&gt;&lt;item&gt;166&lt;/item&gt;&lt;item&gt;167&lt;/item&gt;&lt;item&gt;185&lt;/item&gt;&lt;item&gt;187&lt;/item&gt;&lt;item&gt;190&lt;/item&gt;&lt;item&gt;193&lt;/item&gt;&lt;item&gt;199&lt;/item&gt;&lt;item&gt;200&lt;/item&gt;&lt;item&gt;202&lt;/item&gt;&lt;item&gt;206&lt;/item&gt;&lt;item&gt;213&lt;/item&gt;&lt;item&gt;214&lt;/item&gt;&lt;item&gt;219&lt;/item&gt;&lt;item&gt;222&lt;/item&gt;&lt;item&gt;240&lt;/item&gt;&lt;item&gt;242&lt;/item&gt;&lt;item&gt;244&lt;/item&gt;&lt;item&gt;246&lt;/item&gt;&lt;item&gt;247&lt;/item&gt;&lt;item&gt;254&lt;/item&gt;&lt;item&gt;260&lt;/item&gt;&lt;item&gt;261&lt;/item&gt;&lt;item&gt;272&lt;/item&gt;&lt;item&gt;274&lt;/item&gt;&lt;item&gt;281&lt;/item&gt;&lt;item&gt;282&lt;/item&gt;&lt;item&gt;327&lt;/item&gt;&lt;item&gt;333&lt;/item&gt;&lt;item&gt;334&lt;/item&gt;&lt;item&gt;335&lt;/item&gt;&lt;item&gt;336&lt;/item&gt;&lt;item&gt;338&lt;/item&gt;&lt;item&gt;339&lt;/item&gt;&lt;item&gt;341&lt;/item&gt;&lt;item&gt;350&lt;/item&gt;&lt;item&gt;351&lt;/item&gt;&lt;item&gt;353&lt;/item&gt;&lt;item&gt;356&lt;/item&gt;&lt;item&gt;357&lt;/item&gt;&lt;item&gt;358&lt;/item&gt;&lt;item&gt;360&lt;/item&gt;&lt;item&gt;362&lt;/item&gt;&lt;item&gt;364&lt;/item&gt;&lt;item&gt;368&lt;/item&gt;&lt;item&gt;369&lt;/item&gt;&lt;item&gt;370&lt;/item&gt;&lt;item&gt;372&lt;/item&gt;&lt;item&gt;373&lt;/item&gt;&lt;item&gt;374&lt;/item&gt;&lt;item&gt;377&lt;/item&gt;&lt;item&gt;378&lt;/item&gt;&lt;item&gt;379&lt;/item&gt;&lt;item&gt;382&lt;/item&gt;&lt;item&gt;384&lt;/item&gt;&lt;item&gt;387&lt;/item&gt;&lt;item&gt;389&lt;/item&gt;&lt;item&gt;390&lt;/item&gt;&lt;item&gt;395&lt;/item&gt;&lt;item&gt;396&lt;/item&gt;&lt;item&gt;414&lt;/item&gt;&lt;item&gt;419&lt;/item&gt;&lt;item&gt;424&lt;/item&gt;&lt;item&gt;425&lt;/item&gt;&lt;item&gt;426&lt;/item&gt;&lt;item&gt;428&lt;/item&gt;&lt;item&gt;429&lt;/item&gt;&lt;item&gt;430&lt;/item&gt;&lt;item&gt;434&lt;/item&gt;&lt;item&gt;448&lt;/item&gt;&lt;item&gt;450&lt;/item&gt;&lt;item&gt;451&lt;/item&gt;&lt;item&gt;453&lt;/item&gt;&lt;item&gt;454&lt;/item&gt;&lt;item&gt;456&lt;/item&gt;&lt;item&gt;457&lt;/item&gt;&lt;item&gt;460&lt;/item&gt;&lt;item&gt;461&lt;/item&gt;&lt;item&gt;462&lt;/item&gt;&lt;item&gt;463&lt;/item&gt;&lt;item&gt;464&lt;/item&gt;&lt;item&gt;466&lt;/item&gt;&lt;item&gt;467&lt;/item&gt;&lt;item&gt;471&lt;/item&gt;&lt;item&gt;472&lt;/item&gt;&lt;item&gt;474&lt;/item&gt;&lt;item&gt;475&lt;/item&gt;&lt;item&gt;478&lt;/item&gt;&lt;item&gt;480&lt;/item&gt;&lt;item&gt;481&lt;/item&gt;&lt;item&gt;483&lt;/item&gt;&lt;item&gt;486&lt;/item&gt;&lt;item&gt;487&lt;/item&gt;&lt;item&gt;489&lt;/item&gt;&lt;item&gt;497&lt;/item&gt;&lt;item&gt;498&lt;/item&gt;&lt;item&gt;506&lt;/item&gt;&lt;item&gt;508&lt;/item&gt;&lt;item&gt;562&lt;/item&gt;&lt;item&gt;563&lt;/item&gt;&lt;item&gt;564&lt;/item&gt;&lt;item&gt;566&lt;/item&gt;&lt;item&gt;568&lt;/item&gt;&lt;item&gt;569&lt;/item&gt;&lt;item&gt;570&lt;/item&gt;&lt;item&gt;571&lt;/item&gt;&lt;item&gt;573&lt;/item&gt;&lt;item&gt;575&lt;/item&gt;&lt;item&gt;579&lt;/item&gt;&lt;item&gt;581&lt;/item&gt;&lt;item&gt;582&lt;/item&gt;&lt;item&gt;602&lt;/item&gt;&lt;item&gt;608&lt;/item&gt;&lt;item&gt;636&lt;/item&gt;&lt;item&gt;637&lt;/item&gt;&lt;item&gt;638&lt;/item&gt;&lt;item&gt;639&lt;/item&gt;&lt;item&gt;641&lt;/item&gt;&lt;item&gt;642&lt;/item&gt;&lt;item&gt;643&lt;/item&gt;&lt;item&gt;644&lt;/item&gt;&lt;item&gt;658&lt;/item&gt;&lt;item&gt;700&lt;/item&gt;&lt;item&gt;708&lt;/item&gt;&lt;item&gt;715&lt;/item&gt;&lt;item&gt;765&lt;/item&gt;&lt;item&gt;766&lt;/item&gt;&lt;item&gt;772&lt;/item&gt;&lt;item&gt;796&lt;/item&gt;&lt;item&gt;802&lt;/item&gt;&lt;item&gt;804&lt;/item&gt;&lt;item&gt;812&lt;/item&gt;&lt;item&gt;813&lt;/item&gt;&lt;item&gt;815&lt;/item&gt;&lt;item&gt;816&lt;/item&gt;&lt;item&gt;819&lt;/item&gt;&lt;item&gt;820&lt;/item&gt;&lt;item&gt;822&lt;/item&gt;&lt;item&gt;823&lt;/item&gt;&lt;item&gt;855&lt;/item&gt;&lt;item&gt;857&lt;/item&gt;&lt;item&gt;859&lt;/item&gt;&lt;item&gt;860&lt;/item&gt;&lt;item&gt;861&lt;/item&gt;&lt;item&gt;884&lt;/item&gt;&lt;item&gt;886&lt;/item&gt;&lt;item&gt;888&lt;/item&gt;&lt;item&gt;889&lt;/item&gt;&lt;item&gt;890&lt;/item&gt;&lt;item&gt;891&lt;/item&gt;&lt;item&gt;892&lt;/item&gt;&lt;item&gt;893&lt;/item&gt;&lt;item&gt;901&lt;/item&gt;&lt;item&gt;978&lt;/item&gt;&lt;item&gt;979&lt;/item&gt;&lt;item&gt;982&lt;/item&gt;&lt;item&gt;996&lt;/item&gt;&lt;item&gt;997&lt;/item&gt;&lt;item&gt;999&lt;/item&gt;&lt;item&gt;1000&lt;/item&gt;&lt;item&gt;1001&lt;/item&gt;&lt;item&gt;1002&lt;/item&gt;&lt;item&gt;1069&lt;/item&gt;&lt;item&gt;1075&lt;/item&gt;&lt;item&gt;1137&lt;/item&gt;&lt;item&gt;1140&lt;/item&gt;&lt;item&gt;1141&lt;/item&gt;&lt;item&gt;1189&lt;/item&gt;&lt;item&gt;1256&lt;/item&gt;&lt;item&gt;1259&lt;/item&gt;&lt;item&gt;1260&lt;/item&gt;&lt;item&gt;1261&lt;/item&gt;&lt;item&gt;1262&lt;/item&gt;&lt;item&gt;1264&lt;/item&gt;&lt;item&gt;1265&lt;/item&gt;&lt;item&gt;1268&lt;/item&gt;&lt;item&gt;1272&lt;/item&gt;&lt;item&gt;1274&lt;/item&gt;&lt;item&gt;1278&lt;/item&gt;&lt;item&gt;1279&lt;/item&gt;&lt;item&gt;1280&lt;/item&gt;&lt;item&gt;1281&lt;/item&gt;&lt;item&gt;1283&lt;/item&gt;&lt;item&gt;1284&lt;/item&gt;&lt;item&gt;1285&lt;/item&gt;&lt;item&gt;1289&lt;/item&gt;&lt;item&gt;1290&lt;/item&gt;&lt;item&gt;1291&lt;/item&gt;&lt;item&gt;1292&lt;/item&gt;&lt;item&gt;1294&lt;/item&gt;&lt;item&gt;1295&lt;/item&gt;&lt;item&gt;1296&lt;/item&gt;&lt;item&gt;1298&lt;/item&gt;&lt;item&gt;1302&lt;/item&gt;&lt;item&gt;1303&lt;/item&gt;&lt;item&gt;1304&lt;/item&gt;&lt;item&gt;1305&lt;/item&gt;&lt;item&gt;1306&lt;/item&gt;&lt;item&gt;1307&lt;/item&gt;&lt;item&gt;1308&lt;/item&gt;&lt;item&gt;1309&lt;/item&gt;&lt;item&gt;1310&lt;/item&gt;&lt;item&gt;1327&lt;/item&gt;&lt;item&gt;1334&lt;/item&gt;&lt;item&gt;1337&lt;/item&gt;&lt;item&gt;1338&lt;/item&gt;&lt;item&gt;1340&lt;/item&gt;&lt;item&gt;1341&lt;/item&gt;&lt;item&gt;1342&lt;/item&gt;&lt;item&gt;1343&lt;/item&gt;&lt;item&gt;1638&lt;/item&gt;&lt;item&gt;1666&lt;/item&gt;&lt;item&gt;1668&lt;/item&gt;&lt;item&gt;1669&lt;/item&gt;&lt;item&gt;1670&lt;/item&gt;&lt;item&gt;1671&lt;/item&gt;&lt;item&gt;1673&lt;/item&gt;&lt;item&gt;1685&lt;/item&gt;&lt;item&gt;1686&lt;/item&gt;&lt;item&gt;1688&lt;/item&gt;&lt;item&gt;1690&lt;/item&gt;&lt;item&gt;1694&lt;/item&gt;&lt;item&gt;1740&lt;/item&gt;&lt;item&gt;1743&lt;/item&gt;&lt;item&gt;1744&lt;/item&gt;&lt;item&gt;1745&lt;/item&gt;&lt;item&gt;1746&lt;/item&gt;&lt;item&gt;1747&lt;/item&gt;&lt;item&gt;1750&lt;/item&gt;&lt;item&gt;1751&lt;/item&gt;&lt;item&gt;1752&lt;/item&gt;&lt;item&gt;1753&lt;/item&gt;&lt;item&gt;1760&lt;/item&gt;&lt;item&gt;1762&lt;/item&gt;&lt;item&gt;1763&lt;/item&gt;&lt;item&gt;1765&lt;/item&gt;&lt;item&gt;1766&lt;/item&gt;&lt;item&gt;1767&lt;/item&gt;&lt;item&gt;1768&lt;/item&gt;&lt;item&gt;1769&lt;/item&gt;&lt;item&gt;1770&lt;/item&gt;&lt;item&gt;1774&lt;/item&gt;&lt;item&gt;1775&lt;/item&gt;&lt;item&gt;1776&lt;/item&gt;&lt;item&gt;1777&lt;/item&gt;&lt;item&gt;1778&lt;/item&gt;&lt;item&gt;1780&lt;/item&gt;&lt;item&gt;1781&lt;/item&gt;&lt;item&gt;1783&lt;/item&gt;&lt;item&gt;1784&lt;/item&gt;&lt;item&gt;1785&lt;/item&gt;&lt;item&gt;1789&lt;/item&gt;&lt;item&gt;1791&lt;/item&gt;&lt;item&gt;1794&lt;/item&gt;&lt;item&gt;1796&lt;/item&gt;&lt;item&gt;1799&lt;/item&gt;&lt;item&gt;1800&lt;/item&gt;&lt;item&gt;1801&lt;/item&gt;&lt;item&gt;1802&lt;/item&gt;&lt;item&gt;1803&lt;/item&gt;&lt;item&gt;1804&lt;/item&gt;&lt;item&gt;1811&lt;/item&gt;&lt;item&gt;1812&lt;/item&gt;&lt;item&gt;1813&lt;/item&gt;&lt;item&gt;1814&lt;/item&gt;&lt;item&gt;1815&lt;/item&gt;&lt;item&gt;1816&lt;/item&gt;&lt;item&gt;1817&lt;/item&gt;&lt;item&gt;1818&lt;/item&gt;&lt;item&gt;1819&lt;/item&gt;&lt;item&gt;1820&lt;/item&gt;&lt;item&gt;1821&lt;/item&gt;&lt;item&gt;1822&lt;/item&gt;&lt;item&gt;1823&lt;/item&gt;&lt;item&gt;1824&lt;/item&gt;&lt;item&gt;1826&lt;/item&gt;&lt;item&gt;1828&lt;/item&gt;&lt;item&gt;1829&lt;/item&gt;&lt;item&gt;1831&lt;/item&gt;&lt;item&gt;1834&lt;/item&gt;&lt;item&gt;1835&lt;/item&gt;&lt;item&gt;1837&lt;/item&gt;&lt;item&gt;1842&lt;/item&gt;&lt;item&gt;1850&lt;/item&gt;&lt;item&gt;1851&lt;/item&gt;&lt;item&gt;1854&lt;/item&gt;&lt;item&gt;1855&lt;/item&gt;&lt;item&gt;1858&lt;/item&gt;&lt;item&gt;1859&lt;/item&gt;&lt;item&gt;1860&lt;/item&gt;&lt;item&gt;1861&lt;/item&gt;&lt;item&gt;1871&lt;/item&gt;&lt;item&gt;1872&lt;/item&gt;&lt;item&gt;1873&lt;/item&gt;&lt;item&gt;1874&lt;/item&gt;&lt;item&gt;1877&lt;/item&gt;&lt;item&gt;1878&lt;/item&gt;&lt;item&gt;1879&lt;/item&gt;&lt;item&gt;1881&lt;/item&gt;&lt;item&gt;1882&lt;/item&gt;&lt;item&gt;1883&lt;/item&gt;&lt;item&gt;1884&lt;/item&gt;&lt;item&gt;1885&lt;/item&gt;&lt;item&gt;1886&lt;/item&gt;&lt;item&gt;1892&lt;/item&gt;&lt;item&gt;1900&lt;/item&gt;&lt;item&gt;1901&lt;/item&gt;&lt;item&gt;1902&lt;/item&gt;&lt;item&gt;1910&lt;/item&gt;&lt;item&gt;1911&lt;/item&gt;&lt;item&gt;1917&lt;/item&gt;&lt;item&gt;1918&lt;/item&gt;&lt;item&gt;1919&lt;/item&gt;&lt;item&gt;1920&lt;/item&gt;&lt;item&gt;1921&lt;/item&gt;&lt;item&gt;1923&lt;/item&gt;&lt;item&gt;1925&lt;/item&gt;&lt;item&gt;1927&lt;/item&gt;&lt;item&gt;1928&lt;/item&gt;&lt;item&gt;1929&lt;/item&gt;&lt;item&gt;1930&lt;/item&gt;&lt;item&gt;1931&lt;/item&gt;&lt;item&gt;1933&lt;/item&gt;&lt;item&gt;1934&lt;/item&gt;&lt;item&gt;1935&lt;/item&gt;&lt;item&gt;1936&lt;/item&gt;&lt;item&gt;1938&lt;/item&gt;&lt;item&gt;1956&lt;/item&gt;&lt;item&gt;1960&lt;/item&gt;&lt;item&gt;1961&lt;/item&gt;&lt;item&gt;1964&lt;/item&gt;&lt;item&gt;1965&lt;/item&gt;&lt;item&gt;1966&lt;/item&gt;&lt;item&gt;1967&lt;/item&gt;&lt;item&gt;1968&lt;/item&gt;&lt;item&gt;1970&lt;/item&gt;&lt;item&gt;1971&lt;/item&gt;&lt;/record-ids&gt;&lt;/item&gt;&lt;/Libraries&gt;"/>
    <w:docVar w:name="EN.RetractedReferences" w:val="&lt;retracted-references&gt;&lt;item&gt;&lt;citation&gt;&lt;Author&gt;Vijay&lt;/Author&gt;&lt;Year&gt;2022&lt;/Year&gt;&lt;RecNum&gt;1746&lt;/RecNum&gt;&lt;record&gt;&lt;rec-number&gt;1746&lt;/rec-number&gt;&lt;foreign-keys&gt;&lt;key app=&quot;EN&quot; db-id=&quot;sd9wrx9fj09rx3erprsx999o0r5aprvp2zse&quot; timestamp=&quot;1688408263&quot; guid=&quot;0ecdbefa-00d5-4470-835c-9230f199f67d&quot;&gt;1746&lt;/key&gt;&lt;/foreign-keys&gt;&lt;ref-type name=&quot;Journal Article&quot;&gt;17&lt;/ref-type&gt;&lt;contributors&gt;&lt;authors&gt;&lt;author&gt;Vijay, Amrita&lt;/author&gt;&lt;author&gt;Valdes, Ana M.&lt;/author&gt;&lt;/authors&gt;&lt;/contributors&gt;&lt;titles&gt;&lt;title&gt;Role of the gut microbiome in chronic diseases: a narrative review&lt;/title&gt;&lt;secondary-title&gt;European Journal of Clinical Nutrition&lt;/secondary-title&gt;&lt;/titles&gt;&lt;periodical&gt;&lt;full-title&gt;European Journal of Clinical Nutrition&lt;/full-title&gt;&lt;/periodical&gt;&lt;pages&gt;489-501&lt;/pages&gt;&lt;volume&gt;76&lt;/volume&gt;&lt;number&gt;4&lt;/number&gt;&lt;dates&gt;&lt;year&gt;2022&lt;/year&gt;&lt;/dates&gt;&lt;publisher&gt;Springer Science and Business Media LLC&lt;/publisher&gt;&lt;isbn&gt;0954-3007&lt;/isbn&gt;&lt;urls&gt;&lt;related-urls&gt;&lt;url&gt;https://dx.doi.org/10.1038/s41430-021-00991-6&lt;/url&gt;&lt;/related-urls&gt;&lt;/urls&gt;&lt;electronic-resource-num&gt;10.1038/s41430-021-00991-6&lt;/electronic-resource-num&gt;&lt;/record&gt;&lt;/citation&gt;&lt;retractionInfo&gt;&lt;reasons&gt;Euphemisms for Plagiarism&amp;#xD;Plagiarism of Article&amp;#xD;&lt;/reasons&gt;&lt;link&gt;https://doi.org/10.1038%2Fs41430-024-01467-z&lt;/link&gt;&lt;/retractionInfo&gt;&lt;/item&gt;&lt;/retracted-references&gt;"/>
  </w:docVars>
  <w:rsids>
    <w:rsidRoot w:val="00FC3F9B"/>
    <w:rsid w:val="000009FE"/>
    <w:rsid w:val="00000B05"/>
    <w:rsid w:val="0000106F"/>
    <w:rsid w:val="00001125"/>
    <w:rsid w:val="00001429"/>
    <w:rsid w:val="00001C88"/>
    <w:rsid w:val="000021A0"/>
    <w:rsid w:val="000035F9"/>
    <w:rsid w:val="000038A7"/>
    <w:rsid w:val="00003DD4"/>
    <w:rsid w:val="00003E4B"/>
    <w:rsid w:val="00004013"/>
    <w:rsid w:val="000040D9"/>
    <w:rsid w:val="00005E36"/>
    <w:rsid w:val="0000608E"/>
    <w:rsid w:val="000061C1"/>
    <w:rsid w:val="0000622A"/>
    <w:rsid w:val="000062E2"/>
    <w:rsid w:val="00006B00"/>
    <w:rsid w:val="00006BC7"/>
    <w:rsid w:val="00006E43"/>
    <w:rsid w:val="0000740D"/>
    <w:rsid w:val="00007460"/>
    <w:rsid w:val="000075C1"/>
    <w:rsid w:val="000075E8"/>
    <w:rsid w:val="000078D7"/>
    <w:rsid w:val="000079D6"/>
    <w:rsid w:val="00007A71"/>
    <w:rsid w:val="00010388"/>
    <w:rsid w:val="0001177C"/>
    <w:rsid w:val="00011B4E"/>
    <w:rsid w:val="00011B5C"/>
    <w:rsid w:val="000121D7"/>
    <w:rsid w:val="000124CF"/>
    <w:rsid w:val="00012B03"/>
    <w:rsid w:val="00013183"/>
    <w:rsid w:val="000131A0"/>
    <w:rsid w:val="000136E2"/>
    <w:rsid w:val="00013DDC"/>
    <w:rsid w:val="00013FEB"/>
    <w:rsid w:val="0001420B"/>
    <w:rsid w:val="00014311"/>
    <w:rsid w:val="00014A93"/>
    <w:rsid w:val="00014BB5"/>
    <w:rsid w:val="00015316"/>
    <w:rsid w:val="00015346"/>
    <w:rsid w:val="000153C3"/>
    <w:rsid w:val="0001590B"/>
    <w:rsid w:val="00016071"/>
    <w:rsid w:val="00016225"/>
    <w:rsid w:val="000163F4"/>
    <w:rsid w:val="00016940"/>
    <w:rsid w:val="00016FC2"/>
    <w:rsid w:val="00017E65"/>
    <w:rsid w:val="00020235"/>
    <w:rsid w:val="0002125D"/>
    <w:rsid w:val="00022075"/>
    <w:rsid w:val="00022127"/>
    <w:rsid w:val="00023369"/>
    <w:rsid w:val="0002382F"/>
    <w:rsid w:val="000240D4"/>
    <w:rsid w:val="000243F6"/>
    <w:rsid w:val="00024802"/>
    <w:rsid w:val="00024D1D"/>
    <w:rsid w:val="00025994"/>
    <w:rsid w:val="00026969"/>
    <w:rsid w:val="00026DD3"/>
    <w:rsid w:val="000275AD"/>
    <w:rsid w:val="00027A2F"/>
    <w:rsid w:val="00027E84"/>
    <w:rsid w:val="00030ABE"/>
    <w:rsid w:val="00030E1C"/>
    <w:rsid w:val="00031045"/>
    <w:rsid w:val="00031453"/>
    <w:rsid w:val="0003178D"/>
    <w:rsid w:val="00031F0A"/>
    <w:rsid w:val="00032051"/>
    <w:rsid w:val="000320AE"/>
    <w:rsid w:val="00032500"/>
    <w:rsid w:val="00032B1C"/>
    <w:rsid w:val="00032F36"/>
    <w:rsid w:val="00034326"/>
    <w:rsid w:val="000346B4"/>
    <w:rsid w:val="000347BD"/>
    <w:rsid w:val="00034E44"/>
    <w:rsid w:val="000359D7"/>
    <w:rsid w:val="00035EA7"/>
    <w:rsid w:val="00036086"/>
    <w:rsid w:val="000363F7"/>
    <w:rsid w:val="000366F4"/>
    <w:rsid w:val="00036E5D"/>
    <w:rsid w:val="0003734F"/>
    <w:rsid w:val="000374A5"/>
    <w:rsid w:val="000374C1"/>
    <w:rsid w:val="0003755F"/>
    <w:rsid w:val="00037653"/>
    <w:rsid w:val="0004052B"/>
    <w:rsid w:val="000408B1"/>
    <w:rsid w:val="00040974"/>
    <w:rsid w:val="00040E61"/>
    <w:rsid w:val="000411BA"/>
    <w:rsid w:val="000414C5"/>
    <w:rsid w:val="00041CDA"/>
    <w:rsid w:val="00042168"/>
    <w:rsid w:val="000428D3"/>
    <w:rsid w:val="00042E08"/>
    <w:rsid w:val="0004336D"/>
    <w:rsid w:val="000435C6"/>
    <w:rsid w:val="00043CEA"/>
    <w:rsid w:val="00044CC9"/>
    <w:rsid w:val="00044DD0"/>
    <w:rsid w:val="00044F02"/>
    <w:rsid w:val="00045267"/>
    <w:rsid w:val="00045488"/>
    <w:rsid w:val="00045E14"/>
    <w:rsid w:val="000464DE"/>
    <w:rsid w:val="0004665B"/>
    <w:rsid w:val="00046865"/>
    <w:rsid w:val="00046BC3"/>
    <w:rsid w:val="0004786C"/>
    <w:rsid w:val="00047B96"/>
    <w:rsid w:val="00047D02"/>
    <w:rsid w:val="00047F9B"/>
    <w:rsid w:val="0005014C"/>
    <w:rsid w:val="00050C11"/>
    <w:rsid w:val="00050C73"/>
    <w:rsid w:val="0005108A"/>
    <w:rsid w:val="00051191"/>
    <w:rsid w:val="000517C9"/>
    <w:rsid w:val="00051AA4"/>
    <w:rsid w:val="00051D42"/>
    <w:rsid w:val="000522C5"/>
    <w:rsid w:val="00052591"/>
    <w:rsid w:val="00052B85"/>
    <w:rsid w:val="00053642"/>
    <w:rsid w:val="00053835"/>
    <w:rsid w:val="00053990"/>
    <w:rsid w:val="00053E99"/>
    <w:rsid w:val="00053FF3"/>
    <w:rsid w:val="00054746"/>
    <w:rsid w:val="00055634"/>
    <w:rsid w:val="000558B5"/>
    <w:rsid w:val="00055D0C"/>
    <w:rsid w:val="00055DC2"/>
    <w:rsid w:val="000565CB"/>
    <w:rsid w:val="0005696C"/>
    <w:rsid w:val="00056ACA"/>
    <w:rsid w:val="00056BCE"/>
    <w:rsid w:val="000574C6"/>
    <w:rsid w:val="000575EF"/>
    <w:rsid w:val="00060170"/>
    <w:rsid w:val="00060803"/>
    <w:rsid w:val="000609F8"/>
    <w:rsid w:val="00060DB5"/>
    <w:rsid w:val="000618F1"/>
    <w:rsid w:val="0006197A"/>
    <w:rsid w:val="00061B48"/>
    <w:rsid w:val="00061DBD"/>
    <w:rsid w:val="00061EE1"/>
    <w:rsid w:val="00061FAA"/>
    <w:rsid w:val="000625BB"/>
    <w:rsid w:val="000626FC"/>
    <w:rsid w:val="000634BA"/>
    <w:rsid w:val="00063E65"/>
    <w:rsid w:val="000642FC"/>
    <w:rsid w:val="00064364"/>
    <w:rsid w:val="00064D16"/>
    <w:rsid w:val="00064E42"/>
    <w:rsid w:val="0006545F"/>
    <w:rsid w:val="0006557D"/>
    <w:rsid w:val="000656BE"/>
    <w:rsid w:val="000659FB"/>
    <w:rsid w:val="00065F98"/>
    <w:rsid w:val="000662D6"/>
    <w:rsid w:val="000667C1"/>
    <w:rsid w:val="000668AA"/>
    <w:rsid w:val="00067234"/>
    <w:rsid w:val="00067654"/>
    <w:rsid w:val="00067B76"/>
    <w:rsid w:val="00067E8C"/>
    <w:rsid w:val="00067FF7"/>
    <w:rsid w:val="00070343"/>
    <w:rsid w:val="00071447"/>
    <w:rsid w:val="000720FB"/>
    <w:rsid w:val="000722BF"/>
    <w:rsid w:val="0007284F"/>
    <w:rsid w:val="000729B2"/>
    <w:rsid w:val="00072BC9"/>
    <w:rsid w:val="000739B0"/>
    <w:rsid w:val="000742E3"/>
    <w:rsid w:val="00074402"/>
    <w:rsid w:val="00074DE0"/>
    <w:rsid w:val="000756B2"/>
    <w:rsid w:val="00075F1B"/>
    <w:rsid w:val="00076E81"/>
    <w:rsid w:val="00076ECD"/>
    <w:rsid w:val="00077AFE"/>
    <w:rsid w:val="0008012A"/>
    <w:rsid w:val="000801F6"/>
    <w:rsid w:val="00080736"/>
    <w:rsid w:val="00080C19"/>
    <w:rsid w:val="00080F4A"/>
    <w:rsid w:val="00080F58"/>
    <w:rsid w:val="00081A3F"/>
    <w:rsid w:val="00081AF0"/>
    <w:rsid w:val="00081D29"/>
    <w:rsid w:val="00081F97"/>
    <w:rsid w:val="00082B55"/>
    <w:rsid w:val="00082E0D"/>
    <w:rsid w:val="000830D1"/>
    <w:rsid w:val="000831EE"/>
    <w:rsid w:val="00083CFA"/>
    <w:rsid w:val="00084347"/>
    <w:rsid w:val="00084C9A"/>
    <w:rsid w:val="00084DDD"/>
    <w:rsid w:val="00084EBB"/>
    <w:rsid w:val="0008504D"/>
    <w:rsid w:val="0008513C"/>
    <w:rsid w:val="0008596F"/>
    <w:rsid w:val="00085D06"/>
    <w:rsid w:val="00085D47"/>
    <w:rsid w:val="00086BE8"/>
    <w:rsid w:val="00087363"/>
    <w:rsid w:val="00087936"/>
    <w:rsid w:val="00087DB5"/>
    <w:rsid w:val="00090169"/>
    <w:rsid w:val="00090214"/>
    <w:rsid w:val="000904E7"/>
    <w:rsid w:val="00090D1F"/>
    <w:rsid w:val="00091170"/>
    <w:rsid w:val="00091289"/>
    <w:rsid w:val="00092542"/>
    <w:rsid w:val="00092864"/>
    <w:rsid w:val="000928A7"/>
    <w:rsid w:val="00092AD9"/>
    <w:rsid w:val="0009316F"/>
    <w:rsid w:val="00093736"/>
    <w:rsid w:val="00095142"/>
    <w:rsid w:val="00095ACD"/>
    <w:rsid w:val="00095B64"/>
    <w:rsid w:val="00095CE3"/>
    <w:rsid w:val="00096066"/>
    <w:rsid w:val="000963EB"/>
    <w:rsid w:val="00096FB0"/>
    <w:rsid w:val="000971F8"/>
    <w:rsid w:val="000972CD"/>
    <w:rsid w:val="00097EFD"/>
    <w:rsid w:val="000A008A"/>
    <w:rsid w:val="000A0342"/>
    <w:rsid w:val="000A064D"/>
    <w:rsid w:val="000A0A44"/>
    <w:rsid w:val="000A123C"/>
    <w:rsid w:val="000A15C0"/>
    <w:rsid w:val="000A2280"/>
    <w:rsid w:val="000A24D4"/>
    <w:rsid w:val="000A2C4B"/>
    <w:rsid w:val="000A2CB6"/>
    <w:rsid w:val="000A4533"/>
    <w:rsid w:val="000A468E"/>
    <w:rsid w:val="000A4BB0"/>
    <w:rsid w:val="000A4FF1"/>
    <w:rsid w:val="000A53F2"/>
    <w:rsid w:val="000A597A"/>
    <w:rsid w:val="000A62B0"/>
    <w:rsid w:val="000A6322"/>
    <w:rsid w:val="000A6685"/>
    <w:rsid w:val="000A66AC"/>
    <w:rsid w:val="000A6ACF"/>
    <w:rsid w:val="000A7032"/>
    <w:rsid w:val="000A77DE"/>
    <w:rsid w:val="000A7B07"/>
    <w:rsid w:val="000A7CA8"/>
    <w:rsid w:val="000B0154"/>
    <w:rsid w:val="000B05F5"/>
    <w:rsid w:val="000B0894"/>
    <w:rsid w:val="000B0B6B"/>
    <w:rsid w:val="000B1C2B"/>
    <w:rsid w:val="000B266C"/>
    <w:rsid w:val="000B37F4"/>
    <w:rsid w:val="000B3BC7"/>
    <w:rsid w:val="000B43AA"/>
    <w:rsid w:val="000B48F3"/>
    <w:rsid w:val="000B4B00"/>
    <w:rsid w:val="000B4EC3"/>
    <w:rsid w:val="000B510D"/>
    <w:rsid w:val="000B53C3"/>
    <w:rsid w:val="000B542E"/>
    <w:rsid w:val="000B56E9"/>
    <w:rsid w:val="000B5CDF"/>
    <w:rsid w:val="000B645B"/>
    <w:rsid w:val="000B6992"/>
    <w:rsid w:val="000B7291"/>
    <w:rsid w:val="000B739B"/>
    <w:rsid w:val="000B7A0F"/>
    <w:rsid w:val="000C082E"/>
    <w:rsid w:val="000C105F"/>
    <w:rsid w:val="000C117E"/>
    <w:rsid w:val="000C19BA"/>
    <w:rsid w:val="000C29BC"/>
    <w:rsid w:val="000C385A"/>
    <w:rsid w:val="000C3D85"/>
    <w:rsid w:val="000C3F9B"/>
    <w:rsid w:val="000C4084"/>
    <w:rsid w:val="000C5231"/>
    <w:rsid w:val="000C5522"/>
    <w:rsid w:val="000C5B9E"/>
    <w:rsid w:val="000C5F3E"/>
    <w:rsid w:val="000C6034"/>
    <w:rsid w:val="000C6038"/>
    <w:rsid w:val="000C63F7"/>
    <w:rsid w:val="000C6927"/>
    <w:rsid w:val="000C6CAB"/>
    <w:rsid w:val="000C76E6"/>
    <w:rsid w:val="000C771D"/>
    <w:rsid w:val="000C7B80"/>
    <w:rsid w:val="000C7B91"/>
    <w:rsid w:val="000C7CB6"/>
    <w:rsid w:val="000C7D42"/>
    <w:rsid w:val="000D02C4"/>
    <w:rsid w:val="000D07C6"/>
    <w:rsid w:val="000D0EBA"/>
    <w:rsid w:val="000D0EF5"/>
    <w:rsid w:val="000D1054"/>
    <w:rsid w:val="000D1245"/>
    <w:rsid w:val="000D142F"/>
    <w:rsid w:val="000D19A5"/>
    <w:rsid w:val="000D1E8C"/>
    <w:rsid w:val="000D1F3C"/>
    <w:rsid w:val="000D23DC"/>
    <w:rsid w:val="000D253B"/>
    <w:rsid w:val="000D2E44"/>
    <w:rsid w:val="000D34E8"/>
    <w:rsid w:val="000D422E"/>
    <w:rsid w:val="000D4C84"/>
    <w:rsid w:val="000D4CB0"/>
    <w:rsid w:val="000D4F97"/>
    <w:rsid w:val="000D5868"/>
    <w:rsid w:val="000D630A"/>
    <w:rsid w:val="000D660D"/>
    <w:rsid w:val="000D68AD"/>
    <w:rsid w:val="000D6F60"/>
    <w:rsid w:val="000D6F64"/>
    <w:rsid w:val="000D7CA4"/>
    <w:rsid w:val="000D7E77"/>
    <w:rsid w:val="000E01B6"/>
    <w:rsid w:val="000E176E"/>
    <w:rsid w:val="000E1BF2"/>
    <w:rsid w:val="000E1EE2"/>
    <w:rsid w:val="000E226C"/>
    <w:rsid w:val="000E228F"/>
    <w:rsid w:val="000E248E"/>
    <w:rsid w:val="000E2AE0"/>
    <w:rsid w:val="000E34F9"/>
    <w:rsid w:val="000E3956"/>
    <w:rsid w:val="000E3AF2"/>
    <w:rsid w:val="000E3C76"/>
    <w:rsid w:val="000E3D47"/>
    <w:rsid w:val="000E4C08"/>
    <w:rsid w:val="000E4CAB"/>
    <w:rsid w:val="000E4E59"/>
    <w:rsid w:val="000E5370"/>
    <w:rsid w:val="000E5596"/>
    <w:rsid w:val="000E5ABB"/>
    <w:rsid w:val="000E5B3E"/>
    <w:rsid w:val="000E6530"/>
    <w:rsid w:val="000E690C"/>
    <w:rsid w:val="000E6C4E"/>
    <w:rsid w:val="000E7D40"/>
    <w:rsid w:val="000E7DFB"/>
    <w:rsid w:val="000F1407"/>
    <w:rsid w:val="000F1421"/>
    <w:rsid w:val="000F197D"/>
    <w:rsid w:val="000F28E3"/>
    <w:rsid w:val="000F2BB6"/>
    <w:rsid w:val="000F2BE0"/>
    <w:rsid w:val="000F2C2C"/>
    <w:rsid w:val="000F3127"/>
    <w:rsid w:val="000F32D6"/>
    <w:rsid w:val="000F3306"/>
    <w:rsid w:val="000F334C"/>
    <w:rsid w:val="000F3AEF"/>
    <w:rsid w:val="000F3C0E"/>
    <w:rsid w:val="000F438B"/>
    <w:rsid w:val="000F442A"/>
    <w:rsid w:val="000F46F5"/>
    <w:rsid w:val="000F4C1A"/>
    <w:rsid w:val="000F4EF3"/>
    <w:rsid w:val="000F5C7B"/>
    <w:rsid w:val="000F6652"/>
    <w:rsid w:val="000F68A9"/>
    <w:rsid w:val="000F6BAC"/>
    <w:rsid w:val="000F7793"/>
    <w:rsid w:val="000F7DC4"/>
    <w:rsid w:val="001001D5"/>
    <w:rsid w:val="00101622"/>
    <w:rsid w:val="00101A64"/>
    <w:rsid w:val="001026F6"/>
    <w:rsid w:val="00102716"/>
    <w:rsid w:val="001028D1"/>
    <w:rsid w:val="00102AAA"/>
    <w:rsid w:val="00102E17"/>
    <w:rsid w:val="00102FE3"/>
    <w:rsid w:val="001033F8"/>
    <w:rsid w:val="00103804"/>
    <w:rsid w:val="0010383A"/>
    <w:rsid w:val="00104199"/>
    <w:rsid w:val="00104289"/>
    <w:rsid w:val="00104746"/>
    <w:rsid w:val="00105001"/>
    <w:rsid w:val="00105121"/>
    <w:rsid w:val="00105257"/>
    <w:rsid w:val="00105493"/>
    <w:rsid w:val="00105E77"/>
    <w:rsid w:val="00106C36"/>
    <w:rsid w:val="00106F7A"/>
    <w:rsid w:val="00107CB7"/>
    <w:rsid w:val="00110286"/>
    <w:rsid w:val="00110C1C"/>
    <w:rsid w:val="0011154B"/>
    <w:rsid w:val="0011162A"/>
    <w:rsid w:val="00111C81"/>
    <w:rsid w:val="00111DB7"/>
    <w:rsid w:val="00111F50"/>
    <w:rsid w:val="001120C7"/>
    <w:rsid w:val="001123B6"/>
    <w:rsid w:val="0011289C"/>
    <w:rsid w:val="001129C7"/>
    <w:rsid w:val="001129EA"/>
    <w:rsid w:val="00113BE9"/>
    <w:rsid w:val="00114802"/>
    <w:rsid w:val="001148B1"/>
    <w:rsid w:val="001148F3"/>
    <w:rsid w:val="00114E08"/>
    <w:rsid w:val="001157DC"/>
    <w:rsid w:val="00115A3E"/>
    <w:rsid w:val="00115EF8"/>
    <w:rsid w:val="001162E1"/>
    <w:rsid w:val="00116C88"/>
    <w:rsid w:val="00116DF6"/>
    <w:rsid w:val="00116DFA"/>
    <w:rsid w:val="0011741F"/>
    <w:rsid w:val="00117630"/>
    <w:rsid w:val="00117B53"/>
    <w:rsid w:val="00120115"/>
    <w:rsid w:val="0012032F"/>
    <w:rsid w:val="00120351"/>
    <w:rsid w:val="00120D50"/>
    <w:rsid w:val="00120DFD"/>
    <w:rsid w:val="00120EE9"/>
    <w:rsid w:val="00120F5D"/>
    <w:rsid w:val="0012128A"/>
    <w:rsid w:val="00121C10"/>
    <w:rsid w:val="0012201C"/>
    <w:rsid w:val="0012251F"/>
    <w:rsid w:val="001228BC"/>
    <w:rsid w:val="00122C9F"/>
    <w:rsid w:val="001234B9"/>
    <w:rsid w:val="001238BC"/>
    <w:rsid w:val="00123B36"/>
    <w:rsid w:val="001243D2"/>
    <w:rsid w:val="001248B7"/>
    <w:rsid w:val="00124F8E"/>
    <w:rsid w:val="001255AB"/>
    <w:rsid w:val="001255E6"/>
    <w:rsid w:val="00125718"/>
    <w:rsid w:val="00125A34"/>
    <w:rsid w:val="00125D56"/>
    <w:rsid w:val="001261E4"/>
    <w:rsid w:val="00126ED1"/>
    <w:rsid w:val="001276B4"/>
    <w:rsid w:val="00127B0F"/>
    <w:rsid w:val="00127D4B"/>
    <w:rsid w:val="00130491"/>
    <w:rsid w:val="0013077C"/>
    <w:rsid w:val="0013082F"/>
    <w:rsid w:val="0013118E"/>
    <w:rsid w:val="00131E26"/>
    <w:rsid w:val="00131FCF"/>
    <w:rsid w:val="00132109"/>
    <w:rsid w:val="0013267D"/>
    <w:rsid w:val="00132F59"/>
    <w:rsid w:val="001332F0"/>
    <w:rsid w:val="0013384F"/>
    <w:rsid w:val="00133D31"/>
    <w:rsid w:val="00134197"/>
    <w:rsid w:val="0013498B"/>
    <w:rsid w:val="001349CE"/>
    <w:rsid w:val="00134CF5"/>
    <w:rsid w:val="00134E2F"/>
    <w:rsid w:val="00135115"/>
    <w:rsid w:val="0013524F"/>
    <w:rsid w:val="00135339"/>
    <w:rsid w:val="00135BD5"/>
    <w:rsid w:val="00135F75"/>
    <w:rsid w:val="001366F9"/>
    <w:rsid w:val="001369C6"/>
    <w:rsid w:val="001373B3"/>
    <w:rsid w:val="00137D97"/>
    <w:rsid w:val="0014006D"/>
    <w:rsid w:val="00140EEE"/>
    <w:rsid w:val="00141A11"/>
    <w:rsid w:val="00141A15"/>
    <w:rsid w:val="00141DC5"/>
    <w:rsid w:val="00142040"/>
    <w:rsid w:val="001423AD"/>
    <w:rsid w:val="0014284F"/>
    <w:rsid w:val="00143080"/>
    <w:rsid w:val="001430A7"/>
    <w:rsid w:val="00143CAA"/>
    <w:rsid w:val="00144447"/>
    <w:rsid w:val="001444D1"/>
    <w:rsid w:val="0014452A"/>
    <w:rsid w:val="00145958"/>
    <w:rsid w:val="00145ABE"/>
    <w:rsid w:val="00145BAB"/>
    <w:rsid w:val="00145CD8"/>
    <w:rsid w:val="00145FAE"/>
    <w:rsid w:val="0014608B"/>
    <w:rsid w:val="00146158"/>
    <w:rsid w:val="0014617C"/>
    <w:rsid w:val="00146DE6"/>
    <w:rsid w:val="00147041"/>
    <w:rsid w:val="001477EE"/>
    <w:rsid w:val="00147A02"/>
    <w:rsid w:val="00147E30"/>
    <w:rsid w:val="00150EBF"/>
    <w:rsid w:val="00151B2E"/>
    <w:rsid w:val="00151D90"/>
    <w:rsid w:val="001524CA"/>
    <w:rsid w:val="0015269D"/>
    <w:rsid w:val="0015272E"/>
    <w:rsid w:val="00152A9A"/>
    <w:rsid w:val="001539CE"/>
    <w:rsid w:val="001552C8"/>
    <w:rsid w:val="001558B8"/>
    <w:rsid w:val="00155C6E"/>
    <w:rsid w:val="001567F5"/>
    <w:rsid w:val="00156974"/>
    <w:rsid w:val="00156AD6"/>
    <w:rsid w:val="00156DBF"/>
    <w:rsid w:val="0015728E"/>
    <w:rsid w:val="0015789D"/>
    <w:rsid w:val="00157BF0"/>
    <w:rsid w:val="00157CF3"/>
    <w:rsid w:val="00160931"/>
    <w:rsid w:val="00160BA3"/>
    <w:rsid w:val="00161105"/>
    <w:rsid w:val="00161345"/>
    <w:rsid w:val="0016268F"/>
    <w:rsid w:val="00162BF0"/>
    <w:rsid w:val="00162F57"/>
    <w:rsid w:val="00163338"/>
    <w:rsid w:val="001638AE"/>
    <w:rsid w:val="00163946"/>
    <w:rsid w:val="001639F9"/>
    <w:rsid w:val="00163B5A"/>
    <w:rsid w:val="0016429F"/>
    <w:rsid w:val="00164805"/>
    <w:rsid w:val="00164AB0"/>
    <w:rsid w:val="00164E20"/>
    <w:rsid w:val="001650FC"/>
    <w:rsid w:val="00165198"/>
    <w:rsid w:val="001659BC"/>
    <w:rsid w:val="00165A91"/>
    <w:rsid w:val="00165B2A"/>
    <w:rsid w:val="00165CDC"/>
    <w:rsid w:val="00165E16"/>
    <w:rsid w:val="00165FFF"/>
    <w:rsid w:val="00166580"/>
    <w:rsid w:val="00166C52"/>
    <w:rsid w:val="001672B5"/>
    <w:rsid w:val="0016730D"/>
    <w:rsid w:val="001674CB"/>
    <w:rsid w:val="00167985"/>
    <w:rsid w:val="00167E59"/>
    <w:rsid w:val="001703FE"/>
    <w:rsid w:val="00170646"/>
    <w:rsid w:val="0017099C"/>
    <w:rsid w:val="001710CE"/>
    <w:rsid w:val="0017119C"/>
    <w:rsid w:val="00171648"/>
    <w:rsid w:val="00171850"/>
    <w:rsid w:val="00171A69"/>
    <w:rsid w:val="00171E4A"/>
    <w:rsid w:val="00171E6F"/>
    <w:rsid w:val="00172184"/>
    <w:rsid w:val="001724F7"/>
    <w:rsid w:val="001729EB"/>
    <w:rsid w:val="00172A34"/>
    <w:rsid w:val="00172E82"/>
    <w:rsid w:val="00173416"/>
    <w:rsid w:val="00173B16"/>
    <w:rsid w:val="00173FED"/>
    <w:rsid w:val="00174366"/>
    <w:rsid w:val="001745D8"/>
    <w:rsid w:val="001749DE"/>
    <w:rsid w:val="00175D19"/>
    <w:rsid w:val="0017627F"/>
    <w:rsid w:val="00176503"/>
    <w:rsid w:val="00176DF8"/>
    <w:rsid w:val="00176E8A"/>
    <w:rsid w:val="0017727E"/>
    <w:rsid w:val="00177341"/>
    <w:rsid w:val="0017749C"/>
    <w:rsid w:val="00177C59"/>
    <w:rsid w:val="00177F15"/>
    <w:rsid w:val="00180283"/>
    <w:rsid w:val="0018061A"/>
    <w:rsid w:val="0018081C"/>
    <w:rsid w:val="0018091F"/>
    <w:rsid w:val="00180AAC"/>
    <w:rsid w:val="0018182E"/>
    <w:rsid w:val="00181A41"/>
    <w:rsid w:val="00181A6D"/>
    <w:rsid w:val="00182A2F"/>
    <w:rsid w:val="00182B10"/>
    <w:rsid w:val="00184609"/>
    <w:rsid w:val="0018496D"/>
    <w:rsid w:val="00184C83"/>
    <w:rsid w:val="00184E6A"/>
    <w:rsid w:val="0018571C"/>
    <w:rsid w:val="00185743"/>
    <w:rsid w:val="0018585F"/>
    <w:rsid w:val="00185B5F"/>
    <w:rsid w:val="00185E4E"/>
    <w:rsid w:val="00186017"/>
    <w:rsid w:val="0018617C"/>
    <w:rsid w:val="00186404"/>
    <w:rsid w:val="00187235"/>
    <w:rsid w:val="00187447"/>
    <w:rsid w:val="001903D9"/>
    <w:rsid w:val="001906A9"/>
    <w:rsid w:val="00190A56"/>
    <w:rsid w:val="00190C5E"/>
    <w:rsid w:val="00192A56"/>
    <w:rsid w:val="00193132"/>
    <w:rsid w:val="0019324F"/>
    <w:rsid w:val="00194304"/>
    <w:rsid w:val="00194CCA"/>
    <w:rsid w:val="00194CFF"/>
    <w:rsid w:val="0019506E"/>
    <w:rsid w:val="0019520D"/>
    <w:rsid w:val="00195546"/>
    <w:rsid w:val="00196158"/>
    <w:rsid w:val="00197232"/>
    <w:rsid w:val="001976BB"/>
    <w:rsid w:val="00197C28"/>
    <w:rsid w:val="001A01F2"/>
    <w:rsid w:val="001A0999"/>
    <w:rsid w:val="001A0A6F"/>
    <w:rsid w:val="001A13D9"/>
    <w:rsid w:val="001A14E6"/>
    <w:rsid w:val="001A1B3B"/>
    <w:rsid w:val="001A2CA7"/>
    <w:rsid w:val="001A3604"/>
    <w:rsid w:val="001A456F"/>
    <w:rsid w:val="001A49AB"/>
    <w:rsid w:val="001A4CB9"/>
    <w:rsid w:val="001A53B7"/>
    <w:rsid w:val="001A546A"/>
    <w:rsid w:val="001A57D6"/>
    <w:rsid w:val="001A5E2B"/>
    <w:rsid w:val="001A6190"/>
    <w:rsid w:val="001A63BF"/>
    <w:rsid w:val="001A6D55"/>
    <w:rsid w:val="001A7712"/>
    <w:rsid w:val="001A7D7F"/>
    <w:rsid w:val="001A7EF5"/>
    <w:rsid w:val="001B0009"/>
    <w:rsid w:val="001B0305"/>
    <w:rsid w:val="001B077B"/>
    <w:rsid w:val="001B0A89"/>
    <w:rsid w:val="001B0B47"/>
    <w:rsid w:val="001B0CD2"/>
    <w:rsid w:val="001B14FB"/>
    <w:rsid w:val="001B2309"/>
    <w:rsid w:val="001B2495"/>
    <w:rsid w:val="001B251D"/>
    <w:rsid w:val="001B29C9"/>
    <w:rsid w:val="001B2F10"/>
    <w:rsid w:val="001B2F30"/>
    <w:rsid w:val="001B2F70"/>
    <w:rsid w:val="001B31EB"/>
    <w:rsid w:val="001B332E"/>
    <w:rsid w:val="001B383E"/>
    <w:rsid w:val="001B3AAE"/>
    <w:rsid w:val="001B4513"/>
    <w:rsid w:val="001B472F"/>
    <w:rsid w:val="001B4786"/>
    <w:rsid w:val="001B53B0"/>
    <w:rsid w:val="001B5430"/>
    <w:rsid w:val="001B59A4"/>
    <w:rsid w:val="001B6427"/>
    <w:rsid w:val="001B6C59"/>
    <w:rsid w:val="001B7135"/>
    <w:rsid w:val="001B71F1"/>
    <w:rsid w:val="001B75CE"/>
    <w:rsid w:val="001B777E"/>
    <w:rsid w:val="001B7E70"/>
    <w:rsid w:val="001C00B1"/>
    <w:rsid w:val="001C075C"/>
    <w:rsid w:val="001C1033"/>
    <w:rsid w:val="001C1124"/>
    <w:rsid w:val="001C147B"/>
    <w:rsid w:val="001C228A"/>
    <w:rsid w:val="001C2AAA"/>
    <w:rsid w:val="001C32CE"/>
    <w:rsid w:val="001C3681"/>
    <w:rsid w:val="001C4484"/>
    <w:rsid w:val="001C4726"/>
    <w:rsid w:val="001C49E4"/>
    <w:rsid w:val="001C4CE1"/>
    <w:rsid w:val="001C4F59"/>
    <w:rsid w:val="001C55B4"/>
    <w:rsid w:val="001C5EE9"/>
    <w:rsid w:val="001C6EA7"/>
    <w:rsid w:val="001C7300"/>
    <w:rsid w:val="001C749D"/>
    <w:rsid w:val="001C7AE5"/>
    <w:rsid w:val="001D03C4"/>
    <w:rsid w:val="001D09A3"/>
    <w:rsid w:val="001D0D13"/>
    <w:rsid w:val="001D1D11"/>
    <w:rsid w:val="001D2844"/>
    <w:rsid w:val="001D2A92"/>
    <w:rsid w:val="001D2C76"/>
    <w:rsid w:val="001D2CA3"/>
    <w:rsid w:val="001D2CB5"/>
    <w:rsid w:val="001D2CCC"/>
    <w:rsid w:val="001D2FA9"/>
    <w:rsid w:val="001D3271"/>
    <w:rsid w:val="001D3A93"/>
    <w:rsid w:val="001D4107"/>
    <w:rsid w:val="001D4303"/>
    <w:rsid w:val="001D458A"/>
    <w:rsid w:val="001D5029"/>
    <w:rsid w:val="001D51DE"/>
    <w:rsid w:val="001D6092"/>
    <w:rsid w:val="001D6D24"/>
    <w:rsid w:val="001D6FA4"/>
    <w:rsid w:val="001D7286"/>
    <w:rsid w:val="001D75AD"/>
    <w:rsid w:val="001D7626"/>
    <w:rsid w:val="001D7D3B"/>
    <w:rsid w:val="001D7F0B"/>
    <w:rsid w:val="001D7F63"/>
    <w:rsid w:val="001E0085"/>
    <w:rsid w:val="001E00C3"/>
    <w:rsid w:val="001E0929"/>
    <w:rsid w:val="001E0950"/>
    <w:rsid w:val="001E1752"/>
    <w:rsid w:val="001E2705"/>
    <w:rsid w:val="001E2A24"/>
    <w:rsid w:val="001E3CDF"/>
    <w:rsid w:val="001E4B3A"/>
    <w:rsid w:val="001E4CF5"/>
    <w:rsid w:val="001E58EC"/>
    <w:rsid w:val="001E59DD"/>
    <w:rsid w:val="001E59F9"/>
    <w:rsid w:val="001E5A90"/>
    <w:rsid w:val="001E6F32"/>
    <w:rsid w:val="001E76FA"/>
    <w:rsid w:val="001E785C"/>
    <w:rsid w:val="001E7B12"/>
    <w:rsid w:val="001E7D9E"/>
    <w:rsid w:val="001E7D9F"/>
    <w:rsid w:val="001F00D4"/>
    <w:rsid w:val="001F082D"/>
    <w:rsid w:val="001F0B5C"/>
    <w:rsid w:val="001F151B"/>
    <w:rsid w:val="001F1E9D"/>
    <w:rsid w:val="001F263B"/>
    <w:rsid w:val="001F2776"/>
    <w:rsid w:val="001F2D5D"/>
    <w:rsid w:val="001F3863"/>
    <w:rsid w:val="001F3CD1"/>
    <w:rsid w:val="001F3F3D"/>
    <w:rsid w:val="001F457B"/>
    <w:rsid w:val="001F4A34"/>
    <w:rsid w:val="001F4AEF"/>
    <w:rsid w:val="001F4EF5"/>
    <w:rsid w:val="001F5498"/>
    <w:rsid w:val="001F581F"/>
    <w:rsid w:val="001F649D"/>
    <w:rsid w:val="001F6693"/>
    <w:rsid w:val="001F6722"/>
    <w:rsid w:val="001F68EB"/>
    <w:rsid w:val="001F6A40"/>
    <w:rsid w:val="001F6D11"/>
    <w:rsid w:val="001F71D1"/>
    <w:rsid w:val="001F7298"/>
    <w:rsid w:val="001F7539"/>
    <w:rsid w:val="001F7558"/>
    <w:rsid w:val="001F78E5"/>
    <w:rsid w:val="001F7D6B"/>
    <w:rsid w:val="002000D6"/>
    <w:rsid w:val="00200BEF"/>
    <w:rsid w:val="00200FEE"/>
    <w:rsid w:val="00201858"/>
    <w:rsid w:val="00201E58"/>
    <w:rsid w:val="002020E0"/>
    <w:rsid w:val="00202362"/>
    <w:rsid w:val="0020251E"/>
    <w:rsid w:val="00202FD1"/>
    <w:rsid w:val="00203189"/>
    <w:rsid w:val="002039C5"/>
    <w:rsid w:val="00203C0B"/>
    <w:rsid w:val="00203EB6"/>
    <w:rsid w:val="0020414E"/>
    <w:rsid w:val="002045D3"/>
    <w:rsid w:val="00204D5A"/>
    <w:rsid w:val="00205C8E"/>
    <w:rsid w:val="00205DA3"/>
    <w:rsid w:val="002064C5"/>
    <w:rsid w:val="002067F5"/>
    <w:rsid w:val="00206BE1"/>
    <w:rsid w:val="00206FBD"/>
    <w:rsid w:val="00207742"/>
    <w:rsid w:val="002102F7"/>
    <w:rsid w:val="00210366"/>
    <w:rsid w:val="002103D7"/>
    <w:rsid w:val="002108D8"/>
    <w:rsid w:val="00210CAC"/>
    <w:rsid w:val="00210DAD"/>
    <w:rsid w:val="00210F67"/>
    <w:rsid w:val="00211381"/>
    <w:rsid w:val="00211954"/>
    <w:rsid w:val="00211F95"/>
    <w:rsid w:val="00212499"/>
    <w:rsid w:val="00212E3A"/>
    <w:rsid w:val="0021343B"/>
    <w:rsid w:val="00213922"/>
    <w:rsid w:val="00213AF7"/>
    <w:rsid w:val="00213B22"/>
    <w:rsid w:val="00213F68"/>
    <w:rsid w:val="0021403A"/>
    <w:rsid w:val="00214500"/>
    <w:rsid w:val="0021493A"/>
    <w:rsid w:val="00214BAD"/>
    <w:rsid w:val="00214FBD"/>
    <w:rsid w:val="00216111"/>
    <w:rsid w:val="00216811"/>
    <w:rsid w:val="002169C7"/>
    <w:rsid w:val="00216C49"/>
    <w:rsid w:val="0021796F"/>
    <w:rsid w:val="002179E7"/>
    <w:rsid w:val="00217D67"/>
    <w:rsid w:val="002204C1"/>
    <w:rsid w:val="002206C2"/>
    <w:rsid w:val="0022076F"/>
    <w:rsid w:val="00220B38"/>
    <w:rsid w:val="00220E0E"/>
    <w:rsid w:val="0022174F"/>
    <w:rsid w:val="0022184B"/>
    <w:rsid w:val="00221D1F"/>
    <w:rsid w:val="00221F92"/>
    <w:rsid w:val="0022291D"/>
    <w:rsid w:val="00222BD7"/>
    <w:rsid w:val="00222D3E"/>
    <w:rsid w:val="00222F6A"/>
    <w:rsid w:val="00223611"/>
    <w:rsid w:val="00223882"/>
    <w:rsid w:val="00223BE6"/>
    <w:rsid w:val="00223F25"/>
    <w:rsid w:val="00224022"/>
    <w:rsid w:val="0022402B"/>
    <w:rsid w:val="002243F7"/>
    <w:rsid w:val="00224471"/>
    <w:rsid w:val="0022477F"/>
    <w:rsid w:val="002250B1"/>
    <w:rsid w:val="002250E6"/>
    <w:rsid w:val="00225FCF"/>
    <w:rsid w:val="00226517"/>
    <w:rsid w:val="00226940"/>
    <w:rsid w:val="002271A5"/>
    <w:rsid w:val="002272A4"/>
    <w:rsid w:val="00227440"/>
    <w:rsid w:val="00227445"/>
    <w:rsid w:val="00227735"/>
    <w:rsid w:val="0022780A"/>
    <w:rsid w:val="00227FE2"/>
    <w:rsid w:val="002303C4"/>
    <w:rsid w:val="00230618"/>
    <w:rsid w:val="00230ECB"/>
    <w:rsid w:val="00230F6F"/>
    <w:rsid w:val="00230FF0"/>
    <w:rsid w:val="0023119D"/>
    <w:rsid w:val="00231715"/>
    <w:rsid w:val="00231942"/>
    <w:rsid w:val="002319FB"/>
    <w:rsid w:val="00231B97"/>
    <w:rsid w:val="00231C56"/>
    <w:rsid w:val="00231D4A"/>
    <w:rsid w:val="00232ACD"/>
    <w:rsid w:val="00233778"/>
    <w:rsid w:val="00233CEF"/>
    <w:rsid w:val="00233E03"/>
    <w:rsid w:val="00233FA0"/>
    <w:rsid w:val="0023419C"/>
    <w:rsid w:val="00234411"/>
    <w:rsid w:val="00234F60"/>
    <w:rsid w:val="0023507E"/>
    <w:rsid w:val="00235398"/>
    <w:rsid w:val="00235F02"/>
    <w:rsid w:val="0023627D"/>
    <w:rsid w:val="002365C1"/>
    <w:rsid w:val="002365E9"/>
    <w:rsid w:val="00236B7E"/>
    <w:rsid w:val="00236F9F"/>
    <w:rsid w:val="00237404"/>
    <w:rsid w:val="00237427"/>
    <w:rsid w:val="002376BF"/>
    <w:rsid w:val="00237B91"/>
    <w:rsid w:val="00240693"/>
    <w:rsid w:val="0024227B"/>
    <w:rsid w:val="002424C3"/>
    <w:rsid w:val="00242E19"/>
    <w:rsid w:val="002431A0"/>
    <w:rsid w:val="00243694"/>
    <w:rsid w:val="00243751"/>
    <w:rsid w:val="0024390C"/>
    <w:rsid w:val="00243E01"/>
    <w:rsid w:val="0024550C"/>
    <w:rsid w:val="00246962"/>
    <w:rsid w:val="002475D3"/>
    <w:rsid w:val="002476AD"/>
    <w:rsid w:val="00247D2B"/>
    <w:rsid w:val="0025052F"/>
    <w:rsid w:val="00250767"/>
    <w:rsid w:val="002514D6"/>
    <w:rsid w:val="002526A3"/>
    <w:rsid w:val="00252718"/>
    <w:rsid w:val="00252D32"/>
    <w:rsid w:val="00253110"/>
    <w:rsid w:val="0025398C"/>
    <w:rsid w:val="002539AB"/>
    <w:rsid w:val="00253DB1"/>
    <w:rsid w:val="002541EE"/>
    <w:rsid w:val="002544A0"/>
    <w:rsid w:val="00254EBC"/>
    <w:rsid w:val="00255045"/>
    <w:rsid w:val="00255E0C"/>
    <w:rsid w:val="00256300"/>
    <w:rsid w:val="002564CE"/>
    <w:rsid w:val="00256548"/>
    <w:rsid w:val="00256801"/>
    <w:rsid w:val="00256FDF"/>
    <w:rsid w:val="00257FF5"/>
    <w:rsid w:val="00260129"/>
    <w:rsid w:val="002601FF"/>
    <w:rsid w:val="0026066B"/>
    <w:rsid w:val="00260BCF"/>
    <w:rsid w:val="00261134"/>
    <w:rsid w:val="002616A2"/>
    <w:rsid w:val="00262954"/>
    <w:rsid w:val="00262F58"/>
    <w:rsid w:val="00263588"/>
    <w:rsid w:val="00263821"/>
    <w:rsid w:val="002638C0"/>
    <w:rsid w:val="00263B18"/>
    <w:rsid w:val="00263D0E"/>
    <w:rsid w:val="00263D3B"/>
    <w:rsid w:val="002649A9"/>
    <w:rsid w:val="00264AF6"/>
    <w:rsid w:val="002653CD"/>
    <w:rsid w:val="00265702"/>
    <w:rsid w:val="00265886"/>
    <w:rsid w:val="00265A77"/>
    <w:rsid w:val="00265AE1"/>
    <w:rsid w:val="002663C4"/>
    <w:rsid w:val="00266CD6"/>
    <w:rsid w:val="00267236"/>
    <w:rsid w:val="00267617"/>
    <w:rsid w:val="0026799E"/>
    <w:rsid w:val="00270119"/>
    <w:rsid w:val="00270495"/>
    <w:rsid w:val="00270AD9"/>
    <w:rsid w:val="00270B88"/>
    <w:rsid w:val="00270C63"/>
    <w:rsid w:val="00271316"/>
    <w:rsid w:val="0027172D"/>
    <w:rsid w:val="0027178F"/>
    <w:rsid w:val="00271A82"/>
    <w:rsid w:val="00272268"/>
    <w:rsid w:val="0027269D"/>
    <w:rsid w:val="00272780"/>
    <w:rsid w:val="00272861"/>
    <w:rsid w:val="00272D15"/>
    <w:rsid w:val="00273120"/>
    <w:rsid w:val="002735EB"/>
    <w:rsid w:val="0027381E"/>
    <w:rsid w:val="002738E6"/>
    <w:rsid w:val="00273DBD"/>
    <w:rsid w:val="002743D2"/>
    <w:rsid w:val="002744FB"/>
    <w:rsid w:val="00274B3C"/>
    <w:rsid w:val="00274F57"/>
    <w:rsid w:val="002756BA"/>
    <w:rsid w:val="0027571E"/>
    <w:rsid w:val="0027592B"/>
    <w:rsid w:val="00275D72"/>
    <w:rsid w:val="00276166"/>
    <w:rsid w:val="002771AC"/>
    <w:rsid w:val="00277244"/>
    <w:rsid w:val="00277373"/>
    <w:rsid w:val="002773A2"/>
    <w:rsid w:val="002779B1"/>
    <w:rsid w:val="00277AA3"/>
    <w:rsid w:val="00280735"/>
    <w:rsid w:val="00280B71"/>
    <w:rsid w:val="00280BF0"/>
    <w:rsid w:val="00280F60"/>
    <w:rsid w:val="0028122C"/>
    <w:rsid w:val="002813EE"/>
    <w:rsid w:val="0028165D"/>
    <w:rsid w:val="0028274A"/>
    <w:rsid w:val="0028299B"/>
    <w:rsid w:val="00282B0D"/>
    <w:rsid w:val="00282F79"/>
    <w:rsid w:val="00283312"/>
    <w:rsid w:val="00283451"/>
    <w:rsid w:val="00283786"/>
    <w:rsid w:val="00283958"/>
    <w:rsid w:val="002839B1"/>
    <w:rsid w:val="00283AA2"/>
    <w:rsid w:val="00283AD7"/>
    <w:rsid w:val="00284BC5"/>
    <w:rsid w:val="0028562D"/>
    <w:rsid w:val="00285AD5"/>
    <w:rsid w:val="00285EFE"/>
    <w:rsid w:val="00285FDF"/>
    <w:rsid w:val="0028603B"/>
    <w:rsid w:val="00286054"/>
    <w:rsid w:val="0028644D"/>
    <w:rsid w:val="002867E5"/>
    <w:rsid w:val="00286D04"/>
    <w:rsid w:val="00286E27"/>
    <w:rsid w:val="002875F4"/>
    <w:rsid w:val="00287851"/>
    <w:rsid w:val="002903A0"/>
    <w:rsid w:val="00290426"/>
    <w:rsid w:val="00290734"/>
    <w:rsid w:val="0029085B"/>
    <w:rsid w:val="0029110A"/>
    <w:rsid w:val="002911BD"/>
    <w:rsid w:val="002912DD"/>
    <w:rsid w:val="002912F5"/>
    <w:rsid w:val="00292716"/>
    <w:rsid w:val="00292EC3"/>
    <w:rsid w:val="0029330C"/>
    <w:rsid w:val="0029341F"/>
    <w:rsid w:val="00293D51"/>
    <w:rsid w:val="0029419B"/>
    <w:rsid w:val="002945B3"/>
    <w:rsid w:val="002952DC"/>
    <w:rsid w:val="00296403"/>
    <w:rsid w:val="002969B4"/>
    <w:rsid w:val="0029776B"/>
    <w:rsid w:val="00297916"/>
    <w:rsid w:val="00297D66"/>
    <w:rsid w:val="002A0ACF"/>
    <w:rsid w:val="002A1E55"/>
    <w:rsid w:val="002A1F6C"/>
    <w:rsid w:val="002A26BA"/>
    <w:rsid w:val="002A2987"/>
    <w:rsid w:val="002A2A5A"/>
    <w:rsid w:val="002A2ED8"/>
    <w:rsid w:val="002A2F00"/>
    <w:rsid w:val="002A33F8"/>
    <w:rsid w:val="002A3E37"/>
    <w:rsid w:val="002A4875"/>
    <w:rsid w:val="002A48B1"/>
    <w:rsid w:val="002A5075"/>
    <w:rsid w:val="002A5261"/>
    <w:rsid w:val="002A536A"/>
    <w:rsid w:val="002A5683"/>
    <w:rsid w:val="002A5753"/>
    <w:rsid w:val="002A5B69"/>
    <w:rsid w:val="002A6689"/>
    <w:rsid w:val="002A7043"/>
    <w:rsid w:val="002A7649"/>
    <w:rsid w:val="002A7777"/>
    <w:rsid w:val="002A78D3"/>
    <w:rsid w:val="002A7A08"/>
    <w:rsid w:val="002A7A49"/>
    <w:rsid w:val="002A7A91"/>
    <w:rsid w:val="002A7D1D"/>
    <w:rsid w:val="002A7F0D"/>
    <w:rsid w:val="002B0431"/>
    <w:rsid w:val="002B0464"/>
    <w:rsid w:val="002B0565"/>
    <w:rsid w:val="002B0A27"/>
    <w:rsid w:val="002B0D5D"/>
    <w:rsid w:val="002B0E7A"/>
    <w:rsid w:val="002B1306"/>
    <w:rsid w:val="002B1EB0"/>
    <w:rsid w:val="002B2009"/>
    <w:rsid w:val="002B235B"/>
    <w:rsid w:val="002B258C"/>
    <w:rsid w:val="002B2754"/>
    <w:rsid w:val="002B27FD"/>
    <w:rsid w:val="002B2F9E"/>
    <w:rsid w:val="002B2FD7"/>
    <w:rsid w:val="002B34D9"/>
    <w:rsid w:val="002B3E48"/>
    <w:rsid w:val="002B4795"/>
    <w:rsid w:val="002B4A3B"/>
    <w:rsid w:val="002B4DF6"/>
    <w:rsid w:val="002B4E27"/>
    <w:rsid w:val="002B518A"/>
    <w:rsid w:val="002B5491"/>
    <w:rsid w:val="002B56DA"/>
    <w:rsid w:val="002B5815"/>
    <w:rsid w:val="002B6556"/>
    <w:rsid w:val="002B6BC1"/>
    <w:rsid w:val="002B6BFF"/>
    <w:rsid w:val="002B7135"/>
    <w:rsid w:val="002B7A9E"/>
    <w:rsid w:val="002B7BFF"/>
    <w:rsid w:val="002C005F"/>
    <w:rsid w:val="002C1023"/>
    <w:rsid w:val="002C1AF0"/>
    <w:rsid w:val="002C1ED9"/>
    <w:rsid w:val="002C245C"/>
    <w:rsid w:val="002C2711"/>
    <w:rsid w:val="002C27B1"/>
    <w:rsid w:val="002C2B79"/>
    <w:rsid w:val="002C3030"/>
    <w:rsid w:val="002C3108"/>
    <w:rsid w:val="002C34CB"/>
    <w:rsid w:val="002C387A"/>
    <w:rsid w:val="002C450B"/>
    <w:rsid w:val="002C5673"/>
    <w:rsid w:val="002C6350"/>
    <w:rsid w:val="002C673A"/>
    <w:rsid w:val="002C6B3C"/>
    <w:rsid w:val="002C6EF1"/>
    <w:rsid w:val="002C706C"/>
    <w:rsid w:val="002C7BFE"/>
    <w:rsid w:val="002D091A"/>
    <w:rsid w:val="002D0AF8"/>
    <w:rsid w:val="002D0C89"/>
    <w:rsid w:val="002D0E60"/>
    <w:rsid w:val="002D0ED7"/>
    <w:rsid w:val="002D158D"/>
    <w:rsid w:val="002D181F"/>
    <w:rsid w:val="002D1AF2"/>
    <w:rsid w:val="002D1C74"/>
    <w:rsid w:val="002D1D1E"/>
    <w:rsid w:val="002D24B4"/>
    <w:rsid w:val="002D28A9"/>
    <w:rsid w:val="002D2C79"/>
    <w:rsid w:val="002D30E6"/>
    <w:rsid w:val="002D3430"/>
    <w:rsid w:val="002D3826"/>
    <w:rsid w:val="002D3B27"/>
    <w:rsid w:val="002D3E68"/>
    <w:rsid w:val="002D3EC0"/>
    <w:rsid w:val="002D4152"/>
    <w:rsid w:val="002D42D5"/>
    <w:rsid w:val="002D483E"/>
    <w:rsid w:val="002D50B4"/>
    <w:rsid w:val="002D59E8"/>
    <w:rsid w:val="002D5B3B"/>
    <w:rsid w:val="002D5C20"/>
    <w:rsid w:val="002D60D0"/>
    <w:rsid w:val="002D617C"/>
    <w:rsid w:val="002D66DE"/>
    <w:rsid w:val="002D692A"/>
    <w:rsid w:val="002D70F3"/>
    <w:rsid w:val="002D78CE"/>
    <w:rsid w:val="002D7AF4"/>
    <w:rsid w:val="002D7EE5"/>
    <w:rsid w:val="002E0044"/>
    <w:rsid w:val="002E0650"/>
    <w:rsid w:val="002E12F0"/>
    <w:rsid w:val="002E1613"/>
    <w:rsid w:val="002E1624"/>
    <w:rsid w:val="002E24CD"/>
    <w:rsid w:val="002E2A28"/>
    <w:rsid w:val="002E2B9B"/>
    <w:rsid w:val="002E4053"/>
    <w:rsid w:val="002E4605"/>
    <w:rsid w:val="002E4765"/>
    <w:rsid w:val="002E4F26"/>
    <w:rsid w:val="002E539F"/>
    <w:rsid w:val="002E6602"/>
    <w:rsid w:val="002E6ABE"/>
    <w:rsid w:val="002E6C24"/>
    <w:rsid w:val="002E71D1"/>
    <w:rsid w:val="002E73E9"/>
    <w:rsid w:val="002E740D"/>
    <w:rsid w:val="002E7481"/>
    <w:rsid w:val="002E7767"/>
    <w:rsid w:val="002F0782"/>
    <w:rsid w:val="002F0998"/>
    <w:rsid w:val="002F0B82"/>
    <w:rsid w:val="002F148D"/>
    <w:rsid w:val="002F1846"/>
    <w:rsid w:val="002F1F4E"/>
    <w:rsid w:val="002F26F1"/>
    <w:rsid w:val="002F27CC"/>
    <w:rsid w:val="002F3729"/>
    <w:rsid w:val="002F3A99"/>
    <w:rsid w:val="002F42B7"/>
    <w:rsid w:val="002F4B10"/>
    <w:rsid w:val="002F5E14"/>
    <w:rsid w:val="002F63A7"/>
    <w:rsid w:val="002F6626"/>
    <w:rsid w:val="002F665C"/>
    <w:rsid w:val="002F707F"/>
    <w:rsid w:val="002F73F9"/>
    <w:rsid w:val="002F787A"/>
    <w:rsid w:val="002F78F8"/>
    <w:rsid w:val="002F7BDB"/>
    <w:rsid w:val="002F7FC5"/>
    <w:rsid w:val="00300542"/>
    <w:rsid w:val="003006C3"/>
    <w:rsid w:val="00300972"/>
    <w:rsid w:val="00300C57"/>
    <w:rsid w:val="003010F4"/>
    <w:rsid w:val="0030171B"/>
    <w:rsid w:val="00301B95"/>
    <w:rsid w:val="00301C37"/>
    <w:rsid w:val="003021C6"/>
    <w:rsid w:val="00302257"/>
    <w:rsid w:val="00302A62"/>
    <w:rsid w:val="003032D4"/>
    <w:rsid w:val="00303762"/>
    <w:rsid w:val="00303C98"/>
    <w:rsid w:val="00303E0E"/>
    <w:rsid w:val="00304493"/>
    <w:rsid w:val="003044A2"/>
    <w:rsid w:val="003044B4"/>
    <w:rsid w:val="00304EB8"/>
    <w:rsid w:val="0030622D"/>
    <w:rsid w:val="0030627B"/>
    <w:rsid w:val="00306507"/>
    <w:rsid w:val="003072DA"/>
    <w:rsid w:val="003077B5"/>
    <w:rsid w:val="00307943"/>
    <w:rsid w:val="00307B51"/>
    <w:rsid w:val="00307CB0"/>
    <w:rsid w:val="00307F1B"/>
    <w:rsid w:val="00310379"/>
    <w:rsid w:val="00310D95"/>
    <w:rsid w:val="00310E4C"/>
    <w:rsid w:val="00311085"/>
    <w:rsid w:val="00311483"/>
    <w:rsid w:val="003115B1"/>
    <w:rsid w:val="00311D0A"/>
    <w:rsid w:val="00312141"/>
    <w:rsid w:val="00312311"/>
    <w:rsid w:val="003123DD"/>
    <w:rsid w:val="00312485"/>
    <w:rsid w:val="0031274E"/>
    <w:rsid w:val="00312BBA"/>
    <w:rsid w:val="00312D5B"/>
    <w:rsid w:val="00312DC2"/>
    <w:rsid w:val="0031367C"/>
    <w:rsid w:val="00313D8A"/>
    <w:rsid w:val="00313ED8"/>
    <w:rsid w:val="00313FA9"/>
    <w:rsid w:val="0031459F"/>
    <w:rsid w:val="00314C04"/>
    <w:rsid w:val="00314F42"/>
    <w:rsid w:val="003151A7"/>
    <w:rsid w:val="003151C6"/>
    <w:rsid w:val="00315218"/>
    <w:rsid w:val="003153FD"/>
    <w:rsid w:val="00315E46"/>
    <w:rsid w:val="00315E49"/>
    <w:rsid w:val="00315E75"/>
    <w:rsid w:val="003169C1"/>
    <w:rsid w:val="0031715B"/>
    <w:rsid w:val="00317B9C"/>
    <w:rsid w:val="00317C18"/>
    <w:rsid w:val="003208D5"/>
    <w:rsid w:val="00320DE9"/>
    <w:rsid w:val="00321C7B"/>
    <w:rsid w:val="00322BFD"/>
    <w:rsid w:val="0032306B"/>
    <w:rsid w:val="00323159"/>
    <w:rsid w:val="00323430"/>
    <w:rsid w:val="0032343B"/>
    <w:rsid w:val="003236E7"/>
    <w:rsid w:val="0032390A"/>
    <w:rsid w:val="00323E8C"/>
    <w:rsid w:val="00323FB0"/>
    <w:rsid w:val="00324116"/>
    <w:rsid w:val="003243D5"/>
    <w:rsid w:val="00324938"/>
    <w:rsid w:val="00324A70"/>
    <w:rsid w:val="00324C3C"/>
    <w:rsid w:val="00325989"/>
    <w:rsid w:val="0032653F"/>
    <w:rsid w:val="0032685E"/>
    <w:rsid w:val="00326E42"/>
    <w:rsid w:val="00326E73"/>
    <w:rsid w:val="0032712D"/>
    <w:rsid w:val="003279E8"/>
    <w:rsid w:val="00327D1F"/>
    <w:rsid w:val="003301C2"/>
    <w:rsid w:val="00330CEE"/>
    <w:rsid w:val="00330F37"/>
    <w:rsid w:val="00330FC8"/>
    <w:rsid w:val="00330FD4"/>
    <w:rsid w:val="003312C8"/>
    <w:rsid w:val="00331C02"/>
    <w:rsid w:val="00331CEF"/>
    <w:rsid w:val="00331FCF"/>
    <w:rsid w:val="003324C3"/>
    <w:rsid w:val="0033290B"/>
    <w:rsid w:val="00332AD8"/>
    <w:rsid w:val="003334A8"/>
    <w:rsid w:val="003339C2"/>
    <w:rsid w:val="00334104"/>
    <w:rsid w:val="00334D2E"/>
    <w:rsid w:val="00334F04"/>
    <w:rsid w:val="003353A0"/>
    <w:rsid w:val="0033541B"/>
    <w:rsid w:val="003359FA"/>
    <w:rsid w:val="00336094"/>
    <w:rsid w:val="00336323"/>
    <w:rsid w:val="0033634D"/>
    <w:rsid w:val="0033639D"/>
    <w:rsid w:val="00336780"/>
    <w:rsid w:val="003367CF"/>
    <w:rsid w:val="00337154"/>
    <w:rsid w:val="003374D1"/>
    <w:rsid w:val="00337E43"/>
    <w:rsid w:val="00337EB7"/>
    <w:rsid w:val="00340AD3"/>
    <w:rsid w:val="0034124A"/>
    <w:rsid w:val="00341849"/>
    <w:rsid w:val="003421D4"/>
    <w:rsid w:val="0034285D"/>
    <w:rsid w:val="0034292D"/>
    <w:rsid w:val="003429C8"/>
    <w:rsid w:val="00342E7F"/>
    <w:rsid w:val="00343410"/>
    <w:rsid w:val="00343CBB"/>
    <w:rsid w:val="00344886"/>
    <w:rsid w:val="0034519E"/>
    <w:rsid w:val="00345A41"/>
    <w:rsid w:val="003460E7"/>
    <w:rsid w:val="003467D8"/>
    <w:rsid w:val="003468DB"/>
    <w:rsid w:val="00347149"/>
    <w:rsid w:val="00347746"/>
    <w:rsid w:val="00347A39"/>
    <w:rsid w:val="00347EBC"/>
    <w:rsid w:val="00350034"/>
    <w:rsid w:val="003502E1"/>
    <w:rsid w:val="00350622"/>
    <w:rsid w:val="00350E4F"/>
    <w:rsid w:val="00351551"/>
    <w:rsid w:val="003517D6"/>
    <w:rsid w:val="003519EB"/>
    <w:rsid w:val="00351BA9"/>
    <w:rsid w:val="003521DB"/>
    <w:rsid w:val="00352667"/>
    <w:rsid w:val="003539F9"/>
    <w:rsid w:val="00353FEC"/>
    <w:rsid w:val="003540B2"/>
    <w:rsid w:val="0035464C"/>
    <w:rsid w:val="00354D90"/>
    <w:rsid w:val="003558B2"/>
    <w:rsid w:val="00355F76"/>
    <w:rsid w:val="00356677"/>
    <w:rsid w:val="003569C3"/>
    <w:rsid w:val="00356AF2"/>
    <w:rsid w:val="00356D00"/>
    <w:rsid w:val="00356DAA"/>
    <w:rsid w:val="00357581"/>
    <w:rsid w:val="003576FE"/>
    <w:rsid w:val="00360677"/>
    <w:rsid w:val="003608EA"/>
    <w:rsid w:val="00361615"/>
    <w:rsid w:val="0036234C"/>
    <w:rsid w:val="00362684"/>
    <w:rsid w:val="00362BA9"/>
    <w:rsid w:val="00362BEC"/>
    <w:rsid w:val="00362C66"/>
    <w:rsid w:val="00362FAE"/>
    <w:rsid w:val="00363209"/>
    <w:rsid w:val="003633C0"/>
    <w:rsid w:val="0036347B"/>
    <w:rsid w:val="00363634"/>
    <w:rsid w:val="00364615"/>
    <w:rsid w:val="0036462A"/>
    <w:rsid w:val="003649EE"/>
    <w:rsid w:val="00364C97"/>
    <w:rsid w:val="0036534D"/>
    <w:rsid w:val="003662DE"/>
    <w:rsid w:val="003665C6"/>
    <w:rsid w:val="003669AE"/>
    <w:rsid w:val="00366B3E"/>
    <w:rsid w:val="003706C0"/>
    <w:rsid w:val="00370B8B"/>
    <w:rsid w:val="00370FC4"/>
    <w:rsid w:val="00371147"/>
    <w:rsid w:val="00371181"/>
    <w:rsid w:val="00371AFD"/>
    <w:rsid w:val="00372107"/>
    <w:rsid w:val="0037292C"/>
    <w:rsid w:val="00372BCD"/>
    <w:rsid w:val="00372EB9"/>
    <w:rsid w:val="003730A1"/>
    <w:rsid w:val="00373334"/>
    <w:rsid w:val="003734FE"/>
    <w:rsid w:val="003748A7"/>
    <w:rsid w:val="003752C7"/>
    <w:rsid w:val="003753C6"/>
    <w:rsid w:val="00375720"/>
    <w:rsid w:val="00375BD6"/>
    <w:rsid w:val="00376194"/>
    <w:rsid w:val="00376870"/>
    <w:rsid w:val="00376996"/>
    <w:rsid w:val="00376A39"/>
    <w:rsid w:val="00376CAF"/>
    <w:rsid w:val="00376FD0"/>
    <w:rsid w:val="003770F8"/>
    <w:rsid w:val="0037742B"/>
    <w:rsid w:val="003800DC"/>
    <w:rsid w:val="0038026A"/>
    <w:rsid w:val="00380465"/>
    <w:rsid w:val="003806B3"/>
    <w:rsid w:val="003807F3"/>
    <w:rsid w:val="0038086C"/>
    <w:rsid w:val="00381082"/>
    <w:rsid w:val="00381112"/>
    <w:rsid w:val="003812EC"/>
    <w:rsid w:val="00381AA3"/>
    <w:rsid w:val="00382553"/>
    <w:rsid w:val="003828A2"/>
    <w:rsid w:val="003829DB"/>
    <w:rsid w:val="00382A83"/>
    <w:rsid w:val="00383460"/>
    <w:rsid w:val="00383482"/>
    <w:rsid w:val="00383528"/>
    <w:rsid w:val="0038479E"/>
    <w:rsid w:val="00384DBC"/>
    <w:rsid w:val="00384E43"/>
    <w:rsid w:val="00384F34"/>
    <w:rsid w:val="003851CD"/>
    <w:rsid w:val="0038521F"/>
    <w:rsid w:val="0038529D"/>
    <w:rsid w:val="0038530D"/>
    <w:rsid w:val="00385509"/>
    <w:rsid w:val="00385B60"/>
    <w:rsid w:val="003862D5"/>
    <w:rsid w:val="00386ADD"/>
    <w:rsid w:val="00387469"/>
    <w:rsid w:val="0039078E"/>
    <w:rsid w:val="003910E8"/>
    <w:rsid w:val="00391966"/>
    <w:rsid w:val="00392D25"/>
    <w:rsid w:val="003935BF"/>
    <w:rsid w:val="003938E8"/>
    <w:rsid w:val="0039491A"/>
    <w:rsid w:val="00395EAA"/>
    <w:rsid w:val="0039681D"/>
    <w:rsid w:val="003969BC"/>
    <w:rsid w:val="00396AAB"/>
    <w:rsid w:val="00396EBD"/>
    <w:rsid w:val="003975AF"/>
    <w:rsid w:val="003979AF"/>
    <w:rsid w:val="00397BE8"/>
    <w:rsid w:val="003A01FD"/>
    <w:rsid w:val="003A0255"/>
    <w:rsid w:val="003A0309"/>
    <w:rsid w:val="003A0686"/>
    <w:rsid w:val="003A0B42"/>
    <w:rsid w:val="003A0C20"/>
    <w:rsid w:val="003A1317"/>
    <w:rsid w:val="003A18C2"/>
    <w:rsid w:val="003A25D8"/>
    <w:rsid w:val="003A2688"/>
    <w:rsid w:val="003A2AC6"/>
    <w:rsid w:val="003A2AE6"/>
    <w:rsid w:val="003A2BAE"/>
    <w:rsid w:val="003A33B5"/>
    <w:rsid w:val="003A360B"/>
    <w:rsid w:val="003A3914"/>
    <w:rsid w:val="003A3F6B"/>
    <w:rsid w:val="003A4524"/>
    <w:rsid w:val="003A4565"/>
    <w:rsid w:val="003A47F2"/>
    <w:rsid w:val="003A5066"/>
    <w:rsid w:val="003A561F"/>
    <w:rsid w:val="003A570A"/>
    <w:rsid w:val="003A65D2"/>
    <w:rsid w:val="003A662E"/>
    <w:rsid w:val="003A668C"/>
    <w:rsid w:val="003A6EF0"/>
    <w:rsid w:val="003A731B"/>
    <w:rsid w:val="003A7775"/>
    <w:rsid w:val="003A7A28"/>
    <w:rsid w:val="003A7E36"/>
    <w:rsid w:val="003B02E6"/>
    <w:rsid w:val="003B039A"/>
    <w:rsid w:val="003B050B"/>
    <w:rsid w:val="003B0890"/>
    <w:rsid w:val="003B0911"/>
    <w:rsid w:val="003B0D8A"/>
    <w:rsid w:val="003B0DAE"/>
    <w:rsid w:val="003B1346"/>
    <w:rsid w:val="003B1394"/>
    <w:rsid w:val="003B19E0"/>
    <w:rsid w:val="003B1E05"/>
    <w:rsid w:val="003B1F15"/>
    <w:rsid w:val="003B21D1"/>
    <w:rsid w:val="003B2859"/>
    <w:rsid w:val="003B2D7D"/>
    <w:rsid w:val="003B2F54"/>
    <w:rsid w:val="003B3629"/>
    <w:rsid w:val="003B36A0"/>
    <w:rsid w:val="003B38CF"/>
    <w:rsid w:val="003B3AA9"/>
    <w:rsid w:val="003B3C83"/>
    <w:rsid w:val="003B3E87"/>
    <w:rsid w:val="003B4334"/>
    <w:rsid w:val="003B6002"/>
    <w:rsid w:val="003B6263"/>
    <w:rsid w:val="003B636F"/>
    <w:rsid w:val="003B666E"/>
    <w:rsid w:val="003B672F"/>
    <w:rsid w:val="003B6D7C"/>
    <w:rsid w:val="003B7BDF"/>
    <w:rsid w:val="003B7FE8"/>
    <w:rsid w:val="003C011C"/>
    <w:rsid w:val="003C097D"/>
    <w:rsid w:val="003C0A08"/>
    <w:rsid w:val="003C0E5B"/>
    <w:rsid w:val="003C10B1"/>
    <w:rsid w:val="003C1689"/>
    <w:rsid w:val="003C1770"/>
    <w:rsid w:val="003C2099"/>
    <w:rsid w:val="003C355A"/>
    <w:rsid w:val="003C381E"/>
    <w:rsid w:val="003C3B07"/>
    <w:rsid w:val="003C3DA1"/>
    <w:rsid w:val="003C443B"/>
    <w:rsid w:val="003C4745"/>
    <w:rsid w:val="003C4BBE"/>
    <w:rsid w:val="003C4E87"/>
    <w:rsid w:val="003C4E96"/>
    <w:rsid w:val="003C51D9"/>
    <w:rsid w:val="003C5265"/>
    <w:rsid w:val="003C55E4"/>
    <w:rsid w:val="003C55FC"/>
    <w:rsid w:val="003C575D"/>
    <w:rsid w:val="003C5818"/>
    <w:rsid w:val="003C59D9"/>
    <w:rsid w:val="003C5B9F"/>
    <w:rsid w:val="003C5E18"/>
    <w:rsid w:val="003C5EEC"/>
    <w:rsid w:val="003C6092"/>
    <w:rsid w:val="003C669D"/>
    <w:rsid w:val="003C706E"/>
    <w:rsid w:val="003C7345"/>
    <w:rsid w:val="003C7792"/>
    <w:rsid w:val="003C7E29"/>
    <w:rsid w:val="003C7EC9"/>
    <w:rsid w:val="003D0183"/>
    <w:rsid w:val="003D1B76"/>
    <w:rsid w:val="003D1D43"/>
    <w:rsid w:val="003D212E"/>
    <w:rsid w:val="003D21D7"/>
    <w:rsid w:val="003D345A"/>
    <w:rsid w:val="003D34D5"/>
    <w:rsid w:val="003D37D4"/>
    <w:rsid w:val="003D488A"/>
    <w:rsid w:val="003D4B33"/>
    <w:rsid w:val="003D4DF5"/>
    <w:rsid w:val="003D60E2"/>
    <w:rsid w:val="003D62E0"/>
    <w:rsid w:val="003D641B"/>
    <w:rsid w:val="003D772E"/>
    <w:rsid w:val="003D7AE0"/>
    <w:rsid w:val="003D7F88"/>
    <w:rsid w:val="003E09FB"/>
    <w:rsid w:val="003E0B26"/>
    <w:rsid w:val="003E0BEB"/>
    <w:rsid w:val="003E0C43"/>
    <w:rsid w:val="003E0FCC"/>
    <w:rsid w:val="003E1763"/>
    <w:rsid w:val="003E1E10"/>
    <w:rsid w:val="003E1E24"/>
    <w:rsid w:val="003E1EBF"/>
    <w:rsid w:val="003E209A"/>
    <w:rsid w:val="003E22BD"/>
    <w:rsid w:val="003E273C"/>
    <w:rsid w:val="003E2D94"/>
    <w:rsid w:val="003E2FDE"/>
    <w:rsid w:val="003E34D4"/>
    <w:rsid w:val="003E3E42"/>
    <w:rsid w:val="003E40A6"/>
    <w:rsid w:val="003E4B10"/>
    <w:rsid w:val="003E4D04"/>
    <w:rsid w:val="003E5311"/>
    <w:rsid w:val="003E5325"/>
    <w:rsid w:val="003E5543"/>
    <w:rsid w:val="003E5F91"/>
    <w:rsid w:val="003E6654"/>
    <w:rsid w:val="003E68F3"/>
    <w:rsid w:val="003E69E0"/>
    <w:rsid w:val="003E6B87"/>
    <w:rsid w:val="003E70C5"/>
    <w:rsid w:val="003E710A"/>
    <w:rsid w:val="003E7F9A"/>
    <w:rsid w:val="003F0B6C"/>
    <w:rsid w:val="003F1677"/>
    <w:rsid w:val="003F1FB3"/>
    <w:rsid w:val="003F27F4"/>
    <w:rsid w:val="003F29A1"/>
    <w:rsid w:val="003F2EA4"/>
    <w:rsid w:val="003F38F1"/>
    <w:rsid w:val="003F45B0"/>
    <w:rsid w:val="003F5AE1"/>
    <w:rsid w:val="003F5CFF"/>
    <w:rsid w:val="003F65F5"/>
    <w:rsid w:val="003F689A"/>
    <w:rsid w:val="003F7356"/>
    <w:rsid w:val="003F736B"/>
    <w:rsid w:val="003F7984"/>
    <w:rsid w:val="003F7E09"/>
    <w:rsid w:val="0040019D"/>
    <w:rsid w:val="004009CD"/>
    <w:rsid w:val="00400C77"/>
    <w:rsid w:val="00400E32"/>
    <w:rsid w:val="00400E3B"/>
    <w:rsid w:val="004013B4"/>
    <w:rsid w:val="0040251F"/>
    <w:rsid w:val="00402E0D"/>
    <w:rsid w:val="0040387A"/>
    <w:rsid w:val="0040463E"/>
    <w:rsid w:val="00404FB1"/>
    <w:rsid w:val="00405293"/>
    <w:rsid w:val="0040550C"/>
    <w:rsid w:val="00405808"/>
    <w:rsid w:val="00405995"/>
    <w:rsid w:val="00405F9C"/>
    <w:rsid w:val="004061DD"/>
    <w:rsid w:val="004069B6"/>
    <w:rsid w:val="00406C8F"/>
    <w:rsid w:val="0040727F"/>
    <w:rsid w:val="00407D38"/>
    <w:rsid w:val="00407E5D"/>
    <w:rsid w:val="0041013A"/>
    <w:rsid w:val="00410C7B"/>
    <w:rsid w:val="00410EEB"/>
    <w:rsid w:val="004118B2"/>
    <w:rsid w:val="00412162"/>
    <w:rsid w:val="00412305"/>
    <w:rsid w:val="00412CC2"/>
    <w:rsid w:val="004140D3"/>
    <w:rsid w:val="00414D25"/>
    <w:rsid w:val="004154E3"/>
    <w:rsid w:val="00415FE1"/>
    <w:rsid w:val="00416788"/>
    <w:rsid w:val="00416AE7"/>
    <w:rsid w:val="004170CD"/>
    <w:rsid w:val="00417803"/>
    <w:rsid w:val="00420874"/>
    <w:rsid w:val="00420A42"/>
    <w:rsid w:val="00420EBB"/>
    <w:rsid w:val="004210CA"/>
    <w:rsid w:val="004211F7"/>
    <w:rsid w:val="004215F1"/>
    <w:rsid w:val="0042283A"/>
    <w:rsid w:val="00423099"/>
    <w:rsid w:val="004241E6"/>
    <w:rsid w:val="004242CD"/>
    <w:rsid w:val="004244D8"/>
    <w:rsid w:val="004244EE"/>
    <w:rsid w:val="004248A2"/>
    <w:rsid w:val="004255B2"/>
    <w:rsid w:val="004257B0"/>
    <w:rsid w:val="00425BCE"/>
    <w:rsid w:val="00425C78"/>
    <w:rsid w:val="00425E8F"/>
    <w:rsid w:val="004262BF"/>
    <w:rsid w:val="00426A42"/>
    <w:rsid w:val="00426DD5"/>
    <w:rsid w:val="00427A6E"/>
    <w:rsid w:val="00427C7B"/>
    <w:rsid w:val="00427FC1"/>
    <w:rsid w:val="004304C7"/>
    <w:rsid w:val="004305E4"/>
    <w:rsid w:val="00431008"/>
    <w:rsid w:val="004312D2"/>
    <w:rsid w:val="00431914"/>
    <w:rsid w:val="00431980"/>
    <w:rsid w:val="00431D36"/>
    <w:rsid w:val="0043221A"/>
    <w:rsid w:val="0043282B"/>
    <w:rsid w:val="00432AD7"/>
    <w:rsid w:val="00432C4F"/>
    <w:rsid w:val="00432CD4"/>
    <w:rsid w:val="00433114"/>
    <w:rsid w:val="00433142"/>
    <w:rsid w:val="00433430"/>
    <w:rsid w:val="00433966"/>
    <w:rsid w:val="00433D3B"/>
    <w:rsid w:val="00433D54"/>
    <w:rsid w:val="004342B4"/>
    <w:rsid w:val="0043516B"/>
    <w:rsid w:val="0043545D"/>
    <w:rsid w:val="0043589D"/>
    <w:rsid w:val="00435B6B"/>
    <w:rsid w:val="00435C26"/>
    <w:rsid w:val="004365E7"/>
    <w:rsid w:val="0043661F"/>
    <w:rsid w:val="00436ABE"/>
    <w:rsid w:val="00437540"/>
    <w:rsid w:val="00437597"/>
    <w:rsid w:val="00437800"/>
    <w:rsid w:val="00440211"/>
    <w:rsid w:val="004403CE"/>
    <w:rsid w:val="0044096D"/>
    <w:rsid w:val="00441AA7"/>
    <w:rsid w:val="00441C2A"/>
    <w:rsid w:val="00442316"/>
    <w:rsid w:val="004427A8"/>
    <w:rsid w:val="00442829"/>
    <w:rsid w:val="0044288A"/>
    <w:rsid w:val="00442D64"/>
    <w:rsid w:val="00443143"/>
    <w:rsid w:val="004431B9"/>
    <w:rsid w:val="00443317"/>
    <w:rsid w:val="00443C18"/>
    <w:rsid w:val="00443DBB"/>
    <w:rsid w:val="004441FC"/>
    <w:rsid w:val="004448FF"/>
    <w:rsid w:val="0044492F"/>
    <w:rsid w:val="00444F15"/>
    <w:rsid w:val="00444FEC"/>
    <w:rsid w:val="004460A5"/>
    <w:rsid w:val="00446130"/>
    <w:rsid w:val="00446C20"/>
    <w:rsid w:val="00446F2C"/>
    <w:rsid w:val="0044746E"/>
    <w:rsid w:val="004475FF"/>
    <w:rsid w:val="0044796C"/>
    <w:rsid w:val="00447E38"/>
    <w:rsid w:val="0045000E"/>
    <w:rsid w:val="004503E1"/>
    <w:rsid w:val="0045080B"/>
    <w:rsid w:val="004510A8"/>
    <w:rsid w:val="00451410"/>
    <w:rsid w:val="00451477"/>
    <w:rsid w:val="00451497"/>
    <w:rsid w:val="004515DB"/>
    <w:rsid w:val="0045169E"/>
    <w:rsid w:val="00451BA2"/>
    <w:rsid w:val="00451E2F"/>
    <w:rsid w:val="00451E49"/>
    <w:rsid w:val="0045270F"/>
    <w:rsid w:val="00453722"/>
    <w:rsid w:val="00453827"/>
    <w:rsid w:val="00453B88"/>
    <w:rsid w:val="00453C71"/>
    <w:rsid w:val="00453D14"/>
    <w:rsid w:val="00453EA8"/>
    <w:rsid w:val="00453F4A"/>
    <w:rsid w:val="00453F57"/>
    <w:rsid w:val="00454053"/>
    <w:rsid w:val="004550AF"/>
    <w:rsid w:val="00455203"/>
    <w:rsid w:val="004563E0"/>
    <w:rsid w:val="004568B8"/>
    <w:rsid w:val="00456F67"/>
    <w:rsid w:val="00457088"/>
    <w:rsid w:val="004570D3"/>
    <w:rsid w:val="004575E8"/>
    <w:rsid w:val="00460079"/>
    <w:rsid w:val="0046041D"/>
    <w:rsid w:val="00460486"/>
    <w:rsid w:val="004607BE"/>
    <w:rsid w:val="0046158A"/>
    <w:rsid w:val="004617CF"/>
    <w:rsid w:val="00461A30"/>
    <w:rsid w:val="00461C45"/>
    <w:rsid w:val="00462058"/>
    <w:rsid w:val="0046239C"/>
    <w:rsid w:val="00462D21"/>
    <w:rsid w:val="00462DBA"/>
    <w:rsid w:val="0046302C"/>
    <w:rsid w:val="00463485"/>
    <w:rsid w:val="004640ED"/>
    <w:rsid w:val="004641FF"/>
    <w:rsid w:val="00464220"/>
    <w:rsid w:val="00464720"/>
    <w:rsid w:val="004648A7"/>
    <w:rsid w:val="00464D5D"/>
    <w:rsid w:val="00465AEB"/>
    <w:rsid w:val="00465BA8"/>
    <w:rsid w:val="00466825"/>
    <w:rsid w:val="00466B74"/>
    <w:rsid w:val="00466C0B"/>
    <w:rsid w:val="00466CA3"/>
    <w:rsid w:val="00466EB5"/>
    <w:rsid w:val="00467664"/>
    <w:rsid w:val="00467665"/>
    <w:rsid w:val="00467878"/>
    <w:rsid w:val="00467A4C"/>
    <w:rsid w:val="00467D62"/>
    <w:rsid w:val="0047010C"/>
    <w:rsid w:val="00470140"/>
    <w:rsid w:val="00471078"/>
    <w:rsid w:val="00471CE3"/>
    <w:rsid w:val="00471D5C"/>
    <w:rsid w:val="00472301"/>
    <w:rsid w:val="004725AE"/>
    <w:rsid w:val="00472829"/>
    <w:rsid w:val="0047282F"/>
    <w:rsid w:val="00472B46"/>
    <w:rsid w:val="00473387"/>
    <w:rsid w:val="004733D3"/>
    <w:rsid w:val="00473407"/>
    <w:rsid w:val="004737D2"/>
    <w:rsid w:val="004743DE"/>
    <w:rsid w:val="004747E0"/>
    <w:rsid w:val="00474C0E"/>
    <w:rsid w:val="00474F19"/>
    <w:rsid w:val="00475351"/>
    <w:rsid w:val="00475405"/>
    <w:rsid w:val="00475AD8"/>
    <w:rsid w:val="004760E0"/>
    <w:rsid w:val="004771B4"/>
    <w:rsid w:val="004772D2"/>
    <w:rsid w:val="00477422"/>
    <w:rsid w:val="00477573"/>
    <w:rsid w:val="00477BB7"/>
    <w:rsid w:val="0048011D"/>
    <w:rsid w:val="004803A9"/>
    <w:rsid w:val="004805D4"/>
    <w:rsid w:val="0048085F"/>
    <w:rsid w:val="00480A06"/>
    <w:rsid w:val="00480BC1"/>
    <w:rsid w:val="00480DA2"/>
    <w:rsid w:val="004814A7"/>
    <w:rsid w:val="00481826"/>
    <w:rsid w:val="00481961"/>
    <w:rsid w:val="004822B6"/>
    <w:rsid w:val="004824DC"/>
    <w:rsid w:val="00482AF7"/>
    <w:rsid w:val="00482DE7"/>
    <w:rsid w:val="0048388B"/>
    <w:rsid w:val="00483A6F"/>
    <w:rsid w:val="00483B5E"/>
    <w:rsid w:val="00484AE2"/>
    <w:rsid w:val="00484C95"/>
    <w:rsid w:val="004852FB"/>
    <w:rsid w:val="0048585D"/>
    <w:rsid w:val="004858A3"/>
    <w:rsid w:val="0048592C"/>
    <w:rsid w:val="00485CD7"/>
    <w:rsid w:val="00485E96"/>
    <w:rsid w:val="004863B5"/>
    <w:rsid w:val="00486BF4"/>
    <w:rsid w:val="00487002"/>
    <w:rsid w:val="004873EC"/>
    <w:rsid w:val="00487505"/>
    <w:rsid w:val="00487695"/>
    <w:rsid w:val="00490056"/>
    <w:rsid w:val="0049038F"/>
    <w:rsid w:val="0049092B"/>
    <w:rsid w:val="00490C51"/>
    <w:rsid w:val="00490FA1"/>
    <w:rsid w:val="00490FBD"/>
    <w:rsid w:val="00491641"/>
    <w:rsid w:val="004917A9"/>
    <w:rsid w:val="0049199A"/>
    <w:rsid w:val="004921FD"/>
    <w:rsid w:val="00493204"/>
    <w:rsid w:val="00493271"/>
    <w:rsid w:val="00494D37"/>
    <w:rsid w:val="004951B3"/>
    <w:rsid w:val="00495336"/>
    <w:rsid w:val="0049576F"/>
    <w:rsid w:val="004960AC"/>
    <w:rsid w:val="00496748"/>
    <w:rsid w:val="00496D16"/>
    <w:rsid w:val="00496E41"/>
    <w:rsid w:val="00496EF1"/>
    <w:rsid w:val="00496F77"/>
    <w:rsid w:val="00497363"/>
    <w:rsid w:val="00497DFB"/>
    <w:rsid w:val="004A0164"/>
    <w:rsid w:val="004A0227"/>
    <w:rsid w:val="004A1018"/>
    <w:rsid w:val="004A1072"/>
    <w:rsid w:val="004A33DC"/>
    <w:rsid w:val="004A3685"/>
    <w:rsid w:val="004A3CE8"/>
    <w:rsid w:val="004A410F"/>
    <w:rsid w:val="004A4998"/>
    <w:rsid w:val="004A4D69"/>
    <w:rsid w:val="004A5E5F"/>
    <w:rsid w:val="004A5F58"/>
    <w:rsid w:val="004A631C"/>
    <w:rsid w:val="004A6AEC"/>
    <w:rsid w:val="004A74DD"/>
    <w:rsid w:val="004A75DA"/>
    <w:rsid w:val="004A7715"/>
    <w:rsid w:val="004B003E"/>
    <w:rsid w:val="004B00A0"/>
    <w:rsid w:val="004B042A"/>
    <w:rsid w:val="004B0B0D"/>
    <w:rsid w:val="004B0D1A"/>
    <w:rsid w:val="004B0FB3"/>
    <w:rsid w:val="004B1721"/>
    <w:rsid w:val="004B1ABE"/>
    <w:rsid w:val="004B1FF8"/>
    <w:rsid w:val="004B2423"/>
    <w:rsid w:val="004B2444"/>
    <w:rsid w:val="004B2529"/>
    <w:rsid w:val="004B283D"/>
    <w:rsid w:val="004B2928"/>
    <w:rsid w:val="004B38F4"/>
    <w:rsid w:val="004B393A"/>
    <w:rsid w:val="004B3950"/>
    <w:rsid w:val="004B3A50"/>
    <w:rsid w:val="004B4964"/>
    <w:rsid w:val="004B530B"/>
    <w:rsid w:val="004B54A6"/>
    <w:rsid w:val="004B596E"/>
    <w:rsid w:val="004B5F3C"/>
    <w:rsid w:val="004B6306"/>
    <w:rsid w:val="004B678B"/>
    <w:rsid w:val="004B7003"/>
    <w:rsid w:val="004B723D"/>
    <w:rsid w:val="004B7D6D"/>
    <w:rsid w:val="004B7F69"/>
    <w:rsid w:val="004C0029"/>
    <w:rsid w:val="004C021A"/>
    <w:rsid w:val="004C049F"/>
    <w:rsid w:val="004C1493"/>
    <w:rsid w:val="004C196F"/>
    <w:rsid w:val="004C1C91"/>
    <w:rsid w:val="004C26D6"/>
    <w:rsid w:val="004C32E8"/>
    <w:rsid w:val="004C337A"/>
    <w:rsid w:val="004C3A31"/>
    <w:rsid w:val="004C4A52"/>
    <w:rsid w:val="004C4FC9"/>
    <w:rsid w:val="004C5734"/>
    <w:rsid w:val="004C5B37"/>
    <w:rsid w:val="004C61A7"/>
    <w:rsid w:val="004C67DA"/>
    <w:rsid w:val="004C7898"/>
    <w:rsid w:val="004C7965"/>
    <w:rsid w:val="004C7DC2"/>
    <w:rsid w:val="004D180B"/>
    <w:rsid w:val="004D20D6"/>
    <w:rsid w:val="004D20D7"/>
    <w:rsid w:val="004D287B"/>
    <w:rsid w:val="004D2C8C"/>
    <w:rsid w:val="004D2ED9"/>
    <w:rsid w:val="004D30FE"/>
    <w:rsid w:val="004D3677"/>
    <w:rsid w:val="004D3E24"/>
    <w:rsid w:val="004D475B"/>
    <w:rsid w:val="004D4AD9"/>
    <w:rsid w:val="004D4B7D"/>
    <w:rsid w:val="004D632A"/>
    <w:rsid w:val="004D6E63"/>
    <w:rsid w:val="004D76E8"/>
    <w:rsid w:val="004D7DD3"/>
    <w:rsid w:val="004D7EC7"/>
    <w:rsid w:val="004E00BF"/>
    <w:rsid w:val="004E0798"/>
    <w:rsid w:val="004E0B09"/>
    <w:rsid w:val="004E1580"/>
    <w:rsid w:val="004E25EB"/>
    <w:rsid w:val="004E2609"/>
    <w:rsid w:val="004E27E8"/>
    <w:rsid w:val="004E2829"/>
    <w:rsid w:val="004E2E00"/>
    <w:rsid w:val="004E3428"/>
    <w:rsid w:val="004E37CE"/>
    <w:rsid w:val="004E3B85"/>
    <w:rsid w:val="004E4689"/>
    <w:rsid w:val="004E4E12"/>
    <w:rsid w:val="004E4F54"/>
    <w:rsid w:val="004E56A9"/>
    <w:rsid w:val="004E58B4"/>
    <w:rsid w:val="004E64DC"/>
    <w:rsid w:val="004E663D"/>
    <w:rsid w:val="004E6C3D"/>
    <w:rsid w:val="004E702E"/>
    <w:rsid w:val="004E79A2"/>
    <w:rsid w:val="004E7C1A"/>
    <w:rsid w:val="004F0112"/>
    <w:rsid w:val="004F01EB"/>
    <w:rsid w:val="004F04B2"/>
    <w:rsid w:val="004F0BD1"/>
    <w:rsid w:val="004F0DCE"/>
    <w:rsid w:val="004F0F96"/>
    <w:rsid w:val="004F2DC6"/>
    <w:rsid w:val="004F3341"/>
    <w:rsid w:val="004F40B9"/>
    <w:rsid w:val="004F41CE"/>
    <w:rsid w:val="004F4669"/>
    <w:rsid w:val="004F5213"/>
    <w:rsid w:val="004F55AF"/>
    <w:rsid w:val="004F598A"/>
    <w:rsid w:val="004F64B2"/>
    <w:rsid w:val="004F654A"/>
    <w:rsid w:val="004F6796"/>
    <w:rsid w:val="004F67F3"/>
    <w:rsid w:val="004F6F90"/>
    <w:rsid w:val="004F71FB"/>
    <w:rsid w:val="004F7432"/>
    <w:rsid w:val="004F7479"/>
    <w:rsid w:val="004F77CB"/>
    <w:rsid w:val="004F7B31"/>
    <w:rsid w:val="004F7D03"/>
    <w:rsid w:val="0050000B"/>
    <w:rsid w:val="005002CF"/>
    <w:rsid w:val="0050041E"/>
    <w:rsid w:val="00500DDA"/>
    <w:rsid w:val="00502704"/>
    <w:rsid w:val="00502BCA"/>
    <w:rsid w:val="00505026"/>
    <w:rsid w:val="005050CC"/>
    <w:rsid w:val="00505AB5"/>
    <w:rsid w:val="00506342"/>
    <w:rsid w:val="0050675C"/>
    <w:rsid w:val="00506C31"/>
    <w:rsid w:val="00507BA1"/>
    <w:rsid w:val="00510300"/>
    <w:rsid w:val="00510890"/>
    <w:rsid w:val="00510ACB"/>
    <w:rsid w:val="00510C42"/>
    <w:rsid w:val="005112ED"/>
    <w:rsid w:val="00511499"/>
    <w:rsid w:val="00511881"/>
    <w:rsid w:val="00512833"/>
    <w:rsid w:val="00512878"/>
    <w:rsid w:val="00512F79"/>
    <w:rsid w:val="00512F80"/>
    <w:rsid w:val="005136AE"/>
    <w:rsid w:val="00513FD1"/>
    <w:rsid w:val="0051400B"/>
    <w:rsid w:val="005140F3"/>
    <w:rsid w:val="005142F4"/>
    <w:rsid w:val="005147F0"/>
    <w:rsid w:val="00514BF6"/>
    <w:rsid w:val="00514CBF"/>
    <w:rsid w:val="00514EA2"/>
    <w:rsid w:val="00515016"/>
    <w:rsid w:val="00515266"/>
    <w:rsid w:val="005154E9"/>
    <w:rsid w:val="005155F1"/>
    <w:rsid w:val="005156AD"/>
    <w:rsid w:val="00515900"/>
    <w:rsid w:val="00515D7C"/>
    <w:rsid w:val="00516616"/>
    <w:rsid w:val="00516E8C"/>
    <w:rsid w:val="0052004E"/>
    <w:rsid w:val="00521B95"/>
    <w:rsid w:val="00521DAE"/>
    <w:rsid w:val="00522113"/>
    <w:rsid w:val="00522E29"/>
    <w:rsid w:val="005232F8"/>
    <w:rsid w:val="00523B1D"/>
    <w:rsid w:val="0052537F"/>
    <w:rsid w:val="00525773"/>
    <w:rsid w:val="005260A1"/>
    <w:rsid w:val="0052613F"/>
    <w:rsid w:val="00526817"/>
    <w:rsid w:val="00526B20"/>
    <w:rsid w:val="00527764"/>
    <w:rsid w:val="00527BD5"/>
    <w:rsid w:val="005300A1"/>
    <w:rsid w:val="005303A8"/>
    <w:rsid w:val="005310B3"/>
    <w:rsid w:val="005310FF"/>
    <w:rsid w:val="005312DF"/>
    <w:rsid w:val="00531FE3"/>
    <w:rsid w:val="005320C0"/>
    <w:rsid w:val="005324EE"/>
    <w:rsid w:val="0053294C"/>
    <w:rsid w:val="00534620"/>
    <w:rsid w:val="0053490E"/>
    <w:rsid w:val="005354BE"/>
    <w:rsid w:val="00536334"/>
    <w:rsid w:val="00536AE2"/>
    <w:rsid w:val="005371F6"/>
    <w:rsid w:val="00537FAA"/>
    <w:rsid w:val="00540052"/>
    <w:rsid w:val="005401E1"/>
    <w:rsid w:val="00540F9F"/>
    <w:rsid w:val="0054118E"/>
    <w:rsid w:val="005416CA"/>
    <w:rsid w:val="00541AFE"/>
    <w:rsid w:val="00541C50"/>
    <w:rsid w:val="00541DC9"/>
    <w:rsid w:val="005421DF"/>
    <w:rsid w:val="0054235D"/>
    <w:rsid w:val="005424B3"/>
    <w:rsid w:val="005427B4"/>
    <w:rsid w:val="00542E45"/>
    <w:rsid w:val="00543B17"/>
    <w:rsid w:val="00543C42"/>
    <w:rsid w:val="00544747"/>
    <w:rsid w:val="0054562F"/>
    <w:rsid w:val="005457C1"/>
    <w:rsid w:val="00545DD9"/>
    <w:rsid w:val="00545E7A"/>
    <w:rsid w:val="005464C6"/>
    <w:rsid w:val="005465E0"/>
    <w:rsid w:val="00546861"/>
    <w:rsid w:val="00546CD5"/>
    <w:rsid w:val="00547060"/>
    <w:rsid w:val="00550A13"/>
    <w:rsid w:val="00550CB9"/>
    <w:rsid w:val="00550E54"/>
    <w:rsid w:val="00550F73"/>
    <w:rsid w:val="00550FD9"/>
    <w:rsid w:val="00551562"/>
    <w:rsid w:val="005517B2"/>
    <w:rsid w:val="0055188F"/>
    <w:rsid w:val="00552121"/>
    <w:rsid w:val="0055220B"/>
    <w:rsid w:val="00552D30"/>
    <w:rsid w:val="0055330E"/>
    <w:rsid w:val="0055388A"/>
    <w:rsid w:val="00553A5E"/>
    <w:rsid w:val="00553AFC"/>
    <w:rsid w:val="00553B3A"/>
    <w:rsid w:val="00554519"/>
    <w:rsid w:val="0055469E"/>
    <w:rsid w:val="00554CCC"/>
    <w:rsid w:val="00555BFD"/>
    <w:rsid w:val="00555FA9"/>
    <w:rsid w:val="00555FEC"/>
    <w:rsid w:val="00556B4B"/>
    <w:rsid w:val="00556D3A"/>
    <w:rsid w:val="00556DB3"/>
    <w:rsid w:val="0055788B"/>
    <w:rsid w:val="0056073A"/>
    <w:rsid w:val="00560E0D"/>
    <w:rsid w:val="005618BB"/>
    <w:rsid w:val="00561A5B"/>
    <w:rsid w:val="005628E3"/>
    <w:rsid w:val="00562B93"/>
    <w:rsid w:val="005631B2"/>
    <w:rsid w:val="005634A0"/>
    <w:rsid w:val="005638D4"/>
    <w:rsid w:val="005643C2"/>
    <w:rsid w:val="005643CC"/>
    <w:rsid w:val="005643D7"/>
    <w:rsid w:val="00564BAC"/>
    <w:rsid w:val="00564BE2"/>
    <w:rsid w:val="00564D88"/>
    <w:rsid w:val="00565115"/>
    <w:rsid w:val="005660D7"/>
    <w:rsid w:val="005666C9"/>
    <w:rsid w:val="005666FE"/>
    <w:rsid w:val="00566FFB"/>
    <w:rsid w:val="005673A1"/>
    <w:rsid w:val="00567565"/>
    <w:rsid w:val="005675F8"/>
    <w:rsid w:val="00567ACE"/>
    <w:rsid w:val="005706BC"/>
    <w:rsid w:val="00570E4D"/>
    <w:rsid w:val="00571239"/>
    <w:rsid w:val="005714C6"/>
    <w:rsid w:val="005718CD"/>
    <w:rsid w:val="0057198F"/>
    <w:rsid w:val="00571CBC"/>
    <w:rsid w:val="00571E9D"/>
    <w:rsid w:val="005725A8"/>
    <w:rsid w:val="00573211"/>
    <w:rsid w:val="005734D2"/>
    <w:rsid w:val="00573E62"/>
    <w:rsid w:val="00574B90"/>
    <w:rsid w:val="0057516E"/>
    <w:rsid w:val="0057533A"/>
    <w:rsid w:val="00575A77"/>
    <w:rsid w:val="00575AF1"/>
    <w:rsid w:val="00575D1E"/>
    <w:rsid w:val="00575DC5"/>
    <w:rsid w:val="005762F3"/>
    <w:rsid w:val="005764CC"/>
    <w:rsid w:val="00576E64"/>
    <w:rsid w:val="00576EC7"/>
    <w:rsid w:val="00577478"/>
    <w:rsid w:val="005808E3"/>
    <w:rsid w:val="00580D18"/>
    <w:rsid w:val="005810B0"/>
    <w:rsid w:val="00581198"/>
    <w:rsid w:val="005813D3"/>
    <w:rsid w:val="00581521"/>
    <w:rsid w:val="0058190F"/>
    <w:rsid w:val="00581C5D"/>
    <w:rsid w:val="00581C63"/>
    <w:rsid w:val="005824B6"/>
    <w:rsid w:val="0058264F"/>
    <w:rsid w:val="00582690"/>
    <w:rsid w:val="0058291F"/>
    <w:rsid w:val="00582BF3"/>
    <w:rsid w:val="00582FF5"/>
    <w:rsid w:val="00583365"/>
    <w:rsid w:val="005833CD"/>
    <w:rsid w:val="005841A1"/>
    <w:rsid w:val="00584251"/>
    <w:rsid w:val="00584442"/>
    <w:rsid w:val="005845FF"/>
    <w:rsid w:val="00584772"/>
    <w:rsid w:val="005848A8"/>
    <w:rsid w:val="005855BB"/>
    <w:rsid w:val="00585B19"/>
    <w:rsid w:val="00585CB7"/>
    <w:rsid w:val="005864BA"/>
    <w:rsid w:val="005865C9"/>
    <w:rsid w:val="00586766"/>
    <w:rsid w:val="0058784E"/>
    <w:rsid w:val="005901B4"/>
    <w:rsid w:val="0059041C"/>
    <w:rsid w:val="00590AD5"/>
    <w:rsid w:val="00590E14"/>
    <w:rsid w:val="00591CD6"/>
    <w:rsid w:val="00591F70"/>
    <w:rsid w:val="0059244A"/>
    <w:rsid w:val="0059247F"/>
    <w:rsid w:val="00592B50"/>
    <w:rsid w:val="00593036"/>
    <w:rsid w:val="00593248"/>
    <w:rsid w:val="00593974"/>
    <w:rsid w:val="00593BE0"/>
    <w:rsid w:val="00595034"/>
    <w:rsid w:val="005953FF"/>
    <w:rsid w:val="00595B19"/>
    <w:rsid w:val="00595F6B"/>
    <w:rsid w:val="00596065"/>
    <w:rsid w:val="005960B0"/>
    <w:rsid w:val="0059672E"/>
    <w:rsid w:val="0059691B"/>
    <w:rsid w:val="00596DB9"/>
    <w:rsid w:val="005977E5"/>
    <w:rsid w:val="00597E52"/>
    <w:rsid w:val="00597FFA"/>
    <w:rsid w:val="005A0849"/>
    <w:rsid w:val="005A0BDC"/>
    <w:rsid w:val="005A0E09"/>
    <w:rsid w:val="005A0EF4"/>
    <w:rsid w:val="005A1ABB"/>
    <w:rsid w:val="005A2728"/>
    <w:rsid w:val="005A29A8"/>
    <w:rsid w:val="005A355C"/>
    <w:rsid w:val="005A3B52"/>
    <w:rsid w:val="005A4D31"/>
    <w:rsid w:val="005A5028"/>
    <w:rsid w:val="005A5108"/>
    <w:rsid w:val="005A5135"/>
    <w:rsid w:val="005A59CB"/>
    <w:rsid w:val="005A69D7"/>
    <w:rsid w:val="005A777E"/>
    <w:rsid w:val="005A7B5C"/>
    <w:rsid w:val="005A7E79"/>
    <w:rsid w:val="005B05A0"/>
    <w:rsid w:val="005B05D8"/>
    <w:rsid w:val="005B1090"/>
    <w:rsid w:val="005B14A6"/>
    <w:rsid w:val="005B1CEF"/>
    <w:rsid w:val="005B2AAB"/>
    <w:rsid w:val="005B3188"/>
    <w:rsid w:val="005B4378"/>
    <w:rsid w:val="005B4955"/>
    <w:rsid w:val="005B4ADD"/>
    <w:rsid w:val="005B4D60"/>
    <w:rsid w:val="005B58AF"/>
    <w:rsid w:val="005B5B16"/>
    <w:rsid w:val="005B6C06"/>
    <w:rsid w:val="005B78E4"/>
    <w:rsid w:val="005B7902"/>
    <w:rsid w:val="005C06D1"/>
    <w:rsid w:val="005C1098"/>
    <w:rsid w:val="005C1568"/>
    <w:rsid w:val="005C169C"/>
    <w:rsid w:val="005C17F4"/>
    <w:rsid w:val="005C21C9"/>
    <w:rsid w:val="005C270C"/>
    <w:rsid w:val="005C287A"/>
    <w:rsid w:val="005C2A49"/>
    <w:rsid w:val="005C33C9"/>
    <w:rsid w:val="005C3873"/>
    <w:rsid w:val="005C3DA2"/>
    <w:rsid w:val="005C41A4"/>
    <w:rsid w:val="005C4FB1"/>
    <w:rsid w:val="005C57B8"/>
    <w:rsid w:val="005C5937"/>
    <w:rsid w:val="005C5AC2"/>
    <w:rsid w:val="005C5B16"/>
    <w:rsid w:val="005C65AB"/>
    <w:rsid w:val="005C6841"/>
    <w:rsid w:val="005C6931"/>
    <w:rsid w:val="005C6A7A"/>
    <w:rsid w:val="005C7013"/>
    <w:rsid w:val="005C7081"/>
    <w:rsid w:val="005C70BF"/>
    <w:rsid w:val="005D02C2"/>
    <w:rsid w:val="005D03A1"/>
    <w:rsid w:val="005D04D0"/>
    <w:rsid w:val="005D0E7A"/>
    <w:rsid w:val="005D1030"/>
    <w:rsid w:val="005D12B7"/>
    <w:rsid w:val="005D1CE0"/>
    <w:rsid w:val="005D22E2"/>
    <w:rsid w:val="005D238D"/>
    <w:rsid w:val="005D2C7B"/>
    <w:rsid w:val="005D3BED"/>
    <w:rsid w:val="005D41E3"/>
    <w:rsid w:val="005D4504"/>
    <w:rsid w:val="005D4F02"/>
    <w:rsid w:val="005D4F1C"/>
    <w:rsid w:val="005D4F96"/>
    <w:rsid w:val="005D58A3"/>
    <w:rsid w:val="005D5A99"/>
    <w:rsid w:val="005D631C"/>
    <w:rsid w:val="005D65DE"/>
    <w:rsid w:val="005D6995"/>
    <w:rsid w:val="005D6FDF"/>
    <w:rsid w:val="005D742E"/>
    <w:rsid w:val="005D7B5F"/>
    <w:rsid w:val="005D7DCB"/>
    <w:rsid w:val="005E00CA"/>
    <w:rsid w:val="005E0350"/>
    <w:rsid w:val="005E08B0"/>
    <w:rsid w:val="005E100E"/>
    <w:rsid w:val="005E126D"/>
    <w:rsid w:val="005E1545"/>
    <w:rsid w:val="005E1C6D"/>
    <w:rsid w:val="005E1D7A"/>
    <w:rsid w:val="005E2068"/>
    <w:rsid w:val="005E2532"/>
    <w:rsid w:val="005E274B"/>
    <w:rsid w:val="005E27E1"/>
    <w:rsid w:val="005E2A31"/>
    <w:rsid w:val="005E2C45"/>
    <w:rsid w:val="005E2D00"/>
    <w:rsid w:val="005E2D52"/>
    <w:rsid w:val="005E376B"/>
    <w:rsid w:val="005E3813"/>
    <w:rsid w:val="005E3AD9"/>
    <w:rsid w:val="005E3C42"/>
    <w:rsid w:val="005E3ED8"/>
    <w:rsid w:val="005E4064"/>
    <w:rsid w:val="005E44AB"/>
    <w:rsid w:val="005E452B"/>
    <w:rsid w:val="005E4B96"/>
    <w:rsid w:val="005E56C3"/>
    <w:rsid w:val="005E69A7"/>
    <w:rsid w:val="005E6F31"/>
    <w:rsid w:val="005E7022"/>
    <w:rsid w:val="005E79A2"/>
    <w:rsid w:val="005F028A"/>
    <w:rsid w:val="005F0EF3"/>
    <w:rsid w:val="005F1105"/>
    <w:rsid w:val="005F1504"/>
    <w:rsid w:val="005F15DD"/>
    <w:rsid w:val="005F27B8"/>
    <w:rsid w:val="005F2DCB"/>
    <w:rsid w:val="005F3105"/>
    <w:rsid w:val="005F31D5"/>
    <w:rsid w:val="005F370E"/>
    <w:rsid w:val="005F3BE2"/>
    <w:rsid w:val="005F3E75"/>
    <w:rsid w:val="005F3F13"/>
    <w:rsid w:val="005F44CD"/>
    <w:rsid w:val="005F4C5D"/>
    <w:rsid w:val="005F55F0"/>
    <w:rsid w:val="005F675C"/>
    <w:rsid w:val="005F68DB"/>
    <w:rsid w:val="005F6F9A"/>
    <w:rsid w:val="005F720F"/>
    <w:rsid w:val="00600A9A"/>
    <w:rsid w:val="00600C46"/>
    <w:rsid w:val="00601541"/>
    <w:rsid w:val="0060178E"/>
    <w:rsid w:val="006019A2"/>
    <w:rsid w:val="00601A1F"/>
    <w:rsid w:val="0060267C"/>
    <w:rsid w:val="00602B70"/>
    <w:rsid w:val="00603405"/>
    <w:rsid w:val="0060404D"/>
    <w:rsid w:val="0060462F"/>
    <w:rsid w:val="0060463D"/>
    <w:rsid w:val="0060489C"/>
    <w:rsid w:val="0060490E"/>
    <w:rsid w:val="00605921"/>
    <w:rsid w:val="00605C7C"/>
    <w:rsid w:val="00606111"/>
    <w:rsid w:val="0060618E"/>
    <w:rsid w:val="00606974"/>
    <w:rsid w:val="006073BA"/>
    <w:rsid w:val="006078C9"/>
    <w:rsid w:val="00607FFB"/>
    <w:rsid w:val="0061077E"/>
    <w:rsid w:val="00611474"/>
    <w:rsid w:val="006124CE"/>
    <w:rsid w:val="00612960"/>
    <w:rsid w:val="00612B8C"/>
    <w:rsid w:val="00613416"/>
    <w:rsid w:val="00613671"/>
    <w:rsid w:val="00613775"/>
    <w:rsid w:val="006137B1"/>
    <w:rsid w:val="006139C5"/>
    <w:rsid w:val="00613CDC"/>
    <w:rsid w:val="00614005"/>
    <w:rsid w:val="00614053"/>
    <w:rsid w:val="006143A3"/>
    <w:rsid w:val="0061486B"/>
    <w:rsid w:val="00614AD5"/>
    <w:rsid w:val="00614D05"/>
    <w:rsid w:val="00615123"/>
    <w:rsid w:val="006155A0"/>
    <w:rsid w:val="00615CB9"/>
    <w:rsid w:val="006162E5"/>
    <w:rsid w:val="00616676"/>
    <w:rsid w:val="00616739"/>
    <w:rsid w:val="0061713D"/>
    <w:rsid w:val="0061734A"/>
    <w:rsid w:val="00617356"/>
    <w:rsid w:val="006178B0"/>
    <w:rsid w:val="00620AF5"/>
    <w:rsid w:val="00620BC0"/>
    <w:rsid w:val="00620DD5"/>
    <w:rsid w:val="006217B9"/>
    <w:rsid w:val="006224FE"/>
    <w:rsid w:val="006227F2"/>
    <w:rsid w:val="006228A6"/>
    <w:rsid w:val="006231F4"/>
    <w:rsid w:val="006232F9"/>
    <w:rsid w:val="00623821"/>
    <w:rsid w:val="00623B7A"/>
    <w:rsid w:val="00624052"/>
    <w:rsid w:val="00624D28"/>
    <w:rsid w:val="00625A2E"/>
    <w:rsid w:val="00625A78"/>
    <w:rsid w:val="00626183"/>
    <w:rsid w:val="00626217"/>
    <w:rsid w:val="006269B3"/>
    <w:rsid w:val="006271B5"/>
    <w:rsid w:val="0062724E"/>
    <w:rsid w:val="0062784D"/>
    <w:rsid w:val="00627CD6"/>
    <w:rsid w:val="00630AA3"/>
    <w:rsid w:val="00630D78"/>
    <w:rsid w:val="00630DA4"/>
    <w:rsid w:val="006310DB"/>
    <w:rsid w:val="0063198B"/>
    <w:rsid w:val="00631B22"/>
    <w:rsid w:val="00632412"/>
    <w:rsid w:val="0063256F"/>
    <w:rsid w:val="0063266A"/>
    <w:rsid w:val="00632682"/>
    <w:rsid w:val="006329CA"/>
    <w:rsid w:val="00633653"/>
    <w:rsid w:val="00633972"/>
    <w:rsid w:val="00633B9B"/>
    <w:rsid w:val="00633BBC"/>
    <w:rsid w:val="00633E9A"/>
    <w:rsid w:val="006342C5"/>
    <w:rsid w:val="006344C8"/>
    <w:rsid w:val="00635291"/>
    <w:rsid w:val="006360E3"/>
    <w:rsid w:val="006366FB"/>
    <w:rsid w:val="0063702E"/>
    <w:rsid w:val="006371EC"/>
    <w:rsid w:val="0063743E"/>
    <w:rsid w:val="00637C71"/>
    <w:rsid w:val="006408D0"/>
    <w:rsid w:val="00640AAC"/>
    <w:rsid w:val="0064149D"/>
    <w:rsid w:val="00641512"/>
    <w:rsid w:val="00642506"/>
    <w:rsid w:val="00642A7F"/>
    <w:rsid w:val="00642C80"/>
    <w:rsid w:val="0064366A"/>
    <w:rsid w:val="00643A5A"/>
    <w:rsid w:val="006442EC"/>
    <w:rsid w:val="006448DF"/>
    <w:rsid w:val="00644A89"/>
    <w:rsid w:val="00644D49"/>
    <w:rsid w:val="006451EA"/>
    <w:rsid w:val="006457B1"/>
    <w:rsid w:val="0064687A"/>
    <w:rsid w:val="00646902"/>
    <w:rsid w:val="00646B08"/>
    <w:rsid w:val="00647DC7"/>
    <w:rsid w:val="006502C1"/>
    <w:rsid w:val="00650650"/>
    <w:rsid w:val="006506F2"/>
    <w:rsid w:val="006526B1"/>
    <w:rsid w:val="00652C0A"/>
    <w:rsid w:val="00653044"/>
    <w:rsid w:val="0065356D"/>
    <w:rsid w:val="006537D3"/>
    <w:rsid w:val="00653A41"/>
    <w:rsid w:val="00653A4B"/>
    <w:rsid w:val="00653DFA"/>
    <w:rsid w:val="00653E45"/>
    <w:rsid w:val="00654361"/>
    <w:rsid w:val="0065494C"/>
    <w:rsid w:val="00654995"/>
    <w:rsid w:val="00654E69"/>
    <w:rsid w:val="006557F2"/>
    <w:rsid w:val="00655E53"/>
    <w:rsid w:val="00656519"/>
    <w:rsid w:val="006565A7"/>
    <w:rsid w:val="00656977"/>
    <w:rsid w:val="006569DA"/>
    <w:rsid w:val="00656A08"/>
    <w:rsid w:val="00656BE7"/>
    <w:rsid w:val="00656E9C"/>
    <w:rsid w:val="00656EE4"/>
    <w:rsid w:val="0065799D"/>
    <w:rsid w:val="00657AED"/>
    <w:rsid w:val="0066059B"/>
    <w:rsid w:val="00660F5F"/>
    <w:rsid w:val="0066223E"/>
    <w:rsid w:val="00662F3B"/>
    <w:rsid w:val="00662FCB"/>
    <w:rsid w:val="006637A4"/>
    <w:rsid w:val="00663984"/>
    <w:rsid w:val="00663B74"/>
    <w:rsid w:val="00663B98"/>
    <w:rsid w:val="00663D01"/>
    <w:rsid w:val="00663F80"/>
    <w:rsid w:val="0066434C"/>
    <w:rsid w:val="00664A09"/>
    <w:rsid w:val="006651CA"/>
    <w:rsid w:val="00665CF9"/>
    <w:rsid w:val="006661F7"/>
    <w:rsid w:val="0066679E"/>
    <w:rsid w:val="006667C0"/>
    <w:rsid w:val="006669F8"/>
    <w:rsid w:val="00667245"/>
    <w:rsid w:val="00667ECF"/>
    <w:rsid w:val="0067050A"/>
    <w:rsid w:val="006705D5"/>
    <w:rsid w:val="00670F41"/>
    <w:rsid w:val="00670F80"/>
    <w:rsid w:val="00670F8E"/>
    <w:rsid w:val="006710DA"/>
    <w:rsid w:val="0067139D"/>
    <w:rsid w:val="0067148F"/>
    <w:rsid w:val="00671C2A"/>
    <w:rsid w:val="00672B25"/>
    <w:rsid w:val="0067337E"/>
    <w:rsid w:val="006733C3"/>
    <w:rsid w:val="00673A85"/>
    <w:rsid w:val="006744EB"/>
    <w:rsid w:val="006746E6"/>
    <w:rsid w:val="0067483E"/>
    <w:rsid w:val="00674D29"/>
    <w:rsid w:val="00674DE3"/>
    <w:rsid w:val="00674F47"/>
    <w:rsid w:val="006754C6"/>
    <w:rsid w:val="006754FF"/>
    <w:rsid w:val="00675593"/>
    <w:rsid w:val="00675681"/>
    <w:rsid w:val="006757DF"/>
    <w:rsid w:val="00675CA3"/>
    <w:rsid w:val="00676B5C"/>
    <w:rsid w:val="00676C1D"/>
    <w:rsid w:val="00676F6F"/>
    <w:rsid w:val="00677521"/>
    <w:rsid w:val="006777BE"/>
    <w:rsid w:val="00680679"/>
    <w:rsid w:val="00680EA6"/>
    <w:rsid w:val="006810D5"/>
    <w:rsid w:val="00681733"/>
    <w:rsid w:val="0068187D"/>
    <w:rsid w:val="00681B50"/>
    <w:rsid w:val="00681CE4"/>
    <w:rsid w:val="00681EBA"/>
    <w:rsid w:val="00682185"/>
    <w:rsid w:val="006821F9"/>
    <w:rsid w:val="006822D0"/>
    <w:rsid w:val="0068270E"/>
    <w:rsid w:val="00682A18"/>
    <w:rsid w:val="006831BA"/>
    <w:rsid w:val="006836BA"/>
    <w:rsid w:val="00683AB2"/>
    <w:rsid w:val="00684814"/>
    <w:rsid w:val="0068481A"/>
    <w:rsid w:val="00684C1D"/>
    <w:rsid w:val="00684C4A"/>
    <w:rsid w:val="00685846"/>
    <w:rsid w:val="00685BD6"/>
    <w:rsid w:val="00685FB1"/>
    <w:rsid w:val="00686327"/>
    <w:rsid w:val="006863FC"/>
    <w:rsid w:val="0068645F"/>
    <w:rsid w:val="0068683E"/>
    <w:rsid w:val="00686A09"/>
    <w:rsid w:val="00686B37"/>
    <w:rsid w:val="00687A2D"/>
    <w:rsid w:val="00687B13"/>
    <w:rsid w:val="00690348"/>
    <w:rsid w:val="00690407"/>
    <w:rsid w:val="00690C84"/>
    <w:rsid w:val="00690CC6"/>
    <w:rsid w:val="00691334"/>
    <w:rsid w:val="006929DA"/>
    <w:rsid w:val="00692B75"/>
    <w:rsid w:val="00692D08"/>
    <w:rsid w:val="00692F9A"/>
    <w:rsid w:val="0069308F"/>
    <w:rsid w:val="0069319D"/>
    <w:rsid w:val="00693D46"/>
    <w:rsid w:val="0069404F"/>
    <w:rsid w:val="00694179"/>
    <w:rsid w:val="006945F0"/>
    <w:rsid w:val="006950E0"/>
    <w:rsid w:val="00695175"/>
    <w:rsid w:val="006952C3"/>
    <w:rsid w:val="006952E7"/>
    <w:rsid w:val="00695553"/>
    <w:rsid w:val="00695614"/>
    <w:rsid w:val="00696482"/>
    <w:rsid w:val="0069651C"/>
    <w:rsid w:val="006965CF"/>
    <w:rsid w:val="00696979"/>
    <w:rsid w:val="006971CA"/>
    <w:rsid w:val="0069765D"/>
    <w:rsid w:val="00697D67"/>
    <w:rsid w:val="006A0363"/>
    <w:rsid w:val="006A1008"/>
    <w:rsid w:val="006A1336"/>
    <w:rsid w:val="006A1494"/>
    <w:rsid w:val="006A16DE"/>
    <w:rsid w:val="006A19C9"/>
    <w:rsid w:val="006A211C"/>
    <w:rsid w:val="006A26C8"/>
    <w:rsid w:val="006A27CF"/>
    <w:rsid w:val="006A27D9"/>
    <w:rsid w:val="006A2BEA"/>
    <w:rsid w:val="006A3822"/>
    <w:rsid w:val="006A38AE"/>
    <w:rsid w:val="006A4014"/>
    <w:rsid w:val="006A4053"/>
    <w:rsid w:val="006A4AF7"/>
    <w:rsid w:val="006A4CCA"/>
    <w:rsid w:val="006A508C"/>
    <w:rsid w:val="006A52D6"/>
    <w:rsid w:val="006A55E9"/>
    <w:rsid w:val="006A633F"/>
    <w:rsid w:val="006A6587"/>
    <w:rsid w:val="006A6E81"/>
    <w:rsid w:val="006A7541"/>
    <w:rsid w:val="006A75B8"/>
    <w:rsid w:val="006A79FD"/>
    <w:rsid w:val="006B059C"/>
    <w:rsid w:val="006B0C5B"/>
    <w:rsid w:val="006B14C2"/>
    <w:rsid w:val="006B15E6"/>
    <w:rsid w:val="006B1757"/>
    <w:rsid w:val="006B1B3A"/>
    <w:rsid w:val="006B1D18"/>
    <w:rsid w:val="006B1FFC"/>
    <w:rsid w:val="006B2227"/>
    <w:rsid w:val="006B283F"/>
    <w:rsid w:val="006B2B09"/>
    <w:rsid w:val="006B3006"/>
    <w:rsid w:val="006B307B"/>
    <w:rsid w:val="006B3219"/>
    <w:rsid w:val="006B342F"/>
    <w:rsid w:val="006B4185"/>
    <w:rsid w:val="006B4441"/>
    <w:rsid w:val="006B48E0"/>
    <w:rsid w:val="006B51D3"/>
    <w:rsid w:val="006B5BD0"/>
    <w:rsid w:val="006B5CEB"/>
    <w:rsid w:val="006B6116"/>
    <w:rsid w:val="006B6868"/>
    <w:rsid w:val="006B6C76"/>
    <w:rsid w:val="006B7F76"/>
    <w:rsid w:val="006C0278"/>
    <w:rsid w:val="006C03E1"/>
    <w:rsid w:val="006C0AA9"/>
    <w:rsid w:val="006C0DF3"/>
    <w:rsid w:val="006C2A56"/>
    <w:rsid w:val="006C2D4B"/>
    <w:rsid w:val="006C2F37"/>
    <w:rsid w:val="006C2FAB"/>
    <w:rsid w:val="006C4B78"/>
    <w:rsid w:val="006C55B3"/>
    <w:rsid w:val="006C5BCC"/>
    <w:rsid w:val="006C6AF0"/>
    <w:rsid w:val="006C7245"/>
    <w:rsid w:val="006C7988"/>
    <w:rsid w:val="006C79F0"/>
    <w:rsid w:val="006C7B92"/>
    <w:rsid w:val="006C7B99"/>
    <w:rsid w:val="006C7BF0"/>
    <w:rsid w:val="006C7E51"/>
    <w:rsid w:val="006D03BC"/>
    <w:rsid w:val="006D09E7"/>
    <w:rsid w:val="006D296D"/>
    <w:rsid w:val="006D2FF2"/>
    <w:rsid w:val="006D3083"/>
    <w:rsid w:val="006D3AF3"/>
    <w:rsid w:val="006D4904"/>
    <w:rsid w:val="006D50BC"/>
    <w:rsid w:val="006D5584"/>
    <w:rsid w:val="006D56CB"/>
    <w:rsid w:val="006D5BF1"/>
    <w:rsid w:val="006D5D62"/>
    <w:rsid w:val="006D608F"/>
    <w:rsid w:val="006D6A3B"/>
    <w:rsid w:val="006D7022"/>
    <w:rsid w:val="006D71E3"/>
    <w:rsid w:val="006D7350"/>
    <w:rsid w:val="006D7649"/>
    <w:rsid w:val="006D7C69"/>
    <w:rsid w:val="006D7CA8"/>
    <w:rsid w:val="006E0134"/>
    <w:rsid w:val="006E0C1B"/>
    <w:rsid w:val="006E0C61"/>
    <w:rsid w:val="006E0C72"/>
    <w:rsid w:val="006E0C7F"/>
    <w:rsid w:val="006E15C5"/>
    <w:rsid w:val="006E25EC"/>
    <w:rsid w:val="006E3229"/>
    <w:rsid w:val="006E3766"/>
    <w:rsid w:val="006E3773"/>
    <w:rsid w:val="006E3822"/>
    <w:rsid w:val="006E48B6"/>
    <w:rsid w:val="006E5940"/>
    <w:rsid w:val="006E5B62"/>
    <w:rsid w:val="006E6672"/>
    <w:rsid w:val="006E678E"/>
    <w:rsid w:val="006E6940"/>
    <w:rsid w:val="006E69F1"/>
    <w:rsid w:val="006E7774"/>
    <w:rsid w:val="006E7E8C"/>
    <w:rsid w:val="006F0C7F"/>
    <w:rsid w:val="006F0EBD"/>
    <w:rsid w:val="006F163E"/>
    <w:rsid w:val="006F171A"/>
    <w:rsid w:val="006F1EFC"/>
    <w:rsid w:val="006F1F28"/>
    <w:rsid w:val="006F2043"/>
    <w:rsid w:val="006F2AF4"/>
    <w:rsid w:val="006F2C7A"/>
    <w:rsid w:val="006F2E4D"/>
    <w:rsid w:val="006F3E04"/>
    <w:rsid w:val="006F42A4"/>
    <w:rsid w:val="006F4D78"/>
    <w:rsid w:val="006F4DD5"/>
    <w:rsid w:val="006F53F7"/>
    <w:rsid w:val="006F59CF"/>
    <w:rsid w:val="006F606C"/>
    <w:rsid w:val="006F618C"/>
    <w:rsid w:val="006F62B2"/>
    <w:rsid w:val="006F637F"/>
    <w:rsid w:val="006F6592"/>
    <w:rsid w:val="006F6B21"/>
    <w:rsid w:val="006F6B58"/>
    <w:rsid w:val="006F6EBD"/>
    <w:rsid w:val="006F78DC"/>
    <w:rsid w:val="006F7D3B"/>
    <w:rsid w:val="00700E6E"/>
    <w:rsid w:val="0070107E"/>
    <w:rsid w:val="007012F0"/>
    <w:rsid w:val="00701552"/>
    <w:rsid w:val="00701589"/>
    <w:rsid w:val="00701607"/>
    <w:rsid w:val="007021AB"/>
    <w:rsid w:val="007024B1"/>
    <w:rsid w:val="007026B0"/>
    <w:rsid w:val="00703314"/>
    <w:rsid w:val="00703DC5"/>
    <w:rsid w:val="00703F9A"/>
    <w:rsid w:val="00704125"/>
    <w:rsid w:val="007041EE"/>
    <w:rsid w:val="00704247"/>
    <w:rsid w:val="00704D8A"/>
    <w:rsid w:val="00704F40"/>
    <w:rsid w:val="00705094"/>
    <w:rsid w:val="0070532B"/>
    <w:rsid w:val="007053B4"/>
    <w:rsid w:val="007057D2"/>
    <w:rsid w:val="00705827"/>
    <w:rsid w:val="00705B64"/>
    <w:rsid w:val="00706594"/>
    <w:rsid w:val="007069CC"/>
    <w:rsid w:val="00706ACD"/>
    <w:rsid w:val="00706EB5"/>
    <w:rsid w:val="007073F5"/>
    <w:rsid w:val="007073F8"/>
    <w:rsid w:val="00707551"/>
    <w:rsid w:val="007076A6"/>
    <w:rsid w:val="00707875"/>
    <w:rsid w:val="00707964"/>
    <w:rsid w:val="00707CE2"/>
    <w:rsid w:val="007109BC"/>
    <w:rsid w:val="00710E71"/>
    <w:rsid w:val="00711741"/>
    <w:rsid w:val="00711C84"/>
    <w:rsid w:val="00711CD7"/>
    <w:rsid w:val="0071289B"/>
    <w:rsid w:val="007129E0"/>
    <w:rsid w:val="0071366B"/>
    <w:rsid w:val="007136F3"/>
    <w:rsid w:val="00713A21"/>
    <w:rsid w:val="00713AAF"/>
    <w:rsid w:val="00714525"/>
    <w:rsid w:val="007148E3"/>
    <w:rsid w:val="007155D4"/>
    <w:rsid w:val="00715B02"/>
    <w:rsid w:val="00715C39"/>
    <w:rsid w:val="007166A8"/>
    <w:rsid w:val="00716733"/>
    <w:rsid w:val="00716968"/>
    <w:rsid w:val="00716ACD"/>
    <w:rsid w:val="00716B94"/>
    <w:rsid w:val="00717606"/>
    <w:rsid w:val="00717C4E"/>
    <w:rsid w:val="007201F0"/>
    <w:rsid w:val="007202EA"/>
    <w:rsid w:val="00720BFD"/>
    <w:rsid w:val="0072146F"/>
    <w:rsid w:val="0072194F"/>
    <w:rsid w:val="00721AD1"/>
    <w:rsid w:val="00721BD4"/>
    <w:rsid w:val="00721EB8"/>
    <w:rsid w:val="00722354"/>
    <w:rsid w:val="00722484"/>
    <w:rsid w:val="0072287C"/>
    <w:rsid w:val="00722915"/>
    <w:rsid w:val="00722AE7"/>
    <w:rsid w:val="00722BE3"/>
    <w:rsid w:val="00722EA2"/>
    <w:rsid w:val="00723392"/>
    <w:rsid w:val="00723785"/>
    <w:rsid w:val="007239F5"/>
    <w:rsid w:val="00723E1A"/>
    <w:rsid w:val="007244AD"/>
    <w:rsid w:val="00725064"/>
    <w:rsid w:val="0072514D"/>
    <w:rsid w:val="0072572D"/>
    <w:rsid w:val="00725BEA"/>
    <w:rsid w:val="007260D5"/>
    <w:rsid w:val="007268F5"/>
    <w:rsid w:val="00726DA3"/>
    <w:rsid w:val="00727232"/>
    <w:rsid w:val="00727314"/>
    <w:rsid w:val="00727767"/>
    <w:rsid w:val="00727A4C"/>
    <w:rsid w:val="00727B97"/>
    <w:rsid w:val="007316F9"/>
    <w:rsid w:val="00731960"/>
    <w:rsid w:val="00731B3F"/>
    <w:rsid w:val="0073208B"/>
    <w:rsid w:val="007320FB"/>
    <w:rsid w:val="007322AB"/>
    <w:rsid w:val="0073279A"/>
    <w:rsid w:val="00732B97"/>
    <w:rsid w:val="007333A0"/>
    <w:rsid w:val="007334DF"/>
    <w:rsid w:val="00733624"/>
    <w:rsid w:val="007337EA"/>
    <w:rsid w:val="007338C5"/>
    <w:rsid w:val="0073393E"/>
    <w:rsid w:val="00733DD1"/>
    <w:rsid w:val="00733E51"/>
    <w:rsid w:val="00734416"/>
    <w:rsid w:val="00734571"/>
    <w:rsid w:val="00735603"/>
    <w:rsid w:val="00735DD9"/>
    <w:rsid w:val="00736018"/>
    <w:rsid w:val="007362B9"/>
    <w:rsid w:val="00736A31"/>
    <w:rsid w:val="00736D9E"/>
    <w:rsid w:val="00736F0C"/>
    <w:rsid w:val="00737004"/>
    <w:rsid w:val="0074041B"/>
    <w:rsid w:val="0074089F"/>
    <w:rsid w:val="00740FFB"/>
    <w:rsid w:val="0074174D"/>
    <w:rsid w:val="00741ECF"/>
    <w:rsid w:val="0074265B"/>
    <w:rsid w:val="0074287C"/>
    <w:rsid w:val="00742CC2"/>
    <w:rsid w:val="0074300A"/>
    <w:rsid w:val="007431DA"/>
    <w:rsid w:val="007434A7"/>
    <w:rsid w:val="0074359F"/>
    <w:rsid w:val="00743B48"/>
    <w:rsid w:val="00743E12"/>
    <w:rsid w:val="00743E6A"/>
    <w:rsid w:val="00743FBE"/>
    <w:rsid w:val="00744EAC"/>
    <w:rsid w:val="00745092"/>
    <w:rsid w:val="00745500"/>
    <w:rsid w:val="0074576C"/>
    <w:rsid w:val="00745DBE"/>
    <w:rsid w:val="007462F8"/>
    <w:rsid w:val="00746B73"/>
    <w:rsid w:val="00746F5C"/>
    <w:rsid w:val="00747284"/>
    <w:rsid w:val="007473DB"/>
    <w:rsid w:val="00747629"/>
    <w:rsid w:val="00747A13"/>
    <w:rsid w:val="00747DBE"/>
    <w:rsid w:val="00750103"/>
    <w:rsid w:val="00750A53"/>
    <w:rsid w:val="00750A7F"/>
    <w:rsid w:val="00750BF2"/>
    <w:rsid w:val="00750DA7"/>
    <w:rsid w:val="00750E00"/>
    <w:rsid w:val="00750EFD"/>
    <w:rsid w:val="0075103D"/>
    <w:rsid w:val="00751649"/>
    <w:rsid w:val="007521C7"/>
    <w:rsid w:val="007531E3"/>
    <w:rsid w:val="007532DA"/>
    <w:rsid w:val="00753B94"/>
    <w:rsid w:val="007546C8"/>
    <w:rsid w:val="0075472D"/>
    <w:rsid w:val="00754920"/>
    <w:rsid w:val="00754950"/>
    <w:rsid w:val="007549CF"/>
    <w:rsid w:val="00754B0D"/>
    <w:rsid w:val="00754D34"/>
    <w:rsid w:val="00754F48"/>
    <w:rsid w:val="00755A68"/>
    <w:rsid w:val="00756005"/>
    <w:rsid w:val="00756026"/>
    <w:rsid w:val="00756373"/>
    <w:rsid w:val="007563B4"/>
    <w:rsid w:val="00756F8B"/>
    <w:rsid w:val="00757617"/>
    <w:rsid w:val="00757E3B"/>
    <w:rsid w:val="00757F54"/>
    <w:rsid w:val="0076000F"/>
    <w:rsid w:val="00760101"/>
    <w:rsid w:val="007606E8"/>
    <w:rsid w:val="00761EA1"/>
    <w:rsid w:val="0076207A"/>
    <w:rsid w:val="007626E7"/>
    <w:rsid w:val="00762A6A"/>
    <w:rsid w:val="00762ADE"/>
    <w:rsid w:val="00762F0E"/>
    <w:rsid w:val="00763051"/>
    <w:rsid w:val="007636FB"/>
    <w:rsid w:val="00763E2D"/>
    <w:rsid w:val="0076483A"/>
    <w:rsid w:val="00764939"/>
    <w:rsid w:val="00764BB3"/>
    <w:rsid w:val="00765020"/>
    <w:rsid w:val="007656FD"/>
    <w:rsid w:val="007657A8"/>
    <w:rsid w:val="00765805"/>
    <w:rsid w:val="00766232"/>
    <w:rsid w:val="0076623A"/>
    <w:rsid w:val="00766B9B"/>
    <w:rsid w:val="00766FBF"/>
    <w:rsid w:val="0076723A"/>
    <w:rsid w:val="0076726E"/>
    <w:rsid w:val="007674BA"/>
    <w:rsid w:val="007674BE"/>
    <w:rsid w:val="00767565"/>
    <w:rsid w:val="00767B46"/>
    <w:rsid w:val="00767CC2"/>
    <w:rsid w:val="007705F3"/>
    <w:rsid w:val="00770D70"/>
    <w:rsid w:val="00770E76"/>
    <w:rsid w:val="007712CD"/>
    <w:rsid w:val="00771893"/>
    <w:rsid w:val="0077236C"/>
    <w:rsid w:val="00773125"/>
    <w:rsid w:val="0077339B"/>
    <w:rsid w:val="00773835"/>
    <w:rsid w:val="00773A81"/>
    <w:rsid w:val="00773B51"/>
    <w:rsid w:val="00773E09"/>
    <w:rsid w:val="0077407A"/>
    <w:rsid w:val="0077415A"/>
    <w:rsid w:val="0077511B"/>
    <w:rsid w:val="007753A4"/>
    <w:rsid w:val="007753D0"/>
    <w:rsid w:val="00775CCF"/>
    <w:rsid w:val="00775FD8"/>
    <w:rsid w:val="0077721F"/>
    <w:rsid w:val="00777522"/>
    <w:rsid w:val="00777642"/>
    <w:rsid w:val="00777FF3"/>
    <w:rsid w:val="00780799"/>
    <w:rsid w:val="00780AF2"/>
    <w:rsid w:val="007822B2"/>
    <w:rsid w:val="00782542"/>
    <w:rsid w:val="007826A1"/>
    <w:rsid w:val="00783359"/>
    <w:rsid w:val="00784610"/>
    <w:rsid w:val="00784F57"/>
    <w:rsid w:val="00785AA9"/>
    <w:rsid w:val="007863B3"/>
    <w:rsid w:val="00786575"/>
    <w:rsid w:val="00786FBF"/>
    <w:rsid w:val="0078714D"/>
    <w:rsid w:val="0078767F"/>
    <w:rsid w:val="00787761"/>
    <w:rsid w:val="00787F69"/>
    <w:rsid w:val="007900F2"/>
    <w:rsid w:val="0079067D"/>
    <w:rsid w:val="007907D1"/>
    <w:rsid w:val="007907F2"/>
    <w:rsid w:val="00791C6E"/>
    <w:rsid w:val="007924C2"/>
    <w:rsid w:val="0079280C"/>
    <w:rsid w:val="00792B75"/>
    <w:rsid w:val="00792E0D"/>
    <w:rsid w:val="007930DE"/>
    <w:rsid w:val="0079395F"/>
    <w:rsid w:val="00793B8B"/>
    <w:rsid w:val="00793FA2"/>
    <w:rsid w:val="007951A3"/>
    <w:rsid w:val="007951FF"/>
    <w:rsid w:val="00795534"/>
    <w:rsid w:val="00795599"/>
    <w:rsid w:val="0079590E"/>
    <w:rsid w:val="0079643D"/>
    <w:rsid w:val="007964AB"/>
    <w:rsid w:val="00796FE9"/>
    <w:rsid w:val="00797B94"/>
    <w:rsid w:val="00797EC7"/>
    <w:rsid w:val="007A061E"/>
    <w:rsid w:val="007A1152"/>
    <w:rsid w:val="007A1392"/>
    <w:rsid w:val="007A234A"/>
    <w:rsid w:val="007A25F8"/>
    <w:rsid w:val="007A2B7A"/>
    <w:rsid w:val="007A30EC"/>
    <w:rsid w:val="007A34B4"/>
    <w:rsid w:val="007A3D5A"/>
    <w:rsid w:val="007A4834"/>
    <w:rsid w:val="007A4941"/>
    <w:rsid w:val="007A4D5E"/>
    <w:rsid w:val="007A5171"/>
    <w:rsid w:val="007A52DC"/>
    <w:rsid w:val="007A5562"/>
    <w:rsid w:val="007A57C7"/>
    <w:rsid w:val="007A5DB4"/>
    <w:rsid w:val="007A60F0"/>
    <w:rsid w:val="007A65F3"/>
    <w:rsid w:val="007A6B78"/>
    <w:rsid w:val="007A738F"/>
    <w:rsid w:val="007A7D13"/>
    <w:rsid w:val="007A7DC8"/>
    <w:rsid w:val="007B04AB"/>
    <w:rsid w:val="007B055E"/>
    <w:rsid w:val="007B07B7"/>
    <w:rsid w:val="007B0BAB"/>
    <w:rsid w:val="007B0C86"/>
    <w:rsid w:val="007B0E94"/>
    <w:rsid w:val="007B10AC"/>
    <w:rsid w:val="007B13E7"/>
    <w:rsid w:val="007B24C0"/>
    <w:rsid w:val="007B2961"/>
    <w:rsid w:val="007B2D70"/>
    <w:rsid w:val="007B2D9E"/>
    <w:rsid w:val="007B2DE7"/>
    <w:rsid w:val="007B36D9"/>
    <w:rsid w:val="007B3A8C"/>
    <w:rsid w:val="007B3C49"/>
    <w:rsid w:val="007B498E"/>
    <w:rsid w:val="007B5906"/>
    <w:rsid w:val="007B60B5"/>
    <w:rsid w:val="007B6701"/>
    <w:rsid w:val="007B69AE"/>
    <w:rsid w:val="007B7350"/>
    <w:rsid w:val="007C19A1"/>
    <w:rsid w:val="007C241E"/>
    <w:rsid w:val="007C267B"/>
    <w:rsid w:val="007C2B65"/>
    <w:rsid w:val="007C3BAB"/>
    <w:rsid w:val="007C3CB3"/>
    <w:rsid w:val="007C3F4C"/>
    <w:rsid w:val="007C42B4"/>
    <w:rsid w:val="007C5025"/>
    <w:rsid w:val="007C5088"/>
    <w:rsid w:val="007C6DB9"/>
    <w:rsid w:val="007C702A"/>
    <w:rsid w:val="007C71B8"/>
    <w:rsid w:val="007C7A0B"/>
    <w:rsid w:val="007D0571"/>
    <w:rsid w:val="007D090B"/>
    <w:rsid w:val="007D1201"/>
    <w:rsid w:val="007D13CD"/>
    <w:rsid w:val="007D1586"/>
    <w:rsid w:val="007D16D9"/>
    <w:rsid w:val="007D1861"/>
    <w:rsid w:val="007D1C89"/>
    <w:rsid w:val="007D1FD7"/>
    <w:rsid w:val="007D21ED"/>
    <w:rsid w:val="007D2840"/>
    <w:rsid w:val="007D2B16"/>
    <w:rsid w:val="007D2BFB"/>
    <w:rsid w:val="007D2EBD"/>
    <w:rsid w:val="007D2F88"/>
    <w:rsid w:val="007D339A"/>
    <w:rsid w:val="007D37CB"/>
    <w:rsid w:val="007D4AF3"/>
    <w:rsid w:val="007D565F"/>
    <w:rsid w:val="007D5BF2"/>
    <w:rsid w:val="007D5D2D"/>
    <w:rsid w:val="007D63DB"/>
    <w:rsid w:val="007D6607"/>
    <w:rsid w:val="007D6EF4"/>
    <w:rsid w:val="007D720D"/>
    <w:rsid w:val="007D7603"/>
    <w:rsid w:val="007D76E9"/>
    <w:rsid w:val="007E1A35"/>
    <w:rsid w:val="007E20D0"/>
    <w:rsid w:val="007E2DD8"/>
    <w:rsid w:val="007E3123"/>
    <w:rsid w:val="007E3921"/>
    <w:rsid w:val="007E4340"/>
    <w:rsid w:val="007E4C08"/>
    <w:rsid w:val="007E4EB9"/>
    <w:rsid w:val="007E552A"/>
    <w:rsid w:val="007E5D12"/>
    <w:rsid w:val="007E6468"/>
    <w:rsid w:val="007E66DC"/>
    <w:rsid w:val="007E6D5F"/>
    <w:rsid w:val="007E738D"/>
    <w:rsid w:val="007E75D1"/>
    <w:rsid w:val="007E7838"/>
    <w:rsid w:val="007E7A9C"/>
    <w:rsid w:val="007F00DC"/>
    <w:rsid w:val="007F03BF"/>
    <w:rsid w:val="007F0434"/>
    <w:rsid w:val="007F0601"/>
    <w:rsid w:val="007F0647"/>
    <w:rsid w:val="007F06C9"/>
    <w:rsid w:val="007F0C15"/>
    <w:rsid w:val="007F1047"/>
    <w:rsid w:val="007F16E8"/>
    <w:rsid w:val="007F1702"/>
    <w:rsid w:val="007F1D0F"/>
    <w:rsid w:val="007F24D0"/>
    <w:rsid w:val="007F2C25"/>
    <w:rsid w:val="007F30F2"/>
    <w:rsid w:val="007F3181"/>
    <w:rsid w:val="007F3381"/>
    <w:rsid w:val="007F39EA"/>
    <w:rsid w:val="007F3AC7"/>
    <w:rsid w:val="007F4033"/>
    <w:rsid w:val="007F451D"/>
    <w:rsid w:val="007F486F"/>
    <w:rsid w:val="007F49BC"/>
    <w:rsid w:val="007F51D6"/>
    <w:rsid w:val="007F53D8"/>
    <w:rsid w:val="007F58F9"/>
    <w:rsid w:val="007F5CDE"/>
    <w:rsid w:val="007F5D17"/>
    <w:rsid w:val="007F5E39"/>
    <w:rsid w:val="007F5E63"/>
    <w:rsid w:val="007F5E7C"/>
    <w:rsid w:val="007F5EF2"/>
    <w:rsid w:val="007F6178"/>
    <w:rsid w:val="007F70F2"/>
    <w:rsid w:val="007F72AA"/>
    <w:rsid w:val="007F79A3"/>
    <w:rsid w:val="008000D9"/>
    <w:rsid w:val="00800C97"/>
    <w:rsid w:val="00800DE7"/>
    <w:rsid w:val="00801096"/>
    <w:rsid w:val="0080131B"/>
    <w:rsid w:val="008013F0"/>
    <w:rsid w:val="008016FE"/>
    <w:rsid w:val="0080173E"/>
    <w:rsid w:val="00801AEE"/>
    <w:rsid w:val="0080239D"/>
    <w:rsid w:val="008029C7"/>
    <w:rsid w:val="00802AF4"/>
    <w:rsid w:val="00802C2A"/>
    <w:rsid w:val="00802F4B"/>
    <w:rsid w:val="0080321A"/>
    <w:rsid w:val="00803631"/>
    <w:rsid w:val="00803B83"/>
    <w:rsid w:val="00803EEB"/>
    <w:rsid w:val="008043FF"/>
    <w:rsid w:val="0080456B"/>
    <w:rsid w:val="00805906"/>
    <w:rsid w:val="00805AEE"/>
    <w:rsid w:val="00805C82"/>
    <w:rsid w:val="00805EDB"/>
    <w:rsid w:val="00806515"/>
    <w:rsid w:val="00806556"/>
    <w:rsid w:val="008065AF"/>
    <w:rsid w:val="008065D8"/>
    <w:rsid w:val="008067FB"/>
    <w:rsid w:val="00806AF0"/>
    <w:rsid w:val="0080781C"/>
    <w:rsid w:val="00807DDC"/>
    <w:rsid w:val="00807E8D"/>
    <w:rsid w:val="00807EAD"/>
    <w:rsid w:val="00807FBB"/>
    <w:rsid w:val="008104E9"/>
    <w:rsid w:val="008106AE"/>
    <w:rsid w:val="0081099C"/>
    <w:rsid w:val="00810CA2"/>
    <w:rsid w:val="00810CEC"/>
    <w:rsid w:val="008110A1"/>
    <w:rsid w:val="00811254"/>
    <w:rsid w:val="00811279"/>
    <w:rsid w:val="00811326"/>
    <w:rsid w:val="00811BD1"/>
    <w:rsid w:val="00812077"/>
    <w:rsid w:val="0081286C"/>
    <w:rsid w:val="0081355A"/>
    <w:rsid w:val="00813A28"/>
    <w:rsid w:val="00813A90"/>
    <w:rsid w:val="00813F5F"/>
    <w:rsid w:val="00814AB2"/>
    <w:rsid w:val="00814B02"/>
    <w:rsid w:val="00814D3F"/>
    <w:rsid w:val="00814DF7"/>
    <w:rsid w:val="008152D0"/>
    <w:rsid w:val="00815338"/>
    <w:rsid w:val="0081556F"/>
    <w:rsid w:val="008157E5"/>
    <w:rsid w:val="00815808"/>
    <w:rsid w:val="00815CCC"/>
    <w:rsid w:val="00815D08"/>
    <w:rsid w:val="00816137"/>
    <w:rsid w:val="008162EC"/>
    <w:rsid w:val="00816484"/>
    <w:rsid w:val="00816711"/>
    <w:rsid w:val="00816E63"/>
    <w:rsid w:val="00816EDE"/>
    <w:rsid w:val="008178D6"/>
    <w:rsid w:val="00817E32"/>
    <w:rsid w:val="00820BBA"/>
    <w:rsid w:val="008214C9"/>
    <w:rsid w:val="00821DA7"/>
    <w:rsid w:val="008220FE"/>
    <w:rsid w:val="0082242B"/>
    <w:rsid w:val="00822452"/>
    <w:rsid w:val="00822C65"/>
    <w:rsid w:val="00822D72"/>
    <w:rsid w:val="008233B1"/>
    <w:rsid w:val="008234A6"/>
    <w:rsid w:val="00823BE4"/>
    <w:rsid w:val="00823C38"/>
    <w:rsid w:val="00824C8B"/>
    <w:rsid w:val="008254FC"/>
    <w:rsid w:val="0082552F"/>
    <w:rsid w:val="008257B1"/>
    <w:rsid w:val="008258A6"/>
    <w:rsid w:val="00825B16"/>
    <w:rsid w:val="00826A02"/>
    <w:rsid w:val="00826A9A"/>
    <w:rsid w:val="00826FD2"/>
    <w:rsid w:val="0082707E"/>
    <w:rsid w:val="008275F2"/>
    <w:rsid w:val="00827660"/>
    <w:rsid w:val="00827855"/>
    <w:rsid w:val="00827E55"/>
    <w:rsid w:val="0083069E"/>
    <w:rsid w:val="008306CE"/>
    <w:rsid w:val="0083073D"/>
    <w:rsid w:val="00830AD3"/>
    <w:rsid w:val="00830C1A"/>
    <w:rsid w:val="00830C98"/>
    <w:rsid w:val="00830EB0"/>
    <w:rsid w:val="0083139C"/>
    <w:rsid w:val="00831CC0"/>
    <w:rsid w:val="00831EAB"/>
    <w:rsid w:val="008321D0"/>
    <w:rsid w:val="00832611"/>
    <w:rsid w:val="008328BF"/>
    <w:rsid w:val="008332F9"/>
    <w:rsid w:val="00833BFE"/>
    <w:rsid w:val="00833EE2"/>
    <w:rsid w:val="00834278"/>
    <w:rsid w:val="00834782"/>
    <w:rsid w:val="00834996"/>
    <w:rsid w:val="0083499F"/>
    <w:rsid w:val="00835074"/>
    <w:rsid w:val="008359C7"/>
    <w:rsid w:val="00835ADC"/>
    <w:rsid w:val="00835DA4"/>
    <w:rsid w:val="0083610A"/>
    <w:rsid w:val="00836474"/>
    <w:rsid w:val="00836889"/>
    <w:rsid w:val="008369E4"/>
    <w:rsid w:val="00836BEA"/>
    <w:rsid w:val="00836C21"/>
    <w:rsid w:val="00836F9A"/>
    <w:rsid w:val="008372AD"/>
    <w:rsid w:val="008400A9"/>
    <w:rsid w:val="00840156"/>
    <w:rsid w:val="00840331"/>
    <w:rsid w:val="008403D5"/>
    <w:rsid w:val="00840818"/>
    <w:rsid w:val="00840FFD"/>
    <w:rsid w:val="00841078"/>
    <w:rsid w:val="00841D4C"/>
    <w:rsid w:val="00841ED7"/>
    <w:rsid w:val="00842579"/>
    <w:rsid w:val="00842BE9"/>
    <w:rsid w:val="00842E49"/>
    <w:rsid w:val="0084347D"/>
    <w:rsid w:val="0084360C"/>
    <w:rsid w:val="00843647"/>
    <w:rsid w:val="00843833"/>
    <w:rsid w:val="00843DF7"/>
    <w:rsid w:val="00843F60"/>
    <w:rsid w:val="0084429B"/>
    <w:rsid w:val="00844A8D"/>
    <w:rsid w:val="00845023"/>
    <w:rsid w:val="008457FA"/>
    <w:rsid w:val="0084583C"/>
    <w:rsid w:val="0084617F"/>
    <w:rsid w:val="0084705F"/>
    <w:rsid w:val="008472A9"/>
    <w:rsid w:val="0084748B"/>
    <w:rsid w:val="00847B55"/>
    <w:rsid w:val="00850188"/>
    <w:rsid w:val="00850B82"/>
    <w:rsid w:val="00850DD9"/>
    <w:rsid w:val="00850F22"/>
    <w:rsid w:val="008514A8"/>
    <w:rsid w:val="00851A1E"/>
    <w:rsid w:val="00851BB5"/>
    <w:rsid w:val="00851D27"/>
    <w:rsid w:val="00852628"/>
    <w:rsid w:val="00852BB8"/>
    <w:rsid w:val="00852E32"/>
    <w:rsid w:val="008530C1"/>
    <w:rsid w:val="00853D70"/>
    <w:rsid w:val="00854219"/>
    <w:rsid w:val="00854302"/>
    <w:rsid w:val="008549A6"/>
    <w:rsid w:val="008549FC"/>
    <w:rsid w:val="00854F41"/>
    <w:rsid w:val="00855158"/>
    <w:rsid w:val="008552CA"/>
    <w:rsid w:val="008558E5"/>
    <w:rsid w:val="00855949"/>
    <w:rsid w:val="008621B6"/>
    <w:rsid w:val="00862317"/>
    <w:rsid w:val="008626ED"/>
    <w:rsid w:val="00862775"/>
    <w:rsid w:val="0086286C"/>
    <w:rsid w:val="00862980"/>
    <w:rsid w:val="008629C8"/>
    <w:rsid w:val="008630A7"/>
    <w:rsid w:val="008633EC"/>
    <w:rsid w:val="00863653"/>
    <w:rsid w:val="00863E86"/>
    <w:rsid w:val="008640B7"/>
    <w:rsid w:val="00864508"/>
    <w:rsid w:val="00864D4D"/>
    <w:rsid w:val="00865AFD"/>
    <w:rsid w:val="00865D62"/>
    <w:rsid w:val="00865F09"/>
    <w:rsid w:val="008665A6"/>
    <w:rsid w:val="008669D4"/>
    <w:rsid w:val="0087076E"/>
    <w:rsid w:val="008708E1"/>
    <w:rsid w:val="00870AEA"/>
    <w:rsid w:val="00870D3E"/>
    <w:rsid w:val="008712E1"/>
    <w:rsid w:val="0087176B"/>
    <w:rsid w:val="008717A7"/>
    <w:rsid w:val="00871B4F"/>
    <w:rsid w:val="00872286"/>
    <w:rsid w:val="0087363E"/>
    <w:rsid w:val="0087383F"/>
    <w:rsid w:val="00873B1D"/>
    <w:rsid w:val="00873C50"/>
    <w:rsid w:val="00873F9F"/>
    <w:rsid w:val="008740E0"/>
    <w:rsid w:val="0087469E"/>
    <w:rsid w:val="008749A3"/>
    <w:rsid w:val="00874B86"/>
    <w:rsid w:val="00874D4C"/>
    <w:rsid w:val="008750F0"/>
    <w:rsid w:val="00875257"/>
    <w:rsid w:val="00875E9A"/>
    <w:rsid w:val="008768C1"/>
    <w:rsid w:val="00876A60"/>
    <w:rsid w:val="00876F4B"/>
    <w:rsid w:val="00877013"/>
    <w:rsid w:val="008772CB"/>
    <w:rsid w:val="008773A6"/>
    <w:rsid w:val="00877A49"/>
    <w:rsid w:val="00877AE6"/>
    <w:rsid w:val="00877C6B"/>
    <w:rsid w:val="0088096D"/>
    <w:rsid w:val="00880F8A"/>
    <w:rsid w:val="0088119C"/>
    <w:rsid w:val="008813C9"/>
    <w:rsid w:val="00881AD7"/>
    <w:rsid w:val="008820BD"/>
    <w:rsid w:val="0088250C"/>
    <w:rsid w:val="008830A6"/>
    <w:rsid w:val="008830FC"/>
    <w:rsid w:val="008832F6"/>
    <w:rsid w:val="0088420E"/>
    <w:rsid w:val="008849E4"/>
    <w:rsid w:val="00884FF3"/>
    <w:rsid w:val="008852D8"/>
    <w:rsid w:val="00885516"/>
    <w:rsid w:val="00885AB2"/>
    <w:rsid w:val="00886476"/>
    <w:rsid w:val="00886723"/>
    <w:rsid w:val="00886BB8"/>
    <w:rsid w:val="0088732F"/>
    <w:rsid w:val="008875E4"/>
    <w:rsid w:val="00887EA4"/>
    <w:rsid w:val="00890876"/>
    <w:rsid w:val="00890AA1"/>
    <w:rsid w:val="00890EF4"/>
    <w:rsid w:val="00891009"/>
    <w:rsid w:val="00891D02"/>
    <w:rsid w:val="0089253E"/>
    <w:rsid w:val="00892DEC"/>
    <w:rsid w:val="00892F64"/>
    <w:rsid w:val="00892F6A"/>
    <w:rsid w:val="008932C1"/>
    <w:rsid w:val="00893C8F"/>
    <w:rsid w:val="00893D45"/>
    <w:rsid w:val="008943ED"/>
    <w:rsid w:val="0089454E"/>
    <w:rsid w:val="0089461B"/>
    <w:rsid w:val="00894E94"/>
    <w:rsid w:val="00894EC6"/>
    <w:rsid w:val="00894F3A"/>
    <w:rsid w:val="00895128"/>
    <w:rsid w:val="00895189"/>
    <w:rsid w:val="00895530"/>
    <w:rsid w:val="00895902"/>
    <w:rsid w:val="008965B0"/>
    <w:rsid w:val="00896680"/>
    <w:rsid w:val="0089677F"/>
    <w:rsid w:val="00897644"/>
    <w:rsid w:val="008A019E"/>
    <w:rsid w:val="008A09FD"/>
    <w:rsid w:val="008A0B8C"/>
    <w:rsid w:val="008A163D"/>
    <w:rsid w:val="008A1717"/>
    <w:rsid w:val="008A1C03"/>
    <w:rsid w:val="008A21A8"/>
    <w:rsid w:val="008A3179"/>
    <w:rsid w:val="008A32C6"/>
    <w:rsid w:val="008A39A9"/>
    <w:rsid w:val="008A3A2F"/>
    <w:rsid w:val="008A5648"/>
    <w:rsid w:val="008A56F2"/>
    <w:rsid w:val="008A5DA3"/>
    <w:rsid w:val="008A6129"/>
    <w:rsid w:val="008A6432"/>
    <w:rsid w:val="008A68E3"/>
    <w:rsid w:val="008A6C96"/>
    <w:rsid w:val="008A6FC1"/>
    <w:rsid w:val="008A7244"/>
    <w:rsid w:val="008A7592"/>
    <w:rsid w:val="008A7682"/>
    <w:rsid w:val="008A76D0"/>
    <w:rsid w:val="008A7CC0"/>
    <w:rsid w:val="008B0431"/>
    <w:rsid w:val="008B059A"/>
    <w:rsid w:val="008B06A8"/>
    <w:rsid w:val="008B07C4"/>
    <w:rsid w:val="008B080E"/>
    <w:rsid w:val="008B0AC6"/>
    <w:rsid w:val="008B0BF3"/>
    <w:rsid w:val="008B14F6"/>
    <w:rsid w:val="008B178E"/>
    <w:rsid w:val="008B1A52"/>
    <w:rsid w:val="008B1F7B"/>
    <w:rsid w:val="008B1FA4"/>
    <w:rsid w:val="008B20CA"/>
    <w:rsid w:val="008B2332"/>
    <w:rsid w:val="008B2474"/>
    <w:rsid w:val="008B2F1D"/>
    <w:rsid w:val="008B2FBA"/>
    <w:rsid w:val="008B39CA"/>
    <w:rsid w:val="008B429C"/>
    <w:rsid w:val="008B449A"/>
    <w:rsid w:val="008B4D8E"/>
    <w:rsid w:val="008B532E"/>
    <w:rsid w:val="008B55D0"/>
    <w:rsid w:val="008B5868"/>
    <w:rsid w:val="008B5960"/>
    <w:rsid w:val="008B5F12"/>
    <w:rsid w:val="008B5F24"/>
    <w:rsid w:val="008B6016"/>
    <w:rsid w:val="008B6961"/>
    <w:rsid w:val="008B6CB5"/>
    <w:rsid w:val="008B726E"/>
    <w:rsid w:val="008B798A"/>
    <w:rsid w:val="008B7F08"/>
    <w:rsid w:val="008C04A2"/>
    <w:rsid w:val="008C08D2"/>
    <w:rsid w:val="008C09EE"/>
    <w:rsid w:val="008C1248"/>
    <w:rsid w:val="008C127C"/>
    <w:rsid w:val="008C1555"/>
    <w:rsid w:val="008C1721"/>
    <w:rsid w:val="008C19C7"/>
    <w:rsid w:val="008C2661"/>
    <w:rsid w:val="008C34EF"/>
    <w:rsid w:val="008C39E9"/>
    <w:rsid w:val="008C3A14"/>
    <w:rsid w:val="008C4377"/>
    <w:rsid w:val="008C43F6"/>
    <w:rsid w:val="008C4A3F"/>
    <w:rsid w:val="008C4DF9"/>
    <w:rsid w:val="008C58AD"/>
    <w:rsid w:val="008C59C4"/>
    <w:rsid w:val="008C5AF8"/>
    <w:rsid w:val="008C5BFC"/>
    <w:rsid w:val="008C61F1"/>
    <w:rsid w:val="008C7414"/>
    <w:rsid w:val="008C7705"/>
    <w:rsid w:val="008D1141"/>
    <w:rsid w:val="008D1536"/>
    <w:rsid w:val="008D1ADF"/>
    <w:rsid w:val="008D1BAF"/>
    <w:rsid w:val="008D27D2"/>
    <w:rsid w:val="008D2939"/>
    <w:rsid w:val="008D2ACA"/>
    <w:rsid w:val="008D30FB"/>
    <w:rsid w:val="008D397E"/>
    <w:rsid w:val="008D4E5F"/>
    <w:rsid w:val="008D57B6"/>
    <w:rsid w:val="008D6189"/>
    <w:rsid w:val="008D61FD"/>
    <w:rsid w:val="008D63EA"/>
    <w:rsid w:val="008D6B52"/>
    <w:rsid w:val="008D6C3D"/>
    <w:rsid w:val="008D6EE4"/>
    <w:rsid w:val="008D71DC"/>
    <w:rsid w:val="008D72D7"/>
    <w:rsid w:val="008D731C"/>
    <w:rsid w:val="008D737D"/>
    <w:rsid w:val="008D7610"/>
    <w:rsid w:val="008D7D0D"/>
    <w:rsid w:val="008E02E8"/>
    <w:rsid w:val="008E0469"/>
    <w:rsid w:val="008E0DB0"/>
    <w:rsid w:val="008E1354"/>
    <w:rsid w:val="008E157D"/>
    <w:rsid w:val="008E1595"/>
    <w:rsid w:val="008E1DE7"/>
    <w:rsid w:val="008E2132"/>
    <w:rsid w:val="008E247A"/>
    <w:rsid w:val="008E24BC"/>
    <w:rsid w:val="008E2AEF"/>
    <w:rsid w:val="008E32C0"/>
    <w:rsid w:val="008E3588"/>
    <w:rsid w:val="008E499B"/>
    <w:rsid w:val="008E565E"/>
    <w:rsid w:val="008E5BCF"/>
    <w:rsid w:val="008E5CC2"/>
    <w:rsid w:val="008E5D7F"/>
    <w:rsid w:val="008E62E1"/>
    <w:rsid w:val="008E6360"/>
    <w:rsid w:val="008E6F66"/>
    <w:rsid w:val="008E7327"/>
    <w:rsid w:val="008E7EF0"/>
    <w:rsid w:val="008F0385"/>
    <w:rsid w:val="008F199F"/>
    <w:rsid w:val="008F1E86"/>
    <w:rsid w:val="008F21DD"/>
    <w:rsid w:val="008F24CA"/>
    <w:rsid w:val="008F2720"/>
    <w:rsid w:val="008F34E4"/>
    <w:rsid w:val="008F3C2A"/>
    <w:rsid w:val="008F3FF5"/>
    <w:rsid w:val="008F43CE"/>
    <w:rsid w:val="008F4B57"/>
    <w:rsid w:val="008F4F66"/>
    <w:rsid w:val="008F4FC1"/>
    <w:rsid w:val="008F528B"/>
    <w:rsid w:val="008F565F"/>
    <w:rsid w:val="008F661A"/>
    <w:rsid w:val="008F738F"/>
    <w:rsid w:val="008F7F12"/>
    <w:rsid w:val="00900326"/>
    <w:rsid w:val="0090051F"/>
    <w:rsid w:val="00900B1E"/>
    <w:rsid w:val="00900ED8"/>
    <w:rsid w:val="00900EE5"/>
    <w:rsid w:val="009011BA"/>
    <w:rsid w:val="00901848"/>
    <w:rsid w:val="0090252F"/>
    <w:rsid w:val="00903022"/>
    <w:rsid w:val="00903751"/>
    <w:rsid w:val="00904933"/>
    <w:rsid w:val="00904976"/>
    <w:rsid w:val="00904A4C"/>
    <w:rsid w:val="00904A9E"/>
    <w:rsid w:val="00904F89"/>
    <w:rsid w:val="009057B3"/>
    <w:rsid w:val="0090713C"/>
    <w:rsid w:val="00907568"/>
    <w:rsid w:val="0091167A"/>
    <w:rsid w:val="009117B8"/>
    <w:rsid w:val="00911B39"/>
    <w:rsid w:val="00912E00"/>
    <w:rsid w:val="00912F1B"/>
    <w:rsid w:val="0091350E"/>
    <w:rsid w:val="0091423C"/>
    <w:rsid w:val="00914823"/>
    <w:rsid w:val="00915434"/>
    <w:rsid w:val="009154A1"/>
    <w:rsid w:val="00915A22"/>
    <w:rsid w:val="00915C4E"/>
    <w:rsid w:val="00915E8F"/>
    <w:rsid w:val="00916101"/>
    <w:rsid w:val="00916136"/>
    <w:rsid w:val="00916452"/>
    <w:rsid w:val="009170AB"/>
    <w:rsid w:val="0091750F"/>
    <w:rsid w:val="00917707"/>
    <w:rsid w:val="009177C3"/>
    <w:rsid w:val="00917CB0"/>
    <w:rsid w:val="00917D1B"/>
    <w:rsid w:val="00920444"/>
    <w:rsid w:val="009209B3"/>
    <w:rsid w:val="009209B6"/>
    <w:rsid w:val="00920EBD"/>
    <w:rsid w:val="00920F34"/>
    <w:rsid w:val="00920FA7"/>
    <w:rsid w:val="009216CE"/>
    <w:rsid w:val="00921C4C"/>
    <w:rsid w:val="00921C69"/>
    <w:rsid w:val="00921FAB"/>
    <w:rsid w:val="00922A15"/>
    <w:rsid w:val="00922A73"/>
    <w:rsid w:val="00922F3A"/>
    <w:rsid w:val="009231E0"/>
    <w:rsid w:val="00923DD1"/>
    <w:rsid w:val="00923E76"/>
    <w:rsid w:val="0092468B"/>
    <w:rsid w:val="009246FE"/>
    <w:rsid w:val="009248C9"/>
    <w:rsid w:val="00924DA8"/>
    <w:rsid w:val="00925661"/>
    <w:rsid w:val="00925A48"/>
    <w:rsid w:val="00925D5D"/>
    <w:rsid w:val="00926E44"/>
    <w:rsid w:val="0092714A"/>
    <w:rsid w:val="0092755F"/>
    <w:rsid w:val="00930A0F"/>
    <w:rsid w:val="00930ED6"/>
    <w:rsid w:val="0093126C"/>
    <w:rsid w:val="009317B0"/>
    <w:rsid w:val="0093268E"/>
    <w:rsid w:val="00932CDF"/>
    <w:rsid w:val="00933683"/>
    <w:rsid w:val="00933A09"/>
    <w:rsid w:val="00933D5B"/>
    <w:rsid w:val="00933DB2"/>
    <w:rsid w:val="0093404B"/>
    <w:rsid w:val="009340D8"/>
    <w:rsid w:val="009346C7"/>
    <w:rsid w:val="00934927"/>
    <w:rsid w:val="00934F22"/>
    <w:rsid w:val="0093521D"/>
    <w:rsid w:val="009354EE"/>
    <w:rsid w:val="00935732"/>
    <w:rsid w:val="0093627A"/>
    <w:rsid w:val="0093665E"/>
    <w:rsid w:val="00936717"/>
    <w:rsid w:val="00940360"/>
    <w:rsid w:val="00940403"/>
    <w:rsid w:val="009409A8"/>
    <w:rsid w:val="009419BB"/>
    <w:rsid w:val="00941E9B"/>
    <w:rsid w:val="009420FB"/>
    <w:rsid w:val="0094234E"/>
    <w:rsid w:val="00942D36"/>
    <w:rsid w:val="00943AB7"/>
    <w:rsid w:val="009445FC"/>
    <w:rsid w:val="00944EFC"/>
    <w:rsid w:val="009454B7"/>
    <w:rsid w:val="00945D32"/>
    <w:rsid w:val="00945F4B"/>
    <w:rsid w:val="00945F9F"/>
    <w:rsid w:val="0094614B"/>
    <w:rsid w:val="0094617D"/>
    <w:rsid w:val="00947486"/>
    <w:rsid w:val="0094749D"/>
    <w:rsid w:val="009476C3"/>
    <w:rsid w:val="00947CCA"/>
    <w:rsid w:val="00950097"/>
    <w:rsid w:val="009503A6"/>
    <w:rsid w:val="00950BBF"/>
    <w:rsid w:val="00950F01"/>
    <w:rsid w:val="00950F6F"/>
    <w:rsid w:val="009516AD"/>
    <w:rsid w:val="00951889"/>
    <w:rsid w:val="00951EE9"/>
    <w:rsid w:val="00952142"/>
    <w:rsid w:val="009524D7"/>
    <w:rsid w:val="00952663"/>
    <w:rsid w:val="00952752"/>
    <w:rsid w:val="00952806"/>
    <w:rsid w:val="00952A32"/>
    <w:rsid w:val="00952EC1"/>
    <w:rsid w:val="0095356A"/>
    <w:rsid w:val="009535FB"/>
    <w:rsid w:val="00953714"/>
    <w:rsid w:val="009545D1"/>
    <w:rsid w:val="00954AAC"/>
    <w:rsid w:val="00954CD9"/>
    <w:rsid w:val="00954D72"/>
    <w:rsid w:val="00955122"/>
    <w:rsid w:val="0095522A"/>
    <w:rsid w:val="009552CA"/>
    <w:rsid w:val="0095549A"/>
    <w:rsid w:val="00955948"/>
    <w:rsid w:val="0095596E"/>
    <w:rsid w:val="00955CAE"/>
    <w:rsid w:val="00955F8B"/>
    <w:rsid w:val="0095601B"/>
    <w:rsid w:val="009562AD"/>
    <w:rsid w:val="00956781"/>
    <w:rsid w:val="00956AF9"/>
    <w:rsid w:val="0095767F"/>
    <w:rsid w:val="009578CD"/>
    <w:rsid w:val="00960115"/>
    <w:rsid w:val="00960CCB"/>
    <w:rsid w:val="00961066"/>
    <w:rsid w:val="009610F0"/>
    <w:rsid w:val="009617E6"/>
    <w:rsid w:val="00961E85"/>
    <w:rsid w:val="0096326A"/>
    <w:rsid w:val="00963325"/>
    <w:rsid w:val="00963611"/>
    <w:rsid w:val="0096361F"/>
    <w:rsid w:val="00963634"/>
    <w:rsid w:val="00963736"/>
    <w:rsid w:val="00964FB5"/>
    <w:rsid w:val="00965022"/>
    <w:rsid w:val="00965082"/>
    <w:rsid w:val="009656EC"/>
    <w:rsid w:val="009659F6"/>
    <w:rsid w:val="0096654E"/>
    <w:rsid w:val="00966A0D"/>
    <w:rsid w:val="00966BE4"/>
    <w:rsid w:val="0096752F"/>
    <w:rsid w:val="00967816"/>
    <w:rsid w:val="00967EFE"/>
    <w:rsid w:val="0097002A"/>
    <w:rsid w:val="009702DC"/>
    <w:rsid w:val="00970870"/>
    <w:rsid w:val="00970F4E"/>
    <w:rsid w:val="009713BF"/>
    <w:rsid w:val="00971CBA"/>
    <w:rsid w:val="009723D3"/>
    <w:rsid w:val="0097263C"/>
    <w:rsid w:val="009726D2"/>
    <w:rsid w:val="0097273D"/>
    <w:rsid w:val="009737B9"/>
    <w:rsid w:val="009739F4"/>
    <w:rsid w:val="0097428D"/>
    <w:rsid w:val="00974C64"/>
    <w:rsid w:val="00974E3C"/>
    <w:rsid w:val="009754B4"/>
    <w:rsid w:val="009759C7"/>
    <w:rsid w:val="00975CF8"/>
    <w:rsid w:val="00976B7D"/>
    <w:rsid w:val="00976BC1"/>
    <w:rsid w:val="0097721A"/>
    <w:rsid w:val="0097761E"/>
    <w:rsid w:val="0098000C"/>
    <w:rsid w:val="0098086E"/>
    <w:rsid w:val="00980AC9"/>
    <w:rsid w:val="00980B24"/>
    <w:rsid w:val="009814B6"/>
    <w:rsid w:val="009815C2"/>
    <w:rsid w:val="0098179A"/>
    <w:rsid w:val="009819C4"/>
    <w:rsid w:val="009819CE"/>
    <w:rsid w:val="00981B66"/>
    <w:rsid w:val="00981F9C"/>
    <w:rsid w:val="00982A98"/>
    <w:rsid w:val="00982B7D"/>
    <w:rsid w:val="00983065"/>
    <w:rsid w:val="009831FA"/>
    <w:rsid w:val="00983383"/>
    <w:rsid w:val="009835D5"/>
    <w:rsid w:val="00983A37"/>
    <w:rsid w:val="00983F42"/>
    <w:rsid w:val="00983F9B"/>
    <w:rsid w:val="009842E6"/>
    <w:rsid w:val="00984A91"/>
    <w:rsid w:val="00984C6B"/>
    <w:rsid w:val="00984E36"/>
    <w:rsid w:val="00984F77"/>
    <w:rsid w:val="0098501D"/>
    <w:rsid w:val="00985496"/>
    <w:rsid w:val="0098563B"/>
    <w:rsid w:val="0098581D"/>
    <w:rsid w:val="00985E70"/>
    <w:rsid w:val="0098646C"/>
    <w:rsid w:val="00986D1A"/>
    <w:rsid w:val="00986EEC"/>
    <w:rsid w:val="00987690"/>
    <w:rsid w:val="00987F99"/>
    <w:rsid w:val="00990051"/>
    <w:rsid w:val="0099020B"/>
    <w:rsid w:val="00990512"/>
    <w:rsid w:val="0099074B"/>
    <w:rsid w:val="00990776"/>
    <w:rsid w:val="009907C5"/>
    <w:rsid w:val="00990AD3"/>
    <w:rsid w:val="0099118D"/>
    <w:rsid w:val="00991894"/>
    <w:rsid w:val="00991C49"/>
    <w:rsid w:val="00991C6B"/>
    <w:rsid w:val="00991E69"/>
    <w:rsid w:val="009926E4"/>
    <w:rsid w:val="00992CC1"/>
    <w:rsid w:val="009930A4"/>
    <w:rsid w:val="00993853"/>
    <w:rsid w:val="00993A2F"/>
    <w:rsid w:val="00993A85"/>
    <w:rsid w:val="00993B13"/>
    <w:rsid w:val="00993BEA"/>
    <w:rsid w:val="00994621"/>
    <w:rsid w:val="009954EF"/>
    <w:rsid w:val="00995825"/>
    <w:rsid w:val="009967B5"/>
    <w:rsid w:val="00996985"/>
    <w:rsid w:val="00996D55"/>
    <w:rsid w:val="00997417"/>
    <w:rsid w:val="00997484"/>
    <w:rsid w:val="00997FC6"/>
    <w:rsid w:val="009A0704"/>
    <w:rsid w:val="009A0E4F"/>
    <w:rsid w:val="009A100E"/>
    <w:rsid w:val="009A12D7"/>
    <w:rsid w:val="009A13D9"/>
    <w:rsid w:val="009A1A81"/>
    <w:rsid w:val="009A1ED6"/>
    <w:rsid w:val="009A24FF"/>
    <w:rsid w:val="009A25F4"/>
    <w:rsid w:val="009A3203"/>
    <w:rsid w:val="009A3316"/>
    <w:rsid w:val="009A372F"/>
    <w:rsid w:val="009A38F1"/>
    <w:rsid w:val="009A3B96"/>
    <w:rsid w:val="009A4694"/>
    <w:rsid w:val="009A4829"/>
    <w:rsid w:val="009A4D52"/>
    <w:rsid w:val="009A50D0"/>
    <w:rsid w:val="009A5465"/>
    <w:rsid w:val="009A5502"/>
    <w:rsid w:val="009A5569"/>
    <w:rsid w:val="009A5856"/>
    <w:rsid w:val="009A5A5B"/>
    <w:rsid w:val="009A5E87"/>
    <w:rsid w:val="009A60BC"/>
    <w:rsid w:val="009A60D1"/>
    <w:rsid w:val="009A6203"/>
    <w:rsid w:val="009A658E"/>
    <w:rsid w:val="009A65E2"/>
    <w:rsid w:val="009A7500"/>
    <w:rsid w:val="009A7B2C"/>
    <w:rsid w:val="009A7FD3"/>
    <w:rsid w:val="009B15B4"/>
    <w:rsid w:val="009B1AC2"/>
    <w:rsid w:val="009B1DD1"/>
    <w:rsid w:val="009B268F"/>
    <w:rsid w:val="009B282F"/>
    <w:rsid w:val="009B3EC4"/>
    <w:rsid w:val="009B40CF"/>
    <w:rsid w:val="009B4FA9"/>
    <w:rsid w:val="009B55D7"/>
    <w:rsid w:val="009B577A"/>
    <w:rsid w:val="009B5A4B"/>
    <w:rsid w:val="009B5FD0"/>
    <w:rsid w:val="009B63E3"/>
    <w:rsid w:val="009B6F0F"/>
    <w:rsid w:val="009B70B1"/>
    <w:rsid w:val="009B70B4"/>
    <w:rsid w:val="009B7696"/>
    <w:rsid w:val="009B7B96"/>
    <w:rsid w:val="009C0048"/>
    <w:rsid w:val="009C01B9"/>
    <w:rsid w:val="009C0508"/>
    <w:rsid w:val="009C0BE9"/>
    <w:rsid w:val="009C0DB5"/>
    <w:rsid w:val="009C103E"/>
    <w:rsid w:val="009C124F"/>
    <w:rsid w:val="009C1362"/>
    <w:rsid w:val="009C19B8"/>
    <w:rsid w:val="009C2179"/>
    <w:rsid w:val="009C27D6"/>
    <w:rsid w:val="009C3301"/>
    <w:rsid w:val="009C3B62"/>
    <w:rsid w:val="009C3CCC"/>
    <w:rsid w:val="009C3E32"/>
    <w:rsid w:val="009C3F77"/>
    <w:rsid w:val="009C4B24"/>
    <w:rsid w:val="009C4E06"/>
    <w:rsid w:val="009C6B95"/>
    <w:rsid w:val="009C6F43"/>
    <w:rsid w:val="009C7166"/>
    <w:rsid w:val="009C753B"/>
    <w:rsid w:val="009D03F4"/>
    <w:rsid w:val="009D0522"/>
    <w:rsid w:val="009D119F"/>
    <w:rsid w:val="009D126B"/>
    <w:rsid w:val="009D1664"/>
    <w:rsid w:val="009D1714"/>
    <w:rsid w:val="009D1831"/>
    <w:rsid w:val="009D1BE2"/>
    <w:rsid w:val="009D1F05"/>
    <w:rsid w:val="009D2A4F"/>
    <w:rsid w:val="009D2C89"/>
    <w:rsid w:val="009D2F13"/>
    <w:rsid w:val="009D365D"/>
    <w:rsid w:val="009D4042"/>
    <w:rsid w:val="009D42DE"/>
    <w:rsid w:val="009D49F9"/>
    <w:rsid w:val="009D5893"/>
    <w:rsid w:val="009D60F8"/>
    <w:rsid w:val="009D6BC2"/>
    <w:rsid w:val="009D6EBF"/>
    <w:rsid w:val="009D778D"/>
    <w:rsid w:val="009D7BA1"/>
    <w:rsid w:val="009D7C61"/>
    <w:rsid w:val="009D7CD5"/>
    <w:rsid w:val="009D7D5E"/>
    <w:rsid w:val="009D7E72"/>
    <w:rsid w:val="009D7EFC"/>
    <w:rsid w:val="009E090D"/>
    <w:rsid w:val="009E0EC5"/>
    <w:rsid w:val="009E1486"/>
    <w:rsid w:val="009E16CD"/>
    <w:rsid w:val="009E1B4E"/>
    <w:rsid w:val="009E2008"/>
    <w:rsid w:val="009E22E9"/>
    <w:rsid w:val="009E29BF"/>
    <w:rsid w:val="009E2A67"/>
    <w:rsid w:val="009E2C1C"/>
    <w:rsid w:val="009E3164"/>
    <w:rsid w:val="009E318B"/>
    <w:rsid w:val="009E34DF"/>
    <w:rsid w:val="009E3573"/>
    <w:rsid w:val="009E37AA"/>
    <w:rsid w:val="009E37F8"/>
    <w:rsid w:val="009E3D43"/>
    <w:rsid w:val="009E43B8"/>
    <w:rsid w:val="009E50DF"/>
    <w:rsid w:val="009E515C"/>
    <w:rsid w:val="009E5519"/>
    <w:rsid w:val="009E5FE9"/>
    <w:rsid w:val="009E67C0"/>
    <w:rsid w:val="009E6BF9"/>
    <w:rsid w:val="009E6E5A"/>
    <w:rsid w:val="009E707A"/>
    <w:rsid w:val="009E7754"/>
    <w:rsid w:val="009E7A73"/>
    <w:rsid w:val="009F0434"/>
    <w:rsid w:val="009F068D"/>
    <w:rsid w:val="009F0738"/>
    <w:rsid w:val="009F09B0"/>
    <w:rsid w:val="009F10C1"/>
    <w:rsid w:val="009F15AD"/>
    <w:rsid w:val="009F1947"/>
    <w:rsid w:val="009F1F66"/>
    <w:rsid w:val="009F2830"/>
    <w:rsid w:val="009F296A"/>
    <w:rsid w:val="009F3F82"/>
    <w:rsid w:val="009F3FDA"/>
    <w:rsid w:val="009F4423"/>
    <w:rsid w:val="009F4593"/>
    <w:rsid w:val="009F4765"/>
    <w:rsid w:val="009F50E7"/>
    <w:rsid w:val="009F56C8"/>
    <w:rsid w:val="009F5706"/>
    <w:rsid w:val="009F573C"/>
    <w:rsid w:val="009F57C8"/>
    <w:rsid w:val="009F57E1"/>
    <w:rsid w:val="009F5D35"/>
    <w:rsid w:val="009F6AA8"/>
    <w:rsid w:val="009F6FC3"/>
    <w:rsid w:val="009F7109"/>
    <w:rsid w:val="009F74FC"/>
    <w:rsid w:val="009F7648"/>
    <w:rsid w:val="009F775C"/>
    <w:rsid w:val="009F7CAD"/>
    <w:rsid w:val="00A00B43"/>
    <w:rsid w:val="00A0234D"/>
    <w:rsid w:val="00A027FC"/>
    <w:rsid w:val="00A02873"/>
    <w:rsid w:val="00A02A27"/>
    <w:rsid w:val="00A02A29"/>
    <w:rsid w:val="00A02A2B"/>
    <w:rsid w:val="00A02A5C"/>
    <w:rsid w:val="00A02DA1"/>
    <w:rsid w:val="00A0403F"/>
    <w:rsid w:val="00A04206"/>
    <w:rsid w:val="00A044D9"/>
    <w:rsid w:val="00A04676"/>
    <w:rsid w:val="00A04702"/>
    <w:rsid w:val="00A0483C"/>
    <w:rsid w:val="00A04B03"/>
    <w:rsid w:val="00A05240"/>
    <w:rsid w:val="00A06228"/>
    <w:rsid w:val="00A065F5"/>
    <w:rsid w:val="00A06759"/>
    <w:rsid w:val="00A07219"/>
    <w:rsid w:val="00A07369"/>
    <w:rsid w:val="00A07490"/>
    <w:rsid w:val="00A113B6"/>
    <w:rsid w:val="00A114D4"/>
    <w:rsid w:val="00A116EB"/>
    <w:rsid w:val="00A11DF0"/>
    <w:rsid w:val="00A11F70"/>
    <w:rsid w:val="00A122F4"/>
    <w:rsid w:val="00A12634"/>
    <w:rsid w:val="00A12872"/>
    <w:rsid w:val="00A13164"/>
    <w:rsid w:val="00A1345C"/>
    <w:rsid w:val="00A140DC"/>
    <w:rsid w:val="00A141B4"/>
    <w:rsid w:val="00A14CB4"/>
    <w:rsid w:val="00A14D3D"/>
    <w:rsid w:val="00A14DD5"/>
    <w:rsid w:val="00A15A40"/>
    <w:rsid w:val="00A17AC9"/>
    <w:rsid w:val="00A17C70"/>
    <w:rsid w:val="00A17CE5"/>
    <w:rsid w:val="00A17CF2"/>
    <w:rsid w:val="00A17F1B"/>
    <w:rsid w:val="00A2047E"/>
    <w:rsid w:val="00A20704"/>
    <w:rsid w:val="00A20D1B"/>
    <w:rsid w:val="00A20E63"/>
    <w:rsid w:val="00A20F3B"/>
    <w:rsid w:val="00A21782"/>
    <w:rsid w:val="00A21D32"/>
    <w:rsid w:val="00A21D83"/>
    <w:rsid w:val="00A21D9F"/>
    <w:rsid w:val="00A21F07"/>
    <w:rsid w:val="00A22020"/>
    <w:rsid w:val="00A22382"/>
    <w:rsid w:val="00A22ACC"/>
    <w:rsid w:val="00A233AC"/>
    <w:rsid w:val="00A23610"/>
    <w:rsid w:val="00A23646"/>
    <w:rsid w:val="00A23DE5"/>
    <w:rsid w:val="00A23E20"/>
    <w:rsid w:val="00A24757"/>
    <w:rsid w:val="00A2478C"/>
    <w:rsid w:val="00A24873"/>
    <w:rsid w:val="00A24A43"/>
    <w:rsid w:val="00A24F54"/>
    <w:rsid w:val="00A2514D"/>
    <w:rsid w:val="00A252CF"/>
    <w:rsid w:val="00A25417"/>
    <w:rsid w:val="00A2603F"/>
    <w:rsid w:val="00A2657A"/>
    <w:rsid w:val="00A26C62"/>
    <w:rsid w:val="00A276B7"/>
    <w:rsid w:val="00A2788E"/>
    <w:rsid w:val="00A30F8D"/>
    <w:rsid w:val="00A31DD1"/>
    <w:rsid w:val="00A32A8C"/>
    <w:rsid w:val="00A32D69"/>
    <w:rsid w:val="00A338C7"/>
    <w:rsid w:val="00A33DC6"/>
    <w:rsid w:val="00A3486A"/>
    <w:rsid w:val="00A349F5"/>
    <w:rsid w:val="00A34C1B"/>
    <w:rsid w:val="00A34CE4"/>
    <w:rsid w:val="00A35469"/>
    <w:rsid w:val="00A355A4"/>
    <w:rsid w:val="00A355B4"/>
    <w:rsid w:val="00A35B43"/>
    <w:rsid w:val="00A35D31"/>
    <w:rsid w:val="00A360D5"/>
    <w:rsid w:val="00A3682D"/>
    <w:rsid w:val="00A36A6A"/>
    <w:rsid w:val="00A36AA8"/>
    <w:rsid w:val="00A36AED"/>
    <w:rsid w:val="00A36D59"/>
    <w:rsid w:val="00A3782D"/>
    <w:rsid w:val="00A37A82"/>
    <w:rsid w:val="00A40E6D"/>
    <w:rsid w:val="00A4138F"/>
    <w:rsid w:val="00A41674"/>
    <w:rsid w:val="00A41728"/>
    <w:rsid w:val="00A41872"/>
    <w:rsid w:val="00A41F90"/>
    <w:rsid w:val="00A436F9"/>
    <w:rsid w:val="00A438F1"/>
    <w:rsid w:val="00A442DD"/>
    <w:rsid w:val="00A44734"/>
    <w:rsid w:val="00A448B4"/>
    <w:rsid w:val="00A44AFA"/>
    <w:rsid w:val="00A44CE3"/>
    <w:rsid w:val="00A451F8"/>
    <w:rsid w:val="00A4612D"/>
    <w:rsid w:val="00A47037"/>
    <w:rsid w:val="00A50CD8"/>
    <w:rsid w:val="00A510CA"/>
    <w:rsid w:val="00A51F78"/>
    <w:rsid w:val="00A5230F"/>
    <w:rsid w:val="00A526CB"/>
    <w:rsid w:val="00A527AF"/>
    <w:rsid w:val="00A52890"/>
    <w:rsid w:val="00A5324E"/>
    <w:rsid w:val="00A53527"/>
    <w:rsid w:val="00A5377C"/>
    <w:rsid w:val="00A53791"/>
    <w:rsid w:val="00A53930"/>
    <w:rsid w:val="00A541AD"/>
    <w:rsid w:val="00A543D0"/>
    <w:rsid w:val="00A54405"/>
    <w:rsid w:val="00A54764"/>
    <w:rsid w:val="00A54AD9"/>
    <w:rsid w:val="00A55E86"/>
    <w:rsid w:val="00A55FDC"/>
    <w:rsid w:val="00A56270"/>
    <w:rsid w:val="00A56410"/>
    <w:rsid w:val="00A5662C"/>
    <w:rsid w:val="00A574E8"/>
    <w:rsid w:val="00A578E4"/>
    <w:rsid w:val="00A57C70"/>
    <w:rsid w:val="00A601D7"/>
    <w:rsid w:val="00A60213"/>
    <w:rsid w:val="00A60312"/>
    <w:rsid w:val="00A603D4"/>
    <w:rsid w:val="00A60915"/>
    <w:rsid w:val="00A60CBB"/>
    <w:rsid w:val="00A60FA7"/>
    <w:rsid w:val="00A610F8"/>
    <w:rsid w:val="00A615E2"/>
    <w:rsid w:val="00A618B1"/>
    <w:rsid w:val="00A61BC5"/>
    <w:rsid w:val="00A61DEA"/>
    <w:rsid w:val="00A61E0F"/>
    <w:rsid w:val="00A61E26"/>
    <w:rsid w:val="00A627BC"/>
    <w:rsid w:val="00A62845"/>
    <w:rsid w:val="00A629DB"/>
    <w:rsid w:val="00A62CB0"/>
    <w:rsid w:val="00A62FCB"/>
    <w:rsid w:val="00A63095"/>
    <w:rsid w:val="00A63E5E"/>
    <w:rsid w:val="00A6442F"/>
    <w:rsid w:val="00A64757"/>
    <w:rsid w:val="00A64AEA"/>
    <w:rsid w:val="00A64B9F"/>
    <w:rsid w:val="00A65914"/>
    <w:rsid w:val="00A65A6B"/>
    <w:rsid w:val="00A665E7"/>
    <w:rsid w:val="00A67DA9"/>
    <w:rsid w:val="00A702FD"/>
    <w:rsid w:val="00A704A0"/>
    <w:rsid w:val="00A705B0"/>
    <w:rsid w:val="00A70819"/>
    <w:rsid w:val="00A70A0B"/>
    <w:rsid w:val="00A70AE5"/>
    <w:rsid w:val="00A715E6"/>
    <w:rsid w:val="00A71E12"/>
    <w:rsid w:val="00A71E6A"/>
    <w:rsid w:val="00A720A9"/>
    <w:rsid w:val="00A7240C"/>
    <w:rsid w:val="00A7297D"/>
    <w:rsid w:val="00A72A7A"/>
    <w:rsid w:val="00A737C9"/>
    <w:rsid w:val="00A74160"/>
    <w:rsid w:val="00A756B8"/>
    <w:rsid w:val="00A7585A"/>
    <w:rsid w:val="00A758FF"/>
    <w:rsid w:val="00A75FCB"/>
    <w:rsid w:val="00A76765"/>
    <w:rsid w:val="00A76854"/>
    <w:rsid w:val="00A77DAF"/>
    <w:rsid w:val="00A77F3C"/>
    <w:rsid w:val="00A80211"/>
    <w:rsid w:val="00A803D3"/>
    <w:rsid w:val="00A804FA"/>
    <w:rsid w:val="00A8087F"/>
    <w:rsid w:val="00A81087"/>
    <w:rsid w:val="00A81322"/>
    <w:rsid w:val="00A81785"/>
    <w:rsid w:val="00A82560"/>
    <w:rsid w:val="00A82FF7"/>
    <w:rsid w:val="00A8366C"/>
    <w:rsid w:val="00A836F0"/>
    <w:rsid w:val="00A83A1D"/>
    <w:rsid w:val="00A844B4"/>
    <w:rsid w:val="00A84748"/>
    <w:rsid w:val="00A84D8D"/>
    <w:rsid w:val="00A84D8F"/>
    <w:rsid w:val="00A861AD"/>
    <w:rsid w:val="00A8698B"/>
    <w:rsid w:val="00A86EA4"/>
    <w:rsid w:val="00A87C6C"/>
    <w:rsid w:val="00A87CFD"/>
    <w:rsid w:val="00A900E6"/>
    <w:rsid w:val="00A90108"/>
    <w:rsid w:val="00A903FB"/>
    <w:rsid w:val="00A90411"/>
    <w:rsid w:val="00A90AF9"/>
    <w:rsid w:val="00A90E0B"/>
    <w:rsid w:val="00A9116F"/>
    <w:rsid w:val="00A9171D"/>
    <w:rsid w:val="00A928C2"/>
    <w:rsid w:val="00A92A7E"/>
    <w:rsid w:val="00A92F1A"/>
    <w:rsid w:val="00A93147"/>
    <w:rsid w:val="00A93874"/>
    <w:rsid w:val="00A93C95"/>
    <w:rsid w:val="00A94A61"/>
    <w:rsid w:val="00A94C6B"/>
    <w:rsid w:val="00A94CCD"/>
    <w:rsid w:val="00A94DD7"/>
    <w:rsid w:val="00A957B6"/>
    <w:rsid w:val="00A96246"/>
    <w:rsid w:val="00A969FB"/>
    <w:rsid w:val="00A96CF9"/>
    <w:rsid w:val="00A96F60"/>
    <w:rsid w:val="00A97026"/>
    <w:rsid w:val="00A97250"/>
    <w:rsid w:val="00A974C0"/>
    <w:rsid w:val="00AA033D"/>
    <w:rsid w:val="00AA0CA3"/>
    <w:rsid w:val="00AA1759"/>
    <w:rsid w:val="00AA1C7E"/>
    <w:rsid w:val="00AA2944"/>
    <w:rsid w:val="00AA2A8E"/>
    <w:rsid w:val="00AA3243"/>
    <w:rsid w:val="00AA3603"/>
    <w:rsid w:val="00AA3625"/>
    <w:rsid w:val="00AA387E"/>
    <w:rsid w:val="00AA39CA"/>
    <w:rsid w:val="00AA4303"/>
    <w:rsid w:val="00AA47A5"/>
    <w:rsid w:val="00AA49F0"/>
    <w:rsid w:val="00AA4A71"/>
    <w:rsid w:val="00AA4C8F"/>
    <w:rsid w:val="00AA4D56"/>
    <w:rsid w:val="00AA54D4"/>
    <w:rsid w:val="00AA56CD"/>
    <w:rsid w:val="00AA663C"/>
    <w:rsid w:val="00AA6B54"/>
    <w:rsid w:val="00AA6D44"/>
    <w:rsid w:val="00AA7017"/>
    <w:rsid w:val="00AA74A4"/>
    <w:rsid w:val="00AA776D"/>
    <w:rsid w:val="00AA7DC6"/>
    <w:rsid w:val="00AA7F48"/>
    <w:rsid w:val="00AB058E"/>
    <w:rsid w:val="00AB114C"/>
    <w:rsid w:val="00AB11E4"/>
    <w:rsid w:val="00AB13AB"/>
    <w:rsid w:val="00AB199B"/>
    <w:rsid w:val="00AB1F71"/>
    <w:rsid w:val="00AB23E6"/>
    <w:rsid w:val="00AB272D"/>
    <w:rsid w:val="00AB275B"/>
    <w:rsid w:val="00AB2B7A"/>
    <w:rsid w:val="00AB2C22"/>
    <w:rsid w:val="00AB2D52"/>
    <w:rsid w:val="00AB4375"/>
    <w:rsid w:val="00AB4490"/>
    <w:rsid w:val="00AB5EC8"/>
    <w:rsid w:val="00AB63D8"/>
    <w:rsid w:val="00AB6787"/>
    <w:rsid w:val="00AB688D"/>
    <w:rsid w:val="00AB68B0"/>
    <w:rsid w:val="00AB6AC4"/>
    <w:rsid w:val="00AB6CB6"/>
    <w:rsid w:val="00AB6DEF"/>
    <w:rsid w:val="00AB7001"/>
    <w:rsid w:val="00AB752A"/>
    <w:rsid w:val="00AC007F"/>
    <w:rsid w:val="00AC014E"/>
    <w:rsid w:val="00AC03DA"/>
    <w:rsid w:val="00AC22C2"/>
    <w:rsid w:val="00AC2367"/>
    <w:rsid w:val="00AC23E6"/>
    <w:rsid w:val="00AC2531"/>
    <w:rsid w:val="00AC25F6"/>
    <w:rsid w:val="00AC2D18"/>
    <w:rsid w:val="00AC3027"/>
    <w:rsid w:val="00AC38F5"/>
    <w:rsid w:val="00AC3AD2"/>
    <w:rsid w:val="00AC4F05"/>
    <w:rsid w:val="00AC5061"/>
    <w:rsid w:val="00AC5291"/>
    <w:rsid w:val="00AC5CAC"/>
    <w:rsid w:val="00AC6001"/>
    <w:rsid w:val="00AC67FF"/>
    <w:rsid w:val="00AC7B56"/>
    <w:rsid w:val="00AC7BD4"/>
    <w:rsid w:val="00AD126D"/>
    <w:rsid w:val="00AD12A5"/>
    <w:rsid w:val="00AD1D28"/>
    <w:rsid w:val="00AD1F9B"/>
    <w:rsid w:val="00AD33B7"/>
    <w:rsid w:val="00AD352A"/>
    <w:rsid w:val="00AD38F2"/>
    <w:rsid w:val="00AD4D55"/>
    <w:rsid w:val="00AD626F"/>
    <w:rsid w:val="00AD6B26"/>
    <w:rsid w:val="00AD7BA5"/>
    <w:rsid w:val="00AD7F0F"/>
    <w:rsid w:val="00AE05AB"/>
    <w:rsid w:val="00AE1313"/>
    <w:rsid w:val="00AE23E1"/>
    <w:rsid w:val="00AE242E"/>
    <w:rsid w:val="00AE299B"/>
    <w:rsid w:val="00AE2D2E"/>
    <w:rsid w:val="00AE2F77"/>
    <w:rsid w:val="00AE30DD"/>
    <w:rsid w:val="00AE3AD5"/>
    <w:rsid w:val="00AE3D9E"/>
    <w:rsid w:val="00AE3DB3"/>
    <w:rsid w:val="00AE41E0"/>
    <w:rsid w:val="00AE42C2"/>
    <w:rsid w:val="00AE43F6"/>
    <w:rsid w:val="00AE4720"/>
    <w:rsid w:val="00AE4798"/>
    <w:rsid w:val="00AE5A21"/>
    <w:rsid w:val="00AE6287"/>
    <w:rsid w:val="00AE64E8"/>
    <w:rsid w:val="00AE6E7D"/>
    <w:rsid w:val="00AE70D8"/>
    <w:rsid w:val="00AE75BF"/>
    <w:rsid w:val="00AE78ED"/>
    <w:rsid w:val="00AE7BED"/>
    <w:rsid w:val="00AF01F3"/>
    <w:rsid w:val="00AF12A1"/>
    <w:rsid w:val="00AF1680"/>
    <w:rsid w:val="00AF24B1"/>
    <w:rsid w:val="00AF2AE8"/>
    <w:rsid w:val="00AF2F6A"/>
    <w:rsid w:val="00AF2FE0"/>
    <w:rsid w:val="00AF3417"/>
    <w:rsid w:val="00AF492F"/>
    <w:rsid w:val="00AF49A6"/>
    <w:rsid w:val="00AF4A17"/>
    <w:rsid w:val="00AF68D8"/>
    <w:rsid w:val="00AF6BA8"/>
    <w:rsid w:val="00AF714A"/>
    <w:rsid w:val="00AF71C0"/>
    <w:rsid w:val="00AF7618"/>
    <w:rsid w:val="00AF7E15"/>
    <w:rsid w:val="00B000C6"/>
    <w:rsid w:val="00B00405"/>
    <w:rsid w:val="00B0056D"/>
    <w:rsid w:val="00B00711"/>
    <w:rsid w:val="00B0082F"/>
    <w:rsid w:val="00B00867"/>
    <w:rsid w:val="00B00E3D"/>
    <w:rsid w:val="00B00EA7"/>
    <w:rsid w:val="00B01DD3"/>
    <w:rsid w:val="00B01E4F"/>
    <w:rsid w:val="00B01EDB"/>
    <w:rsid w:val="00B02D97"/>
    <w:rsid w:val="00B02E82"/>
    <w:rsid w:val="00B031F6"/>
    <w:rsid w:val="00B039D6"/>
    <w:rsid w:val="00B0462B"/>
    <w:rsid w:val="00B056B9"/>
    <w:rsid w:val="00B05E48"/>
    <w:rsid w:val="00B0600E"/>
    <w:rsid w:val="00B0634B"/>
    <w:rsid w:val="00B065B3"/>
    <w:rsid w:val="00B075C8"/>
    <w:rsid w:val="00B079D8"/>
    <w:rsid w:val="00B07AAC"/>
    <w:rsid w:val="00B105AD"/>
    <w:rsid w:val="00B10E19"/>
    <w:rsid w:val="00B11629"/>
    <w:rsid w:val="00B116CA"/>
    <w:rsid w:val="00B118A8"/>
    <w:rsid w:val="00B12658"/>
    <w:rsid w:val="00B12FEF"/>
    <w:rsid w:val="00B13480"/>
    <w:rsid w:val="00B136DB"/>
    <w:rsid w:val="00B13CDB"/>
    <w:rsid w:val="00B14007"/>
    <w:rsid w:val="00B149D4"/>
    <w:rsid w:val="00B1511F"/>
    <w:rsid w:val="00B15419"/>
    <w:rsid w:val="00B15D20"/>
    <w:rsid w:val="00B15E7C"/>
    <w:rsid w:val="00B16210"/>
    <w:rsid w:val="00B16835"/>
    <w:rsid w:val="00B17202"/>
    <w:rsid w:val="00B207B0"/>
    <w:rsid w:val="00B20AC6"/>
    <w:rsid w:val="00B21863"/>
    <w:rsid w:val="00B21FDD"/>
    <w:rsid w:val="00B2209A"/>
    <w:rsid w:val="00B220F0"/>
    <w:rsid w:val="00B22596"/>
    <w:rsid w:val="00B22739"/>
    <w:rsid w:val="00B2293D"/>
    <w:rsid w:val="00B22D7D"/>
    <w:rsid w:val="00B23039"/>
    <w:rsid w:val="00B234FF"/>
    <w:rsid w:val="00B23607"/>
    <w:rsid w:val="00B23D87"/>
    <w:rsid w:val="00B23F28"/>
    <w:rsid w:val="00B244A8"/>
    <w:rsid w:val="00B24A8E"/>
    <w:rsid w:val="00B24C82"/>
    <w:rsid w:val="00B2500D"/>
    <w:rsid w:val="00B25D09"/>
    <w:rsid w:val="00B267DB"/>
    <w:rsid w:val="00B26873"/>
    <w:rsid w:val="00B268E1"/>
    <w:rsid w:val="00B26CA4"/>
    <w:rsid w:val="00B26F4A"/>
    <w:rsid w:val="00B2719D"/>
    <w:rsid w:val="00B27D35"/>
    <w:rsid w:val="00B27FFD"/>
    <w:rsid w:val="00B303F5"/>
    <w:rsid w:val="00B30CF9"/>
    <w:rsid w:val="00B3124F"/>
    <w:rsid w:val="00B319FD"/>
    <w:rsid w:val="00B32209"/>
    <w:rsid w:val="00B32276"/>
    <w:rsid w:val="00B3300C"/>
    <w:rsid w:val="00B3317B"/>
    <w:rsid w:val="00B341F4"/>
    <w:rsid w:val="00B3468E"/>
    <w:rsid w:val="00B348AF"/>
    <w:rsid w:val="00B34B80"/>
    <w:rsid w:val="00B35209"/>
    <w:rsid w:val="00B35FC9"/>
    <w:rsid w:val="00B361BC"/>
    <w:rsid w:val="00B36643"/>
    <w:rsid w:val="00B368B8"/>
    <w:rsid w:val="00B37133"/>
    <w:rsid w:val="00B373CA"/>
    <w:rsid w:val="00B37A04"/>
    <w:rsid w:val="00B40155"/>
    <w:rsid w:val="00B40ABA"/>
    <w:rsid w:val="00B40B2E"/>
    <w:rsid w:val="00B40C76"/>
    <w:rsid w:val="00B40FB1"/>
    <w:rsid w:val="00B4121E"/>
    <w:rsid w:val="00B413DB"/>
    <w:rsid w:val="00B41FB6"/>
    <w:rsid w:val="00B4255C"/>
    <w:rsid w:val="00B4264D"/>
    <w:rsid w:val="00B43033"/>
    <w:rsid w:val="00B4386F"/>
    <w:rsid w:val="00B441D5"/>
    <w:rsid w:val="00B442D8"/>
    <w:rsid w:val="00B448F7"/>
    <w:rsid w:val="00B44B7B"/>
    <w:rsid w:val="00B45248"/>
    <w:rsid w:val="00B45D58"/>
    <w:rsid w:val="00B45E36"/>
    <w:rsid w:val="00B46111"/>
    <w:rsid w:val="00B4667F"/>
    <w:rsid w:val="00B46680"/>
    <w:rsid w:val="00B468D2"/>
    <w:rsid w:val="00B479E9"/>
    <w:rsid w:val="00B5020E"/>
    <w:rsid w:val="00B50241"/>
    <w:rsid w:val="00B50402"/>
    <w:rsid w:val="00B5044E"/>
    <w:rsid w:val="00B50452"/>
    <w:rsid w:val="00B5108F"/>
    <w:rsid w:val="00B512BC"/>
    <w:rsid w:val="00B513BA"/>
    <w:rsid w:val="00B51494"/>
    <w:rsid w:val="00B51538"/>
    <w:rsid w:val="00B51D6C"/>
    <w:rsid w:val="00B5207F"/>
    <w:rsid w:val="00B5285E"/>
    <w:rsid w:val="00B53133"/>
    <w:rsid w:val="00B53134"/>
    <w:rsid w:val="00B5330B"/>
    <w:rsid w:val="00B53416"/>
    <w:rsid w:val="00B5377B"/>
    <w:rsid w:val="00B53CBE"/>
    <w:rsid w:val="00B540C9"/>
    <w:rsid w:val="00B541B2"/>
    <w:rsid w:val="00B541B4"/>
    <w:rsid w:val="00B548B0"/>
    <w:rsid w:val="00B54F3B"/>
    <w:rsid w:val="00B551F2"/>
    <w:rsid w:val="00B56A83"/>
    <w:rsid w:val="00B56E11"/>
    <w:rsid w:val="00B576F4"/>
    <w:rsid w:val="00B577C1"/>
    <w:rsid w:val="00B57B06"/>
    <w:rsid w:val="00B57C5E"/>
    <w:rsid w:val="00B60B90"/>
    <w:rsid w:val="00B60F61"/>
    <w:rsid w:val="00B61173"/>
    <w:rsid w:val="00B6174C"/>
    <w:rsid w:val="00B61C63"/>
    <w:rsid w:val="00B61E82"/>
    <w:rsid w:val="00B61FCC"/>
    <w:rsid w:val="00B62229"/>
    <w:rsid w:val="00B6226E"/>
    <w:rsid w:val="00B626D1"/>
    <w:rsid w:val="00B628B1"/>
    <w:rsid w:val="00B62E25"/>
    <w:rsid w:val="00B62F41"/>
    <w:rsid w:val="00B6356F"/>
    <w:rsid w:val="00B64056"/>
    <w:rsid w:val="00B64154"/>
    <w:rsid w:val="00B6455A"/>
    <w:rsid w:val="00B64DCC"/>
    <w:rsid w:val="00B64EFD"/>
    <w:rsid w:val="00B657A3"/>
    <w:rsid w:val="00B65F06"/>
    <w:rsid w:val="00B65F15"/>
    <w:rsid w:val="00B65F6F"/>
    <w:rsid w:val="00B66204"/>
    <w:rsid w:val="00B66841"/>
    <w:rsid w:val="00B670B0"/>
    <w:rsid w:val="00B674D5"/>
    <w:rsid w:val="00B677E2"/>
    <w:rsid w:val="00B67912"/>
    <w:rsid w:val="00B67966"/>
    <w:rsid w:val="00B67CBA"/>
    <w:rsid w:val="00B67D39"/>
    <w:rsid w:val="00B67FF8"/>
    <w:rsid w:val="00B706B8"/>
    <w:rsid w:val="00B707F6"/>
    <w:rsid w:val="00B70B80"/>
    <w:rsid w:val="00B70BB2"/>
    <w:rsid w:val="00B70D4D"/>
    <w:rsid w:val="00B70DB9"/>
    <w:rsid w:val="00B70E09"/>
    <w:rsid w:val="00B71A48"/>
    <w:rsid w:val="00B71A63"/>
    <w:rsid w:val="00B71E28"/>
    <w:rsid w:val="00B72464"/>
    <w:rsid w:val="00B727DF"/>
    <w:rsid w:val="00B72F66"/>
    <w:rsid w:val="00B7305C"/>
    <w:rsid w:val="00B730AB"/>
    <w:rsid w:val="00B73725"/>
    <w:rsid w:val="00B73D1B"/>
    <w:rsid w:val="00B7427B"/>
    <w:rsid w:val="00B748E5"/>
    <w:rsid w:val="00B74E88"/>
    <w:rsid w:val="00B75252"/>
    <w:rsid w:val="00B75FD9"/>
    <w:rsid w:val="00B76502"/>
    <w:rsid w:val="00B768B7"/>
    <w:rsid w:val="00B7761D"/>
    <w:rsid w:val="00B776E4"/>
    <w:rsid w:val="00B8051D"/>
    <w:rsid w:val="00B80AC8"/>
    <w:rsid w:val="00B80C52"/>
    <w:rsid w:val="00B80F43"/>
    <w:rsid w:val="00B8110C"/>
    <w:rsid w:val="00B8127E"/>
    <w:rsid w:val="00B8196F"/>
    <w:rsid w:val="00B81E43"/>
    <w:rsid w:val="00B82E3E"/>
    <w:rsid w:val="00B8465D"/>
    <w:rsid w:val="00B854CA"/>
    <w:rsid w:val="00B86248"/>
    <w:rsid w:val="00B865DE"/>
    <w:rsid w:val="00B86EFE"/>
    <w:rsid w:val="00B87081"/>
    <w:rsid w:val="00B87326"/>
    <w:rsid w:val="00B87478"/>
    <w:rsid w:val="00B875D2"/>
    <w:rsid w:val="00B87860"/>
    <w:rsid w:val="00B87FD6"/>
    <w:rsid w:val="00B909AC"/>
    <w:rsid w:val="00B90DFB"/>
    <w:rsid w:val="00B911D7"/>
    <w:rsid w:val="00B911FB"/>
    <w:rsid w:val="00B915A8"/>
    <w:rsid w:val="00B91ACB"/>
    <w:rsid w:val="00B91BF9"/>
    <w:rsid w:val="00B92A24"/>
    <w:rsid w:val="00B92B23"/>
    <w:rsid w:val="00B92F33"/>
    <w:rsid w:val="00B931F6"/>
    <w:rsid w:val="00B932BD"/>
    <w:rsid w:val="00B93717"/>
    <w:rsid w:val="00B937DD"/>
    <w:rsid w:val="00B93B53"/>
    <w:rsid w:val="00B93F55"/>
    <w:rsid w:val="00B93F70"/>
    <w:rsid w:val="00B9409D"/>
    <w:rsid w:val="00B94B94"/>
    <w:rsid w:val="00B94FCF"/>
    <w:rsid w:val="00B95017"/>
    <w:rsid w:val="00B95258"/>
    <w:rsid w:val="00B95393"/>
    <w:rsid w:val="00B953C4"/>
    <w:rsid w:val="00B956F2"/>
    <w:rsid w:val="00B9595B"/>
    <w:rsid w:val="00B96F5B"/>
    <w:rsid w:val="00B97CAE"/>
    <w:rsid w:val="00B97FB0"/>
    <w:rsid w:val="00BA0258"/>
    <w:rsid w:val="00BA03C6"/>
    <w:rsid w:val="00BA0759"/>
    <w:rsid w:val="00BA07AF"/>
    <w:rsid w:val="00BA07F6"/>
    <w:rsid w:val="00BA1DFC"/>
    <w:rsid w:val="00BA200E"/>
    <w:rsid w:val="00BA2066"/>
    <w:rsid w:val="00BA22C3"/>
    <w:rsid w:val="00BA271E"/>
    <w:rsid w:val="00BA2DC3"/>
    <w:rsid w:val="00BA2EFD"/>
    <w:rsid w:val="00BA3327"/>
    <w:rsid w:val="00BA389D"/>
    <w:rsid w:val="00BA3AE5"/>
    <w:rsid w:val="00BA411A"/>
    <w:rsid w:val="00BA421F"/>
    <w:rsid w:val="00BA4380"/>
    <w:rsid w:val="00BA4B3F"/>
    <w:rsid w:val="00BA4C62"/>
    <w:rsid w:val="00BA4D76"/>
    <w:rsid w:val="00BA55AD"/>
    <w:rsid w:val="00BA5927"/>
    <w:rsid w:val="00BA5994"/>
    <w:rsid w:val="00BA5D6F"/>
    <w:rsid w:val="00BA5EF9"/>
    <w:rsid w:val="00BA63D6"/>
    <w:rsid w:val="00BA67DC"/>
    <w:rsid w:val="00BA68B6"/>
    <w:rsid w:val="00BA6934"/>
    <w:rsid w:val="00BA73FA"/>
    <w:rsid w:val="00BA7457"/>
    <w:rsid w:val="00BA7497"/>
    <w:rsid w:val="00BA7D8F"/>
    <w:rsid w:val="00BB09BE"/>
    <w:rsid w:val="00BB0A1B"/>
    <w:rsid w:val="00BB0C8F"/>
    <w:rsid w:val="00BB0CAE"/>
    <w:rsid w:val="00BB0EBC"/>
    <w:rsid w:val="00BB1390"/>
    <w:rsid w:val="00BB16DE"/>
    <w:rsid w:val="00BB1962"/>
    <w:rsid w:val="00BB2AC4"/>
    <w:rsid w:val="00BB3437"/>
    <w:rsid w:val="00BB3A89"/>
    <w:rsid w:val="00BB3CF5"/>
    <w:rsid w:val="00BB3E1A"/>
    <w:rsid w:val="00BB43F1"/>
    <w:rsid w:val="00BB456E"/>
    <w:rsid w:val="00BB465B"/>
    <w:rsid w:val="00BB4A46"/>
    <w:rsid w:val="00BB4D21"/>
    <w:rsid w:val="00BB4D53"/>
    <w:rsid w:val="00BB4E5C"/>
    <w:rsid w:val="00BB54DF"/>
    <w:rsid w:val="00BB57D4"/>
    <w:rsid w:val="00BB6ADB"/>
    <w:rsid w:val="00BB6E4B"/>
    <w:rsid w:val="00BB766A"/>
    <w:rsid w:val="00BC058D"/>
    <w:rsid w:val="00BC0AB0"/>
    <w:rsid w:val="00BC0DD2"/>
    <w:rsid w:val="00BC17EE"/>
    <w:rsid w:val="00BC2412"/>
    <w:rsid w:val="00BC3599"/>
    <w:rsid w:val="00BC35A8"/>
    <w:rsid w:val="00BC4966"/>
    <w:rsid w:val="00BC4E09"/>
    <w:rsid w:val="00BC5772"/>
    <w:rsid w:val="00BC5F58"/>
    <w:rsid w:val="00BC67A2"/>
    <w:rsid w:val="00BC6889"/>
    <w:rsid w:val="00BC68F7"/>
    <w:rsid w:val="00BC6D6E"/>
    <w:rsid w:val="00BC6E5D"/>
    <w:rsid w:val="00BC72AA"/>
    <w:rsid w:val="00BC7EF4"/>
    <w:rsid w:val="00BD1090"/>
    <w:rsid w:val="00BD1321"/>
    <w:rsid w:val="00BD1397"/>
    <w:rsid w:val="00BD28CC"/>
    <w:rsid w:val="00BD2CED"/>
    <w:rsid w:val="00BD3E88"/>
    <w:rsid w:val="00BD44BE"/>
    <w:rsid w:val="00BD4CE8"/>
    <w:rsid w:val="00BD4D88"/>
    <w:rsid w:val="00BD4DAC"/>
    <w:rsid w:val="00BD50C1"/>
    <w:rsid w:val="00BD583E"/>
    <w:rsid w:val="00BD58F4"/>
    <w:rsid w:val="00BD59E9"/>
    <w:rsid w:val="00BD5C33"/>
    <w:rsid w:val="00BD60C3"/>
    <w:rsid w:val="00BD6D18"/>
    <w:rsid w:val="00BD70F4"/>
    <w:rsid w:val="00BD74B6"/>
    <w:rsid w:val="00BD75BD"/>
    <w:rsid w:val="00BE071A"/>
    <w:rsid w:val="00BE0A38"/>
    <w:rsid w:val="00BE0E3B"/>
    <w:rsid w:val="00BE1ECD"/>
    <w:rsid w:val="00BE3AF2"/>
    <w:rsid w:val="00BE3C52"/>
    <w:rsid w:val="00BE4471"/>
    <w:rsid w:val="00BE49D5"/>
    <w:rsid w:val="00BE4D1B"/>
    <w:rsid w:val="00BE58A8"/>
    <w:rsid w:val="00BE5976"/>
    <w:rsid w:val="00BE6798"/>
    <w:rsid w:val="00BE68BE"/>
    <w:rsid w:val="00BE6B50"/>
    <w:rsid w:val="00BE7115"/>
    <w:rsid w:val="00BE728F"/>
    <w:rsid w:val="00BF0A7D"/>
    <w:rsid w:val="00BF0F0A"/>
    <w:rsid w:val="00BF1A43"/>
    <w:rsid w:val="00BF1C2C"/>
    <w:rsid w:val="00BF1F34"/>
    <w:rsid w:val="00BF200A"/>
    <w:rsid w:val="00BF269C"/>
    <w:rsid w:val="00BF29BF"/>
    <w:rsid w:val="00BF3486"/>
    <w:rsid w:val="00BF35E9"/>
    <w:rsid w:val="00BF37F1"/>
    <w:rsid w:val="00BF4313"/>
    <w:rsid w:val="00BF4E13"/>
    <w:rsid w:val="00BF53BD"/>
    <w:rsid w:val="00BF5AEC"/>
    <w:rsid w:val="00BF5BDA"/>
    <w:rsid w:val="00BF6054"/>
    <w:rsid w:val="00BF6087"/>
    <w:rsid w:val="00BF6985"/>
    <w:rsid w:val="00BF69C3"/>
    <w:rsid w:val="00BF7012"/>
    <w:rsid w:val="00BF7ED6"/>
    <w:rsid w:val="00C00045"/>
    <w:rsid w:val="00C00CD9"/>
    <w:rsid w:val="00C00E0E"/>
    <w:rsid w:val="00C010D6"/>
    <w:rsid w:val="00C01603"/>
    <w:rsid w:val="00C023A1"/>
    <w:rsid w:val="00C02ADA"/>
    <w:rsid w:val="00C03254"/>
    <w:rsid w:val="00C032B7"/>
    <w:rsid w:val="00C036DD"/>
    <w:rsid w:val="00C03EA1"/>
    <w:rsid w:val="00C03FBB"/>
    <w:rsid w:val="00C04197"/>
    <w:rsid w:val="00C0419C"/>
    <w:rsid w:val="00C042D7"/>
    <w:rsid w:val="00C044C8"/>
    <w:rsid w:val="00C04C01"/>
    <w:rsid w:val="00C0562E"/>
    <w:rsid w:val="00C05B0A"/>
    <w:rsid w:val="00C05D1D"/>
    <w:rsid w:val="00C06436"/>
    <w:rsid w:val="00C076E7"/>
    <w:rsid w:val="00C0781C"/>
    <w:rsid w:val="00C0794D"/>
    <w:rsid w:val="00C07CCE"/>
    <w:rsid w:val="00C101C0"/>
    <w:rsid w:val="00C109BA"/>
    <w:rsid w:val="00C10AC3"/>
    <w:rsid w:val="00C11036"/>
    <w:rsid w:val="00C111CC"/>
    <w:rsid w:val="00C117B7"/>
    <w:rsid w:val="00C11826"/>
    <w:rsid w:val="00C11A7F"/>
    <w:rsid w:val="00C11C49"/>
    <w:rsid w:val="00C120A9"/>
    <w:rsid w:val="00C12C25"/>
    <w:rsid w:val="00C1307D"/>
    <w:rsid w:val="00C13642"/>
    <w:rsid w:val="00C13FA0"/>
    <w:rsid w:val="00C13FE9"/>
    <w:rsid w:val="00C141B7"/>
    <w:rsid w:val="00C15E2C"/>
    <w:rsid w:val="00C16F71"/>
    <w:rsid w:val="00C17575"/>
    <w:rsid w:val="00C175DD"/>
    <w:rsid w:val="00C17618"/>
    <w:rsid w:val="00C17D94"/>
    <w:rsid w:val="00C207A1"/>
    <w:rsid w:val="00C20B4B"/>
    <w:rsid w:val="00C20DDE"/>
    <w:rsid w:val="00C212BC"/>
    <w:rsid w:val="00C21623"/>
    <w:rsid w:val="00C2168A"/>
    <w:rsid w:val="00C218C0"/>
    <w:rsid w:val="00C21C13"/>
    <w:rsid w:val="00C21FD2"/>
    <w:rsid w:val="00C2206C"/>
    <w:rsid w:val="00C2258B"/>
    <w:rsid w:val="00C230A5"/>
    <w:rsid w:val="00C23393"/>
    <w:rsid w:val="00C23447"/>
    <w:rsid w:val="00C23A98"/>
    <w:rsid w:val="00C2425F"/>
    <w:rsid w:val="00C2487E"/>
    <w:rsid w:val="00C249FA"/>
    <w:rsid w:val="00C24E5A"/>
    <w:rsid w:val="00C252A5"/>
    <w:rsid w:val="00C252E4"/>
    <w:rsid w:val="00C253A4"/>
    <w:rsid w:val="00C25C98"/>
    <w:rsid w:val="00C25CC0"/>
    <w:rsid w:val="00C26198"/>
    <w:rsid w:val="00C263AE"/>
    <w:rsid w:val="00C274AF"/>
    <w:rsid w:val="00C2771A"/>
    <w:rsid w:val="00C2771C"/>
    <w:rsid w:val="00C27A6F"/>
    <w:rsid w:val="00C302A6"/>
    <w:rsid w:val="00C30500"/>
    <w:rsid w:val="00C306F9"/>
    <w:rsid w:val="00C307E1"/>
    <w:rsid w:val="00C31329"/>
    <w:rsid w:val="00C315F0"/>
    <w:rsid w:val="00C31947"/>
    <w:rsid w:val="00C31BA0"/>
    <w:rsid w:val="00C31E47"/>
    <w:rsid w:val="00C320A7"/>
    <w:rsid w:val="00C32130"/>
    <w:rsid w:val="00C328BB"/>
    <w:rsid w:val="00C33436"/>
    <w:rsid w:val="00C33833"/>
    <w:rsid w:val="00C34347"/>
    <w:rsid w:val="00C34591"/>
    <w:rsid w:val="00C350B5"/>
    <w:rsid w:val="00C350CC"/>
    <w:rsid w:val="00C36624"/>
    <w:rsid w:val="00C36957"/>
    <w:rsid w:val="00C36A9C"/>
    <w:rsid w:val="00C36B62"/>
    <w:rsid w:val="00C36EB0"/>
    <w:rsid w:val="00C37B2E"/>
    <w:rsid w:val="00C40411"/>
    <w:rsid w:val="00C40F09"/>
    <w:rsid w:val="00C40FE0"/>
    <w:rsid w:val="00C41186"/>
    <w:rsid w:val="00C41356"/>
    <w:rsid w:val="00C42D82"/>
    <w:rsid w:val="00C42E01"/>
    <w:rsid w:val="00C43101"/>
    <w:rsid w:val="00C43406"/>
    <w:rsid w:val="00C4359D"/>
    <w:rsid w:val="00C44A69"/>
    <w:rsid w:val="00C44CC2"/>
    <w:rsid w:val="00C44E66"/>
    <w:rsid w:val="00C450C6"/>
    <w:rsid w:val="00C453FF"/>
    <w:rsid w:val="00C45CA9"/>
    <w:rsid w:val="00C46114"/>
    <w:rsid w:val="00C46138"/>
    <w:rsid w:val="00C46265"/>
    <w:rsid w:val="00C46629"/>
    <w:rsid w:val="00C4687F"/>
    <w:rsid w:val="00C469C7"/>
    <w:rsid w:val="00C47CEA"/>
    <w:rsid w:val="00C50C07"/>
    <w:rsid w:val="00C51217"/>
    <w:rsid w:val="00C517AE"/>
    <w:rsid w:val="00C51B0C"/>
    <w:rsid w:val="00C5208C"/>
    <w:rsid w:val="00C52F72"/>
    <w:rsid w:val="00C538D3"/>
    <w:rsid w:val="00C53DE7"/>
    <w:rsid w:val="00C5572A"/>
    <w:rsid w:val="00C5591B"/>
    <w:rsid w:val="00C55C11"/>
    <w:rsid w:val="00C55E3C"/>
    <w:rsid w:val="00C56565"/>
    <w:rsid w:val="00C5668A"/>
    <w:rsid w:val="00C56697"/>
    <w:rsid w:val="00C566E9"/>
    <w:rsid w:val="00C56764"/>
    <w:rsid w:val="00C56E78"/>
    <w:rsid w:val="00C573BA"/>
    <w:rsid w:val="00C575D2"/>
    <w:rsid w:val="00C608F9"/>
    <w:rsid w:val="00C61F57"/>
    <w:rsid w:val="00C622D2"/>
    <w:rsid w:val="00C62A9A"/>
    <w:rsid w:val="00C62CF6"/>
    <w:rsid w:val="00C62E08"/>
    <w:rsid w:val="00C64416"/>
    <w:rsid w:val="00C64538"/>
    <w:rsid w:val="00C64591"/>
    <w:rsid w:val="00C647F3"/>
    <w:rsid w:val="00C64CC6"/>
    <w:rsid w:val="00C6551B"/>
    <w:rsid w:val="00C661B8"/>
    <w:rsid w:val="00C66343"/>
    <w:rsid w:val="00C66EAB"/>
    <w:rsid w:val="00C6703A"/>
    <w:rsid w:val="00C67151"/>
    <w:rsid w:val="00C6719D"/>
    <w:rsid w:val="00C67791"/>
    <w:rsid w:val="00C67979"/>
    <w:rsid w:val="00C67B16"/>
    <w:rsid w:val="00C703FD"/>
    <w:rsid w:val="00C70B4E"/>
    <w:rsid w:val="00C7113F"/>
    <w:rsid w:val="00C71170"/>
    <w:rsid w:val="00C71858"/>
    <w:rsid w:val="00C72B02"/>
    <w:rsid w:val="00C72CD9"/>
    <w:rsid w:val="00C7436F"/>
    <w:rsid w:val="00C75008"/>
    <w:rsid w:val="00C7524D"/>
    <w:rsid w:val="00C75863"/>
    <w:rsid w:val="00C75893"/>
    <w:rsid w:val="00C760B2"/>
    <w:rsid w:val="00C76105"/>
    <w:rsid w:val="00C76CB0"/>
    <w:rsid w:val="00C76E18"/>
    <w:rsid w:val="00C770CD"/>
    <w:rsid w:val="00C770F9"/>
    <w:rsid w:val="00C77318"/>
    <w:rsid w:val="00C77922"/>
    <w:rsid w:val="00C77A5E"/>
    <w:rsid w:val="00C77BCF"/>
    <w:rsid w:val="00C77FA7"/>
    <w:rsid w:val="00C80E41"/>
    <w:rsid w:val="00C8131B"/>
    <w:rsid w:val="00C819AC"/>
    <w:rsid w:val="00C81E51"/>
    <w:rsid w:val="00C825E3"/>
    <w:rsid w:val="00C82731"/>
    <w:rsid w:val="00C827E3"/>
    <w:rsid w:val="00C82886"/>
    <w:rsid w:val="00C82B81"/>
    <w:rsid w:val="00C8360A"/>
    <w:rsid w:val="00C837BA"/>
    <w:rsid w:val="00C83A45"/>
    <w:rsid w:val="00C83E7B"/>
    <w:rsid w:val="00C8402D"/>
    <w:rsid w:val="00C85CA5"/>
    <w:rsid w:val="00C85F8C"/>
    <w:rsid w:val="00C86133"/>
    <w:rsid w:val="00C86195"/>
    <w:rsid w:val="00C861B5"/>
    <w:rsid w:val="00C865E4"/>
    <w:rsid w:val="00C870E8"/>
    <w:rsid w:val="00C87396"/>
    <w:rsid w:val="00C87439"/>
    <w:rsid w:val="00C87604"/>
    <w:rsid w:val="00C879E8"/>
    <w:rsid w:val="00C87A7D"/>
    <w:rsid w:val="00C87E16"/>
    <w:rsid w:val="00C87E77"/>
    <w:rsid w:val="00C90A02"/>
    <w:rsid w:val="00C90ACF"/>
    <w:rsid w:val="00C91030"/>
    <w:rsid w:val="00C91058"/>
    <w:rsid w:val="00C91D3A"/>
    <w:rsid w:val="00C92AAB"/>
    <w:rsid w:val="00C93595"/>
    <w:rsid w:val="00C943F3"/>
    <w:rsid w:val="00C94451"/>
    <w:rsid w:val="00C95860"/>
    <w:rsid w:val="00C95950"/>
    <w:rsid w:val="00C95B12"/>
    <w:rsid w:val="00C95C4A"/>
    <w:rsid w:val="00C967F0"/>
    <w:rsid w:val="00C96A1D"/>
    <w:rsid w:val="00C96D07"/>
    <w:rsid w:val="00C972A4"/>
    <w:rsid w:val="00C978DF"/>
    <w:rsid w:val="00C97BEE"/>
    <w:rsid w:val="00C97F9F"/>
    <w:rsid w:val="00CA0B50"/>
    <w:rsid w:val="00CA11AD"/>
    <w:rsid w:val="00CA13E2"/>
    <w:rsid w:val="00CA1AB8"/>
    <w:rsid w:val="00CA1AEF"/>
    <w:rsid w:val="00CA1BD8"/>
    <w:rsid w:val="00CA290E"/>
    <w:rsid w:val="00CA2BDD"/>
    <w:rsid w:val="00CA2C26"/>
    <w:rsid w:val="00CA2D81"/>
    <w:rsid w:val="00CA341A"/>
    <w:rsid w:val="00CA3464"/>
    <w:rsid w:val="00CA3481"/>
    <w:rsid w:val="00CA36B9"/>
    <w:rsid w:val="00CA3703"/>
    <w:rsid w:val="00CA3C30"/>
    <w:rsid w:val="00CA3D33"/>
    <w:rsid w:val="00CA45C9"/>
    <w:rsid w:val="00CA4A91"/>
    <w:rsid w:val="00CA56C2"/>
    <w:rsid w:val="00CA5BD5"/>
    <w:rsid w:val="00CA73C0"/>
    <w:rsid w:val="00CA7E76"/>
    <w:rsid w:val="00CB0941"/>
    <w:rsid w:val="00CB0E49"/>
    <w:rsid w:val="00CB12A7"/>
    <w:rsid w:val="00CB1646"/>
    <w:rsid w:val="00CB1691"/>
    <w:rsid w:val="00CB183B"/>
    <w:rsid w:val="00CB1DEF"/>
    <w:rsid w:val="00CB1E1B"/>
    <w:rsid w:val="00CB2736"/>
    <w:rsid w:val="00CB2CA4"/>
    <w:rsid w:val="00CB2E1F"/>
    <w:rsid w:val="00CB308B"/>
    <w:rsid w:val="00CB3100"/>
    <w:rsid w:val="00CB314B"/>
    <w:rsid w:val="00CB3809"/>
    <w:rsid w:val="00CB4D13"/>
    <w:rsid w:val="00CB5109"/>
    <w:rsid w:val="00CB51C1"/>
    <w:rsid w:val="00CB5F6A"/>
    <w:rsid w:val="00CB5F82"/>
    <w:rsid w:val="00CB6525"/>
    <w:rsid w:val="00CB680E"/>
    <w:rsid w:val="00CB7185"/>
    <w:rsid w:val="00CB78E7"/>
    <w:rsid w:val="00CC0225"/>
    <w:rsid w:val="00CC0281"/>
    <w:rsid w:val="00CC09CC"/>
    <w:rsid w:val="00CC0B9E"/>
    <w:rsid w:val="00CC0E48"/>
    <w:rsid w:val="00CC1234"/>
    <w:rsid w:val="00CC1718"/>
    <w:rsid w:val="00CC1AC9"/>
    <w:rsid w:val="00CC1E49"/>
    <w:rsid w:val="00CC29FD"/>
    <w:rsid w:val="00CC3860"/>
    <w:rsid w:val="00CC3884"/>
    <w:rsid w:val="00CC3909"/>
    <w:rsid w:val="00CC4737"/>
    <w:rsid w:val="00CC4923"/>
    <w:rsid w:val="00CC4A62"/>
    <w:rsid w:val="00CC4EC2"/>
    <w:rsid w:val="00CC59BF"/>
    <w:rsid w:val="00CC5A21"/>
    <w:rsid w:val="00CC5B63"/>
    <w:rsid w:val="00CC5C3E"/>
    <w:rsid w:val="00CC61A9"/>
    <w:rsid w:val="00CC691E"/>
    <w:rsid w:val="00CC72D3"/>
    <w:rsid w:val="00CD03CF"/>
    <w:rsid w:val="00CD0961"/>
    <w:rsid w:val="00CD0B64"/>
    <w:rsid w:val="00CD0E18"/>
    <w:rsid w:val="00CD0F31"/>
    <w:rsid w:val="00CD127C"/>
    <w:rsid w:val="00CD140E"/>
    <w:rsid w:val="00CD18A8"/>
    <w:rsid w:val="00CD1CDE"/>
    <w:rsid w:val="00CD2FB1"/>
    <w:rsid w:val="00CD3AF3"/>
    <w:rsid w:val="00CD3E6A"/>
    <w:rsid w:val="00CD4912"/>
    <w:rsid w:val="00CD4FB5"/>
    <w:rsid w:val="00CD50D4"/>
    <w:rsid w:val="00CD54D1"/>
    <w:rsid w:val="00CD566A"/>
    <w:rsid w:val="00CD5A08"/>
    <w:rsid w:val="00CD5B90"/>
    <w:rsid w:val="00CD5D88"/>
    <w:rsid w:val="00CD5F09"/>
    <w:rsid w:val="00CD61D2"/>
    <w:rsid w:val="00CD6979"/>
    <w:rsid w:val="00CD69C4"/>
    <w:rsid w:val="00CD73C7"/>
    <w:rsid w:val="00CE06CB"/>
    <w:rsid w:val="00CE0797"/>
    <w:rsid w:val="00CE0C06"/>
    <w:rsid w:val="00CE0CCE"/>
    <w:rsid w:val="00CE0EF4"/>
    <w:rsid w:val="00CE13D1"/>
    <w:rsid w:val="00CE13D6"/>
    <w:rsid w:val="00CE14AF"/>
    <w:rsid w:val="00CE171C"/>
    <w:rsid w:val="00CE186A"/>
    <w:rsid w:val="00CE18BE"/>
    <w:rsid w:val="00CE2519"/>
    <w:rsid w:val="00CE2B49"/>
    <w:rsid w:val="00CE2EA8"/>
    <w:rsid w:val="00CE326E"/>
    <w:rsid w:val="00CE375D"/>
    <w:rsid w:val="00CE4372"/>
    <w:rsid w:val="00CE4C04"/>
    <w:rsid w:val="00CE4CF1"/>
    <w:rsid w:val="00CE4EDD"/>
    <w:rsid w:val="00CE4FD5"/>
    <w:rsid w:val="00CE5325"/>
    <w:rsid w:val="00CE570F"/>
    <w:rsid w:val="00CE5E7A"/>
    <w:rsid w:val="00CE6270"/>
    <w:rsid w:val="00CE64E7"/>
    <w:rsid w:val="00CE68A2"/>
    <w:rsid w:val="00CE6D61"/>
    <w:rsid w:val="00CE6DEE"/>
    <w:rsid w:val="00CE6E00"/>
    <w:rsid w:val="00CE6E3B"/>
    <w:rsid w:val="00CE7498"/>
    <w:rsid w:val="00CE749F"/>
    <w:rsid w:val="00CF007F"/>
    <w:rsid w:val="00CF03F9"/>
    <w:rsid w:val="00CF1B4E"/>
    <w:rsid w:val="00CF25CA"/>
    <w:rsid w:val="00CF28E0"/>
    <w:rsid w:val="00CF2931"/>
    <w:rsid w:val="00CF2DA1"/>
    <w:rsid w:val="00CF32B4"/>
    <w:rsid w:val="00CF368D"/>
    <w:rsid w:val="00CF43BA"/>
    <w:rsid w:val="00CF4577"/>
    <w:rsid w:val="00CF4BE5"/>
    <w:rsid w:val="00CF512F"/>
    <w:rsid w:val="00CF5697"/>
    <w:rsid w:val="00CF6166"/>
    <w:rsid w:val="00CF66A5"/>
    <w:rsid w:val="00CF6726"/>
    <w:rsid w:val="00CF7352"/>
    <w:rsid w:val="00CF79E0"/>
    <w:rsid w:val="00D0027F"/>
    <w:rsid w:val="00D010A7"/>
    <w:rsid w:val="00D0174E"/>
    <w:rsid w:val="00D01B7B"/>
    <w:rsid w:val="00D01FA9"/>
    <w:rsid w:val="00D02B30"/>
    <w:rsid w:val="00D031B0"/>
    <w:rsid w:val="00D03340"/>
    <w:rsid w:val="00D0355A"/>
    <w:rsid w:val="00D0377C"/>
    <w:rsid w:val="00D0382F"/>
    <w:rsid w:val="00D043E1"/>
    <w:rsid w:val="00D04716"/>
    <w:rsid w:val="00D04A8D"/>
    <w:rsid w:val="00D04FF0"/>
    <w:rsid w:val="00D05542"/>
    <w:rsid w:val="00D05550"/>
    <w:rsid w:val="00D0557C"/>
    <w:rsid w:val="00D05978"/>
    <w:rsid w:val="00D05C38"/>
    <w:rsid w:val="00D05C48"/>
    <w:rsid w:val="00D06467"/>
    <w:rsid w:val="00D06BFF"/>
    <w:rsid w:val="00D06C5F"/>
    <w:rsid w:val="00D06E0F"/>
    <w:rsid w:val="00D06E89"/>
    <w:rsid w:val="00D07906"/>
    <w:rsid w:val="00D07A4E"/>
    <w:rsid w:val="00D07BAF"/>
    <w:rsid w:val="00D07DC9"/>
    <w:rsid w:val="00D10188"/>
    <w:rsid w:val="00D10344"/>
    <w:rsid w:val="00D10739"/>
    <w:rsid w:val="00D11686"/>
    <w:rsid w:val="00D118A4"/>
    <w:rsid w:val="00D11B55"/>
    <w:rsid w:val="00D11C45"/>
    <w:rsid w:val="00D121A5"/>
    <w:rsid w:val="00D122C5"/>
    <w:rsid w:val="00D126D8"/>
    <w:rsid w:val="00D12B4F"/>
    <w:rsid w:val="00D13A70"/>
    <w:rsid w:val="00D140C1"/>
    <w:rsid w:val="00D1423B"/>
    <w:rsid w:val="00D1493B"/>
    <w:rsid w:val="00D14A2C"/>
    <w:rsid w:val="00D15123"/>
    <w:rsid w:val="00D159F5"/>
    <w:rsid w:val="00D166CC"/>
    <w:rsid w:val="00D1679F"/>
    <w:rsid w:val="00D1692A"/>
    <w:rsid w:val="00D16F3F"/>
    <w:rsid w:val="00D17B06"/>
    <w:rsid w:val="00D2026C"/>
    <w:rsid w:val="00D20746"/>
    <w:rsid w:val="00D210B6"/>
    <w:rsid w:val="00D21201"/>
    <w:rsid w:val="00D21298"/>
    <w:rsid w:val="00D217A0"/>
    <w:rsid w:val="00D21BC1"/>
    <w:rsid w:val="00D21EAA"/>
    <w:rsid w:val="00D22348"/>
    <w:rsid w:val="00D22B94"/>
    <w:rsid w:val="00D22C74"/>
    <w:rsid w:val="00D2371A"/>
    <w:rsid w:val="00D24572"/>
    <w:rsid w:val="00D2466B"/>
    <w:rsid w:val="00D2536A"/>
    <w:rsid w:val="00D257E1"/>
    <w:rsid w:val="00D25FBD"/>
    <w:rsid w:val="00D26699"/>
    <w:rsid w:val="00D26EAD"/>
    <w:rsid w:val="00D273C3"/>
    <w:rsid w:val="00D2779F"/>
    <w:rsid w:val="00D2789A"/>
    <w:rsid w:val="00D3089C"/>
    <w:rsid w:val="00D31199"/>
    <w:rsid w:val="00D312D1"/>
    <w:rsid w:val="00D322F2"/>
    <w:rsid w:val="00D32DCA"/>
    <w:rsid w:val="00D32EA0"/>
    <w:rsid w:val="00D32EBA"/>
    <w:rsid w:val="00D33731"/>
    <w:rsid w:val="00D342C5"/>
    <w:rsid w:val="00D34A15"/>
    <w:rsid w:val="00D353D5"/>
    <w:rsid w:val="00D35754"/>
    <w:rsid w:val="00D35B1B"/>
    <w:rsid w:val="00D3620B"/>
    <w:rsid w:val="00D368AD"/>
    <w:rsid w:val="00D36B02"/>
    <w:rsid w:val="00D36C3E"/>
    <w:rsid w:val="00D375CB"/>
    <w:rsid w:val="00D37842"/>
    <w:rsid w:val="00D379E1"/>
    <w:rsid w:val="00D37EA2"/>
    <w:rsid w:val="00D402CB"/>
    <w:rsid w:val="00D40DF7"/>
    <w:rsid w:val="00D40FA0"/>
    <w:rsid w:val="00D4212A"/>
    <w:rsid w:val="00D42648"/>
    <w:rsid w:val="00D42A33"/>
    <w:rsid w:val="00D42F29"/>
    <w:rsid w:val="00D42FFD"/>
    <w:rsid w:val="00D4333E"/>
    <w:rsid w:val="00D433F5"/>
    <w:rsid w:val="00D434E7"/>
    <w:rsid w:val="00D4389C"/>
    <w:rsid w:val="00D43AA9"/>
    <w:rsid w:val="00D441C3"/>
    <w:rsid w:val="00D44647"/>
    <w:rsid w:val="00D44A01"/>
    <w:rsid w:val="00D458C5"/>
    <w:rsid w:val="00D45904"/>
    <w:rsid w:val="00D45CC2"/>
    <w:rsid w:val="00D467E2"/>
    <w:rsid w:val="00D467E7"/>
    <w:rsid w:val="00D4710A"/>
    <w:rsid w:val="00D47508"/>
    <w:rsid w:val="00D4787D"/>
    <w:rsid w:val="00D4796D"/>
    <w:rsid w:val="00D50DAA"/>
    <w:rsid w:val="00D50EFF"/>
    <w:rsid w:val="00D51703"/>
    <w:rsid w:val="00D51715"/>
    <w:rsid w:val="00D52415"/>
    <w:rsid w:val="00D5249A"/>
    <w:rsid w:val="00D52931"/>
    <w:rsid w:val="00D530FA"/>
    <w:rsid w:val="00D54B55"/>
    <w:rsid w:val="00D54BFE"/>
    <w:rsid w:val="00D55629"/>
    <w:rsid w:val="00D5655E"/>
    <w:rsid w:val="00D56735"/>
    <w:rsid w:val="00D56764"/>
    <w:rsid w:val="00D56821"/>
    <w:rsid w:val="00D56872"/>
    <w:rsid w:val="00D568E2"/>
    <w:rsid w:val="00D56B0A"/>
    <w:rsid w:val="00D601E4"/>
    <w:rsid w:val="00D60820"/>
    <w:rsid w:val="00D60AA2"/>
    <w:rsid w:val="00D60C08"/>
    <w:rsid w:val="00D60C44"/>
    <w:rsid w:val="00D61D37"/>
    <w:rsid w:val="00D62089"/>
    <w:rsid w:val="00D62867"/>
    <w:rsid w:val="00D63628"/>
    <w:rsid w:val="00D6413E"/>
    <w:rsid w:val="00D6453C"/>
    <w:rsid w:val="00D6567D"/>
    <w:rsid w:val="00D65734"/>
    <w:rsid w:val="00D65DBD"/>
    <w:rsid w:val="00D663DB"/>
    <w:rsid w:val="00D66893"/>
    <w:rsid w:val="00D66CDE"/>
    <w:rsid w:val="00D66DE7"/>
    <w:rsid w:val="00D67BA3"/>
    <w:rsid w:val="00D67E2E"/>
    <w:rsid w:val="00D70428"/>
    <w:rsid w:val="00D70CF0"/>
    <w:rsid w:val="00D71333"/>
    <w:rsid w:val="00D713A0"/>
    <w:rsid w:val="00D719CC"/>
    <w:rsid w:val="00D71B2D"/>
    <w:rsid w:val="00D71E27"/>
    <w:rsid w:val="00D720B7"/>
    <w:rsid w:val="00D74392"/>
    <w:rsid w:val="00D74C0F"/>
    <w:rsid w:val="00D74E0D"/>
    <w:rsid w:val="00D754F2"/>
    <w:rsid w:val="00D75A46"/>
    <w:rsid w:val="00D75CA5"/>
    <w:rsid w:val="00D75CD3"/>
    <w:rsid w:val="00D76606"/>
    <w:rsid w:val="00D768D7"/>
    <w:rsid w:val="00D776E4"/>
    <w:rsid w:val="00D779E9"/>
    <w:rsid w:val="00D77E34"/>
    <w:rsid w:val="00D77E36"/>
    <w:rsid w:val="00D80367"/>
    <w:rsid w:val="00D80995"/>
    <w:rsid w:val="00D80AC0"/>
    <w:rsid w:val="00D80D88"/>
    <w:rsid w:val="00D810F9"/>
    <w:rsid w:val="00D81401"/>
    <w:rsid w:val="00D8191C"/>
    <w:rsid w:val="00D819A9"/>
    <w:rsid w:val="00D82843"/>
    <w:rsid w:val="00D82FEA"/>
    <w:rsid w:val="00D83225"/>
    <w:rsid w:val="00D8349A"/>
    <w:rsid w:val="00D83B61"/>
    <w:rsid w:val="00D8466F"/>
    <w:rsid w:val="00D85923"/>
    <w:rsid w:val="00D85C91"/>
    <w:rsid w:val="00D8665B"/>
    <w:rsid w:val="00D86B43"/>
    <w:rsid w:val="00D8793F"/>
    <w:rsid w:val="00D87CED"/>
    <w:rsid w:val="00D87F15"/>
    <w:rsid w:val="00D910CC"/>
    <w:rsid w:val="00D91A5F"/>
    <w:rsid w:val="00D924C4"/>
    <w:rsid w:val="00D9258E"/>
    <w:rsid w:val="00D92BE7"/>
    <w:rsid w:val="00D92C61"/>
    <w:rsid w:val="00D92FBC"/>
    <w:rsid w:val="00D9300D"/>
    <w:rsid w:val="00D936F3"/>
    <w:rsid w:val="00D945D4"/>
    <w:rsid w:val="00D94728"/>
    <w:rsid w:val="00D94BDC"/>
    <w:rsid w:val="00D94DC1"/>
    <w:rsid w:val="00D956C4"/>
    <w:rsid w:val="00D95D8A"/>
    <w:rsid w:val="00D960F5"/>
    <w:rsid w:val="00D963C3"/>
    <w:rsid w:val="00D969CA"/>
    <w:rsid w:val="00D96CFB"/>
    <w:rsid w:val="00D971A8"/>
    <w:rsid w:val="00D97413"/>
    <w:rsid w:val="00D97947"/>
    <w:rsid w:val="00D97ECA"/>
    <w:rsid w:val="00D97FA0"/>
    <w:rsid w:val="00DA0620"/>
    <w:rsid w:val="00DA0EDD"/>
    <w:rsid w:val="00DA126B"/>
    <w:rsid w:val="00DA1368"/>
    <w:rsid w:val="00DA262F"/>
    <w:rsid w:val="00DA29AB"/>
    <w:rsid w:val="00DA31B0"/>
    <w:rsid w:val="00DA3409"/>
    <w:rsid w:val="00DA3425"/>
    <w:rsid w:val="00DA3700"/>
    <w:rsid w:val="00DA373B"/>
    <w:rsid w:val="00DA373E"/>
    <w:rsid w:val="00DA3A3F"/>
    <w:rsid w:val="00DA3F96"/>
    <w:rsid w:val="00DA4270"/>
    <w:rsid w:val="00DA4954"/>
    <w:rsid w:val="00DA4B3C"/>
    <w:rsid w:val="00DA4C5A"/>
    <w:rsid w:val="00DA4EAC"/>
    <w:rsid w:val="00DA5519"/>
    <w:rsid w:val="00DA5536"/>
    <w:rsid w:val="00DA5913"/>
    <w:rsid w:val="00DA598C"/>
    <w:rsid w:val="00DA5FEB"/>
    <w:rsid w:val="00DA6019"/>
    <w:rsid w:val="00DA6475"/>
    <w:rsid w:val="00DA682C"/>
    <w:rsid w:val="00DA6886"/>
    <w:rsid w:val="00DA716F"/>
    <w:rsid w:val="00DA764F"/>
    <w:rsid w:val="00DA767F"/>
    <w:rsid w:val="00DA7D89"/>
    <w:rsid w:val="00DB03A1"/>
    <w:rsid w:val="00DB057C"/>
    <w:rsid w:val="00DB07AE"/>
    <w:rsid w:val="00DB0C9C"/>
    <w:rsid w:val="00DB1127"/>
    <w:rsid w:val="00DB1FCE"/>
    <w:rsid w:val="00DB21BF"/>
    <w:rsid w:val="00DB2286"/>
    <w:rsid w:val="00DB2862"/>
    <w:rsid w:val="00DB2A5E"/>
    <w:rsid w:val="00DB2B65"/>
    <w:rsid w:val="00DB3971"/>
    <w:rsid w:val="00DB39F3"/>
    <w:rsid w:val="00DB3CD0"/>
    <w:rsid w:val="00DB4965"/>
    <w:rsid w:val="00DB49EB"/>
    <w:rsid w:val="00DB4D2F"/>
    <w:rsid w:val="00DB4E31"/>
    <w:rsid w:val="00DB58C4"/>
    <w:rsid w:val="00DB5A02"/>
    <w:rsid w:val="00DB5DD8"/>
    <w:rsid w:val="00DB619C"/>
    <w:rsid w:val="00DB7171"/>
    <w:rsid w:val="00DB7222"/>
    <w:rsid w:val="00DB76AA"/>
    <w:rsid w:val="00DB7C80"/>
    <w:rsid w:val="00DC02D3"/>
    <w:rsid w:val="00DC1039"/>
    <w:rsid w:val="00DC127D"/>
    <w:rsid w:val="00DC160E"/>
    <w:rsid w:val="00DC17F3"/>
    <w:rsid w:val="00DC1D06"/>
    <w:rsid w:val="00DC1D81"/>
    <w:rsid w:val="00DC2278"/>
    <w:rsid w:val="00DC298F"/>
    <w:rsid w:val="00DC2C7A"/>
    <w:rsid w:val="00DC318D"/>
    <w:rsid w:val="00DC398C"/>
    <w:rsid w:val="00DC3B06"/>
    <w:rsid w:val="00DC3B82"/>
    <w:rsid w:val="00DC3F17"/>
    <w:rsid w:val="00DC40E0"/>
    <w:rsid w:val="00DC45A4"/>
    <w:rsid w:val="00DC463E"/>
    <w:rsid w:val="00DC4755"/>
    <w:rsid w:val="00DC4B70"/>
    <w:rsid w:val="00DC4FBC"/>
    <w:rsid w:val="00DC6006"/>
    <w:rsid w:val="00DC65EE"/>
    <w:rsid w:val="00DC6755"/>
    <w:rsid w:val="00DC75DF"/>
    <w:rsid w:val="00DC79FF"/>
    <w:rsid w:val="00DD0815"/>
    <w:rsid w:val="00DD0A37"/>
    <w:rsid w:val="00DD0CBA"/>
    <w:rsid w:val="00DD10BD"/>
    <w:rsid w:val="00DD1102"/>
    <w:rsid w:val="00DD1C59"/>
    <w:rsid w:val="00DD2778"/>
    <w:rsid w:val="00DD3852"/>
    <w:rsid w:val="00DD3C14"/>
    <w:rsid w:val="00DD4F66"/>
    <w:rsid w:val="00DD4F9A"/>
    <w:rsid w:val="00DD534E"/>
    <w:rsid w:val="00DD5914"/>
    <w:rsid w:val="00DD5A00"/>
    <w:rsid w:val="00DD66B2"/>
    <w:rsid w:val="00DD689D"/>
    <w:rsid w:val="00DD7842"/>
    <w:rsid w:val="00DD7BDD"/>
    <w:rsid w:val="00DD7F9B"/>
    <w:rsid w:val="00DE011A"/>
    <w:rsid w:val="00DE0884"/>
    <w:rsid w:val="00DE0B38"/>
    <w:rsid w:val="00DE0DBC"/>
    <w:rsid w:val="00DE146E"/>
    <w:rsid w:val="00DE1520"/>
    <w:rsid w:val="00DE268C"/>
    <w:rsid w:val="00DE310C"/>
    <w:rsid w:val="00DE3365"/>
    <w:rsid w:val="00DE3883"/>
    <w:rsid w:val="00DE3E55"/>
    <w:rsid w:val="00DE3EE1"/>
    <w:rsid w:val="00DE41C7"/>
    <w:rsid w:val="00DE4A27"/>
    <w:rsid w:val="00DE53FB"/>
    <w:rsid w:val="00DE56C4"/>
    <w:rsid w:val="00DE5E9E"/>
    <w:rsid w:val="00DE5EEC"/>
    <w:rsid w:val="00DE651F"/>
    <w:rsid w:val="00DE66F0"/>
    <w:rsid w:val="00DE70FD"/>
    <w:rsid w:val="00DE75A8"/>
    <w:rsid w:val="00DE7BCA"/>
    <w:rsid w:val="00DF0CF0"/>
    <w:rsid w:val="00DF13C3"/>
    <w:rsid w:val="00DF1984"/>
    <w:rsid w:val="00DF1F39"/>
    <w:rsid w:val="00DF21F8"/>
    <w:rsid w:val="00DF23DF"/>
    <w:rsid w:val="00DF2428"/>
    <w:rsid w:val="00DF2522"/>
    <w:rsid w:val="00DF2936"/>
    <w:rsid w:val="00DF2956"/>
    <w:rsid w:val="00DF2ED5"/>
    <w:rsid w:val="00DF3612"/>
    <w:rsid w:val="00DF37DA"/>
    <w:rsid w:val="00DF4033"/>
    <w:rsid w:val="00DF4A0B"/>
    <w:rsid w:val="00DF4C72"/>
    <w:rsid w:val="00DF4E3F"/>
    <w:rsid w:val="00DF4FF7"/>
    <w:rsid w:val="00DF55C5"/>
    <w:rsid w:val="00DF597C"/>
    <w:rsid w:val="00DF5D7D"/>
    <w:rsid w:val="00DF5F69"/>
    <w:rsid w:val="00DF5F97"/>
    <w:rsid w:val="00DF65E6"/>
    <w:rsid w:val="00DF6E16"/>
    <w:rsid w:val="00DF6F2E"/>
    <w:rsid w:val="00DF726F"/>
    <w:rsid w:val="00DF7780"/>
    <w:rsid w:val="00DF7DE5"/>
    <w:rsid w:val="00E00649"/>
    <w:rsid w:val="00E00C7C"/>
    <w:rsid w:val="00E01629"/>
    <w:rsid w:val="00E01934"/>
    <w:rsid w:val="00E0266B"/>
    <w:rsid w:val="00E029D4"/>
    <w:rsid w:val="00E03123"/>
    <w:rsid w:val="00E03D44"/>
    <w:rsid w:val="00E041D2"/>
    <w:rsid w:val="00E046CA"/>
    <w:rsid w:val="00E047AB"/>
    <w:rsid w:val="00E04821"/>
    <w:rsid w:val="00E05290"/>
    <w:rsid w:val="00E052CC"/>
    <w:rsid w:val="00E055FE"/>
    <w:rsid w:val="00E05F25"/>
    <w:rsid w:val="00E0606C"/>
    <w:rsid w:val="00E06171"/>
    <w:rsid w:val="00E06A6C"/>
    <w:rsid w:val="00E06D91"/>
    <w:rsid w:val="00E07023"/>
    <w:rsid w:val="00E074A1"/>
    <w:rsid w:val="00E102E6"/>
    <w:rsid w:val="00E102FF"/>
    <w:rsid w:val="00E10893"/>
    <w:rsid w:val="00E11994"/>
    <w:rsid w:val="00E119AB"/>
    <w:rsid w:val="00E11D4B"/>
    <w:rsid w:val="00E11D80"/>
    <w:rsid w:val="00E122BB"/>
    <w:rsid w:val="00E1258F"/>
    <w:rsid w:val="00E12EFC"/>
    <w:rsid w:val="00E12FFA"/>
    <w:rsid w:val="00E1395F"/>
    <w:rsid w:val="00E13EC8"/>
    <w:rsid w:val="00E14131"/>
    <w:rsid w:val="00E14DCB"/>
    <w:rsid w:val="00E14E1F"/>
    <w:rsid w:val="00E15105"/>
    <w:rsid w:val="00E15D27"/>
    <w:rsid w:val="00E161FC"/>
    <w:rsid w:val="00E162FE"/>
    <w:rsid w:val="00E165F3"/>
    <w:rsid w:val="00E167FA"/>
    <w:rsid w:val="00E168EA"/>
    <w:rsid w:val="00E169BF"/>
    <w:rsid w:val="00E16FC4"/>
    <w:rsid w:val="00E200C1"/>
    <w:rsid w:val="00E2058D"/>
    <w:rsid w:val="00E20A98"/>
    <w:rsid w:val="00E2117A"/>
    <w:rsid w:val="00E215B3"/>
    <w:rsid w:val="00E21DCB"/>
    <w:rsid w:val="00E21EB7"/>
    <w:rsid w:val="00E21FA5"/>
    <w:rsid w:val="00E220E1"/>
    <w:rsid w:val="00E2247A"/>
    <w:rsid w:val="00E224DC"/>
    <w:rsid w:val="00E22869"/>
    <w:rsid w:val="00E22ACF"/>
    <w:rsid w:val="00E22BA6"/>
    <w:rsid w:val="00E22D73"/>
    <w:rsid w:val="00E237CC"/>
    <w:rsid w:val="00E24969"/>
    <w:rsid w:val="00E24CCE"/>
    <w:rsid w:val="00E25408"/>
    <w:rsid w:val="00E255AE"/>
    <w:rsid w:val="00E259AE"/>
    <w:rsid w:val="00E267B0"/>
    <w:rsid w:val="00E26C30"/>
    <w:rsid w:val="00E2709D"/>
    <w:rsid w:val="00E270A2"/>
    <w:rsid w:val="00E278F9"/>
    <w:rsid w:val="00E27A04"/>
    <w:rsid w:val="00E27C43"/>
    <w:rsid w:val="00E27DDA"/>
    <w:rsid w:val="00E30953"/>
    <w:rsid w:val="00E3099F"/>
    <w:rsid w:val="00E3124B"/>
    <w:rsid w:val="00E3149C"/>
    <w:rsid w:val="00E31712"/>
    <w:rsid w:val="00E31715"/>
    <w:rsid w:val="00E318DD"/>
    <w:rsid w:val="00E31DB8"/>
    <w:rsid w:val="00E323F3"/>
    <w:rsid w:val="00E325AE"/>
    <w:rsid w:val="00E32E0D"/>
    <w:rsid w:val="00E3304A"/>
    <w:rsid w:val="00E3317A"/>
    <w:rsid w:val="00E335A1"/>
    <w:rsid w:val="00E336C2"/>
    <w:rsid w:val="00E33D21"/>
    <w:rsid w:val="00E34570"/>
    <w:rsid w:val="00E348BC"/>
    <w:rsid w:val="00E35539"/>
    <w:rsid w:val="00E35814"/>
    <w:rsid w:val="00E35B29"/>
    <w:rsid w:val="00E35F3C"/>
    <w:rsid w:val="00E36512"/>
    <w:rsid w:val="00E36E2E"/>
    <w:rsid w:val="00E3725B"/>
    <w:rsid w:val="00E37578"/>
    <w:rsid w:val="00E379D2"/>
    <w:rsid w:val="00E401D7"/>
    <w:rsid w:val="00E4044A"/>
    <w:rsid w:val="00E404C1"/>
    <w:rsid w:val="00E40F73"/>
    <w:rsid w:val="00E412FD"/>
    <w:rsid w:val="00E413E7"/>
    <w:rsid w:val="00E419AA"/>
    <w:rsid w:val="00E41E57"/>
    <w:rsid w:val="00E4219C"/>
    <w:rsid w:val="00E424C3"/>
    <w:rsid w:val="00E42674"/>
    <w:rsid w:val="00E42B82"/>
    <w:rsid w:val="00E42EA6"/>
    <w:rsid w:val="00E4326B"/>
    <w:rsid w:val="00E4386E"/>
    <w:rsid w:val="00E43CCC"/>
    <w:rsid w:val="00E43D91"/>
    <w:rsid w:val="00E445B2"/>
    <w:rsid w:val="00E44697"/>
    <w:rsid w:val="00E45292"/>
    <w:rsid w:val="00E45562"/>
    <w:rsid w:val="00E458DE"/>
    <w:rsid w:val="00E45B43"/>
    <w:rsid w:val="00E45B73"/>
    <w:rsid w:val="00E467FC"/>
    <w:rsid w:val="00E46913"/>
    <w:rsid w:val="00E46D4D"/>
    <w:rsid w:val="00E47BDB"/>
    <w:rsid w:val="00E500ED"/>
    <w:rsid w:val="00E50209"/>
    <w:rsid w:val="00E50551"/>
    <w:rsid w:val="00E507E7"/>
    <w:rsid w:val="00E5095E"/>
    <w:rsid w:val="00E50AB4"/>
    <w:rsid w:val="00E50F5C"/>
    <w:rsid w:val="00E510D6"/>
    <w:rsid w:val="00E51276"/>
    <w:rsid w:val="00E512AE"/>
    <w:rsid w:val="00E51581"/>
    <w:rsid w:val="00E5166C"/>
    <w:rsid w:val="00E517C1"/>
    <w:rsid w:val="00E51FD4"/>
    <w:rsid w:val="00E5225F"/>
    <w:rsid w:val="00E524EA"/>
    <w:rsid w:val="00E529A6"/>
    <w:rsid w:val="00E53650"/>
    <w:rsid w:val="00E53A20"/>
    <w:rsid w:val="00E54ADD"/>
    <w:rsid w:val="00E54D98"/>
    <w:rsid w:val="00E54DAB"/>
    <w:rsid w:val="00E5586A"/>
    <w:rsid w:val="00E55F1F"/>
    <w:rsid w:val="00E56A08"/>
    <w:rsid w:val="00E56DFF"/>
    <w:rsid w:val="00E56FBB"/>
    <w:rsid w:val="00E576D1"/>
    <w:rsid w:val="00E577FF"/>
    <w:rsid w:val="00E602E0"/>
    <w:rsid w:val="00E6035A"/>
    <w:rsid w:val="00E60843"/>
    <w:rsid w:val="00E608B9"/>
    <w:rsid w:val="00E61331"/>
    <w:rsid w:val="00E61672"/>
    <w:rsid w:val="00E61860"/>
    <w:rsid w:val="00E618EE"/>
    <w:rsid w:val="00E621EE"/>
    <w:rsid w:val="00E6249B"/>
    <w:rsid w:val="00E62A54"/>
    <w:rsid w:val="00E62A5F"/>
    <w:rsid w:val="00E62CB7"/>
    <w:rsid w:val="00E645DF"/>
    <w:rsid w:val="00E64790"/>
    <w:rsid w:val="00E64D4E"/>
    <w:rsid w:val="00E64F45"/>
    <w:rsid w:val="00E6537C"/>
    <w:rsid w:val="00E65937"/>
    <w:rsid w:val="00E6773D"/>
    <w:rsid w:val="00E70786"/>
    <w:rsid w:val="00E70CA1"/>
    <w:rsid w:val="00E70EFC"/>
    <w:rsid w:val="00E712A1"/>
    <w:rsid w:val="00E714DA"/>
    <w:rsid w:val="00E71883"/>
    <w:rsid w:val="00E71A35"/>
    <w:rsid w:val="00E71DFB"/>
    <w:rsid w:val="00E7224B"/>
    <w:rsid w:val="00E72AEC"/>
    <w:rsid w:val="00E72EBF"/>
    <w:rsid w:val="00E72FF4"/>
    <w:rsid w:val="00E73914"/>
    <w:rsid w:val="00E73E7D"/>
    <w:rsid w:val="00E73F12"/>
    <w:rsid w:val="00E73FA3"/>
    <w:rsid w:val="00E74E00"/>
    <w:rsid w:val="00E74ED1"/>
    <w:rsid w:val="00E75032"/>
    <w:rsid w:val="00E7560F"/>
    <w:rsid w:val="00E75E70"/>
    <w:rsid w:val="00E763BA"/>
    <w:rsid w:val="00E7677D"/>
    <w:rsid w:val="00E77046"/>
    <w:rsid w:val="00E774FF"/>
    <w:rsid w:val="00E77766"/>
    <w:rsid w:val="00E77AA9"/>
    <w:rsid w:val="00E80858"/>
    <w:rsid w:val="00E80AF4"/>
    <w:rsid w:val="00E80BF1"/>
    <w:rsid w:val="00E80CCA"/>
    <w:rsid w:val="00E81734"/>
    <w:rsid w:val="00E81AD4"/>
    <w:rsid w:val="00E8236F"/>
    <w:rsid w:val="00E8259B"/>
    <w:rsid w:val="00E826B9"/>
    <w:rsid w:val="00E8299C"/>
    <w:rsid w:val="00E84176"/>
    <w:rsid w:val="00E8435C"/>
    <w:rsid w:val="00E8494B"/>
    <w:rsid w:val="00E84A66"/>
    <w:rsid w:val="00E84C9A"/>
    <w:rsid w:val="00E84DF3"/>
    <w:rsid w:val="00E852CC"/>
    <w:rsid w:val="00E85810"/>
    <w:rsid w:val="00E86051"/>
    <w:rsid w:val="00E866D9"/>
    <w:rsid w:val="00E86CD4"/>
    <w:rsid w:val="00E87579"/>
    <w:rsid w:val="00E87693"/>
    <w:rsid w:val="00E879B7"/>
    <w:rsid w:val="00E90189"/>
    <w:rsid w:val="00E90231"/>
    <w:rsid w:val="00E90251"/>
    <w:rsid w:val="00E90347"/>
    <w:rsid w:val="00E90394"/>
    <w:rsid w:val="00E911BE"/>
    <w:rsid w:val="00E9134F"/>
    <w:rsid w:val="00E914E0"/>
    <w:rsid w:val="00E9154D"/>
    <w:rsid w:val="00E916B5"/>
    <w:rsid w:val="00E91E6F"/>
    <w:rsid w:val="00E92191"/>
    <w:rsid w:val="00E9243C"/>
    <w:rsid w:val="00E92B85"/>
    <w:rsid w:val="00E92FAD"/>
    <w:rsid w:val="00E9345D"/>
    <w:rsid w:val="00E938F6"/>
    <w:rsid w:val="00E9418B"/>
    <w:rsid w:val="00E942B5"/>
    <w:rsid w:val="00E9458F"/>
    <w:rsid w:val="00E94D67"/>
    <w:rsid w:val="00E95190"/>
    <w:rsid w:val="00E95ABC"/>
    <w:rsid w:val="00E960D7"/>
    <w:rsid w:val="00E972C8"/>
    <w:rsid w:val="00E97365"/>
    <w:rsid w:val="00E979AB"/>
    <w:rsid w:val="00EA0317"/>
    <w:rsid w:val="00EA09D7"/>
    <w:rsid w:val="00EA0E6C"/>
    <w:rsid w:val="00EA1AD3"/>
    <w:rsid w:val="00EA1D4E"/>
    <w:rsid w:val="00EA226B"/>
    <w:rsid w:val="00EA22A4"/>
    <w:rsid w:val="00EA3B27"/>
    <w:rsid w:val="00EA3BC8"/>
    <w:rsid w:val="00EA44CB"/>
    <w:rsid w:val="00EA488C"/>
    <w:rsid w:val="00EA53FD"/>
    <w:rsid w:val="00EA5AD9"/>
    <w:rsid w:val="00EA656A"/>
    <w:rsid w:val="00EA6B63"/>
    <w:rsid w:val="00EA7713"/>
    <w:rsid w:val="00EA7F02"/>
    <w:rsid w:val="00EB037D"/>
    <w:rsid w:val="00EB0610"/>
    <w:rsid w:val="00EB0831"/>
    <w:rsid w:val="00EB0EC4"/>
    <w:rsid w:val="00EB0FB0"/>
    <w:rsid w:val="00EB126E"/>
    <w:rsid w:val="00EB1E79"/>
    <w:rsid w:val="00EB1FE6"/>
    <w:rsid w:val="00EB254C"/>
    <w:rsid w:val="00EB2AAD"/>
    <w:rsid w:val="00EB2EF0"/>
    <w:rsid w:val="00EB391E"/>
    <w:rsid w:val="00EB3B8C"/>
    <w:rsid w:val="00EB4064"/>
    <w:rsid w:val="00EB4B87"/>
    <w:rsid w:val="00EB4F65"/>
    <w:rsid w:val="00EB58E0"/>
    <w:rsid w:val="00EB594F"/>
    <w:rsid w:val="00EB6A1A"/>
    <w:rsid w:val="00EB6AE4"/>
    <w:rsid w:val="00EB6CCD"/>
    <w:rsid w:val="00EB6F53"/>
    <w:rsid w:val="00EB7334"/>
    <w:rsid w:val="00EB7986"/>
    <w:rsid w:val="00EB7A4F"/>
    <w:rsid w:val="00EC034C"/>
    <w:rsid w:val="00EC0A3B"/>
    <w:rsid w:val="00EC0D25"/>
    <w:rsid w:val="00EC0E72"/>
    <w:rsid w:val="00EC1059"/>
    <w:rsid w:val="00EC15D7"/>
    <w:rsid w:val="00EC1627"/>
    <w:rsid w:val="00EC1FF1"/>
    <w:rsid w:val="00EC2286"/>
    <w:rsid w:val="00EC23E5"/>
    <w:rsid w:val="00EC2B18"/>
    <w:rsid w:val="00EC2DA8"/>
    <w:rsid w:val="00EC2DCB"/>
    <w:rsid w:val="00EC2DD6"/>
    <w:rsid w:val="00EC3635"/>
    <w:rsid w:val="00EC4518"/>
    <w:rsid w:val="00EC4542"/>
    <w:rsid w:val="00EC49FB"/>
    <w:rsid w:val="00EC6A1D"/>
    <w:rsid w:val="00EC6A56"/>
    <w:rsid w:val="00ED0630"/>
    <w:rsid w:val="00ED0D86"/>
    <w:rsid w:val="00ED100E"/>
    <w:rsid w:val="00ED12F6"/>
    <w:rsid w:val="00ED153F"/>
    <w:rsid w:val="00ED1649"/>
    <w:rsid w:val="00ED1A1F"/>
    <w:rsid w:val="00ED1A9E"/>
    <w:rsid w:val="00ED2419"/>
    <w:rsid w:val="00ED3D3B"/>
    <w:rsid w:val="00ED3EA2"/>
    <w:rsid w:val="00ED4207"/>
    <w:rsid w:val="00ED4432"/>
    <w:rsid w:val="00ED4B56"/>
    <w:rsid w:val="00ED5282"/>
    <w:rsid w:val="00ED545E"/>
    <w:rsid w:val="00ED5E38"/>
    <w:rsid w:val="00ED5FE3"/>
    <w:rsid w:val="00ED6BA3"/>
    <w:rsid w:val="00ED6BFE"/>
    <w:rsid w:val="00ED6C25"/>
    <w:rsid w:val="00ED6CE5"/>
    <w:rsid w:val="00ED6DF6"/>
    <w:rsid w:val="00ED6E91"/>
    <w:rsid w:val="00ED6F8A"/>
    <w:rsid w:val="00ED790D"/>
    <w:rsid w:val="00ED7C24"/>
    <w:rsid w:val="00ED7E45"/>
    <w:rsid w:val="00EE0579"/>
    <w:rsid w:val="00EE0C2F"/>
    <w:rsid w:val="00EE139E"/>
    <w:rsid w:val="00EE13C5"/>
    <w:rsid w:val="00EE227E"/>
    <w:rsid w:val="00EE2C30"/>
    <w:rsid w:val="00EE3644"/>
    <w:rsid w:val="00EE3721"/>
    <w:rsid w:val="00EE3AD0"/>
    <w:rsid w:val="00EE3BE6"/>
    <w:rsid w:val="00EE44CD"/>
    <w:rsid w:val="00EE4544"/>
    <w:rsid w:val="00EE4A7B"/>
    <w:rsid w:val="00EE54EC"/>
    <w:rsid w:val="00EE573D"/>
    <w:rsid w:val="00EE5DB7"/>
    <w:rsid w:val="00EE60FE"/>
    <w:rsid w:val="00EE6AAD"/>
    <w:rsid w:val="00EE6BD2"/>
    <w:rsid w:val="00EE797E"/>
    <w:rsid w:val="00EE7A17"/>
    <w:rsid w:val="00EE7FB9"/>
    <w:rsid w:val="00EF033E"/>
    <w:rsid w:val="00EF03A0"/>
    <w:rsid w:val="00EF03BF"/>
    <w:rsid w:val="00EF1182"/>
    <w:rsid w:val="00EF1456"/>
    <w:rsid w:val="00EF208E"/>
    <w:rsid w:val="00EF30A3"/>
    <w:rsid w:val="00EF3171"/>
    <w:rsid w:val="00EF3665"/>
    <w:rsid w:val="00EF4225"/>
    <w:rsid w:val="00EF4C9A"/>
    <w:rsid w:val="00EF5141"/>
    <w:rsid w:val="00EF640F"/>
    <w:rsid w:val="00EF6DC0"/>
    <w:rsid w:val="00EF74C1"/>
    <w:rsid w:val="00EF751A"/>
    <w:rsid w:val="00EF7E85"/>
    <w:rsid w:val="00F0020B"/>
    <w:rsid w:val="00F00984"/>
    <w:rsid w:val="00F00D29"/>
    <w:rsid w:val="00F00F18"/>
    <w:rsid w:val="00F0199B"/>
    <w:rsid w:val="00F01FB8"/>
    <w:rsid w:val="00F02370"/>
    <w:rsid w:val="00F026FE"/>
    <w:rsid w:val="00F029E5"/>
    <w:rsid w:val="00F02BF6"/>
    <w:rsid w:val="00F03143"/>
    <w:rsid w:val="00F04022"/>
    <w:rsid w:val="00F04BBE"/>
    <w:rsid w:val="00F04FD6"/>
    <w:rsid w:val="00F05762"/>
    <w:rsid w:val="00F068AB"/>
    <w:rsid w:val="00F07438"/>
    <w:rsid w:val="00F07D1F"/>
    <w:rsid w:val="00F07F00"/>
    <w:rsid w:val="00F103A8"/>
    <w:rsid w:val="00F10604"/>
    <w:rsid w:val="00F10BCE"/>
    <w:rsid w:val="00F114FC"/>
    <w:rsid w:val="00F116B1"/>
    <w:rsid w:val="00F11AF8"/>
    <w:rsid w:val="00F11C88"/>
    <w:rsid w:val="00F11E33"/>
    <w:rsid w:val="00F123F2"/>
    <w:rsid w:val="00F125CB"/>
    <w:rsid w:val="00F126B0"/>
    <w:rsid w:val="00F1291F"/>
    <w:rsid w:val="00F129F2"/>
    <w:rsid w:val="00F13E58"/>
    <w:rsid w:val="00F1437C"/>
    <w:rsid w:val="00F146DB"/>
    <w:rsid w:val="00F14825"/>
    <w:rsid w:val="00F14DCA"/>
    <w:rsid w:val="00F14F85"/>
    <w:rsid w:val="00F15859"/>
    <w:rsid w:val="00F15BDC"/>
    <w:rsid w:val="00F15D09"/>
    <w:rsid w:val="00F1614B"/>
    <w:rsid w:val="00F16D63"/>
    <w:rsid w:val="00F16E15"/>
    <w:rsid w:val="00F172B7"/>
    <w:rsid w:val="00F17664"/>
    <w:rsid w:val="00F179E4"/>
    <w:rsid w:val="00F20D49"/>
    <w:rsid w:val="00F229D5"/>
    <w:rsid w:val="00F22E19"/>
    <w:rsid w:val="00F22E3D"/>
    <w:rsid w:val="00F22FFE"/>
    <w:rsid w:val="00F23246"/>
    <w:rsid w:val="00F23381"/>
    <w:rsid w:val="00F234A0"/>
    <w:rsid w:val="00F23522"/>
    <w:rsid w:val="00F236EB"/>
    <w:rsid w:val="00F2389F"/>
    <w:rsid w:val="00F23B0C"/>
    <w:rsid w:val="00F242BC"/>
    <w:rsid w:val="00F2556E"/>
    <w:rsid w:val="00F259F9"/>
    <w:rsid w:val="00F25C59"/>
    <w:rsid w:val="00F25DE0"/>
    <w:rsid w:val="00F26C33"/>
    <w:rsid w:val="00F26E9C"/>
    <w:rsid w:val="00F27508"/>
    <w:rsid w:val="00F27B8F"/>
    <w:rsid w:val="00F3029B"/>
    <w:rsid w:val="00F302E8"/>
    <w:rsid w:val="00F304E2"/>
    <w:rsid w:val="00F305E7"/>
    <w:rsid w:val="00F3094B"/>
    <w:rsid w:val="00F30E69"/>
    <w:rsid w:val="00F312DC"/>
    <w:rsid w:val="00F31889"/>
    <w:rsid w:val="00F32099"/>
    <w:rsid w:val="00F3227C"/>
    <w:rsid w:val="00F3294A"/>
    <w:rsid w:val="00F32A88"/>
    <w:rsid w:val="00F32AFA"/>
    <w:rsid w:val="00F32F13"/>
    <w:rsid w:val="00F3313D"/>
    <w:rsid w:val="00F331C1"/>
    <w:rsid w:val="00F333F3"/>
    <w:rsid w:val="00F33673"/>
    <w:rsid w:val="00F3392B"/>
    <w:rsid w:val="00F33F8E"/>
    <w:rsid w:val="00F34AC6"/>
    <w:rsid w:val="00F34BF4"/>
    <w:rsid w:val="00F3532A"/>
    <w:rsid w:val="00F36015"/>
    <w:rsid w:val="00F361AB"/>
    <w:rsid w:val="00F36567"/>
    <w:rsid w:val="00F36716"/>
    <w:rsid w:val="00F36ABA"/>
    <w:rsid w:val="00F37711"/>
    <w:rsid w:val="00F37863"/>
    <w:rsid w:val="00F37987"/>
    <w:rsid w:val="00F37F18"/>
    <w:rsid w:val="00F40080"/>
    <w:rsid w:val="00F4023F"/>
    <w:rsid w:val="00F4035B"/>
    <w:rsid w:val="00F4069F"/>
    <w:rsid w:val="00F40A97"/>
    <w:rsid w:val="00F40E0A"/>
    <w:rsid w:val="00F40E26"/>
    <w:rsid w:val="00F414CA"/>
    <w:rsid w:val="00F41DBC"/>
    <w:rsid w:val="00F420A5"/>
    <w:rsid w:val="00F4215F"/>
    <w:rsid w:val="00F4283A"/>
    <w:rsid w:val="00F43AAA"/>
    <w:rsid w:val="00F43CD7"/>
    <w:rsid w:val="00F43D70"/>
    <w:rsid w:val="00F44C8F"/>
    <w:rsid w:val="00F451F8"/>
    <w:rsid w:val="00F45256"/>
    <w:rsid w:val="00F452E7"/>
    <w:rsid w:val="00F456A1"/>
    <w:rsid w:val="00F45C95"/>
    <w:rsid w:val="00F45F2B"/>
    <w:rsid w:val="00F46570"/>
    <w:rsid w:val="00F46B83"/>
    <w:rsid w:val="00F46FAF"/>
    <w:rsid w:val="00F47175"/>
    <w:rsid w:val="00F47914"/>
    <w:rsid w:val="00F47B72"/>
    <w:rsid w:val="00F502F6"/>
    <w:rsid w:val="00F504BB"/>
    <w:rsid w:val="00F50A55"/>
    <w:rsid w:val="00F510ED"/>
    <w:rsid w:val="00F51478"/>
    <w:rsid w:val="00F51C5A"/>
    <w:rsid w:val="00F527B1"/>
    <w:rsid w:val="00F5356F"/>
    <w:rsid w:val="00F53B4E"/>
    <w:rsid w:val="00F53D73"/>
    <w:rsid w:val="00F54456"/>
    <w:rsid w:val="00F55256"/>
    <w:rsid w:val="00F566A6"/>
    <w:rsid w:val="00F56716"/>
    <w:rsid w:val="00F569C5"/>
    <w:rsid w:val="00F5713B"/>
    <w:rsid w:val="00F57362"/>
    <w:rsid w:val="00F57657"/>
    <w:rsid w:val="00F57939"/>
    <w:rsid w:val="00F57BF0"/>
    <w:rsid w:val="00F57F83"/>
    <w:rsid w:val="00F6019E"/>
    <w:rsid w:val="00F60334"/>
    <w:rsid w:val="00F603E5"/>
    <w:rsid w:val="00F6071E"/>
    <w:rsid w:val="00F60A80"/>
    <w:rsid w:val="00F60AE9"/>
    <w:rsid w:val="00F61380"/>
    <w:rsid w:val="00F62819"/>
    <w:rsid w:val="00F63774"/>
    <w:rsid w:val="00F64293"/>
    <w:rsid w:val="00F644FD"/>
    <w:rsid w:val="00F64B9E"/>
    <w:rsid w:val="00F64C34"/>
    <w:rsid w:val="00F64CE2"/>
    <w:rsid w:val="00F64E40"/>
    <w:rsid w:val="00F65552"/>
    <w:rsid w:val="00F65EBC"/>
    <w:rsid w:val="00F666C1"/>
    <w:rsid w:val="00F668C9"/>
    <w:rsid w:val="00F66988"/>
    <w:rsid w:val="00F66D6F"/>
    <w:rsid w:val="00F66F55"/>
    <w:rsid w:val="00F673EF"/>
    <w:rsid w:val="00F6762E"/>
    <w:rsid w:val="00F701D1"/>
    <w:rsid w:val="00F70887"/>
    <w:rsid w:val="00F709F5"/>
    <w:rsid w:val="00F70CBF"/>
    <w:rsid w:val="00F70CC8"/>
    <w:rsid w:val="00F723B8"/>
    <w:rsid w:val="00F72609"/>
    <w:rsid w:val="00F726AF"/>
    <w:rsid w:val="00F73426"/>
    <w:rsid w:val="00F73A59"/>
    <w:rsid w:val="00F74C2D"/>
    <w:rsid w:val="00F76517"/>
    <w:rsid w:val="00F766C4"/>
    <w:rsid w:val="00F767B8"/>
    <w:rsid w:val="00F76C22"/>
    <w:rsid w:val="00F76DB2"/>
    <w:rsid w:val="00F7771A"/>
    <w:rsid w:val="00F77A94"/>
    <w:rsid w:val="00F77B31"/>
    <w:rsid w:val="00F77C9C"/>
    <w:rsid w:val="00F77CA7"/>
    <w:rsid w:val="00F77F3A"/>
    <w:rsid w:val="00F80123"/>
    <w:rsid w:val="00F816E5"/>
    <w:rsid w:val="00F81B50"/>
    <w:rsid w:val="00F81B97"/>
    <w:rsid w:val="00F81CC4"/>
    <w:rsid w:val="00F81E9D"/>
    <w:rsid w:val="00F8254A"/>
    <w:rsid w:val="00F826AA"/>
    <w:rsid w:val="00F831E3"/>
    <w:rsid w:val="00F835E4"/>
    <w:rsid w:val="00F8397B"/>
    <w:rsid w:val="00F83BE7"/>
    <w:rsid w:val="00F845AD"/>
    <w:rsid w:val="00F84962"/>
    <w:rsid w:val="00F84E90"/>
    <w:rsid w:val="00F850BF"/>
    <w:rsid w:val="00F86576"/>
    <w:rsid w:val="00F86D7A"/>
    <w:rsid w:val="00F871D4"/>
    <w:rsid w:val="00F872FF"/>
    <w:rsid w:val="00F874D4"/>
    <w:rsid w:val="00F87D95"/>
    <w:rsid w:val="00F87EBF"/>
    <w:rsid w:val="00F903B5"/>
    <w:rsid w:val="00F90B1F"/>
    <w:rsid w:val="00F90F4B"/>
    <w:rsid w:val="00F927CE"/>
    <w:rsid w:val="00F92806"/>
    <w:rsid w:val="00F932DD"/>
    <w:rsid w:val="00F936D4"/>
    <w:rsid w:val="00F93DBA"/>
    <w:rsid w:val="00F93EA8"/>
    <w:rsid w:val="00F9411A"/>
    <w:rsid w:val="00F94120"/>
    <w:rsid w:val="00F9444C"/>
    <w:rsid w:val="00F94513"/>
    <w:rsid w:val="00F94B3C"/>
    <w:rsid w:val="00F94C35"/>
    <w:rsid w:val="00F9551C"/>
    <w:rsid w:val="00F95701"/>
    <w:rsid w:val="00F95A5E"/>
    <w:rsid w:val="00F95EF1"/>
    <w:rsid w:val="00F96A3F"/>
    <w:rsid w:val="00F9731A"/>
    <w:rsid w:val="00F976E0"/>
    <w:rsid w:val="00F97B00"/>
    <w:rsid w:val="00F97B9A"/>
    <w:rsid w:val="00F97D2B"/>
    <w:rsid w:val="00F97DDF"/>
    <w:rsid w:val="00F97FAE"/>
    <w:rsid w:val="00FA00CD"/>
    <w:rsid w:val="00FA0302"/>
    <w:rsid w:val="00FA054E"/>
    <w:rsid w:val="00FA073A"/>
    <w:rsid w:val="00FA0EA7"/>
    <w:rsid w:val="00FA1755"/>
    <w:rsid w:val="00FA1BF1"/>
    <w:rsid w:val="00FA34F9"/>
    <w:rsid w:val="00FA38F2"/>
    <w:rsid w:val="00FA3AF0"/>
    <w:rsid w:val="00FA3B30"/>
    <w:rsid w:val="00FA44C6"/>
    <w:rsid w:val="00FA488F"/>
    <w:rsid w:val="00FA57ED"/>
    <w:rsid w:val="00FA592B"/>
    <w:rsid w:val="00FA60E4"/>
    <w:rsid w:val="00FA6697"/>
    <w:rsid w:val="00FA7697"/>
    <w:rsid w:val="00FA7C14"/>
    <w:rsid w:val="00FA7D47"/>
    <w:rsid w:val="00FB018E"/>
    <w:rsid w:val="00FB0B0E"/>
    <w:rsid w:val="00FB0F4A"/>
    <w:rsid w:val="00FB242F"/>
    <w:rsid w:val="00FB28DF"/>
    <w:rsid w:val="00FB3578"/>
    <w:rsid w:val="00FB35C4"/>
    <w:rsid w:val="00FB38D6"/>
    <w:rsid w:val="00FB3B23"/>
    <w:rsid w:val="00FB3B48"/>
    <w:rsid w:val="00FB3C9C"/>
    <w:rsid w:val="00FB3D23"/>
    <w:rsid w:val="00FB4204"/>
    <w:rsid w:val="00FB4A12"/>
    <w:rsid w:val="00FB56B1"/>
    <w:rsid w:val="00FB5892"/>
    <w:rsid w:val="00FB5AB1"/>
    <w:rsid w:val="00FB5B77"/>
    <w:rsid w:val="00FB6BFF"/>
    <w:rsid w:val="00FB7063"/>
    <w:rsid w:val="00FC0161"/>
    <w:rsid w:val="00FC06B4"/>
    <w:rsid w:val="00FC0704"/>
    <w:rsid w:val="00FC07A6"/>
    <w:rsid w:val="00FC08E9"/>
    <w:rsid w:val="00FC09F8"/>
    <w:rsid w:val="00FC0C4E"/>
    <w:rsid w:val="00FC0CBD"/>
    <w:rsid w:val="00FC1301"/>
    <w:rsid w:val="00FC1BAB"/>
    <w:rsid w:val="00FC2C98"/>
    <w:rsid w:val="00FC31FB"/>
    <w:rsid w:val="00FC3442"/>
    <w:rsid w:val="00FC3E14"/>
    <w:rsid w:val="00FC3F9B"/>
    <w:rsid w:val="00FC4259"/>
    <w:rsid w:val="00FC45D2"/>
    <w:rsid w:val="00FC4706"/>
    <w:rsid w:val="00FC4D7E"/>
    <w:rsid w:val="00FC5A48"/>
    <w:rsid w:val="00FC5EEA"/>
    <w:rsid w:val="00FC653B"/>
    <w:rsid w:val="00FC67A1"/>
    <w:rsid w:val="00FC693E"/>
    <w:rsid w:val="00FC6F9B"/>
    <w:rsid w:val="00FC7327"/>
    <w:rsid w:val="00FC73B1"/>
    <w:rsid w:val="00FC7431"/>
    <w:rsid w:val="00FC745C"/>
    <w:rsid w:val="00FC78A1"/>
    <w:rsid w:val="00FC7A4F"/>
    <w:rsid w:val="00FC7B30"/>
    <w:rsid w:val="00FC7BA4"/>
    <w:rsid w:val="00FC7DBC"/>
    <w:rsid w:val="00FD0393"/>
    <w:rsid w:val="00FD06C9"/>
    <w:rsid w:val="00FD0A94"/>
    <w:rsid w:val="00FD1D41"/>
    <w:rsid w:val="00FD2078"/>
    <w:rsid w:val="00FD2B47"/>
    <w:rsid w:val="00FD3642"/>
    <w:rsid w:val="00FD3A40"/>
    <w:rsid w:val="00FD3C7A"/>
    <w:rsid w:val="00FD40F0"/>
    <w:rsid w:val="00FD4FFF"/>
    <w:rsid w:val="00FD54A6"/>
    <w:rsid w:val="00FD569E"/>
    <w:rsid w:val="00FD5D88"/>
    <w:rsid w:val="00FD60F3"/>
    <w:rsid w:val="00FD62FF"/>
    <w:rsid w:val="00FD6852"/>
    <w:rsid w:val="00FD6FF0"/>
    <w:rsid w:val="00FD7DDF"/>
    <w:rsid w:val="00FD7E0E"/>
    <w:rsid w:val="00FE01C9"/>
    <w:rsid w:val="00FE0A02"/>
    <w:rsid w:val="00FE0BBE"/>
    <w:rsid w:val="00FE16A8"/>
    <w:rsid w:val="00FE23B0"/>
    <w:rsid w:val="00FE24B1"/>
    <w:rsid w:val="00FE2927"/>
    <w:rsid w:val="00FE339D"/>
    <w:rsid w:val="00FE3A1B"/>
    <w:rsid w:val="00FE476D"/>
    <w:rsid w:val="00FE4822"/>
    <w:rsid w:val="00FE48A8"/>
    <w:rsid w:val="00FE4EA1"/>
    <w:rsid w:val="00FE56B3"/>
    <w:rsid w:val="00FE577D"/>
    <w:rsid w:val="00FE6AC6"/>
    <w:rsid w:val="00FE72D0"/>
    <w:rsid w:val="00FE745A"/>
    <w:rsid w:val="00FE7D9B"/>
    <w:rsid w:val="00FE7F28"/>
    <w:rsid w:val="00FF0A72"/>
    <w:rsid w:val="00FF0B83"/>
    <w:rsid w:val="00FF13E2"/>
    <w:rsid w:val="00FF1480"/>
    <w:rsid w:val="00FF179E"/>
    <w:rsid w:val="00FF17CE"/>
    <w:rsid w:val="00FF21AE"/>
    <w:rsid w:val="00FF2523"/>
    <w:rsid w:val="00FF2790"/>
    <w:rsid w:val="00FF33A0"/>
    <w:rsid w:val="00FF34FE"/>
    <w:rsid w:val="00FF370A"/>
    <w:rsid w:val="00FF3B4A"/>
    <w:rsid w:val="00FF4083"/>
    <w:rsid w:val="00FF4211"/>
    <w:rsid w:val="00FF427C"/>
    <w:rsid w:val="00FF49AE"/>
    <w:rsid w:val="00FF5FAF"/>
    <w:rsid w:val="00FF6523"/>
    <w:rsid w:val="00FF675E"/>
    <w:rsid w:val="00FF6B4C"/>
    <w:rsid w:val="00FF6E4E"/>
    <w:rsid w:val="00FF6ED9"/>
    <w:rsid w:val="00FF6FC1"/>
    <w:rsid w:val="00FF7012"/>
    <w:rsid w:val="00FF7257"/>
    <w:rsid w:val="00FF72F6"/>
    <w:rsid w:val="00FF748A"/>
    <w:rsid w:val="00FF74EC"/>
    <w:rsid w:val="00FF78A6"/>
    <w:rsid w:val="00FF78BE"/>
    <w:rsid w:val="00FF7A3E"/>
    <w:rsid w:val="00FF7D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81D3A"/>
  <w15:docId w15:val="{27E40671-BF12-469D-8384-8B3F6DC6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56AD6"/>
    <w:pPr>
      <w:spacing w:before="120" w:after="120" w:line="360" w:lineRule="auto"/>
      <w:jc w:val="both"/>
    </w:pPr>
    <w:rPr>
      <w:rFonts w:asciiTheme="minorBidi" w:eastAsia="Times New Roman" w:hAnsiTheme="minorBidi" w:cs="Times New Roman"/>
      <w:lang w:eastAsia="en-GB"/>
    </w:rPr>
  </w:style>
  <w:style w:type="paragraph" w:styleId="Heading1">
    <w:name w:val="heading 1"/>
    <w:aliases w:val="chapter,Chapter Heading"/>
    <w:basedOn w:val="Normal"/>
    <w:next w:val="Normal"/>
    <w:link w:val="Heading1Char"/>
    <w:autoRedefine/>
    <w:uiPriority w:val="9"/>
    <w:qFormat/>
    <w:rsid w:val="00E22ACF"/>
    <w:pPr>
      <w:keepNext/>
      <w:keepLines/>
      <w:numPr>
        <w:numId w:val="24"/>
      </w:numPr>
      <w:spacing w:before="0" w:after="0"/>
      <w:outlineLvl w:val="0"/>
    </w:pPr>
    <w:rPr>
      <w:rFonts w:eastAsiaTheme="minorHAnsi" w:cstheme="minorBidi"/>
      <w:b/>
      <w:color w:val="000000" w:themeColor="text1"/>
      <w:sz w:val="32"/>
      <w:szCs w:val="32"/>
    </w:rPr>
  </w:style>
  <w:style w:type="paragraph" w:styleId="Heading2">
    <w:name w:val="heading 2"/>
    <w:aliases w:val="ARC 2,GKM 2,H2,2,sub-sect,Section Heading"/>
    <w:basedOn w:val="Normal"/>
    <w:next w:val="Normal"/>
    <w:link w:val="Heading2Char"/>
    <w:uiPriority w:val="9"/>
    <w:unhideWhenUsed/>
    <w:qFormat/>
    <w:rsid w:val="00EC0D25"/>
    <w:pPr>
      <w:keepNext/>
      <w:keepLines/>
      <w:numPr>
        <w:ilvl w:val="1"/>
        <w:numId w:val="24"/>
      </w:numPr>
      <w:spacing w:before="280" w:after="360"/>
      <w:outlineLvl w:val="1"/>
    </w:pPr>
    <w:rPr>
      <w:rFonts w:eastAsiaTheme="majorEastAsia" w:cstheme="majorBidi"/>
      <w:b/>
      <w:color w:val="000000" w:themeColor="text1"/>
      <w:sz w:val="28"/>
      <w:szCs w:val="26"/>
    </w:rPr>
  </w:style>
  <w:style w:type="paragraph" w:styleId="Heading3">
    <w:name w:val="heading 3"/>
    <w:aliases w:val="ARC 3,GKM 3,H3,sub-sub"/>
    <w:basedOn w:val="Normal"/>
    <w:next w:val="Normal"/>
    <w:link w:val="Heading3Char"/>
    <w:unhideWhenUsed/>
    <w:qFormat/>
    <w:rsid w:val="00400E3B"/>
    <w:pPr>
      <w:numPr>
        <w:ilvl w:val="2"/>
        <w:numId w:val="24"/>
      </w:numPr>
      <w:outlineLvl w:val="2"/>
    </w:pPr>
    <w:rPr>
      <w:b/>
    </w:rPr>
  </w:style>
  <w:style w:type="paragraph" w:styleId="Heading4">
    <w:name w:val="heading 4"/>
    <w:aliases w:val="ARC 4,GKM 4,H4"/>
    <w:basedOn w:val="Normal"/>
    <w:next w:val="Normal"/>
    <w:link w:val="Heading4Char"/>
    <w:unhideWhenUsed/>
    <w:qFormat/>
    <w:rsid w:val="00C01603"/>
    <w:pPr>
      <w:keepNext/>
      <w:keepLines/>
      <w:numPr>
        <w:ilvl w:val="3"/>
        <w:numId w:val="24"/>
      </w:numPr>
      <w:outlineLvl w:val="3"/>
    </w:pPr>
    <w:rPr>
      <w:rFonts w:eastAsiaTheme="majorEastAsia" w:cstheme="majorBidi"/>
      <w:b/>
      <w:iCs/>
      <w:color w:val="000000" w:themeColor="text1"/>
    </w:rPr>
  </w:style>
  <w:style w:type="paragraph" w:styleId="Heading5">
    <w:name w:val="heading 5"/>
    <w:aliases w:val="ARC 5,GKM 5"/>
    <w:basedOn w:val="Normal"/>
    <w:next w:val="Normal"/>
    <w:link w:val="Heading5Char"/>
    <w:unhideWhenUsed/>
    <w:qFormat/>
    <w:rsid w:val="009E29BF"/>
    <w:pPr>
      <w:keepNext/>
      <w:keepLines/>
      <w:numPr>
        <w:ilvl w:val="4"/>
        <w:numId w:val="24"/>
      </w:numPr>
      <w:spacing w:before="40"/>
      <w:outlineLvl w:val="4"/>
    </w:pPr>
    <w:rPr>
      <w:rFonts w:ascii="Arial" w:eastAsiaTheme="majorEastAsia" w:hAnsi="Arial" w:cstheme="majorBidi"/>
      <w:b/>
    </w:rPr>
  </w:style>
  <w:style w:type="paragraph" w:styleId="Heading6">
    <w:name w:val="heading 6"/>
    <w:aliases w:val="ARC 6,GKM 6"/>
    <w:basedOn w:val="Normal"/>
    <w:next w:val="Normal"/>
    <w:link w:val="Heading6Char"/>
    <w:unhideWhenUsed/>
    <w:qFormat/>
    <w:rsid w:val="00FC3F9B"/>
    <w:pPr>
      <w:keepNext/>
      <w:keepLines/>
      <w:numPr>
        <w:ilvl w:val="5"/>
        <w:numId w:val="24"/>
      </w:numPr>
      <w:spacing w:before="40"/>
      <w:outlineLvl w:val="5"/>
    </w:pPr>
    <w:rPr>
      <w:rFonts w:asciiTheme="majorHAnsi" w:eastAsiaTheme="majorEastAsia" w:hAnsiTheme="majorHAnsi" w:cstheme="majorBidi"/>
      <w:color w:val="6E6E6E" w:themeColor="accent1" w:themeShade="7F"/>
    </w:rPr>
  </w:style>
  <w:style w:type="paragraph" w:styleId="Heading7">
    <w:name w:val="heading 7"/>
    <w:aliases w:val="third heading"/>
    <w:basedOn w:val="Normal"/>
    <w:next w:val="Normal"/>
    <w:link w:val="Heading7Char"/>
    <w:unhideWhenUsed/>
    <w:qFormat/>
    <w:rsid w:val="00FC3F9B"/>
    <w:pPr>
      <w:keepNext/>
      <w:keepLines/>
      <w:numPr>
        <w:ilvl w:val="6"/>
        <w:numId w:val="24"/>
      </w:numPr>
      <w:spacing w:before="40"/>
      <w:outlineLvl w:val="6"/>
    </w:pPr>
    <w:rPr>
      <w:rFonts w:asciiTheme="majorHAnsi" w:eastAsiaTheme="majorEastAsia" w:hAnsiTheme="majorHAnsi" w:cstheme="majorBidi"/>
      <w:i/>
      <w:iCs/>
      <w:color w:val="6E6E6E" w:themeColor="accent1" w:themeShade="7F"/>
    </w:rPr>
  </w:style>
  <w:style w:type="paragraph" w:styleId="Heading8">
    <w:name w:val="heading 8"/>
    <w:aliases w:val="second heading"/>
    <w:basedOn w:val="Normal"/>
    <w:next w:val="Normal"/>
    <w:link w:val="Heading8Char"/>
    <w:unhideWhenUsed/>
    <w:qFormat/>
    <w:rsid w:val="00FC3F9B"/>
    <w:pPr>
      <w:keepNext/>
      <w:keepLines/>
      <w:numPr>
        <w:ilvl w:val="7"/>
        <w:numId w:val="2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FC3F9B"/>
    <w:pPr>
      <w:keepNext/>
      <w:keepLines/>
      <w:numPr>
        <w:ilvl w:val="8"/>
        <w:numId w:val="2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Chapter Heading Char"/>
    <w:basedOn w:val="DefaultParagraphFont"/>
    <w:link w:val="Heading1"/>
    <w:uiPriority w:val="9"/>
    <w:rsid w:val="00E22ACF"/>
    <w:rPr>
      <w:rFonts w:asciiTheme="minorBidi" w:hAnsiTheme="minorBidi"/>
      <w:b/>
      <w:color w:val="000000" w:themeColor="text1"/>
      <w:sz w:val="32"/>
      <w:szCs w:val="32"/>
      <w:lang w:eastAsia="en-GB"/>
    </w:rPr>
  </w:style>
  <w:style w:type="character" w:customStyle="1" w:styleId="Heading2Char">
    <w:name w:val="Heading 2 Char"/>
    <w:aliases w:val="ARC 2 Char,GKM 2 Char,H2 Char,2 Char,sub-sect Char,Section Heading Char"/>
    <w:basedOn w:val="DefaultParagraphFont"/>
    <w:link w:val="Heading2"/>
    <w:uiPriority w:val="9"/>
    <w:rsid w:val="00EC0D25"/>
    <w:rPr>
      <w:rFonts w:asciiTheme="minorBidi" w:eastAsiaTheme="majorEastAsia" w:hAnsiTheme="minorBidi" w:cstheme="majorBidi"/>
      <w:b/>
      <w:color w:val="000000" w:themeColor="text1"/>
      <w:sz w:val="28"/>
      <w:szCs w:val="26"/>
      <w:lang w:eastAsia="en-GB"/>
    </w:rPr>
  </w:style>
  <w:style w:type="character" w:customStyle="1" w:styleId="Heading3Char">
    <w:name w:val="Heading 3 Char"/>
    <w:aliases w:val="ARC 3 Char,GKM 3 Char,H3 Char,sub-sub Char"/>
    <w:basedOn w:val="DefaultParagraphFont"/>
    <w:link w:val="Heading3"/>
    <w:rsid w:val="00286E27"/>
    <w:rPr>
      <w:rFonts w:asciiTheme="minorBidi" w:eastAsia="Times New Roman" w:hAnsiTheme="minorBidi" w:cs="Times New Roman"/>
      <w:b/>
      <w:lang w:eastAsia="en-GB"/>
    </w:rPr>
  </w:style>
  <w:style w:type="character" w:customStyle="1" w:styleId="Heading4Char">
    <w:name w:val="Heading 4 Char"/>
    <w:aliases w:val="ARC 4 Char,GKM 4 Char,H4 Char"/>
    <w:basedOn w:val="DefaultParagraphFont"/>
    <w:link w:val="Heading4"/>
    <w:rsid w:val="00C01603"/>
    <w:rPr>
      <w:rFonts w:asciiTheme="minorBidi" w:eastAsiaTheme="majorEastAsia" w:hAnsiTheme="minorBidi" w:cstheme="majorBidi"/>
      <w:b/>
      <w:iCs/>
      <w:color w:val="000000" w:themeColor="text1"/>
      <w:lang w:eastAsia="en-GB"/>
    </w:rPr>
  </w:style>
  <w:style w:type="character" w:customStyle="1" w:styleId="Heading5Char">
    <w:name w:val="Heading 5 Char"/>
    <w:aliases w:val="ARC 5 Char,GKM 5 Char"/>
    <w:basedOn w:val="DefaultParagraphFont"/>
    <w:link w:val="Heading5"/>
    <w:rsid w:val="009E29BF"/>
    <w:rPr>
      <w:rFonts w:ascii="Arial" w:eastAsiaTheme="majorEastAsia" w:hAnsi="Arial" w:cstheme="majorBidi"/>
      <w:b/>
      <w:lang w:eastAsia="en-GB"/>
    </w:rPr>
  </w:style>
  <w:style w:type="character" w:customStyle="1" w:styleId="Heading6Char">
    <w:name w:val="Heading 6 Char"/>
    <w:aliases w:val="ARC 6 Char,GKM 6 Char"/>
    <w:basedOn w:val="DefaultParagraphFont"/>
    <w:link w:val="Heading6"/>
    <w:rsid w:val="00FC3F9B"/>
    <w:rPr>
      <w:rFonts w:asciiTheme="majorHAnsi" w:eastAsiaTheme="majorEastAsia" w:hAnsiTheme="majorHAnsi" w:cstheme="majorBidi"/>
      <w:color w:val="6E6E6E" w:themeColor="accent1" w:themeShade="7F"/>
      <w:lang w:eastAsia="en-GB"/>
    </w:rPr>
  </w:style>
  <w:style w:type="character" w:customStyle="1" w:styleId="Heading7Char">
    <w:name w:val="Heading 7 Char"/>
    <w:aliases w:val="third heading Char"/>
    <w:basedOn w:val="DefaultParagraphFont"/>
    <w:link w:val="Heading7"/>
    <w:rsid w:val="00FC3F9B"/>
    <w:rPr>
      <w:rFonts w:asciiTheme="majorHAnsi" w:eastAsiaTheme="majorEastAsia" w:hAnsiTheme="majorHAnsi" w:cstheme="majorBidi"/>
      <w:i/>
      <w:iCs/>
      <w:color w:val="6E6E6E" w:themeColor="accent1" w:themeShade="7F"/>
      <w:lang w:eastAsia="en-GB"/>
    </w:rPr>
  </w:style>
  <w:style w:type="character" w:customStyle="1" w:styleId="Heading8Char">
    <w:name w:val="Heading 8 Char"/>
    <w:aliases w:val="second heading Char"/>
    <w:basedOn w:val="DefaultParagraphFont"/>
    <w:link w:val="Heading8"/>
    <w:rsid w:val="00FC3F9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rsid w:val="00FC3F9B"/>
    <w:rPr>
      <w:rFonts w:asciiTheme="majorHAnsi" w:eastAsiaTheme="majorEastAsia" w:hAnsiTheme="majorHAnsi" w:cstheme="majorBidi"/>
      <w:i/>
      <w:iCs/>
      <w:color w:val="272727" w:themeColor="text1" w:themeTint="D8"/>
      <w:sz w:val="21"/>
      <w:szCs w:val="21"/>
      <w:lang w:eastAsia="en-GB"/>
    </w:rPr>
  </w:style>
  <w:style w:type="paragraph" w:styleId="Caption">
    <w:name w:val="caption"/>
    <w:aliases w:val="Captions"/>
    <w:basedOn w:val="Normal"/>
    <w:next w:val="Normal"/>
    <w:link w:val="CaptionChar"/>
    <w:qFormat/>
    <w:rsid w:val="00C41186"/>
    <w:pPr>
      <w:spacing w:before="0" w:after="0"/>
    </w:pPr>
    <w:rPr>
      <w:rFonts w:ascii="Arial (Body CS)" w:eastAsia="Calibri" w:hAnsi="Arial (Body CS)"/>
      <w:iCs/>
      <w:color w:val="000000" w:themeColor="text1"/>
      <w:sz w:val="22"/>
      <w:szCs w:val="18"/>
    </w:rPr>
  </w:style>
  <w:style w:type="paragraph" w:styleId="BalloonText">
    <w:name w:val="Balloon Text"/>
    <w:basedOn w:val="Normal"/>
    <w:link w:val="BalloonTextChar"/>
    <w:semiHidden/>
    <w:unhideWhenUsed/>
    <w:rsid w:val="00FC3F9B"/>
    <w:rPr>
      <w:sz w:val="18"/>
      <w:szCs w:val="18"/>
    </w:rPr>
  </w:style>
  <w:style w:type="character" w:customStyle="1" w:styleId="BalloonTextChar">
    <w:name w:val="Balloon Text Char"/>
    <w:basedOn w:val="DefaultParagraphFont"/>
    <w:link w:val="BalloonText"/>
    <w:semiHidden/>
    <w:rsid w:val="00FC3F9B"/>
    <w:rPr>
      <w:rFonts w:ascii="Times New Roman" w:hAnsi="Times New Roman"/>
      <w:sz w:val="18"/>
      <w:szCs w:val="18"/>
    </w:rPr>
  </w:style>
  <w:style w:type="paragraph" w:styleId="ListParagraph">
    <w:name w:val="List Paragraph"/>
    <w:basedOn w:val="Normal"/>
    <w:uiPriority w:val="34"/>
    <w:qFormat/>
    <w:rsid w:val="00FC3F9B"/>
    <w:pPr>
      <w:ind w:left="720"/>
      <w:contextualSpacing/>
    </w:pPr>
  </w:style>
  <w:style w:type="paragraph" w:styleId="Header">
    <w:name w:val="header"/>
    <w:basedOn w:val="Normal"/>
    <w:link w:val="HeaderChar"/>
    <w:uiPriority w:val="99"/>
    <w:unhideWhenUsed/>
    <w:rsid w:val="005C169C"/>
    <w:pPr>
      <w:tabs>
        <w:tab w:val="center" w:pos="4513"/>
        <w:tab w:val="right" w:pos="9026"/>
      </w:tabs>
    </w:pPr>
  </w:style>
  <w:style w:type="character" w:customStyle="1" w:styleId="HeaderChar">
    <w:name w:val="Header Char"/>
    <w:basedOn w:val="DefaultParagraphFont"/>
    <w:link w:val="Header"/>
    <w:uiPriority w:val="99"/>
    <w:rsid w:val="005C169C"/>
    <w:rPr>
      <w:rFonts w:ascii="Arial" w:hAnsi="Arial"/>
    </w:rPr>
  </w:style>
  <w:style w:type="paragraph" w:styleId="Footer">
    <w:name w:val="footer"/>
    <w:basedOn w:val="Normal"/>
    <w:link w:val="FooterChar"/>
    <w:uiPriority w:val="99"/>
    <w:unhideWhenUsed/>
    <w:qFormat/>
    <w:rsid w:val="005C169C"/>
    <w:pPr>
      <w:tabs>
        <w:tab w:val="center" w:pos="4513"/>
        <w:tab w:val="right" w:pos="9026"/>
      </w:tabs>
    </w:pPr>
  </w:style>
  <w:style w:type="character" w:customStyle="1" w:styleId="FooterChar">
    <w:name w:val="Footer Char"/>
    <w:basedOn w:val="DefaultParagraphFont"/>
    <w:link w:val="Footer"/>
    <w:uiPriority w:val="99"/>
    <w:rsid w:val="005C169C"/>
    <w:rPr>
      <w:rFonts w:ascii="Arial" w:hAnsi="Arial"/>
    </w:rPr>
  </w:style>
  <w:style w:type="paragraph" w:styleId="DocumentMap">
    <w:name w:val="Document Map"/>
    <w:basedOn w:val="Normal"/>
    <w:link w:val="DocumentMapChar"/>
    <w:semiHidden/>
    <w:unhideWhenUsed/>
    <w:rsid w:val="00A63095"/>
  </w:style>
  <w:style w:type="character" w:customStyle="1" w:styleId="DocumentMapChar">
    <w:name w:val="Document Map Char"/>
    <w:basedOn w:val="DefaultParagraphFont"/>
    <w:link w:val="DocumentMap"/>
    <w:semiHidden/>
    <w:rsid w:val="00A63095"/>
    <w:rPr>
      <w:rFonts w:ascii="Times New Roman" w:hAnsi="Times New Roman"/>
    </w:rPr>
  </w:style>
  <w:style w:type="character" w:styleId="CommentReference">
    <w:name w:val="annotation reference"/>
    <w:uiPriority w:val="99"/>
    <w:semiHidden/>
    <w:unhideWhenUsed/>
    <w:rsid w:val="00A63095"/>
    <w:rPr>
      <w:sz w:val="18"/>
      <w:szCs w:val="18"/>
    </w:rPr>
  </w:style>
  <w:style w:type="paragraph" w:styleId="CommentText">
    <w:name w:val="annotation text"/>
    <w:basedOn w:val="Normal"/>
    <w:link w:val="CommentTextChar"/>
    <w:uiPriority w:val="99"/>
    <w:unhideWhenUsed/>
    <w:rsid w:val="00A63095"/>
    <w:rPr>
      <w:rFonts w:eastAsia="Calibri" w:cs="Arial"/>
    </w:rPr>
  </w:style>
  <w:style w:type="character" w:customStyle="1" w:styleId="CommentTextChar">
    <w:name w:val="Comment Text Char"/>
    <w:basedOn w:val="DefaultParagraphFont"/>
    <w:link w:val="CommentText"/>
    <w:uiPriority w:val="99"/>
    <w:rsid w:val="00A63095"/>
    <w:rPr>
      <w:rFonts w:ascii="Arial" w:eastAsia="Calibri" w:hAnsi="Arial" w:cs="Arial"/>
    </w:rPr>
  </w:style>
  <w:style w:type="paragraph" w:styleId="FootnoteText">
    <w:name w:val="footnote text"/>
    <w:basedOn w:val="Normal"/>
    <w:link w:val="FootnoteTextChar"/>
    <w:uiPriority w:val="99"/>
    <w:unhideWhenUsed/>
    <w:rsid w:val="00A63095"/>
    <w:rPr>
      <w:rFonts w:ascii="Calibri" w:eastAsia="Calibri" w:hAnsi="Calibri"/>
    </w:rPr>
  </w:style>
  <w:style w:type="character" w:customStyle="1" w:styleId="FootnoteTextChar">
    <w:name w:val="Footnote Text Char"/>
    <w:basedOn w:val="DefaultParagraphFont"/>
    <w:link w:val="FootnoteText"/>
    <w:uiPriority w:val="99"/>
    <w:rsid w:val="00A63095"/>
    <w:rPr>
      <w:rFonts w:ascii="Calibri" w:eastAsia="Calibri" w:hAnsi="Calibri" w:cs="Times New Roman"/>
    </w:rPr>
  </w:style>
  <w:style w:type="character" w:styleId="FootnoteReference">
    <w:name w:val="footnote reference"/>
    <w:uiPriority w:val="99"/>
    <w:unhideWhenUsed/>
    <w:rsid w:val="00A63095"/>
    <w:rPr>
      <w:vertAlign w:val="superscript"/>
    </w:rPr>
  </w:style>
  <w:style w:type="paragraph" w:styleId="CommentSubject">
    <w:name w:val="annotation subject"/>
    <w:basedOn w:val="CommentText"/>
    <w:next w:val="CommentText"/>
    <w:link w:val="CommentSubjectChar"/>
    <w:semiHidden/>
    <w:unhideWhenUsed/>
    <w:rsid w:val="00A63095"/>
    <w:rPr>
      <w:rFonts w:ascii="Calibri" w:hAnsi="Calibri" w:cs="Times New Roman"/>
      <w:b/>
      <w:bCs/>
      <w:sz w:val="20"/>
      <w:szCs w:val="20"/>
    </w:rPr>
  </w:style>
  <w:style w:type="character" w:customStyle="1" w:styleId="CommentSubjectChar">
    <w:name w:val="Comment Subject Char"/>
    <w:basedOn w:val="CommentTextChar"/>
    <w:link w:val="CommentSubject"/>
    <w:semiHidden/>
    <w:rsid w:val="00A63095"/>
    <w:rPr>
      <w:rFonts w:ascii="Calibri" w:eastAsia="Calibri" w:hAnsi="Calibri" w:cs="Times New Roman"/>
      <w:b/>
      <w:bCs/>
      <w:sz w:val="20"/>
      <w:szCs w:val="20"/>
    </w:rPr>
  </w:style>
  <w:style w:type="character" w:styleId="PageNumber">
    <w:name w:val="page number"/>
    <w:uiPriority w:val="99"/>
    <w:semiHidden/>
    <w:unhideWhenUsed/>
    <w:rsid w:val="00A63095"/>
  </w:style>
  <w:style w:type="paragraph" w:styleId="Revision">
    <w:name w:val="Revision"/>
    <w:hidden/>
    <w:uiPriority w:val="99"/>
    <w:unhideWhenUsed/>
    <w:rsid w:val="00A63095"/>
    <w:rPr>
      <w:rFonts w:ascii="Calibri" w:eastAsia="Calibri" w:hAnsi="Calibri" w:cs="Times New Roman"/>
    </w:rPr>
  </w:style>
  <w:style w:type="paragraph" w:styleId="NoSpacing">
    <w:name w:val="No Spacing"/>
    <w:aliases w:val="one point five"/>
    <w:link w:val="NoSpacingChar"/>
    <w:uiPriority w:val="1"/>
    <w:qFormat/>
    <w:rsid w:val="00A63095"/>
    <w:pPr>
      <w:spacing w:line="360" w:lineRule="auto"/>
      <w:jc w:val="both"/>
    </w:pPr>
    <w:rPr>
      <w:rFonts w:ascii="Arial" w:hAnsi="Arial"/>
    </w:rPr>
  </w:style>
  <w:style w:type="table" w:styleId="TableGrid">
    <w:name w:val="Table Grid"/>
    <w:basedOn w:val="TableNormal"/>
    <w:uiPriority w:val="39"/>
    <w:rsid w:val="00A63095"/>
    <w:rPr>
      <w:rFonts w:ascii="Times New Roman" w:eastAsiaTheme="minorEastAsia"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3095"/>
    <w:rPr>
      <w:color w:val="5F5F5F" w:themeColor="hyperlink"/>
      <w:u w:val="single"/>
    </w:rPr>
  </w:style>
  <w:style w:type="character" w:styleId="PlaceholderText">
    <w:name w:val="Placeholder Text"/>
    <w:basedOn w:val="DefaultParagraphFont"/>
    <w:uiPriority w:val="99"/>
    <w:semiHidden/>
    <w:rsid w:val="00A63095"/>
    <w:rPr>
      <w:color w:val="808080"/>
    </w:rPr>
  </w:style>
  <w:style w:type="numbering" w:customStyle="1" w:styleId="Headings">
    <w:name w:val="Headings"/>
    <w:uiPriority w:val="99"/>
    <w:rsid w:val="00A63095"/>
    <w:pPr>
      <w:numPr>
        <w:numId w:val="2"/>
      </w:numPr>
    </w:pPr>
  </w:style>
  <w:style w:type="numbering" w:customStyle="1" w:styleId="Heading">
    <w:name w:val="Heading"/>
    <w:uiPriority w:val="99"/>
    <w:rsid w:val="00A63095"/>
    <w:pPr>
      <w:numPr>
        <w:numId w:val="3"/>
      </w:numPr>
    </w:pPr>
  </w:style>
  <w:style w:type="paragraph" w:styleId="HTMLPreformatted">
    <w:name w:val="HTML Preformatted"/>
    <w:basedOn w:val="Normal"/>
    <w:link w:val="HTMLPreformattedChar"/>
    <w:uiPriority w:val="99"/>
    <w:unhideWhenUsed/>
    <w:rsid w:val="00A63095"/>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A63095"/>
    <w:rPr>
      <w:rFonts w:ascii="Consolas" w:hAnsi="Consolas" w:cs="Consolas"/>
      <w:sz w:val="20"/>
      <w:szCs w:val="20"/>
    </w:rPr>
  </w:style>
  <w:style w:type="paragraph" w:customStyle="1" w:styleId="Default">
    <w:name w:val="Default"/>
    <w:rsid w:val="00A63095"/>
    <w:pPr>
      <w:autoSpaceDE w:val="0"/>
      <w:autoSpaceDN w:val="0"/>
      <w:adjustRightInd w:val="0"/>
    </w:pPr>
    <w:rPr>
      <w:rFonts w:ascii="Times New Roman" w:hAnsi="Times New Roman" w:cs="Times New Roman"/>
      <w:color w:val="000000"/>
    </w:rPr>
  </w:style>
  <w:style w:type="paragraph" w:styleId="TableofFigures">
    <w:name w:val="table of figures"/>
    <w:basedOn w:val="Normal"/>
    <w:next w:val="Normal"/>
    <w:uiPriority w:val="99"/>
    <w:unhideWhenUsed/>
    <w:rsid w:val="00157BF0"/>
    <w:pPr>
      <w:ind w:left="480" w:hanging="480"/>
    </w:pPr>
    <w:rPr>
      <w:rFonts w:cstheme="minorHAnsi"/>
      <w:szCs w:val="20"/>
    </w:rPr>
  </w:style>
  <w:style w:type="paragraph" w:styleId="TOC1">
    <w:name w:val="toc 1"/>
    <w:basedOn w:val="Normal"/>
    <w:next w:val="Normal"/>
    <w:autoRedefine/>
    <w:uiPriority w:val="39"/>
    <w:unhideWhenUsed/>
    <w:rsid w:val="00FB3578"/>
    <w:rPr>
      <w:rFonts w:ascii="Arial" w:hAnsi="Arial" w:cs="Arial"/>
      <w:b/>
      <w:bCs/>
    </w:rPr>
  </w:style>
  <w:style w:type="paragraph" w:styleId="TOC2">
    <w:name w:val="toc 2"/>
    <w:basedOn w:val="Normal"/>
    <w:next w:val="Normal"/>
    <w:autoRedefine/>
    <w:uiPriority w:val="39"/>
    <w:unhideWhenUsed/>
    <w:rsid w:val="00FB3578"/>
    <w:pPr>
      <w:spacing w:before="60"/>
      <w:ind w:left="238"/>
      <w:contextualSpacing/>
    </w:pPr>
    <w:rPr>
      <w:rFonts w:ascii="Arial" w:hAnsi="Arial" w:cs="Arial"/>
      <w:b/>
      <w:bCs/>
    </w:rPr>
  </w:style>
  <w:style w:type="paragraph" w:styleId="TOC3">
    <w:name w:val="toc 3"/>
    <w:basedOn w:val="Normal"/>
    <w:next w:val="Normal"/>
    <w:autoRedefine/>
    <w:uiPriority w:val="39"/>
    <w:unhideWhenUsed/>
    <w:rsid w:val="0027381E"/>
    <w:pPr>
      <w:tabs>
        <w:tab w:val="left" w:pos="1440"/>
        <w:tab w:val="right" w:leader="dot" w:pos="9010"/>
      </w:tabs>
      <w:ind w:left="482"/>
    </w:pPr>
    <w:rPr>
      <w:rFonts w:ascii="Arial" w:hAnsi="Arial" w:cs="Arial"/>
    </w:rPr>
  </w:style>
  <w:style w:type="paragraph" w:styleId="TOC4">
    <w:name w:val="toc 4"/>
    <w:basedOn w:val="Normal"/>
    <w:next w:val="Normal"/>
    <w:autoRedefine/>
    <w:uiPriority w:val="39"/>
    <w:unhideWhenUsed/>
    <w:rsid w:val="00A63095"/>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A63095"/>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A63095"/>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A63095"/>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A63095"/>
    <w:pPr>
      <w:ind w:left="1680"/>
    </w:pPr>
    <w:rPr>
      <w:rFonts w:asciiTheme="minorHAnsi" w:hAnsiTheme="minorHAnsi" w:cstheme="minorHAnsi"/>
      <w:sz w:val="18"/>
      <w:szCs w:val="21"/>
    </w:rPr>
  </w:style>
  <w:style w:type="paragraph" w:styleId="NormalWeb">
    <w:name w:val="Normal (Web)"/>
    <w:basedOn w:val="Normal"/>
    <w:link w:val="NormalWebChar"/>
    <w:uiPriority w:val="99"/>
    <w:unhideWhenUsed/>
    <w:rsid w:val="00A63095"/>
    <w:pPr>
      <w:spacing w:before="100" w:beforeAutospacing="1" w:after="100" w:afterAutospacing="1"/>
    </w:pPr>
  </w:style>
  <w:style w:type="paragraph" w:customStyle="1" w:styleId="ColorfulList-Accent11">
    <w:name w:val="Colorful List - Accent 11"/>
    <w:basedOn w:val="Normal"/>
    <w:uiPriority w:val="34"/>
    <w:qFormat/>
    <w:rsid w:val="00A63095"/>
    <w:pPr>
      <w:spacing w:line="480" w:lineRule="auto"/>
      <w:ind w:left="720"/>
      <w:contextualSpacing/>
    </w:pPr>
    <w:rPr>
      <w:rFonts w:eastAsia="Calibri"/>
      <w:color w:val="000000"/>
    </w:rPr>
  </w:style>
  <w:style w:type="paragraph" w:customStyle="1" w:styleId="MediumGrid21">
    <w:name w:val="Medium Grid 21"/>
    <w:uiPriority w:val="1"/>
    <w:qFormat/>
    <w:rsid w:val="00A63095"/>
    <w:pPr>
      <w:spacing w:line="360" w:lineRule="auto"/>
      <w:jc w:val="both"/>
    </w:pPr>
    <w:rPr>
      <w:rFonts w:ascii="Arial" w:eastAsia="Calibri" w:hAnsi="Arial" w:cs="Times New Roman"/>
      <w:color w:val="000000"/>
      <w:u w:val="single"/>
    </w:rPr>
  </w:style>
  <w:style w:type="paragraph" w:customStyle="1" w:styleId="ColorfulShading-Accent11">
    <w:name w:val="Colorful Shading - Accent 11"/>
    <w:hidden/>
    <w:uiPriority w:val="99"/>
    <w:semiHidden/>
    <w:rsid w:val="00A63095"/>
    <w:rPr>
      <w:rFonts w:ascii="Calibri" w:eastAsia="Calibri" w:hAnsi="Calibri" w:cs="Times New Roman"/>
    </w:rPr>
  </w:style>
  <w:style w:type="character" w:customStyle="1" w:styleId="NoSpacingChar">
    <w:name w:val="No Spacing Char"/>
    <w:aliases w:val="one point five Char"/>
    <w:basedOn w:val="DefaultParagraphFont"/>
    <w:link w:val="NoSpacing"/>
    <w:uiPriority w:val="1"/>
    <w:rsid w:val="00A63095"/>
    <w:rPr>
      <w:rFonts w:ascii="Arial" w:hAnsi="Arial"/>
    </w:rPr>
  </w:style>
  <w:style w:type="paragraph" w:customStyle="1" w:styleId="EndNoteBibliographyTitle">
    <w:name w:val="EndNote Bibliography Title"/>
    <w:basedOn w:val="Normal"/>
    <w:link w:val="EndNoteBibliographyTitleChar"/>
    <w:rsid w:val="00A63095"/>
    <w:pPr>
      <w:spacing w:line="480" w:lineRule="auto"/>
      <w:jc w:val="center"/>
    </w:pPr>
    <w:rPr>
      <w:rFonts w:ascii="Arial" w:eastAsia="Calibri" w:hAnsi="Arial" w:cs="Arial"/>
      <w:noProof/>
      <w:szCs w:val="22"/>
      <w:lang w:val="en-US"/>
    </w:rPr>
  </w:style>
  <w:style w:type="character" w:customStyle="1" w:styleId="EndNoteBibliographyTitleChar">
    <w:name w:val="EndNote Bibliography Title Char"/>
    <w:link w:val="EndNoteBibliographyTitle"/>
    <w:rsid w:val="00A63095"/>
    <w:rPr>
      <w:rFonts w:ascii="Arial" w:eastAsia="Calibri" w:hAnsi="Arial" w:cs="Arial"/>
      <w:noProof/>
      <w:szCs w:val="22"/>
      <w:lang w:val="en-US" w:eastAsia="en-GB"/>
    </w:rPr>
  </w:style>
  <w:style w:type="paragraph" w:customStyle="1" w:styleId="EndNoteBibliography">
    <w:name w:val="EndNote Bibliography"/>
    <w:basedOn w:val="Normal"/>
    <w:link w:val="EndNoteBibliographyChar"/>
    <w:rsid w:val="00A63095"/>
    <w:pPr>
      <w:spacing w:after="200"/>
    </w:pPr>
    <w:rPr>
      <w:rFonts w:ascii="Arial" w:eastAsia="Calibri" w:hAnsi="Arial" w:cs="Arial"/>
      <w:noProof/>
      <w:szCs w:val="22"/>
      <w:lang w:val="en-US"/>
    </w:rPr>
  </w:style>
  <w:style w:type="character" w:customStyle="1" w:styleId="EndNoteBibliographyChar">
    <w:name w:val="EndNote Bibliography Char"/>
    <w:link w:val="EndNoteBibliography"/>
    <w:rsid w:val="00A63095"/>
    <w:rPr>
      <w:rFonts w:ascii="Arial" w:eastAsia="Calibri" w:hAnsi="Arial" w:cs="Arial"/>
      <w:noProof/>
      <w:szCs w:val="22"/>
      <w:lang w:val="en-US" w:eastAsia="en-GB"/>
    </w:rPr>
  </w:style>
  <w:style w:type="character" w:customStyle="1" w:styleId="NormalWebChar">
    <w:name w:val="Normal (Web) Char"/>
    <w:link w:val="NormalWeb"/>
    <w:uiPriority w:val="99"/>
    <w:rsid w:val="00A63095"/>
    <w:rPr>
      <w:rFonts w:ascii="Times New Roman" w:eastAsia="Times New Roman" w:hAnsi="Times New Roman" w:cs="Times New Roman"/>
      <w:lang w:eastAsia="en-GB"/>
    </w:rPr>
  </w:style>
  <w:style w:type="paragraph" w:styleId="BodyText">
    <w:name w:val="Body Text"/>
    <w:basedOn w:val="Normal"/>
    <w:link w:val="BodyTextChar"/>
    <w:uiPriority w:val="99"/>
    <w:rsid w:val="00A63095"/>
    <w:pPr>
      <w:tabs>
        <w:tab w:val="left" w:pos="992"/>
      </w:tabs>
      <w:spacing w:line="300" w:lineRule="exact"/>
    </w:pPr>
    <w:rPr>
      <w:lang w:val="nb-NO" w:eastAsia="nb-NO"/>
    </w:rPr>
  </w:style>
  <w:style w:type="character" w:customStyle="1" w:styleId="BodyTextChar">
    <w:name w:val="Body Text Char"/>
    <w:basedOn w:val="DefaultParagraphFont"/>
    <w:link w:val="BodyText"/>
    <w:uiPriority w:val="99"/>
    <w:rsid w:val="00A63095"/>
    <w:rPr>
      <w:rFonts w:ascii="Times New Roman" w:eastAsia="Times New Roman" w:hAnsi="Times New Roman" w:cs="Times New Roman"/>
      <w:lang w:val="nb-NO" w:eastAsia="nb-NO"/>
    </w:rPr>
  </w:style>
  <w:style w:type="numbering" w:customStyle="1" w:styleId="Chapter6">
    <w:name w:val="Chapter 6"/>
    <w:uiPriority w:val="99"/>
    <w:rsid w:val="00A63095"/>
    <w:pPr>
      <w:numPr>
        <w:numId w:val="4"/>
      </w:numPr>
    </w:pPr>
  </w:style>
  <w:style w:type="numbering" w:customStyle="1" w:styleId="thesischapters">
    <w:name w:val="thesis_chapters"/>
    <w:uiPriority w:val="99"/>
    <w:rsid w:val="00A63095"/>
    <w:pPr>
      <w:numPr>
        <w:numId w:val="5"/>
      </w:numPr>
    </w:pPr>
  </w:style>
  <w:style w:type="paragraph" w:styleId="Title">
    <w:name w:val="Title"/>
    <w:basedOn w:val="Normal"/>
    <w:next w:val="Normal"/>
    <w:link w:val="TitleChar"/>
    <w:uiPriority w:val="10"/>
    <w:qFormat/>
    <w:rsid w:val="00EB126E"/>
    <w:pPr>
      <w:contextualSpacing/>
      <w:jc w:val="center"/>
    </w:pPr>
    <w:rPr>
      <w:rFonts w:eastAsia="MS Gothic"/>
      <w:spacing w:val="-10"/>
      <w:kern w:val="28"/>
      <w:sz w:val="36"/>
      <w:szCs w:val="56"/>
      <w:lang w:val="nb-NO"/>
    </w:rPr>
  </w:style>
  <w:style w:type="character" w:customStyle="1" w:styleId="TitleChar">
    <w:name w:val="Title Char"/>
    <w:basedOn w:val="DefaultParagraphFont"/>
    <w:link w:val="Title"/>
    <w:uiPriority w:val="10"/>
    <w:rsid w:val="00EB126E"/>
    <w:rPr>
      <w:rFonts w:asciiTheme="minorBidi" w:eastAsia="MS Gothic" w:hAnsiTheme="minorBidi" w:cs="Times New Roman"/>
      <w:spacing w:val="-10"/>
      <w:kern w:val="28"/>
      <w:sz w:val="36"/>
      <w:szCs w:val="56"/>
      <w:lang w:val="nb-NO" w:eastAsia="en-GB"/>
    </w:rPr>
  </w:style>
  <w:style w:type="character" w:customStyle="1" w:styleId="MediumGrid11">
    <w:name w:val="Medium Grid 11"/>
    <w:uiPriority w:val="99"/>
    <w:semiHidden/>
    <w:rsid w:val="00A63095"/>
    <w:rPr>
      <w:color w:val="808080"/>
    </w:rPr>
  </w:style>
  <w:style w:type="paragraph" w:styleId="TOCHeading">
    <w:name w:val="TOC Heading"/>
    <w:basedOn w:val="Heading1"/>
    <w:next w:val="Normal"/>
    <w:uiPriority w:val="39"/>
    <w:unhideWhenUsed/>
    <w:qFormat/>
    <w:rsid w:val="00CB7185"/>
    <w:pPr>
      <w:numPr>
        <w:numId w:val="0"/>
      </w:numPr>
      <w:spacing w:before="480" w:line="276" w:lineRule="auto"/>
      <w:outlineLvl w:val="9"/>
    </w:pPr>
    <w:rPr>
      <w:rFonts w:asciiTheme="majorHAnsi" w:hAnsiTheme="majorHAnsi"/>
      <w:bCs/>
      <w:color w:val="A5A5A5" w:themeColor="accent1" w:themeShade="BF"/>
      <w:sz w:val="28"/>
      <w:szCs w:val="28"/>
      <w:lang w:val="en-US"/>
    </w:rPr>
  </w:style>
  <w:style w:type="character" w:customStyle="1" w:styleId="apple-converted-space">
    <w:name w:val="apple-converted-space"/>
    <w:basedOn w:val="DefaultParagraphFont"/>
    <w:rsid w:val="00AE41E0"/>
  </w:style>
  <w:style w:type="character" w:styleId="Emphasis">
    <w:name w:val="Emphasis"/>
    <w:basedOn w:val="DefaultParagraphFont"/>
    <w:uiPriority w:val="20"/>
    <w:qFormat/>
    <w:rsid w:val="00722AE7"/>
    <w:rPr>
      <w:i/>
      <w:iCs/>
    </w:rPr>
  </w:style>
  <w:style w:type="character" w:customStyle="1" w:styleId="normaltextrun">
    <w:name w:val="normaltextrun"/>
    <w:basedOn w:val="DefaultParagraphFont"/>
    <w:rsid w:val="00B730AB"/>
  </w:style>
  <w:style w:type="numbering" w:customStyle="1" w:styleId="NumberedHeadingList">
    <w:name w:val="Numbered Heading List"/>
    <w:uiPriority w:val="99"/>
    <w:rsid w:val="00172E82"/>
    <w:pPr>
      <w:numPr>
        <w:numId w:val="8"/>
      </w:numPr>
    </w:pPr>
  </w:style>
  <w:style w:type="table" w:customStyle="1" w:styleId="PlainTable21">
    <w:name w:val="Plain Table 21"/>
    <w:basedOn w:val="TableNormal"/>
    <w:uiPriority w:val="42"/>
    <w:rsid w:val="00172E8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link w:val="paragraphChar"/>
    <w:rsid w:val="00B6455A"/>
    <w:pPr>
      <w:spacing w:before="100" w:beforeAutospacing="1" w:after="100" w:afterAutospacing="1"/>
    </w:pPr>
  </w:style>
  <w:style w:type="character" w:customStyle="1" w:styleId="eop">
    <w:name w:val="eop"/>
    <w:basedOn w:val="DefaultParagraphFont"/>
    <w:rsid w:val="00B6455A"/>
  </w:style>
  <w:style w:type="character" w:customStyle="1" w:styleId="paragraphChar">
    <w:name w:val="paragraph Char"/>
    <w:basedOn w:val="DefaultParagraphFont"/>
    <w:link w:val="paragraph"/>
    <w:rsid w:val="00B6455A"/>
    <w:rPr>
      <w:rFonts w:ascii="Times New Roman" w:eastAsia="Times New Roman" w:hAnsi="Times New Roman" w:cs="Times New Roman"/>
      <w:lang w:eastAsia="en-GB"/>
    </w:rPr>
  </w:style>
  <w:style w:type="character" w:styleId="Strong">
    <w:name w:val="Strong"/>
    <w:aliases w:val="Authors"/>
    <w:basedOn w:val="DefaultParagraphFont"/>
    <w:uiPriority w:val="22"/>
    <w:qFormat/>
    <w:rsid w:val="00451E2F"/>
    <w:rPr>
      <w:b/>
      <w:bCs/>
    </w:rPr>
  </w:style>
  <w:style w:type="character" w:customStyle="1" w:styleId="UnresolvedMention1">
    <w:name w:val="Unresolved Mention1"/>
    <w:basedOn w:val="DefaultParagraphFont"/>
    <w:uiPriority w:val="99"/>
    <w:unhideWhenUsed/>
    <w:rsid w:val="00EA656A"/>
    <w:rPr>
      <w:color w:val="605E5C"/>
      <w:shd w:val="clear" w:color="auto" w:fill="E1DFDD"/>
    </w:rPr>
  </w:style>
  <w:style w:type="character" w:customStyle="1" w:styleId="UnresolvedMention2">
    <w:name w:val="Unresolved Mention2"/>
    <w:basedOn w:val="DefaultParagraphFont"/>
    <w:uiPriority w:val="99"/>
    <w:semiHidden/>
    <w:unhideWhenUsed/>
    <w:rsid w:val="00EA656A"/>
    <w:rPr>
      <w:color w:val="605E5C"/>
      <w:shd w:val="clear" w:color="auto" w:fill="E1DFDD"/>
    </w:rPr>
  </w:style>
  <w:style w:type="character" w:styleId="UnresolvedMention">
    <w:name w:val="Unresolved Mention"/>
    <w:basedOn w:val="DefaultParagraphFont"/>
    <w:uiPriority w:val="99"/>
    <w:unhideWhenUsed/>
    <w:rsid w:val="00EA656A"/>
    <w:rPr>
      <w:color w:val="605E5C"/>
      <w:shd w:val="clear" w:color="auto" w:fill="E1DFDD"/>
    </w:rPr>
  </w:style>
  <w:style w:type="character" w:customStyle="1" w:styleId="A3">
    <w:name w:val="A3"/>
    <w:uiPriority w:val="99"/>
    <w:rsid w:val="00BC6D6E"/>
    <w:rPr>
      <w:rFonts w:cs="Minion Pro"/>
      <w:color w:val="000000"/>
      <w:sz w:val="13"/>
      <w:szCs w:val="13"/>
    </w:rPr>
  </w:style>
  <w:style w:type="paragraph" w:customStyle="1" w:styleId="Pa19">
    <w:name w:val="Pa19"/>
    <w:basedOn w:val="Default"/>
    <w:next w:val="Default"/>
    <w:uiPriority w:val="99"/>
    <w:rsid w:val="00BC6D6E"/>
    <w:pPr>
      <w:spacing w:line="141" w:lineRule="atLeast"/>
    </w:pPr>
    <w:rPr>
      <w:rFonts w:ascii="Helvetica Neue" w:hAnsi="Helvetica Neue" w:cstheme="minorBidi"/>
      <w:color w:val="auto"/>
    </w:rPr>
  </w:style>
  <w:style w:type="character" w:customStyle="1" w:styleId="label">
    <w:name w:val="label"/>
    <w:basedOn w:val="DefaultParagraphFont"/>
    <w:rsid w:val="00BC6D6E"/>
  </w:style>
  <w:style w:type="table" w:styleId="PlainTable2">
    <w:name w:val="Plain Table 2"/>
    <w:basedOn w:val="TableNormal"/>
    <w:uiPriority w:val="42"/>
    <w:rsid w:val="00BA5D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unhideWhenUsed/>
    <w:rsid w:val="00497363"/>
    <w:rPr>
      <w:color w:val="919191" w:themeColor="followedHyperlink"/>
      <w:u w:val="single"/>
    </w:rPr>
  </w:style>
  <w:style w:type="character" w:customStyle="1" w:styleId="named-content">
    <w:name w:val="named-content"/>
    <w:basedOn w:val="DefaultParagraphFont"/>
    <w:rsid w:val="00497363"/>
  </w:style>
  <w:style w:type="paragraph" w:customStyle="1" w:styleId="mb15">
    <w:name w:val="mb15"/>
    <w:basedOn w:val="Normal"/>
    <w:rsid w:val="00497363"/>
    <w:pPr>
      <w:spacing w:before="100" w:beforeAutospacing="1" w:after="100" w:afterAutospacing="1"/>
    </w:pPr>
  </w:style>
  <w:style w:type="character" w:customStyle="1" w:styleId="normalitalic">
    <w:name w:val="normalitalic"/>
    <w:basedOn w:val="DefaultParagraphFont"/>
    <w:rsid w:val="00497363"/>
  </w:style>
  <w:style w:type="paragraph" w:styleId="EndnoteText">
    <w:name w:val="endnote text"/>
    <w:basedOn w:val="Normal"/>
    <w:link w:val="EndnoteTextChar"/>
    <w:uiPriority w:val="99"/>
    <w:semiHidden/>
    <w:unhideWhenUsed/>
    <w:rsid w:val="00497363"/>
    <w:rPr>
      <w:sz w:val="20"/>
      <w:szCs w:val="20"/>
    </w:rPr>
  </w:style>
  <w:style w:type="character" w:customStyle="1" w:styleId="EndnoteTextChar">
    <w:name w:val="Endnote Text Char"/>
    <w:basedOn w:val="DefaultParagraphFont"/>
    <w:link w:val="EndnoteText"/>
    <w:uiPriority w:val="99"/>
    <w:semiHidden/>
    <w:rsid w:val="00497363"/>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497363"/>
    <w:rPr>
      <w:vertAlign w:val="superscript"/>
    </w:rPr>
  </w:style>
  <w:style w:type="character" w:customStyle="1" w:styleId="d2edcug0">
    <w:name w:val="d2edcug0"/>
    <w:basedOn w:val="DefaultParagraphFont"/>
    <w:rsid w:val="00497363"/>
  </w:style>
  <w:style w:type="character" w:customStyle="1" w:styleId="a8c37x1j">
    <w:name w:val="a8c37x1j"/>
    <w:basedOn w:val="DefaultParagraphFont"/>
    <w:rsid w:val="00497363"/>
  </w:style>
  <w:style w:type="character" w:customStyle="1" w:styleId="Mention1">
    <w:name w:val="Mention1"/>
    <w:basedOn w:val="DefaultParagraphFont"/>
    <w:uiPriority w:val="99"/>
    <w:unhideWhenUsed/>
    <w:rsid w:val="00497363"/>
    <w:rPr>
      <w:color w:val="2B579A"/>
      <w:shd w:val="clear" w:color="auto" w:fill="E1DFDD"/>
    </w:rPr>
  </w:style>
  <w:style w:type="character" w:customStyle="1" w:styleId="Heading2Char1">
    <w:name w:val="Heading 2 Char1"/>
    <w:aliases w:val="ARC 2 Char1,GKM 2 Char1,H2 Char1,2 Char1,sub-sect Char1"/>
    <w:basedOn w:val="DefaultParagraphFont"/>
    <w:semiHidden/>
    <w:rsid w:val="00C328BB"/>
    <w:rPr>
      <w:rFonts w:asciiTheme="majorHAnsi" w:eastAsiaTheme="majorEastAsia" w:hAnsiTheme="majorHAnsi" w:cstheme="majorBidi"/>
      <w:color w:val="A5A5A5" w:themeColor="accent1" w:themeShade="BF"/>
      <w:sz w:val="26"/>
      <w:szCs w:val="26"/>
      <w:lang w:val="en-GB"/>
      <w14:ligatures w14:val="standardContextual"/>
    </w:rPr>
  </w:style>
  <w:style w:type="character" w:customStyle="1" w:styleId="Heading3Char1">
    <w:name w:val="Heading 3 Char1"/>
    <w:aliases w:val="ARC 3 Char1,GKM 3 Char1,H3 Char1,sub-sub Char1"/>
    <w:basedOn w:val="DefaultParagraphFont"/>
    <w:semiHidden/>
    <w:rsid w:val="00C328BB"/>
    <w:rPr>
      <w:rFonts w:asciiTheme="majorHAnsi" w:eastAsiaTheme="majorEastAsia" w:hAnsiTheme="majorHAnsi" w:cstheme="majorBidi"/>
      <w:color w:val="6E6E6E" w:themeColor="accent1" w:themeShade="7F"/>
      <w:sz w:val="24"/>
      <w:szCs w:val="24"/>
      <w:lang w:val="en-GB"/>
      <w14:ligatures w14:val="standardContextual"/>
    </w:rPr>
  </w:style>
  <w:style w:type="character" w:customStyle="1" w:styleId="Heading4Char1">
    <w:name w:val="Heading 4 Char1"/>
    <w:aliases w:val="ARC 4 Char1,GKM 4 Char1,H4 Char1"/>
    <w:basedOn w:val="DefaultParagraphFont"/>
    <w:semiHidden/>
    <w:rsid w:val="00C328BB"/>
    <w:rPr>
      <w:rFonts w:asciiTheme="majorHAnsi" w:eastAsiaTheme="majorEastAsia" w:hAnsiTheme="majorHAnsi" w:cstheme="majorBidi"/>
      <w:i/>
      <w:iCs/>
      <w:color w:val="A5A5A5" w:themeColor="accent1" w:themeShade="BF"/>
      <w:sz w:val="24"/>
      <w:szCs w:val="22"/>
      <w:lang w:val="en-GB"/>
      <w14:ligatures w14:val="standardContextual"/>
    </w:rPr>
  </w:style>
  <w:style w:type="character" w:customStyle="1" w:styleId="Heading5Char1">
    <w:name w:val="Heading 5 Char1"/>
    <w:aliases w:val="ARC 5 Char1,GKM 5 Char1"/>
    <w:basedOn w:val="DefaultParagraphFont"/>
    <w:semiHidden/>
    <w:rsid w:val="00C328BB"/>
    <w:rPr>
      <w:rFonts w:asciiTheme="majorHAnsi" w:eastAsiaTheme="majorEastAsia" w:hAnsiTheme="majorHAnsi" w:cstheme="majorBidi"/>
      <w:color w:val="A5A5A5" w:themeColor="accent1" w:themeShade="BF"/>
      <w:sz w:val="24"/>
      <w:szCs w:val="22"/>
      <w:lang w:val="en-GB"/>
      <w14:ligatures w14:val="standardContextual"/>
    </w:rPr>
  </w:style>
  <w:style w:type="character" w:customStyle="1" w:styleId="Heading6Char1">
    <w:name w:val="Heading 6 Char1"/>
    <w:aliases w:val="ARC 6 Char1,GKM 6 Char1"/>
    <w:basedOn w:val="DefaultParagraphFont"/>
    <w:semiHidden/>
    <w:rsid w:val="00C328BB"/>
    <w:rPr>
      <w:rFonts w:asciiTheme="majorHAnsi" w:eastAsiaTheme="majorEastAsia" w:hAnsiTheme="majorHAnsi" w:cstheme="majorBidi"/>
      <w:color w:val="6E6E6E" w:themeColor="accent1" w:themeShade="7F"/>
      <w:sz w:val="24"/>
      <w:szCs w:val="22"/>
      <w:lang w:val="en-GB"/>
      <w14:ligatures w14:val="standardContextual"/>
    </w:rPr>
  </w:style>
  <w:style w:type="paragraph" w:customStyle="1" w:styleId="msonormal0">
    <w:name w:val="msonormal"/>
    <w:basedOn w:val="Normal"/>
    <w:rsid w:val="00C328BB"/>
    <w:pPr>
      <w:spacing w:before="100" w:beforeAutospacing="1" w:after="100" w:afterAutospacing="1"/>
    </w:pPr>
  </w:style>
  <w:style w:type="paragraph" w:styleId="Index1">
    <w:name w:val="index 1"/>
    <w:basedOn w:val="Normal"/>
    <w:next w:val="Normal"/>
    <w:autoRedefine/>
    <w:semiHidden/>
    <w:unhideWhenUsed/>
    <w:rsid w:val="00C328BB"/>
    <w:pPr>
      <w:spacing w:after="280"/>
      <w:ind w:left="200" w:hanging="200"/>
    </w:pPr>
    <w:rPr>
      <w:rFonts w:ascii="Arial" w:eastAsiaTheme="minorHAnsi" w:hAnsi="Arial" w:cstheme="minorBidi"/>
      <w:szCs w:val="22"/>
      <w:lang w:eastAsia="en-US"/>
      <w14:ligatures w14:val="standardContextual"/>
    </w:rPr>
  </w:style>
  <w:style w:type="paragraph" w:styleId="IndexHeading">
    <w:name w:val="index heading"/>
    <w:basedOn w:val="Normal"/>
    <w:next w:val="Index1"/>
    <w:semiHidden/>
    <w:unhideWhenUsed/>
    <w:rsid w:val="00C328BB"/>
    <w:pPr>
      <w:spacing w:after="280"/>
    </w:pPr>
    <w:rPr>
      <w:rFonts w:ascii="Arial" w:eastAsiaTheme="minorHAnsi" w:hAnsi="Arial" w:cstheme="minorBidi"/>
      <w:szCs w:val="22"/>
      <w:lang w:eastAsia="en-US"/>
      <w14:ligatures w14:val="standardContextual"/>
    </w:rPr>
  </w:style>
  <w:style w:type="paragraph" w:styleId="Subtitle">
    <w:name w:val="Subtitle"/>
    <w:basedOn w:val="Normal"/>
    <w:next w:val="Normal"/>
    <w:link w:val="SubtitleChar"/>
    <w:qFormat/>
    <w:rsid w:val="00C328BB"/>
    <w:pPr>
      <w:spacing w:after="280"/>
    </w:pPr>
    <w:rPr>
      <w:rFonts w:ascii="Arial" w:eastAsiaTheme="minorEastAsia" w:hAnsi="Arial" w:cstheme="minorBidi"/>
      <w:sz w:val="20"/>
      <w:szCs w:val="22"/>
      <w:lang w:eastAsia="en-US"/>
      <w14:ligatures w14:val="standardContextual"/>
    </w:rPr>
  </w:style>
  <w:style w:type="character" w:customStyle="1" w:styleId="SubtitleChar">
    <w:name w:val="Subtitle Char"/>
    <w:basedOn w:val="DefaultParagraphFont"/>
    <w:link w:val="Subtitle"/>
    <w:rsid w:val="00C328BB"/>
    <w:rPr>
      <w:rFonts w:ascii="Arial" w:eastAsiaTheme="minorEastAsia" w:hAnsi="Arial"/>
      <w:sz w:val="20"/>
      <w:szCs w:val="22"/>
      <w14:ligatures w14:val="standardContextual"/>
    </w:rPr>
  </w:style>
  <w:style w:type="paragraph" w:styleId="Bibliography">
    <w:name w:val="Bibliography"/>
    <w:basedOn w:val="Normal"/>
    <w:next w:val="Normal"/>
    <w:uiPriority w:val="37"/>
    <w:unhideWhenUsed/>
    <w:rsid w:val="00C328BB"/>
    <w:pPr>
      <w:spacing w:after="280"/>
    </w:pPr>
    <w:rPr>
      <w:rFonts w:ascii="Arial" w:eastAsiaTheme="minorHAnsi" w:hAnsi="Arial" w:cstheme="minorBidi"/>
      <w:szCs w:val="22"/>
      <w:lang w:eastAsia="en-US"/>
      <w14:ligatures w14:val="standardContextual"/>
    </w:rPr>
  </w:style>
  <w:style w:type="paragraph" w:customStyle="1" w:styleId="actioncaption">
    <w:name w:val="action caption"/>
    <w:basedOn w:val="Normal"/>
    <w:next w:val="Normal"/>
    <w:rsid w:val="00C328BB"/>
    <w:pPr>
      <w:spacing w:after="280"/>
      <w:jc w:val="center"/>
    </w:pPr>
    <w:rPr>
      <w:rFonts w:ascii="Arial" w:eastAsiaTheme="minorHAnsi" w:hAnsi="Arial" w:cstheme="minorBidi"/>
      <w:i/>
      <w:szCs w:val="22"/>
      <w:lang w:eastAsia="en-US"/>
      <w14:ligatures w14:val="standardContextual"/>
    </w:rPr>
  </w:style>
  <w:style w:type="paragraph" w:customStyle="1" w:styleId="AddressBlock">
    <w:name w:val="Address Block"/>
    <w:basedOn w:val="Normal"/>
    <w:rsid w:val="00C328BB"/>
    <w:pPr>
      <w:jc w:val="center"/>
    </w:pPr>
    <w:rPr>
      <w:rFonts w:ascii="Arial" w:eastAsiaTheme="minorHAnsi" w:hAnsi="Arial" w:cstheme="minorBidi"/>
      <w:szCs w:val="22"/>
      <w:lang w:eastAsia="en-US"/>
      <w14:ligatures w14:val="standardContextual"/>
    </w:rPr>
  </w:style>
  <w:style w:type="paragraph" w:customStyle="1" w:styleId="Annex1">
    <w:name w:val="Annex 1"/>
    <w:basedOn w:val="Normal"/>
    <w:next w:val="Normal"/>
    <w:rsid w:val="00C328BB"/>
    <w:pPr>
      <w:keepNext/>
      <w:pageBreakBefore/>
      <w:numPr>
        <w:numId w:val="11"/>
      </w:numPr>
      <w:tabs>
        <w:tab w:val="left" w:pos="1728"/>
      </w:tabs>
      <w:spacing w:before="200" w:after="280"/>
      <w:jc w:val="center"/>
      <w:outlineLvl w:val="0"/>
    </w:pPr>
    <w:rPr>
      <w:rFonts w:ascii="Arial Bold" w:eastAsiaTheme="minorHAnsi" w:hAnsi="Arial Bold" w:cstheme="minorBidi"/>
      <w:b/>
      <w:caps/>
      <w:color w:val="333366"/>
      <w:sz w:val="32"/>
      <w:szCs w:val="32"/>
      <w:lang w:eastAsia="en-US"/>
      <w14:ligatures w14:val="standardContextual"/>
    </w:rPr>
  </w:style>
  <w:style w:type="paragraph" w:customStyle="1" w:styleId="Annex2">
    <w:name w:val="Annex 2"/>
    <w:basedOn w:val="Normal"/>
    <w:next w:val="Normal"/>
    <w:rsid w:val="00C328BB"/>
    <w:pPr>
      <w:keepNext/>
      <w:numPr>
        <w:ilvl w:val="1"/>
        <w:numId w:val="11"/>
      </w:numPr>
      <w:spacing w:before="200" w:after="280"/>
      <w:outlineLvl w:val="1"/>
    </w:pPr>
    <w:rPr>
      <w:rFonts w:ascii="Arial Bold" w:eastAsiaTheme="minorHAnsi" w:hAnsi="Arial Bold" w:cstheme="minorBidi"/>
      <w:b/>
      <w:color w:val="5DBFD4"/>
      <w:sz w:val="28"/>
      <w:szCs w:val="28"/>
      <w:lang w:eastAsia="en-US"/>
      <w14:ligatures w14:val="standardContextual"/>
    </w:rPr>
  </w:style>
  <w:style w:type="paragraph" w:customStyle="1" w:styleId="AnnexPara3">
    <w:name w:val="Annex Para3"/>
    <w:basedOn w:val="Normal"/>
    <w:rsid w:val="00C328BB"/>
    <w:pPr>
      <w:numPr>
        <w:ilvl w:val="8"/>
        <w:numId w:val="11"/>
      </w:numPr>
      <w:spacing w:after="280"/>
    </w:pPr>
    <w:rPr>
      <w:rFonts w:ascii="Arial" w:eastAsiaTheme="minorHAnsi" w:hAnsi="Arial" w:cstheme="minorBidi"/>
      <w:szCs w:val="22"/>
      <w:lang w:eastAsia="en-US"/>
      <w14:ligatures w14:val="standardContextual"/>
    </w:rPr>
  </w:style>
  <w:style w:type="paragraph" w:customStyle="1" w:styleId="Annex3">
    <w:name w:val="Annex 3"/>
    <w:basedOn w:val="Normal"/>
    <w:next w:val="Normal"/>
    <w:rsid w:val="00C328BB"/>
    <w:pPr>
      <w:keepNext/>
      <w:numPr>
        <w:ilvl w:val="2"/>
        <w:numId w:val="11"/>
      </w:numPr>
      <w:spacing w:before="200" w:after="280"/>
      <w:outlineLvl w:val="2"/>
    </w:pPr>
    <w:rPr>
      <w:rFonts w:ascii="Arial Bold" w:eastAsiaTheme="minorHAnsi" w:hAnsi="Arial Bold" w:cstheme="minorBidi"/>
      <w:b/>
      <w:color w:val="5DBFD4"/>
      <w:lang w:eastAsia="en-US"/>
      <w14:ligatures w14:val="standardContextual"/>
    </w:rPr>
  </w:style>
  <w:style w:type="paragraph" w:customStyle="1" w:styleId="Annex5">
    <w:name w:val="Annex 5"/>
    <w:basedOn w:val="Normal"/>
    <w:next w:val="Normal"/>
    <w:rsid w:val="00C328BB"/>
    <w:pPr>
      <w:keepNext/>
      <w:numPr>
        <w:ilvl w:val="4"/>
        <w:numId w:val="11"/>
      </w:numPr>
      <w:spacing w:after="280"/>
      <w:outlineLvl w:val="4"/>
    </w:pPr>
    <w:rPr>
      <w:rFonts w:ascii="Arial Bold" w:eastAsiaTheme="minorHAnsi" w:hAnsi="Arial Bold" w:cstheme="minorBidi"/>
      <w:b/>
      <w:color w:val="5DBFD4"/>
      <w:szCs w:val="22"/>
      <w:lang w:eastAsia="en-US"/>
      <w14:ligatures w14:val="standardContextual"/>
    </w:rPr>
  </w:style>
  <w:style w:type="paragraph" w:customStyle="1" w:styleId="Annex6">
    <w:name w:val="Annex 6"/>
    <w:basedOn w:val="Normal"/>
    <w:next w:val="Normal"/>
    <w:rsid w:val="00C328BB"/>
    <w:pPr>
      <w:keepNext/>
      <w:numPr>
        <w:ilvl w:val="5"/>
        <w:numId w:val="11"/>
      </w:numPr>
      <w:spacing w:after="280"/>
      <w:outlineLvl w:val="5"/>
    </w:pPr>
    <w:rPr>
      <w:rFonts w:ascii="Arial Bold" w:eastAsiaTheme="minorHAnsi" w:hAnsi="Arial Bold" w:cstheme="minorBidi"/>
      <w:b/>
      <w:color w:val="5DBFD4"/>
      <w:szCs w:val="22"/>
      <w:lang w:eastAsia="en-US"/>
      <w14:ligatures w14:val="standardContextual"/>
    </w:rPr>
  </w:style>
  <w:style w:type="paragraph" w:customStyle="1" w:styleId="AnnexPara2">
    <w:name w:val="Annex Para2"/>
    <w:basedOn w:val="Normal"/>
    <w:rsid w:val="00C328BB"/>
    <w:pPr>
      <w:numPr>
        <w:ilvl w:val="7"/>
        <w:numId w:val="11"/>
      </w:numPr>
      <w:spacing w:after="280"/>
    </w:pPr>
    <w:rPr>
      <w:rFonts w:ascii="Arial" w:eastAsiaTheme="minorHAnsi" w:hAnsi="Arial" w:cstheme="minorBidi"/>
      <w:szCs w:val="22"/>
      <w:lang w:eastAsia="en-US"/>
      <w14:ligatures w14:val="standardContextual"/>
    </w:rPr>
  </w:style>
  <w:style w:type="paragraph" w:customStyle="1" w:styleId="AnnexPara1">
    <w:name w:val="Annex Para1"/>
    <w:basedOn w:val="Normal"/>
    <w:rsid w:val="00C328BB"/>
    <w:pPr>
      <w:numPr>
        <w:ilvl w:val="6"/>
        <w:numId w:val="11"/>
      </w:numPr>
      <w:spacing w:after="280"/>
    </w:pPr>
    <w:rPr>
      <w:rFonts w:ascii="Arial" w:eastAsiaTheme="minorHAnsi" w:hAnsi="Arial" w:cstheme="minorBidi"/>
      <w:szCs w:val="22"/>
      <w:lang w:eastAsia="en-US"/>
      <w14:ligatures w14:val="standardContextual"/>
    </w:rPr>
  </w:style>
  <w:style w:type="paragraph" w:customStyle="1" w:styleId="Appendix1">
    <w:name w:val="Appendix 1"/>
    <w:basedOn w:val="Normal"/>
    <w:next w:val="Normal"/>
    <w:rsid w:val="00C328BB"/>
    <w:pPr>
      <w:keepNext/>
      <w:pageBreakBefore/>
      <w:numPr>
        <w:numId w:val="12"/>
      </w:numPr>
      <w:tabs>
        <w:tab w:val="left" w:pos="2160"/>
      </w:tabs>
      <w:spacing w:before="200" w:after="280"/>
      <w:jc w:val="center"/>
      <w:outlineLvl w:val="0"/>
    </w:pPr>
    <w:rPr>
      <w:rFonts w:ascii="Arial Bold" w:eastAsiaTheme="minorHAnsi" w:hAnsi="Arial Bold" w:cstheme="minorBidi"/>
      <w:b/>
      <w:caps/>
      <w:color w:val="333366"/>
      <w:sz w:val="32"/>
      <w:szCs w:val="32"/>
      <w:lang w:eastAsia="en-US"/>
      <w14:ligatures w14:val="standardContextual"/>
    </w:rPr>
  </w:style>
  <w:style w:type="paragraph" w:customStyle="1" w:styleId="Appendix2">
    <w:name w:val="Appendix 2"/>
    <w:basedOn w:val="Normal"/>
    <w:next w:val="Normal"/>
    <w:rsid w:val="00C328BB"/>
    <w:pPr>
      <w:keepNext/>
      <w:numPr>
        <w:ilvl w:val="1"/>
        <w:numId w:val="12"/>
      </w:numPr>
      <w:spacing w:before="200" w:after="280"/>
      <w:outlineLvl w:val="1"/>
    </w:pPr>
    <w:rPr>
      <w:rFonts w:ascii="Arial Bold" w:eastAsiaTheme="minorHAnsi" w:hAnsi="Arial Bold" w:cstheme="minorBidi"/>
      <w:b/>
      <w:color w:val="5DBFD4"/>
      <w:sz w:val="28"/>
      <w:szCs w:val="28"/>
      <w:lang w:eastAsia="en-US"/>
      <w14:ligatures w14:val="standardContextual"/>
    </w:rPr>
  </w:style>
  <w:style w:type="paragraph" w:customStyle="1" w:styleId="AppendixPara3">
    <w:name w:val="Appendix Para3"/>
    <w:basedOn w:val="Normal"/>
    <w:rsid w:val="00C328BB"/>
    <w:pPr>
      <w:numPr>
        <w:ilvl w:val="8"/>
        <w:numId w:val="12"/>
      </w:numPr>
      <w:spacing w:after="280"/>
    </w:pPr>
    <w:rPr>
      <w:rFonts w:ascii="Arial" w:eastAsiaTheme="minorHAnsi" w:hAnsi="Arial" w:cstheme="minorBidi"/>
      <w:szCs w:val="22"/>
      <w:lang w:eastAsia="en-US"/>
      <w14:ligatures w14:val="standardContextual"/>
    </w:rPr>
  </w:style>
  <w:style w:type="paragraph" w:customStyle="1" w:styleId="Appendix3">
    <w:name w:val="Appendix 3"/>
    <w:basedOn w:val="Normal"/>
    <w:next w:val="Normal"/>
    <w:rsid w:val="00C328BB"/>
    <w:pPr>
      <w:keepNext/>
      <w:numPr>
        <w:ilvl w:val="2"/>
        <w:numId w:val="12"/>
      </w:numPr>
      <w:spacing w:before="200" w:after="280"/>
      <w:outlineLvl w:val="2"/>
    </w:pPr>
    <w:rPr>
      <w:rFonts w:ascii="Arial Bold" w:eastAsiaTheme="minorHAnsi" w:hAnsi="Arial Bold" w:cstheme="minorBidi"/>
      <w:b/>
      <w:color w:val="5DBFD4"/>
      <w:lang w:eastAsia="en-US"/>
      <w14:ligatures w14:val="standardContextual"/>
    </w:rPr>
  </w:style>
  <w:style w:type="paragraph" w:customStyle="1" w:styleId="Appendix4">
    <w:name w:val="Appendix 4"/>
    <w:basedOn w:val="Normal"/>
    <w:next w:val="Normal"/>
    <w:rsid w:val="00C328BB"/>
    <w:pPr>
      <w:keepNext/>
      <w:numPr>
        <w:ilvl w:val="3"/>
        <w:numId w:val="12"/>
      </w:numPr>
      <w:spacing w:before="200" w:after="280"/>
      <w:outlineLvl w:val="3"/>
    </w:pPr>
    <w:rPr>
      <w:rFonts w:ascii="Arial Bold" w:eastAsiaTheme="minorHAnsi" w:hAnsi="Arial Bold" w:cstheme="minorBidi"/>
      <w:b/>
      <w:color w:val="5DBFD4"/>
      <w:szCs w:val="22"/>
      <w:lang w:eastAsia="en-US"/>
      <w14:ligatures w14:val="standardContextual"/>
    </w:rPr>
  </w:style>
  <w:style w:type="paragraph" w:customStyle="1" w:styleId="Appendix5">
    <w:name w:val="Appendix 5"/>
    <w:basedOn w:val="Normal"/>
    <w:next w:val="Normal"/>
    <w:rsid w:val="00C328BB"/>
    <w:pPr>
      <w:keepNext/>
      <w:numPr>
        <w:ilvl w:val="4"/>
        <w:numId w:val="12"/>
      </w:numPr>
      <w:spacing w:after="280"/>
      <w:outlineLvl w:val="4"/>
    </w:pPr>
    <w:rPr>
      <w:rFonts w:ascii="Arial Bold" w:eastAsiaTheme="minorHAnsi" w:hAnsi="Arial Bold" w:cstheme="minorBidi"/>
      <w:b/>
      <w:color w:val="5DBFD4"/>
      <w:szCs w:val="22"/>
      <w:lang w:eastAsia="en-US"/>
      <w14:ligatures w14:val="standardContextual"/>
    </w:rPr>
  </w:style>
  <w:style w:type="paragraph" w:customStyle="1" w:styleId="Appendix6">
    <w:name w:val="Appendix 6"/>
    <w:basedOn w:val="Normal"/>
    <w:next w:val="Normal"/>
    <w:rsid w:val="00C328BB"/>
    <w:pPr>
      <w:keepNext/>
      <w:numPr>
        <w:ilvl w:val="5"/>
        <w:numId w:val="12"/>
      </w:numPr>
      <w:spacing w:after="280"/>
      <w:outlineLvl w:val="5"/>
    </w:pPr>
    <w:rPr>
      <w:rFonts w:ascii="Arial Bold" w:eastAsiaTheme="minorHAnsi" w:hAnsi="Arial Bold" w:cstheme="minorBidi"/>
      <w:b/>
      <w:color w:val="5DBFD4"/>
      <w:szCs w:val="22"/>
      <w:lang w:eastAsia="en-US"/>
      <w14:ligatures w14:val="standardContextual"/>
    </w:rPr>
  </w:style>
  <w:style w:type="paragraph" w:customStyle="1" w:styleId="AppendixPara2">
    <w:name w:val="Appendix Para2"/>
    <w:basedOn w:val="Normal"/>
    <w:rsid w:val="00C328BB"/>
    <w:pPr>
      <w:numPr>
        <w:ilvl w:val="7"/>
        <w:numId w:val="12"/>
      </w:numPr>
      <w:spacing w:after="280"/>
    </w:pPr>
    <w:rPr>
      <w:rFonts w:ascii="Arial" w:eastAsiaTheme="minorHAnsi" w:hAnsi="Arial" w:cstheme="minorBidi"/>
      <w:szCs w:val="22"/>
      <w:lang w:eastAsia="en-US"/>
      <w14:ligatures w14:val="standardContextual"/>
    </w:rPr>
  </w:style>
  <w:style w:type="paragraph" w:customStyle="1" w:styleId="AppendixPara1">
    <w:name w:val="Appendix Para1"/>
    <w:basedOn w:val="Normal"/>
    <w:rsid w:val="00C328BB"/>
    <w:pPr>
      <w:numPr>
        <w:ilvl w:val="6"/>
        <w:numId w:val="12"/>
      </w:numPr>
      <w:spacing w:after="280"/>
    </w:pPr>
    <w:rPr>
      <w:rFonts w:ascii="Arial" w:eastAsiaTheme="minorHAnsi" w:hAnsi="Arial" w:cstheme="minorBidi"/>
      <w:szCs w:val="22"/>
      <w:lang w:eastAsia="en-US"/>
      <w14:ligatures w14:val="standardContextual"/>
    </w:rPr>
  </w:style>
  <w:style w:type="paragraph" w:customStyle="1" w:styleId="BlankStyle">
    <w:name w:val="Blank Style"/>
    <w:basedOn w:val="Normal"/>
    <w:next w:val="Normal"/>
    <w:rsid w:val="00C328BB"/>
    <w:pPr>
      <w:spacing w:after="280"/>
      <w:jc w:val="center"/>
    </w:pPr>
    <w:rPr>
      <w:rFonts w:ascii="Arial" w:eastAsiaTheme="minorHAnsi" w:hAnsi="Arial" w:cstheme="minorBidi"/>
      <w:szCs w:val="22"/>
      <w:lang w:eastAsia="en-US"/>
      <w14:ligatures w14:val="standardContextual"/>
    </w:rPr>
  </w:style>
  <w:style w:type="paragraph" w:customStyle="1" w:styleId="Caution">
    <w:name w:val="Caution"/>
    <w:basedOn w:val="Normal"/>
    <w:next w:val="Normal"/>
    <w:rsid w:val="00C328BB"/>
    <w:pPr>
      <w:tabs>
        <w:tab w:val="left" w:pos="1656"/>
      </w:tabs>
      <w:spacing w:after="280"/>
      <w:ind w:left="1656" w:hanging="1656"/>
    </w:pPr>
    <w:rPr>
      <w:rFonts w:ascii="Arial" w:eastAsiaTheme="minorHAnsi" w:hAnsi="Arial" w:cstheme="minorBidi"/>
      <w:b/>
      <w:szCs w:val="22"/>
      <w:lang w:eastAsia="en-US"/>
      <w14:ligatures w14:val="standardContextual"/>
    </w:rPr>
  </w:style>
  <w:style w:type="paragraph" w:customStyle="1" w:styleId="contcont">
    <w:name w:val="cont cont"/>
    <w:basedOn w:val="Normal"/>
    <w:rsid w:val="00C328BB"/>
    <w:pPr>
      <w:pageBreakBefore/>
      <w:tabs>
        <w:tab w:val="right" w:pos="9000"/>
      </w:tabs>
      <w:spacing w:after="280"/>
    </w:pPr>
    <w:rPr>
      <w:rFonts w:ascii="Arial" w:eastAsiaTheme="minorHAnsi" w:hAnsi="Arial" w:cstheme="minorBidi"/>
      <w:color w:val="333366"/>
      <w:szCs w:val="22"/>
      <w:lang w:eastAsia="en-US"/>
      <w14:ligatures w14:val="standardContextual"/>
    </w:rPr>
  </w:style>
  <w:style w:type="paragraph" w:customStyle="1" w:styleId="contentscentre">
    <w:name w:val="contents centre"/>
    <w:basedOn w:val="Normal"/>
    <w:autoRedefine/>
    <w:rsid w:val="00C328BB"/>
    <w:pPr>
      <w:spacing w:before="60" w:after="280"/>
      <w:jc w:val="center"/>
    </w:pPr>
    <w:rPr>
      <w:rFonts w:ascii="Arial Bold" w:eastAsiaTheme="minorHAnsi" w:hAnsi="Arial Bold" w:cstheme="minorBidi"/>
      <w:b/>
      <w:color w:val="333366"/>
      <w:szCs w:val="22"/>
      <w:lang w:eastAsia="en-US"/>
      <w14:ligatures w14:val="standardContextual"/>
    </w:rPr>
  </w:style>
  <w:style w:type="paragraph" w:customStyle="1" w:styleId="contentssideline">
    <w:name w:val="contents sideline"/>
    <w:basedOn w:val="Normal"/>
    <w:rsid w:val="00C328BB"/>
    <w:pPr>
      <w:widowControl w:val="0"/>
      <w:tabs>
        <w:tab w:val="left" w:pos="0"/>
        <w:tab w:val="left" w:pos="1440"/>
      </w:tabs>
      <w:snapToGrid w:val="0"/>
      <w:spacing w:before="40" w:after="280" w:line="288" w:lineRule="atLeast"/>
    </w:pPr>
    <w:rPr>
      <w:rFonts w:ascii="Arial Bold" w:eastAsiaTheme="minorHAnsi" w:hAnsi="Arial Bold" w:cstheme="minorBidi"/>
      <w:b/>
      <w:color w:val="333366"/>
      <w:szCs w:val="22"/>
      <w:lang w:eastAsia="en-US"/>
      <w14:ligatures w14:val="standardContextual"/>
    </w:rPr>
  </w:style>
  <w:style w:type="paragraph" w:customStyle="1" w:styleId="dec">
    <w:name w:val="dec"/>
    <w:rsid w:val="00C328BB"/>
    <w:pPr>
      <w:snapToGrid w:val="0"/>
      <w:spacing w:before="80" w:after="72"/>
      <w:jc w:val="both"/>
    </w:pPr>
    <w:rPr>
      <w:rFonts w:ascii="Arial" w:eastAsia="Times New Roman" w:hAnsi="Arial" w:cs="Times New Roman"/>
      <w:i/>
      <w:color w:val="000000"/>
      <w:sz w:val="20"/>
      <w:szCs w:val="20"/>
      <w14:ligatures w14:val="standardContextual"/>
    </w:rPr>
  </w:style>
  <w:style w:type="paragraph" w:customStyle="1" w:styleId="EOFStyle">
    <w:name w:val="EOFStyle"/>
    <w:basedOn w:val="Normal"/>
    <w:rsid w:val="00C328BB"/>
    <w:pPr>
      <w:spacing w:after="280"/>
      <w:jc w:val="center"/>
    </w:pPr>
    <w:rPr>
      <w:rFonts w:ascii="Arial" w:eastAsiaTheme="minorHAnsi" w:hAnsi="Arial" w:cstheme="minorBidi"/>
      <w:color w:val="FF0000"/>
      <w:sz w:val="16"/>
      <w:szCs w:val="22"/>
      <w:lang w:eastAsia="en-US"/>
      <w14:ligatures w14:val="standardContextual"/>
    </w:rPr>
  </w:style>
  <w:style w:type="paragraph" w:customStyle="1" w:styleId="FCdocref">
    <w:name w:val="FC doc ref"/>
    <w:basedOn w:val="Normal"/>
    <w:rsid w:val="00C328BB"/>
    <w:pPr>
      <w:widowControl w:val="0"/>
      <w:tabs>
        <w:tab w:val="left" w:pos="1418"/>
        <w:tab w:val="left" w:pos="2835"/>
        <w:tab w:val="left" w:pos="4251"/>
      </w:tabs>
      <w:snapToGrid w:val="0"/>
      <w:spacing w:after="280"/>
      <w:jc w:val="center"/>
    </w:pPr>
    <w:rPr>
      <w:rFonts w:ascii="Arial" w:eastAsiaTheme="minorHAnsi" w:hAnsi="Arial" w:cstheme="minorBidi"/>
      <w:b/>
      <w:szCs w:val="28"/>
      <w:lang w:eastAsia="en-US"/>
      <w14:ligatures w14:val="standardContextual"/>
    </w:rPr>
  </w:style>
  <w:style w:type="paragraph" w:customStyle="1" w:styleId="FCNameright">
    <w:name w:val="FC Name right"/>
    <w:basedOn w:val="Normal"/>
    <w:rsid w:val="00C328BB"/>
    <w:pPr>
      <w:spacing w:before="80" w:after="80"/>
      <w:jc w:val="right"/>
    </w:pPr>
    <w:rPr>
      <w:rFonts w:ascii="Arial" w:eastAsiaTheme="minorHAnsi" w:hAnsi="Arial" w:cstheme="minorBidi"/>
      <w:color w:val="000000"/>
      <w:szCs w:val="22"/>
      <w:lang w:eastAsia="en-US"/>
      <w14:ligatures w14:val="standardContextual"/>
    </w:rPr>
  </w:style>
  <w:style w:type="paragraph" w:customStyle="1" w:styleId="FCNameleft">
    <w:name w:val="FC Name left"/>
    <w:basedOn w:val="FCNameright"/>
    <w:rsid w:val="00C328BB"/>
    <w:pPr>
      <w:jc w:val="left"/>
    </w:pPr>
  </w:style>
  <w:style w:type="paragraph" w:customStyle="1" w:styleId="FCtitle">
    <w:name w:val="FC title"/>
    <w:basedOn w:val="Normal"/>
    <w:rsid w:val="00C328BB"/>
    <w:pPr>
      <w:widowControl w:val="0"/>
      <w:tabs>
        <w:tab w:val="left" w:pos="1418"/>
        <w:tab w:val="left" w:pos="2835"/>
        <w:tab w:val="left" w:pos="4252"/>
      </w:tabs>
      <w:snapToGrid w:val="0"/>
      <w:spacing w:before="800" w:after="800"/>
      <w:jc w:val="center"/>
    </w:pPr>
    <w:rPr>
      <w:rFonts w:ascii="Arial Bold" w:eastAsiaTheme="minorHAnsi" w:hAnsi="Arial Bold" w:cstheme="minorBidi"/>
      <w:b/>
      <w:color w:val="333366"/>
      <w:sz w:val="48"/>
      <w:szCs w:val="48"/>
      <w:lang w:eastAsia="en-US"/>
      <w14:ligatures w14:val="standardContextual"/>
    </w:rPr>
  </w:style>
  <w:style w:type="paragraph" w:customStyle="1" w:styleId="figureanchor">
    <w:name w:val="figure anchor"/>
    <w:basedOn w:val="Normal"/>
    <w:next w:val="Normal"/>
    <w:rsid w:val="00C328BB"/>
    <w:pPr>
      <w:keepNext/>
      <w:jc w:val="center"/>
    </w:pPr>
    <w:rPr>
      <w:rFonts w:ascii="Arial" w:eastAsiaTheme="minorHAnsi" w:hAnsi="Arial" w:cstheme="minorBidi"/>
      <w:sz w:val="12"/>
      <w:szCs w:val="22"/>
      <w:lang w:eastAsia="en-US"/>
      <w14:ligatures w14:val="standardContextual"/>
    </w:rPr>
  </w:style>
  <w:style w:type="paragraph" w:customStyle="1" w:styleId="tabletitle">
    <w:name w:val="table title"/>
    <w:basedOn w:val="Normal"/>
    <w:rsid w:val="00C328BB"/>
    <w:pPr>
      <w:keepNext/>
      <w:spacing w:after="280"/>
      <w:jc w:val="center"/>
      <w:outlineLvl w:val="6"/>
    </w:pPr>
    <w:rPr>
      <w:rFonts w:ascii="Arial Bold" w:eastAsiaTheme="minorHAnsi" w:hAnsi="Arial Bold" w:cstheme="minorBidi"/>
      <w:b/>
      <w:szCs w:val="22"/>
      <w:lang w:eastAsia="en-US"/>
      <w14:ligatures w14:val="standardContextual"/>
    </w:rPr>
  </w:style>
  <w:style w:type="paragraph" w:customStyle="1" w:styleId="figuretitle">
    <w:name w:val="figure title"/>
    <w:basedOn w:val="tabletitle"/>
    <w:next w:val="Normal"/>
    <w:rsid w:val="00C328BB"/>
    <w:pPr>
      <w:keepNext w:val="0"/>
    </w:pPr>
    <w:rPr>
      <w:b w:val="0"/>
    </w:rPr>
  </w:style>
  <w:style w:type="paragraph" w:customStyle="1" w:styleId="Footerleft">
    <w:name w:val="Footer left"/>
    <w:rsid w:val="00C328BB"/>
    <w:pPr>
      <w:spacing w:before="40" w:after="40"/>
    </w:pPr>
    <w:rPr>
      <w:rFonts w:ascii="Arial" w:eastAsia="Times New Roman" w:hAnsi="Arial" w:cs="Times New Roman"/>
      <w:sz w:val="18"/>
      <w:szCs w:val="20"/>
      <w14:ligatures w14:val="standardContextual"/>
    </w:rPr>
  </w:style>
  <w:style w:type="paragraph" w:customStyle="1" w:styleId="Footerright">
    <w:name w:val="Footer right"/>
    <w:rsid w:val="00C328BB"/>
    <w:pPr>
      <w:spacing w:before="40" w:after="40"/>
      <w:jc w:val="right"/>
    </w:pPr>
    <w:rPr>
      <w:rFonts w:ascii="Arial" w:eastAsia="Times New Roman" w:hAnsi="Arial" w:cs="Times New Roman"/>
      <w:noProof/>
      <w:sz w:val="18"/>
      <w:szCs w:val="20"/>
      <w:lang w:val="en-US"/>
      <w14:ligatures w14:val="standardContextual"/>
    </w:rPr>
  </w:style>
  <w:style w:type="paragraph" w:customStyle="1" w:styleId="Headerleft">
    <w:name w:val="Header left"/>
    <w:rsid w:val="00C328BB"/>
    <w:pPr>
      <w:spacing w:before="40" w:after="40"/>
    </w:pPr>
    <w:rPr>
      <w:rFonts w:ascii="Arial Bold" w:eastAsia="Times New Roman" w:hAnsi="Arial Bold" w:cs="Times New Roman"/>
      <w:b/>
      <w:color w:val="333366"/>
      <w14:ligatures w14:val="standardContextual"/>
    </w:rPr>
  </w:style>
  <w:style w:type="paragraph" w:customStyle="1" w:styleId="Headerright">
    <w:name w:val="Header right"/>
    <w:rsid w:val="00C328BB"/>
    <w:pPr>
      <w:spacing w:before="40" w:after="40"/>
      <w:jc w:val="right"/>
    </w:pPr>
    <w:rPr>
      <w:rFonts w:ascii="Arial Bold" w:eastAsia="Times New Roman" w:hAnsi="Arial Bold" w:cs="Times New Roman"/>
      <w:b/>
      <w:color w:val="333366"/>
      <w14:ligatures w14:val="standardContextual"/>
    </w:rPr>
  </w:style>
  <w:style w:type="paragraph" w:customStyle="1" w:styleId="ListItem">
    <w:name w:val="List Item"/>
    <w:rsid w:val="00C328BB"/>
    <w:pPr>
      <w:numPr>
        <w:numId w:val="13"/>
      </w:numPr>
      <w:spacing w:after="120"/>
    </w:pPr>
    <w:rPr>
      <w:rFonts w:ascii="Arial" w:eastAsia="Times New Roman" w:hAnsi="Arial" w:cs="Times New Roman"/>
      <w:noProof/>
      <w:sz w:val="20"/>
      <w:szCs w:val="20"/>
      <w:lang w:val="en-US"/>
      <w14:ligatures w14:val="standardContextual"/>
    </w:rPr>
  </w:style>
  <w:style w:type="paragraph" w:customStyle="1" w:styleId="NOTE1">
    <w:name w:val="NOTE1"/>
    <w:basedOn w:val="Normal"/>
    <w:rsid w:val="00C328BB"/>
    <w:pPr>
      <w:tabs>
        <w:tab w:val="left" w:pos="1080"/>
      </w:tabs>
      <w:spacing w:after="280"/>
      <w:ind w:left="1080" w:hanging="1080"/>
    </w:pPr>
    <w:rPr>
      <w:rFonts w:ascii="Arial" w:eastAsiaTheme="minorHAnsi" w:hAnsi="Arial" w:cstheme="minorBidi"/>
      <w:szCs w:val="22"/>
      <w:lang w:eastAsia="en-US"/>
      <w14:ligatures w14:val="standardContextual"/>
    </w:rPr>
  </w:style>
  <w:style w:type="paragraph" w:customStyle="1" w:styleId="NOTE2">
    <w:name w:val="NOTE2"/>
    <w:basedOn w:val="NOTE1"/>
    <w:rsid w:val="00C328BB"/>
    <w:pPr>
      <w:tabs>
        <w:tab w:val="clear" w:pos="1080"/>
        <w:tab w:val="left" w:pos="1944"/>
      </w:tabs>
      <w:ind w:left="1944" w:hanging="864"/>
    </w:pPr>
  </w:style>
  <w:style w:type="paragraph" w:customStyle="1" w:styleId="NOTE3">
    <w:name w:val="NOTE3"/>
    <w:basedOn w:val="NOTE1"/>
    <w:rsid w:val="00C328BB"/>
    <w:pPr>
      <w:tabs>
        <w:tab w:val="clear" w:pos="1080"/>
        <w:tab w:val="left" w:pos="2520"/>
      </w:tabs>
      <w:ind w:left="2520" w:hanging="864"/>
    </w:pPr>
  </w:style>
  <w:style w:type="paragraph" w:customStyle="1" w:styleId="PageNo">
    <w:name w:val="Page No"/>
    <w:basedOn w:val="Normal"/>
    <w:rsid w:val="00C328BB"/>
    <w:pPr>
      <w:widowControl w:val="0"/>
      <w:tabs>
        <w:tab w:val="left" w:pos="0"/>
        <w:tab w:val="left" w:pos="1440"/>
      </w:tabs>
      <w:snapToGrid w:val="0"/>
      <w:jc w:val="right"/>
    </w:pPr>
    <w:rPr>
      <w:rFonts w:ascii="Arial Bold" w:eastAsiaTheme="minorHAnsi" w:hAnsi="Arial Bold" w:cstheme="minorBidi"/>
      <w:b/>
      <w:color w:val="333366"/>
      <w:szCs w:val="22"/>
      <w:lang w:eastAsia="en-US"/>
      <w14:ligatures w14:val="standardContextual"/>
    </w:rPr>
  </w:style>
  <w:style w:type="paragraph" w:customStyle="1" w:styleId="Para1">
    <w:name w:val="Para1"/>
    <w:basedOn w:val="Normal"/>
    <w:rsid w:val="00C328BB"/>
    <w:pPr>
      <w:tabs>
        <w:tab w:val="num" w:pos="1080"/>
      </w:tabs>
      <w:spacing w:after="280"/>
      <w:ind w:left="1080" w:hanging="1080"/>
    </w:pPr>
    <w:rPr>
      <w:rFonts w:ascii="Arial" w:eastAsiaTheme="minorHAnsi" w:hAnsi="Arial" w:cstheme="minorBidi"/>
      <w:szCs w:val="22"/>
      <w:lang w:eastAsia="en-US"/>
      <w14:ligatures w14:val="standardContextual"/>
    </w:rPr>
  </w:style>
  <w:style w:type="paragraph" w:customStyle="1" w:styleId="Para1-unnumbered">
    <w:name w:val="Para1-unnumbered"/>
    <w:basedOn w:val="Normal"/>
    <w:rsid w:val="00C328BB"/>
    <w:pPr>
      <w:spacing w:after="280"/>
      <w:ind w:left="1080"/>
    </w:pPr>
    <w:rPr>
      <w:rFonts w:ascii="Arial" w:eastAsiaTheme="minorHAnsi" w:hAnsi="Arial" w:cstheme="minorBidi"/>
      <w:szCs w:val="22"/>
      <w:lang w:eastAsia="en-US"/>
      <w14:ligatures w14:val="standardContextual"/>
    </w:rPr>
  </w:style>
  <w:style w:type="paragraph" w:customStyle="1" w:styleId="Para2">
    <w:name w:val="Para2"/>
    <w:basedOn w:val="Normal"/>
    <w:rsid w:val="00C328BB"/>
    <w:pPr>
      <w:tabs>
        <w:tab w:val="num" w:pos="1656"/>
      </w:tabs>
      <w:spacing w:after="280"/>
      <w:ind w:left="1656" w:hanging="576"/>
    </w:pPr>
    <w:rPr>
      <w:rFonts w:ascii="Arial" w:eastAsiaTheme="minorHAnsi" w:hAnsi="Arial" w:cstheme="minorBidi"/>
      <w:szCs w:val="22"/>
      <w:lang w:eastAsia="en-US"/>
      <w14:ligatures w14:val="standardContextual"/>
    </w:rPr>
  </w:style>
  <w:style w:type="paragraph" w:customStyle="1" w:styleId="Para2-unnumbered">
    <w:name w:val="Para2-unnumbered"/>
    <w:basedOn w:val="Normal"/>
    <w:rsid w:val="00C328BB"/>
    <w:pPr>
      <w:spacing w:after="280"/>
      <w:ind w:left="1656"/>
    </w:pPr>
    <w:rPr>
      <w:rFonts w:ascii="Arial" w:eastAsiaTheme="minorHAnsi" w:hAnsi="Arial" w:cstheme="minorBidi"/>
      <w:szCs w:val="22"/>
      <w:lang w:eastAsia="en-US"/>
      <w14:ligatures w14:val="standardContextual"/>
    </w:rPr>
  </w:style>
  <w:style w:type="paragraph" w:customStyle="1" w:styleId="Para3">
    <w:name w:val="Para3"/>
    <w:basedOn w:val="Normal"/>
    <w:rsid w:val="00C328BB"/>
    <w:pPr>
      <w:tabs>
        <w:tab w:val="num" w:pos="2232"/>
      </w:tabs>
      <w:spacing w:after="280"/>
      <w:ind w:left="2232" w:hanging="576"/>
    </w:pPr>
    <w:rPr>
      <w:rFonts w:ascii="Arial" w:eastAsiaTheme="minorHAnsi" w:hAnsi="Arial" w:cstheme="minorBidi"/>
      <w:szCs w:val="22"/>
      <w:lang w:eastAsia="en-US"/>
      <w14:ligatures w14:val="standardContextual"/>
    </w:rPr>
  </w:style>
  <w:style w:type="paragraph" w:customStyle="1" w:styleId="PrelimTITLE">
    <w:name w:val="Prelim TITLE"/>
    <w:basedOn w:val="Normal"/>
    <w:rsid w:val="00C328BB"/>
    <w:pPr>
      <w:widowControl w:val="0"/>
      <w:tabs>
        <w:tab w:val="left" w:pos="0"/>
        <w:tab w:val="left" w:pos="1411"/>
        <w:tab w:val="left" w:pos="2837"/>
        <w:tab w:val="left" w:pos="4248"/>
      </w:tabs>
      <w:snapToGrid w:val="0"/>
      <w:spacing w:before="200" w:after="280"/>
      <w:jc w:val="center"/>
    </w:pPr>
    <w:rPr>
      <w:rFonts w:ascii="Arial Bold" w:eastAsiaTheme="minorHAnsi" w:hAnsi="Arial Bold" w:cstheme="minorBidi"/>
      <w:b/>
      <w:caps/>
      <w:color w:val="333366"/>
      <w:sz w:val="28"/>
      <w:szCs w:val="28"/>
      <w:lang w:eastAsia="en-US"/>
      <w14:ligatures w14:val="standardContextual"/>
    </w:rPr>
  </w:style>
  <w:style w:type="paragraph" w:customStyle="1" w:styleId="ReferenceNumber">
    <w:name w:val="Reference_Number"/>
    <w:basedOn w:val="Normal"/>
    <w:rsid w:val="00C328BB"/>
    <w:pPr>
      <w:numPr>
        <w:numId w:val="14"/>
      </w:numPr>
      <w:spacing w:before="60" w:after="60"/>
      <w:jc w:val="center"/>
    </w:pPr>
    <w:rPr>
      <w:rFonts w:ascii="Arial" w:eastAsiaTheme="minorHAnsi" w:hAnsi="Arial" w:cstheme="minorBidi"/>
      <w:szCs w:val="22"/>
      <w:lang w:eastAsia="en-US"/>
      <w14:ligatures w14:val="standardContextual"/>
    </w:rPr>
  </w:style>
  <w:style w:type="paragraph" w:customStyle="1" w:styleId="tableheading">
    <w:name w:val="table heading"/>
    <w:basedOn w:val="Normal"/>
    <w:rsid w:val="00C328BB"/>
    <w:pPr>
      <w:keepNext/>
      <w:spacing w:before="60" w:after="60"/>
      <w:jc w:val="center"/>
    </w:pPr>
    <w:rPr>
      <w:rFonts w:ascii="Arial Bold" w:eastAsiaTheme="minorHAnsi" w:hAnsi="Arial Bold" w:cstheme="minorBidi"/>
      <w:b/>
      <w:szCs w:val="22"/>
      <w:lang w:eastAsia="en-US"/>
      <w14:ligatures w14:val="standardContextual"/>
    </w:rPr>
  </w:style>
  <w:style w:type="paragraph" w:customStyle="1" w:styleId="tabletext">
    <w:name w:val="table text"/>
    <w:basedOn w:val="Normal"/>
    <w:rsid w:val="00C328BB"/>
    <w:pPr>
      <w:spacing w:before="60" w:after="60"/>
    </w:pPr>
    <w:rPr>
      <w:rFonts w:ascii="Arial" w:eastAsiaTheme="minorHAnsi" w:hAnsi="Arial" w:cstheme="minorBidi"/>
      <w:szCs w:val="22"/>
      <w:lang w:eastAsia="en-US"/>
      <w14:ligatures w14:val="standardContextual"/>
    </w:rPr>
  </w:style>
  <w:style w:type="paragraph" w:customStyle="1" w:styleId="tabletextcentred">
    <w:name w:val="table text centred"/>
    <w:basedOn w:val="tabletext"/>
    <w:rsid w:val="00C328BB"/>
    <w:pPr>
      <w:jc w:val="center"/>
    </w:pPr>
  </w:style>
  <w:style w:type="paragraph" w:customStyle="1" w:styleId="FCVolNo">
    <w:name w:val="FC Vol No"/>
    <w:basedOn w:val="Normal"/>
    <w:autoRedefine/>
    <w:rsid w:val="00C328BB"/>
    <w:pPr>
      <w:widowControl w:val="0"/>
      <w:tabs>
        <w:tab w:val="left" w:pos="0"/>
        <w:tab w:val="left" w:pos="1418"/>
        <w:tab w:val="left" w:pos="2835"/>
        <w:tab w:val="left" w:pos="4252"/>
      </w:tabs>
      <w:snapToGrid w:val="0"/>
      <w:spacing w:after="600"/>
      <w:jc w:val="center"/>
    </w:pPr>
    <w:rPr>
      <w:rFonts w:ascii="Arial Bold" w:eastAsiaTheme="minorHAnsi" w:hAnsi="Arial Bold" w:cstheme="minorBidi"/>
      <w:b/>
      <w:color w:val="333366"/>
      <w:sz w:val="36"/>
      <w:szCs w:val="28"/>
      <w:lang w:eastAsia="en-US"/>
      <w14:ligatures w14:val="standardContextual"/>
    </w:rPr>
  </w:style>
  <w:style w:type="paragraph" w:customStyle="1" w:styleId="Footercopyright">
    <w:name w:val="Footer copyright"/>
    <w:basedOn w:val="Normal"/>
    <w:rsid w:val="00C328BB"/>
    <w:pPr>
      <w:spacing w:before="60" w:after="60"/>
      <w:jc w:val="center"/>
    </w:pPr>
    <w:rPr>
      <w:rFonts w:ascii="Arial" w:eastAsiaTheme="minorHAnsi" w:hAnsi="Arial" w:cstheme="minorBidi"/>
      <w:sz w:val="16"/>
      <w:szCs w:val="22"/>
      <w:lang w:eastAsia="en-US"/>
      <w14:ligatures w14:val="standardContextual"/>
    </w:rPr>
  </w:style>
  <w:style w:type="paragraph" w:customStyle="1" w:styleId="Bullet1">
    <w:name w:val="Bullet1"/>
    <w:rsid w:val="00C328BB"/>
    <w:pPr>
      <w:numPr>
        <w:numId w:val="15"/>
      </w:numPr>
      <w:tabs>
        <w:tab w:val="left" w:pos="2520"/>
      </w:tabs>
      <w:spacing w:after="120"/>
      <w:ind w:left="2520" w:hanging="288"/>
      <w:jc w:val="both"/>
    </w:pPr>
    <w:rPr>
      <w:rFonts w:ascii="Arial" w:eastAsia="Times New Roman" w:hAnsi="Arial" w:cs="Times New Roman"/>
      <w:sz w:val="20"/>
      <w:szCs w:val="20"/>
      <w14:ligatures w14:val="standardContextual"/>
    </w:rPr>
  </w:style>
  <w:style w:type="paragraph" w:customStyle="1" w:styleId="Bullet2">
    <w:name w:val="Bullet2"/>
    <w:basedOn w:val="Bullet1"/>
    <w:rsid w:val="00C328BB"/>
    <w:pPr>
      <w:tabs>
        <w:tab w:val="clear" w:pos="2520"/>
        <w:tab w:val="left" w:pos="2808"/>
      </w:tabs>
      <w:ind w:left="2808"/>
    </w:pPr>
  </w:style>
  <w:style w:type="paragraph" w:customStyle="1" w:styleId="Annex4">
    <w:name w:val="Annex 4"/>
    <w:basedOn w:val="Normal"/>
    <w:next w:val="Normal"/>
    <w:rsid w:val="00C328BB"/>
    <w:pPr>
      <w:keepNext/>
      <w:numPr>
        <w:ilvl w:val="3"/>
        <w:numId w:val="11"/>
      </w:numPr>
      <w:spacing w:before="200" w:after="280"/>
      <w:outlineLvl w:val="3"/>
    </w:pPr>
    <w:rPr>
      <w:rFonts w:ascii="Arial Bold" w:eastAsiaTheme="minorHAnsi" w:hAnsi="Arial Bold" w:cstheme="minorBidi"/>
      <w:b/>
      <w:color w:val="5DBFD4"/>
      <w:szCs w:val="22"/>
      <w:lang w:eastAsia="en-US"/>
      <w14:ligatures w14:val="standardContextual"/>
    </w:rPr>
  </w:style>
  <w:style w:type="paragraph" w:customStyle="1" w:styleId="Bullet1-unnumbered">
    <w:name w:val="Bullet1-unnumbered"/>
    <w:rsid w:val="00C328BB"/>
    <w:pPr>
      <w:numPr>
        <w:numId w:val="16"/>
      </w:numPr>
      <w:tabs>
        <w:tab w:val="left" w:pos="1944"/>
      </w:tabs>
      <w:spacing w:after="120"/>
      <w:ind w:left="1944" w:hanging="288"/>
      <w:jc w:val="both"/>
    </w:pPr>
    <w:rPr>
      <w:rFonts w:ascii="Arial" w:eastAsia="Times New Roman" w:hAnsi="Arial" w:cs="Times New Roman"/>
      <w:sz w:val="20"/>
      <w:szCs w:val="20"/>
      <w14:ligatures w14:val="standardContextual"/>
    </w:rPr>
  </w:style>
  <w:style w:type="paragraph" w:customStyle="1" w:styleId="Bullet2-unnumbered">
    <w:name w:val="Bullet2-unnumbered"/>
    <w:rsid w:val="00C328BB"/>
    <w:pPr>
      <w:numPr>
        <w:numId w:val="17"/>
      </w:numPr>
      <w:tabs>
        <w:tab w:val="left" w:pos="2232"/>
      </w:tabs>
      <w:spacing w:after="120"/>
      <w:ind w:left="2232" w:hanging="288"/>
      <w:jc w:val="both"/>
    </w:pPr>
    <w:rPr>
      <w:rFonts w:ascii="Arial" w:eastAsia="Times New Roman" w:hAnsi="Arial" w:cs="Times New Roman"/>
      <w:sz w:val="20"/>
      <w:szCs w:val="20"/>
      <w14:ligatures w14:val="standardContextual"/>
    </w:rPr>
  </w:style>
  <w:style w:type="paragraph" w:customStyle="1" w:styleId="tabletextbold">
    <w:name w:val="table text bold"/>
    <w:basedOn w:val="tabletext"/>
    <w:rsid w:val="00C328BB"/>
    <w:rPr>
      <w:rFonts w:ascii="Arial Bold" w:hAnsi="Arial Bold"/>
      <w:b/>
    </w:rPr>
  </w:style>
  <w:style w:type="paragraph" w:customStyle="1" w:styleId="Para3-unnumbered">
    <w:name w:val="Para3-unnumbered"/>
    <w:basedOn w:val="Normal"/>
    <w:autoRedefine/>
    <w:rsid w:val="00C328BB"/>
    <w:pPr>
      <w:spacing w:after="280"/>
      <w:ind w:left="2232"/>
    </w:pPr>
    <w:rPr>
      <w:rFonts w:ascii="Arial" w:eastAsiaTheme="minorHAnsi" w:hAnsi="Arial" w:cstheme="minorBidi"/>
      <w:szCs w:val="22"/>
      <w:lang w:eastAsia="en-US"/>
      <w14:ligatures w14:val="standardContextual"/>
    </w:rPr>
  </w:style>
  <w:style w:type="paragraph" w:customStyle="1" w:styleId="RearStyle">
    <w:name w:val="Rear Style"/>
    <w:basedOn w:val="BlankStyle"/>
    <w:next w:val="Normal"/>
    <w:rsid w:val="00C328BB"/>
    <w:pPr>
      <w:spacing w:before="80"/>
    </w:pPr>
    <w:rPr>
      <w:rFonts w:ascii="Arial Bold" w:hAnsi="Arial Bold"/>
      <w:b/>
      <w:sz w:val="28"/>
    </w:rPr>
  </w:style>
  <w:style w:type="paragraph" w:customStyle="1" w:styleId="BCAddressBlock">
    <w:name w:val="BC Address Block"/>
    <w:next w:val="AddressBlock"/>
    <w:rsid w:val="00C328BB"/>
    <w:pPr>
      <w:snapToGrid w:val="0"/>
      <w:jc w:val="center"/>
    </w:pPr>
    <w:rPr>
      <w:rFonts w:ascii="Arial" w:eastAsia="Times New Roman" w:hAnsi="Arial" w:cs="Times New Roman"/>
      <w:sz w:val="20"/>
      <w:szCs w:val="20"/>
      <w:lang w:val="en-US"/>
      <w14:ligatures w14:val="standardContextual"/>
    </w:rPr>
  </w:style>
  <w:style w:type="paragraph" w:customStyle="1" w:styleId="contentscentretitle">
    <w:name w:val="contents centre title"/>
    <w:basedOn w:val="Normal"/>
    <w:rsid w:val="00C328BB"/>
    <w:pPr>
      <w:spacing w:before="60" w:after="280"/>
      <w:jc w:val="center"/>
    </w:pPr>
    <w:rPr>
      <w:rFonts w:ascii="Arial Bold" w:eastAsiaTheme="minorHAnsi" w:hAnsi="Arial Bold" w:cstheme="minorBidi"/>
      <w:b/>
      <w:color w:val="333366"/>
      <w:szCs w:val="22"/>
      <w:lang w:eastAsia="en-US"/>
      <w14:ligatures w14:val="standardContextual"/>
    </w:rPr>
  </w:style>
  <w:style w:type="character" w:customStyle="1" w:styleId="DeclerationsChar">
    <w:name w:val="Declerations Char"/>
    <w:basedOn w:val="Heading1Char"/>
    <w:link w:val="Declerations"/>
    <w:locked/>
    <w:rsid w:val="00C328BB"/>
    <w:rPr>
      <w:rFonts w:ascii="Arial" w:eastAsia="Times New Roman" w:hAnsi="Arial" w:cs="Times New Roman"/>
      <w:b/>
      <w:color w:val="000000" w:themeColor="text1"/>
      <w:kern w:val="28"/>
      <w:sz w:val="32"/>
      <w:szCs w:val="32"/>
      <w:lang w:eastAsia="en-GB"/>
      <w14:ligatures w14:val="standardContextual"/>
    </w:rPr>
  </w:style>
  <w:style w:type="paragraph" w:customStyle="1" w:styleId="Declerations">
    <w:name w:val="Declerations"/>
    <w:basedOn w:val="Heading1"/>
    <w:next w:val="Normal"/>
    <w:link w:val="DeclerationsChar"/>
    <w:qFormat/>
    <w:rsid w:val="00C328BB"/>
    <w:pPr>
      <w:keepLines w:val="0"/>
      <w:pageBreakBefore/>
      <w:numPr>
        <w:numId w:val="0"/>
      </w:numPr>
      <w:tabs>
        <w:tab w:val="left" w:pos="1440"/>
      </w:tabs>
      <w:spacing w:before="120" w:after="280"/>
    </w:pPr>
    <w:rPr>
      <w:rFonts w:ascii="Arial" w:eastAsia="Times New Roman" w:hAnsi="Arial" w:cs="Times New Roman"/>
      <w:color w:val="auto"/>
      <w:kern w:val="28"/>
      <w:lang w:eastAsia="en-US"/>
      <w14:ligatures w14:val="standardContextual"/>
    </w:rPr>
  </w:style>
  <w:style w:type="character" w:customStyle="1" w:styleId="subsubsectionChar">
    <w:name w:val="subsubsection Char"/>
    <w:basedOn w:val="Heading2Char"/>
    <w:link w:val="subsubsection"/>
    <w:locked/>
    <w:rsid w:val="00CA2D81"/>
    <w:rPr>
      <w:rFonts w:ascii="Arial Bold" w:eastAsia="Times New Roman" w:hAnsi="Arial Bold" w:cs="Times New Roman"/>
      <w:b/>
      <w:color w:val="000000" w:themeColor="text1"/>
      <w:sz w:val="28"/>
      <w:szCs w:val="28"/>
      <w:lang w:eastAsia="en-GB"/>
      <w14:ligatures w14:val="standardContextual"/>
    </w:rPr>
  </w:style>
  <w:style w:type="paragraph" w:customStyle="1" w:styleId="subsubsection">
    <w:name w:val="subsubsection"/>
    <w:basedOn w:val="Heading2"/>
    <w:next w:val="Normal"/>
    <w:link w:val="subsubsectionChar"/>
    <w:qFormat/>
    <w:rsid w:val="00CA2D81"/>
    <w:pPr>
      <w:keepLines w:val="0"/>
      <w:numPr>
        <w:ilvl w:val="0"/>
        <w:numId w:val="0"/>
      </w:numPr>
      <w:spacing w:before="200" w:after="280"/>
    </w:pPr>
    <w:rPr>
      <w:rFonts w:ascii="Arial Bold" w:eastAsia="Times New Roman" w:hAnsi="Arial Bold" w:cs="Times New Roman"/>
      <w:color w:val="auto"/>
      <w:sz w:val="24"/>
      <w:szCs w:val="28"/>
      <w:lang w:eastAsia="en-US"/>
      <w14:ligatures w14:val="standardContextual"/>
    </w:rPr>
  </w:style>
  <w:style w:type="character" w:styleId="IntenseEmphasis">
    <w:name w:val="Intense Emphasis"/>
    <w:basedOn w:val="DefaultParagraphFont"/>
    <w:uiPriority w:val="21"/>
    <w:qFormat/>
    <w:rsid w:val="0019520D"/>
    <w:rPr>
      <w:i/>
      <w:iCs/>
      <w:color w:val="DDDDDD" w:themeColor="accent1"/>
    </w:rPr>
  </w:style>
  <w:style w:type="paragraph" w:styleId="Quote">
    <w:name w:val="Quote"/>
    <w:basedOn w:val="Normal"/>
    <w:next w:val="Normal"/>
    <w:link w:val="QuoteChar"/>
    <w:uiPriority w:val="29"/>
    <w:qFormat/>
    <w:rsid w:val="0019520D"/>
    <w:pPr>
      <w:spacing w:before="200" w:after="160"/>
      <w:ind w:left="864" w:right="864"/>
      <w:jc w:val="center"/>
    </w:pPr>
    <w:rPr>
      <w:i/>
      <w:iCs/>
      <w:color w:val="404040" w:themeColor="text1" w:themeTint="BF"/>
    </w:rPr>
  </w:style>
  <w:style w:type="character" w:styleId="SubtleEmphasis">
    <w:name w:val="Subtle Emphasis"/>
    <w:basedOn w:val="DefaultParagraphFont"/>
    <w:uiPriority w:val="19"/>
    <w:qFormat/>
    <w:rsid w:val="00C328BB"/>
    <w:rPr>
      <w:rFonts w:asciiTheme="majorHAnsi" w:hAnsiTheme="majorHAnsi" w:cs="Calibri Light" w:hint="default"/>
      <w:i/>
      <w:iCs/>
      <w:color w:val="auto"/>
      <w:sz w:val="24"/>
    </w:rPr>
  </w:style>
  <w:style w:type="character" w:customStyle="1" w:styleId="rp-entry-user">
    <w:name w:val="rp-entry-user"/>
    <w:basedOn w:val="DefaultParagraphFont"/>
    <w:rsid w:val="00C328BB"/>
  </w:style>
  <w:style w:type="character" w:customStyle="1" w:styleId="ng-binding">
    <w:name w:val="ng-binding"/>
    <w:basedOn w:val="DefaultParagraphFont"/>
    <w:rsid w:val="00C328BB"/>
  </w:style>
  <w:style w:type="character" w:customStyle="1" w:styleId="cf01">
    <w:name w:val="cf01"/>
    <w:basedOn w:val="DefaultParagraphFont"/>
    <w:rsid w:val="00C328BB"/>
    <w:rPr>
      <w:rFonts w:ascii="Segoe UI" w:hAnsi="Segoe UI" w:cs="Segoe UI" w:hint="default"/>
      <w:sz w:val="18"/>
      <w:szCs w:val="18"/>
    </w:rPr>
  </w:style>
  <w:style w:type="character" w:customStyle="1" w:styleId="highlight">
    <w:name w:val="highlight"/>
    <w:basedOn w:val="DefaultParagraphFont"/>
    <w:rsid w:val="00C328BB"/>
  </w:style>
  <w:style w:type="table" w:styleId="PlainTable1">
    <w:name w:val="Plain Table 1"/>
    <w:basedOn w:val="TableNormal"/>
    <w:uiPriority w:val="41"/>
    <w:rsid w:val="00C328BB"/>
    <w:rPr>
      <w:sz w:val="22"/>
      <w:szCs w:val="22"/>
      <w:lang w:val="en-US"/>
      <w14:ligatures w14:val="standardContextu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328BB"/>
    <w:rPr>
      <w:rFonts w:ascii="Times New Roman" w:eastAsia="Times New Roman" w:hAnsi="Times New Roman" w:cs="Times New Roman"/>
      <w:sz w:val="20"/>
      <w:szCs w:val="20"/>
      <w:lang w:val="en-US"/>
      <w14:ligatures w14:val="standardContextu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QuoteChar">
    <w:name w:val="Quote Char"/>
    <w:basedOn w:val="DefaultParagraphFont"/>
    <w:link w:val="Quote"/>
    <w:uiPriority w:val="29"/>
    <w:rsid w:val="0019520D"/>
    <w:rPr>
      <w:rFonts w:asciiTheme="minorBidi" w:eastAsia="Times New Roman" w:hAnsiTheme="minorBidi" w:cs="Times New Roman"/>
      <w:i/>
      <w:iCs/>
      <w:color w:val="404040" w:themeColor="text1" w:themeTint="BF"/>
      <w:lang w:eastAsia="en-GB"/>
    </w:rPr>
  </w:style>
  <w:style w:type="character" w:styleId="SubtleReference">
    <w:name w:val="Subtle Reference"/>
    <w:basedOn w:val="DefaultParagraphFont"/>
    <w:uiPriority w:val="31"/>
    <w:qFormat/>
    <w:rsid w:val="0019520D"/>
    <w:rPr>
      <w:smallCaps/>
      <w:color w:val="5A5A5A" w:themeColor="text1" w:themeTint="A5"/>
    </w:rPr>
  </w:style>
  <w:style w:type="paragraph" w:styleId="IntenseQuote">
    <w:name w:val="Intense Quote"/>
    <w:basedOn w:val="Normal"/>
    <w:next w:val="Normal"/>
    <w:link w:val="IntenseQuoteChar"/>
    <w:uiPriority w:val="30"/>
    <w:qFormat/>
    <w:rsid w:val="0019520D"/>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rsid w:val="0019520D"/>
    <w:rPr>
      <w:rFonts w:asciiTheme="minorBidi" w:eastAsia="Times New Roman" w:hAnsiTheme="minorBidi" w:cs="Times New Roman"/>
      <w:i/>
      <w:iCs/>
      <w:color w:val="DDDDDD" w:themeColor="accent1"/>
      <w:lang w:eastAsia="en-GB"/>
    </w:rPr>
  </w:style>
  <w:style w:type="character" w:styleId="IntenseReference">
    <w:name w:val="Intense Reference"/>
    <w:basedOn w:val="DefaultParagraphFont"/>
    <w:uiPriority w:val="32"/>
    <w:qFormat/>
    <w:rsid w:val="0019520D"/>
    <w:rPr>
      <w:b/>
      <w:bCs/>
      <w:smallCaps/>
      <w:color w:val="DDDDDD" w:themeColor="accent1"/>
      <w:spacing w:val="5"/>
    </w:rPr>
  </w:style>
  <w:style w:type="character" w:styleId="BookTitle">
    <w:name w:val="Book Title"/>
    <w:basedOn w:val="DefaultParagraphFont"/>
    <w:uiPriority w:val="33"/>
    <w:qFormat/>
    <w:rsid w:val="0019520D"/>
    <w:rPr>
      <w:b/>
      <w:bCs/>
      <w:i/>
      <w:iCs/>
      <w:spacing w:val="5"/>
    </w:rPr>
  </w:style>
  <w:style w:type="character" w:styleId="Hashtag">
    <w:name w:val="Hashtag"/>
    <w:basedOn w:val="DefaultParagraphFont"/>
    <w:uiPriority w:val="99"/>
    <w:rsid w:val="0019520D"/>
    <w:rPr>
      <w:color w:val="2B579A"/>
      <w:shd w:val="clear" w:color="auto" w:fill="E1DFDD"/>
    </w:rPr>
  </w:style>
  <w:style w:type="character" w:styleId="SmartLink">
    <w:name w:val="Smart Link"/>
    <w:basedOn w:val="DefaultParagraphFont"/>
    <w:uiPriority w:val="99"/>
    <w:rsid w:val="0019520D"/>
    <w:rPr>
      <w:color w:val="0000FF"/>
      <w:u w:val="single"/>
      <w:shd w:val="clear" w:color="auto" w:fill="F3F2F1"/>
    </w:rPr>
  </w:style>
  <w:style w:type="paragraph" w:styleId="TOC9">
    <w:name w:val="toc 9"/>
    <w:basedOn w:val="Normal"/>
    <w:next w:val="Normal"/>
    <w:autoRedefine/>
    <w:uiPriority w:val="39"/>
    <w:rsid w:val="00915C4E"/>
    <w:pPr>
      <w:ind w:left="1760"/>
    </w:pPr>
    <w:rPr>
      <w:rFonts w:ascii="Times New Roman" w:eastAsiaTheme="minorHAnsi" w:hAnsi="Times New Roman" w:cstheme="minorHAnsi"/>
      <w:sz w:val="20"/>
      <w:szCs w:val="20"/>
      <w:lang w:eastAsia="en-US"/>
    </w:rPr>
  </w:style>
  <w:style w:type="paragraph" w:customStyle="1" w:styleId="WARNING">
    <w:name w:val="WARNING"/>
    <w:basedOn w:val="Normal"/>
    <w:next w:val="Normal"/>
    <w:rsid w:val="00915C4E"/>
    <w:pPr>
      <w:tabs>
        <w:tab w:val="left" w:pos="1656"/>
      </w:tabs>
      <w:spacing w:after="160"/>
      <w:ind w:left="1656" w:hanging="1656"/>
    </w:pPr>
    <w:rPr>
      <w:rFonts w:ascii="Arial Bold" w:eastAsiaTheme="minorHAnsi" w:hAnsi="Arial Bold" w:cstheme="minorBidi"/>
      <w:b/>
      <w:caps/>
      <w:color w:val="FF0000"/>
      <w:szCs w:val="22"/>
      <w:lang w:eastAsia="en-US"/>
    </w:rPr>
  </w:style>
  <w:style w:type="character" w:styleId="LineNumber">
    <w:name w:val="line number"/>
    <w:basedOn w:val="DefaultParagraphFont"/>
    <w:semiHidden/>
    <w:unhideWhenUsed/>
    <w:rsid w:val="00915C4E"/>
  </w:style>
  <w:style w:type="character" w:customStyle="1" w:styleId="gd15mcfceub">
    <w:name w:val="gd15mcfceub"/>
    <w:basedOn w:val="DefaultParagraphFont"/>
    <w:rsid w:val="00915C4E"/>
  </w:style>
  <w:style w:type="paragraph" w:customStyle="1" w:styleId="subsubsubsection">
    <w:name w:val="subsubsubsection"/>
    <w:basedOn w:val="Heading4"/>
    <w:link w:val="subsubsubsectionChar"/>
    <w:qFormat/>
    <w:rsid w:val="00915C4E"/>
    <w:pPr>
      <w:keepLines w:val="0"/>
      <w:numPr>
        <w:numId w:val="6"/>
      </w:numPr>
      <w:tabs>
        <w:tab w:val="left" w:pos="1440"/>
      </w:tabs>
      <w:spacing w:before="200" w:after="160"/>
    </w:pPr>
    <w:rPr>
      <w:rFonts w:ascii="Times New Roman" w:hAnsi="Times New Roman"/>
      <w:iCs w:val="0"/>
      <w:szCs w:val="22"/>
      <w:shd w:val="clear" w:color="auto" w:fill="FFFFFF"/>
    </w:rPr>
  </w:style>
  <w:style w:type="character" w:customStyle="1" w:styleId="subsubsubsectionChar">
    <w:name w:val="subsubsubsection Char"/>
    <w:basedOn w:val="Heading4Char"/>
    <w:link w:val="subsubsubsection"/>
    <w:rsid w:val="00915C4E"/>
    <w:rPr>
      <w:rFonts w:ascii="Times New Roman" w:eastAsiaTheme="majorEastAsia" w:hAnsi="Times New Roman" w:cstheme="majorBidi"/>
      <w:b/>
      <w:iCs w:val="0"/>
      <w:color w:val="000000" w:themeColor="text1"/>
      <w:szCs w:val="22"/>
      <w:lang w:eastAsia="en-GB"/>
    </w:rPr>
  </w:style>
  <w:style w:type="table" w:customStyle="1" w:styleId="TableGrid0">
    <w:name w:val="TableGrid"/>
    <w:rsid w:val="00915C4E"/>
    <w:rPr>
      <w:rFonts w:eastAsiaTheme="minorEastAsia"/>
      <w:sz w:val="22"/>
      <w:szCs w:val="22"/>
      <w:lang w:val="en-US"/>
    </w:rPr>
    <w:tblPr>
      <w:tblCellMar>
        <w:top w:w="0" w:type="dxa"/>
        <w:left w:w="0" w:type="dxa"/>
        <w:bottom w:w="0" w:type="dxa"/>
        <w:right w:w="0" w:type="dxa"/>
      </w:tblCellMar>
    </w:tblPr>
  </w:style>
  <w:style w:type="paragraph" w:customStyle="1" w:styleId="Labels">
    <w:name w:val="Labels"/>
    <w:basedOn w:val="Caption"/>
    <w:link w:val="LabelsChar"/>
    <w:autoRedefine/>
    <w:qFormat/>
    <w:rsid w:val="002365C1"/>
    <w:pPr>
      <w:spacing w:line="240" w:lineRule="auto"/>
    </w:pPr>
    <w:rPr>
      <w:bCs/>
      <w:lang w:val="en-US"/>
    </w:rPr>
  </w:style>
  <w:style w:type="character" w:customStyle="1" w:styleId="CaptionChar">
    <w:name w:val="Caption Char"/>
    <w:aliases w:val="Captions Char"/>
    <w:basedOn w:val="DefaultParagraphFont"/>
    <w:link w:val="Caption"/>
    <w:rsid w:val="00C41186"/>
    <w:rPr>
      <w:rFonts w:ascii="Arial (Body CS)" w:eastAsia="Calibri" w:hAnsi="Arial (Body CS)" w:cs="Times New Roman"/>
      <w:iCs/>
      <w:color w:val="000000" w:themeColor="text1"/>
      <w:sz w:val="22"/>
      <w:szCs w:val="18"/>
      <w:lang w:eastAsia="en-GB"/>
    </w:rPr>
  </w:style>
  <w:style w:type="character" w:customStyle="1" w:styleId="LabelsChar">
    <w:name w:val="Labels Char"/>
    <w:basedOn w:val="CaptionChar"/>
    <w:link w:val="Labels"/>
    <w:rsid w:val="002365C1"/>
    <w:rPr>
      <w:rFonts w:ascii="Arial (Body CS)" w:eastAsia="Calibri" w:hAnsi="Arial (Body CS)" w:cs="Times New Roman"/>
      <w:bCs/>
      <w:iCs/>
      <w:color w:val="000000" w:themeColor="text1"/>
      <w:sz w:val="22"/>
      <w:szCs w:val="18"/>
      <w:lang w:val="en-US" w:eastAsia="en-GB"/>
    </w:rPr>
  </w:style>
  <w:style w:type="paragraph" w:customStyle="1" w:styleId="pf0">
    <w:name w:val="pf0"/>
    <w:basedOn w:val="Normal"/>
    <w:rsid w:val="00915C4E"/>
    <w:pPr>
      <w:spacing w:before="100" w:beforeAutospacing="1" w:after="100" w:afterAutospacing="1" w:line="240" w:lineRule="auto"/>
      <w:jc w:val="left"/>
    </w:pPr>
    <w:rPr>
      <w:rFonts w:ascii="Times New Roman" w:hAnsi="Times New Roman"/>
    </w:rPr>
  </w:style>
  <w:style w:type="paragraph" w:customStyle="1" w:styleId="Institution">
    <w:name w:val="Institution"/>
    <w:basedOn w:val="Heading2"/>
    <w:link w:val="InstitutionChar"/>
    <w:qFormat/>
    <w:rsid w:val="001A7D7F"/>
    <w:pPr>
      <w:keepLines w:val="0"/>
      <w:numPr>
        <w:ilvl w:val="2"/>
        <w:numId w:val="0"/>
      </w:numPr>
      <w:tabs>
        <w:tab w:val="left" w:pos="180"/>
      </w:tabs>
      <w:spacing w:before="200" w:after="16" w:line="259" w:lineRule="auto"/>
      <w:ind w:left="-3" w:right="180"/>
    </w:pPr>
    <w:rPr>
      <w:rFonts w:ascii="Calibri" w:eastAsia="Calibri" w:hAnsi="Calibri" w:cs="Calibri"/>
      <w:b w:val="0"/>
      <w:color w:val="auto"/>
      <w:sz w:val="36"/>
      <w:szCs w:val="48"/>
      <w:vertAlign w:val="superscript"/>
      <w:lang w:val="en-US" w:eastAsia="en-US"/>
    </w:rPr>
  </w:style>
  <w:style w:type="character" w:customStyle="1" w:styleId="InstitutionChar">
    <w:name w:val="Institution Char"/>
    <w:basedOn w:val="DefaultParagraphFont"/>
    <w:link w:val="Institution"/>
    <w:rsid w:val="001A7D7F"/>
    <w:rPr>
      <w:rFonts w:ascii="Calibri" w:eastAsia="Calibri" w:hAnsi="Calibri" w:cs="Calibri"/>
      <w:sz w:val="36"/>
      <w:szCs w:val="48"/>
      <w:vertAlign w:val="superscript"/>
      <w:lang w:val="en-US"/>
    </w:rPr>
  </w:style>
  <w:style w:type="character" w:customStyle="1" w:styleId="landing-page-changedtext-0-2-17">
    <w:name w:val="landing-page-changedtext-0-2-17"/>
    <w:basedOn w:val="DefaultParagraphFont"/>
    <w:rsid w:val="001A7D7F"/>
  </w:style>
  <w:style w:type="paragraph" w:customStyle="1" w:styleId="xl65">
    <w:name w:val="xl65"/>
    <w:basedOn w:val="Normal"/>
    <w:rsid w:val="001A7D7F"/>
    <w:pPr>
      <w:spacing w:before="100" w:beforeAutospacing="1" w:after="100" w:afterAutospacing="1" w:line="240" w:lineRule="auto"/>
      <w:jc w:val="center"/>
    </w:pPr>
    <w:rPr>
      <w:rFonts w:ascii="Avenir Next LT Pro Light" w:hAnsi="Avenir Next LT Pro Light"/>
      <w:lang w:val="en-US" w:eastAsia="en-US"/>
    </w:rPr>
  </w:style>
  <w:style w:type="paragraph" w:customStyle="1" w:styleId="xl66">
    <w:name w:val="xl66"/>
    <w:basedOn w:val="Normal"/>
    <w:rsid w:val="001A7D7F"/>
    <w:pPr>
      <w:pBdr>
        <w:top w:val="single" w:sz="4" w:space="0" w:color="8EA9DB"/>
        <w:left w:val="single" w:sz="4" w:space="0" w:color="8EA9DB"/>
        <w:bottom w:val="single" w:sz="4" w:space="0" w:color="8EA9DB"/>
      </w:pBdr>
      <w:spacing w:before="100" w:beforeAutospacing="1" w:after="100" w:afterAutospacing="1" w:line="240" w:lineRule="auto"/>
      <w:jc w:val="left"/>
    </w:pPr>
    <w:rPr>
      <w:rFonts w:ascii="Avenir Next LT Pro Light" w:hAnsi="Avenir Next LT Pro Light"/>
      <w:lang w:val="en-US" w:eastAsia="en-US"/>
    </w:rPr>
  </w:style>
  <w:style w:type="paragraph" w:customStyle="1" w:styleId="xl67">
    <w:name w:val="xl67"/>
    <w:basedOn w:val="Normal"/>
    <w:rsid w:val="001A7D7F"/>
    <w:pPr>
      <w:pBdr>
        <w:top w:val="single" w:sz="4" w:space="0" w:color="8EA9DB"/>
        <w:bottom w:val="single" w:sz="4" w:space="0" w:color="8EA9DB"/>
      </w:pBdr>
      <w:spacing w:before="100" w:beforeAutospacing="1" w:after="100" w:afterAutospacing="1" w:line="240" w:lineRule="auto"/>
      <w:jc w:val="left"/>
    </w:pPr>
    <w:rPr>
      <w:rFonts w:ascii="Avenir Next LT Pro Light" w:hAnsi="Avenir Next LT Pro Light"/>
      <w:lang w:val="en-US" w:eastAsia="en-US"/>
    </w:rPr>
  </w:style>
  <w:style w:type="paragraph" w:customStyle="1" w:styleId="xl68">
    <w:name w:val="xl68"/>
    <w:basedOn w:val="Normal"/>
    <w:rsid w:val="001A7D7F"/>
    <w:pPr>
      <w:pBdr>
        <w:top w:val="single" w:sz="4" w:space="0" w:color="8EA9DB"/>
        <w:bottom w:val="single" w:sz="4" w:space="0" w:color="8EA9DB"/>
      </w:pBdr>
      <w:spacing w:before="100" w:beforeAutospacing="1" w:after="100" w:afterAutospacing="1" w:line="240" w:lineRule="auto"/>
      <w:jc w:val="center"/>
    </w:pPr>
    <w:rPr>
      <w:rFonts w:ascii="Avenir Next LT Pro Light" w:hAnsi="Avenir Next LT Pro Light"/>
      <w:lang w:val="en-US" w:eastAsia="en-US"/>
    </w:rPr>
  </w:style>
  <w:style w:type="paragraph" w:customStyle="1" w:styleId="xl69">
    <w:name w:val="xl69"/>
    <w:basedOn w:val="Normal"/>
    <w:rsid w:val="001A7D7F"/>
    <w:pPr>
      <w:pBdr>
        <w:top w:val="single" w:sz="4" w:space="0" w:color="8EA9DB"/>
        <w:bottom w:val="single" w:sz="4" w:space="0" w:color="8EA9DB"/>
        <w:right w:val="single" w:sz="4" w:space="0" w:color="8EA9DB"/>
      </w:pBdr>
      <w:spacing w:before="100" w:beforeAutospacing="1" w:after="100" w:afterAutospacing="1" w:line="240" w:lineRule="auto"/>
      <w:jc w:val="center"/>
    </w:pPr>
    <w:rPr>
      <w:rFonts w:ascii="Avenir Next LT Pro Light" w:hAnsi="Avenir Next LT Pro Light"/>
      <w:lang w:val="en-US" w:eastAsia="en-US"/>
    </w:rPr>
  </w:style>
  <w:style w:type="paragraph" w:customStyle="1" w:styleId="xl70">
    <w:name w:val="xl70"/>
    <w:basedOn w:val="Normal"/>
    <w:rsid w:val="001A7D7F"/>
    <w:pPr>
      <w:pBdr>
        <w:top w:val="single" w:sz="4" w:space="0" w:color="8EA9DB"/>
        <w:bottom w:val="single" w:sz="4" w:space="0" w:color="8EA9DB"/>
      </w:pBdr>
      <w:spacing w:before="100" w:beforeAutospacing="1" w:after="100" w:afterAutospacing="1" w:line="240" w:lineRule="auto"/>
      <w:jc w:val="left"/>
    </w:pPr>
    <w:rPr>
      <w:rFonts w:ascii="Avenir Next LT Pro Light" w:hAnsi="Avenir Next LT Pro Light"/>
      <w:lang w:val="en-US" w:eastAsia="en-US"/>
    </w:rPr>
  </w:style>
  <w:style w:type="paragraph" w:customStyle="1" w:styleId="xl71">
    <w:name w:val="xl71"/>
    <w:basedOn w:val="Normal"/>
    <w:rsid w:val="001A7D7F"/>
    <w:pPr>
      <w:pBdr>
        <w:top w:val="single" w:sz="4" w:space="0" w:color="FFFFFF"/>
        <w:bottom w:val="single" w:sz="4" w:space="0" w:color="FFFFFF"/>
        <w:right w:val="single" w:sz="4" w:space="0" w:color="FFFFFF"/>
      </w:pBdr>
      <w:spacing w:before="100" w:beforeAutospacing="1" w:after="100" w:afterAutospacing="1" w:line="240" w:lineRule="auto"/>
      <w:jc w:val="left"/>
    </w:pPr>
    <w:rPr>
      <w:rFonts w:ascii="Avenir Next LT Pro Light" w:hAnsi="Avenir Next LT Pro Light"/>
      <w:lang w:val="en-US" w:eastAsia="en-US"/>
    </w:rPr>
  </w:style>
  <w:style w:type="paragraph" w:customStyle="1" w:styleId="xl72">
    <w:name w:val="xl72"/>
    <w:basedOn w:val="Normal"/>
    <w:rsid w:val="001A7D7F"/>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left"/>
    </w:pPr>
    <w:rPr>
      <w:rFonts w:ascii="Avenir Next LT Pro Light" w:hAnsi="Avenir Next LT Pro Light"/>
      <w:lang w:val="en-US" w:eastAsia="en-US"/>
    </w:rPr>
  </w:style>
  <w:style w:type="paragraph" w:customStyle="1" w:styleId="xl73">
    <w:name w:val="xl73"/>
    <w:basedOn w:val="Normal"/>
    <w:rsid w:val="001A7D7F"/>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center"/>
    </w:pPr>
    <w:rPr>
      <w:rFonts w:ascii="Avenir Next LT Pro Light" w:hAnsi="Avenir Next LT Pro Light"/>
      <w:lang w:val="en-US" w:eastAsia="en-US"/>
    </w:rPr>
  </w:style>
  <w:style w:type="paragraph" w:customStyle="1" w:styleId="xl74">
    <w:name w:val="xl74"/>
    <w:basedOn w:val="Normal"/>
    <w:rsid w:val="001A7D7F"/>
    <w:pPr>
      <w:pBdr>
        <w:top w:val="single" w:sz="4" w:space="0" w:color="FFFFFF"/>
        <w:left w:val="single" w:sz="4" w:space="0" w:color="FFFFFF"/>
        <w:bottom w:val="single" w:sz="4" w:space="0" w:color="FFFFFF"/>
      </w:pBdr>
      <w:spacing w:before="100" w:beforeAutospacing="1" w:after="100" w:afterAutospacing="1" w:line="240" w:lineRule="auto"/>
      <w:jc w:val="center"/>
    </w:pPr>
    <w:rPr>
      <w:rFonts w:ascii="Avenir Next LT Pro Light" w:hAnsi="Avenir Next LT Pro Light"/>
      <w:lang w:val="en-US" w:eastAsia="en-US"/>
    </w:rPr>
  </w:style>
  <w:style w:type="paragraph" w:customStyle="1" w:styleId="xl75">
    <w:name w:val="xl75"/>
    <w:basedOn w:val="Normal"/>
    <w:rsid w:val="001A7D7F"/>
    <w:pPr>
      <w:pBdr>
        <w:top w:val="single" w:sz="4" w:space="0" w:color="FFFFFF"/>
        <w:right w:val="single" w:sz="4" w:space="0" w:color="FFFFFF"/>
      </w:pBdr>
      <w:spacing w:before="100" w:beforeAutospacing="1" w:after="100" w:afterAutospacing="1" w:line="240" w:lineRule="auto"/>
      <w:jc w:val="left"/>
    </w:pPr>
    <w:rPr>
      <w:rFonts w:ascii="Avenir Next LT Pro Light" w:hAnsi="Avenir Next LT Pro Light"/>
      <w:lang w:val="en-US" w:eastAsia="en-US"/>
    </w:rPr>
  </w:style>
  <w:style w:type="paragraph" w:customStyle="1" w:styleId="xl76">
    <w:name w:val="xl76"/>
    <w:basedOn w:val="Normal"/>
    <w:rsid w:val="001A7D7F"/>
    <w:pPr>
      <w:pBdr>
        <w:top w:val="single" w:sz="4" w:space="0" w:color="FFFFFF"/>
        <w:left w:val="single" w:sz="4" w:space="0" w:color="FFFFFF"/>
        <w:right w:val="single" w:sz="4" w:space="0" w:color="FFFFFF"/>
      </w:pBdr>
      <w:spacing w:before="100" w:beforeAutospacing="1" w:after="100" w:afterAutospacing="1" w:line="240" w:lineRule="auto"/>
      <w:jc w:val="left"/>
    </w:pPr>
    <w:rPr>
      <w:rFonts w:ascii="Avenir Next LT Pro Light" w:hAnsi="Avenir Next LT Pro Light"/>
      <w:lang w:val="en-US" w:eastAsia="en-US"/>
    </w:rPr>
  </w:style>
  <w:style w:type="paragraph" w:customStyle="1" w:styleId="xl77">
    <w:name w:val="xl77"/>
    <w:basedOn w:val="Normal"/>
    <w:rsid w:val="001A7D7F"/>
    <w:pPr>
      <w:pBdr>
        <w:top w:val="single" w:sz="4" w:space="0" w:color="FFFFFF"/>
        <w:left w:val="single" w:sz="4" w:space="0" w:color="FFFFFF"/>
        <w:right w:val="single" w:sz="4" w:space="0" w:color="FFFFFF"/>
      </w:pBdr>
      <w:spacing w:before="100" w:beforeAutospacing="1" w:after="100" w:afterAutospacing="1" w:line="240" w:lineRule="auto"/>
      <w:jc w:val="center"/>
    </w:pPr>
    <w:rPr>
      <w:rFonts w:ascii="Avenir Next LT Pro Light" w:hAnsi="Avenir Next LT Pro Light"/>
      <w:lang w:val="en-US" w:eastAsia="en-US"/>
    </w:rPr>
  </w:style>
  <w:style w:type="paragraph" w:customStyle="1" w:styleId="xl78">
    <w:name w:val="xl78"/>
    <w:basedOn w:val="Normal"/>
    <w:rsid w:val="001A7D7F"/>
    <w:pPr>
      <w:pBdr>
        <w:top w:val="single" w:sz="4" w:space="0" w:color="FFFFFF"/>
        <w:left w:val="single" w:sz="4" w:space="0" w:color="FFFFFF"/>
      </w:pBdr>
      <w:spacing w:before="100" w:beforeAutospacing="1" w:after="100" w:afterAutospacing="1" w:line="240" w:lineRule="auto"/>
      <w:jc w:val="center"/>
    </w:pPr>
    <w:rPr>
      <w:rFonts w:ascii="Avenir Next LT Pro Light" w:hAnsi="Avenir Next LT Pro Light"/>
      <w:lang w:val="en-US" w:eastAsia="en-US"/>
    </w:rPr>
  </w:style>
  <w:style w:type="paragraph" w:customStyle="1" w:styleId="xl79">
    <w:name w:val="xl79"/>
    <w:basedOn w:val="Normal"/>
    <w:rsid w:val="001A7D7F"/>
    <w:pPr>
      <w:pBdr>
        <w:top w:val="single" w:sz="4" w:space="0" w:color="8EA9DB"/>
        <w:left w:val="single" w:sz="4" w:space="0" w:color="8EA9DB"/>
        <w:bottom w:val="single" w:sz="4" w:space="0" w:color="8EA9DB"/>
      </w:pBdr>
      <w:spacing w:before="100" w:beforeAutospacing="1" w:after="100" w:afterAutospacing="1" w:line="240" w:lineRule="auto"/>
      <w:jc w:val="center"/>
    </w:pPr>
    <w:rPr>
      <w:rFonts w:ascii="Avenir Next LT Pro Light" w:hAnsi="Avenir Next LT Pro Light"/>
      <w:b/>
      <w:bCs/>
      <w:lang w:val="en-US" w:eastAsia="en-US"/>
    </w:rPr>
  </w:style>
  <w:style w:type="paragraph" w:customStyle="1" w:styleId="xl80">
    <w:name w:val="xl80"/>
    <w:basedOn w:val="Normal"/>
    <w:rsid w:val="001A7D7F"/>
    <w:pPr>
      <w:pBdr>
        <w:top w:val="single" w:sz="4" w:space="0" w:color="8EA9DB"/>
        <w:bottom w:val="single" w:sz="4" w:space="0" w:color="8EA9DB"/>
      </w:pBdr>
      <w:spacing w:before="100" w:beforeAutospacing="1" w:after="100" w:afterAutospacing="1" w:line="240" w:lineRule="auto"/>
      <w:jc w:val="center"/>
    </w:pPr>
    <w:rPr>
      <w:rFonts w:ascii="Avenir Next LT Pro Light" w:hAnsi="Avenir Next LT Pro Light"/>
      <w:b/>
      <w:bCs/>
      <w:lang w:val="en-US" w:eastAsia="en-US"/>
    </w:rPr>
  </w:style>
  <w:style w:type="paragraph" w:customStyle="1" w:styleId="xl81">
    <w:name w:val="xl81"/>
    <w:basedOn w:val="Normal"/>
    <w:rsid w:val="001A7D7F"/>
    <w:pPr>
      <w:pBdr>
        <w:top w:val="single" w:sz="4" w:space="0" w:color="8EA9DB"/>
        <w:bottom w:val="single" w:sz="4" w:space="0" w:color="8EA9DB"/>
        <w:right w:val="single" w:sz="4" w:space="0" w:color="8EA9DB"/>
      </w:pBdr>
      <w:spacing w:before="100" w:beforeAutospacing="1" w:after="100" w:afterAutospacing="1" w:line="240" w:lineRule="auto"/>
      <w:jc w:val="center"/>
    </w:pPr>
    <w:rPr>
      <w:rFonts w:ascii="Avenir Next LT Pro Light" w:hAnsi="Avenir Next LT Pro Light"/>
      <w:b/>
      <w:bCs/>
      <w:lang w:val="en-US" w:eastAsia="en-US"/>
    </w:rPr>
  </w:style>
  <w:style w:type="paragraph" w:customStyle="1" w:styleId="xl82">
    <w:name w:val="xl82"/>
    <w:basedOn w:val="Normal"/>
    <w:rsid w:val="001A7D7F"/>
    <w:pPr>
      <w:spacing w:before="100" w:beforeAutospacing="1" w:after="100" w:afterAutospacing="1" w:line="240" w:lineRule="auto"/>
      <w:jc w:val="left"/>
    </w:pPr>
    <w:rPr>
      <w:rFonts w:ascii="Avenir Next LT Pro Light" w:hAnsi="Avenir Next LT Pro Light"/>
      <w:lang w:val="en-US" w:eastAsia="en-US"/>
    </w:rPr>
  </w:style>
  <w:style w:type="paragraph" w:customStyle="1" w:styleId="xl83">
    <w:name w:val="xl83"/>
    <w:basedOn w:val="Normal"/>
    <w:rsid w:val="001A7D7F"/>
    <w:pPr>
      <w:pBdr>
        <w:top w:val="single" w:sz="4" w:space="0" w:color="FFFFFF"/>
        <w:left w:val="single" w:sz="4" w:space="0" w:color="FFFFFF"/>
        <w:right w:val="single" w:sz="4" w:space="0" w:color="FFFFFF"/>
      </w:pBdr>
      <w:spacing w:before="100" w:beforeAutospacing="1" w:after="100" w:afterAutospacing="1" w:line="240" w:lineRule="auto"/>
      <w:jc w:val="center"/>
    </w:pPr>
    <w:rPr>
      <w:rFonts w:ascii="Avenir Next LT Pro Light" w:hAnsi="Avenir Next LT Pro Light"/>
      <w:sz w:val="20"/>
      <w:szCs w:val="20"/>
      <w:lang w:val="en-US" w:eastAsia="en-US"/>
    </w:rPr>
  </w:style>
  <w:style w:type="paragraph" w:customStyle="1" w:styleId="xl84">
    <w:name w:val="xl84"/>
    <w:basedOn w:val="Normal"/>
    <w:rsid w:val="001A7D7F"/>
    <w:pPr>
      <w:pBdr>
        <w:top w:val="single" w:sz="4" w:space="0" w:color="FFFFFF"/>
        <w:left w:val="single" w:sz="4" w:space="0" w:color="FFFFFF"/>
      </w:pBdr>
      <w:spacing w:before="100" w:beforeAutospacing="1" w:after="100" w:afterAutospacing="1" w:line="240" w:lineRule="auto"/>
      <w:jc w:val="center"/>
    </w:pPr>
    <w:rPr>
      <w:rFonts w:ascii="Avenir Next LT Pro Light" w:hAnsi="Avenir Next LT Pro Light"/>
      <w:sz w:val="20"/>
      <w:szCs w:val="20"/>
      <w:lang w:val="en-US" w:eastAsia="en-US"/>
    </w:rPr>
  </w:style>
  <w:style w:type="paragraph" w:customStyle="1" w:styleId="xl85">
    <w:name w:val="xl85"/>
    <w:basedOn w:val="Normal"/>
    <w:rsid w:val="001A7D7F"/>
    <w:pPr>
      <w:spacing w:before="100" w:beforeAutospacing="1" w:after="100" w:afterAutospacing="1" w:line="240" w:lineRule="auto"/>
      <w:jc w:val="left"/>
    </w:pPr>
    <w:rPr>
      <w:rFonts w:ascii="Avenir Next LT Pro Light" w:hAnsi="Avenir Next LT Pro Light"/>
      <w:sz w:val="20"/>
      <w:szCs w:val="20"/>
      <w:lang w:val="en-US" w:eastAsia="en-US"/>
    </w:rPr>
  </w:style>
  <w:style w:type="paragraph" w:customStyle="1" w:styleId="xl86">
    <w:name w:val="xl86"/>
    <w:basedOn w:val="Normal"/>
    <w:rsid w:val="001A7D7F"/>
    <w:pPr>
      <w:spacing w:before="100" w:beforeAutospacing="1" w:after="100" w:afterAutospacing="1" w:line="240" w:lineRule="auto"/>
      <w:jc w:val="center"/>
    </w:pPr>
    <w:rPr>
      <w:rFonts w:ascii="Avenir Next LT Pro Light" w:hAnsi="Avenir Next LT Pro Light"/>
      <w:sz w:val="20"/>
      <w:szCs w:val="20"/>
      <w:lang w:val="en-US" w:eastAsia="en-US"/>
    </w:rPr>
  </w:style>
  <w:style w:type="paragraph" w:customStyle="1" w:styleId="xl87">
    <w:name w:val="xl87"/>
    <w:basedOn w:val="Normal"/>
    <w:rsid w:val="001A7D7F"/>
    <w:pPr>
      <w:pBdr>
        <w:top w:val="single" w:sz="4" w:space="0" w:color="8EA9DB"/>
        <w:bottom w:val="single" w:sz="4" w:space="0" w:color="8EA9DB"/>
      </w:pBdr>
      <w:spacing w:before="100" w:beforeAutospacing="1" w:after="100" w:afterAutospacing="1" w:line="240" w:lineRule="auto"/>
      <w:jc w:val="center"/>
    </w:pPr>
    <w:rPr>
      <w:rFonts w:ascii="Avenir Next LT Pro Light" w:hAnsi="Avenir Next LT Pro Light"/>
      <w:b/>
      <w:bCs/>
      <w:sz w:val="20"/>
      <w:szCs w:val="20"/>
      <w:lang w:val="en-US" w:eastAsia="en-US"/>
    </w:rPr>
  </w:style>
  <w:style w:type="character" w:customStyle="1" w:styleId="html-italic">
    <w:name w:val="html-italic"/>
    <w:basedOn w:val="DefaultParagraphFont"/>
    <w:rsid w:val="001A7D7F"/>
  </w:style>
  <w:style w:type="character" w:customStyle="1" w:styleId="issue-underline">
    <w:name w:val="issue-underline"/>
    <w:basedOn w:val="DefaultParagraphFont"/>
    <w:rsid w:val="001A7D7F"/>
  </w:style>
  <w:style w:type="paragraph" w:customStyle="1" w:styleId="pb-2">
    <w:name w:val="pb-2"/>
    <w:basedOn w:val="Normal"/>
    <w:rsid w:val="001A7D7F"/>
    <w:pPr>
      <w:spacing w:before="100" w:beforeAutospacing="1" w:after="100" w:afterAutospacing="1" w:line="240" w:lineRule="auto"/>
      <w:jc w:val="left"/>
    </w:pPr>
    <w:rPr>
      <w:rFonts w:ascii="Avenir Next LT Pro Light" w:hAnsi="Avenir Next LT Pro Light"/>
    </w:rPr>
  </w:style>
  <w:style w:type="paragraph" w:customStyle="1" w:styleId="xl88">
    <w:name w:val="xl88"/>
    <w:basedOn w:val="Normal"/>
    <w:rsid w:val="003421D4"/>
    <w:pPr>
      <w:pBdr>
        <w:bottom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89">
    <w:name w:val="xl89"/>
    <w:basedOn w:val="Normal"/>
    <w:rsid w:val="003421D4"/>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0">
    <w:name w:val="xl90"/>
    <w:basedOn w:val="Normal"/>
    <w:rsid w:val="003421D4"/>
    <w:pPr>
      <w:pBdr>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1">
    <w:name w:val="xl91"/>
    <w:basedOn w:val="Normal"/>
    <w:rsid w:val="003421D4"/>
    <w:pPr>
      <w:pBdr>
        <w:bottom w:val="single" w:sz="8" w:space="0" w:color="auto"/>
      </w:pBdr>
      <w:spacing w:before="100" w:beforeAutospacing="1" w:after="100" w:afterAutospacing="1" w:line="240" w:lineRule="auto"/>
      <w:jc w:val="center"/>
    </w:pPr>
    <w:rPr>
      <w:rFonts w:ascii="Times New Roman" w:hAnsi="Times New Roman"/>
      <w:sz w:val="18"/>
      <w:szCs w:val="18"/>
      <w14:ligatures w14:val="standardContextual"/>
    </w:rPr>
  </w:style>
  <w:style w:type="paragraph" w:customStyle="1" w:styleId="xl92">
    <w:name w:val="xl92"/>
    <w:basedOn w:val="Normal"/>
    <w:rsid w:val="003421D4"/>
    <w:pP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3">
    <w:name w:val="xl93"/>
    <w:basedOn w:val="Normal"/>
    <w:rsid w:val="003421D4"/>
    <w:pPr>
      <w:pBdr>
        <w:right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4">
    <w:name w:val="xl94"/>
    <w:basedOn w:val="Normal"/>
    <w:rsid w:val="003421D4"/>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5">
    <w:name w:val="xl95"/>
    <w:basedOn w:val="Normal"/>
    <w:rsid w:val="003421D4"/>
    <w:pPr>
      <w:pBdr>
        <w:bottom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6">
    <w:name w:val="xl96"/>
    <w:basedOn w:val="Normal"/>
    <w:rsid w:val="003421D4"/>
    <w:pPr>
      <w:pBdr>
        <w:bottom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7">
    <w:name w:val="xl97"/>
    <w:basedOn w:val="Normal"/>
    <w:rsid w:val="003421D4"/>
    <w:pPr>
      <w:pBdr>
        <w:left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8">
    <w:name w:val="xl98"/>
    <w:basedOn w:val="Normal"/>
    <w:rsid w:val="003421D4"/>
    <w:pP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99">
    <w:name w:val="xl99"/>
    <w:basedOn w:val="Normal"/>
    <w:rsid w:val="003421D4"/>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paragraph" w:customStyle="1" w:styleId="xl100">
    <w:name w:val="xl100"/>
    <w:basedOn w:val="Normal"/>
    <w:rsid w:val="003421D4"/>
    <w:pPr>
      <w:spacing w:before="100" w:beforeAutospacing="1" w:after="100" w:afterAutospacing="1" w:line="240" w:lineRule="auto"/>
      <w:jc w:val="center"/>
    </w:pPr>
    <w:rPr>
      <w:rFonts w:ascii="Times New Roman" w:hAnsi="Times New Roman"/>
      <w:sz w:val="18"/>
      <w:szCs w:val="18"/>
      <w14:ligatures w14:val="standardContextual"/>
    </w:rPr>
  </w:style>
  <w:style w:type="paragraph" w:customStyle="1" w:styleId="xl101">
    <w:name w:val="xl101"/>
    <w:basedOn w:val="Normal"/>
    <w:rsid w:val="003421D4"/>
    <w:pPr>
      <w:spacing w:before="100" w:beforeAutospacing="1" w:after="100" w:afterAutospacing="1" w:line="240" w:lineRule="auto"/>
      <w:jc w:val="center"/>
    </w:pPr>
    <w:rPr>
      <w:rFonts w:ascii="Times New Roman" w:hAnsi="Times New Roman"/>
      <w:sz w:val="18"/>
      <w:szCs w:val="18"/>
      <w14:ligatures w14:val="standardContextual"/>
    </w:rPr>
  </w:style>
  <w:style w:type="paragraph" w:customStyle="1" w:styleId="xl102">
    <w:name w:val="xl102"/>
    <w:basedOn w:val="Normal"/>
    <w:rsid w:val="003421D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18"/>
      <w:szCs w:val="18"/>
      <w14:ligatures w14:val="standardContextual"/>
    </w:rPr>
  </w:style>
  <w:style w:type="character" w:styleId="Mention">
    <w:name w:val="Mention"/>
    <w:basedOn w:val="DefaultParagraphFont"/>
    <w:uiPriority w:val="99"/>
    <w:unhideWhenUsed/>
    <w:rsid w:val="00A0234D"/>
    <w:rPr>
      <w:color w:val="2B579A"/>
      <w:shd w:val="clear" w:color="auto" w:fill="E1DFDD"/>
    </w:rPr>
  </w:style>
  <w:style w:type="character" w:customStyle="1" w:styleId="citation-doi">
    <w:name w:val="citation-doi"/>
    <w:basedOn w:val="DefaultParagraphFont"/>
    <w:rsid w:val="00A0234D"/>
  </w:style>
  <w:style w:type="character" w:customStyle="1" w:styleId="secondary-date">
    <w:name w:val="secondary-date"/>
    <w:basedOn w:val="DefaultParagraphFont"/>
    <w:rsid w:val="00A0234D"/>
  </w:style>
  <w:style w:type="table" w:customStyle="1" w:styleId="TableGrid1">
    <w:name w:val="Table Grid1"/>
    <w:basedOn w:val="TableNormal"/>
    <w:next w:val="TableGrid"/>
    <w:uiPriority w:val="39"/>
    <w:rsid w:val="00581C5D"/>
    <w:rPr>
      <w:rFonts w:ascii="Times New Roman" w:eastAsia="Times New Roman" w:hAnsi="Times New Roman"/>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Heading1">
    <w:name w:val="Chapter Heading1"/>
    <w:basedOn w:val="Normal"/>
    <w:next w:val="Normal"/>
    <w:autoRedefine/>
    <w:uiPriority w:val="9"/>
    <w:qFormat/>
    <w:rsid w:val="002773A2"/>
    <w:pPr>
      <w:keepNext/>
      <w:keepLines/>
      <w:spacing w:before="0" w:after="0"/>
      <w:ind w:left="432" w:hanging="432"/>
      <w:outlineLvl w:val="0"/>
    </w:pPr>
    <w:rPr>
      <w:rFonts w:ascii="Arial" w:eastAsia="Calibri" w:hAnsi="Arial" w:cs="Arial"/>
      <w:b/>
      <w:color w:val="000000"/>
      <w:sz w:val="32"/>
      <w:szCs w:val="32"/>
      <w14:ligatures w14:val="standardContextual"/>
    </w:rPr>
  </w:style>
  <w:style w:type="paragraph" w:customStyle="1" w:styleId="SectionHeading1">
    <w:name w:val="Section Heading1"/>
    <w:basedOn w:val="Normal"/>
    <w:next w:val="Normal"/>
    <w:uiPriority w:val="9"/>
    <w:unhideWhenUsed/>
    <w:qFormat/>
    <w:rsid w:val="002773A2"/>
    <w:pPr>
      <w:keepNext/>
      <w:keepLines/>
      <w:spacing w:before="280" w:after="360"/>
      <w:ind w:left="576" w:hanging="576"/>
      <w:outlineLvl w:val="1"/>
    </w:pPr>
    <w:rPr>
      <w:rFonts w:ascii="Arial" w:hAnsi="Arial"/>
      <w:b/>
      <w:color w:val="000000"/>
      <w:sz w:val="28"/>
      <w:szCs w:val="26"/>
      <w14:ligatures w14:val="standardContextual"/>
    </w:rPr>
  </w:style>
  <w:style w:type="paragraph" w:customStyle="1" w:styleId="sub-sub1">
    <w:name w:val="sub-sub1"/>
    <w:basedOn w:val="Normal"/>
    <w:next w:val="Normal"/>
    <w:unhideWhenUsed/>
    <w:qFormat/>
    <w:rsid w:val="002773A2"/>
    <w:pPr>
      <w:ind w:left="720" w:hanging="720"/>
      <w:outlineLvl w:val="2"/>
    </w:pPr>
    <w:rPr>
      <w:rFonts w:ascii="Arial" w:hAnsi="Arial"/>
      <w:b/>
      <w14:ligatures w14:val="standardContextual"/>
    </w:rPr>
  </w:style>
  <w:style w:type="paragraph" w:customStyle="1" w:styleId="H41">
    <w:name w:val="H41"/>
    <w:basedOn w:val="Normal"/>
    <w:next w:val="Normal"/>
    <w:unhideWhenUsed/>
    <w:qFormat/>
    <w:rsid w:val="002773A2"/>
    <w:pPr>
      <w:keepNext/>
      <w:keepLines/>
      <w:ind w:left="864" w:hanging="864"/>
      <w:outlineLvl w:val="3"/>
    </w:pPr>
    <w:rPr>
      <w:rFonts w:ascii="Arial" w:hAnsi="Arial"/>
      <w:b/>
      <w:iCs/>
      <w:color w:val="000000"/>
      <w14:ligatures w14:val="standardContextual"/>
    </w:rPr>
  </w:style>
  <w:style w:type="paragraph" w:customStyle="1" w:styleId="GKM61">
    <w:name w:val="GKM 61"/>
    <w:basedOn w:val="Normal"/>
    <w:next w:val="Normal"/>
    <w:unhideWhenUsed/>
    <w:rsid w:val="002773A2"/>
    <w:pPr>
      <w:keepNext/>
      <w:keepLines/>
      <w:spacing w:before="40"/>
      <w:ind w:left="1152" w:hanging="1152"/>
      <w:outlineLvl w:val="5"/>
    </w:pPr>
    <w:rPr>
      <w:rFonts w:ascii="Calibri Light" w:hAnsi="Calibri Light"/>
      <w:color w:val="6E6E6E"/>
      <w14:ligatures w14:val="standardContextual"/>
    </w:rPr>
  </w:style>
  <w:style w:type="paragraph" w:customStyle="1" w:styleId="thirdheading1">
    <w:name w:val="third heading1"/>
    <w:basedOn w:val="Normal"/>
    <w:next w:val="Normal"/>
    <w:unhideWhenUsed/>
    <w:rsid w:val="002773A2"/>
    <w:pPr>
      <w:keepNext/>
      <w:keepLines/>
      <w:spacing w:before="40"/>
      <w:ind w:left="1296" w:hanging="1296"/>
      <w:outlineLvl w:val="6"/>
    </w:pPr>
    <w:rPr>
      <w:rFonts w:ascii="Calibri Light" w:hAnsi="Calibri Light"/>
      <w:i/>
      <w:iCs/>
      <w:color w:val="6E6E6E"/>
      <w14:ligatures w14:val="standardContextual"/>
    </w:rPr>
  </w:style>
  <w:style w:type="paragraph" w:customStyle="1" w:styleId="secondheading1">
    <w:name w:val="second heading1"/>
    <w:basedOn w:val="Normal"/>
    <w:next w:val="Normal"/>
    <w:unhideWhenUsed/>
    <w:rsid w:val="002773A2"/>
    <w:pPr>
      <w:keepNext/>
      <w:keepLines/>
      <w:spacing w:before="40"/>
      <w:ind w:left="1440" w:hanging="1440"/>
      <w:outlineLvl w:val="7"/>
    </w:pPr>
    <w:rPr>
      <w:rFonts w:ascii="Calibri Light" w:hAnsi="Calibri Light"/>
      <w:color w:val="272727"/>
      <w:sz w:val="21"/>
      <w:szCs w:val="21"/>
      <w14:ligatures w14:val="standardContextual"/>
    </w:rPr>
  </w:style>
  <w:style w:type="paragraph" w:customStyle="1" w:styleId="Heading91">
    <w:name w:val="Heading 91"/>
    <w:basedOn w:val="Normal"/>
    <w:next w:val="Normal"/>
    <w:unhideWhenUsed/>
    <w:rsid w:val="002773A2"/>
    <w:pPr>
      <w:keepNext/>
      <w:keepLines/>
      <w:spacing w:before="40"/>
      <w:ind w:left="1584" w:hanging="1584"/>
      <w:outlineLvl w:val="8"/>
    </w:pPr>
    <w:rPr>
      <w:rFonts w:ascii="Calibri Light" w:hAnsi="Calibri Light"/>
      <w:i/>
      <w:iCs/>
      <w:color w:val="272727"/>
      <w:sz w:val="21"/>
      <w:szCs w:val="21"/>
      <w14:ligatures w14:val="standardContextual"/>
    </w:rPr>
  </w:style>
  <w:style w:type="numbering" w:customStyle="1" w:styleId="NoList1">
    <w:name w:val="No List1"/>
    <w:next w:val="NoList"/>
    <w:uiPriority w:val="99"/>
    <w:semiHidden/>
    <w:unhideWhenUsed/>
    <w:rsid w:val="002773A2"/>
  </w:style>
  <w:style w:type="paragraph" w:customStyle="1" w:styleId="BalloonText1">
    <w:name w:val="Balloon Text1"/>
    <w:basedOn w:val="Normal"/>
    <w:next w:val="BalloonText"/>
    <w:semiHidden/>
    <w:unhideWhenUsed/>
    <w:rsid w:val="002773A2"/>
    <w:rPr>
      <w:rFonts w:ascii="Arial" w:hAnsi="Arial"/>
      <w:kern w:val="2"/>
      <w:sz w:val="18"/>
      <w:szCs w:val="18"/>
      <w:lang w:val="en-US"/>
      <w14:ligatures w14:val="standardContextual"/>
    </w:rPr>
  </w:style>
  <w:style w:type="paragraph" w:customStyle="1" w:styleId="ListParagraph1">
    <w:name w:val="List Paragraph1"/>
    <w:basedOn w:val="Normal"/>
    <w:next w:val="ListParagraph"/>
    <w:uiPriority w:val="34"/>
    <w:qFormat/>
    <w:rsid w:val="002773A2"/>
    <w:pPr>
      <w:ind w:left="720"/>
      <w:contextualSpacing/>
    </w:pPr>
    <w:rPr>
      <w:rFonts w:ascii="Arial" w:hAnsi="Arial"/>
      <w14:ligatures w14:val="standardContextual"/>
    </w:rPr>
  </w:style>
  <w:style w:type="paragraph" w:customStyle="1" w:styleId="Header1">
    <w:name w:val="Header1"/>
    <w:basedOn w:val="Normal"/>
    <w:next w:val="Header"/>
    <w:uiPriority w:val="99"/>
    <w:unhideWhenUsed/>
    <w:rsid w:val="002773A2"/>
    <w:pPr>
      <w:tabs>
        <w:tab w:val="center" w:pos="4513"/>
        <w:tab w:val="right" w:pos="9026"/>
      </w:tabs>
    </w:pPr>
    <w:rPr>
      <w:rFonts w:ascii="Arial" w:hAnsi="Arial"/>
      <w:kern w:val="2"/>
      <w:sz w:val="22"/>
      <w:szCs w:val="22"/>
      <w:lang w:val="en-US"/>
      <w14:ligatures w14:val="standardContextual"/>
    </w:rPr>
  </w:style>
  <w:style w:type="paragraph" w:customStyle="1" w:styleId="Footer1">
    <w:name w:val="Footer1"/>
    <w:basedOn w:val="Normal"/>
    <w:next w:val="Footer"/>
    <w:uiPriority w:val="99"/>
    <w:unhideWhenUsed/>
    <w:qFormat/>
    <w:rsid w:val="002773A2"/>
    <w:pPr>
      <w:tabs>
        <w:tab w:val="center" w:pos="4513"/>
        <w:tab w:val="right" w:pos="9026"/>
      </w:tabs>
    </w:pPr>
    <w:rPr>
      <w:rFonts w:ascii="Arial" w:hAnsi="Arial"/>
      <w:kern w:val="2"/>
      <w:sz w:val="22"/>
      <w:szCs w:val="22"/>
      <w:lang w:val="en-US"/>
      <w14:ligatures w14:val="standardContextual"/>
    </w:rPr>
  </w:style>
  <w:style w:type="paragraph" w:customStyle="1" w:styleId="DocumentMap1">
    <w:name w:val="Document Map1"/>
    <w:basedOn w:val="Normal"/>
    <w:next w:val="DocumentMap"/>
    <w:semiHidden/>
    <w:unhideWhenUsed/>
    <w:rsid w:val="002773A2"/>
    <w:rPr>
      <w:rFonts w:ascii="Arial" w:hAnsi="Arial"/>
      <w:kern w:val="2"/>
      <w:sz w:val="22"/>
      <w:szCs w:val="22"/>
      <w:lang w:val="en-US"/>
      <w14:ligatures w14:val="standardContextual"/>
    </w:rPr>
  </w:style>
  <w:style w:type="paragraph" w:customStyle="1" w:styleId="CommentText1">
    <w:name w:val="Comment Text1"/>
    <w:basedOn w:val="Normal"/>
    <w:next w:val="CommentText"/>
    <w:uiPriority w:val="99"/>
    <w:unhideWhenUsed/>
    <w:rsid w:val="002773A2"/>
    <w:rPr>
      <w:rFonts w:ascii="Arial" w:eastAsia="Calibri" w:hAnsi="Arial" w:cs="Arial"/>
      <w:kern w:val="2"/>
      <w:sz w:val="22"/>
      <w:szCs w:val="22"/>
      <w:lang w:val="en-US"/>
      <w14:ligatures w14:val="standardContextual"/>
    </w:rPr>
  </w:style>
  <w:style w:type="character" w:customStyle="1" w:styleId="CommentTextChar1">
    <w:name w:val="Comment Text Char1"/>
    <w:basedOn w:val="DefaultParagraphFont"/>
    <w:uiPriority w:val="99"/>
    <w:rsid w:val="002773A2"/>
    <w:rPr>
      <w:rFonts w:ascii="Arial" w:hAnsi="Arial" w:cs="Times New Roman"/>
      <w:kern w:val="0"/>
      <w:sz w:val="20"/>
      <w:szCs w:val="20"/>
      <w:lang w:val="en-GB" w:eastAsia="en-GB"/>
    </w:rPr>
  </w:style>
  <w:style w:type="paragraph" w:customStyle="1" w:styleId="onepointfive1">
    <w:name w:val="one point five1"/>
    <w:next w:val="NoSpacing"/>
    <w:uiPriority w:val="1"/>
    <w:qFormat/>
    <w:rsid w:val="002773A2"/>
    <w:pPr>
      <w:spacing w:line="360" w:lineRule="auto"/>
      <w:jc w:val="both"/>
    </w:pPr>
    <w:rPr>
      <w:rFonts w:ascii="Arial" w:eastAsia="Calibri" w:hAnsi="Arial"/>
      <w14:ligatures w14:val="standardContextual"/>
    </w:rPr>
  </w:style>
  <w:style w:type="character" w:customStyle="1" w:styleId="Hyperlink1">
    <w:name w:val="Hyperlink1"/>
    <w:basedOn w:val="DefaultParagraphFont"/>
    <w:uiPriority w:val="99"/>
    <w:unhideWhenUsed/>
    <w:rsid w:val="002773A2"/>
    <w:rPr>
      <w:color w:val="5F5F5F"/>
      <w:u w:val="single"/>
    </w:rPr>
  </w:style>
  <w:style w:type="paragraph" w:customStyle="1" w:styleId="TableofFigures1">
    <w:name w:val="Table of Figures1"/>
    <w:basedOn w:val="Normal"/>
    <w:next w:val="Normal"/>
    <w:uiPriority w:val="99"/>
    <w:unhideWhenUsed/>
    <w:rsid w:val="002773A2"/>
    <w:pPr>
      <w:ind w:left="480" w:hanging="480"/>
    </w:pPr>
    <w:rPr>
      <w:rFonts w:ascii="Arial" w:hAnsi="Arial" w:cs="Calibri"/>
      <w:szCs w:val="20"/>
      <w14:ligatures w14:val="standardContextual"/>
    </w:rPr>
  </w:style>
  <w:style w:type="paragraph" w:customStyle="1" w:styleId="TOC41">
    <w:name w:val="TOC 41"/>
    <w:basedOn w:val="Normal"/>
    <w:next w:val="Normal"/>
    <w:autoRedefine/>
    <w:uiPriority w:val="39"/>
    <w:unhideWhenUsed/>
    <w:rsid w:val="002773A2"/>
    <w:pPr>
      <w:ind w:left="720"/>
    </w:pPr>
    <w:rPr>
      <w:rFonts w:ascii="Calibri" w:hAnsi="Calibri" w:cs="Calibri"/>
      <w:sz w:val="18"/>
      <w:szCs w:val="21"/>
      <w14:ligatures w14:val="standardContextual"/>
    </w:rPr>
  </w:style>
  <w:style w:type="paragraph" w:customStyle="1" w:styleId="TOC51">
    <w:name w:val="TOC 51"/>
    <w:basedOn w:val="Normal"/>
    <w:next w:val="Normal"/>
    <w:autoRedefine/>
    <w:uiPriority w:val="39"/>
    <w:unhideWhenUsed/>
    <w:rsid w:val="002773A2"/>
    <w:pPr>
      <w:ind w:left="960"/>
    </w:pPr>
    <w:rPr>
      <w:rFonts w:ascii="Calibri" w:hAnsi="Calibri" w:cs="Calibri"/>
      <w:sz w:val="18"/>
      <w:szCs w:val="21"/>
      <w14:ligatures w14:val="standardContextual"/>
    </w:rPr>
  </w:style>
  <w:style w:type="paragraph" w:customStyle="1" w:styleId="TOC61">
    <w:name w:val="TOC 61"/>
    <w:basedOn w:val="Normal"/>
    <w:next w:val="Normal"/>
    <w:autoRedefine/>
    <w:uiPriority w:val="39"/>
    <w:unhideWhenUsed/>
    <w:rsid w:val="002773A2"/>
    <w:pPr>
      <w:ind w:left="1200"/>
    </w:pPr>
    <w:rPr>
      <w:rFonts w:ascii="Calibri" w:hAnsi="Calibri" w:cs="Calibri"/>
      <w:sz w:val="18"/>
      <w:szCs w:val="21"/>
      <w14:ligatures w14:val="standardContextual"/>
    </w:rPr>
  </w:style>
  <w:style w:type="paragraph" w:customStyle="1" w:styleId="TOC71">
    <w:name w:val="TOC 71"/>
    <w:basedOn w:val="Normal"/>
    <w:next w:val="Normal"/>
    <w:autoRedefine/>
    <w:uiPriority w:val="39"/>
    <w:unhideWhenUsed/>
    <w:rsid w:val="002773A2"/>
    <w:pPr>
      <w:ind w:left="1440"/>
    </w:pPr>
    <w:rPr>
      <w:rFonts w:ascii="Calibri" w:hAnsi="Calibri" w:cs="Calibri"/>
      <w:sz w:val="18"/>
      <w:szCs w:val="21"/>
      <w14:ligatures w14:val="standardContextual"/>
    </w:rPr>
  </w:style>
  <w:style w:type="paragraph" w:customStyle="1" w:styleId="TOC81">
    <w:name w:val="TOC 81"/>
    <w:basedOn w:val="Normal"/>
    <w:next w:val="Normal"/>
    <w:autoRedefine/>
    <w:uiPriority w:val="39"/>
    <w:unhideWhenUsed/>
    <w:rsid w:val="002773A2"/>
    <w:pPr>
      <w:ind w:left="1680"/>
    </w:pPr>
    <w:rPr>
      <w:rFonts w:ascii="Calibri" w:hAnsi="Calibri" w:cs="Calibri"/>
      <w:sz w:val="18"/>
      <w:szCs w:val="21"/>
      <w14:ligatures w14:val="standardContextual"/>
    </w:rPr>
  </w:style>
  <w:style w:type="paragraph" w:customStyle="1" w:styleId="NormalWeb1">
    <w:name w:val="Normal (Web)1"/>
    <w:basedOn w:val="Normal"/>
    <w:next w:val="NormalWeb"/>
    <w:uiPriority w:val="99"/>
    <w:unhideWhenUsed/>
    <w:rsid w:val="002773A2"/>
    <w:pPr>
      <w:spacing w:before="100" w:beforeAutospacing="1" w:after="100" w:afterAutospacing="1"/>
    </w:pPr>
    <w:rPr>
      <w:rFonts w:ascii="Arial" w:hAnsi="Arial"/>
      <w:kern w:val="2"/>
      <w:sz w:val="22"/>
      <w:szCs w:val="22"/>
      <w:lang w:val="en-US"/>
      <w14:ligatures w14:val="standardContextual"/>
    </w:rPr>
  </w:style>
  <w:style w:type="paragraph" w:customStyle="1" w:styleId="BodyText1">
    <w:name w:val="Body Text1"/>
    <w:basedOn w:val="Normal"/>
    <w:next w:val="BodyText"/>
    <w:uiPriority w:val="99"/>
    <w:rsid w:val="002773A2"/>
    <w:pPr>
      <w:tabs>
        <w:tab w:val="left" w:pos="992"/>
      </w:tabs>
      <w:spacing w:line="300" w:lineRule="exact"/>
    </w:pPr>
    <w:rPr>
      <w:rFonts w:ascii="Arial" w:hAnsi="Arial"/>
      <w:kern w:val="2"/>
      <w:sz w:val="22"/>
      <w:szCs w:val="22"/>
      <w:lang w:val="nb-NO" w:eastAsia="nb-NO"/>
      <w14:ligatures w14:val="standardContextual"/>
    </w:rPr>
  </w:style>
  <w:style w:type="paragraph" w:customStyle="1" w:styleId="Title1">
    <w:name w:val="Title1"/>
    <w:basedOn w:val="Normal"/>
    <w:next w:val="Normal"/>
    <w:uiPriority w:val="10"/>
    <w:qFormat/>
    <w:rsid w:val="002773A2"/>
    <w:pPr>
      <w:contextualSpacing/>
      <w:jc w:val="center"/>
    </w:pPr>
    <w:rPr>
      <w:rFonts w:ascii="Arial" w:eastAsia="MS Gothic" w:hAnsi="Arial"/>
      <w:spacing w:val="-10"/>
      <w:kern w:val="28"/>
      <w:sz w:val="36"/>
      <w:szCs w:val="56"/>
      <w:lang w:val="nb-NO"/>
      <w14:ligatures w14:val="standardContextual"/>
    </w:rPr>
  </w:style>
  <w:style w:type="paragraph" w:customStyle="1" w:styleId="TOCHeading1">
    <w:name w:val="TOC Heading1"/>
    <w:basedOn w:val="Heading1"/>
    <w:next w:val="Normal"/>
    <w:uiPriority w:val="39"/>
    <w:unhideWhenUsed/>
    <w:qFormat/>
    <w:rsid w:val="002773A2"/>
    <w:pPr>
      <w:numPr>
        <w:numId w:val="0"/>
      </w:numPr>
      <w:spacing w:before="480" w:after="240"/>
    </w:pPr>
    <w:rPr>
      <w:rFonts w:ascii="Arial" w:eastAsia="Times New Roman" w:hAnsi="Arial"/>
      <w:color w:val="000000"/>
      <w:kern w:val="2"/>
      <w:lang w:val="en-US"/>
      <w14:ligatures w14:val="standardContextual"/>
    </w:rPr>
  </w:style>
  <w:style w:type="table" w:customStyle="1" w:styleId="PlainTable22">
    <w:name w:val="Plain Table 22"/>
    <w:basedOn w:val="TableNormal"/>
    <w:next w:val="PlainTable2"/>
    <w:uiPriority w:val="42"/>
    <w:rsid w:val="002773A2"/>
    <w:rPr>
      <w:rFonts w:eastAsia="Calibri"/>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ollowedHyperlink1">
    <w:name w:val="FollowedHyperlink1"/>
    <w:basedOn w:val="DefaultParagraphFont"/>
    <w:uiPriority w:val="99"/>
    <w:unhideWhenUsed/>
    <w:rsid w:val="002773A2"/>
    <w:rPr>
      <w:color w:val="919191"/>
      <w:u w:val="single"/>
    </w:rPr>
  </w:style>
  <w:style w:type="paragraph" w:customStyle="1" w:styleId="EndnoteText1">
    <w:name w:val="Endnote Text1"/>
    <w:basedOn w:val="Normal"/>
    <w:next w:val="EndnoteText"/>
    <w:uiPriority w:val="99"/>
    <w:semiHidden/>
    <w:unhideWhenUsed/>
    <w:rsid w:val="002773A2"/>
    <w:rPr>
      <w:rFonts w:ascii="Arial" w:hAnsi="Arial"/>
      <w:kern w:val="2"/>
      <w:sz w:val="20"/>
      <w:szCs w:val="20"/>
      <w:lang w:val="en-US"/>
      <w14:ligatures w14:val="standardContextual"/>
    </w:rPr>
  </w:style>
  <w:style w:type="paragraph" w:customStyle="1" w:styleId="Index11">
    <w:name w:val="Index 11"/>
    <w:basedOn w:val="Normal"/>
    <w:next w:val="Normal"/>
    <w:autoRedefine/>
    <w:semiHidden/>
    <w:unhideWhenUsed/>
    <w:rsid w:val="002773A2"/>
    <w:pPr>
      <w:spacing w:after="280"/>
      <w:ind w:left="200" w:hanging="200"/>
    </w:pPr>
    <w:rPr>
      <w:rFonts w:ascii="Arial" w:eastAsia="Calibri" w:hAnsi="Arial" w:cs="Arial"/>
      <w:szCs w:val="22"/>
      <w:lang w:eastAsia="en-US"/>
      <w14:ligatures w14:val="standardContextual"/>
    </w:rPr>
  </w:style>
  <w:style w:type="paragraph" w:customStyle="1" w:styleId="IndexHeading1">
    <w:name w:val="Index Heading1"/>
    <w:basedOn w:val="Normal"/>
    <w:next w:val="Index1"/>
    <w:semiHidden/>
    <w:unhideWhenUsed/>
    <w:rsid w:val="002773A2"/>
    <w:pPr>
      <w:spacing w:after="280"/>
    </w:pPr>
    <w:rPr>
      <w:rFonts w:ascii="Arial" w:eastAsia="Calibri" w:hAnsi="Arial" w:cs="Arial"/>
      <w:szCs w:val="22"/>
      <w:lang w:eastAsia="en-US"/>
      <w14:ligatures w14:val="standardContextual"/>
    </w:rPr>
  </w:style>
  <w:style w:type="paragraph" w:customStyle="1" w:styleId="Subtitle1">
    <w:name w:val="Subtitle1"/>
    <w:basedOn w:val="Normal"/>
    <w:next w:val="Normal"/>
    <w:qFormat/>
    <w:rsid w:val="002773A2"/>
    <w:pPr>
      <w:spacing w:after="280"/>
    </w:pPr>
    <w:rPr>
      <w:rFonts w:ascii="Arial" w:hAnsi="Arial" w:cs="Arial"/>
      <w:sz w:val="20"/>
      <w:szCs w:val="22"/>
      <w:lang w:eastAsia="en-US"/>
      <w14:ligatures w14:val="standardContextual"/>
    </w:rPr>
  </w:style>
  <w:style w:type="paragraph" w:customStyle="1" w:styleId="Bibliography1">
    <w:name w:val="Bibliography1"/>
    <w:basedOn w:val="Normal"/>
    <w:next w:val="Normal"/>
    <w:uiPriority w:val="37"/>
    <w:unhideWhenUsed/>
    <w:rsid w:val="002773A2"/>
    <w:pPr>
      <w:spacing w:after="280"/>
    </w:pPr>
    <w:rPr>
      <w:rFonts w:ascii="Arial" w:eastAsia="Calibri" w:hAnsi="Arial" w:cs="Arial"/>
      <w:szCs w:val="22"/>
      <w:lang w:eastAsia="en-US"/>
      <w14:ligatures w14:val="standardContextual"/>
    </w:rPr>
  </w:style>
  <w:style w:type="character" w:customStyle="1" w:styleId="IntenseEmphasis1">
    <w:name w:val="Intense Emphasis1"/>
    <w:basedOn w:val="DefaultParagraphFont"/>
    <w:uiPriority w:val="21"/>
    <w:qFormat/>
    <w:rsid w:val="002773A2"/>
    <w:rPr>
      <w:i/>
      <w:iCs/>
      <w:color w:val="DDDDDD"/>
    </w:rPr>
  </w:style>
  <w:style w:type="paragraph" w:customStyle="1" w:styleId="Quote1">
    <w:name w:val="Quote1"/>
    <w:basedOn w:val="Normal"/>
    <w:next w:val="Normal"/>
    <w:uiPriority w:val="29"/>
    <w:qFormat/>
    <w:rsid w:val="002773A2"/>
    <w:pPr>
      <w:spacing w:before="200" w:after="160"/>
      <w:ind w:left="864" w:right="864"/>
      <w:jc w:val="center"/>
    </w:pPr>
    <w:rPr>
      <w:rFonts w:ascii="Arial" w:hAnsi="Arial"/>
      <w:i/>
      <w:iCs/>
      <w:color w:val="404040"/>
      <w14:ligatures w14:val="standardContextual"/>
    </w:rPr>
  </w:style>
  <w:style w:type="character" w:customStyle="1" w:styleId="SubtleEmphasis1">
    <w:name w:val="Subtle Emphasis1"/>
    <w:basedOn w:val="DefaultParagraphFont"/>
    <w:uiPriority w:val="19"/>
    <w:qFormat/>
    <w:rsid w:val="002773A2"/>
    <w:rPr>
      <w:rFonts w:ascii="Calibri Light" w:hAnsi="Calibri Light" w:cs="Calibri Light" w:hint="default"/>
      <w:i/>
      <w:iCs/>
      <w:color w:val="auto"/>
      <w:sz w:val="24"/>
    </w:rPr>
  </w:style>
  <w:style w:type="table" w:customStyle="1" w:styleId="PlainTable11">
    <w:name w:val="Plain Table 11"/>
    <w:basedOn w:val="TableNormal"/>
    <w:next w:val="PlainTable1"/>
    <w:uiPriority w:val="41"/>
    <w:rsid w:val="002773A2"/>
    <w:rPr>
      <w:rFonts w:eastAsia="Calibri"/>
      <w:sz w:val="22"/>
      <w:szCs w:val="22"/>
      <w:lang w:val="en-US"/>
      <w14:ligatures w14:val="standardContextual"/>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2773A2"/>
    <w:rPr>
      <w:rFonts w:ascii="Times New Roman" w:eastAsia="Times New Roman" w:hAnsi="Times New Roman" w:cs="Times New Roman"/>
      <w:sz w:val="20"/>
      <w:szCs w:val="20"/>
      <w:lang w:val="en-US"/>
      <w14:ligatures w14:val="standardContextual"/>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ubtleReference1">
    <w:name w:val="Subtle Reference1"/>
    <w:basedOn w:val="DefaultParagraphFont"/>
    <w:uiPriority w:val="31"/>
    <w:qFormat/>
    <w:rsid w:val="002773A2"/>
    <w:rPr>
      <w:smallCaps/>
      <w:color w:val="5A5A5A"/>
    </w:rPr>
  </w:style>
  <w:style w:type="paragraph" w:customStyle="1" w:styleId="IntenseQuote1">
    <w:name w:val="Intense Quote1"/>
    <w:basedOn w:val="Normal"/>
    <w:next w:val="Normal"/>
    <w:uiPriority w:val="30"/>
    <w:qFormat/>
    <w:rsid w:val="002773A2"/>
    <w:pPr>
      <w:pBdr>
        <w:top w:val="single" w:sz="4" w:space="10" w:color="DDDDDD"/>
        <w:bottom w:val="single" w:sz="4" w:space="10" w:color="DDDDDD"/>
      </w:pBdr>
      <w:spacing w:before="360" w:after="360"/>
      <w:ind w:left="864" w:right="864"/>
      <w:jc w:val="center"/>
    </w:pPr>
    <w:rPr>
      <w:rFonts w:ascii="Arial" w:hAnsi="Arial"/>
      <w:i/>
      <w:iCs/>
      <w:color w:val="DDDDDD"/>
      <w14:ligatures w14:val="standardContextual"/>
    </w:rPr>
  </w:style>
  <w:style w:type="character" w:customStyle="1" w:styleId="IntenseReference1">
    <w:name w:val="Intense Reference1"/>
    <w:basedOn w:val="DefaultParagraphFont"/>
    <w:uiPriority w:val="32"/>
    <w:qFormat/>
    <w:rsid w:val="002773A2"/>
    <w:rPr>
      <w:b/>
      <w:bCs/>
      <w:smallCaps/>
      <w:color w:val="DDDDDD"/>
      <w:spacing w:val="5"/>
    </w:rPr>
  </w:style>
  <w:style w:type="paragraph" w:customStyle="1" w:styleId="TOC91">
    <w:name w:val="TOC 91"/>
    <w:basedOn w:val="Normal"/>
    <w:next w:val="Normal"/>
    <w:autoRedefine/>
    <w:uiPriority w:val="39"/>
    <w:rsid w:val="002773A2"/>
    <w:pPr>
      <w:ind w:left="1760"/>
    </w:pPr>
    <w:rPr>
      <w:rFonts w:ascii="Times New Roman" w:eastAsia="Calibri" w:hAnsi="Times New Roman" w:cs="Calibri"/>
      <w:sz w:val="20"/>
      <w:szCs w:val="20"/>
      <w:lang w:eastAsia="en-US"/>
      <w14:ligatures w14:val="standardContextual"/>
    </w:rPr>
  </w:style>
  <w:style w:type="paragraph" w:customStyle="1" w:styleId="xl103">
    <w:name w:val="xl103"/>
    <w:basedOn w:val="Normal"/>
    <w:rsid w:val="002773A2"/>
    <w:pPr>
      <w:pBdr>
        <w:left w:val="single" w:sz="8" w:space="0" w:color="auto"/>
        <w:bottom w:val="single" w:sz="8" w:space="0" w:color="auto"/>
      </w:pBdr>
      <w:spacing w:before="100" w:beforeAutospacing="1" w:after="100" w:afterAutospacing="1" w:line="240" w:lineRule="auto"/>
      <w:jc w:val="center"/>
      <w:textAlignment w:val="center"/>
    </w:pPr>
    <w:rPr>
      <w:rFonts w:ascii="Arial" w:hAnsi="Arial" w:cs="Arial"/>
      <w:b/>
      <w:bCs/>
      <w:sz w:val="20"/>
      <w:szCs w:val="20"/>
      <w14:ligatures w14:val="standardContextual"/>
    </w:rPr>
  </w:style>
  <w:style w:type="paragraph" w:customStyle="1" w:styleId="xl104">
    <w:name w:val="xl104"/>
    <w:basedOn w:val="Normal"/>
    <w:rsid w:val="002773A2"/>
    <w:pPr>
      <w:pBdr>
        <w:left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05">
    <w:name w:val="xl105"/>
    <w:basedOn w:val="Normal"/>
    <w:rsid w:val="002773A2"/>
    <w:pP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06">
    <w:name w:val="xl106"/>
    <w:basedOn w:val="Normal"/>
    <w:rsid w:val="002773A2"/>
    <w:pPr>
      <w:pBdr>
        <w:right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07">
    <w:name w:val="xl107"/>
    <w:basedOn w:val="Normal"/>
    <w:rsid w:val="002773A2"/>
    <w:pPr>
      <w:pBdr>
        <w:left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08">
    <w:name w:val="xl108"/>
    <w:basedOn w:val="Normal"/>
    <w:rsid w:val="002773A2"/>
    <w:pP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09">
    <w:name w:val="xl109"/>
    <w:basedOn w:val="Normal"/>
    <w:rsid w:val="002773A2"/>
    <w:pP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0">
    <w:name w:val="xl110"/>
    <w:basedOn w:val="Normal"/>
    <w:rsid w:val="002773A2"/>
    <w:pPr>
      <w:pBdr>
        <w:left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1">
    <w:name w:val="xl111"/>
    <w:basedOn w:val="Normal"/>
    <w:rsid w:val="002773A2"/>
    <w:pP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2">
    <w:name w:val="xl112"/>
    <w:basedOn w:val="Normal"/>
    <w:rsid w:val="002773A2"/>
    <w:pP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3">
    <w:name w:val="xl113"/>
    <w:basedOn w:val="Normal"/>
    <w:rsid w:val="002773A2"/>
    <w:pP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14">
    <w:name w:val="xl114"/>
    <w:basedOn w:val="Normal"/>
    <w:rsid w:val="002773A2"/>
    <w:pPr>
      <w:pBdr>
        <w:right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5">
    <w:name w:val="xl115"/>
    <w:basedOn w:val="Normal"/>
    <w:rsid w:val="002773A2"/>
    <w:pPr>
      <w:pBdr>
        <w:right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6">
    <w:name w:val="xl116"/>
    <w:basedOn w:val="Normal"/>
    <w:rsid w:val="002773A2"/>
    <w:pP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17">
    <w:name w:val="xl117"/>
    <w:basedOn w:val="Normal"/>
    <w:rsid w:val="002773A2"/>
    <w:pP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18">
    <w:name w:val="xl118"/>
    <w:basedOn w:val="Normal"/>
    <w:rsid w:val="002773A2"/>
    <w:pPr>
      <w:shd w:val="clear" w:color="000000" w:fill="FFFF00"/>
      <w:spacing w:before="100" w:beforeAutospacing="1" w:after="100" w:afterAutospacing="1" w:line="240" w:lineRule="auto"/>
      <w:jc w:val="center"/>
      <w:textAlignment w:val="center"/>
    </w:pPr>
    <w:rPr>
      <w:rFonts w:ascii="Arial" w:hAnsi="Arial" w:cs="Arial"/>
      <w:color w:val="FF0000"/>
      <w:sz w:val="20"/>
      <w:szCs w:val="20"/>
      <w14:ligatures w14:val="standardContextual"/>
    </w:rPr>
  </w:style>
  <w:style w:type="paragraph" w:customStyle="1" w:styleId="xl119">
    <w:name w:val="xl119"/>
    <w:basedOn w:val="Normal"/>
    <w:rsid w:val="002773A2"/>
    <w:pPr>
      <w:pBdr>
        <w:left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0">
    <w:name w:val="xl120"/>
    <w:basedOn w:val="Normal"/>
    <w:rsid w:val="002773A2"/>
    <w:pPr>
      <w:pBdr>
        <w:right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1">
    <w:name w:val="xl121"/>
    <w:basedOn w:val="Normal"/>
    <w:rsid w:val="002773A2"/>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22">
    <w:name w:val="xl122"/>
    <w:basedOn w:val="Normal"/>
    <w:rsid w:val="002773A2"/>
    <w:pPr>
      <w:pBdr>
        <w:bottom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23">
    <w:name w:val="xl123"/>
    <w:basedOn w:val="Normal"/>
    <w:rsid w:val="002773A2"/>
    <w:pPr>
      <w:pBdr>
        <w:bottom w:val="single" w:sz="8" w:space="0" w:color="auto"/>
        <w:right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4">
    <w:name w:val="xl124"/>
    <w:basedOn w:val="Normal"/>
    <w:rsid w:val="002773A2"/>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sz w:val="20"/>
      <w:szCs w:val="20"/>
      <w14:ligatures w14:val="standardContextual"/>
    </w:rPr>
  </w:style>
  <w:style w:type="paragraph" w:customStyle="1" w:styleId="xl125">
    <w:name w:val="xl125"/>
    <w:basedOn w:val="Normal"/>
    <w:rsid w:val="002773A2"/>
    <w:pPr>
      <w:pBdr>
        <w:bottom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6">
    <w:name w:val="xl126"/>
    <w:basedOn w:val="Normal"/>
    <w:rsid w:val="002773A2"/>
    <w:pPr>
      <w:pBdr>
        <w:bottom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7">
    <w:name w:val="xl127"/>
    <w:basedOn w:val="Normal"/>
    <w:rsid w:val="002773A2"/>
    <w:pPr>
      <w:pBdr>
        <w:bottom w:val="single" w:sz="8" w:space="0" w:color="auto"/>
        <w:right w:val="single" w:sz="8" w:space="0" w:color="auto"/>
      </w:pBdr>
      <w:shd w:val="clear" w:color="000000" w:fill="FFFF00"/>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8">
    <w:name w:val="xl128"/>
    <w:basedOn w:val="Normal"/>
    <w:rsid w:val="002773A2"/>
    <w:pPr>
      <w:spacing w:before="100" w:beforeAutospacing="1" w:after="100" w:afterAutospacing="1" w:line="240" w:lineRule="auto"/>
      <w:jc w:val="center"/>
    </w:pPr>
    <w:rPr>
      <w:rFonts w:ascii="Arial" w:hAnsi="Arial" w:cs="Arial"/>
      <w:sz w:val="20"/>
      <w:szCs w:val="20"/>
      <w14:ligatures w14:val="standardContextual"/>
    </w:rPr>
  </w:style>
  <w:style w:type="paragraph" w:customStyle="1" w:styleId="xl129">
    <w:name w:val="xl129"/>
    <w:basedOn w:val="Normal"/>
    <w:rsid w:val="002773A2"/>
    <w:pPr>
      <w:pBdr>
        <w:top w:val="single" w:sz="8" w:space="0" w:color="auto"/>
        <w:left w:val="single" w:sz="8" w:space="0" w:color="auto"/>
      </w:pBdr>
      <w:spacing w:before="100" w:beforeAutospacing="1" w:after="100" w:afterAutospacing="1" w:line="240" w:lineRule="auto"/>
      <w:jc w:val="center"/>
    </w:pPr>
    <w:rPr>
      <w:rFonts w:ascii="Arial" w:hAnsi="Arial" w:cs="Arial"/>
      <w:b/>
      <w:bCs/>
      <w:sz w:val="20"/>
      <w:szCs w:val="20"/>
      <w14:ligatures w14:val="standardContextual"/>
    </w:rPr>
  </w:style>
  <w:style w:type="paragraph" w:customStyle="1" w:styleId="xl130">
    <w:name w:val="xl130"/>
    <w:basedOn w:val="Normal"/>
    <w:rsid w:val="002773A2"/>
    <w:pPr>
      <w:pBdr>
        <w:top w:val="single" w:sz="8" w:space="0" w:color="auto"/>
      </w:pBdr>
      <w:spacing w:before="100" w:beforeAutospacing="1" w:after="100" w:afterAutospacing="1" w:line="240" w:lineRule="auto"/>
      <w:jc w:val="center"/>
    </w:pPr>
    <w:rPr>
      <w:rFonts w:ascii="Arial" w:hAnsi="Arial" w:cs="Arial"/>
      <w:b/>
      <w:bCs/>
      <w:sz w:val="20"/>
      <w:szCs w:val="20"/>
      <w14:ligatures w14:val="standardContextual"/>
    </w:rPr>
  </w:style>
  <w:style w:type="paragraph" w:customStyle="1" w:styleId="xl131">
    <w:name w:val="xl131"/>
    <w:basedOn w:val="Normal"/>
    <w:rsid w:val="002773A2"/>
    <w:pPr>
      <w:pBdr>
        <w:top w:val="single" w:sz="8" w:space="0" w:color="auto"/>
        <w:right w:val="single" w:sz="8" w:space="0" w:color="auto"/>
      </w:pBdr>
      <w:spacing w:before="100" w:beforeAutospacing="1" w:after="100" w:afterAutospacing="1" w:line="240" w:lineRule="auto"/>
      <w:jc w:val="center"/>
    </w:pPr>
    <w:rPr>
      <w:rFonts w:ascii="Arial" w:hAnsi="Arial" w:cs="Arial"/>
      <w:b/>
      <w:bCs/>
      <w:sz w:val="20"/>
      <w:szCs w:val="20"/>
      <w14:ligatures w14:val="standardContextual"/>
    </w:rPr>
  </w:style>
  <w:style w:type="character" w:customStyle="1" w:styleId="Heading1Char1">
    <w:name w:val="Heading 1 Char1"/>
    <w:basedOn w:val="DefaultParagraphFont"/>
    <w:uiPriority w:val="9"/>
    <w:rsid w:val="002773A2"/>
    <w:rPr>
      <w:rFonts w:asciiTheme="majorHAnsi" w:eastAsiaTheme="majorEastAsia" w:hAnsiTheme="majorHAnsi" w:cstheme="majorBidi"/>
      <w:color w:val="A5A5A5" w:themeColor="accent1" w:themeShade="BF"/>
      <w:kern w:val="0"/>
      <w:sz w:val="32"/>
      <w:szCs w:val="32"/>
      <w:lang w:val="en-GB" w:eastAsia="en-GB"/>
    </w:rPr>
  </w:style>
  <w:style w:type="character" w:customStyle="1" w:styleId="Heading2Char2">
    <w:name w:val="Heading 2 Char2"/>
    <w:basedOn w:val="DefaultParagraphFont"/>
    <w:uiPriority w:val="9"/>
    <w:semiHidden/>
    <w:rsid w:val="002773A2"/>
    <w:rPr>
      <w:rFonts w:asciiTheme="majorHAnsi" w:eastAsiaTheme="majorEastAsia" w:hAnsiTheme="majorHAnsi" w:cstheme="majorBidi"/>
      <w:color w:val="A5A5A5" w:themeColor="accent1" w:themeShade="BF"/>
      <w:kern w:val="0"/>
      <w:sz w:val="26"/>
      <w:szCs w:val="26"/>
      <w:lang w:val="en-GB" w:eastAsia="en-GB"/>
    </w:rPr>
  </w:style>
  <w:style w:type="character" w:customStyle="1" w:styleId="Heading3Char2">
    <w:name w:val="Heading 3 Char2"/>
    <w:basedOn w:val="DefaultParagraphFont"/>
    <w:uiPriority w:val="9"/>
    <w:semiHidden/>
    <w:rsid w:val="002773A2"/>
    <w:rPr>
      <w:rFonts w:asciiTheme="majorHAnsi" w:eastAsiaTheme="majorEastAsia" w:hAnsiTheme="majorHAnsi" w:cstheme="majorBidi"/>
      <w:color w:val="6E6E6E" w:themeColor="accent1" w:themeShade="7F"/>
      <w:kern w:val="0"/>
      <w:sz w:val="24"/>
      <w:szCs w:val="24"/>
      <w:lang w:val="en-GB" w:eastAsia="en-GB"/>
    </w:rPr>
  </w:style>
  <w:style w:type="character" w:customStyle="1" w:styleId="Heading4Char2">
    <w:name w:val="Heading 4 Char2"/>
    <w:basedOn w:val="DefaultParagraphFont"/>
    <w:uiPriority w:val="9"/>
    <w:semiHidden/>
    <w:rsid w:val="002773A2"/>
    <w:rPr>
      <w:rFonts w:asciiTheme="majorHAnsi" w:eastAsiaTheme="majorEastAsia" w:hAnsiTheme="majorHAnsi" w:cstheme="majorBidi"/>
      <w:i/>
      <w:iCs/>
      <w:color w:val="A5A5A5" w:themeColor="accent1" w:themeShade="BF"/>
      <w:kern w:val="0"/>
      <w:sz w:val="24"/>
      <w:szCs w:val="24"/>
      <w:lang w:val="en-GB" w:eastAsia="en-GB"/>
    </w:rPr>
  </w:style>
  <w:style w:type="character" w:customStyle="1" w:styleId="Heading6Char2">
    <w:name w:val="Heading 6 Char2"/>
    <w:basedOn w:val="DefaultParagraphFont"/>
    <w:uiPriority w:val="9"/>
    <w:semiHidden/>
    <w:rsid w:val="002773A2"/>
    <w:rPr>
      <w:rFonts w:asciiTheme="majorHAnsi" w:eastAsiaTheme="majorEastAsia" w:hAnsiTheme="majorHAnsi" w:cstheme="majorBidi"/>
      <w:color w:val="6E6E6E" w:themeColor="accent1" w:themeShade="7F"/>
      <w:kern w:val="0"/>
      <w:sz w:val="24"/>
      <w:szCs w:val="24"/>
      <w:lang w:val="en-GB" w:eastAsia="en-GB"/>
    </w:rPr>
  </w:style>
  <w:style w:type="character" w:customStyle="1" w:styleId="Heading7Char1">
    <w:name w:val="Heading 7 Char1"/>
    <w:basedOn w:val="DefaultParagraphFont"/>
    <w:uiPriority w:val="9"/>
    <w:semiHidden/>
    <w:rsid w:val="002773A2"/>
    <w:rPr>
      <w:rFonts w:asciiTheme="majorHAnsi" w:eastAsiaTheme="majorEastAsia" w:hAnsiTheme="majorHAnsi" w:cstheme="majorBidi"/>
      <w:i/>
      <w:iCs/>
      <w:color w:val="6E6E6E" w:themeColor="accent1" w:themeShade="7F"/>
      <w:kern w:val="0"/>
      <w:sz w:val="24"/>
      <w:szCs w:val="24"/>
      <w:lang w:val="en-GB" w:eastAsia="en-GB"/>
    </w:rPr>
  </w:style>
  <w:style w:type="character" w:customStyle="1" w:styleId="Heading8Char1">
    <w:name w:val="Heading 8 Char1"/>
    <w:basedOn w:val="DefaultParagraphFont"/>
    <w:uiPriority w:val="9"/>
    <w:semiHidden/>
    <w:rsid w:val="002773A2"/>
    <w:rPr>
      <w:rFonts w:asciiTheme="majorHAnsi" w:eastAsiaTheme="majorEastAsia" w:hAnsiTheme="majorHAnsi" w:cstheme="majorBidi"/>
      <w:color w:val="272727" w:themeColor="text1" w:themeTint="D8"/>
      <w:kern w:val="0"/>
      <w:sz w:val="21"/>
      <w:szCs w:val="21"/>
      <w:lang w:val="en-GB" w:eastAsia="en-GB"/>
    </w:rPr>
  </w:style>
  <w:style w:type="character" w:customStyle="1" w:styleId="Heading9Char1">
    <w:name w:val="Heading 9 Char1"/>
    <w:basedOn w:val="DefaultParagraphFont"/>
    <w:uiPriority w:val="9"/>
    <w:semiHidden/>
    <w:rsid w:val="002773A2"/>
    <w:rPr>
      <w:rFonts w:asciiTheme="majorHAnsi" w:eastAsiaTheme="majorEastAsia" w:hAnsiTheme="majorHAnsi" w:cstheme="majorBidi"/>
      <w:i/>
      <w:iCs/>
      <w:color w:val="272727" w:themeColor="text1" w:themeTint="D8"/>
      <w:kern w:val="0"/>
      <w:sz w:val="21"/>
      <w:szCs w:val="21"/>
      <w:lang w:val="en-GB" w:eastAsia="en-GB"/>
    </w:rPr>
  </w:style>
  <w:style w:type="character" w:customStyle="1" w:styleId="BalloonTextChar1">
    <w:name w:val="Balloon Text Char1"/>
    <w:basedOn w:val="DefaultParagraphFont"/>
    <w:uiPriority w:val="99"/>
    <w:semiHidden/>
    <w:rsid w:val="002773A2"/>
    <w:rPr>
      <w:rFonts w:ascii="Segoe UI" w:hAnsi="Segoe UI" w:cs="Segoe UI"/>
      <w:kern w:val="0"/>
      <w:sz w:val="18"/>
      <w:szCs w:val="18"/>
      <w:lang w:val="en-GB" w:eastAsia="en-GB"/>
    </w:rPr>
  </w:style>
  <w:style w:type="character" w:customStyle="1" w:styleId="HeaderChar1">
    <w:name w:val="Header Char1"/>
    <w:basedOn w:val="DefaultParagraphFont"/>
    <w:uiPriority w:val="99"/>
    <w:rsid w:val="002773A2"/>
    <w:rPr>
      <w:rFonts w:ascii="Arial" w:hAnsi="Arial" w:cs="Times New Roman"/>
      <w:kern w:val="0"/>
      <w:sz w:val="24"/>
      <w:szCs w:val="24"/>
      <w:lang w:val="en-GB" w:eastAsia="en-GB"/>
    </w:rPr>
  </w:style>
  <w:style w:type="character" w:customStyle="1" w:styleId="FooterChar1">
    <w:name w:val="Footer Char1"/>
    <w:basedOn w:val="DefaultParagraphFont"/>
    <w:uiPriority w:val="99"/>
    <w:rsid w:val="002773A2"/>
    <w:rPr>
      <w:rFonts w:ascii="Arial" w:hAnsi="Arial" w:cs="Times New Roman"/>
      <w:kern w:val="0"/>
      <w:sz w:val="24"/>
      <w:szCs w:val="24"/>
      <w:lang w:val="en-GB" w:eastAsia="en-GB"/>
    </w:rPr>
  </w:style>
  <w:style w:type="character" w:customStyle="1" w:styleId="DocumentMapChar1">
    <w:name w:val="Document Map Char1"/>
    <w:basedOn w:val="DefaultParagraphFont"/>
    <w:uiPriority w:val="99"/>
    <w:semiHidden/>
    <w:rsid w:val="002773A2"/>
    <w:rPr>
      <w:rFonts w:ascii="Segoe UI" w:hAnsi="Segoe UI" w:cs="Segoe UI"/>
      <w:kern w:val="0"/>
      <w:sz w:val="16"/>
      <w:szCs w:val="16"/>
      <w:lang w:val="en-GB" w:eastAsia="en-GB"/>
    </w:rPr>
  </w:style>
  <w:style w:type="character" w:customStyle="1" w:styleId="BodyTextChar1">
    <w:name w:val="Body Text Char1"/>
    <w:basedOn w:val="DefaultParagraphFont"/>
    <w:uiPriority w:val="99"/>
    <w:semiHidden/>
    <w:rsid w:val="002773A2"/>
    <w:rPr>
      <w:rFonts w:ascii="Arial" w:hAnsi="Arial" w:cs="Times New Roman"/>
      <w:kern w:val="0"/>
      <w:sz w:val="24"/>
      <w:szCs w:val="24"/>
      <w:lang w:val="en-GB" w:eastAsia="en-GB"/>
    </w:rPr>
  </w:style>
  <w:style w:type="character" w:customStyle="1" w:styleId="TitleChar1">
    <w:name w:val="Title Char1"/>
    <w:basedOn w:val="DefaultParagraphFont"/>
    <w:uiPriority w:val="10"/>
    <w:rsid w:val="002773A2"/>
    <w:rPr>
      <w:rFonts w:asciiTheme="majorHAnsi" w:eastAsiaTheme="majorEastAsia" w:hAnsiTheme="majorHAnsi" w:cstheme="majorBidi"/>
      <w:spacing w:val="-10"/>
      <w:kern w:val="28"/>
      <w:sz w:val="56"/>
      <w:szCs w:val="56"/>
      <w:lang w:val="en-GB" w:eastAsia="en-GB"/>
    </w:rPr>
  </w:style>
  <w:style w:type="character" w:customStyle="1" w:styleId="EndnoteTextChar1">
    <w:name w:val="Endnote Text Char1"/>
    <w:basedOn w:val="DefaultParagraphFont"/>
    <w:uiPriority w:val="99"/>
    <w:semiHidden/>
    <w:rsid w:val="002773A2"/>
    <w:rPr>
      <w:rFonts w:ascii="Arial" w:hAnsi="Arial" w:cs="Times New Roman"/>
      <w:kern w:val="0"/>
      <w:sz w:val="20"/>
      <w:szCs w:val="20"/>
      <w:lang w:val="en-GB" w:eastAsia="en-GB"/>
    </w:rPr>
  </w:style>
  <w:style w:type="character" w:customStyle="1" w:styleId="SubtitleChar1">
    <w:name w:val="Subtitle Char1"/>
    <w:basedOn w:val="DefaultParagraphFont"/>
    <w:uiPriority w:val="11"/>
    <w:rsid w:val="002773A2"/>
    <w:rPr>
      <w:rFonts w:eastAsiaTheme="minorEastAsia"/>
      <w:color w:val="5A5A5A" w:themeColor="text1" w:themeTint="A5"/>
      <w:spacing w:val="15"/>
      <w:kern w:val="0"/>
      <w:lang w:val="en-GB" w:eastAsia="en-GB"/>
    </w:rPr>
  </w:style>
  <w:style w:type="character" w:customStyle="1" w:styleId="QuoteChar1">
    <w:name w:val="Quote Char1"/>
    <w:basedOn w:val="DefaultParagraphFont"/>
    <w:uiPriority w:val="29"/>
    <w:rsid w:val="002773A2"/>
    <w:rPr>
      <w:rFonts w:ascii="Arial" w:hAnsi="Arial" w:cs="Times New Roman"/>
      <w:i/>
      <w:iCs/>
      <w:color w:val="404040" w:themeColor="text1" w:themeTint="BF"/>
      <w:kern w:val="0"/>
      <w:sz w:val="24"/>
      <w:szCs w:val="24"/>
      <w:lang w:val="en-GB" w:eastAsia="en-GB"/>
    </w:rPr>
  </w:style>
  <w:style w:type="character" w:customStyle="1" w:styleId="IntenseQuoteChar1">
    <w:name w:val="Intense Quote Char1"/>
    <w:basedOn w:val="DefaultParagraphFont"/>
    <w:uiPriority w:val="30"/>
    <w:rsid w:val="002773A2"/>
    <w:rPr>
      <w:rFonts w:ascii="Arial" w:hAnsi="Arial" w:cs="Times New Roman"/>
      <w:i/>
      <w:iCs/>
      <w:color w:val="DDDDDD" w:themeColor="accent1"/>
      <w:kern w:val="0"/>
      <w:sz w:val="24"/>
      <w:szCs w:val="24"/>
      <w:lang w:val="en-GB" w:eastAsia="en-GB"/>
    </w:rPr>
  </w:style>
  <w:style w:type="table" w:customStyle="1" w:styleId="TableGrid2">
    <w:name w:val="Table Grid2"/>
    <w:basedOn w:val="TableNormal"/>
    <w:next w:val="TableGrid"/>
    <w:uiPriority w:val="39"/>
    <w:rsid w:val="00A60CB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A60CBB"/>
    <w:rPr>
      <w:rFonts w:ascii="Times New Roman" w:eastAsia="Times New Roman" w:hAnsi="Times New Roman" w:cs="Times New Roman"/>
      <w:sz w:val="20"/>
      <w:szCs w:val="20"/>
      <w:lang w:val="en-US"/>
      <w14:ligatures w14:val="standardContextual"/>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Headings1">
    <w:name w:val="Headings1"/>
    <w:uiPriority w:val="99"/>
    <w:rsid w:val="006A0363"/>
  </w:style>
  <w:style w:type="numbering" w:customStyle="1" w:styleId="Heading10">
    <w:name w:val="Heading1"/>
    <w:uiPriority w:val="99"/>
    <w:rsid w:val="006A0363"/>
  </w:style>
  <w:style w:type="numbering" w:customStyle="1" w:styleId="Chapter61">
    <w:name w:val="Chapter 61"/>
    <w:uiPriority w:val="99"/>
    <w:rsid w:val="006A0363"/>
  </w:style>
  <w:style w:type="numbering" w:customStyle="1" w:styleId="thesischapters1">
    <w:name w:val="thesis_chapters1"/>
    <w:uiPriority w:val="99"/>
    <w:rsid w:val="006A0363"/>
  </w:style>
  <w:style w:type="numbering" w:customStyle="1" w:styleId="NumberedHeadingList1">
    <w:name w:val="Numbered Heading List1"/>
    <w:uiPriority w:val="99"/>
    <w:rsid w:val="006A0363"/>
  </w:style>
  <w:style w:type="table" w:customStyle="1" w:styleId="PlainTable211">
    <w:name w:val="Plain Table 211"/>
    <w:basedOn w:val="TableNormal"/>
    <w:uiPriority w:val="42"/>
    <w:rsid w:val="006A0363"/>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2">
    <w:name w:val="No List2"/>
    <w:next w:val="NoList"/>
    <w:uiPriority w:val="99"/>
    <w:semiHidden/>
    <w:unhideWhenUsed/>
    <w:rsid w:val="00DA6475"/>
  </w:style>
  <w:style w:type="table" w:customStyle="1" w:styleId="TableGrid3">
    <w:name w:val="Table Grid3"/>
    <w:basedOn w:val="TableNormal"/>
    <w:next w:val="TableGrid"/>
    <w:uiPriority w:val="39"/>
    <w:rsid w:val="00DA6475"/>
    <w:pPr>
      <w:jc w:val="center"/>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TableGridLight3">
    <w:name w:val="Table Grid Light3"/>
    <w:basedOn w:val="TableNormal"/>
    <w:next w:val="TableGridLight"/>
    <w:uiPriority w:val="40"/>
    <w:rsid w:val="00DA6475"/>
    <w:rPr>
      <w:rFonts w:eastAsia="Times New Roman"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DA6475"/>
    <w:rPr>
      <w:sz w:val="22"/>
      <w:szCs w:val="22"/>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3">
    <w:name w:val="Plain Table 23"/>
    <w:basedOn w:val="TableNormal"/>
    <w:next w:val="PlainTable2"/>
    <w:uiPriority w:val="42"/>
    <w:rsid w:val="00DA6475"/>
    <w:rPr>
      <w:kern w:val="2"/>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ark9lzz1d3ab">
    <w:name w:val="mark9lzz1d3ab"/>
    <w:basedOn w:val="DefaultParagraphFont"/>
    <w:rsid w:val="00AB6DEF"/>
  </w:style>
  <w:style w:type="character" w:customStyle="1" w:styleId="marke0m4e50ny">
    <w:name w:val="marke0m4e50ny"/>
    <w:basedOn w:val="DefaultParagraphFont"/>
    <w:rsid w:val="00AB6DEF"/>
  </w:style>
  <w:style w:type="character" w:customStyle="1" w:styleId="relative">
    <w:name w:val="relative"/>
    <w:basedOn w:val="DefaultParagraphFont"/>
    <w:rsid w:val="00634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6018">
      <w:bodyDiv w:val="1"/>
      <w:marLeft w:val="0"/>
      <w:marRight w:val="0"/>
      <w:marTop w:val="0"/>
      <w:marBottom w:val="0"/>
      <w:divBdr>
        <w:top w:val="none" w:sz="0" w:space="0" w:color="auto"/>
        <w:left w:val="none" w:sz="0" w:space="0" w:color="auto"/>
        <w:bottom w:val="none" w:sz="0" w:space="0" w:color="auto"/>
        <w:right w:val="none" w:sz="0" w:space="0" w:color="auto"/>
      </w:divBdr>
    </w:div>
    <w:div w:id="32121331">
      <w:bodyDiv w:val="1"/>
      <w:marLeft w:val="0"/>
      <w:marRight w:val="0"/>
      <w:marTop w:val="0"/>
      <w:marBottom w:val="0"/>
      <w:divBdr>
        <w:top w:val="none" w:sz="0" w:space="0" w:color="auto"/>
        <w:left w:val="none" w:sz="0" w:space="0" w:color="auto"/>
        <w:bottom w:val="none" w:sz="0" w:space="0" w:color="auto"/>
        <w:right w:val="none" w:sz="0" w:space="0" w:color="auto"/>
      </w:divBdr>
    </w:div>
    <w:div w:id="33652630">
      <w:bodyDiv w:val="1"/>
      <w:marLeft w:val="0"/>
      <w:marRight w:val="0"/>
      <w:marTop w:val="0"/>
      <w:marBottom w:val="0"/>
      <w:divBdr>
        <w:top w:val="none" w:sz="0" w:space="0" w:color="auto"/>
        <w:left w:val="none" w:sz="0" w:space="0" w:color="auto"/>
        <w:bottom w:val="none" w:sz="0" w:space="0" w:color="auto"/>
        <w:right w:val="none" w:sz="0" w:space="0" w:color="auto"/>
      </w:divBdr>
    </w:div>
    <w:div w:id="37823162">
      <w:bodyDiv w:val="1"/>
      <w:marLeft w:val="0"/>
      <w:marRight w:val="0"/>
      <w:marTop w:val="0"/>
      <w:marBottom w:val="0"/>
      <w:divBdr>
        <w:top w:val="none" w:sz="0" w:space="0" w:color="auto"/>
        <w:left w:val="none" w:sz="0" w:space="0" w:color="auto"/>
        <w:bottom w:val="none" w:sz="0" w:space="0" w:color="auto"/>
        <w:right w:val="none" w:sz="0" w:space="0" w:color="auto"/>
      </w:divBdr>
    </w:div>
    <w:div w:id="69548593">
      <w:bodyDiv w:val="1"/>
      <w:marLeft w:val="0"/>
      <w:marRight w:val="0"/>
      <w:marTop w:val="0"/>
      <w:marBottom w:val="0"/>
      <w:divBdr>
        <w:top w:val="none" w:sz="0" w:space="0" w:color="auto"/>
        <w:left w:val="none" w:sz="0" w:space="0" w:color="auto"/>
        <w:bottom w:val="none" w:sz="0" w:space="0" w:color="auto"/>
        <w:right w:val="none" w:sz="0" w:space="0" w:color="auto"/>
      </w:divBdr>
      <w:divsChild>
        <w:div w:id="278876833">
          <w:marLeft w:val="0"/>
          <w:marRight w:val="0"/>
          <w:marTop w:val="0"/>
          <w:marBottom w:val="0"/>
          <w:divBdr>
            <w:top w:val="none" w:sz="0" w:space="0" w:color="auto"/>
            <w:left w:val="none" w:sz="0" w:space="0" w:color="auto"/>
            <w:bottom w:val="none" w:sz="0" w:space="0" w:color="auto"/>
            <w:right w:val="none" w:sz="0" w:space="0" w:color="auto"/>
          </w:divBdr>
          <w:divsChild>
            <w:div w:id="901453899">
              <w:marLeft w:val="0"/>
              <w:marRight w:val="0"/>
              <w:marTop w:val="0"/>
              <w:marBottom w:val="0"/>
              <w:divBdr>
                <w:top w:val="none" w:sz="0" w:space="0" w:color="auto"/>
                <w:left w:val="none" w:sz="0" w:space="0" w:color="auto"/>
                <w:bottom w:val="none" w:sz="0" w:space="0" w:color="auto"/>
                <w:right w:val="none" w:sz="0" w:space="0" w:color="auto"/>
              </w:divBdr>
              <w:divsChild>
                <w:div w:id="51747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54657">
      <w:bodyDiv w:val="1"/>
      <w:marLeft w:val="0"/>
      <w:marRight w:val="0"/>
      <w:marTop w:val="0"/>
      <w:marBottom w:val="0"/>
      <w:divBdr>
        <w:top w:val="none" w:sz="0" w:space="0" w:color="auto"/>
        <w:left w:val="none" w:sz="0" w:space="0" w:color="auto"/>
        <w:bottom w:val="none" w:sz="0" w:space="0" w:color="auto"/>
        <w:right w:val="none" w:sz="0" w:space="0" w:color="auto"/>
      </w:divBdr>
    </w:div>
    <w:div w:id="102455825">
      <w:bodyDiv w:val="1"/>
      <w:marLeft w:val="0"/>
      <w:marRight w:val="0"/>
      <w:marTop w:val="0"/>
      <w:marBottom w:val="0"/>
      <w:divBdr>
        <w:top w:val="none" w:sz="0" w:space="0" w:color="auto"/>
        <w:left w:val="none" w:sz="0" w:space="0" w:color="auto"/>
        <w:bottom w:val="none" w:sz="0" w:space="0" w:color="auto"/>
        <w:right w:val="none" w:sz="0" w:space="0" w:color="auto"/>
      </w:divBdr>
      <w:divsChild>
        <w:div w:id="415638267">
          <w:marLeft w:val="0"/>
          <w:marRight w:val="0"/>
          <w:marTop w:val="0"/>
          <w:marBottom w:val="0"/>
          <w:divBdr>
            <w:top w:val="none" w:sz="0" w:space="0" w:color="auto"/>
            <w:left w:val="none" w:sz="0" w:space="0" w:color="auto"/>
            <w:bottom w:val="none" w:sz="0" w:space="0" w:color="auto"/>
            <w:right w:val="none" w:sz="0" w:space="0" w:color="auto"/>
          </w:divBdr>
        </w:div>
        <w:div w:id="2144879897">
          <w:marLeft w:val="0"/>
          <w:marRight w:val="0"/>
          <w:marTop w:val="0"/>
          <w:marBottom w:val="0"/>
          <w:divBdr>
            <w:top w:val="single" w:sz="2" w:space="0" w:color="D9D9E3"/>
            <w:left w:val="single" w:sz="2" w:space="0" w:color="D9D9E3"/>
            <w:bottom w:val="single" w:sz="2" w:space="0" w:color="D9D9E3"/>
            <w:right w:val="single" w:sz="2" w:space="0" w:color="D9D9E3"/>
          </w:divBdr>
          <w:divsChild>
            <w:div w:id="907770612">
              <w:marLeft w:val="0"/>
              <w:marRight w:val="0"/>
              <w:marTop w:val="0"/>
              <w:marBottom w:val="0"/>
              <w:divBdr>
                <w:top w:val="single" w:sz="2" w:space="0" w:color="D9D9E3"/>
                <w:left w:val="single" w:sz="2" w:space="0" w:color="D9D9E3"/>
                <w:bottom w:val="single" w:sz="2" w:space="0" w:color="D9D9E3"/>
                <w:right w:val="single" w:sz="2" w:space="0" w:color="D9D9E3"/>
              </w:divBdr>
              <w:divsChild>
                <w:div w:id="142746274">
                  <w:marLeft w:val="0"/>
                  <w:marRight w:val="0"/>
                  <w:marTop w:val="0"/>
                  <w:marBottom w:val="0"/>
                  <w:divBdr>
                    <w:top w:val="single" w:sz="2" w:space="0" w:color="D9D9E3"/>
                    <w:left w:val="single" w:sz="2" w:space="0" w:color="D9D9E3"/>
                    <w:bottom w:val="single" w:sz="2" w:space="0" w:color="D9D9E3"/>
                    <w:right w:val="single" w:sz="2" w:space="0" w:color="D9D9E3"/>
                  </w:divBdr>
                  <w:divsChild>
                    <w:div w:id="1770589462">
                      <w:marLeft w:val="0"/>
                      <w:marRight w:val="0"/>
                      <w:marTop w:val="0"/>
                      <w:marBottom w:val="0"/>
                      <w:divBdr>
                        <w:top w:val="single" w:sz="2" w:space="0" w:color="D9D9E3"/>
                        <w:left w:val="single" w:sz="2" w:space="0" w:color="D9D9E3"/>
                        <w:bottom w:val="single" w:sz="2" w:space="0" w:color="D9D9E3"/>
                        <w:right w:val="single" w:sz="2" w:space="0" w:color="D9D9E3"/>
                      </w:divBdr>
                      <w:divsChild>
                        <w:div w:id="1424373032">
                          <w:marLeft w:val="0"/>
                          <w:marRight w:val="0"/>
                          <w:marTop w:val="0"/>
                          <w:marBottom w:val="0"/>
                          <w:divBdr>
                            <w:top w:val="single" w:sz="2" w:space="0" w:color="D9D9E3"/>
                            <w:left w:val="single" w:sz="2" w:space="0" w:color="D9D9E3"/>
                            <w:bottom w:val="single" w:sz="2" w:space="0" w:color="D9D9E3"/>
                            <w:right w:val="single" w:sz="2" w:space="0" w:color="D9D9E3"/>
                          </w:divBdr>
                          <w:divsChild>
                            <w:div w:id="13257447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422981">
                                  <w:marLeft w:val="0"/>
                                  <w:marRight w:val="0"/>
                                  <w:marTop w:val="0"/>
                                  <w:marBottom w:val="0"/>
                                  <w:divBdr>
                                    <w:top w:val="single" w:sz="2" w:space="0" w:color="D9D9E3"/>
                                    <w:left w:val="single" w:sz="2" w:space="0" w:color="D9D9E3"/>
                                    <w:bottom w:val="single" w:sz="2" w:space="0" w:color="D9D9E3"/>
                                    <w:right w:val="single" w:sz="2" w:space="0" w:color="D9D9E3"/>
                                  </w:divBdr>
                                  <w:divsChild>
                                    <w:div w:id="1737123723">
                                      <w:marLeft w:val="0"/>
                                      <w:marRight w:val="0"/>
                                      <w:marTop w:val="0"/>
                                      <w:marBottom w:val="0"/>
                                      <w:divBdr>
                                        <w:top w:val="single" w:sz="2" w:space="0" w:color="D9D9E3"/>
                                        <w:left w:val="single" w:sz="2" w:space="0" w:color="D9D9E3"/>
                                        <w:bottom w:val="single" w:sz="2" w:space="0" w:color="D9D9E3"/>
                                        <w:right w:val="single" w:sz="2" w:space="0" w:color="D9D9E3"/>
                                      </w:divBdr>
                                      <w:divsChild>
                                        <w:div w:id="1984239981">
                                          <w:marLeft w:val="0"/>
                                          <w:marRight w:val="0"/>
                                          <w:marTop w:val="0"/>
                                          <w:marBottom w:val="0"/>
                                          <w:divBdr>
                                            <w:top w:val="single" w:sz="2" w:space="0" w:color="D9D9E3"/>
                                            <w:left w:val="single" w:sz="2" w:space="0" w:color="D9D9E3"/>
                                            <w:bottom w:val="single" w:sz="2" w:space="0" w:color="D9D9E3"/>
                                            <w:right w:val="single" w:sz="2" w:space="0" w:color="D9D9E3"/>
                                          </w:divBdr>
                                          <w:divsChild>
                                            <w:div w:id="180167418">
                                              <w:marLeft w:val="0"/>
                                              <w:marRight w:val="0"/>
                                              <w:marTop w:val="0"/>
                                              <w:marBottom w:val="0"/>
                                              <w:divBdr>
                                                <w:top w:val="single" w:sz="2" w:space="0" w:color="D9D9E3"/>
                                                <w:left w:val="single" w:sz="2" w:space="0" w:color="D9D9E3"/>
                                                <w:bottom w:val="single" w:sz="2" w:space="0" w:color="D9D9E3"/>
                                                <w:right w:val="single" w:sz="2" w:space="0" w:color="D9D9E3"/>
                                              </w:divBdr>
                                              <w:divsChild>
                                                <w:div w:id="334653007">
                                                  <w:marLeft w:val="0"/>
                                                  <w:marRight w:val="0"/>
                                                  <w:marTop w:val="0"/>
                                                  <w:marBottom w:val="0"/>
                                                  <w:divBdr>
                                                    <w:top w:val="single" w:sz="2" w:space="0" w:color="D9D9E3"/>
                                                    <w:left w:val="single" w:sz="2" w:space="0" w:color="D9D9E3"/>
                                                    <w:bottom w:val="single" w:sz="2" w:space="0" w:color="D9D9E3"/>
                                                    <w:right w:val="single" w:sz="2" w:space="0" w:color="D9D9E3"/>
                                                  </w:divBdr>
                                                  <w:divsChild>
                                                    <w:div w:id="11940020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42042590">
      <w:bodyDiv w:val="1"/>
      <w:marLeft w:val="0"/>
      <w:marRight w:val="0"/>
      <w:marTop w:val="0"/>
      <w:marBottom w:val="0"/>
      <w:divBdr>
        <w:top w:val="none" w:sz="0" w:space="0" w:color="auto"/>
        <w:left w:val="none" w:sz="0" w:space="0" w:color="auto"/>
        <w:bottom w:val="none" w:sz="0" w:space="0" w:color="auto"/>
        <w:right w:val="none" w:sz="0" w:space="0" w:color="auto"/>
      </w:divBdr>
    </w:div>
    <w:div w:id="189340866">
      <w:bodyDiv w:val="1"/>
      <w:marLeft w:val="0"/>
      <w:marRight w:val="0"/>
      <w:marTop w:val="0"/>
      <w:marBottom w:val="0"/>
      <w:divBdr>
        <w:top w:val="none" w:sz="0" w:space="0" w:color="auto"/>
        <w:left w:val="none" w:sz="0" w:space="0" w:color="auto"/>
        <w:bottom w:val="none" w:sz="0" w:space="0" w:color="auto"/>
        <w:right w:val="none" w:sz="0" w:space="0" w:color="auto"/>
      </w:divBdr>
    </w:div>
    <w:div w:id="200170648">
      <w:bodyDiv w:val="1"/>
      <w:marLeft w:val="0"/>
      <w:marRight w:val="0"/>
      <w:marTop w:val="0"/>
      <w:marBottom w:val="0"/>
      <w:divBdr>
        <w:top w:val="none" w:sz="0" w:space="0" w:color="auto"/>
        <w:left w:val="none" w:sz="0" w:space="0" w:color="auto"/>
        <w:bottom w:val="none" w:sz="0" w:space="0" w:color="auto"/>
        <w:right w:val="none" w:sz="0" w:space="0" w:color="auto"/>
      </w:divBdr>
    </w:div>
    <w:div w:id="226694752">
      <w:bodyDiv w:val="1"/>
      <w:marLeft w:val="0"/>
      <w:marRight w:val="0"/>
      <w:marTop w:val="0"/>
      <w:marBottom w:val="0"/>
      <w:divBdr>
        <w:top w:val="none" w:sz="0" w:space="0" w:color="auto"/>
        <w:left w:val="none" w:sz="0" w:space="0" w:color="auto"/>
        <w:bottom w:val="none" w:sz="0" w:space="0" w:color="auto"/>
        <w:right w:val="none" w:sz="0" w:space="0" w:color="auto"/>
      </w:divBdr>
    </w:div>
    <w:div w:id="257645567">
      <w:bodyDiv w:val="1"/>
      <w:marLeft w:val="0"/>
      <w:marRight w:val="0"/>
      <w:marTop w:val="0"/>
      <w:marBottom w:val="0"/>
      <w:divBdr>
        <w:top w:val="none" w:sz="0" w:space="0" w:color="auto"/>
        <w:left w:val="none" w:sz="0" w:space="0" w:color="auto"/>
        <w:bottom w:val="none" w:sz="0" w:space="0" w:color="auto"/>
        <w:right w:val="none" w:sz="0" w:space="0" w:color="auto"/>
      </w:divBdr>
    </w:div>
    <w:div w:id="263154100">
      <w:bodyDiv w:val="1"/>
      <w:marLeft w:val="0"/>
      <w:marRight w:val="0"/>
      <w:marTop w:val="0"/>
      <w:marBottom w:val="0"/>
      <w:divBdr>
        <w:top w:val="none" w:sz="0" w:space="0" w:color="auto"/>
        <w:left w:val="none" w:sz="0" w:space="0" w:color="auto"/>
        <w:bottom w:val="none" w:sz="0" w:space="0" w:color="auto"/>
        <w:right w:val="none" w:sz="0" w:space="0" w:color="auto"/>
      </w:divBdr>
    </w:div>
    <w:div w:id="270674973">
      <w:bodyDiv w:val="1"/>
      <w:marLeft w:val="0"/>
      <w:marRight w:val="0"/>
      <w:marTop w:val="0"/>
      <w:marBottom w:val="0"/>
      <w:divBdr>
        <w:top w:val="none" w:sz="0" w:space="0" w:color="auto"/>
        <w:left w:val="none" w:sz="0" w:space="0" w:color="auto"/>
        <w:bottom w:val="none" w:sz="0" w:space="0" w:color="auto"/>
        <w:right w:val="none" w:sz="0" w:space="0" w:color="auto"/>
      </w:divBdr>
    </w:div>
    <w:div w:id="284190843">
      <w:bodyDiv w:val="1"/>
      <w:marLeft w:val="0"/>
      <w:marRight w:val="0"/>
      <w:marTop w:val="0"/>
      <w:marBottom w:val="0"/>
      <w:divBdr>
        <w:top w:val="none" w:sz="0" w:space="0" w:color="auto"/>
        <w:left w:val="none" w:sz="0" w:space="0" w:color="auto"/>
        <w:bottom w:val="none" w:sz="0" w:space="0" w:color="auto"/>
        <w:right w:val="none" w:sz="0" w:space="0" w:color="auto"/>
      </w:divBdr>
    </w:div>
    <w:div w:id="303510080">
      <w:bodyDiv w:val="1"/>
      <w:marLeft w:val="0"/>
      <w:marRight w:val="0"/>
      <w:marTop w:val="0"/>
      <w:marBottom w:val="0"/>
      <w:divBdr>
        <w:top w:val="none" w:sz="0" w:space="0" w:color="auto"/>
        <w:left w:val="none" w:sz="0" w:space="0" w:color="auto"/>
        <w:bottom w:val="none" w:sz="0" w:space="0" w:color="auto"/>
        <w:right w:val="none" w:sz="0" w:space="0" w:color="auto"/>
      </w:divBdr>
    </w:div>
    <w:div w:id="356851450">
      <w:bodyDiv w:val="1"/>
      <w:marLeft w:val="0"/>
      <w:marRight w:val="0"/>
      <w:marTop w:val="0"/>
      <w:marBottom w:val="0"/>
      <w:divBdr>
        <w:top w:val="none" w:sz="0" w:space="0" w:color="auto"/>
        <w:left w:val="none" w:sz="0" w:space="0" w:color="auto"/>
        <w:bottom w:val="none" w:sz="0" w:space="0" w:color="auto"/>
        <w:right w:val="none" w:sz="0" w:space="0" w:color="auto"/>
      </w:divBdr>
    </w:div>
    <w:div w:id="372072237">
      <w:bodyDiv w:val="1"/>
      <w:marLeft w:val="0"/>
      <w:marRight w:val="0"/>
      <w:marTop w:val="0"/>
      <w:marBottom w:val="0"/>
      <w:divBdr>
        <w:top w:val="none" w:sz="0" w:space="0" w:color="auto"/>
        <w:left w:val="none" w:sz="0" w:space="0" w:color="auto"/>
        <w:bottom w:val="none" w:sz="0" w:space="0" w:color="auto"/>
        <w:right w:val="none" w:sz="0" w:space="0" w:color="auto"/>
      </w:divBdr>
    </w:div>
    <w:div w:id="384304664">
      <w:bodyDiv w:val="1"/>
      <w:marLeft w:val="0"/>
      <w:marRight w:val="0"/>
      <w:marTop w:val="0"/>
      <w:marBottom w:val="0"/>
      <w:divBdr>
        <w:top w:val="none" w:sz="0" w:space="0" w:color="auto"/>
        <w:left w:val="none" w:sz="0" w:space="0" w:color="auto"/>
        <w:bottom w:val="none" w:sz="0" w:space="0" w:color="auto"/>
        <w:right w:val="none" w:sz="0" w:space="0" w:color="auto"/>
      </w:divBdr>
    </w:div>
    <w:div w:id="400829801">
      <w:bodyDiv w:val="1"/>
      <w:marLeft w:val="0"/>
      <w:marRight w:val="0"/>
      <w:marTop w:val="0"/>
      <w:marBottom w:val="0"/>
      <w:divBdr>
        <w:top w:val="none" w:sz="0" w:space="0" w:color="auto"/>
        <w:left w:val="none" w:sz="0" w:space="0" w:color="auto"/>
        <w:bottom w:val="none" w:sz="0" w:space="0" w:color="auto"/>
        <w:right w:val="none" w:sz="0" w:space="0" w:color="auto"/>
      </w:divBdr>
      <w:divsChild>
        <w:div w:id="87774718">
          <w:marLeft w:val="0"/>
          <w:marRight w:val="0"/>
          <w:marTop w:val="0"/>
          <w:marBottom w:val="0"/>
          <w:divBdr>
            <w:top w:val="none" w:sz="0" w:space="0" w:color="auto"/>
            <w:left w:val="none" w:sz="0" w:space="0" w:color="auto"/>
            <w:bottom w:val="none" w:sz="0" w:space="0" w:color="auto"/>
            <w:right w:val="none" w:sz="0" w:space="0" w:color="auto"/>
          </w:divBdr>
          <w:divsChild>
            <w:div w:id="904491326">
              <w:marLeft w:val="0"/>
              <w:marRight w:val="0"/>
              <w:marTop w:val="0"/>
              <w:marBottom w:val="0"/>
              <w:divBdr>
                <w:top w:val="none" w:sz="0" w:space="0" w:color="auto"/>
                <w:left w:val="none" w:sz="0" w:space="0" w:color="auto"/>
                <w:bottom w:val="none" w:sz="0" w:space="0" w:color="auto"/>
                <w:right w:val="none" w:sz="0" w:space="0" w:color="auto"/>
              </w:divBdr>
              <w:divsChild>
                <w:div w:id="1571112956">
                  <w:marLeft w:val="0"/>
                  <w:marRight w:val="0"/>
                  <w:marTop w:val="0"/>
                  <w:marBottom w:val="0"/>
                  <w:divBdr>
                    <w:top w:val="none" w:sz="0" w:space="0" w:color="auto"/>
                    <w:left w:val="none" w:sz="0" w:space="0" w:color="auto"/>
                    <w:bottom w:val="none" w:sz="0" w:space="0" w:color="auto"/>
                    <w:right w:val="none" w:sz="0" w:space="0" w:color="auto"/>
                  </w:divBdr>
                  <w:divsChild>
                    <w:div w:id="792753102">
                      <w:marLeft w:val="0"/>
                      <w:marRight w:val="0"/>
                      <w:marTop w:val="0"/>
                      <w:marBottom w:val="0"/>
                      <w:divBdr>
                        <w:top w:val="none" w:sz="0" w:space="0" w:color="auto"/>
                        <w:left w:val="none" w:sz="0" w:space="0" w:color="auto"/>
                        <w:bottom w:val="none" w:sz="0" w:space="0" w:color="auto"/>
                        <w:right w:val="none" w:sz="0" w:space="0" w:color="auto"/>
                      </w:divBdr>
                      <w:divsChild>
                        <w:div w:id="1615093237">
                          <w:marLeft w:val="0"/>
                          <w:marRight w:val="0"/>
                          <w:marTop w:val="0"/>
                          <w:marBottom w:val="0"/>
                          <w:divBdr>
                            <w:top w:val="none" w:sz="0" w:space="0" w:color="auto"/>
                            <w:left w:val="none" w:sz="0" w:space="0" w:color="auto"/>
                            <w:bottom w:val="none" w:sz="0" w:space="0" w:color="auto"/>
                            <w:right w:val="none" w:sz="0" w:space="0" w:color="auto"/>
                          </w:divBdr>
                          <w:divsChild>
                            <w:div w:id="25293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996549">
          <w:marLeft w:val="0"/>
          <w:marRight w:val="0"/>
          <w:marTop w:val="0"/>
          <w:marBottom w:val="0"/>
          <w:divBdr>
            <w:top w:val="none" w:sz="0" w:space="0" w:color="auto"/>
            <w:left w:val="none" w:sz="0" w:space="0" w:color="auto"/>
            <w:bottom w:val="none" w:sz="0" w:space="0" w:color="auto"/>
            <w:right w:val="none" w:sz="0" w:space="0" w:color="auto"/>
          </w:divBdr>
        </w:div>
      </w:divsChild>
    </w:div>
    <w:div w:id="402408064">
      <w:bodyDiv w:val="1"/>
      <w:marLeft w:val="0"/>
      <w:marRight w:val="0"/>
      <w:marTop w:val="0"/>
      <w:marBottom w:val="0"/>
      <w:divBdr>
        <w:top w:val="none" w:sz="0" w:space="0" w:color="auto"/>
        <w:left w:val="none" w:sz="0" w:space="0" w:color="auto"/>
        <w:bottom w:val="none" w:sz="0" w:space="0" w:color="auto"/>
        <w:right w:val="none" w:sz="0" w:space="0" w:color="auto"/>
      </w:divBdr>
    </w:div>
    <w:div w:id="403990678">
      <w:bodyDiv w:val="1"/>
      <w:marLeft w:val="0"/>
      <w:marRight w:val="0"/>
      <w:marTop w:val="0"/>
      <w:marBottom w:val="0"/>
      <w:divBdr>
        <w:top w:val="none" w:sz="0" w:space="0" w:color="auto"/>
        <w:left w:val="none" w:sz="0" w:space="0" w:color="auto"/>
        <w:bottom w:val="none" w:sz="0" w:space="0" w:color="auto"/>
        <w:right w:val="none" w:sz="0" w:space="0" w:color="auto"/>
      </w:divBdr>
    </w:div>
    <w:div w:id="437722592">
      <w:bodyDiv w:val="1"/>
      <w:marLeft w:val="0"/>
      <w:marRight w:val="0"/>
      <w:marTop w:val="0"/>
      <w:marBottom w:val="0"/>
      <w:divBdr>
        <w:top w:val="none" w:sz="0" w:space="0" w:color="auto"/>
        <w:left w:val="none" w:sz="0" w:space="0" w:color="auto"/>
        <w:bottom w:val="none" w:sz="0" w:space="0" w:color="auto"/>
        <w:right w:val="none" w:sz="0" w:space="0" w:color="auto"/>
      </w:divBdr>
    </w:div>
    <w:div w:id="445468543">
      <w:bodyDiv w:val="1"/>
      <w:marLeft w:val="0"/>
      <w:marRight w:val="0"/>
      <w:marTop w:val="0"/>
      <w:marBottom w:val="0"/>
      <w:divBdr>
        <w:top w:val="none" w:sz="0" w:space="0" w:color="auto"/>
        <w:left w:val="none" w:sz="0" w:space="0" w:color="auto"/>
        <w:bottom w:val="none" w:sz="0" w:space="0" w:color="auto"/>
        <w:right w:val="none" w:sz="0" w:space="0" w:color="auto"/>
      </w:divBdr>
    </w:div>
    <w:div w:id="481964486">
      <w:bodyDiv w:val="1"/>
      <w:marLeft w:val="0"/>
      <w:marRight w:val="0"/>
      <w:marTop w:val="0"/>
      <w:marBottom w:val="0"/>
      <w:divBdr>
        <w:top w:val="none" w:sz="0" w:space="0" w:color="auto"/>
        <w:left w:val="none" w:sz="0" w:space="0" w:color="auto"/>
        <w:bottom w:val="none" w:sz="0" w:space="0" w:color="auto"/>
        <w:right w:val="none" w:sz="0" w:space="0" w:color="auto"/>
      </w:divBdr>
    </w:div>
    <w:div w:id="505751884">
      <w:bodyDiv w:val="1"/>
      <w:marLeft w:val="0"/>
      <w:marRight w:val="0"/>
      <w:marTop w:val="0"/>
      <w:marBottom w:val="0"/>
      <w:divBdr>
        <w:top w:val="none" w:sz="0" w:space="0" w:color="auto"/>
        <w:left w:val="none" w:sz="0" w:space="0" w:color="auto"/>
        <w:bottom w:val="none" w:sz="0" w:space="0" w:color="auto"/>
        <w:right w:val="none" w:sz="0" w:space="0" w:color="auto"/>
      </w:divBdr>
    </w:div>
    <w:div w:id="536308901">
      <w:bodyDiv w:val="1"/>
      <w:marLeft w:val="0"/>
      <w:marRight w:val="0"/>
      <w:marTop w:val="0"/>
      <w:marBottom w:val="0"/>
      <w:divBdr>
        <w:top w:val="none" w:sz="0" w:space="0" w:color="auto"/>
        <w:left w:val="none" w:sz="0" w:space="0" w:color="auto"/>
        <w:bottom w:val="none" w:sz="0" w:space="0" w:color="auto"/>
        <w:right w:val="none" w:sz="0" w:space="0" w:color="auto"/>
      </w:divBdr>
    </w:div>
    <w:div w:id="557791067">
      <w:bodyDiv w:val="1"/>
      <w:marLeft w:val="0"/>
      <w:marRight w:val="0"/>
      <w:marTop w:val="0"/>
      <w:marBottom w:val="0"/>
      <w:divBdr>
        <w:top w:val="none" w:sz="0" w:space="0" w:color="auto"/>
        <w:left w:val="none" w:sz="0" w:space="0" w:color="auto"/>
        <w:bottom w:val="none" w:sz="0" w:space="0" w:color="auto"/>
        <w:right w:val="none" w:sz="0" w:space="0" w:color="auto"/>
      </w:divBdr>
    </w:div>
    <w:div w:id="559563720">
      <w:bodyDiv w:val="1"/>
      <w:marLeft w:val="0"/>
      <w:marRight w:val="0"/>
      <w:marTop w:val="0"/>
      <w:marBottom w:val="0"/>
      <w:divBdr>
        <w:top w:val="none" w:sz="0" w:space="0" w:color="auto"/>
        <w:left w:val="none" w:sz="0" w:space="0" w:color="auto"/>
        <w:bottom w:val="none" w:sz="0" w:space="0" w:color="auto"/>
        <w:right w:val="none" w:sz="0" w:space="0" w:color="auto"/>
      </w:divBdr>
    </w:div>
    <w:div w:id="620307486">
      <w:bodyDiv w:val="1"/>
      <w:marLeft w:val="0"/>
      <w:marRight w:val="0"/>
      <w:marTop w:val="0"/>
      <w:marBottom w:val="0"/>
      <w:divBdr>
        <w:top w:val="none" w:sz="0" w:space="0" w:color="auto"/>
        <w:left w:val="none" w:sz="0" w:space="0" w:color="auto"/>
        <w:bottom w:val="none" w:sz="0" w:space="0" w:color="auto"/>
        <w:right w:val="none" w:sz="0" w:space="0" w:color="auto"/>
      </w:divBdr>
    </w:div>
    <w:div w:id="628711244">
      <w:bodyDiv w:val="1"/>
      <w:marLeft w:val="0"/>
      <w:marRight w:val="0"/>
      <w:marTop w:val="0"/>
      <w:marBottom w:val="0"/>
      <w:divBdr>
        <w:top w:val="none" w:sz="0" w:space="0" w:color="auto"/>
        <w:left w:val="none" w:sz="0" w:space="0" w:color="auto"/>
        <w:bottom w:val="none" w:sz="0" w:space="0" w:color="auto"/>
        <w:right w:val="none" w:sz="0" w:space="0" w:color="auto"/>
      </w:divBdr>
    </w:div>
    <w:div w:id="629096282">
      <w:bodyDiv w:val="1"/>
      <w:marLeft w:val="0"/>
      <w:marRight w:val="0"/>
      <w:marTop w:val="0"/>
      <w:marBottom w:val="0"/>
      <w:divBdr>
        <w:top w:val="none" w:sz="0" w:space="0" w:color="auto"/>
        <w:left w:val="none" w:sz="0" w:space="0" w:color="auto"/>
        <w:bottom w:val="none" w:sz="0" w:space="0" w:color="auto"/>
        <w:right w:val="none" w:sz="0" w:space="0" w:color="auto"/>
      </w:divBdr>
      <w:divsChild>
        <w:div w:id="345986669">
          <w:marLeft w:val="0"/>
          <w:marRight w:val="0"/>
          <w:marTop w:val="0"/>
          <w:marBottom w:val="0"/>
          <w:divBdr>
            <w:top w:val="none" w:sz="0" w:space="0" w:color="auto"/>
            <w:left w:val="none" w:sz="0" w:space="0" w:color="auto"/>
            <w:bottom w:val="none" w:sz="0" w:space="0" w:color="auto"/>
            <w:right w:val="none" w:sz="0" w:space="0" w:color="auto"/>
          </w:divBdr>
        </w:div>
      </w:divsChild>
    </w:div>
    <w:div w:id="640618242">
      <w:bodyDiv w:val="1"/>
      <w:marLeft w:val="0"/>
      <w:marRight w:val="0"/>
      <w:marTop w:val="0"/>
      <w:marBottom w:val="0"/>
      <w:divBdr>
        <w:top w:val="none" w:sz="0" w:space="0" w:color="auto"/>
        <w:left w:val="none" w:sz="0" w:space="0" w:color="auto"/>
        <w:bottom w:val="none" w:sz="0" w:space="0" w:color="auto"/>
        <w:right w:val="none" w:sz="0" w:space="0" w:color="auto"/>
      </w:divBdr>
    </w:div>
    <w:div w:id="641816114">
      <w:bodyDiv w:val="1"/>
      <w:marLeft w:val="0"/>
      <w:marRight w:val="0"/>
      <w:marTop w:val="0"/>
      <w:marBottom w:val="0"/>
      <w:divBdr>
        <w:top w:val="none" w:sz="0" w:space="0" w:color="auto"/>
        <w:left w:val="none" w:sz="0" w:space="0" w:color="auto"/>
        <w:bottom w:val="none" w:sz="0" w:space="0" w:color="auto"/>
        <w:right w:val="none" w:sz="0" w:space="0" w:color="auto"/>
      </w:divBdr>
    </w:div>
    <w:div w:id="659161286">
      <w:bodyDiv w:val="1"/>
      <w:marLeft w:val="0"/>
      <w:marRight w:val="0"/>
      <w:marTop w:val="0"/>
      <w:marBottom w:val="0"/>
      <w:divBdr>
        <w:top w:val="none" w:sz="0" w:space="0" w:color="auto"/>
        <w:left w:val="none" w:sz="0" w:space="0" w:color="auto"/>
        <w:bottom w:val="none" w:sz="0" w:space="0" w:color="auto"/>
        <w:right w:val="none" w:sz="0" w:space="0" w:color="auto"/>
      </w:divBdr>
    </w:div>
    <w:div w:id="663048504">
      <w:bodyDiv w:val="1"/>
      <w:marLeft w:val="0"/>
      <w:marRight w:val="0"/>
      <w:marTop w:val="0"/>
      <w:marBottom w:val="0"/>
      <w:divBdr>
        <w:top w:val="none" w:sz="0" w:space="0" w:color="auto"/>
        <w:left w:val="none" w:sz="0" w:space="0" w:color="auto"/>
        <w:bottom w:val="none" w:sz="0" w:space="0" w:color="auto"/>
        <w:right w:val="none" w:sz="0" w:space="0" w:color="auto"/>
      </w:divBdr>
    </w:div>
    <w:div w:id="694380414">
      <w:bodyDiv w:val="1"/>
      <w:marLeft w:val="0"/>
      <w:marRight w:val="0"/>
      <w:marTop w:val="0"/>
      <w:marBottom w:val="0"/>
      <w:divBdr>
        <w:top w:val="none" w:sz="0" w:space="0" w:color="auto"/>
        <w:left w:val="none" w:sz="0" w:space="0" w:color="auto"/>
        <w:bottom w:val="none" w:sz="0" w:space="0" w:color="auto"/>
        <w:right w:val="none" w:sz="0" w:space="0" w:color="auto"/>
      </w:divBdr>
    </w:div>
    <w:div w:id="699475785">
      <w:bodyDiv w:val="1"/>
      <w:marLeft w:val="0"/>
      <w:marRight w:val="0"/>
      <w:marTop w:val="0"/>
      <w:marBottom w:val="0"/>
      <w:divBdr>
        <w:top w:val="none" w:sz="0" w:space="0" w:color="auto"/>
        <w:left w:val="none" w:sz="0" w:space="0" w:color="auto"/>
        <w:bottom w:val="none" w:sz="0" w:space="0" w:color="auto"/>
        <w:right w:val="none" w:sz="0" w:space="0" w:color="auto"/>
      </w:divBdr>
    </w:div>
    <w:div w:id="735786296">
      <w:bodyDiv w:val="1"/>
      <w:marLeft w:val="0"/>
      <w:marRight w:val="0"/>
      <w:marTop w:val="0"/>
      <w:marBottom w:val="0"/>
      <w:divBdr>
        <w:top w:val="none" w:sz="0" w:space="0" w:color="auto"/>
        <w:left w:val="none" w:sz="0" w:space="0" w:color="auto"/>
        <w:bottom w:val="none" w:sz="0" w:space="0" w:color="auto"/>
        <w:right w:val="none" w:sz="0" w:space="0" w:color="auto"/>
      </w:divBdr>
    </w:div>
    <w:div w:id="739786166">
      <w:bodyDiv w:val="1"/>
      <w:marLeft w:val="0"/>
      <w:marRight w:val="0"/>
      <w:marTop w:val="0"/>
      <w:marBottom w:val="0"/>
      <w:divBdr>
        <w:top w:val="none" w:sz="0" w:space="0" w:color="auto"/>
        <w:left w:val="none" w:sz="0" w:space="0" w:color="auto"/>
        <w:bottom w:val="none" w:sz="0" w:space="0" w:color="auto"/>
        <w:right w:val="none" w:sz="0" w:space="0" w:color="auto"/>
      </w:divBdr>
    </w:div>
    <w:div w:id="743991867">
      <w:bodyDiv w:val="1"/>
      <w:marLeft w:val="0"/>
      <w:marRight w:val="0"/>
      <w:marTop w:val="0"/>
      <w:marBottom w:val="0"/>
      <w:divBdr>
        <w:top w:val="none" w:sz="0" w:space="0" w:color="auto"/>
        <w:left w:val="none" w:sz="0" w:space="0" w:color="auto"/>
        <w:bottom w:val="none" w:sz="0" w:space="0" w:color="auto"/>
        <w:right w:val="none" w:sz="0" w:space="0" w:color="auto"/>
      </w:divBdr>
    </w:div>
    <w:div w:id="808281841">
      <w:bodyDiv w:val="1"/>
      <w:marLeft w:val="0"/>
      <w:marRight w:val="0"/>
      <w:marTop w:val="0"/>
      <w:marBottom w:val="0"/>
      <w:divBdr>
        <w:top w:val="none" w:sz="0" w:space="0" w:color="auto"/>
        <w:left w:val="none" w:sz="0" w:space="0" w:color="auto"/>
        <w:bottom w:val="none" w:sz="0" w:space="0" w:color="auto"/>
        <w:right w:val="none" w:sz="0" w:space="0" w:color="auto"/>
      </w:divBdr>
    </w:div>
    <w:div w:id="813912382">
      <w:bodyDiv w:val="1"/>
      <w:marLeft w:val="0"/>
      <w:marRight w:val="0"/>
      <w:marTop w:val="0"/>
      <w:marBottom w:val="0"/>
      <w:divBdr>
        <w:top w:val="none" w:sz="0" w:space="0" w:color="auto"/>
        <w:left w:val="none" w:sz="0" w:space="0" w:color="auto"/>
        <w:bottom w:val="none" w:sz="0" w:space="0" w:color="auto"/>
        <w:right w:val="none" w:sz="0" w:space="0" w:color="auto"/>
      </w:divBdr>
    </w:div>
    <w:div w:id="817306535">
      <w:bodyDiv w:val="1"/>
      <w:marLeft w:val="0"/>
      <w:marRight w:val="0"/>
      <w:marTop w:val="0"/>
      <w:marBottom w:val="0"/>
      <w:divBdr>
        <w:top w:val="none" w:sz="0" w:space="0" w:color="auto"/>
        <w:left w:val="none" w:sz="0" w:space="0" w:color="auto"/>
        <w:bottom w:val="none" w:sz="0" w:space="0" w:color="auto"/>
        <w:right w:val="none" w:sz="0" w:space="0" w:color="auto"/>
      </w:divBdr>
    </w:div>
    <w:div w:id="819268867">
      <w:bodyDiv w:val="1"/>
      <w:marLeft w:val="0"/>
      <w:marRight w:val="0"/>
      <w:marTop w:val="0"/>
      <w:marBottom w:val="0"/>
      <w:divBdr>
        <w:top w:val="none" w:sz="0" w:space="0" w:color="auto"/>
        <w:left w:val="none" w:sz="0" w:space="0" w:color="auto"/>
        <w:bottom w:val="none" w:sz="0" w:space="0" w:color="auto"/>
        <w:right w:val="none" w:sz="0" w:space="0" w:color="auto"/>
      </w:divBdr>
    </w:div>
    <w:div w:id="826822235">
      <w:bodyDiv w:val="1"/>
      <w:marLeft w:val="0"/>
      <w:marRight w:val="0"/>
      <w:marTop w:val="0"/>
      <w:marBottom w:val="0"/>
      <w:divBdr>
        <w:top w:val="none" w:sz="0" w:space="0" w:color="auto"/>
        <w:left w:val="none" w:sz="0" w:space="0" w:color="auto"/>
        <w:bottom w:val="none" w:sz="0" w:space="0" w:color="auto"/>
        <w:right w:val="none" w:sz="0" w:space="0" w:color="auto"/>
      </w:divBdr>
    </w:div>
    <w:div w:id="827139756">
      <w:bodyDiv w:val="1"/>
      <w:marLeft w:val="0"/>
      <w:marRight w:val="0"/>
      <w:marTop w:val="0"/>
      <w:marBottom w:val="0"/>
      <w:divBdr>
        <w:top w:val="none" w:sz="0" w:space="0" w:color="auto"/>
        <w:left w:val="none" w:sz="0" w:space="0" w:color="auto"/>
        <w:bottom w:val="none" w:sz="0" w:space="0" w:color="auto"/>
        <w:right w:val="none" w:sz="0" w:space="0" w:color="auto"/>
      </w:divBdr>
    </w:div>
    <w:div w:id="833765329">
      <w:bodyDiv w:val="1"/>
      <w:marLeft w:val="0"/>
      <w:marRight w:val="0"/>
      <w:marTop w:val="0"/>
      <w:marBottom w:val="0"/>
      <w:divBdr>
        <w:top w:val="none" w:sz="0" w:space="0" w:color="auto"/>
        <w:left w:val="none" w:sz="0" w:space="0" w:color="auto"/>
        <w:bottom w:val="none" w:sz="0" w:space="0" w:color="auto"/>
        <w:right w:val="none" w:sz="0" w:space="0" w:color="auto"/>
      </w:divBdr>
    </w:div>
    <w:div w:id="841241435">
      <w:bodyDiv w:val="1"/>
      <w:marLeft w:val="0"/>
      <w:marRight w:val="0"/>
      <w:marTop w:val="0"/>
      <w:marBottom w:val="0"/>
      <w:divBdr>
        <w:top w:val="none" w:sz="0" w:space="0" w:color="auto"/>
        <w:left w:val="none" w:sz="0" w:space="0" w:color="auto"/>
        <w:bottom w:val="none" w:sz="0" w:space="0" w:color="auto"/>
        <w:right w:val="none" w:sz="0" w:space="0" w:color="auto"/>
      </w:divBdr>
    </w:div>
    <w:div w:id="875001270">
      <w:bodyDiv w:val="1"/>
      <w:marLeft w:val="0"/>
      <w:marRight w:val="0"/>
      <w:marTop w:val="0"/>
      <w:marBottom w:val="0"/>
      <w:divBdr>
        <w:top w:val="none" w:sz="0" w:space="0" w:color="auto"/>
        <w:left w:val="none" w:sz="0" w:space="0" w:color="auto"/>
        <w:bottom w:val="none" w:sz="0" w:space="0" w:color="auto"/>
        <w:right w:val="none" w:sz="0" w:space="0" w:color="auto"/>
      </w:divBdr>
    </w:div>
    <w:div w:id="884486986">
      <w:bodyDiv w:val="1"/>
      <w:marLeft w:val="0"/>
      <w:marRight w:val="0"/>
      <w:marTop w:val="0"/>
      <w:marBottom w:val="0"/>
      <w:divBdr>
        <w:top w:val="none" w:sz="0" w:space="0" w:color="auto"/>
        <w:left w:val="none" w:sz="0" w:space="0" w:color="auto"/>
        <w:bottom w:val="none" w:sz="0" w:space="0" w:color="auto"/>
        <w:right w:val="none" w:sz="0" w:space="0" w:color="auto"/>
      </w:divBdr>
    </w:div>
    <w:div w:id="907836968">
      <w:bodyDiv w:val="1"/>
      <w:marLeft w:val="0"/>
      <w:marRight w:val="0"/>
      <w:marTop w:val="0"/>
      <w:marBottom w:val="0"/>
      <w:divBdr>
        <w:top w:val="none" w:sz="0" w:space="0" w:color="auto"/>
        <w:left w:val="none" w:sz="0" w:space="0" w:color="auto"/>
        <w:bottom w:val="none" w:sz="0" w:space="0" w:color="auto"/>
        <w:right w:val="none" w:sz="0" w:space="0" w:color="auto"/>
      </w:divBdr>
    </w:div>
    <w:div w:id="936913500">
      <w:bodyDiv w:val="1"/>
      <w:marLeft w:val="0"/>
      <w:marRight w:val="0"/>
      <w:marTop w:val="0"/>
      <w:marBottom w:val="0"/>
      <w:divBdr>
        <w:top w:val="none" w:sz="0" w:space="0" w:color="auto"/>
        <w:left w:val="none" w:sz="0" w:space="0" w:color="auto"/>
        <w:bottom w:val="none" w:sz="0" w:space="0" w:color="auto"/>
        <w:right w:val="none" w:sz="0" w:space="0" w:color="auto"/>
      </w:divBdr>
    </w:div>
    <w:div w:id="987515689">
      <w:bodyDiv w:val="1"/>
      <w:marLeft w:val="0"/>
      <w:marRight w:val="0"/>
      <w:marTop w:val="0"/>
      <w:marBottom w:val="0"/>
      <w:divBdr>
        <w:top w:val="none" w:sz="0" w:space="0" w:color="auto"/>
        <w:left w:val="none" w:sz="0" w:space="0" w:color="auto"/>
        <w:bottom w:val="none" w:sz="0" w:space="0" w:color="auto"/>
        <w:right w:val="none" w:sz="0" w:space="0" w:color="auto"/>
      </w:divBdr>
    </w:div>
    <w:div w:id="1010791772">
      <w:bodyDiv w:val="1"/>
      <w:marLeft w:val="0"/>
      <w:marRight w:val="0"/>
      <w:marTop w:val="0"/>
      <w:marBottom w:val="0"/>
      <w:divBdr>
        <w:top w:val="none" w:sz="0" w:space="0" w:color="auto"/>
        <w:left w:val="none" w:sz="0" w:space="0" w:color="auto"/>
        <w:bottom w:val="none" w:sz="0" w:space="0" w:color="auto"/>
        <w:right w:val="none" w:sz="0" w:space="0" w:color="auto"/>
      </w:divBdr>
      <w:divsChild>
        <w:div w:id="912930234">
          <w:marLeft w:val="0"/>
          <w:marRight w:val="0"/>
          <w:marTop w:val="0"/>
          <w:marBottom w:val="0"/>
          <w:divBdr>
            <w:top w:val="none" w:sz="0" w:space="0" w:color="auto"/>
            <w:left w:val="none" w:sz="0" w:space="0" w:color="auto"/>
            <w:bottom w:val="none" w:sz="0" w:space="0" w:color="auto"/>
            <w:right w:val="none" w:sz="0" w:space="0" w:color="auto"/>
          </w:divBdr>
          <w:divsChild>
            <w:div w:id="703022693">
              <w:marLeft w:val="0"/>
              <w:marRight w:val="0"/>
              <w:marTop w:val="0"/>
              <w:marBottom w:val="0"/>
              <w:divBdr>
                <w:top w:val="none" w:sz="0" w:space="0" w:color="auto"/>
                <w:left w:val="none" w:sz="0" w:space="0" w:color="auto"/>
                <w:bottom w:val="none" w:sz="0" w:space="0" w:color="auto"/>
                <w:right w:val="none" w:sz="0" w:space="0" w:color="auto"/>
              </w:divBdr>
              <w:divsChild>
                <w:div w:id="564073484">
                  <w:marLeft w:val="0"/>
                  <w:marRight w:val="0"/>
                  <w:marTop w:val="0"/>
                  <w:marBottom w:val="0"/>
                  <w:divBdr>
                    <w:top w:val="none" w:sz="0" w:space="0" w:color="auto"/>
                    <w:left w:val="none" w:sz="0" w:space="0" w:color="auto"/>
                    <w:bottom w:val="none" w:sz="0" w:space="0" w:color="auto"/>
                    <w:right w:val="none" w:sz="0" w:space="0" w:color="auto"/>
                  </w:divBdr>
                  <w:divsChild>
                    <w:div w:id="848057261">
                      <w:marLeft w:val="0"/>
                      <w:marRight w:val="0"/>
                      <w:marTop w:val="0"/>
                      <w:marBottom w:val="0"/>
                      <w:divBdr>
                        <w:top w:val="none" w:sz="0" w:space="0" w:color="auto"/>
                        <w:left w:val="none" w:sz="0" w:space="0" w:color="auto"/>
                        <w:bottom w:val="none" w:sz="0" w:space="0" w:color="auto"/>
                        <w:right w:val="none" w:sz="0" w:space="0" w:color="auto"/>
                      </w:divBdr>
                      <w:divsChild>
                        <w:div w:id="1381394684">
                          <w:marLeft w:val="0"/>
                          <w:marRight w:val="0"/>
                          <w:marTop w:val="0"/>
                          <w:marBottom w:val="0"/>
                          <w:divBdr>
                            <w:top w:val="none" w:sz="0" w:space="0" w:color="auto"/>
                            <w:left w:val="none" w:sz="0" w:space="0" w:color="auto"/>
                            <w:bottom w:val="none" w:sz="0" w:space="0" w:color="auto"/>
                            <w:right w:val="none" w:sz="0" w:space="0" w:color="auto"/>
                          </w:divBdr>
                          <w:divsChild>
                            <w:div w:id="118305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615456">
      <w:bodyDiv w:val="1"/>
      <w:marLeft w:val="0"/>
      <w:marRight w:val="0"/>
      <w:marTop w:val="0"/>
      <w:marBottom w:val="0"/>
      <w:divBdr>
        <w:top w:val="none" w:sz="0" w:space="0" w:color="auto"/>
        <w:left w:val="none" w:sz="0" w:space="0" w:color="auto"/>
        <w:bottom w:val="none" w:sz="0" w:space="0" w:color="auto"/>
        <w:right w:val="none" w:sz="0" w:space="0" w:color="auto"/>
      </w:divBdr>
    </w:div>
    <w:div w:id="1040593278">
      <w:bodyDiv w:val="1"/>
      <w:marLeft w:val="0"/>
      <w:marRight w:val="0"/>
      <w:marTop w:val="0"/>
      <w:marBottom w:val="0"/>
      <w:divBdr>
        <w:top w:val="none" w:sz="0" w:space="0" w:color="auto"/>
        <w:left w:val="none" w:sz="0" w:space="0" w:color="auto"/>
        <w:bottom w:val="none" w:sz="0" w:space="0" w:color="auto"/>
        <w:right w:val="none" w:sz="0" w:space="0" w:color="auto"/>
      </w:divBdr>
    </w:div>
    <w:div w:id="1048067988">
      <w:bodyDiv w:val="1"/>
      <w:marLeft w:val="0"/>
      <w:marRight w:val="0"/>
      <w:marTop w:val="0"/>
      <w:marBottom w:val="0"/>
      <w:divBdr>
        <w:top w:val="none" w:sz="0" w:space="0" w:color="auto"/>
        <w:left w:val="none" w:sz="0" w:space="0" w:color="auto"/>
        <w:bottom w:val="none" w:sz="0" w:space="0" w:color="auto"/>
        <w:right w:val="none" w:sz="0" w:space="0" w:color="auto"/>
      </w:divBdr>
    </w:div>
    <w:div w:id="1049964068">
      <w:bodyDiv w:val="1"/>
      <w:marLeft w:val="0"/>
      <w:marRight w:val="0"/>
      <w:marTop w:val="0"/>
      <w:marBottom w:val="0"/>
      <w:divBdr>
        <w:top w:val="none" w:sz="0" w:space="0" w:color="auto"/>
        <w:left w:val="none" w:sz="0" w:space="0" w:color="auto"/>
        <w:bottom w:val="none" w:sz="0" w:space="0" w:color="auto"/>
        <w:right w:val="none" w:sz="0" w:space="0" w:color="auto"/>
      </w:divBdr>
      <w:divsChild>
        <w:div w:id="1325276751">
          <w:marLeft w:val="0"/>
          <w:marRight w:val="0"/>
          <w:marTop w:val="0"/>
          <w:marBottom w:val="0"/>
          <w:divBdr>
            <w:top w:val="none" w:sz="0" w:space="0" w:color="auto"/>
            <w:left w:val="none" w:sz="0" w:space="0" w:color="auto"/>
            <w:bottom w:val="none" w:sz="0" w:space="0" w:color="auto"/>
            <w:right w:val="none" w:sz="0" w:space="0" w:color="auto"/>
          </w:divBdr>
          <w:divsChild>
            <w:div w:id="1887912927">
              <w:marLeft w:val="0"/>
              <w:marRight w:val="0"/>
              <w:marTop w:val="0"/>
              <w:marBottom w:val="0"/>
              <w:divBdr>
                <w:top w:val="none" w:sz="0" w:space="0" w:color="auto"/>
                <w:left w:val="none" w:sz="0" w:space="0" w:color="auto"/>
                <w:bottom w:val="none" w:sz="0" w:space="0" w:color="auto"/>
                <w:right w:val="none" w:sz="0" w:space="0" w:color="auto"/>
              </w:divBdr>
              <w:divsChild>
                <w:div w:id="1959993489">
                  <w:marLeft w:val="0"/>
                  <w:marRight w:val="0"/>
                  <w:marTop w:val="0"/>
                  <w:marBottom w:val="0"/>
                  <w:divBdr>
                    <w:top w:val="none" w:sz="0" w:space="0" w:color="auto"/>
                    <w:left w:val="none" w:sz="0" w:space="0" w:color="auto"/>
                    <w:bottom w:val="none" w:sz="0" w:space="0" w:color="auto"/>
                    <w:right w:val="none" w:sz="0" w:space="0" w:color="auto"/>
                  </w:divBdr>
                  <w:divsChild>
                    <w:div w:id="2132824570">
                      <w:marLeft w:val="0"/>
                      <w:marRight w:val="0"/>
                      <w:marTop w:val="0"/>
                      <w:marBottom w:val="0"/>
                      <w:divBdr>
                        <w:top w:val="none" w:sz="0" w:space="0" w:color="auto"/>
                        <w:left w:val="none" w:sz="0" w:space="0" w:color="auto"/>
                        <w:bottom w:val="none" w:sz="0" w:space="0" w:color="auto"/>
                        <w:right w:val="none" w:sz="0" w:space="0" w:color="auto"/>
                      </w:divBdr>
                      <w:divsChild>
                        <w:div w:id="1349796014">
                          <w:marLeft w:val="0"/>
                          <w:marRight w:val="0"/>
                          <w:marTop w:val="0"/>
                          <w:marBottom w:val="0"/>
                          <w:divBdr>
                            <w:top w:val="none" w:sz="0" w:space="0" w:color="auto"/>
                            <w:left w:val="none" w:sz="0" w:space="0" w:color="auto"/>
                            <w:bottom w:val="none" w:sz="0" w:space="0" w:color="auto"/>
                            <w:right w:val="none" w:sz="0" w:space="0" w:color="auto"/>
                          </w:divBdr>
                          <w:divsChild>
                            <w:div w:id="15509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963573">
      <w:bodyDiv w:val="1"/>
      <w:marLeft w:val="0"/>
      <w:marRight w:val="0"/>
      <w:marTop w:val="0"/>
      <w:marBottom w:val="0"/>
      <w:divBdr>
        <w:top w:val="none" w:sz="0" w:space="0" w:color="auto"/>
        <w:left w:val="none" w:sz="0" w:space="0" w:color="auto"/>
        <w:bottom w:val="none" w:sz="0" w:space="0" w:color="auto"/>
        <w:right w:val="none" w:sz="0" w:space="0" w:color="auto"/>
      </w:divBdr>
    </w:div>
    <w:div w:id="1082069895">
      <w:bodyDiv w:val="1"/>
      <w:marLeft w:val="0"/>
      <w:marRight w:val="0"/>
      <w:marTop w:val="0"/>
      <w:marBottom w:val="0"/>
      <w:divBdr>
        <w:top w:val="none" w:sz="0" w:space="0" w:color="auto"/>
        <w:left w:val="none" w:sz="0" w:space="0" w:color="auto"/>
        <w:bottom w:val="none" w:sz="0" w:space="0" w:color="auto"/>
        <w:right w:val="none" w:sz="0" w:space="0" w:color="auto"/>
      </w:divBdr>
    </w:div>
    <w:div w:id="1091849574">
      <w:bodyDiv w:val="1"/>
      <w:marLeft w:val="0"/>
      <w:marRight w:val="0"/>
      <w:marTop w:val="0"/>
      <w:marBottom w:val="0"/>
      <w:divBdr>
        <w:top w:val="none" w:sz="0" w:space="0" w:color="auto"/>
        <w:left w:val="none" w:sz="0" w:space="0" w:color="auto"/>
        <w:bottom w:val="none" w:sz="0" w:space="0" w:color="auto"/>
        <w:right w:val="none" w:sz="0" w:space="0" w:color="auto"/>
      </w:divBdr>
    </w:div>
    <w:div w:id="1093623302">
      <w:bodyDiv w:val="1"/>
      <w:marLeft w:val="0"/>
      <w:marRight w:val="0"/>
      <w:marTop w:val="0"/>
      <w:marBottom w:val="0"/>
      <w:divBdr>
        <w:top w:val="none" w:sz="0" w:space="0" w:color="auto"/>
        <w:left w:val="none" w:sz="0" w:space="0" w:color="auto"/>
        <w:bottom w:val="none" w:sz="0" w:space="0" w:color="auto"/>
        <w:right w:val="none" w:sz="0" w:space="0" w:color="auto"/>
      </w:divBdr>
    </w:div>
    <w:div w:id="1097293306">
      <w:bodyDiv w:val="1"/>
      <w:marLeft w:val="0"/>
      <w:marRight w:val="0"/>
      <w:marTop w:val="0"/>
      <w:marBottom w:val="0"/>
      <w:divBdr>
        <w:top w:val="none" w:sz="0" w:space="0" w:color="auto"/>
        <w:left w:val="none" w:sz="0" w:space="0" w:color="auto"/>
        <w:bottom w:val="none" w:sz="0" w:space="0" w:color="auto"/>
        <w:right w:val="none" w:sz="0" w:space="0" w:color="auto"/>
      </w:divBdr>
    </w:div>
    <w:div w:id="1112824732">
      <w:bodyDiv w:val="1"/>
      <w:marLeft w:val="0"/>
      <w:marRight w:val="0"/>
      <w:marTop w:val="0"/>
      <w:marBottom w:val="0"/>
      <w:divBdr>
        <w:top w:val="none" w:sz="0" w:space="0" w:color="auto"/>
        <w:left w:val="none" w:sz="0" w:space="0" w:color="auto"/>
        <w:bottom w:val="none" w:sz="0" w:space="0" w:color="auto"/>
        <w:right w:val="none" w:sz="0" w:space="0" w:color="auto"/>
      </w:divBdr>
    </w:div>
    <w:div w:id="1120685580">
      <w:bodyDiv w:val="1"/>
      <w:marLeft w:val="0"/>
      <w:marRight w:val="0"/>
      <w:marTop w:val="0"/>
      <w:marBottom w:val="0"/>
      <w:divBdr>
        <w:top w:val="none" w:sz="0" w:space="0" w:color="auto"/>
        <w:left w:val="none" w:sz="0" w:space="0" w:color="auto"/>
        <w:bottom w:val="none" w:sz="0" w:space="0" w:color="auto"/>
        <w:right w:val="none" w:sz="0" w:space="0" w:color="auto"/>
      </w:divBdr>
    </w:div>
    <w:div w:id="1138255661">
      <w:bodyDiv w:val="1"/>
      <w:marLeft w:val="0"/>
      <w:marRight w:val="0"/>
      <w:marTop w:val="0"/>
      <w:marBottom w:val="0"/>
      <w:divBdr>
        <w:top w:val="none" w:sz="0" w:space="0" w:color="auto"/>
        <w:left w:val="none" w:sz="0" w:space="0" w:color="auto"/>
        <w:bottom w:val="none" w:sz="0" w:space="0" w:color="auto"/>
        <w:right w:val="none" w:sz="0" w:space="0" w:color="auto"/>
      </w:divBdr>
      <w:divsChild>
        <w:div w:id="275597799">
          <w:marLeft w:val="0"/>
          <w:marRight w:val="0"/>
          <w:marTop w:val="0"/>
          <w:marBottom w:val="0"/>
          <w:divBdr>
            <w:top w:val="none" w:sz="0" w:space="0" w:color="auto"/>
            <w:left w:val="none" w:sz="0" w:space="0" w:color="auto"/>
            <w:bottom w:val="none" w:sz="0" w:space="0" w:color="auto"/>
            <w:right w:val="none" w:sz="0" w:space="0" w:color="auto"/>
          </w:divBdr>
          <w:divsChild>
            <w:div w:id="593976080">
              <w:marLeft w:val="0"/>
              <w:marRight w:val="0"/>
              <w:marTop w:val="0"/>
              <w:marBottom w:val="0"/>
              <w:divBdr>
                <w:top w:val="none" w:sz="0" w:space="0" w:color="auto"/>
                <w:left w:val="none" w:sz="0" w:space="0" w:color="auto"/>
                <w:bottom w:val="none" w:sz="0" w:space="0" w:color="auto"/>
                <w:right w:val="none" w:sz="0" w:space="0" w:color="auto"/>
              </w:divBdr>
              <w:divsChild>
                <w:div w:id="1768693569">
                  <w:marLeft w:val="0"/>
                  <w:marRight w:val="0"/>
                  <w:marTop w:val="0"/>
                  <w:marBottom w:val="180"/>
                  <w:divBdr>
                    <w:top w:val="none" w:sz="0" w:space="0" w:color="auto"/>
                    <w:left w:val="none" w:sz="0" w:space="0" w:color="auto"/>
                    <w:bottom w:val="none" w:sz="0" w:space="0" w:color="auto"/>
                    <w:right w:val="none" w:sz="0" w:space="0" w:color="auto"/>
                  </w:divBdr>
                  <w:divsChild>
                    <w:div w:id="77826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89923">
      <w:bodyDiv w:val="1"/>
      <w:marLeft w:val="0"/>
      <w:marRight w:val="0"/>
      <w:marTop w:val="0"/>
      <w:marBottom w:val="0"/>
      <w:divBdr>
        <w:top w:val="none" w:sz="0" w:space="0" w:color="auto"/>
        <w:left w:val="none" w:sz="0" w:space="0" w:color="auto"/>
        <w:bottom w:val="none" w:sz="0" w:space="0" w:color="auto"/>
        <w:right w:val="none" w:sz="0" w:space="0" w:color="auto"/>
      </w:divBdr>
    </w:div>
    <w:div w:id="1143691629">
      <w:bodyDiv w:val="1"/>
      <w:marLeft w:val="0"/>
      <w:marRight w:val="0"/>
      <w:marTop w:val="0"/>
      <w:marBottom w:val="0"/>
      <w:divBdr>
        <w:top w:val="none" w:sz="0" w:space="0" w:color="auto"/>
        <w:left w:val="none" w:sz="0" w:space="0" w:color="auto"/>
        <w:bottom w:val="none" w:sz="0" w:space="0" w:color="auto"/>
        <w:right w:val="none" w:sz="0" w:space="0" w:color="auto"/>
      </w:divBdr>
    </w:div>
    <w:div w:id="1144394842">
      <w:bodyDiv w:val="1"/>
      <w:marLeft w:val="0"/>
      <w:marRight w:val="0"/>
      <w:marTop w:val="0"/>
      <w:marBottom w:val="0"/>
      <w:divBdr>
        <w:top w:val="none" w:sz="0" w:space="0" w:color="auto"/>
        <w:left w:val="none" w:sz="0" w:space="0" w:color="auto"/>
        <w:bottom w:val="none" w:sz="0" w:space="0" w:color="auto"/>
        <w:right w:val="none" w:sz="0" w:space="0" w:color="auto"/>
      </w:divBdr>
    </w:div>
    <w:div w:id="1181700501">
      <w:bodyDiv w:val="1"/>
      <w:marLeft w:val="0"/>
      <w:marRight w:val="0"/>
      <w:marTop w:val="0"/>
      <w:marBottom w:val="0"/>
      <w:divBdr>
        <w:top w:val="none" w:sz="0" w:space="0" w:color="auto"/>
        <w:left w:val="none" w:sz="0" w:space="0" w:color="auto"/>
        <w:bottom w:val="none" w:sz="0" w:space="0" w:color="auto"/>
        <w:right w:val="none" w:sz="0" w:space="0" w:color="auto"/>
      </w:divBdr>
    </w:div>
    <w:div w:id="1191525525">
      <w:bodyDiv w:val="1"/>
      <w:marLeft w:val="0"/>
      <w:marRight w:val="0"/>
      <w:marTop w:val="0"/>
      <w:marBottom w:val="0"/>
      <w:divBdr>
        <w:top w:val="none" w:sz="0" w:space="0" w:color="auto"/>
        <w:left w:val="none" w:sz="0" w:space="0" w:color="auto"/>
        <w:bottom w:val="none" w:sz="0" w:space="0" w:color="auto"/>
        <w:right w:val="none" w:sz="0" w:space="0" w:color="auto"/>
      </w:divBdr>
    </w:div>
    <w:div w:id="1202937712">
      <w:bodyDiv w:val="1"/>
      <w:marLeft w:val="0"/>
      <w:marRight w:val="0"/>
      <w:marTop w:val="0"/>
      <w:marBottom w:val="0"/>
      <w:divBdr>
        <w:top w:val="none" w:sz="0" w:space="0" w:color="auto"/>
        <w:left w:val="none" w:sz="0" w:space="0" w:color="auto"/>
        <w:bottom w:val="none" w:sz="0" w:space="0" w:color="auto"/>
        <w:right w:val="none" w:sz="0" w:space="0" w:color="auto"/>
      </w:divBdr>
    </w:div>
    <w:div w:id="1223178153">
      <w:bodyDiv w:val="1"/>
      <w:marLeft w:val="0"/>
      <w:marRight w:val="0"/>
      <w:marTop w:val="0"/>
      <w:marBottom w:val="0"/>
      <w:divBdr>
        <w:top w:val="none" w:sz="0" w:space="0" w:color="auto"/>
        <w:left w:val="none" w:sz="0" w:space="0" w:color="auto"/>
        <w:bottom w:val="none" w:sz="0" w:space="0" w:color="auto"/>
        <w:right w:val="none" w:sz="0" w:space="0" w:color="auto"/>
      </w:divBdr>
    </w:div>
    <w:div w:id="1230339936">
      <w:bodyDiv w:val="1"/>
      <w:marLeft w:val="0"/>
      <w:marRight w:val="0"/>
      <w:marTop w:val="0"/>
      <w:marBottom w:val="0"/>
      <w:divBdr>
        <w:top w:val="none" w:sz="0" w:space="0" w:color="auto"/>
        <w:left w:val="none" w:sz="0" w:space="0" w:color="auto"/>
        <w:bottom w:val="none" w:sz="0" w:space="0" w:color="auto"/>
        <w:right w:val="none" w:sz="0" w:space="0" w:color="auto"/>
      </w:divBdr>
    </w:div>
    <w:div w:id="1237587678">
      <w:bodyDiv w:val="1"/>
      <w:marLeft w:val="0"/>
      <w:marRight w:val="0"/>
      <w:marTop w:val="0"/>
      <w:marBottom w:val="0"/>
      <w:divBdr>
        <w:top w:val="none" w:sz="0" w:space="0" w:color="auto"/>
        <w:left w:val="none" w:sz="0" w:space="0" w:color="auto"/>
        <w:bottom w:val="none" w:sz="0" w:space="0" w:color="auto"/>
        <w:right w:val="none" w:sz="0" w:space="0" w:color="auto"/>
      </w:divBdr>
    </w:div>
    <w:div w:id="1245649844">
      <w:bodyDiv w:val="1"/>
      <w:marLeft w:val="0"/>
      <w:marRight w:val="0"/>
      <w:marTop w:val="0"/>
      <w:marBottom w:val="0"/>
      <w:divBdr>
        <w:top w:val="none" w:sz="0" w:space="0" w:color="auto"/>
        <w:left w:val="none" w:sz="0" w:space="0" w:color="auto"/>
        <w:bottom w:val="none" w:sz="0" w:space="0" w:color="auto"/>
        <w:right w:val="none" w:sz="0" w:space="0" w:color="auto"/>
      </w:divBdr>
    </w:div>
    <w:div w:id="1245803510">
      <w:bodyDiv w:val="1"/>
      <w:marLeft w:val="0"/>
      <w:marRight w:val="0"/>
      <w:marTop w:val="0"/>
      <w:marBottom w:val="0"/>
      <w:divBdr>
        <w:top w:val="none" w:sz="0" w:space="0" w:color="auto"/>
        <w:left w:val="none" w:sz="0" w:space="0" w:color="auto"/>
        <w:bottom w:val="none" w:sz="0" w:space="0" w:color="auto"/>
        <w:right w:val="none" w:sz="0" w:space="0" w:color="auto"/>
      </w:divBdr>
    </w:div>
    <w:div w:id="1249771943">
      <w:bodyDiv w:val="1"/>
      <w:marLeft w:val="0"/>
      <w:marRight w:val="0"/>
      <w:marTop w:val="0"/>
      <w:marBottom w:val="0"/>
      <w:divBdr>
        <w:top w:val="none" w:sz="0" w:space="0" w:color="auto"/>
        <w:left w:val="none" w:sz="0" w:space="0" w:color="auto"/>
        <w:bottom w:val="none" w:sz="0" w:space="0" w:color="auto"/>
        <w:right w:val="none" w:sz="0" w:space="0" w:color="auto"/>
      </w:divBdr>
    </w:div>
    <w:div w:id="1256473004">
      <w:bodyDiv w:val="1"/>
      <w:marLeft w:val="0"/>
      <w:marRight w:val="0"/>
      <w:marTop w:val="0"/>
      <w:marBottom w:val="0"/>
      <w:divBdr>
        <w:top w:val="none" w:sz="0" w:space="0" w:color="auto"/>
        <w:left w:val="none" w:sz="0" w:space="0" w:color="auto"/>
        <w:bottom w:val="none" w:sz="0" w:space="0" w:color="auto"/>
        <w:right w:val="none" w:sz="0" w:space="0" w:color="auto"/>
      </w:divBdr>
    </w:div>
    <w:div w:id="1313021908">
      <w:bodyDiv w:val="1"/>
      <w:marLeft w:val="0"/>
      <w:marRight w:val="0"/>
      <w:marTop w:val="0"/>
      <w:marBottom w:val="0"/>
      <w:divBdr>
        <w:top w:val="none" w:sz="0" w:space="0" w:color="auto"/>
        <w:left w:val="none" w:sz="0" w:space="0" w:color="auto"/>
        <w:bottom w:val="none" w:sz="0" w:space="0" w:color="auto"/>
        <w:right w:val="none" w:sz="0" w:space="0" w:color="auto"/>
      </w:divBdr>
    </w:div>
    <w:div w:id="1316836500">
      <w:bodyDiv w:val="1"/>
      <w:marLeft w:val="0"/>
      <w:marRight w:val="0"/>
      <w:marTop w:val="0"/>
      <w:marBottom w:val="0"/>
      <w:divBdr>
        <w:top w:val="none" w:sz="0" w:space="0" w:color="auto"/>
        <w:left w:val="none" w:sz="0" w:space="0" w:color="auto"/>
        <w:bottom w:val="none" w:sz="0" w:space="0" w:color="auto"/>
        <w:right w:val="none" w:sz="0" w:space="0" w:color="auto"/>
      </w:divBdr>
    </w:div>
    <w:div w:id="1326737771">
      <w:bodyDiv w:val="1"/>
      <w:marLeft w:val="0"/>
      <w:marRight w:val="0"/>
      <w:marTop w:val="0"/>
      <w:marBottom w:val="0"/>
      <w:divBdr>
        <w:top w:val="none" w:sz="0" w:space="0" w:color="auto"/>
        <w:left w:val="none" w:sz="0" w:space="0" w:color="auto"/>
        <w:bottom w:val="none" w:sz="0" w:space="0" w:color="auto"/>
        <w:right w:val="none" w:sz="0" w:space="0" w:color="auto"/>
      </w:divBdr>
    </w:div>
    <w:div w:id="1332029134">
      <w:bodyDiv w:val="1"/>
      <w:marLeft w:val="0"/>
      <w:marRight w:val="0"/>
      <w:marTop w:val="0"/>
      <w:marBottom w:val="0"/>
      <w:divBdr>
        <w:top w:val="none" w:sz="0" w:space="0" w:color="auto"/>
        <w:left w:val="none" w:sz="0" w:space="0" w:color="auto"/>
        <w:bottom w:val="none" w:sz="0" w:space="0" w:color="auto"/>
        <w:right w:val="none" w:sz="0" w:space="0" w:color="auto"/>
      </w:divBdr>
    </w:div>
    <w:div w:id="1345521356">
      <w:bodyDiv w:val="1"/>
      <w:marLeft w:val="0"/>
      <w:marRight w:val="0"/>
      <w:marTop w:val="0"/>
      <w:marBottom w:val="0"/>
      <w:divBdr>
        <w:top w:val="none" w:sz="0" w:space="0" w:color="auto"/>
        <w:left w:val="none" w:sz="0" w:space="0" w:color="auto"/>
        <w:bottom w:val="none" w:sz="0" w:space="0" w:color="auto"/>
        <w:right w:val="none" w:sz="0" w:space="0" w:color="auto"/>
      </w:divBdr>
    </w:div>
    <w:div w:id="1350720655">
      <w:bodyDiv w:val="1"/>
      <w:marLeft w:val="0"/>
      <w:marRight w:val="0"/>
      <w:marTop w:val="0"/>
      <w:marBottom w:val="0"/>
      <w:divBdr>
        <w:top w:val="none" w:sz="0" w:space="0" w:color="auto"/>
        <w:left w:val="none" w:sz="0" w:space="0" w:color="auto"/>
        <w:bottom w:val="none" w:sz="0" w:space="0" w:color="auto"/>
        <w:right w:val="none" w:sz="0" w:space="0" w:color="auto"/>
      </w:divBdr>
    </w:div>
    <w:div w:id="1350906495">
      <w:bodyDiv w:val="1"/>
      <w:marLeft w:val="0"/>
      <w:marRight w:val="0"/>
      <w:marTop w:val="0"/>
      <w:marBottom w:val="0"/>
      <w:divBdr>
        <w:top w:val="none" w:sz="0" w:space="0" w:color="auto"/>
        <w:left w:val="none" w:sz="0" w:space="0" w:color="auto"/>
        <w:bottom w:val="none" w:sz="0" w:space="0" w:color="auto"/>
        <w:right w:val="none" w:sz="0" w:space="0" w:color="auto"/>
      </w:divBdr>
    </w:div>
    <w:div w:id="1366254687">
      <w:bodyDiv w:val="1"/>
      <w:marLeft w:val="0"/>
      <w:marRight w:val="0"/>
      <w:marTop w:val="0"/>
      <w:marBottom w:val="0"/>
      <w:divBdr>
        <w:top w:val="none" w:sz="0" w:space="0" w:color="auto"/>
        <w:left w:val="none" w:sz="0" w:space="0" w:color="auto"/>
        <w:bottom w:val="none" w:sz="0" w:space="0" w:color="auto"/>
        <w:right w:val="none" w:sz="0" w:space="0" w:color="auto"/>
      </w:divBdr>
    </w:div>
    <w:div w:id="1429812282">
      <w:bodyDiv w:val="1"/>
      <w:marLeft w:val="0"/>
      <w:marRight w:val="0"/>
      <w:marTop w:val="0"/>
      <w:marBottom w:val="0"/>
      <w:divBdr>
        <w:top w:val="none" w:sz="0" w:space="0" w:color="auto"/>
        <w:left w:val="none" w:sz="0" w:space="0" w:color="auto"/>
        <w:bottom w:val="none" w:sz="0" w:space="0" w:color="auto"/>
        <w:right w:val="none" w:sz="0" w:space="0" w:color="auto"/>
      </w:divBdr>
    </w:div>
    <w:div w:id="1443644781">
      <w:bodyDiv w:val="1"/>
      <w:marLeft w:val="0"/>
      <w:marRight w:val="0"/>
      <w:marTop w:val="0"/>
      <w:marBottom w:val="0"/>
      <w:divBdr>
        <w:top w:val="none" w:sz="0" w:space="0" w:color="auto"/>
        <w:left w:val="none" w:sz="0" w:space="0" w:color="auto"/>
        <w:bottom w:val="none" w:sz="0" w:space="0" w:color="auto"/>
        <w:right w:val="none" w:sz="0" w:space="0" w:color="auto"/>
      </w:divBdr>
    </w:div>
    <w:div w:id="1453481924">
      <w:bodyDiv w:val="1"/>
      <w:marLeft w:val="0"/>
      <w:marRight w:val="0"/>
      <w:marTop w:val="0"/>
      <w:marBottom w:val="0"/>
      <w:divBdr>
        <w:top w:val="none" w:sz="0" w:space="0" w:color="auto"/>
        <w:left w:val="none" w:sz="0" w:space="0" w:color="auto"/>
        <w:bottom w:val="none" w:sz="0" w:space="0" w:color="auto"/>
        <w:right w:val="none" w:sz="0" w:space="0" w:color="auto"/>
      </w:divBdr>
    </w:div>
    <w:div w:id="1456409028">
      <w:bodyDiv w:val="1"/>
      <w:marLeft w:val="0"/>
      <w:marRight w:val="0"/>
      <w:marTop w:val="0"/>
      <w:marBottom w:val="0"/>
      <w:divBdr>
        <w:top w:val="none" w:sz="0" w:space="0" w:color="auto"/>
        <w:left w:val="none" w:sz="0" w:space="0" w:color="auto"/>
        <w:bottom w:val="none" w:sz="0" w:space="0" w:color="auto"/>
        <w:right w:val="none" w:sz="0" w:space="0" w:color="auto"/>
      </w:divBdr>
    </w:div>
    <w:div w:id="1475636673">
      <w:bodyDiv w:val="1"/>
      <w:marLeft w:val="0"/>
      <w:marRight w:val="0"/>
      <w:marTop w:val="0"/>
      <w:marBottom w:val="0"/>
      <w:divBdr>
        <w:top w:val="none" w:sz="0" w:space="0" w:color="auto"/>
        <w:left w:val="none" w:sz="0" w:space="0" w:color="auto"/>
        <w:bottom w:val="none" w:sz="0" w:space="0" w:color="auto"/>
        <w:right w:val="none" w:sz="0" w:space="0" w:color="auto"/>
      </w:divBdr>
    </w:div>
    <w:div w:id="1482581801">
      <w:bodyDiv w:val="1"/>
      <w:marLeft w:val="0"/>
      <w:marRight w:val="0"/>
      <w:marTop w:val="0"/>
      <w:marBottom w:val="0"/>
      <w:divBdr>
        <w:top w:val="none" w:sz="0" w:space="0" w:color="auto"/>
        <w:left w:val="none" w:sz="0" w:space="0" w:color="auto"/>
        <w:bottom w:val="none" w:sz="0" w:space="0" w:color="auto"/>
        <w:right w:val="none" w:sz="0" w:space="0" w:color="auto"/>
      </w:divBdr>
    </w:div>
    <w:div w:id="1510674312">
      <w:bodyDiv w:val="1"/>
      <w:marLeft w:val="0"/>
      <w:marRight w:val="0"/>
      <w:marTop w:val="0"/>
      <w:marBottom w:val="0"/>
      <w:divBdr>
        <w:top w:val="none" w:sz="0" w:space="0" w:color="auto"/>
        <w:left w:val="none" w:sz="0" w:space="0" w:color="auto"/>
        <w:bottom w:val="none" w:sz="0" w:space="0" w:color="auto"/>
        <w:right w:val="none" w:sz="0" w:space="0" w:color="auto"/>
      </w:divBdr>
    </w:div>
    <w:div w:id="1531651163">
      <w:bodyDiv w:val="1"/>
      <w:marLeft w:val="0"/>
      <w:marRight w:val="0"/>
      <w:marTop w:val="0"/>
      <w:marBottom w:val="0"/>
      <w:divBdr>
        <w:top w:val="none" w:sz="0" w:space="0" w:color="auto"/>
        <w:left w:val="none" w:sz="0" w:space="0" w:color="auto"/>
        <w:bottom w:val="none" w:sz="0" w:space="0" w:color="auto"/>
        <w:right w:val="none" w:sz="0" w:space="0" w:color="auto"/>
      </w:divBdr>
      <w:divsChild>
        <w:div w:id="1566643607">
          <w:marLeft w:val="0"/>
          <w:marRight w:val="0"/>
          <w:marTop w:val="0"/>
          <w:marBottom w:val="0"/>
          <w:divBdr>
            <w:top w:val="none" w:sz="0" w:space="0" w:color="auto"/>
            <w:left w:val="none" w:sz="0" w:space="0" w:color="auto"/>
            <w:bottom w:val="none" w:sz="0" w:space="0" w:color="auto"/>
            <w:right w:val="none" w:sz="0" w:space="0" w:color="auto"/>
          </w:divBdr>
          <w:divsChild>
            <w:div w:id="1485001623">
              <w:marLeft w:val="0"/>
              <w:marRight w:val="0"/>
              <w:marTop w:val="0"/>
              <w:marBottom w:val="0"/>
              <w:divBdr>
                <w:top w:val="none" w:sz="0" w:space="0" w:color="auto"/>
                <w:left w:val="none" w:sz="0" w:space="0" w:color="auto"/>
                <w:bottom w:val="none" w:sz="0" w:space="0" w:color="auto"/>
                <w:right w:val="none" w:sz="0" w:space="0" w:color="auto"/>
              </w:divBdr>
              <w:divsChild>
                <w:div w:id="334381880">
                  <w:marLeft w:val="0"/>
                  <w:marRight w:val="0"/>
                  <w:marTop w:val="0"/>
                  <w:marBottom w:val="0"/>
                  <w:divBdr>
                    <w:top w:val="none" w:sz="0" w:space="0" w:color="auto"/>
                    <w:left w:val="none" w:sz="0" w:space="0" w:color="auto"/>
                    <w:bottom w:val="none" w:sz="0" w:space="0" w:color="auto"/>
                    <w:right w:val="none" w:sz="0" w:space="0" w:color="auto"/>
                  </w:divBdr>
                  <w:divsChild>
                    <w:div w:id="58216327">
                      <w:marLeft w:val="0"/>
                      <w:marRight w:val="0"/>
                      <w:marTop w:val="0"/>
                      <w:marBottom w:val="0"/>
                      <w:divBdr>
                        <w:top w:val="none" w:sz="0" w:space="0" w:color="auto"/>
                        <w:left w:val="none" w:sz="0" w:space="0" w:color="auto"/>
                        <w:bottom w:val="none" w:sz="0" w:space="0" w:color="auto"/>
                        <w:right w:val="none" w:sz="0" w:space="0" w:color="auto"/>
                      </w:divBdr>
                      <w:divsChild>
                        <w:div w:id="1136146449">
                          <w:marLeft w:val="0"/>
                          <w:marRight w:val="0"/>
                          <w:marTop w:val="0"/>
                          <w:marBottom w:val="0"/>
                          <w:divBdr>
                            <w:top w:val="none" w:sz="0" w:space="0" w:color="auto"/>
                            <w:left w:val="none" w:sz="0" w:space="0" w:color="auto"/>
                            <w:bottom w:val="none" w:sz="0" w:space="0" w:color="auto"/>
                            <w:right w:val="none" w:sz="0" w:space="0" w:color="auto"/>
                          </w:divBdr>
                          <w:divsChild>
                            <w:div w:id="91674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115724">
      <w:bodyDiv w:val="1"/>
      <w:marLeft w:val="0"/>
      <w:marRight w:val="0"/>
      <w:marTop w:val="0"/>
      <w:marBottom w:val="0"/>
      <w:divBdr>
        <w:top w:val="none" w:sz="0" w:space="0" w:color="auto"/>
        <w:left w:val="none" w:sz="0" w:space="0" w:color="auto"/>
        <w:bottom w:val="none" w:sz="0" w:space="0" w:color="auto"/>
        <w:right w:val="none" w:sz="0" w:space="0" w:color="auto"/>
      </w:divBdr>
    </w:div>
    <w:div w:id="1545751244">
      <w:bodyDiv w:val="1"/>
      <w:marLeft w:val="0"/>
      <w:marRight w:val="0"/>
      <w:marTop w:val="0"/>
      <w:marBottom w:val="0"/>
      <w:divBdr>
        <w:top w:val="none" w:sz="0" w:space="0" w:color="auto"/>
        <w:left w:val="none" w:sz="0" w:space="0" w:color="auto"/>
        <w:bottom w:val="none" w:sz="0" w:space="0" w:color="auto"/>
        <w:right w:val="none" w:sz="0" w:space="0" w:color="auto"/>
      </w:divBdr>
    </w:div>
    <w:div w:id="1563131768">
      <w:bodyDiv w:val="1"/>
      <w:marLeft w:val="0"/>
      <w:marRight w:val="0"/>
      <w:marTop w:val="0"/>
      <w:marBottom w:val="0"/>
      <w:divBdr>
        <w:top w:val="none" w:sz="0" w:space="0" w:color="auto"/>
        <w:left w:val="none" w:sz="0" w:space="0" w:color="auto"/>
        <w:bottom w:val="none" w:sz="0" w:space="0" w:color="auto"/>
        <w:right w:val="none" w:sz="0" w:space="0" w:color="auto"/>
      </w:divBdr>
      <w:divsChild>
        <w:div w:id="132336197">
          <w:marLeft w:val="0"/>
          <w:marRight w:val="0"/>
          <w:marTop w:val="0"/>
          <w:marBottom w:val="0"/>
          <w:divBdr>
            <w:top w:val="none" w:sz="0" w:space="0" w:color="auto"/>
            <w:left w:val="none" w:sz="0" w:space="0" w:color="auto"/>
            <w:bottom w:val="none" w:sz="0" w:space="0" w:color="auto"/>
            <w:right w:val="none" w:sz="0" w:space="0" w:color="auto"/>
          </w:divBdr>
          <w:divsChild>
            <w:div w:id="1689064810">
              <w:marLeft w:val="0"/>
              <w:marRight w:val="0"/>
              <w:marTop w:val="0"/>
              <w:marBottom w:val="0"/>
              <w:divBdr>
                <w:top w:val="none" w:sz="0" w:space="0" w:color="auto"/>
                <w:left w:val="none" w:sz="0" w:space="0" w:color="auto"/>
                <w:bottom w:val="none" w:sz="0" w:space="0" w:color="auto"/>
                <w:right w:val="none" w:sz="0" w:space="0" w:color="auto"/>
              </w:divBdr>
              <w:divsChild>
                <w:div w:id="1054816923">
                  <w:marLeft w:val="0"/>
                  <w:marRight w:val="0"/>
                  <w:marTop w:val="0"/>
                  <w:marBottom w:val="0"/>
                  <w:divBdr>
                    <w:top w:val="none" w:sz="0" w:space="0" w:color="auto"/>
                    <w:left w:val="none" w:sz="0" w:space="0" w:color="auto"/>
                    <w:bottom w:val="none" w:sz="0" w:space="0" w:color="auto"/>
                    <w:right w:val="none" w:sz="0" w:space="0" w:color="auto"/>
                  </w:divBdr>
                  <w:divsChild>
                    <w:div w:id="200440038">
                      <w:marLeft w:val="0"/>
                      <w:marRight w:val="0"/>
                      <w:marTop w:val="0"/>
                      <w:marBottom w:val="0"/>
                      <w:divBdr>
                        <w:top w:val="none" w:sz="0" w:space="0" w:color="auto"/>
                        <w:left w:val="none" w:sz="0" w:space="0" w:color="auto"/>
                        <w:bottom w:val="none" w:sz="0" w:space="0" w:color="auto"/>
                        <w:right w:val="none" w:sz="0" w:space="0" w:color="auto"/>
                      </w:divBdr>
                      <w:divsChild>
                        <w:div w:id="1277981975">
                          <w:marLeft w:val="0"/>
                          <w:marRight w:val="0"/>
                          <w:marTop w:val="0"/>
                          <w:marBottom w:val="0"/>
                          <w:divBdr>
                            <w:top w:val="none" w:sz="0" w:space="0" w:color="auto"/>
                            <w:left w:val="none" w:sz="0" w:space="0" w:color="auto"/>
                            <w:bottom w:val="none" w:sz="0" w:space="0" w:color="auto"/>
                            <w:right w:val="none" w:sz="0" w:space="0" w:color="auto"/>
                          </w:divBdr>
                          <w:divsChild>
                            <w:div w:id="117403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118039">
      <w:bodyDiv w:val="1"/>
      <w:marLeft w:val="0"/>
      <w:marRight w:val="0"/>
      <w:marTop w:val="0"/>
      <w:marBottom w:val="0"/>
      <w:divBdr>
        <w:top w:val="none" w:sz="0" w:space="0" w:color="auto"/>
        <w:left w:val="none" w:sz="0" w:space="0" w:color="auto"/>
        <w:bottom w:val="none" w:sz="0" w:space="0" w:color="auto"/>
        <w:right w:val="none" w:sz="0" w:space="0" w:color="auto"/>
      </w:divBdr>
    </w:div>
    <w:div w:id="1575894346">
      <w:bodyDiv w:val="1"/>
      <w:marLeft w:val="0"/>
      <w:marRight w:val="0"/>
      <w:marTop w:val="0"/>
      <w:marBottom w:val="0"/>
      <w:divBdr>
        <w:top w:val="none" w:sz="0" w:space="0" w:color="auto"/>
        <w:left w:val="none" w:sz="0" w:space="0" w:color="auto"/>
        <w:bottom w:val="none" w:sz="0" w:space="0" w:color="auto"/>
        <w:right w:val="none" w:sz="0" w:space="0" w:color="auto"/>
      </w:divBdr>
    </w:div>
    <w:div w:id="1600140250">
      <w:bodyDiv w:val="1"/>
      <w:marLeft w:val="0"/>
      <w:marRight w:val="0"/>
      <w:marTop w:val="0"/>
      <w:marBottom w:val="0"/>
      <w:divBdr>
        <w:top w:val="none" w:sz="0" w:space="0" w:color="auto"/>
        <w:left w:val="none" w:sz="0" w:space="0" w:color="auto"/>
        <w:bottom w:val="none" w:sz="0" w:space="0" w:color="auto"/>
        <w:right w:val="none" w:sz="0" w:space="0" w:color="auto"/>
      </w:divBdr>
    </w:div>
    <w:div w:id="1616713378">
      <w:bodyDiv w:val="1"/>
      <w:marLeft w:val="0"/>
      <w:marRight w:val="0"/>
      <w:marTop w:val="0"/>
      <w:marBottom w:val="0"/>
      <w:divBdr>
        <w:top w:val="none" w:sz="0" w:space="0" w:color="auto"/>
        <w:left w:val="none" w:sz="0" w:space="0" w:color="auto"/>
        <w:bottom w:val="none" w:sz="0" w:space="0" w:color="auto"/>
        <w:right w:val="none" w:sz="0" w:space="0" w:color="auto"/>
      </w:divBdr>
    </w:div>
    <w:div w:id="1638989825">
      <w:bodyDiv w:val="1"/>
      <w:marLeft w:val="0"/>
      <w:marRight w:val="0"/>
      <w:marTop w:val="0"/>
      <w:marBottom w:val="0"/>
      <w:divBdr>
        <w:top w:val="none" w:sz="0" w:space="0" w:color="auto"/>
        <w:left w:val="none" w:sz="0" w:space="0" w:color="auto"/>
        <w:bottom w:val="none" w:sz="0" w:space="0" w:color="auto"/>
        <w:right w:val="none" w:sz="0" w:space="0" w:color="auto"/>
      </w:divBdr>
    </w:div>
    <w:div w:id="1646348032">
      <w:bodyDiv w:val="1"/>
      <w:marLeft w:val="0"/>
      <w:marRight w:val="0"/>
      <w:marTop w:val="0"/>
      <w:marBottom w:val="0"/>
      <w:divBdr>
        <w:top w:val="none" w:sz="0" w:space="0" w:color="auto"/>
        <w:left w:val="none" w:sz="0" w:space="0" w:color="auto"/>
        <w:bottom w:val="none" w:sz="0" w:space="0" w:color="auto"/>
        <w:right w:val="none" w:sz="0" w:space="0" w:color="auto"/>
      </w:divBdr>
    </w:div>
    <w:div w:id="1650864603">
      <w:bodyDiv w:val="1"/>
      <w:marLeft w:val="0"/>
      <w:marRight w:val="0"/>
      <w:marTop w:val="0"/>
      <w:marBottom w:val="0"/>
      <w:divBdr>
        <w:top w:val="none" w:sz="0" w:space="0" w:color="auto"/>
        <w:left w:val="none" w:sz="0" w:space="0" w:color="auto"/>
        <w:bottom w:val="none" w:sz="0" w:space="0" w:color="auto"/>
        <w:right w:val="none" w:sz="0" w:space="0" w:color="auto"/>
      </w:divBdr>
    </w:div>
    <w:div w:id="1653409907">
      <w:bodyDiv w:val="1"/>
      <w:marLeft w:val="0"/>
      <w:marRight w:val="0"/>
      <w:marTop w:val="0"/>
      <w:marBottom w:val="0"/>
      <w:divBdr>
        <w:top w:val="none" w:sz="0" w:space="0" w:color="auto"/>
        <w:left w:val="none" w:sz="0" w:space="0" w:color="auto"/>
        <w:bottom w:val="none" w:sz="0" w:space="0" w:color="auto"/>
        <w:right w:val="none" w:sz="0" w:space="0" w:color="auto"/>
      </w:divBdr>
    </w:div>
    <w:div w:id="1660428238">
      <w:bodyDiv w:val="1"/>
      <w:marLeft w:val="0"/>
      <w:marRight w:val="0"/>
      <w:marTop w:val="0"/>
      <w:marBottom w:val="0"/>
      <w:divBdr>
        <w:top w:val="none" w:sz="0" w:space="0" w:color="auto"/>
        <w:left w:val="none" w:sz="0" w:space="0" w:color="auto"/>
        <w:bottom w:val="none" w:sz="0" w:space="0" w:color="auto"/>
        <w:right w:val="none" w:sz="0" w:space="0" w:color="auto"/>
      </w:divBdr>
    </w:div>
    <w:div w:id="1691837206">
      <w:bodyDiv w:val="1"/>
      <w:marLeft w:val="0"/>
      <w:marRight w:val="0"/>
      <w:marTop w:val="0"/>
      <w:marBottom w:val="0"/>
      <w:divBdr>
        <w:top w:val="none" w:sz="0" w:space="0" w:color="auto"/>
        <w:left w:val="none" w:sz="0" w:space="0" w:color="auto"/>
        <w:bottom w:val="none" w:sz="0" w:space="0" w:color="auto"/>
        <w:right w:val="none" w:sz="0" w:space="0" w:color="auto"/>
      </w:divBdr>
    </w:div>
    <w:div w:id="1706636708">
      <w:bodyDiv w:val="1"/>
      <w:marLeft w:val="0"/>
      <w:marRight w:val="0"/>
      <w:marTop w:val="0"/>
      <w:marBottom w:val="0"/>
      <w:divBdr>
        <w:top w:val="none" w:sz="0" w:space="0" w:color="auto"/>
        <w:left w:val="none" w:sz="0" w:space="0" w:color="auto"/>
        <w:bottom w:val="none" w:sz="0" w:space="0" w:color="auto"/>
        <w:right w:val="none" w:sz="0" w:space="0" w:color="auto"/>
      </w:divBdr>
    </w:div>
    <w:div w:id="1713000964">
      <w:bodyDiv w:val="1"/>
      <w:marLeft w:val="0"/>
      <w:marRight w:val="0"/>
      <w:marTop w:val="0"/>
      <w:marBottom w:val="0"/>
      <w:divBdr>
        <w:top w:val="none" w:sz="0" w:space="0" w:color="auto"/>
        <w:left w:val="none" w:sz="0" w:space="0" w:color="auto"/>
        <w:bottom w:val="none" w:sz="0" w:space="0" w:color="auto"/>
        <w:right w:val="none" w:sz="0" w:space="0" w:color="auto"/>
      </w:divBdr>
    </w:div>
    <w:div w:id="1739327905">
      <w:bodyDiv w:val="1"/>
      <w:marLeft w:val="0"/>
      <w:marRight w:val="0"/>
      <w:marTop w:val="0"/>
      <w:marBottom w:val="0"/>
      <w:divBdr>
        <w:top w:val="none" w:sz="0" w:space="0" w:color="auto"/>
        <w:left w:val="none" w:sz="0" w:space="0" w:color="auto"/>
        <w:bottom w:val="none" w:sz="0" w:space="0" w:color="auto"/>
        <w:right w:val="none" w:sz="0" w:space="0" w:color="auto"/>
      </w:divBdr>
    </w:div>
    <w:div w:id="1745102090">
      <w:bodyDiv w:val="1"/>
      <w:marLeft w:val="0"/>
      <w:marRight w:val="0"/>
      <w:marTop w:val="0"/>
      <w:marBottom w:val="0"/>
      <w:divBdr>
        <w:top w:val="none" w:sz="0" w:space="0" w:color="auto"/>
        <w:left w:val="none" w:sz="0" w:space="0" w:color="auto"/>
        <w:bottom w:val="none" w:sz="0" w:space="0" w:color="auto"/>
        <w:right w:val="none" w:sz="0" w:space="0" w:color="auto"/>
      </w:divBdr>
    </w:div>
    <w:div w:id="1770467547">
      <w:bodyDiv w:val="1"/>
      <w:marLeft w:val="0"/>
      <w:marRight w:val="0"/>
      <w:marTop w:val="0"/>
      <w:marBottom w:val="0"/>
      <w:divBdr>
        <w:top w:val="none" w:sz="0" w:space="0" w:color="auto"/>
        <w:left w:val="none" w:sz="0" w:space="0" w:color="auto"/>
        <w:bottom w:val="none" w:sz="0" w:space="0" w:color="auto"/>
        <w:right w:val="none" w:sz="0" w:space="0" w:color="auto"/>
      </w:divBdr>
    </w:div>
    <w:div w:id="1776514363">
      <w:bodyDiv w:val="1"/>
      <w:marLeft w:val="0"/>
      <w:marRight w:val="0"/>
      <w:marTop w:val="0"/>
      <w:marBottom w:val="0"/>
      <w:divBdr>
        <w:top w:val="none" w:sz="0" w:space="0" w:color="auto"/>
        <w:left w:val="none" w:sz="0" w:space="0" w:color="auto"/>
        <w:bottom w:val="none" w:sz="0" w:space="0" w:color="auto"/>
        <w:right w:val="none" w:sz="0" w:space="0" w:color="auto"/>
      </w:divBdr>
    </w:div>
    <w:div w:id="1812861759">
      <w:bodyDiv w:val="1"/>
      <w:marLeft w:val="0"/>
      <w:marRight w:val="0"/>
      <w:marTop w:val="0"/>
      <w:marBottom w:val="0"/>
      <w:divBdr>
        <w:top w:val="none" w:sz="0" w:space="0" w:color="auto"/>
        <w:left w:val="none" w:sz="0" w:space="0" w:color="auto"/>
        <w:bottom w:val="none" w:sz="0" w:space="0" w:color="auto"/>
        <w:right w:val="none" w:sz="0" w:space="0" w:color="auto"/>
      </w:divBdr>
    </w:div>
    <w:div w:id="1817379564">
      <w:bodyDiv w:val="1"/>
      <w:marLeft w:val="0"/>
      <w:marRight w:val="0"/>
      <w:marTop w:val="0"/>
      <w:marBottom w:val="0"/>
      <w:divBdr>
        <w:top w:val="none" w:sz="0" w:space="0" w:color="auto"/>
        <w:left w:val="none" w:sz="0" w:space="0" w:color="auto"/>
        <w:bottom w:val="none" w:sz="0" w:space="0" w:color="auto"/>
        <w:right w:val="none" w:sz="0" w:space="0" w:color="auto"/>
      </w:divBdr>
    </w:div>
    <w:div w:id="1820732719">
      <w:bodyDiv w:val="1"/>
      <w:marLeft w:val="0"/>
      <w:marRight w:val="0"/>
      <w:marTop w:val="0"/>
      <w:marBottom w:val="0"/>
      <w:divBdr>
        <w:top w:val="none" w:sz="0" w:space="0" w:color="auto"/>
        <w:left w:val="none" w:sz="0" w:space="0" w:color="auto"/>
        <w:bottom w:val="none" w:sz="0" w:space="0" w:color="auto"/>
        <w:right w:val="none" w:sz="0" w:space="0" w:color="auto"/>
      </w:divBdr>
    </w:div>
    <w:div w:id="1837186164">
      <w:bodyDiv w:val="1"/>
      <w:marLeft w:val="0"/>
      <w:marRight w:val="0"/>
      <w:marTop w:val="0"/>
      <w:marBottom w:val="0"/>
      <w:divBdr>
        <w:top w:val="none" w:sz="0" w:space="0" w:color="auto"/>
        <w:left w:val="none" w:sz="0" w:space="0" w:color="auto"/>
        <w:bottom w:val="none" w:sz="0" w:space="0" w:color="auto"/>
        <w:right w:val="none" w:sz="0" w:space="0" w:color="auto"/>
      </w:divBdr>
    </w:div>
    <w:div w:id="1865048933">
      <w:bodyDiv w:val="1"/>
      <w:marLeft w:val="0"/>
      <w:marRight w:val="0"/>
      <w:marTop w:val="0"/>
      <w:marBottom w:val="0"/>
      <w:divBdr>
        <w:top w:val="none" w:sz="0" w:space="0" w:color="auto"/>
        <w:left w:val="none" w:sz="0" w:space="0" w:color="auto"/>
        <w:bottom w:val="none" w:sz="0" w:space="0" w:color="auto"/>
        <w:right w:val="none" w:sz="0" w:space="0" w:color="auto"/>
      </w:divBdr>
    </w:div>
    <w:div w:id="1882084112">
      <w:bodyDiv w:val="1"/>
      <w:marLeft w:val="0"/>
      <w:marRight w:val="0"/>
      <w:marTop w:val="0"/>
      <w:marBottom w:val="0"/>
      <w:divBdr>
        <w:top w:val="none" w:sz="0" w:space="0" w:color="auto"/>
        <w:left w:val="none" w:sz="0" w:space="0" w:color="auto"/>
        <w:bottom w:val="none" w:sz="0" w:space="0" w:color="auto"/>
        <w:right w:val="none" w:sz="0" w:space="0" w:color="auto"/>
      </w:divBdr>
    </w:div>
    <w:div w:id="1889493090">
      <w:bodyDiv w:val="1"/>
      <w:marLeft w:val="0"/>
      <w:marRight w:val="0"/>
      <w:marTop w:val="0"/>
      <w:marBottom w:val="0"/>
      <w:divBdr>
        <w:top w:val="none" w:sz="0" w:space="0" w:color="auto"/>
        <w:left w:val="none" w:sz="0" w:space="0" w:color="auto"/>
        <w:bottom w:val="none" w:sz="0" w:space="0" w:color="auto"/>
        <w:right w:val="none" w:sz="0" w:space="0" w:color="auto"/>
      </w:divBdr>
    </w:div>
    <w:div w:id="1892381984">
      <w:bodyDiv w:val="1"/>
      <w:marLeft w:val="0"/>
      <w:marRight w:val="0"/>
      <w:marTop w:val="0"/>
      <w:marBottom w:val="0"/>
      <w:divBdr>
        <w:top w:val="none" w:sz="0" w:space="0" w:color="auto"/>
        <w:left w:val="none" w:sz="0" w:space="0" w:color="auto"/>
        <w:bottom w:val="none" w:sz="0" w:space="0" w:color="auto"/>
        <w:right w:val="none" w:sz="0" w:space="0" w:color="auto"/>
      </w:divBdr>
    </w:div>
    <w:div w:id="1897161680">
      <w:bodyDiv w:val="1"/>
      <w:marLeft w:val="0"/>
      <w:marRight w:val="0"/>
      <w:marTop w:val="0"/>
      <w:marBottom w:val="0"/>
      <w:divBdr>
        <w:top w:val="none" w:sz="0" w:space="0" w:color="auto"/>
        <w:left w:val="none" w:sz="0" w:space="0" w:color="auto"/>
        <w:bottom w:val="none" w:sz="0" w:space="0" w:color="auto"/>
        <w:right w:val="none" w:sz="0" w:space="0" w:color="auto"/>
      </w:divBdr>
    </w:div>
    <w:div w:id="1903979694">
      <w:bodyDiv w:val="1"/>
      <w:marLeft w:val="0"/>
      <w:marRight w:val="0"/>
      <w:marTop w:val="0"/>
      <w:marBottom w:val="0"/>
      <w:divBdr>
        <w:top w:val="none" w:sz="0" w:space="0" w:color="auto"/>
        <w:left w:val="none" w:sz="0" w:space="0" w:color="auto"/>
        <w:bottom w:val="none" w:sz="0" w:space="0" w:color="auto"/>
        <w:right w:val="none" w:sz="0" w:space="0" w:color="auto"/>
      </w:divBdr>
    </w:div>
    <w:div w:id="1947350628">
      <w:bodyDiv w:val="1"/>
      <w:marLeft w:val="0"/>
      <w:marRight w:val="0"/>
      <w:marTop w:val="0"/>
      <w:marBottom w:val="0"/>
      <w:divBdr>
        <w:top w:val="none" w:sz="0" w:space="0" w:color="auto"/>
        <w:left w:val="none" w:sz="0" w:space="0" w:color="auto"/>
        <w:bottom w:val="none" w:sz="0" w:space="0" w:color="auto"/>
        <w:right w:val="none" w:sz="0" w:space="0" w:color="auto"/>
      </w:divBdr>
    </w:div>
    <w:div w:id="1948930660">
      <w:bodyDiv w:val="1"/>
      <w:marLeft w:val="0"/>
      <w:marRight w:val="0"/>
      <w:marTop w:val="0"/>
      <w:marBottom w:val="0"/>
      <w:divBdr>
        <w:top w:val="none" w:sz="0" w:space="0" w:color="auto"/>
        <w:left w:val="none" w:sz="0" w:space="0" w:color="auto"/>
        <w:bottom w:val="none" w:sz="0" w:space="0" w:color="auto"/>
        <w:right w:val="none" w:sz="0" w:space="0" w:color="auto"/>
      </w:divBdr>
    </w:div>
    <w:div w:id="1949115409">
      <w:bodyDiv w:val="1"/>
      <w:marLeft w:val="0"/>
      <w:marRight w:val="0"/>
      <w:marTop w:val="0"/>
      <w:marBottom w:val="0"/>
      <w:divBdr>
        <w:top w:val="none" w:sz="0" w:space="0" w:color="auto"/>
        <w:left w:val="none" w:sz="0" w:space="0" w:color="auto"/>
        <w:bottom w:val="none" w:sz="0" w:space="0" w:color="auto"/>
        <w:right w:val="none" w:sz="0" w:space="0" w:color="auto"/>
      </w:divBdr>
    </w:div>
    <w:div w:id="1952666434">
      <w:bodyDiv w:val="1"/>
      <w:marLeft w:val="0"/>
      <w:marRight w:val="0"/>
      <w:marTop w:val="0"/>
      <w:marBottom w:val="0"/>
      <w:divBdr>
        <w:top w:val="none" w:sz="0" w:space="0" w:color="auto"/>
        <w:left w:val="none" w:sz="0" w:space="0" w:color="auto"/>
        <w:bottom w:val="none" w:sz="0" w:space="0" w:color="auto"/>
        <w:right w:val="none" w:sz="0" w:space="0" w:color="auto"/>
      </w:divBdr>
    </w:div>
    <w:div w:id="1960912166">
      <w:bodyDiv w:val="1"/>
      <w:marLeft w:val="0"/>
      <w:marRight w:val="0"/>
      <w:marTop w:val="0"/>
      <w:marBottom w:val="0"/>
      <w:divBdr>
        <w:top w:val="none" w:sz="0" w:space="0" w:color="auto"/>
        <w:left w:val="none" w:sz="0" w:space="0" w:color="auto"/>
        <w:bottom w:val="none" w:sz="0" w:space="0" w:color="auto"/>
        <w:right w:val="none" w:sz="0" w:space="0" w:color="auto"/>
      </w:divBdr>
    </w:div>
    <w:div w:id="1996453945">
      <w:bodyDiv w:val="1"/>
      <w:marLeft w:val="0"/>
      <w:marRight w:val="0"/>
      <w:marTop w:val="0"/>
      <w:marBottom w:val="0"/>
      <w:divBdr>
        <w:top w:val="none" w:sz="0" w:space="0" w:color="auto"/>
        <w:left w:val="none" w:sz="0" w:space="0" w:color="auto"/>
        <w:bottom w:val="none" w:sz="0" w:space="0" w:color="auto"/>
        <w:right w:val="none" w:sz="0" w:space="0" w:color="auto"/>
      </w:divBdr>
    </w:div>
    <w:div w:id="2017540386">
      <w:bodyDiv w:val="1"/>
      <w:marLeft w:val="0"/>
      <w:marRight w:val="0"/>
      <w:marTop w:val="0"/>
      <w:marBottom w:val="0"/>
      <w:divBdr>
        <w:top w:val="none" w:sz="0" w:space="0" w:color="auto"/>
        <w:left w:val="none" w:sz="0" w:space="0" w:color="auto"/>
        <w:bottom w:val="none" w:sz="0" w:space="0" w:color="auto"/>
        <w:right w:val="none" w:sz="0" w:space="0" w:color="auto"/>
      </w:divBdr>
    </w:div>
    <w:div w:id="2047875577">
      <w:bodyDiv w:val="1"/>
      <w:marLeft w:val="0"/>
      <w:marRight w:val="0"/>
      <w:marTop w:val="0"/>
      <w:marBottom w:val="0"/>
      <w:divBdr>
        <w:top w:val="none" w:sz="0" w:space="0" w:color="auto"/>
        <w:left w:val="none" w:sz="0" w:space="0" w:color="auto"/>
        <w:bottom w:val="none" w:sz="0" w:space="0" w:color="auto"/>
        <w:right w:val="none" w:sz="0" w:space="0" w:color="auto"/>
      </w:divBdr>
    </w:div>
    <w:div w:id="2056195186">
      <w:bodyDiv w:val="1"/>
      <w:marLeft w:val="0"/>
      <w:marRight w:val="0"/>
      <w:marTop w:val="0"/>
      <w:marBottom w:val="0"/>
      <w:divBdr>
        <w:top w:val="none" w:sz="0" w:space="0" w:color="auto"/>
        <w:left w:val="none" w:sz="0" w:space="0" w:color="auto"/>
        <w:bottom w:val="none" w:sz="0" w:space="0" w:color="auto"/>
        <w:right w:val="none" w:sz="0" w:space="0" w:color="auto"/>
      </w:divBdr>
    </w:div>
    <w:div w:id="2091081358">
      <w:bodyDiv w:val="1"/>
      <w:marLeft w:val="0"/>
      <w:marRight w:val="0"/>
      <w:marTop w:val="0"/>
      <w:marBottom w:val="0"/>
      <w:divBdr>
        <w:top w:val="none" w:sz="0" w:space="0" w:color="auto"/>
        <w:left w:val="none" w:sz="0" w:space="0" w:color="auto"/>
        <w:bottom w:val="none" w:sz="0" w:space="0" w:color="auto"/>
        <w:right w:val="none" w:sz="0" w:space="0" w:color="auto"/>
      </w:divBdr>
    </w:div>
    <w:div w:id="2092847923">
      <w:bodyDiv w:val="1"/>
      <w:marLeft w:val="0"/>
      <w:marRight w:val="0"/>
      <w:marTop w:val="0"/>
      <w:marBottom w:val="0"/>
      <w:divBdr>
        <w:top w:val="none" w:sz="0" w:space="0" w:color="auto"/>
        <w:left w:val="none" w:sz="0" w:space="0" w:color="auto"/>
        <w:bottom w:val="none" w:sz="0" w:space="0" w:color="auto"/>
        <w:right w:val="none" w:sz="0" w:space="0" w:color="auto"/>
      </w:divBdr>
    </w:div>
    <w:div w:id="2102027120">
      <w:bodyDiv w:val="1"/>
      <w:marLeft w:val="0"/>
      <w:marRight w:val="0"/>
      <w:marTop w:val="0"/>
      <w:marBottom w:val="0"/>
      <w:divBdr>
        <w:top w:val="none" w:sz="0" w:space="0" w:color="auto"/>
        <w:left w:val="none" w:sz="0" w:space="0" w:color="auto"/>
        <w:bottom w:val="none" w:sz="0" w:space="0" w:color="auto"/>
        <w:right w:val="none" w:sz="0" w:space="0" w:color="auto"/>
      </w:divBdr>
    </w:div>
    <w:div w:id="2107116522">
      <w:bodyDiv w:val="1"/>
      <w:marLeft w:val="0"/>
      <w:marRight w:val="0"/>
      <w:marTop w:val="0"/>
      <w:marBottom w:val="0"/>
      <w:divBdr>
        <w:top w:val="none" w:sz="0" w:space="0" w:color="auto"/>
        <w:left w:val="none" w:sz="0" w:space="0" w:color="auto"/>
        <w:bottom w:val="none" w:sz="0" w:space="0" w:color="auto"/>
        <w:right w:val="none" w:sz="0" w:space="0" w:color="auto"/>
      </w:divBdr>
    </w:div>
    <w:div w:id="2142653543">
      <w:bodyDiv w:val="1"/>
      <w:marLeft w:val="0"/>
      <w:marRight w:val="0"/>
      <w:marTop w:val="0"/>
      <w:marBottom w:val="0"/>
      <w:divBdr>
        <w:top w:val="none" w:sz="0" w:space="0" w:color="auto"/>
        <w:left w:val="none" w:sz="0" w:space="0" w:color="auto"/>
        <w:bottom w:val="none" w:sz="0" w:space="0" w:color="auto"/>
        <w:right w:val="none" w:sz="0" w:space="0" w:color="auto"/>
      </w:divBdr>
      <w:divsChild>
        <w:div w:id="649948309">
          <w:marLeft w:val="0"/>
          <w:marRight w:val="0"/>
          <w:marTop w:val="0"/>
          <w:marBottom w:val="0"/>
          <w:divBdr>
            <w:top w:val="single" w:sz="2" w:space="0" w:color="D9D9E3"/>
            <w:left w:val="single" w:sz="2" w:space="0" w:color="D9D9E3"/>
            <w:bottom w:val="single" w:sz="2" w:space="0" w:color="D9D9E3"/>
            <w:right w:val="single" w:sz="2" w:space="0" w:color="D9D9E3"/>
          </w:divBdr>
          <w:divsChild>
            <w:div w:id="1756247588">
              <w:marLeft w:val="0"/>
              <w:marRight w:val="0"/>
              <w:marTop w:val="0"/>
              <w:marBottom w:val="0"/>
              <w:divBdr>
                <w:top w:val="single" w:sz="2" w:space="0" w:color="D9D9E3"/>
                <w:left w:val="single" w:sz="2" w:space="0" w:color="D9D9E3"/>
                <w:bottom w:val="single" w:sz="2" w:space="0" w:color="D9D9E3"/>
                <w:right w:val="single" w:sz="2" w:space="0" w:color="D9D9E3"/>
              </w:divBdr>
              <w:divsChild>
                <w:div w:id="1377857396">
                  <w:marLeft w:val="0"/>
                  <w:marRight w:val="0"/>
                  <w:marTop w:val="0"/>
                  <w:marBottom w:val="0"/>
                  <w:divBdr>
                    <w:top w:val="single" w:sz="2" w:space="0" w:color="D9D9E3"/>
                    <w:left w:val="single" w:sz="2" w:space="0" w:color="D9D9E3"/>
                    <w:bottom w:val="single" w:sz="2" w:space="0" w:color="D9D9E3"/>
                    <w:right w:val="single" w:sz="2" w:space="0" w:color="D9D9E3"/>
                  </w:divBdr>
                  <w:divsChild>
                    <w:div w:id="593828808">
                      <w:marLeft w:val="0"/>
                      <w:marRight w:val="0"/>
                      <w:marTop w:val="0"/>
                      <w:marBottom w:val="0"/>
                      <w:divBdr>
                        <w:top w:val="single" w:sz="2" w:space="0" w:color="D9D9E3"/>
                        <w:left w:val="single" w:sz="2" w:space="0" w:color="D9D9E3"/>
                        <w:bottom w:val="single" w:sz="2" w:space="0" w:color="D9D9E3"/>
                        <w:right w:val="single" w:sz="2" w:space="0" w:color="D9D9E3"/>
                      </w:divBdr>
                      <w:divsChild>
                        <w:div w:id="1406489240">
                          <w:marLeft w:val="0"/>
                          <w:marRight w:val="0"/>
                          <w:marTop w:val="0"/>
                          <w:marBottom w:val="0"/>
                          <w:divBdr>
                            <w:top w:val="single" w:sz="2" w:space="0" w:color="D9D9E3"/>
                            <w:left w:val="single" w:sz="2" w:space="0" w:color="D9D9E3"/>
                            <w:bottom w:val="single" w:sz="2" w:space="0" w:color="D9D9E3"/>
                            <w:right w:val="single" w:sz="2" w:space="0" w:color="D9D9E3"/>
                          </w:divBdr>
                          <w:divsChild>
                            <w:div w:id="2115055601">
                              <w:marLeft w:val="0"/>
                              <w:marRight w:val="0"/>
                              <w:marTop w:val="100"/>
                              <w:marBottom w:val="100"/>
                              <w:divBdr>
                                <w:top w:val="single" w:sz="2" w:space="0" w:color="D9D9E3"/>
                                <w:left w:val="single" w:sz="2" w:space="0" w:color="D9D9E3"/>
                                <w:bottom w:val="single" w:sz="2" w:space="0" w:color="D9D9E3"/>
                                <w:right w:val="single" w:sz="2" w:space="0" w:color="D9D9E3"/>
                              </w:divBdr>
                              <w:divsChild>
                                <w:div w:id="1552420021">
                                  <w:marLeft w:val="0"/>
                                  <w:marRight w:val="0"/>
                                  <w:marTop w:val="0"/>
                                  <w:marBottom w:val="0"/>
                                  <w:divBdr>
                                    <w:top w:val="single" w:sz="2" w:space="0" w:color="D9D9E3"/>
                                    <w:left w:val="single" w:sz="2" w:space="0" w:color="D9D9E3"/>
                                    <w:bottom w:val="single" w:sz="2" w:space="0" w:color="D9D9E3"/>
                                    <w:right w:val="single" w:sz="2" w:space="0" w:color="D9D9E3"/>
                                  </w:divBdr>
                                  <w:divsChild>
                                    <w:div w:id="254827062">
                                      <w:marLeft w:val="0"/>
                                      <w:marRight w:val="0"/>
                                      <w:marTop w:val="0"/>
                                      <w:marBottom w:val="0"/>
                                      <w:divBdr>
                                        <w:top w:val="single" w:sz="2" w:space="0" w:color="D9D9E3"/>
                                        <w:left w:val="single" w:sz="2" w:space="0" w:color="D9D9E3"/>
                                        <w:bottom w:val="single" w:sz="2" w:space="0" w:color="D9D9E3"/>
                                        <w:right w:val="single" w:sz="2" w:space="0" w:color="D9D9E3"/>
                                      </w:divBdr>
                                      <w:divsChild>
                                        <w:div w:id="1811705464">
                                          <w:marLeft w:val="0"/>
                                          <w:marRight w:val="0"/>
                                          <w:marTop w:val="0"/>
                                          <w:marBottom w:val="0"/>
                                          <w:divBdr>
                                            <w:top w:val="single" w:sz="2" w:space="0" w:color="D9D9E3"/>
                                            <w:left w:val="single" w:sz="2" w:space="0" w:color="D9D9E3"/>
                                            <w:bottom w:val="single" w:sz="2" w:space="0" w:color="D9D9E3"/>
                                            <w:right w:val="single" w:sz="2" w:space="0" w:color="D9D9E3"/>
                                          </w:divBdr>
                                          <w:divsChild>
                                            <w:div w:id="1839418159">
                                              <w:marLeft w:val="0"/>
                                              <w:marRight w:val="0"/>
                                              <w:marTop w:val="0"/>
                                              <w:marBottom w:val="0"/>
                                              <w:divBdr>
                                                <w:top w:val="single" w:sz="2" w:space="0" w:color="D9D9E3"/>
                                                <w:left w:val="single" w:sz="2" w:space="0" w:color="D9D9E3"/>
                                                <w:bottom w:val="single" w:sz="2" w:space="0" w:color="D9D9E3"/>
                                                <w:right w:val="single" w:sz="2" w:space="0" w:color="D9D9E3"/>
                                              </w:divBdr>
                                              <w:divsChild>
                                                <w:div w:id="1862476308">
                                                  <w:marLeft w:val="0"/>
                                                  <w:marRight w:val="0"/>
                                                  <w:marTop w:val="0"/>
                                                  <w:marBottom w:val="0"/>
                                                  <w:divBdr>
                                                    <w:top w:val="single" w:sz="2" w:space="0" w:color="D9D9E3"/>
                                                    <w:left w:val="single" w:sz="2" w:space="0" w:color="D9D9E3"/>
                                                    <w:bottom w:val="single" w:sz="2" w:space="0" w:color="D9D9E3"/>
                                                    <w:right w:val="single" w:sz="2" w:space="0" w:color="D9D9E3"/>
                                                  </w:divBdr>
                                                  <w:divsChild>
                                                    <w:div w:id="1364611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89398062">
          <w:marLeft w:val="0"/>
          <w:marRight w:val="0"/>
          <w:marTop w:val="0"/>
          <w:marBottom w:val="0"/>
          <w:divBdr>
            <w:top w:val="none" w:sz="0" w:space="0" w:color="auto"/>
            <w:left w:val="none" w:sz="0" w:space="0" w:color="auto"/>
            <w:bottom w:val="none" w:sz="0" w:space="0" w:color="auto"/>
            <w:right w:val="none" w:sz="0" w:space="0" w:color="auto"/>
          </w:divBdr>
        </w:div>
      </w:divsChild>
    </w:div>
    <w:div w:id="2145854352">
      <w:bodyDiv w:val="1"/>
      <w:marLeft w:val="0"/>
      <w:marRight w:val="0"/>
      <w:marTop w:val="0"/>
      <w:marBottom w:val="0"/>
      <w:divBdr>
        <w:top w:val="none" w:sz="0" w:space="0" w:color="auto"/>
        <w:left w:val="none" w:sz="0" w:space="0" w:color="auto"/>
        <w:bottom w:val="none" w:sz="0" w:space="0" w:color="auto"/>
        <w:right w:val="none" w:sz="0" w:space="0" w:color="auto"/>
      </w:divBdr>
      <w:divsChild>
        <w:div w:id="171728409">
          <w:marLeft w:val="0"/>
          <w:marRight w:val="0"/>
          <w:marTop w:val="0"/>
          <w:marBottom w:val="0"/>
          <w:divBdr>
            <w:top w:val="single" w:sz="2" w:space="0" w:color="D9D9E3"/>
            <w:left w:val="single" w:sz="2" w:space="0" w:color="D9D9E3"/>
            <w:bottom w:val="single" w:sz="2" w:space="0" w:color="D9D9E3"/>
            <w:right w:val="single" w:sz="2" w:space="0" w:color="D9D9E3"/>
          </w:divBdr>
          <w:divsChild>
            <w:div w:id="2125072368">
              <w:marLeft w:val="0"/>
              <w:marRight w:val="0"/>
              <w:marTop w:val="0"/>
              <w:marBottom w:val="0"/>
              <w:divBdr>
                <w:top w:val="single" w:sz="2" w:space="0" w:color="D9D9E3"/>
                <w:left w:val="single" w:sz="2" w:space="0" w:color="D9D9E3"/>
                <w:bottom w:val="single" w:sz="2" w:space="0" w:color="D9D9E3"/>
                <w:right w:val="single" w:sz="2" w:space="0" w:color="D9D9E3"/>
              </w:divBdr>
              <w:divsChild>
                <w:div w:id="847907924">
                  <w:marLeft w:val="0"/>
                  <w:marRight w:val="0"/>
                  <w:marTop w:val="0"/>
                  <w:marBottom w:val="0"/>
                  <w:divBdr>
                    <w:top w:val="single" w:sz="2" w:space="0" w:color="D9D9E3"/>
                    <w:left w:val="single" w:sz="2" w:space="0" w:color="D9D9E3"/>
                    <w:bottom w:val="single" w:sz="2" w:space="0" w:color="D9D9E3"/>
                    <w:right w:val="single" w:sz="2" w:space="0" w:color="D9D9E3"/>
                  </w:divBdr>
                  <w:divsChild>
                    <w:div w:id="3371959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27560249">
          <w:marLeft w:val="0"/>
          <w:marRight w:val="0"/>
          <w:marTop w:val="0"/>
          <w:marBottom w:val="0"/>
          <w:divBdr>
            <w:top w:val="single" w:sz="2" w:space="0" w:color="D9D9E3"/>
            <w:left w:val="single" w:sz="2" w:space="0" w:color="D9D9E3"/>
            <w:bottom w:val="single" w:sz="2" w:space="0" w:color="D9D9E3"/>
            <w:right w:val="single" w:sz="2" w:space="0" w:color="D9D9E3"/>
          </w:divBdr>
          <w:divsChild>
            <w:div w:id="910772149">
              <w:marLeft w:val="0"/>
              <w:marRight w:val="0"/>
              <w:marTop w:val="0"/>
              <w:marBottom w:val="0"/>
              <w:divBdr>
                <w:top w:val="single" w:sz="2" w:space="0" w:color="D9D9E3"/>
                <w:left w:val="single" w:sz="2" w:space="0" w:color="D9D9E3"/>
                <w:bottom w:val="single" w:sz="2" w:space="0" w:color="D9D9E3"/>
                <w:right w:val="single" w:sz="2" w:space="0" w:color="D9D9E3"/>
              </w:divBdr>
              <w:divsChild>
                <w:div w:id="1322175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1" Type="http://schemas.openxmlformats.org/officeDocument/2006/relationships/header" Target="header6.xml"/><Relationship Id="rId42" Type="http://schemas.openxmlformats.org/officeDocument/2006/relationships/image" Target="media/image15.jpeg"/><Relationship Id="rId63" Type="http://schemas.openxmlformats.org/officeDocument/2006/relationships/image" Target="media/image32.png"/><Relationship Id="rId84" Type="http://schemas.openxmlformats.org/officeDocument/2006/relationships/image" Target="media/image48.jpeg"/><Relationship Id="rId138" Type="http://schemas.openxmlformats.org/officeDocument/2006/relationships/hyperlink" Target="https://doi.org/10.1016/j.fsi.2008.01.007" TargetMode="External"/><Relationship Id="rId159" Type="http://schemas.openxmlformats.org/officeDocument/2006/relationships/footer" Target="footer21.xml"/><Relationship Id="rId107" Type="http://schemas.openxmlformats.org/officeDocument/2006/relationships/image" Target="media/image63.png"/><Relationship Id="rId11" Type="http://schemas.openxmlformats.org/officeDocument/2006/relationships/image" Target="media/image1.jpeg"/><Relationship Id="rId32" Type="http://schemas.openxmlformats.org/officeDocument/2006/relationships/image" Target="media/image7.png"/><Relationship Id="rId53" Type="http://schemas.microsoft.com/office/2007/relationships/hdphoto" Target="media/hdphoto2.wdp"/><Relationship Id="rId74" Type="http://schemas.openxmlformats.org/officeDocument/2006/relationships/footer" Target="footer5.xml"/><Relationship Id="rId128" Type="http://schemas.openxmlformats.org/officeDocument/2006/relationships/hyperlink" Target="https://doi.org/10.1016/j.aquaculture.2020.736199" TargetMode="External"/><Relationship Id="rId149" Type="http://schemas.openxmlformats.org/officeDocument/2006/relationships/hyperlink" Target="https://doi.org/10.1016/j.dci.2019.103470" TargetMode="External"/><Relationship Id="rId5" Type="http://schemas.openxmlformats.org/officeDocument/2006/relationships/numbering" Target="numbering.xml"/><Relationship Id="rId95" Type="http://schemas.openxmlformats.org/officeDocument/2006/relationships/header" Target="header18.xml"/><Relationship Id="rId160" Type="http://schemas.openxmlformats.org/officeDocument/2006/relationships/fontTable" Target="fontTable.xml"/><Relationship Id="rId22" Type="http://schemas.openxmlformats.org/officeDocument/2006/relationships/header" Target="header7.xml"/><Relationship Id="rId43" Type="http://schemas.openxmlformats.org/officeDocument/2006/relationships/image" Target="media/image16.png"/><Relationship Id="rId64" Type="http://schemas.openxmlformats.org/officeDocument/2006/relationships/image" Target="media/image33.png"/><Relationship Id="rId118" Type="http://schemas.openxmlformats.org/officeDocument/2006/relationships/image" Target="media/image68.png"/><Relationship Id="rId139" Type="http://schemas.openxmlformats.org/officeDocument/2006/relationships/hyperlink" Target="https://doi.org/10.1016/j.fsi.2022.04.050" TargetMode="External"/><Relationship Id="rId85" Type="http://schemas.openxmlformats.org/officeDocument/2006/relationships/footer" Target="footer7.xml"/><Relationship Id="rId150" Type="http://schemas.openxmlformats.org/officeDocument/2006/relationships/header" Target="header23.xml"/><Relationship Id="rId12" Type="http://schemas.openxmlformats.org/officeDocument/2006/relationships/footer" Target="footer1.xml"/><Relationship Id="rId17" Type="http://schemas.openxmlformats.org/officeDocument/2006/relationships/header" Target="header4.xml"/><Relationship Id="rId33" Type="http://schemas.microsoft.com/office/2007/relationships/hdphoto" Target="media/hdphoto1.wdp"/><Relationship Id="rId38" Type="http://schemas.openxmlformats.org/officeDocument/2006/relationships/footer" Target="footer2.xml"/><Relationship Id="rId59" Type="http://schemas.openxmlformats.org/officeDocument/2006/relationships/image" Target="media/image28.png"/><Relationship Id="rId103" Type="http://schemas.openxmlformats.org/officeDocument/2006/relationships/image" Target="media/image60.jpeg"/><Relationship Id="rId108" Type="http://schemas.openxmlformats.org/officeDocument/2006/relationships/footer" Target="footer11.xml"/><Relationship Id="rId124" Type="http://schemas.openxmlformats.org/officeDocument/2006/relationships/header" Target="header22.xml"/><Relationship Id="rId129" Type="http://schemas.openxmlformats.org/officeDocument/2006/relationships/hyperlink" Target="https://doi.org/10.1016/j.ecoenv.2021.113030" TargetMode="External"/><Relationship Id="rId54" Type="http://schemas.openxmlformats.org/officeDocument/2006/relationships/image" Target="media/image24.png"/><Relationship Id="rId70" Type="http://schemas.openxmlformats.org/officeDocument/2006/relationships/image" Target="media/image39.png"/><Relationship Id="rId75" Type="http://schemas.openxmlformats.org/officeDocument/2006/relationships/header" Target="header15.xml"/><Relationship Id="rId91" Type="http://schemas.openxmlformats.org/officeDocument/2006/relationships/header" Target="header16.xml"/><Relationship Id="rId96" Type="http://schemas.openxmlformats.org/officeDocument/2006/relationships/footer" Target="footer9.xml"/><Relationship Id="rId140" Type="http://schemas.openxmlformats.org/officeDocument/2006/relationships/hyperlink" Target="https://doi.org/10.1016/j.hal.2022.102307" TargetMode="External"/><Relationship Id="rId145" Type="http://schemas.openxmlformats.org/officeDocument/2006/relationships/hyperlink" Target="https://doi.org/10.1016/0304-4203(77)90043-3" TargetMode="External"/><Relationship Id="rId16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8.xml"/><Relationship Id="rId28" Type="http://schemas.openxmlformats.org/officeDocument/2006/relationships/image" Target="media/image3.tiff"/><Relationship Id="rId49" Type="http://schemas.openxmlformats.org/officeDocument/2006/relationships/image" Target="media/image22.jpeg"/><Relationship Id="rId114" Type="http://schemas.openxmlformats.org/officeDocument/2006/relationships/footer" Target="footer14.xml"/><Relationship Id="rId119" Type="http://schemas.openxmlformats.org/officeDocument/2006/relationships/footer" Target="footer16.xml"/><Relationship Id="rId44" Type="http://schemas.openxmlformats.org/officeDocument/2006/relationships/image" Target="media/image17.png"/><Relationship Id="rId60" Type="http://schemas.openxmlformats.org/officeDocument/2006/relationships/image" Target="media/image29.png"/><Relationship Id="rId65" Type="http://schemas.openxmlformats.org/officeDocument/2006/relationships/image" Target="media/image34.png"/><Relationship Id="rId81" Type="http://schemas.openxmlformats.org/officeDocument/2006/relationships/image" Target="media/image45.jpeg"/><Relationship Id="rId86" Type="http://schemas.openxmlformats.org/officeDocument/2006/relationships/image" Target="media/image49.png"/><Relationship Id="rId130" Type="http://schemas.openxmlformats.org/officeDocument/2006/relationships/hyperlink" Target="https://doi.org/10.1016/j.fsi.2019.02.047" TargetMode="External"/><Relationship Id="rId135" Type="http://schemas.openxmlformats.org/officeDocument/2006/relationships/hyperlink" Target="https://doi.org/10.1163/156853908785765917" TargetMode="External"/><Relationship Id="rId151" Type="http://schemas.openxmlformats.org/officeDocument/2006/relationships/header" Target="header24.xml"/><Relationship Id="rId156" Type="http://schemas.openxmlformats.org/officeDocument/2006/relationships/hyperlink" Target="https://stir.sharepoint.com/:v:/r/sites/StudentandFacultyOperations/Shared%20Documents/Student%20Administration/Student%20Programmes/PGR%20Administration/E-Thesis%20Submissions/Molto%20Martin,%20Irene%202729083/Hematodinium%20sporulation%20from%20Nephrops%20host%20(2).mp4?csf=1&amp;web=1&amp;e=E7peHW" TargetMode="External"/><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image" Target="media/image12.png"/><Relationship Id="rId109" Type="http://schemas.openxmlformats.org/officeDocument/2006/relationships/image" Target="media/image64.png"/><Relationship Id="rId34" Type="http://schemas.openxmlformats.org/officeDocument/2006/relationships/image" Target="media/image8.png"/><Relationship Id="rId50" Type="http://schemas.openxmlformats.org/officeDocument/2006/relationships/header" Target="header13.xml"/><Relationship Id="rId55" Type="http://schemas.microsoft.com/office/2007/relationships/hdphoto" Target="media/hdphoto3.wdp"/><Relationship Id="rId76" Type="http://schemas.openxmlformats.org/officeDocument/2006/relationships/footer" Target="footer6.xml"/><Relationship Id="rId97" Type="http://schemas.openxmlformats.org/officeDocument/2006/relationships/header" Target="header19.xml"/><Relationship Id="rId104" Type="http://schemas.openxmlformats.org/officeDocument/2006/relationships/image" Target="media/image61.jpeg"/><Relationship Id="rId120" Type="http://schemas.openxmlformats.org/officeDocument/2006/relationships/image" Target="media/image69.png"/><Relationship Id="rId125" Type="http://schemas.openxmlformats.org/officeDocument/2006/relationships/hyperlink" Target="https://doi.org/10.1016/j.aquaculture.2022.738779" TargetMode="External"/><Relationship Id="rId141" Type="http://schemas.openxmlformats.org/officeDocument/2006/relationships/hyperlink" Target="https://doi.org/10.1016/S0048-4059(80)80025-7" TargetMode="External"/><Relationship Id="rId146" Type="http://schemas.openxmlformats.org/officeDocument/2006/relationships/hyperlink" Target="https://www.gov.scot/publications/scottish-marine-freshwater-science-volume-3-number-3-clyde-ecosystem/pages/3/" TargetMode="External"/><Relationship Id="rId7" Type="http://schemas.openxmlformats.org/officeDocument/2006/relationships/settings" Target="settings.xml"/><Relationship Id="rId71" Type="http://schemas.openxmlformats.org/officeDocument/2006/relationships/image" Target="media/image40.png"/><Relationship Id="rId92" Type="http://schemas.openxmlformats.org/officeDocument/2006/relationships/image" Target="media/image53.tiff"/><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4.png"/><Relationship Id="rId24" Type="http://schemas.openxmlformats.org/officeDocument/2006/relationships/header" Target="header9.xml"/><Relationship Id="rId40" Type="http://schemas.openxmlformats.org/officeDocument/2006/relationships/image" Target="media/image13.jpeg"/><Relationship Id="rId45" Type="http://schemas.openxmlformats.org/officeDocument/2006/relationships/image" Target="media/image18.png"/><Relationship Id="rId66" Type="http://schemas.openxmlformats.org/officeDocument/2006/relationships/image" Target="media/image35.png"/><Relationship Id="rId87" Type="http://schemas.openxmlformats.org/officeDocument/2006/relationships/footer" Target="footer8.xml"/><Relationship Id="rId110" Type="http://schemas.openxmlformats.org/officeDocument/2006/relationships/image" Target="media/image65.png"/><Relationship Id="rId115" Type="http://schemas.openxmlformats.org/officeDocument/2006/relationships/image" Target="media/image66.png"/><Relationship Id="rId131" Type="http://schemas.openxmlformats.org/officeDocument/2006/relationships/hyperlink" Target="https://doi.org/10.1016/j.margeo.2006.09.003" TargetMode="External"/><Relationship Id="rId136" Type="http://schemas.openxmlformats.org/officeDocument/2006/relationships/hyperlink" Target="https://doi.org/10.1016/j.apjtb.2016.12.010" TargetMode="External"/><Relationship Id="rId157" Type="http://schemas.openxmlformats.org/officeDocument/2006/relationships/hyperlink" Target="https://stir.sharepoint.com/:v:/r/sites/StudentandFacultyOperations/Shared%20Documents/Student%20Administration/Student%20Programmes/PGR%20Administration/E-Thesis%20Submissions/Molto%20Martin,%20Irene%202729083/Hematodinium%20sporulation%20from%20Nephrops%20host%20(3).mp4?csf=1&amp;web=1&amp;e=Ohrmwo" TargetMode="External"/><Relationship Id="rId61" Type="http://schemas.openxmlformats.org/officeDocument/2006/relationships/image" Target="media/image30.png"/><Relationship Id="rId82" Type="http://schemas.openxmlformats.org/officeDocument/2006/relationships/image" Target="media/image46.jpeg"/><Relationship Id="rId152" Type="http://schemas.openxmlformats.org/officeDocument/2006/relationships/footer" Target="footer18.xml"/><Relationship Id="rId19" Type="http://schemas.openxmlformats.org/officeDocument/2006/relationships/hyperlink" Target="https://doi.org/10.1098/rsos.231147" TargetMode="External"/><Relationship Id="rId14" Type="http://schemas.openxmlformats.org/officeDocument/2006/relationships/image" Target="media/image2.jpeg"/><Relationship Id="rId30" Type="http://schemas.openxmlformats.org/officeDocument/2006/relationships/image" Target="media/image5.png"/><Relationship Id="rId35" Type="http://schemas.openxmlformats.org/officeDocument/2006/relationships/image" Target="media/image9.png"/><Relationship Id="rId56" Type="http://schemas.openxmlformats.org/officeDocument/2006/relationships/image" Target="media/image25.png"/><Relationship Id="rId77" Type="http://schemas.openxmlformats.org/officeDocument/2006/relationships/image" Target="media/image41.png"/><Relationship Id="rId100" Type="http://schemas.openxmlformats.org/officeDocument/2006/relationships/image" Target="media/image57.jpeg"/><Relationship Id="rId105" Type="http://schemas.openxmlformats.org/officeDocument/2006/relationships/footer" Target="footer10.xml"/><Relationship Id="rId126" Type="http://schemas.openxmlformats.org/officeDocument/2006/relationships/hyperlink" Target="https://doi.org/10.3989/scimar.1998.62s181" TargetMode="External"/><Relationship Id="rId147" Type="http://schemas.openxmlformats.org/officeDocument/2006/relationships/hyperlink" Target="https://doi.org/10.1016/j.chemphyslip.2008.02.010" TargetMode="External"/><Relationship Id="rId8" Type="http://schemas.openxmlformats.org/officeDocument/2006/relationships/webSettings" Target="webSettings.xml"/><Relationship Id="rId51" Type="http://schemas.openxmlformats.org/officeDocument/2006/relationships/footer" Target="footer3.xml"/><Relationship Id="rId72" Type="http://schemas.openxmlformats.org/officeDocument/2006/relationships/footer" Target="footer4.xml"/><Relationship Id="rId93" Type="http://schemas.openxmlformats.org/officeDocument/2006/relationships/header" Target="header17.xml"/><Relationship Id="rId98" Type="http://schemas.openxmlformats.org/officeDocument/2006/relationships/image" Target="media/image55.png"/><Relationship Id="rId121" Type="http://schemas.openxmlformats.org/officeDocument/2006/relationships/image" Target="media/image70.png"/><Relationship Id="rId142" Type="http://schemas.openxmlformats.org/officeDocument/2006/relationships/hyperlink" Target="https://doi.org/10.1016/S0040-8166(02)00105-2" TargetMode="External"/><Relationship Id="rId3" Type="http://schemas.openxmlformats.org/officeDocument/2006/relationships/customXml" Target="../customXml/item3.xml"/><Relationship Id="rId25" Type="http://schemas.openxmlformats.org/officeDocument/2006/relationships/header" Target="header10.xml"/><Relationship Id="rId46" Type="http://schemas.openxmlformats.org/officeDocument/2006/relationships/image" Target="media/image19.png"/><Relationship Id="rId67" Type="http://schemas.openxmlformats.org/officeDocument/2006/relationships/image" Target="media/image36.png"/><Relationship Id="rId116" Type="http://schemas.openxmlformats.org/officeDocument/2006/relationships/footer" Target="footer15.xml"/><Relationship Id="rId137" Type="http://schemas.openxmlformats.org/officeDocument/2006/relationships/hyperlink" Target="https://doi.org/10.1016/j.cub.2021.07.020" TargetMode="External"/><Relationship Id="rId158" Type="http://schemas.openxmlformats.org/officeDocument/2006/relationships/hyperlink" Target="https://stir.sharepoint.com/:v:/r/sites/StudentandFacultyOperations/Shared%20Documents/Student%20Administration/Student%20Programmes/PGR%20Administration/E-Thesis%20Submissions/Molto%20Martin,%20Irene%202729083/Hematodinium%20sporulation%20from%20Nephrops%20host%20(4).mp4?csf=1&amp;web=1&amp;e=oZY8lf" TargetMode="External"/><Relationship Id="rId20" Type="http://schemas.openxmlformats.org/officeDocument/2006/relationships/hyperlink" Target="https://doi.org/10.1186/s42523-025-00416-w" TargetMode="External"/><Relationship Id="rId41" Type="http://schemas.openxmlformats.org/officeDocument/2006/relationships/image" Target="media/image14.jpeg"/><Relationship Id="rId62" Type="http://schemas.openxmlformats.org/officeDocument/2006/relationships/image" Target="media/image31.png"/><Relationship Id="rId83" Type="http://schemas.openxmlformats.org/officeDocument/2006/relationships/image" Target="media/image47.jpeg"/><Relationship Id="rId88" Type="http://schemas.openxmlformats.org/officeDocument/2006/relationships/image" Target="media/image50.tiff"/><Relationship Id="rId111" Type="http://schemas.openxmlformats.org/officeDocument/2006/relationships/footer" Target="footer12.xml"/><Relationship Id="rId132" Type="http://schemas.openxmlformats.org/officeDocument/2006/relationships/hyperlink" Target="https://doi.org/10.1016/j.jip.2020.107387" TargetMode="External"/><Relationship Id="rId153" Type="http://schemas.openxmlformats.org/officeDocument/2006/relationships/footer" Target="footer19.xml"/><Relationship Id="rId15" Type="http://schemas.openxmlformats.org/officeDocument/2006/relationships/header" Target="header2.xml"/><Relationship Id="rId36" Type="http://schemas.openxmlformats.org/officeDocument/2006/relationships/image" Target="media/image10.tiff"/><Relationship Id="rId57" Type="http://schemas.openxmlformats.org/officeDocument/2006/relationships/image" Target="media/image26.png"/><Relationship Id="rId106" Type="http://schemas.openxmlformats.org/officeDocument/2006/relationships/image" Target="media/image62.png"/><Relationship Id="rId127" Type="http://schemas.openxmlformats.org/officeDocument/2006/relationships/hyperlink" Target="https://doi.org/10.1016/j.jip.2020.107527" TargetMode="External"/><Relationship Id="rId10" Type="http://schemas.openxmlformats.org/officeDocument/2006/relationships/endnotes" Target="endnotes.xml"/><Relationship Id="rId31" Type="http://schemas.openxmlformats.org/officeDocument/2006/relationships/image" Target="media/image6.png"/><Relationship Id="rId52" Type="http://schemas.openxmlformats.org/officeDocument/2006/relationships/image" Target="media/image23.png"/><Relationship Id="rId73" Type="http://schemas.openxmlformats.org/officeDocument/2006/relationships/header" Target="header14.xml"/><Relationship Id="rId78" Type="http://schemas.openxmlformats.org/officeDocument/2006/relationships/image" Target="media/image42.png"/><Relationship Id="rId94" Type="http://schemas.openxmlformats.org/officeDocument/2006/relationships/image" Target="media/image54.tiff"/><Relationship Id="rId99" Type="http://schemas.openxmlformats.org/officeDocument/2006/relationships/image" Target="media/image56.jpeg"/><Relationship Id="rId101" Type="http://schemas.openxmlformats.org/officeDocument/2006/relationships/image" Target="media/image58.jpeg"/><Relationship Id="rId122" Type="http://schemas.openxmlformats.org/officeDocument/2006/relationships/footer" Target="footer17.xml"/><Relationship Id="rId143" Type="http://schemas.openxmlformats.org/officeDocument/2006/relationships/hyperlink" Target="https://doi.org/10.1016/j.jip.2022.107784" TargetMode="External"/><Relationship Id="rId148" Type="http://schemas.openxmlformats.org/officeDocument/2006/relationships/hyperlink" Target="https://doi.org/10.1016/j.aqrep.2020.100280"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11.xml"/><Relationship Id="rId47" Type="http://schemas.openxmlformats.org/officeDocument/2006/relationships/image" Target="media/image20.png"/><Relationship Id="rId68" Type="http://schemas.openxmlformats.org/officeDocument/2006/relationships/image" Target="media/image37.png"/><Relationship Id="rId89" Type="http://schemas.openxmlformats.org/officeDocument/2006/relationships/image" Target="media/image51.tiff"/><Relationship Id="rId112" Type="http://schemas.openxmlformats.org/officeDocument/2006/relationships/header" Target="header20.xml"/><Relationship Id="rId133" Type="http://schemas.openxmlformats.org/officeDocument/2006/relationships/hyperlink" Target="https://doi.org/10.1016/S0044-8486(02)00562-8" TargetMode="External"/><Relationship Id="rId154" Type="http://schemas.openxmlformats.org/officeDocument/2006/relationships/footer" Target="footer20.xml"/><Relationship Id="rId16" Type="http://schemas.openxmlformats.org/officeDocument/2006/relationships/header" Target="header3.xml"/><Relationship Id="rId37" Type="http://schemas.openxmlformats.org/officeDocument/2006/relationships/image" Target="media/image11.jpeg"/><Relationship Id="rId58" Type="http://schemas.openxmlformats.org/officeDocument/2006/relationships/image" Target="media/image27.png"/><Relationship Id="rId79" Type="http://schemas.openxmlformats.org/officeDocument/2006/relationships/image" Target="media/image43.jpeg"/><Relationship Id="rId102" Type="http://schemas.openxmlformats.org/officeDocument/2006/relationships/image" Target="media/image59.jpeg"/><Relationship Id="rId123" Type="http://schemas.openxmlformats.org/officeDocument/2006/relationships/header" Target="header21.xml"/><Relationship Id="rId144" Type="http://schemas.openxmlformats.org/officeDocument/2006/relationships/hyperlink" Target="https://doi.org/10.1016/j.marpolbul.2016.03.043" TargetMode="External"/><Relationship Id="rId90" Type="http://schemas.openxmlformats.org/officeDocument/2006/relationships/image" Target="media/image52.tiff"/><Relationship Id="rId27" Type="http://schemas.openxmlformats.org/officeDocument/2006/relationships/header" Target="header12.xml"/><Relationship Id="rId48" Type="http://schemas.openxmlformats.org/officeDocument/2006/relationships/image" Target="media/image21.png"/><Relationship Id="rId69" Type="http://schemas.openxmlformats.org/officeDocument/2006/relationships/image" Target="media/image38.png"/><Relationship Id="rId113" Type="http://schemas.openxmlformats.org/officeDocument/2006/relationships/footer" Target="footer13.xml"/><Relationship Id="rId134" Type="http://schemas.openxmlformats.org/officeDocument/2006/relationships/hyperlink" Target="https://doi.org/10.1016/j.envpol.2020.115757" TargetMode="External"/><Relationship Id="rId80" Type="http://schemas.openxmlformats.org/officeDocument/2006/relationships/image" Target="media/image44.jpeg"/><Relationship Id="rId155" Type="http://schemas.openxmlformats.org/officeDocument/2006/relationships/hyperlink" Target="https://stir.sharepoint.com/:v:/r/sites/StudentandFacultyOperations/Shared%20Documents/Student%20Administration/Student%20Programmes/PGR%20Administration/E-Thesis%20Submissions/Molto%20Martin,%20Irene%202729083/Hematodinium%20sporulation%20from%20Nephrops%20host%20(1).mp4?csf=1&amp;web=1&amp;e=spKZN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FCE89548D743F0AB7F99EE5B36DD08"/>
        <w:category>
          <w:name w:val="General"/>
          <w:gallery w:val="placeholder"/>
        </w:category>
        <w:types>
          <w:type w:val="bbPlcHdr"/>
        </w:types>
        <w:behaviors>
          <w:behavior w:val="content"/>
        </w:behaviors>
        <w:guid w:val="{40DBC0A8-9394-4783-92C5-714396954F9A}"/>
      </w:docPartPr>
      <w:docPartBody>
        <w:p w:rsidR="00A930A3" w:rsidRDefault="00CE5F49">
          <w:r w:rsidRPr="00182806">
            <w:rPr>
              <w:rStyle w:val="PlaceholderText"/>
            </w:rPr>
            <w:t>[Comments]</w:t>
          </w:r>
        </w:p>
      </w:docPartBody>
    </w:docPart>
    <w:docPart>
      <w:docPartPr>
        <w:name w:val="755D6C1DEA034087AFF45BDE21332C14"/>
        <w:category>
          <w:name w:val="General"/>
          <w:gallery w:val="placeholder"/>
        </w:category>
        <w:types>
          <w:type w:val="bbPlcHdr"/>
        </w:types>
        <w:behaviors>
          <w:behavior w:val="content"/>
        </w:behaviors>
        <w:guid w:val="{5EA7FDA3-D4B8-4ECF-81E3-EF98D482714C}"/>
      </w:docPartPr>
      <w:docPartBody>
        <w:p w:rsidR="00031E96" w:rsidRDefault="00031E96" w:rsidP="00031E96">
          <w:pPr>
            <w:pStyle w:val="755D6C1DEA034087AFF45BDE21332C14"/>
          </w:pPr>
          <w:r w:rsidRPr="00991146">
            <w:rPr>
              <w:rStyle w:val="PlaceholderText"/>
            </w:rPr>
            <w:t>Click or tap here to enter text.</w:t>
          </w:r>
        </w:p>
      </w:docPartBody>
    </w:docPart>
    <w:docPart>
      <w:docPartPr>
        <w:name w:val="788FFD5128954FDFA16BAD61D1E618D6"/>
        <w:category>
          <w:name w:val="General"/>
          <w:gallery w:val="placeholder"/>
        </w:category>
        <w:types>
          <w:type w:val="bbPlcHdr"/>
        </w:types>
        <w:behaviors>
          <w:behavior w:val="content"/>
        </w:behaviors>
        <w:guid w:val="{396E5D3F-AAAB-48AB-A034-E7E48B29C5D7}"/>
      </w:docPartPr>
      <w:docPartBody>
        <w:p w:rsidR="00031E96" w:rsidRDefault="00031E96" w:rsidP="00031E96">
          <w:pPr>
            <w:pStyle w:val="788FFD5128954FDFA16BAD61D1E618D6"/>
          </w:pPr>
          <w:r w:rsidRPr="00991146">
            <w:rPr>
              <w:rStyle w:val="PlaceholderText"/>
            </w:rPr>
            <w:t>Click or tap here to enter text.</w:t>
          </w:r>
        </w:p>
      </w:docPartBody>
    </w:docPart>
    <w:docPart>
      <w:docPartPr>
        <w:name w:val="16AA4681B1834A88997D223FB5A1445C"/>
        <w:category>
          <w:name w:val="General"/>
          <w:gallery w:val="placeholder"/>
        </w:category>
        <w:types>
          <w:type w:val="bbPlcHdr"/>
        </w:types>
        <w:behaviors>
          <w:behavior w:val="content"/>
        </w:behaviors>
        <w:guid w:val="{48E4EABA-30DD-4071-A33C-B2B818786CB8}"/>
      </w:docPartPr>
      <w:docPartBody>
        <w:p w:rsidR="00031E96" w:rsidRDefault="00031E96" w:rsidP="00031E96">
          <w:pPr>
            <w:pStyle w:val="16AA4681B1834A88997D223FB5A1445C"/>
          </w:pPr>
          <w:r w:rsidRPr="00AE1F26">
            <w:rPr>
              <w:rStyle w:val="PlaceholderText"/>
            </w:rPr>
            <w:t>Click or tap here to enter text.</w:t>
          </w:r>
        </w:p>
      </w:docPartBody>
    </w:docPart>
    <w:docPart>
      <w:docPartPr>
        <w:name w:val="234277BCA82143F6A54350D898B26394"/>
        <w:category>
          <w:name w:val="General"/>
          <w:gallery w:val="placeholder"/>
        </w:category>
        <w:types>
          <w:type w:val="bbPlcHdr"/>
        </w:types>
        <w:behaviors>
          <w:behavior w:val="content"/>
        </w:behaviors>
        <w:guid w:val="{BCBED797-EFAA-4235-B175-ECC4D420B907}"/>
      </w:docPartPr>
      <w:docPartBody>
        <w:p w:rsidR="00031E96" w:rsidRDefault="00031E96" w:rsidP="00031E96">
          <w:pPr>
            <w:pStyle w:val="234277BCA82143F6A54350D898B26394"/>
          </w:pPr>
          <w:r w:rsidRPr="00FF3D4A">
            <w:rPr>
              <w:rStyle w:val="PlaceholderText"/>
            </w:rPr>
            <w:t>Click or tap here to enter text.</w:t>
          </w:r>
        </w:p>
      </w:docPartBody>
    </w:docPart>
    <w:docPart>
      <w:docPartPr>
        <w:name w:val="E34C5539251B4D63B9DD133A67B3A2D2"/>
        <w:category>
          <w:name w:val="General"/>
          <w:gallery w:val="placeholder"/>
        </w:category>
        <w:types>
          <w:type w:val="bbPlcHdr"/>
        </w:types>
        <w:behaviors>
          <w:behavior w:val="content"/>
        </w:behaviors>
        <w:guid w:val="{CB113AD0-2616-4957-94DB-CC1E6937A8E1}"/>
      </w:docPartPr>
      <w:docPartBody>
        <w:p w:rsidR="00031E96" w:rsidRDefault="00031E96" w:rsidP="00031E96">
          <w:pPr>
            <w:pStyle w:val="E34C5539251B4D63B9DD133A67B3A2D2"/>
          </w:pPr>
          <w:r w:rsidRPr="00803C78">
            <w:rPr>
              <w:rStyle w:val="PlaceholderText"/>
            </w:rPr>
            <w:t>Click or tap here to enter text.</w:t>
          </w:r>
        </w:p>
      </w:docPartBody>
    </w:docPart>
    <w:docPart>
      <w:docPartPr>
        <w:name w:val="E0104E32769F4824BA7ACD5F1D05C17A"/>
        <w:category>
          <w:name w:val="General"/>
          <w:gallery w:val="placeholder"/>
        </w:category>
        <w:types>
          <w:type w:val="bbPlcHdr"/>
        </w:types>
        <w:behaviors>
          <w:behavior w:val="content"/>
        </w:behaviors>
        <w:guid w:val="{FBBC3008-9CA3-4684-967D-A83483120D9A}"/>
      </w:docPartPr>
      <w:docPartBody>
        <w:p w:rsidR="00031E96" w:rsidRDefault="00031E96" w:rsidP="00031E96">
          <w:pPr>
            <w:pStyle w:val="E0104E32769F4824BA7ACD5F1D05C17A"/>
          </w:pPr>
          <w:r w:rsidRPr="005A2CC0">
            <w:rPr>
              <w:rStyle w:val="PlaceholderText"/>
            </w:rPr>
            <w:t>Click or tap here to enter text.</w:t>
          </w:r>
        </w:p>
      </w:docPartBody>
    </w:docPart>
    <w:docPart>
      <w:docPartPr>
        <w:name w:val="6BBCF52D7E8D4A83B9C869D9D31A04E0"/>
        <w:category>
          <w:name w:val="General"/>
          <w:gallery w:val="placeholder"/>
        </w:category>
        <w:types>
          <w:type w:val="bbPlcHdr"/>
        </w:types>
        <w:behaviors>
          <w:behavior w:val="content"/>
        </w:behaviors>
        <w:guid w:val="{F186D3D0-E4A9-42E3-A8A5-C40AFB658D97}"/>
      </w:docPartPr>
      <w:docPartBody>
        <w:p w:rsidR="00031E96" w:rsidRDefault="00031E96" w:rsidP="00031E96">
          <w:pPr>
            <w:pStyle w:val="6BBCF52D7E8D4A83B9C869D9D31A04E0"/>
          </w:pPr>
          <w:r w:rsidRPr="00DB7B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dy CS)">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panose1 w:val="00000000000000000000"/>
    <w:charset w:val="00"/>
    <w:family w:val="roman"/>
    <w:notTrueType/>
    <w:pitch w:val="variable"/>
    <w:sig w:usb0="60000287" w:usb1="00000001" w:usb2="00000000" w:usb3="00000000" w:csb0="0000019F" w:csb1="00000000"/>
  </w:font>
  <w:font w:name="Helvetica Neue">
    <w:altName w:val="Sylfaen"/>
    <w:charset w:val="00"/>
    <w:family w:val="auto"/>
    <w:pitch w:val="variable"/>
    <w:sig w:usb0="E50002FF" w:usb1="500079DB" w:usb2="00000010" w:usb3="00000000" w:csb0="00000001" w:csb1="00000000"/>
  </w:font>
  <w:font w:name="Arial Bold">
    <w:altName w:val="Arial"/>
    <w:panose1 w:val="020B0704020202020204"/>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Next LT Pro Light">
    <w:charset w:val="00"/>
    <w:family w:val="swiss"/>
    <w:pitch w:val="variable"/>
    <w:sig w:usb0="A00000EF" w:usb1="5000204B"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CAD"/>
    <w:rsid w:val="00031E96"/>
    <w:rsid w:val="00036F1F"/>
    <w:rsid w:val="0004156E"/>
    <w:rsid w:val="00053102"/>
    <w:rsid w:val="00060199"/>
    <w:rsid w:val="000668AA"/>
    <w:rsid w:val="000729B2"/>
    <w:rsid w:val="0007515A"/>
    <w:rsid w:val="00097866"/>
    <w:rsid w:val="000A7B07"/>
    <w:rsid w:val="000B710F"/>
    <w:rsid w:val="000C288D"/>
    <w:rsid w:val="000E1E02"/>
    <w:rsid w:val="000F1171"/>
    <w:rsid w:val="000F3B8D"/>
    <w:rsid w:val="000F618E"/>
    <w:rsid w:val="00111C81"/>
    <w:rsid w:val="001238BC"/>
    <w:rsid w:val="00130491"/>
    <w:rsid w:val="00142040"/>
    <w:rsid w:val="00146145"/>
    <w:rsid w:val="00165922"/>
    <w:rsid w:val="001703FE"/>
    <w:rsid w:val="00181B95"/>
    <w:rsid w:val="00193C91"/>
    <w:rsid w:val="00197A2E"/>
    <w:rsid w:val="001B5264"/>
    <w:rsid w:val="001C6A86"/>
    <w:rsid w:val="00230FF0"/>
    <w:rsid w:val="00231EA3"/>
    <w:rsid w:val="002811B1"/>
    <w:rsid w:val="002B1C41"/>
    <w:rsid w:val="002B320C"/>
    <w:rsid w:val="002E2A28"/>
    <w:rsid w:val="00300B6C"/>
    <w:rsid w:val="003016AF"/>
    <w:rsid w:val="00304A59"/>
    <w:rsid w:val="00326E42"/>
    <w:rsid w:val="0033168D"/>
    <w:rsid w:val="00376996"/>
    <w:rsid w:val="00383460"/>
    <w:rsid w:val="003A0C10"/>
    <w:rsid w:val="0040727F"/>
    <w:rsid w:val="00427FC1"/>
    <w:rsid w:val="004508AC"/>
    <w:rsid w:val="00491F24"/>
    <w:rsid w:val="004B5DDA"/>
    <w:rsid w:val="004B7F69"/>
    <w:rsid w:val="004D4C05"/>
    <w:rsid w:val="004F6796"/>
    <w:rsid w:val="00506C31"/>
    <w:rsid w:val="00516BF8"/>
    <w:rsid w:val="00560607"/>
    <w:rsid w:val="0056246C"/>
    <w:rsid w:val="00576C38"/>
    <w:rsid w:val="005A69B9"/>
    <w:rsid w:val="005B2AAB"/>
    <w:rsid w:val="005D3BED"/>
    <w:rsid w:val="005D65CA"/>
    <w:rsid w:val="006502C1"/>
    <w:rsid w:val="0065603B"/>
    <w:rsid w:val="006733C3"/>
    <w:rsid w:val="0068683E"/>
    <w:rsid w:val="00690348"/>
    <w:rsid w:val="006A1336"/>
    <w:rsid w:val="006B4185"/>
    <w:rsid w:val="006B6F35"/>
    <w:rsid w:val="006C7B92"/>
    <w:rsid w:val="00706ACD"/>
    <w:rsid w:val="007445AA"/>
    <w:rsid w:val="007806C1"/>
    <w:rsid w:val="0079590E"/>
    <w:rsid w:val="007B07B7"/>
    <w:rsid w:val="007E4C08"/>
    <w:rsid w:val="00811ABA"/>
    <w:rsid w:val="00815808"/>
    <w:rsid w:val="008403D5"/>
    <w:rsid w:val="00840FFD"/>
    <w:rsid w:val="008621B6"/>
    <w:rsid w:val="008816DE"/>
    <w:rsid w:val="00891399"/>
    <w:rsid w:val="008A6C96"/>
    <w:rsid w:val="008E0D69"/>
    <w:rsid w:val="00911142"/>
    <w:rsid w:val="00937C6E"/>
    <w:rsid w:val="00944C08"/>
    <w:rsid w:val="00956F25"/>
    <w:rsid w:val="00962738"/>
    <w:rsid w:val="00966257"/>
    <w:rsid w:val="009A5207"/>
    <w:rsid w:val="009D1714"/>
    <w:rsid w:val="009D778D"/>
    <w:rsid w:val="009D7C61"/>
    <w:rsid w:val="00A12AF0"/>
    <w:rsid w:val="00A33764"/>
    <w:rsid w:val="00A33CAD"/>
    <w:rsid w:val="00A57B79"/>
    <w:rsid w:val="00A63733"/>
    <w:rsid w:val="00A930A3"/>
    <w:rsid w:val="00AA7C76"/>
    <w:rsid w:val="00AD25CD"/>
    <w:rsid w:val="00AD5F34"/>
    <w:rsid w:val="00AE2CD3"/>
    <w:rsid w:val="00B2177F"/>
    <w:rsid w:val="00BC01D7"/>
    <w:rsid w:val="00BE0AE7"/>
    <w:rsid w:val="00C274AF"/>
    <w:rsid w:val="00C31329"/>
    <w:rsid w:val="00C703FD"/>
    <w:rsid w:val="00C973BB"/>
    <w:rsid w:val="00CE5F49"/>
    <w:rsid w:val="00D154EF"/>
    <w:rsid w:val="00D20746"/>
    <w:rsid w:val="00D278AD"/>
    <w:rsid w:val="00D368AD"/>
    <w:rsid w:val="00D54315"/>
    <w:rsid w:val="00D6144D"/>
    <w:rsid w:val="00D665AD"/>
    <w:rsid w:val="00D74392"/>
    <w:rsid w:val="00D87607"/>
    <w:rsid w:val="00DB01F7"/>
    <w:rsid w:val="00DB5664"/>
    <w:rsid w:val="00DE0D91"/>
    <w:rsid w:val="00DE53FB"/>
    <w:rsid w:val="00E0174E"/>
    <w:rsid w:val="00E25E1C"/>
    <w:rsid w:val="00E8365B"/>
    <w:rsid w:val="00E855C3"/>
    <w:rsid w:val="00E90185"/>
    <w:rsid w:val="00EA25BD"/>
    <w:rsid w:val="00EB43D8"/>
    <w:rsid w:val="00ED5282"/>
    <w:rsid w:val="00F1120D"/>
    <w:rsid w:val="00F17016"/>
    <w:rsid w:val="00F236EB"/>
    <w:rsid w:val="00F8270C"/>
    <w:rsid w:val="00FB6BFF"/>
    <w:rsid w:val="00FC78A1"/>
    <w:rsid w:val="00FD5D88"/>
    <w:rsid w:val="00FE1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7A2E"/>
    <w:rPr>
      <w:color w:val="808080"/>
    </w:rPr>
  </w:style>
  <w:style w:type="paragraph" w:customStyle="1" w:styleId="755D6C1DEA034087AFF45BDE21332C14">
    <w:name w:val="755D6C1DEA034087AFF45BDE21332C14"/>
    <w:rsid w:val="00031E96"/>
  </w:style>
  <w:style w:type="paragraph" w:customStyle="1" w:styleId="788FFD5128954FDFA16BAD61D1E618D6">
    <w:name w:val="788FFD5128954FDFA16BAD61D1E618D6"/>
    <w:rsid w:val="00031E96"/>
  </w:style>
  <w:style w:type="paragraph" w:customStyle="1" w:styleId="16AA4681B1834A88997D223FB5A1445C">
    <w:name w:val="16AA4681B1834A88997D223FB5A1445C"/>
    <w:rsid w:val="00031E96"/>
  </w:style>
  <w:style w:type="paragraph" w:customStyle="1" w:styleId="234277BCA82143F6A54350D898B26394">
    <w:name w:val="234277BCA82143F6A54350D898B26394"/>
    <w:rsid w:val="00031E96"/>
  </w:style>
  <w:style w:type="paragraph" w:customStyle="1" w:styleId="E34C5539251B4D63B9DD133A67B3A2D2">
    <w:name w:val="E34C5539251B4D63B9DD133A67B3A2D2"/>
    <w:rsid w:val="00031E96"/>
  </w:style>
  <w:style w:type="paragraph" w:customStyle="1" w:styleId="E0104E32769F4824BA7ACD5F1D05C17A">
    <w:name w:val="E0104E32769F4824BA7ACD5F1D05C17A"/>
    <w:rsid w:val="00031E96"/>
  </w:style>
  <w:style w:type="paragraph" w:customStyle="1" w:styleId="6BBCF52D7E8D4A83B9C869D9D31A04E0">
    <w:name w:val="6BBCF52D7E8D4A83B9C869D9D31A04E0"/>
    <w:rsid w:val="00031E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2e2b51a-9c72-4881-b123-e3a305b71a8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6F7D9368BBEA04D8C57022EE6C6D41B" ma:contentTypeVersion="17" ma:contentTypeDescription="Create a new document." ma:contentTypeScope="" ma:versionID="2776280887fae2ec1bb8361d3373efe2">
  <xsd:schema xmlns:xsd="http://www.w3.org/2001/XMLSchema" xmlns:xs="http://www.w3.org/2001/XMLSchema" xmlns:p="http://schemas.microsoft.com/office/2006/metadata/properties" xmlns:ns3="32e2b51a-9c72-4881-b123-e3a305b71a84" xmlns:ns4="7a86909b-408c-41ab-945c-b2f4e46fd460" targetNamespace="http://schemas.microsoft.com/office/2006/metadata/properties" ma:root="true" ma:fieldsID="26d59e0446d59f76bc7903614362fe34" ns3:_="" ns4:_="">
    <xsd:import namespace="32e2b51a-9c72-4881-b123-e3a305b71a84"/>
    <xsd:import namespace="7a86909b-408c-41ab-945c-b2f4e46fd4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2b51a-9c72-4881-b123-e3a305b71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6909b-408c-41ab-945c-b2f4e46fd4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C964B-E854-4C47-8E30-50B5CEA2515E}">
  <ds:schemaRefs>
    <ds:schemaRef ds:uri="http://schemas.microsoft.com/office/2006/metadata/properties"/>
    <ds:schemaRef ds:uri="http://schemas.microsoft.com/office/infopath/2007/PartnerControls"/>
    <ds:schemaRef ds:uri="32e2b51a-9c72-4881-b123-e3a305b71a84"/>
  </ds:schemaRefs>
</ds:datastoreItem>
</file>

<file path=customXml/itemProps2.xml><?xml version="1.0" encoding="utf-8"?>
<ds:datastoreItem xmlns:ds="http://schemas.openxmlformats.org/officeDocument/2006/customXml" ds:itemID="{8356609E-60C4-664A-B7B2-AFEB6E762F4A}">
  <ds:schemaRefs>
    <ds:schemaRef ds:uri="http://schemas.openxmlformats.org/officeDocument/2006/bibliography"/>
  </ds:schemaRefs>
</ds:datastoreItem>
</file>

<file path=customXml/itemProps3.xml><?xml version="1.0" encoding="utf-8"?>
<ds:datastoreItem xmlns:ds="http://schemas.openxmlformats.org/officeDocument/2006/customXml" ds:itemID="{23581BDC-03CE-4512-A899-17E6B3394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2b51a-9c72-4881-b123-e3a305b71a84"/>
    <ds:schemaRef ds:uri="7a86909b-408c-41ab-945c-b2f4e46fd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CDF9F2-24EC-42CD-AEC5-F99AD64E6BE7}">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304</Pages>
  <Words>150913</Words>
  <Characters>860210</Characters>
  <Application>Microsoft Office Word</Application>
  <DocSecurity>0</DocSecurity>
  <Lines>7168</Lines>
  <Paragraphs>2018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1009105</CharactersWithSpaces>
  <SharedDoc>false</SharedDoc>
  <HLinks>
    <vt:vector size="5898" baseType="variant">
      <vt:variant>
        <vt:i4>5046290</vt:i4>
      </vt:variant>
      <vt:variant>
        <vt:i4>6128</vt:i4>
      </vt:variant>
      <vt:variant>
        <vt:i4>0</vt:i4>
      </vt:variant>
      <vt:variant>
        <vt:i4>5</vt:i4>
      </vt:variant>
      <vt:variant>
        <vt:lpwstr>https://doi.org/10.1016/j.dci.2019.103470</vt:lpwstr>
      </vt:variant>
      <vt:variant>
        <vt:lpwstr/>
      </vt:variant>
      <vt:variant>
        <vt:i4>4128889</vt:i4>
      </vt:variant>
      <vt:variant>
        <vt:i4>6125</vt:i4>
      </vt:variant>
      <vt:variant>
        <vt:i4>0</vt:i4>
      </vt:variant>
      <vt:variant>
        <vt:i4>5</vt:i4>
      </vt:variant>
      <vt:variant>
        <vt:lpwstr>https://doi.org/10.1016/j.aqrep.2020.100280</vt:lpwstr>
      </vt:variant>
      <vt:variant>
        <vt:lpwstr/>
      </vt:variant>
      <vt:variant>
        <vt:i4>4325387</vt:i4>
      </vt:variant>
      <vt:variant>
        <vt:i4>6122</vt:i4>
      </vt:variant>
      <vt:variant>
        <vt:i4>0</vt:i4>
      </vt:variant>
      <vt:variant>
        <vt:i4>5</vt:i4>
      </vt:variant>
      <vt:variant>
        <vt:lpwstr>https://doi.org/10.1016/j.chemphyslip.2008.02.010</vt:lpwstr>
      </vt:variant>
      <vt:variant>
        <vt:lpwstr/>
      </vt:variant>
      <vt:variant>
        <vt:i4>983043</vt:i4>
      </vt:variant>
      <vt:variant>
        <vt:i4>6119</vt:i4>
      </vt:variant>
      <vt:variant>
        <vt:i4>0</vt:i4>
      </vt:variant>
      <vt:variant>
        <vt:i4>5</vt:i4>
      </vt:variant>
      <vt:variant>
        <vt:lpwstr>https://www.gov.scot/publications/scottish-marine-freshwater-science-volume-3-number-3-clyde-ecosystem/pages/3/</vt:lpwstr>
      </vt:variant>
      <vt:variant>
        <vt:lpwstr>fig3.1</vt:lpwstr>
      </vt:variant>
      <vt:variant>
        <vt:i4>458823</vt:i4>
      </vt:variant>
      <vt:variant>
        <vt:i4>6116</vt:i4>
      </vt:variant>
      <vt:variant>
        <vt:i4>0</vt:i4>
      </vt:variant>
      <vt:variant>
        <vt:i4>5</vt:i4>
      </vt:variant>
      <vt:variant>
        <vt:lpwstr>https://doi.org/10.1016/0304-4203(77)90043-3</vt:lpwstr>
      </vt:variant>
      <vt:variant>
        <vt:lpwstr/>
      </vt:variant>
      <vt:variant>
        <vt:i4>3539046</vt:i4>
      </vt:variant>
      <vt:variant>
        <vt:i4>6113</vt:i4>
      </vt:variant>
      <vt:variant>
        <vt:i4>0</vt:i4>
      </vt:variant>
      <vt:variant>
        <vt:i4>5</vt:i4>
      </vt:variant>
      <vt:variant>
        <vt:lpwstr>https://doi.org/10.1016/j.marpolbul.2016.03.043</vt:lpwstr>
      </vt:variant>
      <vt:variant>
        <vt:lpwstr/>
      </vt:variant>
      <vt:variant>
        <vt:i4>4653061</vt:i4>
      </vt:variant>
      <vt:variant>
        <vt:i4>6110</vt:i4>
      </vt:variant>
      <vt:variant>
        <vt:i4>0</vt:i4>
      </vt:variant>
      <vt:variant>
        <vt:i4>5</vt:i4>
      </vt:variant>
      <vt:variant>
        <vt:lpwstr>https://doi.org/10.1016/j.jip.2022.107784</vt:lpwstr>
      </vt:variant>
      <vt:variant>
        <vt:lpwstr/>
      </vt:variant>
      <vt:variant>
        <vt:i4>524303</vt:i4>
      </vt:variant>
      <vt:variant>
        <vt:i4>6107</vt:i4>
      </vt:variant>
      <vt:variant>
        <vt:i4>0</vt:i4>
      </vt:variant>
      <vt:variant>
        <vt:i4>5</vt:i4>
      </vt:variant>
      <vt:variant>
        <vt:lpwstr>https://doi.org/10.1016/S0040-8166(02)00105-2</vt:lpwstr>
      </vt:variant>
      <vt:variant>
        <vt:lpwstr/>
      </vt:variant>
      <vt:variant>
        <vt:i4>3276899</vt:i4>
      </vt:variant>
      <vt:variant>
        <vt:i4>6104</vt:i4>
      </vt:variant>
      <vt:variant>
        <vt:i4>0</vt:i4>
      </vt:variant>
      <vt:variant>
        <vt:i4>5</vt:i4>
      </vt:variant>
      <vt:variant>
        <vt:lpwstr>https://doi.org/10.1086/physzool.63.1.30158153</vt:lpwstr>
      </vt:variant>
      <vt:variant>
        <vt:lpwstr/>
      </vt:variant>
      <vt:variant>
        <vt:i4>786435</vt:i4>
      </vt:variant>
      <vt:variant>
        <vt:i4>6101</vt:i4>
      </vt:variant>
      <vt:variant>
        <vt:i4>0</vt:i4>
      </vt:variant>
      <vt:variant>
        <vt:i4>5</vt:i4>
      </vt:variant>
      <vt:variant>
        <vt:lpwstr>https://doi.org/10.1016/S0048-4059(80)80025-7</vt:lpwstr>
      </vt:variant>
      <vt:variant>
        <vt:lpwstr/>
      </vt:variant>
      <vt:variant>
        <vt:i4>4718611</vt:i4>
      </vt:variant>
      <vt:variant>
        <vt:i4>6098</vt:i4>
      </vt:variant>
      <vt:variant>
        <vt:i4>0</vt:i4>
      </vt:variant>
      <vt:variant>
        <vt:i4>5</vt:i4>
      </vt:variant>
      <vt:variant>
        <vt:lpwstr>https://doi.org/10.1016/j.fsi.2022.04.050</vt:lpwstr>
      </vt:variant>
      <vt:variant>
        <vt:lpwstr/>
      </vt:variant>
      <vt:variant>
        <vt:i4>4653076</vt:i4>
      </vt:variant>
      <vt:variant>
        <vt:i4>6095</vt:i4>
      </vt:variant>
      <vt:variant>
        <vt:i4>0</vt:i4>
      </vt:variant>
      <vt:variant>
        <vt:i4>5</vt:i4>
      </vt:variant>
      <vt:variant>
        <vt:lpwstr>https://doi.org/10.1016/j.fsi.2008.01.007</vt:lpwstr>
      </vt:variant>
      <vt:variant>
        <vt:lpwstr/>
      </vt:variant>
      <vt:variant>
        <vt:i4>4063344</vt:i4>
      </vt:variant>
      <vt:variant>
        <vt:i4>6092</vt:i4>
      </vt:variant>
      <vt:variant>
        <vt:i4>0</vt:i4>
      </vt:variant>
      <vt:variant>
        <vt:i4>5</vt:i4>
      </vt:variant>
      <vt:variant>
        <vt:lpwstr>https://doi.org/10.1016/j.apjtb.2016.12.010</vt:lpwstr>
      </vt:variant>
      <vt:variant>
        <vt:lpwstr/>
      </vt:variant>
      <vt:variant>
        <vt:i4>720902</vt:i4>
      </vt:variant>
      <vt:variant>
        <vt:i4>6089</vt:i4>
      </vt:variant>
      <vt:variant>
        <vt:i4>0</vt:i4>
      </vt:variant>
      <vt:variant>
        <vt:i4>5</vt:i4>
      </vt:variant>
      <vt:variant>
        <vt:lpwstr>https://doi.org/10.1016/S0044-8486(02)00562-8</vt:lpwstr>
      </vt:variant>
      <vt:variant>
        <vt:lpwstr/>
      </vt:variant>
      <vt:variant>
        <vt:i4>4521985</vt:i4>
      </vt:variant>
      <vt:variant>
        <vt:i4>6086</vt:i4>
      </vt:variant>
      <vt:variant>
        <vt:i4>0</vt:i4>
      </vt:variant>
      <vt:variant>
        <vt:i4>5</vt:i4>
      </vt:variant>
      <vt:variant>
        <vt:lpwstr>https://doi.org/10.1016/j.jip.2020.107387</vt:lpwstr>
      </vt:variant>
      <vt:variant>
        <vt:lpwstr/>
      </vt:variant>
      <vt:variant>
        <vt:i4>4390986</vt:i4>
      </vt:variant>
      <vt:variant>
        <vt:i4>6083</vt:i4>
      </vt:variant>
      <vt:variant>
        <vt:i4>0</vt:i4>
      </vt:variant>
      <vt:variant>
        <vt:i4>5</vt:i4>
      </vt:variant>
      <vt:variant>
        <vt:lpwstr>https://doi.org/10.1016/j.margeo.2006.09.003</vt:lpwstr>
      </vt:variant>
      <vt:variant>
        <vt:lpwstr/>
      </vt:variant>
      <vt:variant>
        <vt:i4>4325398</vt:i4>
      </vt:variant>
      <vt:variant>
        <vt:i4>6080</vt:i4>
      </vt:variant>
      <vt:variant>
        <vt:i4>0</vt:i4>
      </vt:variant>
      <vt:variant>
        <vt:i4>5</vt:i4>
      </vt:variant>
      <vt:variant>
        <vt:lpwstr>https://doi.org/10.1016/j.fsi.2019.02.047</vt:lpwstr>
      </vt:variant>
      <vt:variant>
        <vt:lpwstr/>
      </vt:variant>
      <vt:variant>
        <vt:i4>5439564</vt:i4>
      </vt:variant>
      <vt:variant>
        <vt:i4>6077</vt:i4>
      </vt:variant>
      <vt:variant>
        <vt:i4>0</vt:i4>
      </vt:variant>
      <vt:variant>
        <vt:i4>5</vt:i4>
      </vt:variant>
      <vt:variant>
        <vt:lpwstr>https://doi.org/10.1016/j.ecoenv.2021.113030</vt:lpwstr>
      </vt:variant>
      <vt:variant>
        <vt:lpwstr/>
      </vt:variant>
      <vt:variant>
        <vt:i4>4784145</vt:i4>
      </vt:variant>
      <vt:variant>
        <vt:i4>6074</vt:i4>
      </vt:variant>
      <vt:variant>
        <vt:i4>0</vt:i4>
      </vt:variant>
      <vt:variant>
        <vt:i4>5</vt:i4>
      </vt:variant>
      <vt:variant>
        <vt:lpwstr>https://doi.org/10.1016/j.aquaculture.2020.736199</vt:lpwstr>
      </vt:variant>
      <vt:variant>
        <vt:lpwstr/>
      </vt:variant>
      <vt:variant>
        <vt:i4>7405683</vt:i4>
      </vt:variant>
      <vt:variant>
        <vt:i4>6071</vt:i4>
      </vt:variant>
      <vt:variant>
        <vt:i4>0</vt:i4>
      </vt:variant>
      <vt:variant>
        <vt:i4>5</vt:i4>
      </vt:variant>
      <vt:variant>
        <vt:lpwstr>https://doi.org/10.3989/scimar.1998.62s181</vt:lpwstr>
      </vt:variant>
      <vt:variant>
        <vt:lpwstr/>
      </vt:variant>
      <vt:variant>
        <vt:i4>7667770</vt:i4>
      </vt:variant>
      <vt:variant>
        <vt:i4>6065</vt:i4>
      </vt:variant>
      <vt:variant>
        <vt:i4>0</vt:i4>
      </vt:variant>
      <vt:variant>
        <vt:i4>5</vt:i4>
      </vt:variant>
      <vt:variant>
        <vt:lpwstr/>
      </vt:variant>
      <vt:variant>
        <vt:lpwstr>_ENREF_317</vt:lpwstr>
      </vt:variant>
      <vt:variant>
        <vt:i4>7536703</vt:i4>
      </vt:variant>
      <vt:variant>
        <vt:i4>6057</vt:i4>
      </vt:variant>
      <vt:variant>
        <vt:i4>0</vt:i4>
      </vt:variant>
      <vt:variant>
        <vt:i4>5</vt:i4>
      </vt:variant>
      <vt:variant>
        <vt:lpwstr/>
      </vt:variant>
      <vt:variant>
        <vt:lpwstr>_ENREF_143</vt:lpwstr>
      </vt:variant>
      <vt:variant>
        <vt:i4>4390923</vt:i4>
      </vt:variant>
      <vt:variant>
        <vt:i4>6051</vt:i4>
      </vt:variant>
      <vt:variant>
        <vt:i4>0</vt:i4>
      </vt:variant>
      <vt:variant>
        <vt:i4>5</vt:i4>
      </vt:variant>
      <vt:variant>
        <vt:lpwstr/>
      </vt:variant>
      <vt:variant>
        <vt:lpwstr>_ENREF_25</vt:lpwstr>
      </vt:variant>
      <vt:variant>
        <vt:i4>8060985</vt:i4>
      </vt:variant>
      <vt:variant>
        <vt:i4>6047</vt:i4>
      </vt:variant>
      <vt:variant>
        <vt:i4>0</vt:i4>
      </vt:variant>
      <vt:variant>
        <vt:i4>5</vt:i4>
      </vt:variant>
      <vt:variant>
        <vt:lpwstr/>
      </vt:variant>
      <vt:variant>
        <vt:lpwstr>_ENREF_329</vt:lpwstr>
      </vt:variant>
      <vt:variant>
        <vt:i4>7602239</vt:i4>
      </vt:variant>
      <vt:variant>
        <vt:i4>6044</vt:i4>
      </vt:variant>
      <vt:variant>
        <vt:i4>0</vt:i4>
      </vt:variant>
      <vt:variant>
        <vt:i4>5</vt:i4>
      </vt:variant>
      <vt:variant>
        <vt:lpwstr/>
      </vt:variant>
      <vt:variant>
        <vt:lpwstr>_ENREF_247</vt:lpwstr>
      </vt:variant>
      <vt:variant>
        <vt:i4>7340089</vt:i4>
      </vt:variant>
      <vt:variant>
        <vt:i4>6041</vt:i4>
      </vt:variant>
      <vt:variant>
        <vt:i4>0</vt:i4>
      </vt:variant>
      <vt:variant>
        <vt:i4>5</vt:i4>
      </vt:variant>
      <vt:variant>
        <vt:lpwstr/>
      </vt:variant>
      <vt:variant>
        <vt:lpwstr>_ENREF_223</vt:lpwstr>
      </vt:variant>
      <vt:variant>
        <vt:i4>4653067</vt:i4>
      </vt:variant>
      <vt:variant>
        <vt:i4>6038</vt:i4>
      </vt:variant>
      <vt:variant>
        <vt:i4>0</vt:i4>
      </vt:variant>
      <vt:variant>
        <vt:i4>5</vt:i4>
      </vt:variant>
      <vt:variant>
        <vt:lpwstr/>
      </vt:variant>
      <vt:variant>
        <vt:lpwstr>_ENREF_63</vt:lpwstr>
      </vt:variant>
      <vt:variant>
        <vt:i4>7733310</vt:i4>
      </vt:variant>
      <vt:variant>
        <vt:i4>6030</vt:i4>
      </vt:variant>
      <vt:variant>
        <vt:i4>0</vt:i4>
      </vt:variant>
      <vt:variant>
        <vt:i4>5</vt:i4>
      </vt:variant>
      <vt:variant>
        <vt:lpwstr/>
      </vt:variant>
      <vt:variant>
        <vt:lpwstr>_ENREF_255</vt:lpwstr>
      </vt:variant>
      <vt:variant>
        <vt:i4>7405619</vt:i4>
      </vt:variant>
      <vt:variant>
        <vt:i4>6027</vt:i4>
      </vt:variant>
      <vt:variant>
        <vt:i4>0</vt:i4>
      </vt:variant>
      <vt:variant>
        <vt:i4>5</vt:i4>
      </vt:variant>
      <vt:variant>
        <vt:lpwstr/>
      </vt:variant>
      <vt:variant>
        <vt:lpwstr>_ENREF_181</vt:lpwstr>
      </vt:variant>
      <vt:variant>
        <vt:i4>7405628</vt:i4>
      </vt:variant>
      <vt:variant>
        <vt:i4>6024</vt:i4>
      </vt:variant>
      <vt:variant>
        <vt:i4>0</vt:i4>
      </vt:variant>
      <vt:variant>
        <vt:i4>5</vt:i4>
      </vt:variant>
      <vt:variant>
        <vt:lpwstr/>
      </vt:variant>
      <vt:variant>
        <vt:lpwstr>_ENREF_171</vt:lpwstr>
      </vt:variant>
      <vt:variant>
        <vt:i4>7536699</vt:i4>
      </vt:variant>
      <vt:variant>
        <vt:i4>6021</vt:i4>
      </vt:variant>
      <vt:variant>
        <vt:i4>0</vt:i4>
      </vt:variant>
      <vt:variant>
        <vt:i4>5</vt:i4>
      </vt:variant>
      <vt:variant>
        <vt:lpwstr/>
      </vt:variant>
      <vt:variant>
        <vt:lpwstr>_ENREF_103</vt:lpwstr>
      </vt:variant>
      <vt:variant>
        <vt:i4>7471163</vt:i4>
      </vt:variant>
      <vt:variant>
        <vt:i4>6018</vt:i4>
      </vt:variant>
      <vt:variant>
        <vt:i4>0</vt:i4>
      </vt:variant>
      <vt:variant>
        <vt:i4>5</vt:i4>
      </vt:variant>
      <vt:variant>
        <vt:lpwstr/>
      </vt:variant>
      <vt:variant>
        <vt:lpwstr>_ENREF_102</vt:lpwstr>
      </vt:variant>
      <vt:variant>
        <vt:i4>7798845</vt:i4>
      </vt:variant>
      <vt:variant>
        <vt:i4>6010</vt:i4>
      </vt:variant>
      <vt:variant>
        <vt:i4>0</vt:i4>
      </vt:variant>
      <vt:variant>
        <vt:i4>5</vt:i4>
      </vt:variant>
      <vt:variant>
        <vt:lpwstr/>
      </vt:variant>
      <vt:variant>
        <vt:lpwstr>_ENREF_264</vt:lpwstr>
      </vt:variant>
      <vt:variant>
        <vt:i4>4390923</vt:i4>
      </vt:variant>
      <vt:variant>
        <vt:i4>6004</vt:i4>
      </vt:variant>
      <vt:variant>
        <vt:i4>0</vt:i4>
      </vt:variant>
      <vt:variant>
        <vt:i4>5</vt:i4>
      </vt:variant>
      <vt:variant>
        <vt:lpwstr/>
      </vt:variant>
      <vt:variant>
        <vt:lpwstr>_ENREF_29</vt:lpwstr>
      </vt:variant>
      <vt:variant>
        <vt:i4>7798842</vt:i4>
      </vt:variant>
      <vt:variant>
        <vt:i4>5998</vt:i4>
      </vt:variant>
      <vt:variant>
        <vt:i4>0</vt:i4>
      </vt:variant>
      <vt:variant>
        <vt:i4>5</vt:i4>
      </vt:variant>
      <vt:variant>
        <vt:lpwstr/>
      </vt:variant>
      <vt:variant>
        <vt:lpwstr>_ENREF_117</vt:lpwstr>
      </vt:variant>
      <vt:variant>
        <vt:i4>7471163</vt:i4>
      </vt:variant>
      <vt:variant>
        <vt:i4>5992</vt:i4>
      </vt:variant>
      <vt:variant>
        <vt:i4>0</vt:i4>
      </vt:variant>
      <vt:variant>
        <vt:i4>5</vt:i4>
      </vt:variant>
      <vt:variant>
        <vt:lpwstr/>
      </vt:variant>
      <vt:variant>
        <vt:lpwstr>_ENREF_201</vt:lpwstr>
      </vt:variant>
      <vt:variant>
        <vt:i4>4194315</vt:i4>
      </vt:variant>
      <vt:variant>
        <vt:i4>5989</vt:i4>
      </vt:variant>
      <vt:variant>
        <vt:i4>0</vt:i4>
      </vt:variant>
      <vt:variant>
        <vt:i4>5</vt:i4>
      </vt:variant>
      <vt:variant>
        <vt:lpwstr/>
      </vt:variant>
      <vt:variant>
        <vt:lpwstr>_ENREF_15</vt:lpwstr>
      </vt:variant>
      <vt:variant>
        <vt:i4>7602232</vt:i4>
      </vt:variant>
      <vt:variant>
        <vt:i4>5981</vt:i4>
      </vt:variant>
      <vt:variant>
        <vt:i4>0</vt:i4>
      </vt:variant>
      <vt:variant>
        <vt:i4>5</vt:i4>
      </vt:variant>
      <vt:variant>
        <vt:lpwstr/>
      </vt:variant>
      <vt:variant>
        <vt:lpwstr>_ENREF_336</vt:lpwstr>
      </vt:variant>
      <vt:variant>
        <vt:i4>7733306</vt:i4>
      </vt:variant>
      <vt:variant>
        <vt:i4>5978</vt:i4>
      </vt:variant>
      <vt:variant>
        <vt:i4>0</vt:i4>
      </vt:variant>
      <vt:variant>
        <vt:i4>5</vt:i4>
      </vt:variant>
      <vt:variant>
        <vt:lpwstr/>
      </vt:variant>
      <vt:variant>
        <vt:lpwstr>_ENREF_314</vt:lpwstr>
      </vt:variant>
      <vt:variant>
        <vt:i4>8060987</vt:i4>
      </vt:variant>
      <vt:variant>
        <vt:i4>5975</vt:i4>
      </vt:variant>
      <vt:variant>
        <vt:i4>0</vt:i4>
      </vt:variant>
      <vt:variant>
        <vt:i4>5</vt:i4>
      </vt:variant>
      <vt:variant>
        <vt:lpwstr/>
      </vt:variant>
      <vt:variant>
        <vt:lpwstr>_ENREF_309</vt:lpwstr>
      </vt:variant>
      <vt:variant>
        <vt:i4>7340083</vt:i4>
      </vt:variant>
      <vt:variant>
        <vt:i4>5972</vt:i4>
      </vt:variant>
      <vt:variant>
        <vt:i4>0</vt:i4>
      </vt:variant>
      <vt:variant>
        <vt:i4>5</vt:i4>
      </vt:variant>
      <vt:variant>
        <vt:lpwstr/>
      </vt:variant>
      <vt:variant>
        <vt:lpwstr>_ENREF_283</vt:lpwstr>
      </vt:variant>
      <vt:variant>
        <vt:i4>7733307</vt:i4>
      </vt:variant>
      <vt:variant>
        <vt:i4>5969</vt:i4>
      </vt:variant>
      <vt:variant>
        <vt:i4>0</vt:i4>
      </vt:variant>
      <vt:variant>
        <vt:i4>5</vt:i4>
      </vt:variant>
      <vt:variant>
        <vt:lpwstr/>
      </vt:variant>
      <vt:variant>
        <vt:lpwstr>_ENREF_205</vt:lpwstr>
      </vt:variant>
      <vt:variant>
        <vt:i4>4390923</vt:i4>
      </vt:variant>
      <vt:variant>
        <vt:i4>5966</vt:i4>
      </vt:variant>
      <vt:variant>
        <vt:i4>0</vt:i4>
      </vt:variant>
      <vt:variant>
        <vt:i4>5</vt:i4>
      </vt:variant>
      <vt:variant>
        <vt:lpwstr/>
      </vt:variant>
      <vt:variant>
        <vt:lpwstr>_ENREF_24</vt:lpwstr>
      </vt:variant>
      <vt:variant>
        <vt:i4>4653067</vt:i4>
      </vt:variant>
      <vt:variant>
        <vt:i4>5958</vt:i4>
      </vt:variant>
      <vt:variant>
        <vt:i4>0</vt:i4>
      </vt:variant>
      <vt:variant>
        <vt:i4>5</vt:i4>
      </vt:variant>
      <vt:variant>
        <vt:lpwstr/>
      </vt:variant>
      <vt:variant>
        <vt:lpwstr>_ENREF_64</vt:lpwstr>
      </vt:variant>
      <vt:variant>
        <vt:i4>4456459</vt:i4>
      </vt:variant>
      <vt:variant>
        <vt:i4>5952</vt:i4>
      </vt:variant>
      <vt:variant>
        <vt:i4>0</vt:i4>
      </vt:variant>
      <vt:variant>
        <vt:i4>5</vt:i4>
      </vt:variant>
      <vt:variant>
        <vt:lpwstr/>
      </vt:variant>
      <vt:variant>
        <vt:lpwstr>_ENREF_56</vt:lpwstr>
      </vt:variant>
      <vt:variant>
        <vt:i4>4521995</vt:i4>
      </vt:variant>
      <vt:variant>
        <vt:i4>5949</vt:i4>
      </vt:variant>
      <vt:variant>
        <vt:i4>0</vt:i4>
      </vt:variant>
      <vt:variant>
        <vt:i4>5</vt:i4>
      </vt:variant>
      <vt:variant>
        <vt:lpwstr/>
      </vt:variant>
      <vt:variant>
        <vt:lpwstr>_ENREF_47</vt:lpwstr>
      </vt:variant>
      <vt:variant>
        <vt:i4>7405629</vt:i4>
      </vt:variant>
      <vt:variant>
        <vt:i4>5941</vt:i4>
      </vt:variant>
      <vt:variant>
        <vt:i4>0</vt:i4>
      </vt:variant>
      <vt:variant>
        <vt:i4>5</vt:i4>
      </vt:variant>
      <vt:variant>
        <vt:lpwstr/>
      </vt:variant>
      <vt:variant>
        <vt:lpwstr>_ENREF_262</vt:lpwstr>
      </vt:variant>
      <vt:variant>
        <vt:i4>7536699</vt:i4>
      </vt:variant>
      <vt:variant>
        <vt:i4>5938</vt:i4>
      </vt:variant>
      <vt:variant>
        <vt:i4>0</vt:i4>
      </vt:variant>
      <vt:variant>
        <vt:i4>5</vt:i4>
      </vt:variant>
      <vt:variant>
        <vt:lpwstr/>
      </vt:variant>
      <vt:variant>
        <vt:lpwstr>_ENREF_200</vt:lpwstr>
      </vt:variant>
      <vt:variant>
        <vt:i4>4784139</vt:i4>
      </vt:variant>
      <vt:variant>
        <vt:i4>5928</vt:i4>
      </vt:variant>
      <vt:variant>
        <vt:i4>0</vt:i4>
      </vt:variant>
      <vt:variant>
        <vt:i4>5</vt:i4>
      </vt:variant>
      <vt:variant>
        <vt:lpwstr/>
      </vt:variant>
      <vt:variant>
        <vt:lpwstr>_ENREF_87</vt:lpwstr>
      </vt:variant>
      <vt:variant>
        <vt:i4>7405619</vt:i4>
      </vt:variant>
      <vt:variant>
        <vt:i4>5924</vt:i4>
      </vt:variant>
      <vt:variant>
        <vt:i4>0</vt:i4>
      </vt:variant>
      <vt:variant>
        <vt:i4>5</vt:i4>
      </vt:variant>
      <vt:variant>
        <vt:lpwstr/>
      </vt:variant>
      <vt:variant>
        <vt:lpwstr>_ENREF_282</vt:lpwstr>
      </vt:variant>
      <vt:variant>
        <vt:i4>4784139</vt:i4>
      </vt:variant>
      <vt:variant>
        <vt:i4>5921</vt:i4>
      </vt:variant>
      <vt:variant>
        <vt:i4>0</vt:i4>
      </vt:variant>
      <vt:variant>
        <vt:i4>5</vt:i4>
      </vt:variant>
      <vt:variant>
        <vt:lpwstr/>
      </vt:variant>
      <vt:variant>
        <vt:lpwstr>_ENREF_88</vt:lpwstr>
      </vt:variant>
      <vt:variant>
        <vt:i4>4390923</vt:i4>
      </vt:variant>
      <vt:variant>
        <vt:i4>5918</vt:i4>
      </vt:variant>
      <vt:variant>
        <vt:i4>0</vt:i4>
      </vt:variant>
      <vt:variant>
        <vt:i4>5</vt:i4>
      </vt:variant>
      <vt:variant>
        <vt:lpwstr/>
      </vt:variant>
      <vt:variant>
        <vt:lpwstr>_ENREF_25</vt:lpwstr>
      </vt:variant>
      <vt:variant>
        <vt:i4>7602235</vt:i4>
      </vt:variant>
      <vt:variant>
        <vt:i4>5910</vt:i4>
      </vt:variant>
      <vt:variant>
        <vt:i4>0</vt:i4>
      </vt:variant>
      <vt:variant>
        <vt:i4>5</vt:i4>
      </vt:variant>
      <vt:variant>
        <vt:lpwstr/>
      </vt:variant>
      <vt:variant>
        <vt:lpwstr>_ENREF_207</vt:lpwstr>
      </vt:variant>
      <vt:variant>
        <vt:i4>4390923</vt:i4>
      </vt:variant>
      <vt:variant>
        <vt:i4>5902</vt:i4>
      </vt:variant>
      <vt:variant>
        <vt:i4>0</vt:i4>
      </vt:variant>
      <vt:variant>
        <vt:i4>5</vt:i4>
      </vt:variant>
      <vt:variant>
        <vt:lpwstr/>
      </vt:variant>
      <vt:variant>
        <vt:lpwstr>_ENREF_25</vt:lpwstr>
      </vt:variant>
      <vt:variant>
        <vt:i4>7733298</vt:i4>
      </vt:variant>
      <vt:variant>
        <vt:i4>5896</vt:i4>
      </vt:variant>
      <vt:variant>
        <vt:i4>0</vt:i4>
      </vt:variant>
      <vt:variant>
        <vt:i4>5</vt:i4>
      </vt:variant>
      <vt:variant>
        <vt:lpwstr/>
      </vt:variant>
      <vt:variant>
        <vt:lpwstr>_ENREF_295</vt:lpwstr>
      </vt:variant>
      <vt:variant>
        <vt:i4>7405619</vt:i4>
      </vt:variant>
      <vt:variant>
        <vt:i4>5893</vt:i4>
      </vt:variant>
      <vt:variant>
        <vt:i4>0</vt:i4>
      </vt:variant>
      <vt:variant>
        <vt:i4>5</vt:i4>
      </vt:variant>
      <vt:variant>
        <vt:lpwstr/>
      </vt:variant>
      <vt:variant>
        <vt:lpwstr>_ENREF_282</vt:lpwstr>
      </vt:variant>
      <vt:variant>
        <vt:i4>7340092</vt:i4>
      </vt:variant>
      <vt:variant>
        <vt:i4>5890</vt:i4>
      </vt:variant>
      <vt:variant>
        <vt:i4>0</vt:i4>
      </vt:variant>
      <vt:variant>
        <vt:i4>5</vt:i4>
      </vt:variant>
      <vt:variant>
        <vt:lpwstr/>
      </vt:variant>
      <vt:variant>
        <vt:lpwstr>_ENREF_273</vt:lpwstr>
      </vt:variant>
      <vt:variant>
        <vt:i4>4784139</vt:i4>
      </vt:variant>
      <vt:variant>
        <vt:i4>5887</vt:i4>
      </vt:variant>
      <vt:variant>
        <vt:i4>0</vt:i4>
      </vt:variant>
      <vt:variant>
        <vt:i4>5</vt:i4>
      </vt:variant>
      <vt:variant>
        <vt:lpwstr/>
      </vt:variant>
      <vt:variant>
        <vt:lpwstr>_ENREF_89</vt:lpwstr>
      </vt:variant>
      <vt:variant>
        <vt:i4>4784139</vt:i4>
      </vt:variant>
      <vt:variant>
        <vt:i4>5884</vt:i4>
      </vt:variant>
      <vt:variant>
        <vt:i4>0</vt:i4>
      </vt:variant>
      <vt:variant>
        <vt:i4>5</vt:i4>
      </vt:variant>
      <vt:variant>
        <vt:lpwstr/>
      </vt:variant>
      <vt:variant>
        <vt:lpwstr>_ENREF_88</vt:lpwstr>
      </vt:variant>
      <vt:variant>
        <vt:i4>4784139</vt:i4>
      </vt:variant>
      <vt:variant>
        <vt:i4>5881</vt:i4>
      </vt:variant>
      <vt:variant>
        <vt:i4>0</vt:i4>
      </vt:variant>
      <vt:variant>
        <vt:i4>5</vt:i4>
      </vt:variant>
      <vt:variant>
        <vt:lpwstr/>
      </vt:variant>
      <vt:variant>
        <vt:lpwstr>_ENREF_86</vt:lpwstr>
      </vt:variant>
      <vt:variant>
        <vt:i4>4194315</vt:i4>
      </vt:variant>
      <vt:variant>
        <vt:i4>5873</vt:i4>
      </vt:variant>
      <vt:variant>
        <vt:i4>0</vt:i4>
      </vt:variant>
      <vt:variant>
        <vt:i4>5</vt:i4>
      </vt:variant>
      <vt:variant>
        <vt:lpwstr/>
      </vt:variant>
      <vt:variant>
        <vt:lpwstr>_ENREF_15</vt:lpwstr>
      </vt:variant>
      <vt:variant>
        <vt:i4>4390923</vt:i4>
      </vt:variant>
      <vt:variant>
        <vt:i4>5867</vt:i4>
      </vt:variant>
      <vt:variant>
        <vt:i4>0</vt:i4>
      </vt:variant>
      <vt:variant>
        <vt:i4>5</vt:i4>
      </vt:variant>
      <vt:variant>
        <vt:lpwstr/>
      </vt:variant>
      <vt:variant>
        <vt:lpwstr>_ENREF_24</vt:lpwstr>
      </vt:variant>
      <vt:variant>
        <vt:i4>4194315</vt:i4>
      </vt:variant>
      <vt:variant>
        <vt:i4>5864</vt:i4>
      </vt:variant>
      <vt:variant>
        <vt:i4>0</vt:i4>
      </vt:variant>
      <vt:variant>
        <vt:i4>5</vt:i4>
      </vt:variant>
      <vt:variant>
        <vt:lpwstr/>
      </vt:variant>
      <vt:variant>
        <vt:lpwstr>_ENREF_15</vt:lpwstr>
      </vt:variant>
      <vt:variant>
        <vt:i4>4194315</vt:i4>
      </vt:variant>
      <vt:variant>
        <vt:i4>5861</vt:i4>
      </vt:variant>
      <vt:variant>
        <vt:i4>0</vt:i4>
      </vt:variant>
      <vt:variant>
        <vt:i4>5</vt:i4>
      </vt:variant>
      <vt:variant>
        <vt:lpwstr/>
      </vt:variant>
      <vt:variant>
        <vt:lpwstr>_ENREF_13</vt:lpwstr>
      </vt:variant>
      <vt:variant>
        <vt:i4>4390923</vt:i4>
      </vt:variant>
      <vt:variant>
        <vt:i4>5850</vt:i4>
      </vt:variant>
      <vt:variant>
        <vt:i4>0</vt:i4>
      </vt:variant>
      <vt:variant>
        <vt:i4>5</vt:i4>
      </vt:variant>
      <vt:variant>
        <vt:lpwstr/>
      </vt:variant>
      <vt:variant>
        <vt:lpwstr>_ENREF_24</vt:lpwstr>
      </vt:variant>
      <vt:variant>
        <vt:i4>4194315</vt:i4>
      </vt:variant>
      <vt:variant>
        <vt:i4>5847</vt:i4>
      </vt:variant>
      <vt:variant>
        <vt:i4>0</vt:i4>
      </vt:variant>
      <vt:variant>
        <vt:i4>5</vt:i4>
      </vt:variant>
      <vt:variant>
        <vt:lpwstr/>
      </vt:variant>
      <vt:variant>
        <vt:lpwstr>_ENREF_13</vt:lpwstr>
      </vt:variant>
      <vt:variant>
        <vt:i4>4718603</vt:i4>
      </vt:variant>
      <vt:variant>
        <vt:i4>5839</vt:i4>
      </vt:variant>
      <vt:variant>
        <vt:i4>0</vt:i4>
      </vt:variant>
      <vt:variant>
        <vt:i4>5</vt:i4>
      </vt:variant>
      <vt:variant>
        <vt:lpwstr/>
      </vt:variant>
      <vt:variant>
        <vt:lpwstr>_ENREF_99</vt:lpwstr>
      </vt:variant>
      <vt:variant>
        <vt:i4>4718603</vt:i4>
      </vt:variant>
      <vt:variant>
        <vt:i4>5833</vt:i4>
      </vt:variant>
      <vt:variant>
        <vt:i4>0</vt:i4>
      </vt:variant>
      <vt:variant>
        <vt:i4>5</vt:i4>
      </vt:variant>
      <vt:variant>
        <vt:lpwstr/>
      </vt:variant>
      <vt:variant>
        <vt:lpwstr>_ENREF_99</vt:lpwstr>
      </vt:variant>
      <vt:variant>
        <vt:i4>4390923</vt:i4>
      </vt:variant>
      <vt:variant>
        <vt:i4>5827</vt:i4>
      </vt:variant>
      <vt:variant>
        <vt:i4>0</vt:i4>
      </vt:variant>
      <vt:variant>
        <vt:i4>5</vt:i4>
      </vt:variant>
      <vt:variant>
        <vt:lpwstr/>
      </vt:variant>
      <vt:variant>
        <vt:lpwstr>_ENREF_24</vt:lpwstr>
      </vt:variant>
      <vt:variant>
        <vt:i4>4194315</vt:i4>
      </vt:variant>
      <vt:variant>
        <vt:i4>5824</vt:i4>
      </vt:variant>
      <vt:variant>
        <vt:i4>0</vt:i4>
      </vt:variant>
      <vt:variant>
        <vt:i4>5</vt:i4>
      </vt:variant>
      <vt:variant>
        <vt:lpwstr/>
      </vt:variant>
      <vt:variant>
        <vt:lpwstr>_ENREF_15</vt:lpwstr>
      </vt:variant>
      <vt:variant>
        <vt:i4>4194315</vt:i4>
      </vt:variant>
      <vt:variant>
        <vt:i4>5821</vt:i4>
      </vt:variant>
      <vt:variant>
        <vt:i4>0</vt:i4>
      </vt:variant>
      <vt:variant>
        <vt:i4>5</vt:i4>
      </vt:variant>
      <vt:variant>
        <vt:lpwstr/>
      </vt:variant>
      <vt:variant>
        <vt:lpwstr>_ENREF_13</vt:lpwstr>
      </vt:variant>
      <vt:variant>
        <vt:i4>7471154</vt:i4>
      </vt:variant>
      <vt:variant>
        <vt:i4>5813</vt:i4>
      </vt:variant>
      <vt:variant>
        <vt:i4>0</vt:i4>
      </vt:variant>
      <vt:variant>
        <vt:i4>5</vt:i4>
      </vt:variant>
      <vt:variant>
        <vt:lpwstr/>
      </vt:variant>
      <vt:variant>
        <vt:lpwstr>_ENREF_291</vt:lpwstr>
      </vt:variant>
      <vt:variant>
        <vt:i4>7602235</vt:i4>
      </vt:variant>
      <vt:variant>
        <vt:i4>5807</vt:i4>
      </vt:variant>
      <vt:variant>
        <vt:i4>0</vt:i4>
      </vt:variant>
      <vt:variant>
        <vt:i4>5</vt:i4>
      </vt:variant>
      <vt:variant>
        <vt:lpwstr/>
      </vt:variant>
      <vt:variant>
        <vt:lpwstr>_ENREF_306</vt:lpwstr>
      </vt:variant>
      <vt:variant>
        <vt:i4>7602227</vt:i4>
      </vt:variant>
      <vt:variant>
        <vt:i4>5801</vt:i4>
      </vt:variant>
      <vt:variant>
        <vt:i4>0</vt:i4>
      </vt:variant>
      <vt:variant>
        <vt:i4>5</vt:i4>
      </vt:variant>
      <vt:variant>
        <vt:lpwstr/>
      </vt:variant>
      <vt:variant>
        <vt:lpwstr>_ENREF_184</vt:lpwstr>
      </vt:variant>
      <vt:variant>
        <vt:i4>4390923</vt:i4>
      </vt:variant>
      <vt:variant>
        <vt:i4>5798</vt:i4>
      </vt:variant>
      <vt:variant>
        <vt:i4>0</vt:i4>
      </vt:variant>
      <vt:variant>
        <vt:i4>5</vt:i4>
      </vt:variant>
      <vt:variant>
        <vt:lpwstr/>
      </vt:variant>
      <vt:variant>
        <vt:lpwstr>_ENREF_24</vt:lpwstr>
      </vt:variant>
      <vt:variant>
        <vt:i4>4194315</vt:i4>
      </vt:variant>
      <vt:variant>
        <vt:i4>5790</vt:i4>
      </vt:variant>
      <vt:variant>
        <vt:i4>0</vt:i4>
      </vt:variant>
      <vt:variant>
        <vt:i4>5</vt:i4>
      </vt:variant>
      <vt:variant>
        <vt:lpwstr/>
      </vt:variant>
      <vt:variant>
        <vt:lpwstr>_ENREF_15</vt:lpwstr>
      </vt:variant>
      <vt:variant>
        <vt:i4>7995451</vt:i4>
      </vt:variant>
      <vt:variant>
        <vt:i4>5784</vt:i4>
      </vt:variant>
      <vt:variant>
        <vt:i4>0</vt:i4>
      </vt:variant>
      <vt:variant>
        <vt:i4>5</vt:i4>
      </vt:variant>
      <vt:variant>
        <vt:lpwstr/>
      </vt:variant>
      <vt:variant>
        <vt:lpwstr>_ENREF_308</vt:lpwstr>
      </vt:variant>
      <vt:variant>
        <vt:i4>7471163</vt:i4>
      </vt:variant>
      <vt:variant>
        <vt:i4>5781</vt:i4>
      </vt:variant>
      <vt:variant>
        <vt:i4>0</vt:i4>
      </vt:variant>
      <vt:variant>
        <vt:i4>5</vt:i4>
      </vt:variant>
      <vt:variant>
        <vt:lpwstr/>
      </vt:variant>
      <vt:variant>
        <vt:lpwstr>_ENREF_300</vt:lpwstr>
      </vt:variant>
      <vt:variant>
        <vt:i4>7667769</vt:i4>
      </vt:variant>
      <vt:variant>
        <vt:i4>5771</vt:i4>
      </vt:variant>
      <vt:variant>
        <vt:i4>0</vt:i4>
      </vt:variant>
      <vt:variant>
        <vt:i4>5</vt:i4>
      </vt:variant>
      <vt:variant>
        <vt:lpwstr/>
      </vt:variant>
      <vt:variant>
        <vt:lpwstr>_ENREF_327</vt:lpwstr>
      </vt:variant>
      <vt:variant>
        <vt:i4>7667769</vt:i4>
      </vt:variant>
      <vt:variant>
        <vt:i4>5767</vt:i4>
      </vt:variant>
      <vt:variant>
        <vt:i4>0</vt:i4>
      </vt:variant>
      <vt:variant>
        <vt:i4>5</vt:i4>
      </vt:variant>
      <vt:variant>
        <vt:lpwstr/>
      </vt:variant>
      <vt:variant>
        <vt:lpwstr>_ENREF_327</vt:lpwstr>
      </vt:variant>
      <vt:variant>
        <vt:i4>8060985</vt:i4>
      </vt:variant>
      <vt:variant>
        <vt:i4>5764</vt:i4>
      </vt:variant>
      <vt:variant>
        <vt:i4>0</vt:i4>
      </vt:variant>
      <vt:variant>
        <vt:i4>5</vt:i4>
      </vt:variant>
      <vt:variant>
        <vt:lpwstr/>
      </vt:variant>
      <vt:variant>
        <vt:lpwstr>_ENREF_228</vt:lpwstr>
      </vt:variant>
      <vt:variant>
        <vt:i4>4194315</vt:i4>
      </vt:variant>
      <vt:variant>
        <vt:i4>5754</vt:i4>
      </vt:variant>
      <vt:variant>
        <vt:i4>0</vt:i4>
      </vt:variant>
      <vt:variant>
        <vt:i4>5</vt:i4>
      </vt:variant>
      <vt:variant>
        <vt:lpwstr/>
      </vt:variant>
      <vt:variant>
        <vt:lpwstr>_ENREF_13</vt:lpwstr>
      </vt:variant>
      <vt:variant>
        <vt:i4>7471166</vt:i4>
      </vt:variant>
      <vt:variant>
        <vt:i4>5750</vt:i4>
      </vt:variant>
      <vt:variant>
        <vt:i4>0</vt:i4>
      </vt:variant>
      <vt:variant>
        <vt:i4>5</vt:i4>
      </vt:variant>
      <vt:variant>
        <vt:lpwstr/>
      </vt:variant>
      <vt:variant>
        <vt:lpwstr>_ENREF_251</vt:lpwstr>
      </vt:variant>
      <vt:variant>
        <vt:i4>7995448</vt:i4>
      </vt:variant>
      <vt:variant>
        <vt:i4>5747</vt:i4>
      </vt:variant>
      <vt:variant>
        <vt:i4>0</vt:i4>
      </vt:variant>
      <vt:variant>
        <vt:i4>5</vt:i4>
      </vt:variant>
      <vt:variant>
        <vt:lpwstr/>
      </vt:variant>
      <vt:variant>
        <vt:lpwstr>_ENREF_239</vt:lpwstr>
      </vt:variant>
      <vt:variant>
        <vt:i4>7864383</vt:i4>
      </vt:variant>
      <vt:variant>
        <vt:i4>5739</vt:i4>
      </vt:variant>
      <vt:variant>
        <vt:i4>0</vt:i4>
      </vt:variant>
      <vt:variant>
        <vt:i4>5</vt:i4>
      </vt:variant>
      <vt:variant>
        <vt:lpwstr/>
      </vt:variant>
      <vt:variant>
        <vt:lpwstr>_ENREF_148</vt:lpwstr>
      </vt:variant>
      <vt:variant>
        <vt:i4>7340090</vt:i4>
      </vt:variant>
      <vt:variant>
        <vt:i4>5736</vt:i4>
      </vt:variant>
      <vt:variant>
        <vt:i4>0</vt:i4>
      </vt:variant>
      <vt:variant>
        <vt:i4>5</vt:i4>
      </vt:variant>
      <vt:variant>
        <vt:lpwstr/>
      </vt:variant>
      <vt:variant>
        <vt:lpwstr>_ENREF_110</vt:lpwstr>
      </vt:variant>
      <vt:variant>
        <vt:i4>4456459</vt:i4>
      </vt:variant>
      <vt:variant>
        <vt:i4>5728</vt:i4>
      </vt:variant>
      <vt:variant>
        <vt:i4>0</vt:i4>
      </vt:variant>
      <vt:variant>
        <vt:i4>5</vt:i4>
      </vt:variant>
      <vt:variant>
        <vt:lpwstr/>
      </vt:variant>
      <vt:variant>
        <vt:lpwstr>_ENREF_57</vt:lpwstr>
      </vt:variant>
      <vt:variant>
        <vt:i4>7340089</vt:i4>
      </vt:variant>
      <vt:variant>
        <vt:i4>5722</vt:i4>
      </vt:variant>
      <vt:variant>
        <vt:i4>0</vt:i4>
      </vt:variant>
      <vt:variant>
        <vt:i4>5</vt:i4>
      </vt:variant>
      <vt:variant>
        <vt:lpwstr/>
      </vt:variant>
      <vt:variant>
        <vt:lpwstr>_ENREF_322</vt:lpwstr>
      </vt:variant>
      <vt:variant>
        <vt:i4>7995453</vt:i4>
      </vt:variant>
      <vt:variant>
        <vt:i4>5714</vt:i4>
      </vt:variant>
      <vt:variant>
        <vt:i4>0</vt:i4>
      </vt:variant>
      <vt:variant>
        <vt:i4>5</vt:i4>
      </vt:variant>
      <vt:variant>
        <vt:lpwstr/>
      </vt:variant>
      <vt:variant>
        <vt:lpwstr>_ENREF_269</vt:lpwstr>
      </vt:variant>
      <vt:variant>
        <vt:i4>7471167</vt:i4>
      </vt:variant>
      <vt:variant>
        <vt:i4>5708</vt:i4>
      </vt:variant>
      <vt:variant>
        <vt:i4>0</vt:i4>
      </vt:variant>
      <vt:variant>
        <vt:i4>5</vt:i4>
      </vt:variant>
      <vt:variant>
        <vt:lpwstr/>
      </vt:variant>
      <vt:variant>
        <vt:lpwstr>_ENREF_241</vt:lpwstr>
      </vt:variant>
      <vt:variant>
        <vt:i4>7405629</vt:i4>
      </vt:variant>
      <vt:variant>
        <vt:i4>5702</vt:i4>
      </vt:variant>
      <vt:variant>
        <vt:i4>0</vt:i4>
      </vt:variant>
      <vt:variant>
        <vt:i4>5</vt:i4>
      </vt:variant>
      <vt:variant>
        <vt:lpwstr/>
      </vt:variant>
      <vt:variant>
        <vt:lpwstr>_ENREF_161</vt:lpwstr>
      </vt:variant>
      <vt:variant>
        <vt:i4>7864379</vt:i4>
      </vt:variant>
      <vt:variant>
        <vt:i4>5699</vt:i4>
      </vt:variant>
      <vt:variant>
        <vt:i4>0</vt:i4>
      </vt:variant>
      <vt:variant>
        <vt:i4>5</vt:i4>
      </vt:variant>
      <vt:variant>
        <vt:lpwstr/>
      </vt:variant>
      <vt:variant>
        <vt:lpwstr>_ENREF_108</vt:lpwstr>
      </vt:variant>
      <vt:variant>
        <vt:i4>7536700</vt:i4>
      </vt:variant>
      <vt:variant>
        <vt:i4>5691</vt:i4>
      </vt:variant>
      <vt:variant>
        <vt:i4>0</vt:i4>
      </vt:variant>
      <vt:variant>
        <vt:i4>5</vt:i4>
      </vt:variant>
      <vt:variant>
        <vt:lpwstr/>
      </vt:variant>
      <vt:variant>
        <vt:lpwstr>_ENREF_270</vt:lpwstr>
      </vt:variant>
      <vt:variant>
        <vt:i4>7798846</vt:i4>
      </vt:variant>
      <vt:variant>
        <vt:i4>5683</vt:i4>
      </vt:variant>
      <vt:variant>
        <vt:i4>0</vt:i4>
      </vt:variant>
      <vt:variant>
        <vt:i4>5</vt:i4>
      </vt:variant>
      <vt:variant>
        <vt:lpwstr/>
      </vt:variant>
      <vt:variant>
        <vt:lpwstr>_ENREF_355</vt:lpwstr>
      </vt:variant>
      <vt:variant>
        <vt:i4>7536700</vt:i4>
      </vt:variant>
      <vt:variant>
        <vt:i4>5680</vt:i4>
      </vt:variant>
      <vt:variant>
        <vt:i4>0</vt:i4>
      </vt:variant>
      <vt:variant>
        <vt:i4>5</vt:i4>
      </vt:variant>
      <vt:variant>
        <vt:lpwstr/>
      </vt:variant>
      <vt:variant>
        <vt:lpwstr>_ENREF_270</vt:lpwstr>
      </vt:variant>
      <vt:variant>
        <vt:i4>7995448</vt:i4>
      </vt:variant>
      <vt:variant>
        <vt:i4>5677</vt:i4>
      </vt:variant>
      <vt:variant>
        <vt:i4>0</vt:i4>
      </vt:variant>
      <vt:variant>
        <vt:i4>5</vt:i4>
      </vt:variant>
      <vt:variant>
        <vt:lpwstr/>
      </vt:variant>
      <vt:variant>
        <vt:lpwstr>_ENREF_239</vt:lpwstr>
      </vt:variant>
      <vt:variant>
        <vt:i4>7798835</vt:i4>
      </vt:variant>
      <vt:variant>
        <vt:i4>5669</vt:i4>
      </vt:variant>
      <vt:variant>
        <vt:i4>0</vt:i4>
      </vt:variant>
      <vt:variant>
        <vt:i4>5</vt:i4>
      </vt:variant>
      <vt:variant>
        <vt:lpwstr/>
      </vt:variant>
      <vt:variant>
        <vt:lpwstr>_ENREF_187</vt:lpwstr>
      </vt:variant>
      <vt:variant>
        <vt:i4>7733310</vt:i4>
      </vt:variant>
      <vt:variant>
        <vt:i4>5663</vt:i4>
      </vt:variant>
      <vt:variant>
        <vt:i4>0</vt:i4>
      </vt:variant>
      <vt:variant>
        <vt:i4>5</vt:i4>
      </vt:variant>
      <vt:variant>
        <vt:lpwstr/>
      </vt:variant>
      <vt:variant>
        <vt:lpwstr>_ENREF_156</vt:lpwstr>
      </vt:variant>
      <vt:variant>
        <vt:i4>7536698</vt:i4>
      </vt:variant>
      <vt:variant>
        <vt:i4>5655</vt:i4>
      </vt:variant>
      <vt:variant>
        <vt:i4>0</vt:i4>
      </vt:variant>
      <vt:variant>
        <vt:i4>5</vt:i4>
      </vt:variant>
      <vt:variant>
        <vt:lpwstr/>
      </vt:variant>
      <vt:variant>
        <vt:lpwstr>_ENREF_311</vt:lpwstr>
      </vt:variant>
      <vt:variant>
        <vt:i4>7405626</vt:i4>
      </vt:variant>
      <vt:variant>
        <vt:i4>5652</vt:i4>
      </vt:variant>
      <vt:variant>
        <vt:i4>0</vt:i4>
      </vt:variant>
      <vt:variant>
        <vt:i4>5</vt:i4>
      </vt:variant>
      <vt:variant>
        <vt:lpwstr/>
      </vt:variant>
      <vt:variant>
        <vt:lpwstr>_ENREF_111</vt:lpwstr>
      </vt:variant>
      <vt:variant>
        <vt:i4>7536697</vt:i4>
      </vt:variant>
      <vt:variant>
        <vt:i4>5646</vt:i4>
      </vt:variant>
      <vt:variant>
        <vt:i4>0</vt:i4>
      </vt:variant>
      <vt:variant>
        <vt:i4>5</vt:i4>
      </vt:variant>
      <vt:variant>
        <vt:lpwstr/>
      </vt:variant>
      <vt:variant>
        <vt:lpwstr>_ENREF_321</vt:lpwstr>
      </vt:variant>
      <vt:variant>
        <vt:i4>7340093</vt:i4>
      </vt:variant>
      <vt:variant>
        <vt:i4>5643</vt:i4>
      </vt:variant>
      <vt:variant>
        <vt:i4>0</vt:i4>
      </vt:variant>
      <vt:variant>
        <vt:i4>5</vt:i4>
      </vt:variant>
      <vt:variant>
        <vt:lpwstr/>
      </vt:variant>
      <vt:variant>
        <vt:lpwstr>_ENREF_263</vt:lpwstr>
      </vt:variant>
      <vt:variant>
        <vt:i4>7798840</vt:i4>
      </vt:variant>
      <vt:variant>
        <vt:i4>5635</vt:i4>
      </vt:variant>
      <vt:variant>
        <vt:i4>0</vt:i4>
      </vt:variant>
      <vt:variant>
        <vt:i4>5</vt:i4>
      </vt:variant>
      <vt:variant>
        <vt:lpwstr/>
      </vt:variant>
      <vt:variant>
        <vt:lpwstr>_ENREF_335</vt:lpwstr>
      </vt:variant>
      <vt:variant>
        <vt:i4>7536691</vt:i4>
      </vt:variant>
      <vt:variant>
        <vt:i4>5629</vt:i4>
      </vt:variant>
      <vt:variant>
        <vt:i4>0</vt:i4>
      </vt:variant>
      <vt:variant>
        <vt:i4>5</vt:i4>
      </vt:variant>
      <vt:variant>
        <vt:lpwstr/>
      </vt:variant>
      <vt:variant>
        <vt:lpwstr>_ENREF_183</vt:lpwstr>
      </vt:variant>
      <vt:variant>
        <vt:i4>4784139</vt:i4>
      </vt:variant>
      <vt:variant>
        <vt:i4>5621</vt:i4>
      </vt:variant>
      <vt:variant>
        <vt:i4>0</vt:i4>
      </vt:variant>
      <vt:variant>
        <vt:i4>5</vt:i4>
      </vt:variant>
      <vt:variant>
        <vt:lpwstr/>
      </vt:variant>
      <vt:variant>
        <vt:lpwstr>_ENREF_82</vt:lpwstr>
      </vt:variant>
      <vt:variant>
        <vt:i4>7995451</vt:i4>
      </vt:variant>
      <vt:variant>
        <vt:i4>5615</vt:i4>
      </vt:variant>
      <vt:variant>
        <vt:i4>0</vt:i4>
      </vt:variant>
      <vt:variant>
        <vt:i4>5</vt:i4>
      </vt:variant>
      <vt:variant>
        <vt:lpwstr/>
      </vt:variant>
      <vt:variant>
        <vt:lpwstr>_ENREF_209</vt:lpwstr>
      </vt:variant>
      <vt:variant>
        <vt:i4>7667771</vt:i4>
      </vt:variant>
      <vt:variant>
        <vt:i4>5609</vt:i4>
      </vt:variant>
      <vt:variant>
        <vt:i4>0</vt:i4>
      </vt:variant>
      <vt:variant>
        <vt:i4>5</vt:i4>
      </vt:variant>
      <vt:variant>
        <vt:lpwstr/>
      </vt:variant>
      <vt:variant>
        <vt:lpwstr>_ENREF_105</vt:lpwstr>
      </vt:variant>
      <vt:variant>
        <vt:i4>7995454</vt:i4>
      </vt:variant>
      <vt:variant>
        <vt:i4>5597</vt:i4>
      </vt:variant>
      <vt:variant>
        <vt:i4>0</vt:i4>
      </vt:variant>
      <vt:variant>
        <vt:i4>5</vt:i4>
      </vt:variant>
      <vt:variant>
        <vt:lpwstr/>
      </vt:variant>
      <vt:variant>
        <vt:lpwstr>_ENREF_358</vt:lpwstr>
      </vt:variant>
      <vt:variant>
        <vt:i4>7340088</vt:i4>
      </vt:variant>
      <vt:variant>
        <vt:i4>5594</vt:i4>
      </vt:variant>
      <vt:variant>
        <vt:i4>0</vt:i4>
      </vt:variant>
      <vt:variant>
        <vt:i4>5</vt:i4>
      </vt:variant>
      <vt:variant>
        <vt:lpwstr/>
      </vt:variant>
      <vt:variant>
        <vt:lpwstr>_ENREF_332</vt:lpwstr>
      </vt:variant>
      <vt:variant>
        <vt:i4>8060986</vt:i4>
      </vt:variant>
      <vt:variant>
        <vt:i4>5591</vt:i4>
      </vt:variant>
      <vt:variant>
        <vt:i4>0</vt:i4>
      </vt:variant>
      <vt:variant>
        <vt:i4>5</vt:i4>
      </vt:variant>
      <vt:variant>
        <vt:lpwstr/>
      </vt:variant>
      <vt:variant>
        <vt:lpwstr>_ENREF_319</vt:lpwstr>
      </vt:variant>
      <vt:variant>
        <vt:i4>7536701</vt:i4>
      </vt:variant>
      <vt:variant>
        <vt:i4>5577</vt:i4>
      </vt:variant>
      <vt:variant>
        <vt:i4>0</vt:i4>
      </vt:variant>
      <vt:variant>
        <vt:i4>5</vt:i4>
      </vt:variant>
      <vt:variant>
        <vt:lpwstr/>
      </vt:variant>
      <vt:variant>
        <vt:lpwstr>_ENREF_260</vt:lpwstr>
      </vt:variant>
      <vt:variant>
        <vt:i4>7995449</vt:i4>
      </vt:variant>
      <vt:variant>
        <vt:i4>5574</vt:i4>
      </vt:variant>
      <vt:variant>
        <vt:i4>0</vt:i4>
      </vt:variant>
      <vt:variant>
        <vt:i4>5</vt:i4>
      </vt:variant>
      <vt:variant>
        <vt:lpwstr/>
      </vt:variant>
      <vt:variant>
        <vt:lpwstr>_ENREF_229</vt:lpwstr>
      </vt:variant>
      <vt:variant>
        <vt:i4>7471155</vt:i4>
      </vt:variant>
      <vt:variant>
        <vt:i4>5568</vt:i4>
      </vt:variant>
      <vt:variant>
        <vt:i4>0</vt:i4>
      </vt:variant>
      <vt:variant>
        <vt:i4>5</vt:i4>
      </vt:variant>
      <vt:variant>
        <vt:lpwstr/>
      </vt:variant>
      <vt:variant>
        <vt:lpwstr>_ENREF_281</vt:lpwstr>
      </vt:variant>
      <vt:variant>
        <vt:i4>4521995</vt:i4>
      </vt:variant>
      <vt:variant>
        <vt:i4>5565</vt:i4>
      </vt:variant>
      <vt:variant>
        <vt:i4>0</vt:i4>
      </vt:variant>
      <vt:variant>
        <vt:i4>5</vt:i4>
      </vt:variant>
      <vt:variant>
        <vt:lpwstr/>
      </vt:variant>
      <vt:variant>
        <vt:lpwstr>_ENREF_46</vt:lpwstr>
      </vt:variant>
      <vt:variant>
        <vt:i4>4521995</vt:i4>
      </vt:variant>
      <vt:variant>
        <vt:i4>5562</vt:i4>
      </vt:variant>
      <vt:variant>
        <vt:i4>0</vt:i4>
      </vt:variant>
      <vt:variant>
        <vt:i4>5</vt:i4>
      </vt:variant>
      <vt:variant>
        <vt:lpwstr/>
      </vt:variant>
      <vt:variant>
        <vt:lpwstr>_ENREF_45</vt:lpwstr>
      </vt:variant>
      <vt:variant>
        <vt:i4>7733305</vt:i4>
      </vt:variant>
      <vt:variant>
        <vt:i4>5554</vt:i4>
      </vt:variant>
      <vt:variant>
        <vt:i4>0</vt:i4>
      </vt:variant>
      <vt:variant>
        <vt:i4>5</vt:i4>
      </vt:variant>
      <vt:variant>
        <vt:lpwstr/>
      </vt:variant>
      <vt:variant>
        <vt:lpwstr>_ENREF_225</vt:lpwstr>
      </vt:variant>
      <vt:variant>
        <vt:i4>7340094</vt:i4>
      </vt:variant>
      <vt:variant>
        <vt:i4>5551</vt:i4>
      </vt:variant>
      <vt:variant>
        <vt:i4>0</vt:i4>
      </vt:variant>
      <vt:variant>
        <vt:i4>5</vt:i4>
      </vt:variant>
      <vt:variant>
        <vt:lpwstr/>
      </vt:variant>
      <vt:variant>
        <vt:lpwstr>_ENREF_150</vt:lpwstr>
      </vt:variant>
      <vt:variant>
        <vt:i4>4456459</vt:i4>
      </vt:variant>
      <vt:variant>
        <vt:i4>5548</vt:i4>
      </vt:variant>
      <vt:variant>
        <vt:i4>0</vt:i4>
      </vt:variant>
      <vt:variant>
        <vt:i4>5</vt:i4>
      </vt:variant>
      <vt:variant>
        <vt:lpwstr/>
      </vt:variant>
      <vt:variant>
        <vt:lpwstr>_ENREF_56</vt:lpwstr>
      </vt:variant>
      <vt:variant>
        <vt:i4>7995453</vt:i4>
      </vt:variant>
      <vt:variant>
        <vt:i4>5540</vt:i4>
      </vt:variant>
      <vt:variant>
        <vt:i4>0</vt:i4>
      </vt:variant>
      <vt:variant>
        <vt:i4>5</vt:i4>
      </vt:variant>
      <vt:variant>
        <vt:lpwstr/>
      </vt:variant>
      <vt:variant>
        <vt:lpwstr>_ENREF_269</vt:lpwstr>
      </vt:variant>
      <vt:variant>
        <vt:i4>4521995</vt:i4>
      </vt:variant>
      <vt:variant>
        <vt:i4>5537</vt:i4>
      </vt:variant>
      <vt:variant>
        <vt:i4>0</vt:i4>
      </vt:variant>
      <vt:variant>
        <vt:i4>5</vt:i4>
      </vt:variant>
      <vt:variant>
        <vt:lpwstr/>
      </vt:variant>
      <vt:variant>
        <vt:lpwstr>_ENREF_44</vt:lpwstr>
      </vt:variant>
      <vt:variant>
        <vt:i4>7798843</vt:i4>
      </vt:variant>
      <vt:variant>
        <vt:i4>5529</vt:i4>
      </vt:variant>
      <vt:variant>
        <vt:i4>0</vt:i4>
      </vt:variant>
      <vt:variant>
        <vt:i4>5</vt:i4>
      </vt:variant>
      <vt:variant>
        <vt:lpwstr/>
      </vt:variant>
      <vt:variant>
        <vt:lpwstr>_ENREF_107</vt:lpwstr>
      </vt:variant>
      <vt:variant>
        <vt:i4>7733305</vt:i4>
      </vt:variant>
      <vt:variant>
        <vt:i4>5521</vt:i4>
      </vt:variant>
      <vt:variant>
        <vt:i4>0</vt:i4>
      </vt:variant>
      <vt:variant>
        <vt:i4>5</vt:i4>
      </vt:variant>
      <vt:variant>
        <vt:lpwstr/>
      </vt:variant>
      <vt:variant>
        <vt:lpwstr>_ENREF_324</vt:lpwstr>
      </vt:variant>
      <vt:variant>
        <vt:i4>7798843</vt:i4>
      </vt:variant>
      <vt:variant>
        <vt:i4>5518</vt:i4>
      </vt:variant>
      <vt:variant>
        <vt:i4>0</vt:i4>
      </vt:variant>
      <vt:variant>
        <vt:i4>5</vt:i4>
      </vt:variant>
      <vt:variant>
        <vt:lpwstr/>
      </vt:variant>
      <vt:variant>
        <vt:lpwstr>_ENREF_305</vt:lpwstr>
      </vt:variant>
      <vt:variant>
        <vt:i4>7667768</vt:i4>
      </vt:variant>
      <vt:variant>
        <vt:i4>5515</vt:i4>
      </vt:variant>
      <vt:variant>
        <vt:i4>0</vt:i4>
      </vt:variant>
      <vt:variant>
        <vt:i4>5</vt:i4>
      </vt:variant>
      <vt:variant>
        <vt:lpwstr/>
      </vt:variant>
      <vt:variant>
        <vt:lpwstr>_ENREF_236</vt:lpwstr>
      </vt:variant>
      <vt:variant>
        <vt:i4>8060987</vt:i4>
      </vt:variant>
      <vt:variant>
        <vt:i4>5507</vt:i4>
      </vt:variant>
      <vt:variant>
        <vt:i4>0</vt:i4>
      </vt:variant>
      <vt:variant>
        <vt:i4>5</vt:i4>
      </vt:variant>
      <vt:variant>
        <vt:lpwstr/>
      </vt:variant>
      <vt:variant>
        <vt:lpwstr>_ENREF_208</vt:lpwstr>
      </vt:variant>
      <vt:variant>
        <vt:i4>7995453</vt:i4>
      </vt:variant>
      <vt:variant>
        <vt:i4>5501</vt:i4>
      </vt:variant>
      <vt:variant>
        <vt:i4>0</vt:i4>
      </vt:variant>
      <vt:variant>
        <vt:i4>5</vt:i4>
      </vt:variant>
      <vt:variant>
        <vt:lpwstr/>
      </vt:variant>
      <vt:variant>
        <vt:lpwstr>_ENREF_269</vt:lpwstr>
      </vt:variant>
      <vt:variant>
        <vt:i4>4718603</vt:i4>
      </vt:variant>
      <vt:variant>
        <vt:i4>5498</vt:i4>
      </vt:variant>
      <vt:variant>
        <vt:i4>0</vt:i4>
      </vt:variant>
      <vt:variant>
        <vt:i4>5</vt:i4>
      </vt:variant>
      <vt:variant>
        <vt:lpwstr/>
      </vt:variant>
      <vt:variant>
        <vt:lpwstr>_ENREF_97</vt:lpwstr>
      </vt:variant>
      <vt:variant>
        <vt:i4>4194315</vt:i4>
      </vt:variant>
      <vt:variant>
        <vt:i4>5495</vt:i4>
      </vt:variant>
      <vt:variant>
        <vt:i4>0</vt:i4>
      </vt:variant>
      <vt:variant>
        <vt:i4>5</vt:i4>
      </vt:variant>
      <vt:variant>
        <vt:lpwstr/>
      </vt:variant>
      <vt:variant>
        <vt:lpwstr>_ENREF_17</vt:lpwstr>
      </vt:variant>
      <vt:variant>
        <vt:i4>7798843</vt:i4>
      </vt:variant>
      <vt:variant>
        <vt:i4>5487</vt:i4>
      </vt:variant>
      <vt:variant>
        <vt:i4>0</vt:i4>
      </vt:variant>
      <vt:variant>
        <vt:i4>5</vt:i4>
      </vt:variant>
      <vt:variant>
        <vt:lpwstr/>
      </vt:variant>
      <vt:variant>
        <vt:lpwstr>_ENREF_107</vt:lpwstr>
      </vt:variant>
      <vt:variant>
        <vt:i4>4194315</vt:i4>
      </vt:variant>
      <vt:variant>
        <vt:i4>5484</vt:i4>
      </vt:variant>
      <vt:variant>
        <vt:i4>0</vt:i4>
      </vt:variant>
      <vt:variant>
        <vt:i4>5</vt:i4>
      </vt:variant>
      <vt:variant>
        <vt:lpwstr/>
      </vt:variant>
      <vt:variant>
        <vt:lpwstr>_ENREF_13</vt:lpwstr>
      </vt:variant>
      <vt:variant>
        <vt:i4>7798846</vt:i4>
      </vt:variant>
      <vt:variant>
        <vt:i4>5476</vt:i4>
      </vt:variant>
      <vt:variant>
        <vt:i4>0</vt:i4>
      </vt:variant>
      <vt:variant>
        <vt:i4>5</vt:i4>
      </vt:variant>
      <vt:variant>
        <vt:lpwstr/>
      </vt:variant>
      <vt:variant>
        <vt:lpwstr>_ENREF_254</vt:lpwstr>
      </vt:variant>
      <vt:variant>
        <vt:i4>7667768</vt:i4>
      </vt:variant>
      <vt:variant>
        <vt:i4>5473</vt:i4>
      </vt:variant>
      <vt:variant>
        <vt:i4>0</vt:i4>
      </vt:variant>
      <vt:variant>
        <vt:i4>5</vt:i4>
      </vt:variant>
      <vt:variant>
        <vt:lpwstr/>
      </vt:variant>
      <vt:variant>
        <vt:lpwstr>_ENREF_236</vt:lpwstr>
      </vt:variant>
      <vt:variant>
        <vt:i4>7798835</vt:i4>
      </vt:variant>
      <vt:variant>
        <vt:i4>5470</vt:i4>
      </vt:variant>
      <vt:variant>
        <vt:i4>0</vt:i4>
      </vt:variant>
      <vt:variant>
        <vt:i4>5</vt:i4>
      </vt:variant>
      <vt:variant>
        <vt:lpwstr/>
      </vt:variant>
      <vt:variant>
        <vt:lpwstr>_ENREF_187</vt:lpwstr>
      </vt:variant>
      <vt:variant>
        <vt:i4>7864382</vt:i4>
      </vt:variant>
      <vt:variant>
        <vt:i4>5467</vt:i4>
      </vt:variant>
      <vt:variant>
        <vt:i4>0</vt:i4>
      </vt:variant>
      <vt:variant>
        <vt:i4>5</vt:i4>
      </vt:variant>
      <vt:variant>
        <vt:lpwstr/>
      </vt:variant>
      <vt:variant>
        <vt:lpwstr>_ENREF_158</vt:lpwstr>
      </vt:variant>
      <vt:variant>
        <vt:i4>4194315</vt:i4>
      </vt:variant>
      <vt:variant>
        <vt:i4>5274</vt:i4>
      </vt:variant>
      <vt:variant>
        <vt:i4>0</vt:i4>
      </vt:variant>
      <vt:variant>
        <vt:i4>5</vt:i4>
      </vt:variant>
      <vt:variant>
        <vt:lpwstr/>
      </vt:variant>
      <vt:variant>
        <vt:lpwstr>_ENREF_15</vt:lpwstr>
      </vt:variant>
      <vt:variant>
        <vt:i4>7667769</vt:i4>
      </vt:variant>
      <vt:variant>
        <vt:i4>5258</vt:i4>
      </vt:variant>
      <vt:variant>
        <vt:i4>0</vt:i4>
      </vt:variant>
      <vt:variant>
        <vt:i4>5</vt:i4>
      </vt:variant>
      <vt:variant>
        <vt:lpwstr/>
      </vt:variant>
      <vt:variant>
        <vt:lpwstr>_ENREF_125</vt:lpwstr>
      </vt:variant>
      <vt:variant>
        <vt:i4>4325387</vt:i4>
      </vt:variant>
      <vt:variant>
        <vt:i4>5252</vt:i4>
      </vt:variant>
      <vt:variant>
        <vt:i4>0</vt:i4>
      </vt:variant>
      <vt:variant>
        <vt:i4>5</vt:i4>
      </vt:variant>
      <vt:variant>
        <vt:lpwstr/>
      </vt:variant>
      <vt:variant>
        <vt:lpwstr>_ENREF_38</vt:lpwstr>
      </vt:variant>
      <vt:variant>
        <vt:i4>7667769</vt:i4>
      </vt:variant>
      <vt:variant>
        <vt:i4>5246</vt:i4>
      </vt:variant>
      <vt:variant>
        <vt:i4>0</vt:i4>
      </vt:variant>
      <vt:variant>
        <vt:i4>5</vt:i4>
      </vt:variant>
      <vt:variant>
        <vt:lpwstr/>
      </vt:variant>
      <vt:variant>
        <vt:lpwstr>_ENREF_125</vt:lpwstr>
      </vt:variant>
      <vt:variant>
        <vt:i4>7602226</vt:i4>
      </vt:variant>
      <vt:variant>
        <vt:i4>5240</vt:i4>
      </vt:variant>
      <vt:variant>
        <vt:i4>0</vt:i4>
      </vt:variant>
      <vt:variant>
        <vt:i4>5</vt:i4>
      </vt:variant>
      <vt:variant>
        <vt:lpwstr/>
      </vt:variant>
      <vt:variant>
        <vt:lpwstr>_ENREF_297</vt:lpwstr>
      </vt:variant>
      <vt:variant>
        <vt:i4>4718603</vt:i4>
      </vt:variant>
      <vt:variant>
        <vt:i4>5234</vt:i4>
      </vt:variant>
      <vt:variant>
        <vt:i4>0</vt:i4>
      </vt:variant>
      <vt:variant>
        <vt:i4>5</vt:i4>
      </vt:variant>
      <vt:variant>
        <vt:lpwstr/>
      </vt:variant>
      <vt:variant>
        <vt:lpwstr>_ENREF_92</vt:lpwstr>
      </vt:variant>
      <vt:variant>
        <vt:i4>4521995</vt:i4>
      </vt:variant>
      <vt:variant>
        <vt:i4>5226</vt:i4>
      </vt:variant>
      <vt:variant>
        <vt:i4>0</vt:i4>
      </vt:variant>
      <vt:variant>
        <vt:i4>5</vt:i4>
      </vt:variant>
      <vt:variant>
        <vt:lpwstr/>
      </vt:variant>
      <vt:variant>
        <vt:lpwstr>_ENREF_43</vt:lpwstr>
      </vt:variant>
      <vt:variant>
        <vt:i4>7340090</vt:i4>
      </vt:variant>
      <vt:variant>
        <vt:i4>5222</vt:i4>
      </vt:variant>
      <vt:variant>
        <vt:i4>0</vt:i4>
      </vt:variant>
      <vt:variant>
        <vt:i4>5</vt:i4>
      </vt:variant>
      <vt:variant>
        <vt:lpwstr/>
      </vt:variant>
      <vt:variant>
        <vt:lpwstr>_ENREF_312</vt:lpwstr>
      </vt:variant>
      <vt:variant>
        <vt:i4>4718603</vt:i4>
      </vt:variant>
      <vt:variant>
        <vt:i4>5216</vt:i4>
      </vt:variant>
      <vt:variant>
        <vt:i4>0</vt:i4>
      </vt:variant>
      <vt:variant>
        <vt:i4>5</vt:i4>
      </vt:variant>
      <vt:variant>
        <vt:lpwstr/>
      </vt:variant>
      <vt:variant>
        <vt:lpwstr>_ENREF_91</vt:lpwstr>
      </vt:variant>
      <vt:variant>
        <vt:i4>7602233</vt:i4>
      </vt:variant>
      <vt:variant>
        <vt:i4>5195</vt:i4>
      </vt:variant>
      <vt:variant>
        <vt:i4>0</vt:i4>
      </vt:variant>
      <vt:variant>
        <vt:i4>5</vt:i4>
      </vt:variant>
      <vt:variant>
        <vt:lpwstr/>
      </vt:variant>
      <vt:variant>
        <vt:lpwstr>_ENREF_227</vt:lpwstr>
      </vt:variant>
      <vt:variant>
        <vt:i4>7995443</vt:i4>
      </vt:variant>
      <vt:variant>
        <vt:i4>5189</vt:i4>
      </vt:variant>
      <vt:variant>
        <vt:i4>0</vt:i4>
      </vt:variant>
      <vt:variant>
        <vt:i4>5</vt:i4>
      </vt:variant>
      <vt:variant>
        <vt:lpwstr/>
      </vt:variant>
      <vt:variant>
        <vt:lpwstr>_ENREF_289</vt:lpwstr>
      </vt:variant>
      <vt:variant>
        <vt:i4>7536696</vt:i4>
      </vt:variant>
      <vt:variant>
        <vt:i4>5183</vt:i4>
      </vt:variant>
      <vt:variant>
        <vt:i4>0</vt:i4>
      </vt:variant>
      <vt:variant>
        <vt:i4>5</vt:i4>
      </vt:variant>
      <vt:variant>
        <vt:lpwstr/>
      </vt:variant>
      <vt:variant>
        <vt:lpwstr>_ENREF_331</vt:lpwstr>
      </vt:variant>
      <vt:variant>
        <vt:i4>7536702</vt:i4>
      </vt:variant>
      <vt:variant>
        <vt:i4>5180</vt:i4>
      </vt:variant>
      <vt:variant>
        <vt:i4>0</vt:i4>
      </vt:variant>
      <vt:variant>
        <vt:i4>5</vt:i4>
      </vt:variant>
      <vt:variant>
        <vt:lpwstr/>
      </vt:variant>
      <vt:variant>
        <vt:lpwstr>_ENREF_153</vt:lpwstr>
      </vt:variant>
      <vt:variant>
        <vt:i4>4325387</vt:i4>
      </vt:variant>
      <vt:variant>
        <vt:i4>5177</vt:i4>
      </vt:variant>
      <vt:variant>
        <vt:i4>0</vt:i4>
      </vt:variant>
      <vt:variant>
        <vt:i4>5</vt:i4>
      </vt:variant>
      <vt:variant>
        <vt:lpwstr/>
      </vt:variant>
      <vt:variant>
        <vt:lpwstr>_ENREF_36</vt:lpwstr>
      </vt:variant>
      <vt:variant>
        <vt:i4>7405630</vt:i4>
      </vt:variant>
      <vt:variant>
        <vt:i4>5169</vt:i4>
      </vt:variant>
      <vt:variant>
        <vt:i4>0</vt:i4>
      </vt:variant>
      <vt:variant>
        <vt:i4>5</vt:i4>
      </vt:variant>
      <vt:variant>
        <vt:lpwstr/>
      </vt:variant>
      <vt:variant>
        <vt:lpwstr>_ENREF_252</vt:lpwstr>
      </vt:variant>
      <vt:variant>
        <vt:i4>4456459</vt:i4>
      </vt:variant>
      <vt:variant>
        <vt:i4>5166</vt:i4>
      </vt:variant>
      <vt:variant>
        <vt:i4>0</vt:i4>
      </vt:variant>
      <vt:variant>
        <vt:i4>5</vt:i4>
      </vt:variant>
      <vt:variant>
        <vt:lpwstr/>
      </vt:variant>
      <vt:variant>
        <vt:lpwstr>_ENREF_50</vt:lpwstr>
      </vt:variant>
      <vt:variant>
        <vt:i4>4325387</vt:i4>
      </vt:variant>
      <vt:variant>
        <vt:i4>5163</vt:i4>
      </vt:variant>
      <vt:variant>
        <vt:i4>0</vt:i4>
      </vt:variant>
      <vt:variant>
        <vt:i4>5</vt:i4>
      </vt:variant>
      <vt:variant>
        <vt:lpwstr/>
      </vt:variant>
      <vt:variant>
        <vt:lpwstr>_ENREF_32</vt:lpwstr>
      </vt:variant>
      <vt:variant>
        <vt:i4>7864370</vt:i4>
      </vt:variant>
      <vt:variant>
        <vt:i4>5155</vt:i4>
      </vt:variant>
      <vt:variant>
        <vt:i4>0</vt:i4>
      </vt:variant>
      <vt:variant>
        <vt:i4>5</vt:i4>
      </vt:variant>
      <vt:variant>
        <vt:lpwstr/>
      </vt:variant>
      <vt:variant>
        <vt:lpwstr>_ENREF_198</vt:lpwstr>
      </vt:variant>
      <vt:variant>
        <vt:i4>7340093</vt:i4>
      </vt:variant>
      <vt:variant>
        <vt:i4>5152</vt:i4>
      </vt:variant>
      <vt:variant>
        <vt:i4>0</vt:i4>
      </vt:variant>
      <vt:variant>
        <vt:i4>5</vt:i4>
      </vt:variant>
      <vt:variant>
        <vt:lpwstr/>
      </vt:variant>
      <vt:variant>
        <vt:lpwstr>_ENREF_160</vt:lpwstr>
      </vt:variant>
      <vt:variant>
        <vt:i4>7536697</vt:i4>
      </vt:variant>
      <vt:variant>
        <vt:i4>5144</vt:i4>
      </vt:variant>
      <vt:variant>
        <vt:i4>0</vt:i4>
      </vt:variant>
      <vt:variant>
        <vt:i4>5</vt:i4>
      </vt:variant>
      <vt:variant>
        <vt:lpwstr/>
      </vt:variant>
      <vt:variant>
        <vt:lpwstr>_ENREF_220</vt:lpwstr>
      </vt:variant>
      <vt:variant>
        <vt:i4>7929919</vt:i4>
      </vt:variant>
      <vt:variant>
        <vt:i4>5141</vt:i4>
      </vt:variant>
      <vt:variant>
        <vt:i4>0</vt:i4>
      </vt:variant>
      <vt:variant>
        <vt:i4>5</vt:i4>
      </vt:variant>
      <vt:variant>
        <vt:lpwstr/>
      </vt:variant>
      <vt:variant>
        <vt:lpwstr>_ENREF_149</vt:lpwstr>
      </vt:variant>
      <vt:variant>
        <vt:i4>7471163</vt:i4>
      </vt:variant>
      <vt:variant>
        <vt:i4>5133</vt:i4>
      </vt:variant>
      <vt:variant>
        <vt:i4>0</vt:i4>
      </vt:variant>
      <vt:variant>
        <vt:i4>5</vt:i4>
      </vt:variant>
      <vt:variant>
        <vt:lpwstr/>
      </vt:variant>
      <vt:variant>
        <vt:lpwstr>_ENREF_201</vt:lpwstr>
      </vt:variant>
      <vt:variant>
        <vt:i4>4194315</vt:i4>
      </vt:variant>
      <vt:variant>
        <vt:i4>5130</vt:i4>
      </vt:variant>
      <vt:variant>
        <vt:i4>0</vt:i4>
      </vt:variant>
      <vt:variant>
        <vt:i4>5</vt:i4>
      </vt:variant>
      <vt:variant>
        <vt:lpwstr/>
      </vt:variant>
      <vt:variant>
        <vt:lpwstr>_ENREF_13</vt:lpwstr>
      </vt:variant>
      <vt:variant>
        <vt:i4>7405625</vt:i4>
      </vt:variant>
      <vt:variant>
        <vt:i4>5122</vt:i4>
      </vt:variant>
      <vt:variant>
        <vt:i4>0</vt:i4>
      </vt:variant>
      <vt:variant>
        <vt:i4>5</vt:i4>
      </vt:variant>
      <vt:variant>
        <vt:lpwstr/>
      </vt:variant>
      <vt:variant>
        <vt:lpwstr>_ENREF_323</vt:lpwstr>
      </vt:variant>
      <vt:variant>
        <vt:i4>7667768</vt:i4>
      </vt:variant>
      <vt:variant>
        <vt:i4>5119</vt:i4>
      </vt:variant>
      <vt:variant>
        <vt:i4>0</vt:i4>
      </vt:variant>
      <vt:variant>
        <vt:i4>5</vt:i4>
      </vt:variant>
      <vt:variant>
        <vt:lpwstr/>
      </vt:variant>
      <vt:variant>
        <vt:lpwstr>_ENREF_236</vt:lpwstr>
      </vt:variant>
      <vt:variant>
        <vt:i4>7995451</vt:i4>
      </vt:variant>
      <vt:variant>
        <vt:i4>5116</vt:i4>
      </vt:variant>
      <vt:variant>
        <vt:i4>0</vt:i4>
      </vt:variant>
      <vt:variant>
        <vt:i4>5</vt:i4>
      </vt:variant>
      <vt:variant>
        <vt:lpwstr/>
      </vt:variant>
      <vt:variant>
        <vt:lpwstr>_ENREF_209</vt:lpwstr>
      </vt:variant>
      <vt:variant>
        <vt:i4>7405628</vt:i4>
      </vt:variant>
      <vt:variant>
        <vt:i4>5108</vt:i4>
      </vt:variant>
      <vt:variant>
        <vt:i4>0</vt:i4>
      </vt:variant>
      <vt:variant>
        <vt:i4>5</vt:i4>
      </vt:variant>
      <vt:variant>
        <vt:lpwstr/>
      </vt:variant>
      <vt:variant>
        <vt:lpwstr>_ENREF_272</vt:lpwstr>
      </vt:variant>
      <vt:variant>
        <vt:i4>7340090</vt:i4>
      </vt:variant>
      <vt:variant>
        <vt:i4>5105</vt:i4>
      </vt:variant>
      <vt:variant>
        <vt:i4>0</vt:i4>
      </vt:variant>
      <vt:variant>
        <vt:i4>5</vt:i4>
      </vt:variant>
      <vt:variant>
        <vt:lpwstr/>
      </vt:variant>
      <vt:variant>
        <vt:lpwstr>_ENREF_213</vt:lpwstr>
      </vt:variant>
      <vt:variant>
        <vt:i4>7733298</vt:i4>
      </vt:variant>
      <vt:variant>
        <vt:i4>5102</vt:i4>
      </vt:variant>
      <vt:variant>
        <vt:i4>0</vt:i4>
      </vt:variant>
      <vt:variant>
        <vt:i4>5</vt:i4>
      </vt:variant>
      <vt:variant>
        <vt:lpwstr/>
      </vt:variant>
      <vt:variant>
        <vt:lpwstr>_ENREF_196</vt:lpwstr>
      </vt:variant>
      <vt:variant>
        <vt:i4>7667772</vt:i4>
      </vt:variant>
      <vt:variant>
        <vt:i4>5099</vt:i4>
      </vt:variant>
      <vt:variant>
        <vt:i4>0</vt:i4>
      </vt:variant>
      <vt:variant>
        <vt:i4>5</vt:i4>
      </vt:variant>
      <vt:variant>
        <vt:lpwstr/>
      </vt:variant>
      <vt:variant>
        <vt:lpwstr>_ENREF_175</vt:lpwstr>
      </vt:variant>
      <vt:variant>
        <vt:i4>7340091</vt:i4>
      </vt:variant>
      <vt:variant>
        <vt:i4>5096</vt:i4>
      </vt:variant>
      <vt:variant>
        <vt:i4>0</vt:i4>
      </vt:variant>
      <vt:variant>
        <vt:i4>5</vt:i4>
      </vt:variant>
      <vt:variant>
        <vt:lpwstr/>
      </vt:variant>
      <vt:variant>
        <vt:lpwstr>_ENREF_100</vt:lpwstr>
      </vt:variant>
      <vt:variant>
        <vt:i4>7405625</vt:i4>
      </vt:variant>
      <vt:variant>
        <vt:i4>5088</vt:i4>
      </vt:variant>
      <vt:variant>
        <vt:i4>0</vt:i4>
      </vt:variant>
      <vt:variant>
        <vt:i4>5</vt:i4>
      </vt:variant>
      <vt:variant>
        <vt:lpwstr/>
      </vt:variant>
      <vt:variant>
        <vt:lpwstr>_ENREF_323</vt:lpwstr>
      </vt:variant>
      <vt:variant>
        <vt:i4>7733307</vt:i4>
      </vt:variant>
      <vt:variant>
        <vt:i4>5085</vt:i4>
      </vt:variant>
      <vt:variant>
        <vt:i4>0</vt:i4>
      </vt:variant>
      <vt:variant>
        <vt:i4>5</vt:i4>
      </vt:variant>
      <vt:variant>
        <vt:lpwstr/>
      </vt:variant>
      <vt:variant>
        <vt:lpwstr>_ENREF_304</vt:lpwstr>
      </vt:variant>
      <vt:variant>
        <vt:i4>7405625</vt:i4>
      </vt:variant>
      <vt:variant>
        <vt:i4>5077</vt:i4>
      </vt:variant>
      <vt:variant>
        <vt:i4>0</vt:i4>
      </vt:variant>
      <vt:variant>
        <vt:i4>5</vt:i4>
      </vt:variant>
      <vt:variant>
        <vt:lpwstr/>
      </vt:variant>
      <vt:variant>
        <vt:lpwstr>_ENREF_323</vt:lpwstr>
      </vt:variant>
      <vt:variant>
        <vt:i4>7667768</vt:i4>
      </vt:variant>
      <vt:variant>
        <vt:i4>5074</vt:i4>
      </vt:variant>
      <vt:variant>
        <vt:i4>0</vt:i4>
      </vt:variant>
      <vt:variant>
        <vt:i4>5</vt:i4>
      </vt:variant>
      <vt:variant>
        <vt:lpwstr/>
      </vt:variant>
      <vt:variant>
        <vt:lpwstr>_ENREF_236</vt:lpwstr>
      </vt:variant>
      <vt:variant>
        <vt:i4>7471163</vt:i4>
      </vt:variant>
      <vt:variant>
        <vt:i4>5064</vt:i4>
      </vt:variant>
      <vt:variant>
        <vt:i4>0</vt:i4>
      </vt:variant>
      <vt:variant>
        <vt:i4>5</vt:i4>
      </vt:variant>
      <vt:variant>
        <vt:lpwstr/>
      </vt:variant>
      <vt:variant>
        <vt:lpwstr>_ENREF_201</vt:lpwstr>
      </vt:variant>
      <vt:variant>
        <vt:i4>4194315</vt:i4>
      </vt:variant>
      <vt:variant>
        <vt:i4>5060</vt:i4>
      </vt:variant>
      <vt:variant>
        <vt:i4>0</vt:i4>
      </vt:variant>
      <vt:variant>
        <vt:i4>5</vt:i4>
      </vt:variant>
      <vt:variant>
        <vt:lpwstr/>
      </vt:variant>
      <vt:variant>
        <vt:lpwstr>_ENREF_15</vt:lpwstr>
      </vt:variant>
      <vt:variant>
        <vt:i4>4390923</vt:i4>
      </vt:variant>
      <vt:variant>
        <vt:i4>5054</vt:i4>
      </vt:variant>
      <vt:variant>
        <vt:i4>0</vt:i4>
      </vt:variant>
      <vt:variant>
        <vt:i4>5</vt:i4>
      </vt:variant>
      <vt:variant>
        <vt:lpwstr/>
      </vt:variant>
      <vt:variant>
        <vt:lpwstr>_ENREF_24</vt:lpwstr>
      </vt:variant>
      <vt:variant>
        <vt:i4>4521995</vt:i4>
      </vt:variant>
      <vt:variant>
        <vt:i4>5048</vt:i4>
      </vt:variant>
      <vt:variant>
        <vt:i4>0</vt:i4>
      </vt:variant>
      <vt:variant>
        <vt:i4>5</vt:i4>
      </vt:variant>
      <vt:variant>
        <vt:lpwstr/>
      </vt:variant>
      <vt:variant>
        <vt:lpwstr>_ENREF_49</vt:lpwstr>
      </vt:variant>
      <vt:variant>
        <vt:i4>7602235</vt:i4>
      </vt:variant>
      <vt:variant>
        <vt:i4>5042</vt:i4>
      </vt:variant>
      <vt:variant>
        <vt:i4>0</vt:i4>
      </vt:variant>
      <vt:variant>
        <vt:i4>5</vt:i4>
      </vt:variant>
      <vt:variant>
        <vt:lpwstr/>
      </vt:variant>
      <vt:variant>
        <vt:lpwstr>_ENREF_306</vt:lpwstr>
      </vt:variant>
      <vt:variant>
        <vt:i4>7667773</vt:i4>
      </vt:variant>
      <vt:variant>
        <vt:i4>5039</vt:i4>
      </vt:variant>
      <vt:variant>
        <vt:i4>0</vt:i4>
      </vt:variant>
      <vt:variant>
        <vt:i4>5</vt:i4>
      </vt:variant>
      <vt:variant>
        <vt:lpwstr/>
      </vt:variant>
      <vt:variant>
        <vt:lpwstr>_ENREF_266</vt:lpwstr>
      </vt:variant>
      <vt:variant>
        <vt:i4>8060979</vt:i4>
      </vt:variant>
      <vt:variant>
        <vt:i4>5031</vt:i4>
      </vt:variant>
      <vt:variant>
        <vt:i4>0</vt:i4>
      </vt:variant>
      <vt:variant>
        <vt:i4>5</vt:i4>
      </vt:variant>
      <vt:variant>
        <vt:lpwstr/>
      </vt:variant>
      <vt:variant>
        <vt:lpwstr>_ENREF_288</vt:lpwstr>
      </vt:variant>
      <vt:variant>
        <vt:i4>7602237</vt:i4>
      </vt:variant>
      <vt:variant>
        <vt:i4>5025</vt:i4>
      </vt:variant>
      <vt:variant>
        <vt:i4>0</vt:i4>
      </vt:variant>
      <vt:variant>
        <vt:i4>5</vt:i4>
      </vt:variant>
      <vt:variant>
        <vt:lpwstr/>
      </vt:variant>
      <vt:variant>
        <vt:lpwstr>_ENREF_267</vt:lpwstr>
      </vt:variant>
      <vt:variant>
        <vt:i4>7667773</vt:i4>
      </vt:variant>
      <vt:variant>
        <vt:i4>5022</vt:i4>
      </vt:variant>
      <vt:variant>
        <vt:i4>0</vt:i4>
      </vt:variant>
      <vt:variant>
        <vt:i4>5</vt:i4>
      </vt:variant>
      <vt:variant>
        <vt:lpwstr/>
      </vt:variant>
      <vt:variant>
        <vt:lpwstr>_ENREF_266</vt:lpwstr>
      </vt:variant>
      <vt:variant>
        <vt:i4>7798847</vt:i4>
      </vt:variant>
      <vt:variant>
        <vt:i4>5019</vt:i4>
      </vt:variant>
      <vt:variant>
        <vt:i4>0</vt:i4>
      </vt:variant>
      <vt:variant>
        <vt:i4>5</vt:i4>
      </vt:variant>
      <vt:variant>
        <vt:lpwstr/>
      </vt:variant>
      <vt:variant>
        <vt:lpwstr>_ENREF_244</vt:lpwstr>
      </vt:variant>
      <vt:variant>
        <vt:i4>7798847</vt:i4>
      </vt:variant>
      <vt:variant>
        <vt:i4>5011</vt:i4>
      </vt:variant>
      <vt:variant>
        <vt:i4>0</vt:i4>
      </vt:variant>
      <vt:variant>
        <vt:i4>5</vt:i4>
      </vt:variant>
      <vt:variant>
        <vt:lpwstr/>
      </vt:variant>
      <vt:variant>
        <vt:lpwstr>_ENREF_244</vt:lpwstr>
      </vt:variant>
      <vt:variant>
        <vt:i4>4194315</vt:i4>
      </vt:variant>
      <vt:variant>
        <vt:i4>5005</vt:i4>
      </vt:variant>
      <vt:variant>
        <vt:i4>0</vt:i4>
      </vt:variant>
      <vt:variant>
        <vt:i4>5</vt:i4>
      </vt:variant>
      <vt:variant>
        <vt:lpwstr/>
      </vt:variant>
      <vt:variant>
        <vt:lpwstr>_ENREF_15</vt:lpwstr>
      </vt:variant>
      <vt:variant>
        <vt:i4>7733305</vt:i4>
      </vt:variant>
      <vt:variant>
        <vt:i4>4999</vt:i4>
      </vt:variant>
      <vt:variant>
        <vt:i4>0</vt:i4>
      </vt:variant>
      <vt:variant>
        <vt:i4>5</vt:i4>
      </vt:variant>
      <vt:variant>
        <vt:lpwstr/>
      </vt:variant>
      <vt:variant>
        <vt:lpwstr>_ENREF_225</vt:lpwstr>
      </vt:variant>
      <vt:variant>
        <vt:i4>7733305</vt:i4>
      </vt:variant>
      <vt:variant>
        <vt:i4>4993</vt:i4>
      </vt:variant>
      <vt:variant>
        <vt:i4>0</vt:i4>
      </vt:variant>
      <vt:variant>
        <vt:i4>5</vt:i4>
      </vt:variant>
      <vt:variant>
        <vt:lpwstr/>
      </vt:variant>
      <vt:variant>
        <vt:lpwstr>_ENREF_225</vt:lpwstr>
      </vt:variant>
      <vt:variant>
        <vt:i4>7798845</vt:i4>
      </vt:variant>
      <vt:variant>
        <vt:i4>4987</vt:i4>
      </vt:variant>
      <vt:variant>
        <vt:i4>0</vt:i4>
      </vt:variant>
      <vt:variant>
        <vt:i4>5</vt:i4>
      </vt:variant>
      <vt:variant>
        <vt:lpwstr/>
      </vt:variant>
      <vt:variant>
        <vt:lpwstr>_ENREF_264</vt:lpwstr>
      </vt:variant>
      <vt:variant>
        <vt:i4>4390923</vt:i4>
      </vt:variant>
      <vt:variant>
        <vt:i4>4981</vt:i4>
      </vt:variant>
      <vt:variant>
        <vt:i4>0</vt:i4>
      </vt:variant>
      <vt:variant>
        <vt:i4>5</vt:i4>
      </vt:variant>
      <vt:variant>
        <vt:lpwstr/>
      </vt:variant>
      <vt:variant>
        <vt:lpwstr>_ENREF_29</vt:lpwstr>
      </vt:variant>
      <vt:variant>
        <vt:i4>7798842</vt:i4>
      </vt:variant>
      <vt:variant>
        <vt:i4>4975</vt:i4>
      </vt:variant>
      <vt:variant>
        <vt:i4>0</vt:i4>
      </vt:variant>
      <vt:variant>
        <vt:i4>5</vt:i4>
      </vt:variant>
      <vt:variant>
        <vt:lpwstr/>
      </vt:variant>
      <vt:variant>
        <vt:lpwstr>_ENREF_117</vt:lpwstr>
      </vt:variant>
      <vt:variant>
        <vt:i4>7667762</vt:i4>
      </vt:variant>
      <vt:variant>
        <vt:i4>4969</vt:i4>
      </vt:variant>
      <vt:variant>
        <vt:i4>0</vt:i4>
      </vt:variant>
      <vt:variant>
        <vt:i4>5</vt:i4>
      </vt:variant>
      <vt:variant>
        <vt:lpwstr/>
      </vt:variant>
      <vt:variant>
        <vt:lpwstr>_ENREF_296</vt:lpwstr>
      </vt:variant>
      <vt:variant>
        <vt:i4>7798845</vt:i4>
      </vt:variant>
      <vt:variant>
        <vt:i4>4966</vt:i4>
      </vt:variant>
      <vt:variant>
        <vt:i4>0</vt:i4>
      </vt:variant>
      <vt:variant>
        <vt:i4>5</vt:i4>
      </vt:variant>
      <vt:variant>
        <vt:lpwstr/>
      </vt:variant>
      <vt:variant>
        <vt:lpwstr>_ENREF_167</vt:lpwstr>
      </vt:variant>
      <vt:variant>
        <vt:i4>7602237</vt:i4>
      </vt:variant>
      <vt:variant>
        <vt:i4>4963</vt:i4>
      </vt:variant>
      <vt:variant>
        <vt:i4>0</vt:i4>
      </vt:variant>
      <vt:variant>
        <vt:i4>5</vt:i4>
      </vt:variant>
      <vt:variant>
        <vt:lpwstr/>
      </vt:variant>
      <vt:variant>
        <vt:lpwstr>_ENREF_164</vt:lpwstr>
      </vt:variant>
      <vt:variant>
        <vt:i4>7864376</vt:i4>
      </vt:variant>
      <vt:variant>
        <vt:i4>4960</vt:i4>
      </vt:variant>
      <vt:variant>
        <vt:i4>0</vt:i4>
      </vt:variant>
      <vt:variant>
        <vt:i4>5</vt:i4>
      </vt:variant>
      <vt:variant>
        <vt:lpwstr/>
      </vt:variant>
      <vt:variant>
        <vt:lpwstr>_ENREF_138</vt:lpwstr>
      </vt:variant>
      <vt:variant>
        <vt:i4>4194315</vt:i4>
      </vt:variant>
      <vt:variant>
        <vt:i4>4952</vt:i4>
      </vt:variant>
      <vt:variant>
        <vt:i4>0</vt:i4>
      </vt:variant>
      <vt:variant>
        <vt:i4>5</vt:i4>
      </vt:variant>
      <vt:variant>
        <vt:lpwstr/>
      </vt:variant>
      <vt:variant>
        <vt:lpwstr>_ENREF_15</vt:lpwstr>
      </vt:variant>
      <vt:variant>
        <vt:i4>7602227</vt:i4>
      </vt:variant>
      <vt:variant>
        <vt:i4>4946</vt:i4>
      </vt:variant>
      <vt:variant>
        <vt:i4>0</vt:i4>
      </vt:variant>
      <vt:variant>
        <vt:i4>5</vt:i4>
      </vt:variant>
      <vt:variant>
        <vt:lpwstr/>
      </vt:variant>
      <vt:variant>
        <vt:lpwstr>_ENREF_184</vt:lpwstr>
      </vt:variant>
      <vt:variant>
        <vt:i4>7602227</vt:i4>
      </vt:variant>
      <vt:variant>
        <vt:i4>4940</vt:i4>
      </vt:variant>
      <vt:variant>
        <vt:i4>0</vt:i4>
      </vt:variant>
      <vt:variant>
        <vt:i4>5</vt:i4>
      </vt:variant>
      <vt:variant>
        <vt:lpwstr/>
      </vt:variant>
      <vt:variant>
        <vt:lpwstr>_ENREF_287</vt:lpwstr>
      </vt:variant>
      <vt:variant>
        <vt:i4>4194315</vt:i4>
      </vt:variant>
      <vt:variant>
        <vt:i4>4934</vt:i4>
      </vt:variant>
      <vt:variant>
        <vt:i4>0</vt:i4>
      </vt:variant>
      <vt:variant>
        <vt:i4>5</vt:i4>
      </vt:variant>
      <vt:variant>
        <vt:lpwstr/>
      </vt:variant>
      <vt:variant>
        <vt:lpwstr>_ENREF_13</vt:lpwstr>
      </vt:variant>
      <vt:variant>
        <vt:i4>7602235</vt:i4>
      </vt:variant>
      <vt:variant>
        <vt:i4>4928</vt:i4>
      </vt:variant>
      <vt:variant>
        <vt:i4>0</vt:i4>
      </vt:variant>
      <vt:variant>
        <vt:i4>5</vt:i4>
      </vt:variant>
      <vt:variant>
        <vt:lpwstr/>
      </vt:variant>
      <vt:variant>
        <vt:lpwstr>_ENREF_306</vt:lpwstr>
      </vt:variant>
      <vt:variant>
        <vt:i4>7667773</vt:i4>
      </vt:variant>
      <vt:variant>
        <vt:i4>4925</vt:i4>
      </vt:variant>
      <vt:variant>
        <vt:i4>0</vt:i4>
      </vt:variant>
      <vt:variant>
        <vt:i4>5</vt:i4>
      </vt:variant>
      <vt:variant>
        <vt:lpwstr/>
      </vt:variant>
      <vt:variant>
        <vt:lpwstr>_ENREF_266</vt:lpwstr>
      </vt:variant>
      <vt:variant>
        <vt:i4>4390923</vt:i4>
      </vt:variant>
      <vt:variant>
        <vt:i4>4922</vt:i4>
      </vt:variant>
      <vt:variant>
        <vt:i4>0</vt:i4>
      </vt:variant>
      <vt:variant>
        <vt:i4>5</vt:i4>
      </vt:variant>
      <vt:variant>
        <vt:lpwstr/>
      </vt:variant>
      <vt:variant>
        <vt:lpwstr>_ENREF_24</vt:lpwstr>
      </vt:variant>
      <vt:variant>
        <vt:i4>7798843</vt:i4>
      </vt:variant>
      <vt:variant>
        <vt:i4>4911</vt:i4>
      </vt:variant>
      <vt:variant>
        <vt:i4>0</vt:i4>
      </vt:variant>
      <vt:variant>
        <vt:i4>5</vt:i4>
      </vt:variant>
      <vt:variant>
        <vt:lpwstr/>
      </vt:variant>
      <vt:variant>
        <vt:lpwstr>_ENREF_107</vt:lpwstr>
      </vt:variant>
      <vt:variant>
        <vt:i4>4390923</vt:i4>
      </vt:variant>
      <vt:variant>
        <vt:i4>4903</vt:i4>
      </vt:variant>
      <vt:variant>
        <vt:i4>0</vt:i4>
      </vt:variant>
      <vt:variant>
        <vt:i4>5</vt:i4>
      </vt:variant>
      <vt:variant>
        <vt:lpwstr/>
      </vt:variant>
      <vt:variant>
        <vt:lpwstr>_ENREF_24</vt:lpwstr>
      </vt:variant>
      <vt:variant>
        <vt:i4>4194315</vt:i4>
      </vt:variant>
      <vt:variant>
        <vt:i4>4900</vt:i4>
      </vt:variant>
      <vt:variant>
        <vt:i4>0</vt:i4>
      </vt:variant>
      <vt:variant>
        <vt:i4>5</vt:i4>
      </vt:variant>
      <vt:variant>
        <vt:lpwstr/>
      </vt:variant>
      <vt:variant>
        <vt:lpwstr>_ENREF_15</vt:lpwstr>
      </vt:variant>
      <vt:variant>
        <vt:i4>7667762</vt:i4>
      </vt:variant>
      <vt:variant>
        <vt:i4>4892</vt:i4>
      </vt:variant>
      <vt:variant>
        <vt:i4>0</vt:i4>
      </vt:variant>
      <vt:variant>
        <vt:i4>5</vt:i4>
      </vt:variant>
      <vt:variant>
        <vt:lpwstr/>
      </vt:variant>
      <vt:variant>
        <vt:lpwstr>_ENREF_296</vt:lpwstr>
      </vt:variant>
      <vt:variant>
        <vt:i4>7798847</vt:i4>
      </vt:variant>
      <vt:variant>
        <vt:i4>4889</vt:i4>
      </vt:variant>
      <vt:variant>
        <vt:i4>0</vt:i4>
      </vt:variant>
      <vt:variant>
        <vt:i4>5</vt:i4>
      </vt:variant>
      <vt:variant>
        <vt:lpwstr/>
      </vt:variant>
      <vt:variant>
        <vt:lpwstr>_ENREF_244</vt:lpwstr>
      </vt:variant>
      <vt:variant>
        <vt:i4>7667762</vt:i4>
      </vt:variant>
      <vt:variant>
        <vt:i4>4881</vt:i4>
      </vt:variant>
      <vt:variant>
        <vt:i4>0</vt:i4>
      </vt:variant>
      <vt:variant>
        <vt:i4>5</vt:i4>
      </vt:variant>
      <vt:variant>
        <vt:lpwstr/>
      </vt:variant>
      <vt:variant>
        <vt:lpwstr>_ENREF_296</vt:lpwstr>
      </vt:variant>
      <vt:variant>
        <vt:i4>7602237</vt:i4>
      </vt:variant>
      <vt:variant>
        <vt:i4>4878</vt:i4>
      </vt:variant>
      <vt:variant>
        <vt:i4>0</vt:i4>
      </vt:variant>
      <vt:variant>
        <vt:i4>5</vt:i4>
      </vt:variant>
      <vt:variant>
        <vt:lpwstr/>
      </vt:variant>
      <vt:variant>
        <vt:lpwstr>_ENREF_164</vt:lpwstr>
      </vt:variant>
      <vt:variant>
        <vt:i4>4718603</vt:i4>
      </vt:variant>
      <vt:variant>
        <vt:i4>4875</vt:i4>
      </vt:variant>
      <vt:variant>
        <vt:i4>0</vt:i4>
      </vt:variant>
      <vt:variant>
        <vt:i4>5</vt:i4>
      </vt:variant>
      <vt:variant>
        <vt:lpwstr/>
      </vt:variant>
      <vt:variant>
        <vt:lpwstr>_ENREF_96</vt:lpwstr>
      </vt:variant>
      <vt:variant>
        <vt:i4>7798845</vt:i4>
      </vt:variant>
      <vt:variant>
        <vt:i4>4867</vt:i4>
      </vt:variant>
      <vt:variant>
        <vt:i4>0</vt:i4>
      </vt:variant>
      <vt:variant>
        <vt:i4>5</vt:i4>
      </vt:variant>
      <vt:variant>
        <vt:lpwstr/>
      </vt:variant>
      <vt:variant>
        <vt:lpwstr>_ENREF_264</vt:lpwstr>
      </vt:variant>
      <vt:variant>
        <vt:i4>4325387</vt:i4>
      </vt:variant>
      <vt:variant>
        <vt:i4>4864</vt:i4>
      </vt:variant>
      <vt:variant>
        <vt:i4>0</vt:i4>
      </vt:variant>
      <vt:variant>
        <vt:i4>5</vt:i4>
      </vt:variant>
      <vt:variant>
        <vt:lpwstr/>
      </vt:variant>
      <vt:variant>
        <vt:lpwstr>_ENREF_31</vt:lpwstr>
      </vt:variant>
      <vt:variant>
        <vt:i4>7995455</vt:i4>
      </vt:variant>
      <vt:variant>
        <vt:i4>4856</vt:i4>
      </vt:variant>
      <vt:variant>
        <vt:i4>0</vt:i4>
      </vt:variant>
      <vt:variant>
        <vt:i4>5</vt:i4>
      </vt:variant>
      <vt:variant>
        <vt:lpwstr/>
      </vt:variant>
      <vt:variant>
        <vt:lpwstr>_ENREF_348</vt:lpwstr>
      </vt:variant>
      <vt:variant>
        <vt:i4>4194315</vt:i4>
      </vt:variant>
      <vt:variant>
        <vt:i4>4850</vt:i4>
      </vt:variant>
      <vt:variant>
        <vt:i4>0</vt:i4>
      </vt:variant>
      <vt:variant>
        <vt:i4>5</vt:i4>
      </vt:variant>
      <vt:variant>
        <vt:lpwstr/>
      </vt:variant>
      <vt:variant>
        <vt:lpwstr>_ENREF_19</vt:lpwstr>
      </vt:variant>
      <vt:variant>
        <vt:i4>7995450</vt:i4>
      </vt:variant>
      <vt:variant>
        <vt:i4>4844</vt:i4>
      </vt:variant>
      <vt:variant>
        <vt:i4>0</vt:i4>
      </vt:variant>
      <vt:variant>
        <vt:i4>5</vt:i4>
      </vt:variant>
      <vt:variant>
        <vt:lpwstr/>
      </vt:variant>
      <vt:variant>
        <vt:lpwstr>_ENREF_318</vt:lpwstr>
      </vt:variant>
      <vt:variant>
        <vt:i4>7798847</vt:i4>
      </vt:variant>
      <vt:variant>
        <vt:i4>4836</vt:i4>
      </vt:variant>
      <vt:variant>
        <vt:i4>0</vt:i4>
      </vt:variant>
      <vt:variant>
        <vt:i4>5</vt:i4>
      </vt:variant>
      <vt:variant>
        <vt:lpwstr/>
      </vt:variant>
      <vt:variant>
        <vt:lpwstr>_ENREF_244</vt:lpwstr>
      </vt:variant>
      <vt:variant>
        <vt:i4>4456459</vt:i4>
      </vt:variant>
      <vt:variant>
        <vt:i4>4832</vt:i4>
      </vt:variant>
      <vt:variant>
        <vt:i4>0</vt:i4>
      </vt:variant>
      <vt:variant>
        <vt:i4>5</vt:i4>
      </vt:variant>
      <vt:variant>
        <vt:lpwstr/>
      </vt:variant>
      <vt:variant>
        <vt:lpwstr>_ENREF_56</vt:lpwstr>
      </vt:variant>
      <vt:variant>
        <vt:i4>7864381</vt:i4>
      </vt:variant>
      <vt:variant>
        <vt:i4>4826</vt:i4>
      </vt:variant>
      <vt:variant>
        <vt:i4>0</vt:i4>
      </vt:variant>
      <vt:variant>
        <vt:i4>5</vt:i4>
      </vt:variant>
      <vt:variant>
        <vt:lpwstr/>
      </vt:variant>
      <vt:variant>
        <vt:lpwstr>_ENREF_168</vt:lpwstr>
      </vt:variant>
      <vt:variant>
        <vt:i4>4653067</vt:i4>
      </vt:variant>
      <vt:variant>
        <vt:i4>4820</vt:i4>
      </vt:variant>
      <vt:variant>
        <vt:i4>0</vt:i4>
      </vt:variant>
      <vt:variant>
        <vt:i4>5</vt:i4>
      </vt:variant>
      <vt:variant>
        <vt:lpwstr/>
      </vt:variant>
      <vt:variant>
        <vt:lpwstr>_ENREF_65</vt:lpwstr>
      </vt:variant>
      <vt:variant>
        <vt:i4>7733304</vt:i4>
      </vt:variant>
      <vt:variant>
        <vt:i4>4814</vt:i4>
      </vt:variant>
      <vt:variant>
        <vt:i4>0</vt:i4>
      </vt:variant>
      <vt:variant>
        <vt:i4>5</vt:i4>
      </vt:variant>
      <vt:variant>
        <vt:lpwstr/>
      </vt:variant>
      <vt:variant>
        <vt:lpwstr>_ENREF_334</vt:lpwstr>
      </vt:variant>
      <vt:variant>
        <vt:i4>7340083</vt:i4>
      </vt:variant>
      <vt:variant>
        <vt:i4>4808</vt:i4>
      </vt:variant>
      <vt:variant>
        <vt:i4>0</vt:i4>
      </vt:variant>
      <vt:variant>
        <vt:i4>5</vt:i4>
      </vt:variant>
      <vt:variant>
        <vt:lpwstr/>
      </vt:variant>
      <vt:variant>
        <vt:lpwstr>_ENREF_180</vt:lpwstr>
      </vt:variant>
      <vt:variant>
        <vt:i4>4194315</vt:i4>
      </vt:variant>
      <vt:variant>
        <vt:i4>4802</vt:i4>
      </vt:variant>
      <vt:variant>
        <vt:i4>0</vt:i4>
      </vt:variant>
      <vt:variant>
        <vt:i4>5</vt:i4>
      </vt:variant>
      <vt:variant>
        <vt:lpwstr/>
      </vt:variant>
      <vt:variant>
        <vt:lpwstr>_ENREF_16</vt:lpwstr>
      </vt:variant>
      <vt:variant>
        <vt:i4>7929906</vt:i4>
      </vt:variant>
      <vt:variant>
        <vt:i4>4796</vt:i4>
      </vt:variant>
      <vt:variant>
        <vt:i4>0</vt:i4>
      </vt:variant>
      <vt:variant>
        <vt:i4>5</vt:i4>
      </vt:variant>
      <vt:variant>
        <vt:lpwstr/>
      </vt:variant>
      <vt:variant>
        <vt:lpwstr>_ENREF_199</vt:lpwstr>
      </vt:variant>
      <vt:variant>
        <vt:i4>7798845</vt:i4>
      </vt:variant>
      <vt:variant>
        <vt:i4>4790</vt:i4>
      </vt:variant>
      <vt:variant>
        <vt:i4>0</vt:i4>
      </vt:variant>
      <vt:variant>
        <vt:i4>5</vt:i4>
      </vt:variant>
      <vt:variant>
        <vt:lpwstr/>
      </vt:variant>
      <vt:variant>
        <vt:lpwstr>_ENREF_365</vt:lpwstr>
      </vt:variant>
      <vt:variant>
        <vt:i4>4587531</vt:i4>
      </vt:variant>
      <vt:variant>
        <vt:i4>4787</vt:i4>
      </vt:variant>
      <vt:variant>
        <vt:i4>0</vt:i4>
      </vt:variant>
      <vt:variant>
        <vt:i4>5</vt:i4>
      </vt:variant>
      <vt:variant>
        <vt:lpwstr/>
      </vt:variant>
      <vt:variant>
        <vt:lpwstr>_ENREF_75</vt:lpwstr>
      </vt:variant>
      <vt:variant>
        <vt:i4>8060985</vt:i4>
      </vt:variant>
      <vt:variant>
        <vt:i4>4777</vt:i4>
      </vt:variant>
      <vt:variant>
        <vt:i4>0</vt:i4>
      </vt:variant>
      <vt:variant>
        <vt:i4>5</vt:i4>
      </vt:variant>
      <vt:variant>
        <vt:lpwstr/>
      </vt:variant>
      <vt:variant>
        <vt:lpwstr>_ENREF_329</vt:lpwstr>
      </vt:variant>
      <vt:variant>
        <vt:i4>7471161</vt:i4>
      </vt:variant>
      <vt:variant>
        <vt:i4>4773</vt:i4>
      </vt:variant>
      <vt:variant>
        <vt:i4>0</vt:i4>
      </vt:variant>
      <vt:variant>
        <vt:i4>5</vt:i4>
      </vt:variant>
      <vt:variant>
        <vt:lpwstr/>
      </vt:variant>
      <vt:variant>
        <vt:lpwstr>_ENREF_320</vt:lpwstr>
      </vt:variant>
      <vt:variant>
        <vt:i4>8060978</vt:i4>
      </vt:variant>
      <vt:variant>
        <vt:i4>4770</vt:i4>
      </vt:variant>
      <vt:variant>
        <vt:i4>0</vt:i4>
      </vt:variant>
      <vt:variant>
        <vt:i4>5</vt:i4>
      </vt:variant>
      <vt:variant>
        <vt:lpwstr/>
      </vt:variant>
      <vt:variant>
        <vt:lpwstr>_ENREF_298</vt:lpwstr>
      </vt:variant>
      <vt:variant>
        <vt:i4>7405626</vt:i4>
      </vt:variant>
      <vt:variant>
        <vt:i4>4762</vt:i4>
      </vt:variant>
      <vt:variant>
        <vt:i4>0</vt:i4>
      </vt:variant>
      <vt:variant>
        <vt:i4>5</vt:i4>
      </vt:variant>
      <vt:variant>
        <vt:lpwstr/>
      </vt:variant>
      <vt:variant>
        <vt:lpwstr>_ENREF_212</vt:lpwstr>
      </vt:variant>
      <vt:variant>
        <vt:i4>7471167</vt:i4>
      </vt:variant>
      <vt:variant>
        <vt:i4>4759</vt:i4>
      </vt:variant>
      <vt:variant>
        <vt:i4>0</vt:i4>
      </vt:variant>
      <vt:variant>
        <vt:i4>5</vt:i4>
      </vt:variant>
      <vt:variant>
        <vt:lpwstr/>
      </vt:variant>
      <vt:variant>
        <vt:lpwstr>_ENREF_142</vt:lpwstr>
      </vt:variant>
      <vt:variant>
        <vt:i4>7471160</vt:i4>
      </vt:variant>
      <vt:variant>
        <vt:i4>4751</vt:i4>
      </vt:variant>
      <vt:variant>
        <vt:i4>0</vt:i4>
      </vt:variant>
      <vt:variant>
        <vt:i4>5</vt:i4>
      </vt:variant>
      <vt:variant>
        <vt:lpwstr/>
      </vt:variant>
      <vt:variant>
        <vt:lpwstr>_ENREF_330</vt:lpwstr>
      </vt:variant>
      <vt:variant>
        <vt:i4>7602238</vt:i4>
      </vt:variant>
      <vt:variant>
        <vt:i4>4745</vt:i4>
      </vt:variant>
      <vt:variant>
        <vt:i4>0</vt:i4>
      </vt:variant>
      <vt:variant>
        <vt:i4>5</vt:i4>
      </vt:variant>
      <vt:variant>
        <vt:lpwstr/>
      </vt:variant>
      <vt:variant>
        <vt:lpwstr>_ENREF_356</vt:lpwstr>
      </vt:variant>
      <vt:variant>
        <vt:i4>8060984</vt:i4>
      </vt:variant>
      <vt:variant>
        <vt:i4>4739</vt:i4>
      </vt:variant>
      <vt:variant>
        <vt:i4>0</vt:i4>
      </vt:variant>
      <vt:variant>
        <vt:i4>5</vt:i4>
      </vt:variant>
      <vt:variant>
        <vt:lpwstr/>
      </vt:variant>
      <vt:variant>
        <vt:lpwstr>_ENREF_339</vt:lpwstr>
      </vt:variant>
      <vt:variant>
        <vt:i4>7602238</vt:i4>
      </vt:variant>
      <vt:variant>
        <vt:i4>4731</vt:i4>
      </vt:variant>
      <vt:variant>
        <vt:i4>0</vt:i4>
      </vt:variant>
      <vt:variant>
        <vt:i4>5</vt:i4>
      </vt:variant>
      <vt:variant>
        <vt:lpwstr/>
      </vt:variant>
      <vt:variant>
        <vt:lpwstr>_ENREF_356</vt:lpwstr>
      </vt:variant>
      <vt:variant>
        <vt:i4>7602235</vt:i4>
      </vt:variant>
      <vt:variant>
        <vt:i4>4725</vt:i4>
      </vt:variant>
      <vt:variant>
        <vt:i4>0</vt:i4>
      </vt:variant>
      <vt:variant>
        <vt:i4>5</vt:i4>
      </vt:variant>
      <vt:variant>
        <vt:lpwstr/>
      </vt:variant>
      <vt:variant>
        <vt:lpwstr>_ENREF_104</vt:lpwstr>
      </vt:variant>
      <vt:variant>
        <vt:i4>4653067</vt:i4>
      </vt:variant>
      <vt:variant>
        <vt:i4>4722</vt:i4>
      </vt:variant>
      <vt:variant>
        <vt:i4>0</vt:i4>
      </vt:variant>
      <vt:variant>
        <vt:i4>5</vt:i4>
      </vt:variant>
      <vt:variant>
        <vt:lpwstr/>
      </vt:variant>
      <vt:variant>
        <vt:lpwstr>_ENREF_66</vt:lpwstr>
      </vt:variant>
      <vt:variant>
        <vt:i4>7733299</vt:i4>
      </vt:variant>
      <vt:variant>
        <vt:i4>4714</vt:i4>
      </vt:variant>
      <vt:variant>
        <vt:i4>0</vt:i4>
      </vt:variant>
      <vt:variant>
        <vt:i4>5</vt:i4>
      </vt:variant>
      <vt:variant>
        <vt:lpwstr/>
      </vt:variant>
      <vt:variant>
        <vt:lpwstr>_ENREF_186</vt:lpwstr>
      </vt:variant>
      <vt:variant>
        <vt:i4>7995442</vt:i4>
      </vt:variant>
      <vt:variant>
        <vt:i4>4708</vt:i4>
      </vt:variant>
      <vt:variant>
        <vt:i4>0</vt:i4>
      </vt:variant>
      <vt:variant>
        <vt:i4>5</vt:i4>
      </vt:variant>
      <vt:variant>
        <vt:lpwstr/>
      </vt:variant>
      <vt:variant>
        <vt:lpwstr>_ENREF_299</vt:lpwstr>
      </vt:variant>
      <vt:variant>
        <vt:i4>7995442</vt:i4>
      </vt:variant>
      <vt:variant>
        <vt:i4>4702</vt:i4>
      </vt:variant>
      <vt:variant>
        <vt:i4>0</vt:i4>
      </vt:variant>
      <vt:variant>
        <vt:i4>5</vt:i4>
      </vt:variant>
      <vt:variant>
        <vt:lpwstr/>
      </vt:variant>
      <vt:variant>
        <vt:lpwstr>_ENREF_299</vt:lpwstr>
      </vt:variant>
      <vt:variant>
        <vt:i4>7798841</vt:i4>
      </vt:variant>
      <vt:variant>
        <vt:i4>4696</vt:i4>
      </vt:variant>
      <vt:variant>
        <vt:i4>0</vt:i4>
      </vt:variant>
      <vt:variant>
        <vt:i4>5</vt:i4>
      </vt:variant>
      <vt:variant>
        <vt:lpwstr/>
      </vt:variant>
      <vt:variant>
        <vt:lpwstr>_ENREF_325</vt:lpwstr>
      </vt:variant>
      <vt:variant>
        <vt:i4>7602239</vt:i4>
      </vt:variant>
      <vt:variant>
        <vt:i4>4693</vt:i4>
      </vt:variant>
      <vt:variant>
        <vt:i4>0</vt:i4>
      </vt:variant>
      <vt:variant>
        <vt:i4>5</vt:i4>
      </vt:variant>
      <vt:variant>
        <vt:lpwstr/>
      </vt:variant>
      <vt:variant>
        <vt:lpwstr>_ENREF_247</vt:lpwstr>
      </vt:variant>
      <vt:variant>
        <vt:i4>4521995</vt:i4>
      </vt:variant>
      <vt:variant>
        <vt:i4>4685</vt:i4>
      </vt:variant>
      <vt:variant>
        <vt:i4>0</vt:i4>
      </vt:variant>
      <vt:variant>
        <vt:i4>5</vt:i4>
      </vt:variant>
      <vt:variant>
        <vt:lpwstr/>
      </vt:variant>
      <vt:variant>
        <vt:lpwstr>_ENREF_41</vt:lpwstr>
      </vt:variant>
      <vt:variant>
        <vt:i4>7471167</vt:i4>
      </vt:variant>
      <vt:variant>
        <vt:i4>4679</vt:i4>
      </vt:variant>
      <vt:variant>
        <vt:i4>0</vt:i4>
      </vt:variant>
      <vt:variant>
        <vt:i4>5</vt:i4>
      </vt:variant>
      <vt:variant>
        <vt:lpwstr/>
      </vt:variant>
      <vt:variant>
        <vt:lpwstr>_ENREF_142</vt:lpwstr>
      </vt:variant>
      <vt:variant>
        <vt:i4>7602232</vt:i4>
      </vt:variant>
      <vt:variant>
        <vt:i4>4676</vt:i4>
      </vt:variant>
      <vt:variant>
        <vt:i4>0</vt:i4>
      </vt:variant>
      <vt:variant>
        <vt:i4>5</vt:i4>
      </vt:variant>
      <vt:variant>
        <vt:lpwstr/>
      </vt:variant>
      <vt:variant>
        <vt:lpwstr>_ENREF_134</vt:lpwstr>
      </vt:variant>
      <vt:variant>
        <vt:i4>4653067</vt:i4>
      </vt:variant>
      <vt:variant>
        <vt:i4>4666</vt:i4>
      </vt:variant>
      <vt:variant>
        <vt:i4>0</vt:i4>
      </vt:variant>
      <vt:variant>
        <vt:i4>5</vt:i4>
      </vt:variant>
      <vt:variant>
        <vt:lpwstr/>
      </vt:variant>
      <vt:variant>
        <vt:lpwstr>_ENREF_68</vt:lpwstr>
      </vt:variant>
      <vt:variant>
        <vt:i4>4718603</vt:i4>
      </vt:variant>
      <vt:variant>
        <vt:i4>4660</vt:i4>
      </vt:variant>
      <vt:variant>
        <vt:i4>0</vt:i4>
      </vt:variant>
      <vt:variant>
        <vt:i4>5</vt:i4>
      </vt:variant>
      <vt:variant>
        <vt:lpwstr/>
      </vt:variant>
      <vt:variant>
        <vt:lpwstr>_ENREF_93</vt:lpwstr>
      </vt:variant>
      <vt:variant>
        <vt:i4>7536702</vt:i4>
      </vt:variant>
      <vt:variant>
        <vt:i4>4656</vt:i4>
      </vt:variant>
      <vt:variant>
        <vt:i4>0</vt:i4>
      </vt:variant>
      <vt:variant>
        <vt:i4>5</vt:i4>
      </vt:variant>
      <vt:variant>
        <vt:lpwstr/>
      </vt:variant>
      <vt:variant>
        <vt:lpwstr>_ENREF_351</vt:lpwstr>
      </vt:variant>
      <vt:variant>
        <vt:i4>7340088</vt:i4>
      </vt:variant>
      <vt:variant>
        <vt:i4>4648</vt:i4>
      </vt:variant>
      <vt:variant>
        <vt:i4>0</vt:i4>
      </vt:variant>
      <vt:variant>
        <vt:i4>5</vt:i4>
      </vt:variant>
      <vt:variant>
        <vt:lpwstr/>
      </vt:variant>
      <vt:variant>
        <vt:lpwstr>_ENREF_130</vt:lpwstr>
      </vt:variant>
      <vt:variant>
        <vt:i4>8060984</vt:i4>
      </vt:variant>
      <vt:variant>
        <vt:i4>4642</vt:i4>
      </vt:variant>
      <vt:variant>
        <vt:i4>0</vt:i4>
      </vt:variant>
      <vt:variant>
        <vt:i4>5</vt:i4>
      </vt:variant>
      <vt:variant>
        <vt:lpwstr/>
      </vt:variant>
      <vt:variant>
        <vt:lpwstr>_ENREF_339</vt:lpwstr>
      </vt:variant>
      <vt:variant>
        <vt:i4>7340092</vt:i4>
      </vt:variant>
      <vt:variant>
        <vt:i4>4639</vt:i4>
      </vt:variant>
      <vt:variant>
        <vt:i4>0</vt:i4>
      </vt:variant>
      <vt:variant>
        <vt:i4>5</vt:i4>
      </vt:variant>
      <vt:variant>
        <vt:lpwstr/>
      </vt:variant>
      <vt:variant>
        <vt:lpwstr>_ENREF_170</vt:lpwstr>
      </vt:variant>
      <vt:variant>
        <vt:i4>7667774</vt:i4>
      </vt:variant>
      <vt:variant>
        <vt:i4>4631</vt:i4>
      </vt:variant>
      <vt:variant>
        <vt:i4>0</vt:i4>
      </vt:variant>
      <vt:variant>
        <vt:i4>5</vt:i4>
      </vt:variant>
      <vt:variant>
        <vt:lpwstr/>
      </vt:variant>
      <vt:variant>
        <vt:lpwstr>_ENREF_357</vt:lpwstr>
      </vt:variant>
      <vt:variant>
        <vt:i4>7471164</vt:i4>
      </vt:variant>
      <vt:variant>
        <vt:i4>4625</vt:i4>
      </vt:variant>
      <vt:variant>
        <vt:i4>0</vt:i4>
      </vt:variant>
      <vt:variant>
        <vt:i4>5</vt:i4>
      </vt:variant>
      <vt:variant>
        <vt:lpwstr/>
      </vt:variant>
      <vt:variant>
        <vt:lpwstr>_ENREF_172</vt:lpwstr>
      </vt:variant>
      <vt:variant>
        <vt:i4>7471165</vt:i4>
      </vt:variant>
      <vt:variant>
        <vt:i4>4619</vt:i4>
      </vt:variant>
      <vt:variant>
        <vt:i4>0</vt:i4>
      </vt:variant>
      <vt:variant>
        <vt:i4>5</vt:i4>
      </vt:variant>
      <vt:variant>
        <vt:lpwstr/>
      </vt:variant>
      <vt:variant>
        <vt:lpwstr>_ENREF_360</vt:lpwstr>
      </vt:variant>
      <vt:variant>
        <vt:i4>7405627</vt:i4>
      </vt:variant>
      <vt:variant>
        <vt:i4>4613</vt:i4>
      </vt:variant>
      <vt:variant>
        <vt:i4>0</vt:i4>
      </vt:variant>
      <vt:variant>
        <vt:i4>5</vt:i4>
      </vt:variant>
      <vt:variant>
        <vt:lpwstr/>
      </vt:variant>
      <vt:variant>
        <vt:lpwstr>_ENREF_303</vt:lpwstr>
      </vt:variant>
      <vt:variant>
        <vt:i4>7602236</vt:i4>
      </vt:variant>
      <vt:variant>
        <vt:i4>4607</vt:i4>
      </vt:variant>
      <vt:variant>
        <vt:i4>0</vt:i4>
      </vt:variant>
      <vt:variant>
        <vt:i4>5</vt:i4>
      </vt:variant>
      <vt:variant>
        <vt:lpwstr/>
      </vt:variant>
      <vt:variant>
        <vt:lpwstr>_ENREF_174</vt:lpwstr>
      </vt:variant>
      <vt:variant>
        <vt:i4>4784139</vt:i4>
      </vt:variant>
      <vt:variant>
        <vt:i4>4604</vt:i4>
      </vt:variant>
      <vt:variant>
        <vt:i4>0</vt:i4>
      </vt:variant>
      <vt:variant>
        <vt:i4>5</vt:i4>
      </vt:variant>
      <vt:variant>
        <vt:lpwstr/>
      </vt:variant>
      <vt:variant>
        <vt:lpwstr>_ENREF_8</vt:lpwstr>
      </vt:variant>
      <vt:variant>
        <vt:i4>4718603</vt:i4>
      </vt:variant>
      <vt:variant>
        <vt:i4>4596</vt:i4>
      </vt:variant>
      <vt:variant>
        <vt:i4>0</vt:i4>
      </vt:variant>
      <vt:variant>
        <vt:i4>5</vt:i4>
      </vt:variant>
      <vt:variant>
        <vt:lpwstr/>
      </vt:variant>
      <vt:variant>
        <vt:lpwstr>_ENREF_90</vt:lpwstr>
      </vt:variant>
      <vt:variant>
        <vt:i4>4456459</vt:i4>
      </vt:variant>
      <vt:variant>
        <vt:i4>4590</vt:i4>
      </vt:variant>
      <vt:variant>
        <vt:i4>0</vt:i4>
      </vt:variant>
      <vt:variant>
        <vt:i4>5</vt:i4>
      </vt:variant>
      <vt:variant>
        <vt:lpwstr/>
      </vt:variant>
      <vt:variant>
        <vt:lpwstr>_ENREF_52</vt:lpwstr>
      </vt:variant>
      <vt:variant>
        <vt:i4>7798843</vt:i4>
      </vt:variant>
      <vt:variant>
        <vt:i4>4582</vt:i4>
      </vt:variant>
      <vt:variant>
        <vt:i4>0</vt:i4>
      </vt:variant>
      <vt:variant>
        <vt:i4>5</vt:i4>
      </vt:variant>
      <vt:variant>
        <vt:lpwstr/>
      </vt:variant>
      <vt:variant>
        <vt:lpwstr>_ENREF_204</vt:lpwstr>
      </vt:variant>
      <vt:variant>
        <vt:i4>7929912</vt:i4>
      </vt:variant>
      <vt:variant>
        <vt:i4>4579</vt:i4>
      </vt:variant>
      <vt:variant>
        <vt:i4>0</vt:i4>
      </vt:variant>
      <vt:variant>
        <vt:i4>5</vt:i4>
      </vt:variant>
      <vt:variant>
        <vt:lpwstr/>
      </vt:variant>
      <vt:variant>
        <vt:lpwstr>_ENREF_139</vt:lpwstr>
      </vt:variant>
      <vt:variant>
        <vt:i4>8060985</vt:i4>
      </vt:variant>
      <vt:variant>
        <vt:i4>4571</vt:i4>
      </vt:variant>
      <vt:variant>
        <vt:i4>0</vt:i4>
      </vt:variant>
      <vt:variant>
        <vt:i4>5</vt:i4>
      </vt:variant>
      <vt:variant>
        <vt:lpwstr/>
      </vt:variant>
      <vt:variant>
        <vt:lpwstr>_ENREF_329</vt:lpwstr>
      </vt:variant>
      <vt:variant>
        <vt:i4>7602239</vt:i4>
      </vt:variant>
      <vt:variant>
        <vt:i4>4568</vt:i4>
      </vt:variant>
      <vt:variant>
        <vt:i4>0</vt:i4>
      </vt:variant>
      <vt:variant>
        <vt:i4>5</vt:i4>
      </vt:variant>
      <vt:variant>
        <vt:lpwstr/>
      </vt:variant>
      <vt:variant>
        <vt:lpwstr>_ENREF_247</vt:lpwstr>
      </vt:variant>
      <vt:variant>
        <vt:i4>7340089</vt:i4>
      </vt:variant>
      <vt:variant>
        <vt:i4>4565</vt:i4>
      </vt:variant>
      <vt:variant>
        <vt:i4>0</vt:i4>
      </vt:variant>
      <vt:variant>
        <vt:i4>5</vt:i4>
      </vt:variant>
      <vt:variant>
        <vt:lpwstr/>
      </vt:variant>
      <vt:variant>
        <vt:lpwstr>_ENREF_223</vt:lpwstr>
      </vt:variant>
      <vt:variant>
        <vt:i4>4653067</vt:i4>
      </vt:variant>
      <vt:variant>
        <vt:i4>4562</vt:i4>
      </vt:variant>
      <vt:variant>
        <vt:i4>0</vt:i4>
      </vt:variant>
      <vt:variant>
        <vt:i4>5</vt:i4>
      </vt:variant>
      <vt:variant>
        <vt:lpwstr/>
      </vt:variant>
      <vt:variant>
        <vt:lpwstr>_ENREF_63</vt:lpwstr>
      </vt:variant>
      <vt:variant>
        <vt:i4>7733310</vt:i4>
      </vt:variant>
      <vt:variant>
        <vt:i4>4554</vt:i4>
      </vt:variant>
      <vt:variant>
        <vt:i4>0</vt:i4>
      </vt:variant>
      <vt:variant>
        <vt:i4>5</vt:i4>
      </vt:variant>
      <vt:variant>
        <vt:lpwstr/>
      </vt:variant>
      <vt:variant>
        <vt:lpwstr>_ENREF_255</vt:lpwstr>
      </vt:variant>
      <vt:variant>
        <vt:i4>7405619</vt:i4>
      </vt:variant>
      <vt:variant>
        <vt:i4>4551</vt:i4>
      </vt:variant>
      <vt:variant>
        <vt:i4>0</vt:i4>
      </vt:variant>
      <vt:variant>
        <vt:i4>5</vt:i4>
      </vt:variant>
      <vt:variant>
        <vt:lpwstr/>
      </vt:variant>
      <vt:variant>
        <vt:lpwstr>_ENREF_181</vt:lpwstr>
      </vt:variant>
      <vt:variant>
        <vt:i4>7405628</vt:i4>
      </vt:variant>
      <vt:variant>
        <vt:i4>4548</vt:i4>
      </vt:variant>
      <vt:variant>
        <vt:i4>0</vt:i4>
      </vt:variant>
      <vt:variant>
        <vt:i4>5</vt:i4>
      </vt:variant>
      <vt:variant>
        <vt:lpwstr/>
      </vt:variant>
      <vt:variant>
        <vt:lpwstr>_ENREF_171</vt:lpwstr>
      </vt:variant>
      <vt:variant>
        <vt:i4>7536699</vt:i4>
      </vt:variant>
      <vt:variant>
        <vt:i4>4545</vt:i4>
      </vt:variant>
      <vt:variant>
        <vt:i4>0</vt:i4>
      </vt:variant>
      <vt:variant>
        <vt:i4>5</vt:i4>
      </vt:variant>
      <vt:variant>
        <vt:lpwstr/>
      </vt:variant>
      <vt:variant>
        <vt:lpwstr>_ENREF_103</vt:lpwstr>
      </vt:variant>
      <vt:variant>
        <vt:i4>7471163</vt:i4>
      </vt:variant>
      <vt:variant>
        <vt:i4>4542</vt:i4>
      </vt:variant>
      <vt:variant>
        <vt:i4>0</vt:i4>
      </vt:variant>
      <vt:variant>
        <vt:i4>5</vt:i4>
      </vt:variant>
      <vt:variant>
        <vt:lpwstr/>
      </vt:variant>
      <vt:variant>
        <vt:lpwstr>_ENREF_102</vt:lpwstr>
      </vt:variant>
      <vt:variant>
        <vt:i4>4194315</vt:i4>
      </vt:variant>
      <vt:variant>
        <vt:i4>4348</vt:i4>
      </vt:variant>
      <vt:variant>
        <vt:i4>0</vt:i4>
      </vt:variant>
      <vt:variant>
        <vt:i4>5</vt:i4>
      </vt:variant>
      <vt:variant>
        <vt:lpwstr/>
      </vt:variant>
      <vt:variant>
        <vt:lpwstr>_ENREF_12</vt:lpwstr>
      </vt:variant>
      <vt:variant>
        <vt:i4>7995450</vt:i4>
      </vt:variant>
      <vt:variant>
        <vt:i4>4342</vt:i4>
      </vt:variant>
      <vt:variant>
        <vt:i4>0</vt:i4>
      </vt:variant>
      <vt:variant>
        <vt:i4>5</vt:i4>
      </vt:variant>
      <vt:variant>
        <vt:lpwstr/>
      </vt:variant>
      <vt:variant>
        <vt:lpwstr>_ENREF_219</vt:lpwstr>
      </vt:variant>
      <vt:variant>
        <vt:i4>7340095</vt:i4>
      </vt:variant>
      <vt:variant>
        <vt:i4>4336</vt:i4>
      </vt:variant>
      <vt:variant>
        <vt:i4>0</vt:i4>
      </vt:variant>
      <vt:variant>
        <vt:i4>5</vt:i4>
      </vt:variant>
      <vt:variant>
        <vt:lpwstr/>
      </vt:variant>
      <vt:variant>
        <vt:lpwstr>_ENREF_342</vt:lpwstr>
      </vt:variant>
      <vt:variant>
        <vt:i4>7667774</vt:i4>
      </vt:variant>
      <vt:variant>
        <vt:i4>4333</vt:i4>
      </vt:variant>
      <vt:variant>
        <vt:i4>0</vt:i4>
      </vt:variant>
      <vt:variant>
        <vt:i4>5</vt:i4>
      </vt:variant>
      <vt:variant>
        <vt:lpwstr/>
      </vt:variant>
      <vt:variant>
        <vt:lpwstr>_ENREF_155</vt:lpwstr>
      </vt:variant>
      <vt:variant>
        <vt:i4>7667774</vt:i4>
      </vt:variant>
      <vt:variant>
        <vt:i4>4327</vt:i4>
      </vt:variant>
      <vt:variant>
        <vt:i4>0</vt:i4>
      </vt:variant>
      <vt:variant>
        <vt:i4>5</vt:i4>
      </vt:variant>
      <vt:variant>
        <vt:lpwstr/>
      </vt:variant>
      <vt:variant>
        <vt:lpwstr>_ENREF_155</vt:lpwstr>
      </vt:variant>
      <vt:variant>
        <vt:i4>4390923</vt:i4>
      </vt:variant>
      <vt:variant>
        <vt:i4>4321</vt:i4>
      </vt:variant>
      <vt:variant>
        <vt:i4>0</vt:i4>
      </vt:variant>
      <vt:variant>
        <vt:i4>5</vt:i4>
      </vt:variant>
      <vt:variant>
        <vt:lpwstr/>
      </vt:variant>
      <vt:variant>
        <vt:lpwstr>_ENREF_28</vt:lpwstr>
      </vt:variant>
      <vt:variant>
        <vt:i4>7733311</vt:i4>
      </vt:variant>
      <vt:variant>
        <vt:i4>4315</vt:i4>
      </vt:variant>
      <vt:variant>
        <vt:i4>0</vt:i4>
      </vt:variant>
      <vt:variant>
        <vt:i4>5</vt:i4>
      </vt:variant>
      <vt:variant>
        <vt:lpwstr/>
      </vt:variant>
      <vt:variant>
        <vt:lpwstr>_ENREF_245</vt:lpwstr>
      </vt:variant>
      <vt:variant>
        <vt:i4>7602226</vt:i4>
      </vt:variant>
      <vt:variant>
        <vt:i4>4309</vt:i4>
      </vt:variant>
      <vt:variant>
        <vt:i4>0</vt:i4>
      </vt:variant>
      <vt:variant>
        <vt:i4>5</vt:i4>
      </vt:variant>
      <vt:variant>
        <vt:lpwstr/>
      </vt:variant>
      <vt:variant>
        <vt:lpwstr>_ENREF_194</vt:lpwstr>
      </vt:variant>
      <vt:variant>
        <vt:i4>4587531</vt:i4>
      </vt:variant>
      <vt:variant>
        <vt:i4>4303</vt:i4>
      </vt:variant>
      <vt:variant>
        <vt:i4>0</vt:i4>
      </vt:variant>
      <vt:variant>
        <vt:i4>5</vt:i4>
      </vt:variant>
      <vt:variant>
        <vt:lpwstr/>
      </vt:variant>
      <vt:variant>
        <vt:lpwstr>_ENREF_76</vt:lpwstr>
      </vt:variant>
      <vt:variant>
        <vt:i4>7340088</vt:i4>
      </vt:variant>
      <vt:variant>
        <vt:i4>4297</vt:i4>
      </vt:variant>
      <vt:variant>
        <vt:i4>0</vt:i4>
      </vt:variant>
      <vt:variant>
        <vt:i4>5</vt:i4>
      </vt:variant>
      <vt:variant>
        <vt:lpwstr/>
      </vt:variant>
      <vt:variant>
        <vt:lpwstr>_ENREF_233</vt:lpwstr>
      </vt:variant>
      <vt:variant>
        <vt:i4>7667774</vt:i4>
      </vt:variant>
      <vt:variant>
        <vt:i4>4291</vt:i4>
      </vt:variant>
      <vt:variant>
        <vt:i4>0</vt:i4>
      </vt:variant>
      <vt:variant>
        <vt:i4>5</vt:i4>
      </vt:variant>
      <vt:variant>
        <vt:lpwstr/>
      </vt:variant>
      <vt:variant>
        <vt:lpwstr>_ENREF_256</vt:lpwstr>
      </vt:variant>
      <vt:variant>
        <vt:i4>7667775</vt:i4>
      </vt:variant>
      <vt:variant>
        <vt:i4>4285</vt:i4>
      </vt:variant>
      <vt:variant>
        <vt:i4>0</vt:i4>
      </vt:variant>
      <vt:variant>
        <vt:i4>5</vt:i4>
      </vt:variant>
      <vt:variant>
        <vt:lpwstr/>
      </vt:variant>
      <vt:variant>
        <vt:lpwstr>_ENREF_246</vt:lpwstr>
      </vt:variant>
      <vt:variant>
        <vt:i4>7667763</vt:i4>
      </vt:variant>
      <vt:variant>
        <vt:i4>4279</vt:i4>
      </vt:variant>
      <vt:variant>
        <vt:i4>0</vt:i4>
      </vt:variant>
      <vt:variant>
        <vt:i4>5</vt:i4>
      </vt:variant>
      <vt:variant>
        <vt:lpwstr/>
      </vt:variant>
      <vt:variant>
        <vt:lpwstr>_ENREF_286</vt:lpwstr>
      </vt:variant>
      <vt:variant>
        <vt:i4>7798835</vt:i4>
      </vt:variant>
      <vt:variant>
        <vt:i4>4276</vt:i4>
      </vt:variant>
      <vt:variant>
        <vt:i4>0</vt:i4>
      </vt:variant>
      <vt:variant>
        <vt:i4>5</vt:i4>
      </vt:variant>
      <vt:variant>
        <vt:lpwstr/>
      </vt:variant>
      <vt:variant>
        <vt:lpwstr>_ENREF_284</vt:lpwstr>
      </vt:variant>
      <vt:variant>
        <vt:i4>7536696</vt:i4>
      </vt:variant>
      <vt:variant>
        <vt:i4>4268</vt:i4>
      </vt:variant>
      <vt:variant>
        <vt:i4>0</vt:i4>
      </vt:variant>
      <vt:variant>
        <vt:i4>5</vt:i4>
      </vt:variant>
      <vt:variant>
        <vt:lpwstr/>
      </vt:variant>
      <vt:variant>
        <vt:lpwstr>_ENREF_133</vt:lpwstr>
      </vt:variant>
      <vt:variant>
        <vt:i4>7536691</vt:i4>
      </vt:variant>
      <vt:variant>
        <vt:i4>4262</vt:i4>
      </vt:variant>
      <vt:variant>
        <vt:i4>0</vt:i4>
      </vt:variant>
      <vt:variant>
        <vt:i4>5</vt:i4>
      </vt:variant>
      <vt:variant>
        <vt:lpwstr/>
      </vt:variant>
      <vt:variant>
        <vt:lpwstr>_ENREF_280</vt:lpwstr>
      </vt:variant>
      <vt:variant>
        <vt:i4>4784139</vt:i4>
      </vt:variant>
      <vt:variant>
        <vt:i4>4254</vt:i4>
      </vt:variant>
      <vt:variant>
        <vt:i4>0</vt:i4>
      </vt:variant>
      <vt:variant>
        <vt:i4>5</vt:i4>
      </vt:variant>
      <vt:variant>
        <vt:lpwstr/>
      </vt:variant>
      <vt:variant>
        <vt:lpwstr>_ENREF_83</vt:lpwstr>
      </vt:variant>
      <vt:variant>
        <vt:i4>7733304</vt:i4>
      </vt:variant>
      <vt:variant>
        <vt:i4>4250</vt:i4>
      </vt:variant>
      <vt:variant>
        <vt:i4>0</vt:i4>
      </vt:variant>
      <vt:variant>
        <vt:i4>5</vt:i4>
      </vt:variant>
      <vt:variant>
        <vt:lpwstr/>
      </vt:variant>
      <vt:variant>
        <vt:lpwstr>_ENREF_235</vt:lpwstr>
      </vt:variant>
      <vt:variant>
        <vt:i4>7536699</vt:i4>
      </vt:variant>
      <vt:variant>
        <vt:i4>4244</vt:i4>
      </vt:variant>
      <vt:variant>
        <vt:i4>0</vt:i4>
      </vt:variant>
      <vt:variant>
        <vt:i4>5</vt:i4>
      </vt:variant>
      <vt:variant>
        <vt:lpwstr/>
      </vt:variant>
      <vt:variant>
        <vt:lpwstr>_ENREF_103</vt:lpwstr>
      </vt:variant>
      <vt:variant>
        <vt:i4>7602238</vt:i4>
      </vt:variant>
      <vt:variant>
        <vt:i4>4236</vt:i4>
      </vt:variant>
      <vt:variant>
        <vt:i4>0</vt:i4>
      </vt:variant>
      <vt:variant>
        <vt:i4>5</vt:i4>
      </vt:variant>
      <vt:variant>
        <vt:lpwstr/>
      </vt:variant>
      <vt:variant>
        <vt:lpwstr>_ENREF_154</vt:lpwstr>
      </vt:variant>
      <vt:variant>
        <vt:i4>7798844</vt:i4>
      </vt:variant>
      <vt:variant>
        <vt:i4>4230</vt:i4>
      </vt:variant>
      <vt:variant>
        <vt:i4>0</vt:i4>
      </vt:variant>
      <vt:variant>
        <vt:i4>5</vt:i4>
      </vt:variant>
      <vt:variant>
        <vt:lpwstr/>
      </vt:variant>
      <vt:variant>
        <vt:lpwstr>_ENREF_274</vt:lpwstr>
      </vt:variant>
      <vt:variant>
        <vt:i4>7405624</vt:i4>
      </vt:variant>
      <vt:variant>
        <vt:i4>4226</vt:i4>
      </vt:variant>
      <vt:variant>
        <vt:i4>0</vt:i4>
      </vt:variant>
      <vt:variant>
        <vt:i4>5</vt:i4>
      </vt:variant>
      <vt:variant>
        <vt:lpwstr/>
      </vt:variant>
      <vt:variant>
        <vt:lpwstr>_ENREF_131</vt:lpwstr>
      </vt:variant>
      <vt:variant>
        <vt:i4>7929913</vt:i4>
      </vt:variant>
      <vt:variant>
        <vt:i4>4218</vt:i4>
      </vt:variant>
      <vt:variant>
        <vt:i4>0</vt:i4>
      </vt:variant>
      <vt:variant>
        <vt:i4>5</vt:i4>
      </vt:variant>
      <vt:variant>
        <vt:lpwstr/>
      </vt:variant>
      <vt:variant>
        <vt:lpwstr>_ENREF_129</vt:lpwstr>
      </vt:variant>
      <vt:variant>
        <vt:i4>7602238</vt:i4>
      </vt:variant>
      <vt:variant>
        <vt:i4>4214</vt:i4>
      </vt:variant>
      <vt:variant>
        <vt:i4>0</vt:i4>
      </vt:variant>
      <vt:variant>
        <vt:i4>5</vt:i4>
      </vt:variant>
      <vt:variant>
        <vt:lpwstr/>
      </vt:variant>
      <vt:variant>
        <vt:lpwstr>_ENREF_257</vt:lpwstr>
      </vt:variant>
      <vt:variant>
        <vt:i4>4456459</vt:i4>
      </vt:variant>
      <vt:variant>
        <vt:i4>4208</vt:i4>
      </vt:variant>
      <vt:variant>
        <vt:i4>0</vt:i4>
      </vt:variant>
      <vt:variant>
        <vt:i4>5</vt:i4>
      </vt:variant>
      <vt:variant>
        <vt:lpwstr/>
      </vt:variant>
      <vt:variant>
        <vt:lpwstr>_ENREF_56</vt:lpwstr>
      </vt:variant>
      <vt:variant>
        <vt:i4>7798847</vt:i4>
      </vt:variant>
      <vt:variant>
        <vt:i4>4202</vt:i4>
      </vt:variant>
      <vt:variant>
        <vt:i4>0</vt:i4>
      </vt:variant>
      <vt:variant>
        <vt:i4>5</vt:i4>
      </vt:variant>
      <vt:variant>
        <vt:lpwstr/>
      </vt:variant>
      <vt:variant>
        <vt:lpwstr>_ENREF_244</vt:lpwstr>
      </vt:variant>
      <vt:variant>
        <vt:i4>8060979</vt:i4>
      </vt:variant>
      <vt:variant>
        <vt:i4>4196</vt:i4>
      </vt:variant>
      <vt:variant>
        <vt:i4>0</vt:i4>
      </vt:variant>
      <vt:variant>
        <vt:i4>5</vt:i4>
      </vt:variant>
      <vt:variant>
        <vt:lpwstr/>
      </vt:variant>
      <vt:variant>
        <vt:lpwstr>_ENREF_288</vt:lpwstr>
      </vt:variant>
      <vt:variant>
        <vt:i4>7602235</vt:i4>
      </vt:variant>
      <vt:variant>
        <vt:i4>4190</vt:i4>
      </vt:variant>
      <vt:variant>
        <vt:i4>0</vt:i4>
      </vt:variant>
      <vt:variant>
        <vt:i4>5</vt:i4>
      </vt:variant>
      <vt:variant>
        <vt:lpwstr/>
      </vt:variant>
      <vt:variant>
        <vt:lpwstr>_ENREF_306</vt:lpwstr>
      </vt:variant>
      <vt:variant>
        <vt:i4>7340082</vt:i4>
      </vt:variant>
      <vt:variant>
        <vt:i4>4187</vt:i4>
      </vt:variant>
      <vt:variant>
        <vt:i4>0</vt:i4>
      </vt:variant>
      <vt:variant>
        <vt:i4>5</vt:i4>
      </vt:variant>
      <vt:variant>
        <vt:lpwstr/>
      </vt:variant>
      <vt:variant>
        <vt:lpwstr>_ENREF_293</vt:lpwstr>
      </vt:variant>
      <vt:variant>
        <vt:i4>7340083</vt:i4>
      </vt:variant>
      <vt:variant>
        <vt:i4>4184</vt:i4>
      </vt:variant>
      <vt:variant>
        <vt:i4>0</vt:i4>
      </vt:variant>
      <vt:variant>
        <vt:i4>5</vt:i4>
      </vt:variant>
      <vt:variant>
        <vt:lpwstr/>
      </vt:variant>
      <vt:variant>
        <vt:lpwstr>_ENREF_283</vt:lpwstr>
      </vt:variant>
      <vt:variant>
        <vt:i4>4390923</vt:i4>
      </vt:variant>
      <vt:variant>
        <vt:i4>4181</vt:i4>
      </vt:variant>
      <vt:variant>
        <vt:i4>0</vt:i4>
      </vt:variant>
      <vt:variant>
        <vt:i4>5</vt:i4>
      </vt:variant>
      <vt:variant>
        <vt:lpwstr/>
      </vt:variant>
      <vt:variant>
        <vt:lpwstr>_ENREF_27</vt:lpwstr>
      </vt:variant>
      <vt:variant>
        <vt:i4>7471160</vt:i4>
      </vt:variant>
      <vt:variant>
        <vt:i4>4173</vt:i4>
      </vt:variant>
      <vt:variant>
        <vt:i4>0</vt:i4>
      </vt:variant>
      <vt:variant>
        <vt:i4>5</vt:i4>
      </vt:variant>
      <vt:variant>
        <vt:lpwstr/>
      </vt:variant>
      <vt:variant>
        <vt:lpwstr>_ENREF_132</vt:lpwstr>
      </vt:variant>
      <vt:variant>
        <vt:i4>4784139</vt:i4>
      </vt:variant>
      <vt:variant>
        <vt:i4>4167</vt:i4>
      </vt:variant>
      <vt:variant>
        <vt:i4>0</vt:i4>
      </vt:variant>
      <vt:variant>
        <vt:i4>5</vt:i4>
      </vt:variant>
      <vt:variant>
        <vt:lpwstr/>
      </vt:variant>
      <vt:variant>
        <vt:lpwstr>_ENREF_84</vt:lpwstr>
      </vt:variant>
      <vt:variant>
        <vt:i4>7995443</vt:i4>
      </vt:variant>
      <vt:variant>
        <vt:i4>4161</vt:i4>
      </vt:variant>
      <vt:variant>
        <vt:i4>0</vt:i4>
      </vt:variant>
      <vt:variant>
        <vt:i4>5</vt:i4>
      </vt:variant>
      <vt:variant>
        <vt:lpwstr/>
      </vt:variant>
      <vt:variant>
        <vt:lpwstr>_ENREF_289</vt:lpwstr>
      </vt:variant>
      <vt:variant>
        <vt:i4>4784139</vt:i4>
      </vt:variant>
      <vt:variant>
        <vt:i4>4158</vt:i4>
      </vt:variant>
      <vt:variant>
        <vt:i4>0</vt:i4>
      </vt:variant>
      <vt:variant>
        <vt:i4>5</vt:i4>
      </vt:variant>
      <vt:variant>
        <vt:lpwstr/>
      </vt:variant>
      <vt:variant>
        <vt:lpwstr>_ENREF_84</vt:lpwstr>
      </vt:variant>
      <vt:variant>
        <vt:i4>7340083</vt:i4>
      </vt:variant>
      <vt:variant>
        <vt:i4>4150</vt:i4>
      </vt:variant>
      <vt:variant>
        <vt:i4>0</vt:i4>
      </vt:variant>
      <vt:variant>
        <vt:i4>5</vt:i4>
      </vt:variant>
      <vt:variant>
        <vt:lpwstr/>
      </vt:variant>
      <vt:variant>
        <vt:lpwstr>_ENREF_283</vt:lpwstr>
      </vt:variant>
      <vt:variant>
        <vt:i4>7405619</vt:i4>
      </vt:variant>
      <vt:variant>
        <vt:i4>4147</vt:i4>
      </vt:variant>
      <vt:variant>
        <vt:i4>0</vt:i4>
      </vt:variant>
      <vt:variant>
        <vt:i4>5</vt:i4>
      </vt:variant>
      <vt:variant>
        <vt:lpwstr/>
      </vt:variant>
      <vt:variant>
        <vt:lpwstr>_ENREF_282</vt:lpwstr>
      </vt:variant>
      <vt:variant>
        <vt:i4>7995452</vt:i4>
      </vt:variant>
      <vt:variant>
        <vt:i4>4144</vt:i4>
      </vt:variant>
      <vt:variant>
        <vt:i4>0</vt:i4>
      </vt:variant>
      <vt:variant>
        <vt:i4>5</vt:i4>
      </vt:variant>
      <vt:variant>
        <vt:lpwstr/>
      </vt:variant>
      <vt:variant>
        <vt:lpwstr>_ENREF_279</vt:lpwstr>
      </vt:variant>
      <vt:variant>
        <vt:i4>7471162</vt:i4>
      </vt:variant>
      <vt:variant>
        <vt:i4>4141</vt:i4>
      </vt:variant>
      <vt:variant>
        <vt:i4>0</vt:i4>
      </vt:variant>
      <vt:variant>
        <vt:i4>5</vt:i4>
      </vt:variant>
      <vt:variant>
        <vt:lpwstr/>
      </vt:variant>
      <vt:variant>
        <vt:lpwstr>_ENREF_112</vt:lpwstr>
      </vt:variant>
      <vt:variant>
        <vt:i4>4784139</vt:i4>
      </vt:variant>
      <vt:variant>
        <vt:i4>4138</vt:i4>
      </vt:variant>
      <vt:variant>
        <vt:i4>0</vt:i4>
      </vt:variant>
      <vt:variant>
        <vt:i4>5</vt:i4>
      </vt:variant>
      <vt:variant>
        <vt:lpwstr/>
      </vt:variant>
      <vt:variant>
        <vt:lpwstr>_ENREF_88</vt:lpwstr>
      </vt:variant>
      <vt:variant>
        <vt:i4>4784139</vt:i4>
      </vt:variant>
      <vt:variant>
        <vt:i4>4135</vt:i4>
      </vt:variant>
      <vt:variant>
        <vt:i4>0</vt:i4>
      </vt:variant>
      <vt:variant>
        <vt:i4>5</vt:i4>
      </vt:variant>
      <vt:variant>
        <vt:lpwstr/>
      </vt:variant>
      <vt:variant>
        <vt:lpwstr>_ENREF_84</vt:lpwstr>
      </vt:variant>
      <vt:variant>
        <vt:i4>4390923</vt:i4>
      </vt:variant>
      <vt:variant>
        <vt:i4>4132</vt:i4>
      </vt:variant>
      <vt:variant>
        <vt:i4>0</vt:i4>
      </vt:variant>
      <vt:variant>
        <vt:i4>5</vt:i4>
      </vt:variant>
      <vt:variant>
        <vt:lpwstr/>
      </vt:variant>
      <vt:variant>
        <vt:lpwstr>_ENREF_25</vt:lpwstr>
      </vt:variant>
      <vt:variant>
        <vt:i4>4390923</vt:i4>
      </vt:variant>
      <vt:variant>
        <vt:i4>4129</vt:i4>
      </vt:variant>
      <vt:variant>
        <vt:i4>0</vt:i4>
      </vt:variant>
      <vt:variant>
        <vt:i4>5</vt:i4>
      </vt:variant>
      <vt:variant>
        <vt:lpwstr/>
      </vt:variant>
      <vt:variant>
        <vt:lpwstr>_ENREF_24</vt:lpwstr>
      </vt:variant>
      <vt:variant>
        <vt:i4>4718603</vt:i4>
      </vt:variant>
      <vt:variant>
        <vt:i4>4121</vt:i4>
      </vt:variant>
      <vt:variant>
        <vt:i4>0</vt:i4>
      </vt:variant>
      <vt:variant>
        <vt:i4>5</vt:i4>
      </vt:variant>
      <vt:variant>
        <vt:lpwstr/>
      </vt:variant>
      <vt:variant>
        <vt:lpwstr>_ENREF_9</vt:lpwstr>
      </vt:variant>
      <vt:variant>
        <vt:i4>4587531</vt:i4>
      </vt:variant>
      <vt:variant>
        <vt:i4>4115</vt:i4>
      </vt:variant>
      <vt:variant>
        <vt:i4>0</vt:i4>
      </vt:variant>
      <vt:variant>
        <vt:i4>5</vt:i4>
      </vt:variant>
      <vt:variant>
        <vt:lpwstr/>
      </vt:variant>
      <vt:variant>
        <vt:lpwstr>_ENREF_73</vt:lpwstr>
      </vt:variant>
      <vt:variant>
        <vt:i4>7798847</vt:i4>
      </vt:variant>
      <vt:variant>
        <vt:i4>4109</vt:i4>
      </vt:variant>
      <vt:variant>
        <vt:i4>0</vt:i4>
      </vt:variant>
      <vt:variant>
        <vt:i4>5</vt:i4>
      </vt:variant>
      <vt:variant>
        <vt:lpwstr/>
      </vt:variant>
      <vt:variant>
        <vt:lpwstr>_ENREF_147</vt:lpwstr>
      </vt:variant>
      <vt:variant>
        <vt:i4>7798847</vt:i4>
      </vt:variant>
      <vt:variant>
        <vt:i4>4103</vt:i4>
      </vt:variant>
      <vt:variant>
        <vt:i4>0</vt:i4>
      </vt:variant>
      <vt:variant>
        <vt:i4>5</vt:i4>
      </vt:variant>
      <vt:variant>
        <vt:lpwstr/>
      </vt:variant>
      <vt:variant>
        <vt:lpwstr>_ENREF_147</vt:lpwstr>
      </vt:variant>
      <vt:variant>
        <vt:i4>4653067</vt:i4>
      </vt:variant>
      <vt:variant>
        <vt:i4>4097</vt:i4>
      </vt:variant>
      <vt:variant>
        <vt:i4>0</vt:i4>
      </vt:variant>
      <vt:variant>
        <vt:i4>5</vt:i4>
      </vt:variant>
      <vt:variant>
        <vt:lpwstr/>
      </vt:variant>
      <vt:variant>
        <vt:lpwstr>_ENREF_61</vt:lpwstr>
      </vt:variant>
      <vt:variant>
        <vt:i4>4653067</vt:i4>
      </vt:variant>
      <vt:variant>
        <vt:i4>4091</vt:i4>
      </vt:variant>
      <vt:variant>
        <vt:i4>0</vt:i4>
      </vt:variant>
      <vt:variant>
        <vt:i4>5</vt:i4>
      </vt:variant>
      <vt:variant>
        <vt:lpwstr/>
      </vt:variant>
      <vt:variant>
        <vt:lpwstr>_ENREF_67</vt:lpwstr>
      </vt:variant>
      <vt:variant>
        <vt:i4>4653067</vt:i4>
      </vt:variant>
      <vt:variant>
        <vt:i4>4088</vt:i4>
      </vt:variant>
      <vt:variant>
        <vt:i4>0</vt:i4>
      </vt:variant>
      <vt:variant>
        <vt:i4>5</vt:i4>
      </vt:variant>
      <vt:variant>
        <vt:lpwstr/>
      </vt:variant>
      <vt:variant>
        <vt:lpwstr>_ENREF_61</vt:lpwstr>
      </vt:variant>
      <vt:variant>
        <vt:i4>4390923</vt:i4>
      </vt:variant>
      <vt:variant>
        <vt:i4>4085</vt:i4>
      </vt:variant>
      <vt:variant>
        <vt:i4>0</vt:i4>
      </vt:variant>
      <vt:variant>
        <vt:i4>5</vt:i4>
      </vt:variant>
      <vt:variant>
        <vt:lpwstr/>
      </vt:variant>
      <vt:variant>
        <vt:lpwstr>_ENREF_20</vt:lpwstr>
      </vt:variant>
      <vt:variant>
        <vt:i4>7405619</vt:i4>
      </vt:variant>
      <vt:variant>
        <vt:i4>4077</vt:i4>
      </vt:variant>
      <vt:variant>
        <vt:i4>0</vt:i4>
      </vt:variant>
      <vt:variant>
        <vt:i4>5</vt:i4>
      </vt:variant>
      <vt:variant>
        <vt:lpwstr/>
      </vt:variant>
      <vt:variant>
        <vt:lpwstr>_ENREF_282</vt:lpwstr>
      </vt:variant>
      <vt:variant>
        <vt:i4>4390923</vt:i4>
      </vt:variant>
      <vt:variant>
        <vt:i4>4074</vt:i4>
      </vt:variant>
      <vt:variant>
        <vt:i4>0</vt:i4>
      </vt:variant>
      <vt:variant>
        <vt:i4>5</vt:i4>
      </vt:variant>
      <vt:variant>
        <vt:lpwstr/>
      </vt:variant>
      <vt:variant>
        <vt:lpwstr>_ENREF_25</vt:lpwstr>
      </vt:variant>
      <vt:variant>
        <vt:i4>7536698</vt:i4>
      </vt:variant>
      <vt:variant>
        <vt:i4>4066</vt:i4>
      </vt:variant>
      <vt:variant>
        <vt:i4>0</vt:i4>
      </vt:variant>
      <vt:variant>
        <vt:i4>5</vt:i4>
      </vt:variant>
      <vt:variant>
        <vt:lpwstr/>
      </vt:variant>
      <vt:variant>
        <vt:lpwstr>_ENREF_210</vt:lpwstr>
      </vt:variant>
      <vt:variant>
        <vt:i4>4390923</vt:i4>
      </vt:variant>
      <vt:variant>
        <vt:i4>4060</vt:i4>
      </vt:variant>
      <vt:variant>
        <vt:i4>0</vt:i4>
      </vt:variant>
      <vt:variant>
        <vt:i4>5</vt:i4>
      </vt:variant>
      <vt:variant>
        <vt:lpwstr/>
      </vt:variant>
      <vt:variant>
        <vt:lpwstr>_ENREF_23</vt:lpwstr>
      </vt:variant>
      <vt:variant>
        <vt:i4>7536698</vt:i4>
      </vt:variant>
      <vt:variant>
        <vt:i4>4048</vt:i4>
      </vt:variant>
      <vt:variant>
        <vt:i4>0</vt:i4>
      </vt:variant>
      <vt:variant>
        <vt:i4>5</vt:i4>
      </vt:variant>
      <vt:variant>
        <vt:lpwstr/>
      </vt:variant>
      <vt:variant>
        <vt:lpwstr>_ENREF_210</vt:lpwstr>
      </vt:variant>
      <vt:variant>
        <vt:i4>4390923</vt:i4>
      </vt:variant>
      <vt:variant>
        <vt:i4>4045</vt:i4>
      </vt:variant>
      <vt:variant>
        <vt:i4>0</vt:i4>
      </vt:variant>
      <vt:variant>
        <vt:i4>5</vt:i4>
      </vt:variant>
      <vt:variant>
        <vt:lpwstr/>
      </vt:variant>
      <vt:variant>
        <vt:lpwstr>_ENREF_29</vt:lpwstr>
      </vt:variant>
      <vt:variant>
        <vt:i4>7536698</vt:i4>
      </vt:variant>
      <vt:variant>
        <vt:i4>4031</vt:i4>
      </vt:variant>
      <vt:variant>
        <vt:i4>0</vt:i4>
      </vt:variant>
      <vt:variant>
        <vt:i4>5</vt:i4>
      </vt:variant>
      <vt:variant>
        <vt:lpwstr/>
      </vt:variant>
      <vt:variant>
        <vt:lpwstr>_ENREF_210</vt:lpwstr>
      </vt:variant>
      <vt:variant>
        <vt:i4>4390923</vt:i4>
      </vt:variant>
      <vt:variant>
        <vt:i4>4028</vt:i4>
      </vt:variant>
      <vt:variant>
        <vt:i4>0</vt:i4>
      </vt:variant>
      <vt:variant>
        <vt:i4>5</vt:i4>
      </vt:variant>
      <vt:variant>
        <vt:lpwstr/>
      </vt:variant>
      <vt:variant>
        <vt:lpwstr>_ENREF_29</vt:lpwstr>
      </vt:variant>
      <vt:variant>
        <vt:i4>7864378</vt:i4>
      </vt:variant>
      <vt:variant>
        <vt:i4>4020</vt:i4>
      </vt:variant>
      <vt:variant>
        <vt:i4>0</vt:i4>
      </vt:variant>
      <vt:variant>
        <vt:i4>5</vt:i4>
      </vt:variant>
      <vt:variant>
        <vt:lpwstr/>
      </vt:variant>
      <vt:variant>
        <vt:lpwstr>_ENREF_118</vt:lpwstr>
      </vt:variant>
      <vt:variant>
        <vt:i4>7602234</vt:i4>
      </vt:variant>
      <vt:variant>
        <vt:i4>4014</vt:i4>
      </vt:variant>
      <vt:variant>
        <vt:i4>0</vt:i4>
      </vt:variant>
      <vt:variant>
        <vt:i4>5</vt:i4>
      </vt:variant>
      <vt:variant>
        <vt:lpwstr/>
      </vt:variant>
      <vt:variant>
        <vt:lpwstr>_ENREF_316</vt:lpwstr>
      </vt:variant>
      <vt:variant>
        <vt:i4>4390923</vt:i4>
      </vt:variant>
      <vt:variant>
        <vt:i4>4011</vt:i4>
      </vt:variant>
      <vt:variant>
        <vt:i4>0</vt:i4>
      </vt:variant>
      <vt:variant>
        <vt:i4>5</vt:i4>
      </vt:variant>
      <vt:variant>
        <vt:lpwstr/>
      </vt:variant>
      <vt:variant>
        <vt:lpwstr>_ENREF_23</vt:lpwstr>
      </vt:variant>
      <vt:variant>
        <vt:i4>4390923</vt:i4>
      </vt:variant>
      <vt:variant>
        <vt:i4>4008</vt:i4>
      </vt:variant>
      <vt:variant>
        <vt:i4>0</vt:i4>
      </vt:variant>
      <vt:variant>
        <vt:i4>5</vt:i4>
      </vt:variant>
      <vt:variant>
        <vt:lpwstr/>
      </vt:variant>
      <vt:variant>
        <vt:lpwstr>_ENREF_22</vt:lpwstr>
      </vt:variant>
      <vt:variant>
        <vt:i4>4194315</vt:i4>
      </vt:variant>
      <vt:variant>
        <vt:i4>4005</vt:i4>
      </vt:variant>
      <vt:variant>
        <vt:i4>0</vt:i4>
      </vt:variant>
      <vt:variant>
        <vt:i4>5</vt:i4>
      </vt:variant>
      <vt:variant>
        <vt:lpwstr/>
      </vt:variant>
      <vt:variant>
        <vt:lpwstr>_ENREF_18</vt:lpwstr>
      </vt:variant>
      <vt:variant>
        <vt:i4>7602234</vt:i4>
      </vt:variant>
      <vt:variant>
        <vt:i4>3997</vt:i4>
      </vt:variant>
      <vt:variant>
        <vt:i4>0</vt:i4>
      </vt:variant>
      <vt:variant>
        <vt:i4>5</vt:i4>
      </vt:variant>
      <vt:variant>
        <vt:lpwstr/>
      </vt:variant>
      <vt:variant>
        <vt:lpwstr>_ENREF_316</vt:lpwstr>
      </vt:variant>
      <vt:variant>
        <vt:i4>4390923</vt:i4>
      </vt:variant>
      <vt:variant>
        <vt:i4>3994</vt:i4>
      </vt:variant>
      <vt:variant>
        <vt:i4>0</vt:i4>
      </vt:variant>
      <vt:variant>
        <vt:i4>5</vt:i4>
      </vt:variant>
      <vt:variant>
        <vt:lpwstr/>
      </vt:variant>
      <vt:variant>
        <vt:lpwstr>_ENREF_23</vt:lpwstr>
      </vt:variant>
      <vt:variant>
        <vt:i4>4390923</vt:i4>
      </vt:variant>
      <vt:variant>
        <vt:i4>3991</vt:i4>
      </vt:variant>
      <vt:variant>
        <vt:i4>0</vt:i4>
      </vt:variant>
      <vt:variant>
        <vt:i4>5</vt:i4>
      </vt:variant>
      <vt:variant>
        <vt:lpwstr/>
      </vt:variant>
      <vt:variant>
        <vt:lpwstr>_ENREF_22</vt:lpwstr>
      </vt:variant>
      <vt:variant>
        <vt:i4>4194315</vt:i4>
      </vt:variant>
      <vt:variant>
        <vt:i4>3988</vt:i4>
      </vt:variant>
      <vt:variant>
        <vt:i4>0</vt:i4>
      </vt:variant>
      <vt:variant>
        <vt:i4>5</vt:i4>
      </vt:variant>
      <vt:variant>
        <vt:lpwstr/>
      </vt:variant>
      <vt:variant>
        <vt:lpwstr>_ENREF_18</vt:lpwstr>
      </vt:variant>
      <vt:variant>
        <vt:i4>4784139</vt:i4>
      </vt:variant>
      <vt:variant>
        <vt:i4>3980</vt:i4>
      </vt:variant>
      <vt:variant>
        <vt:i4>0</vt:i4>
      </vt:variant>
      <vt:variant>
        <vt:i4>5</vt:i4>
      </vt:variant>
      <vt:variant>
        <vt:lpwstr/>
      </vt:variant>
      <vt:variant>
        <vt:lpwstr>_ENREF_81</vt:lpwstr>
      </vt:variant>
      <vt:variant>
        <vt:i4>4784139</vt:i4>
      </vt:variant>
      <vt:variant>
        <vt:i4>3968</vt:i4>
      </vt:variant>
      <vt:variant>
        <vt:i4>0</vt:i4>
      </vt:variant>
      <vt:variant>
        <vt:i4>5</vt:i4>
      </vt:variant>
      <vt:variant>
        <vt:lpwstr/>
      </vt:variant>
      <vt:variant>
        <vt:lpwstr>_ENREF_81</vt:lpwstr>
      </vt:variant>
      <vt:variant>
        <vt:i4>4784139</vt:i4>
      </vt:variant>
      <vt:variant>
        <vt:i4>3962</vt:i4>
      </vt:variant>
      <vt:variant>
        <vt:i4>0</vt:i4>
      </vt:variant>
      <vt:variant>
        <vt:i4>5</vt:i4>
      </vt:variant>
      <vt:variant>
        <vt:lpwstr/>
      </vt:variant>
      <vt:variant>
        <vt:lpwstr>_ENREF_80</vt:lpwstr>
      </vt:variant>
      <vt:variant>
        <vt:i4>7471167</vt:i4>
      </vt:variant>
      <vt:variant>
        <vt:i4>3956</vt:i4>
      </vt:variant>
      <vt:variant>
        <vt:i4>0</vt:i4>
      </vt:variant>
      <vt:variant>
        <vt:i4>5</vt:i4>
      </vt:variant>
      <vt:variant>
        <vt:lpwstr/>
      </vt:variant>
      <vt:variant>
        <vt:lpwstr>_ENREF_241</vt:lpwstr>
      </vt:variant>
      <vt:variant>
        <vt:i4>7667768</vt:i4>
      </vt:variant>
      <vt:variant>
        <vt:i4>3950</vt:i4>
      </vt:variant>
      <vt:variant>
        <vt:i4>0</vt:i4>
      </vt:variant>
      <vt:variant>
        <vt:i4>5</vt:i4>
      </vt:variant>
      <vt:variant>
        <vt:lpwstr/>
      </vt:variant>
      <vt:variant>
        <vt:lpwstr>_ENREF_337</vt:lpwstr>
      </vt:variant>
      <vt:variant>
        <vt:i4>7995455</vt:i4>
      </vt:variant>
      <vt:variant>
        <vt:i4>3947</vt:i4>
      </vt:variant>
      <vt:variant>
        <vt:i4>0</vt:i4>
      </vt:variant>
      <vt:variant>
        <vt:i4>5</vt:i4>
      </vt:variant>
      <vt:variant>
        <vt:lpwstr/>
      </vt:variant>
      <vt:variant>
        <vt:lpwstr>_ENREF_249</vt:lpwstr>
      </vt:variant>
      <vt:variant>
        <vt:i4>7405631</vt:i4>
      </vt:variant>
      <vt:variant>
        <vt:i4>3939</vt:i4>
      </vt:variant>
      <vt:variant>
        <vt:i4>0</vt:i4>
      </vt:variant>
      <vt:variant>
        <vt:i4>5</vt:i4>
      </vt:variant>
      <vt:variant>
        <vt:lpwstr/>
      </vt:variant>
      <vt:variant>
        <vt:lpwstr>_ENREF_242</vt:lpwstr>
      </vt:variant>
      <vt:variant>
        <vt:i4>7471167</vt:i4>
      </vt:variant>
      <vt:variant>
        <vt:i4>3936</vt:i4>
      </vt:variant>
      <vt:variant>
        <vt:i4>0</vt:i4>
      </vt:variant>
      <vt:variant>
        <vt:i4>5</vt:i4>
      </vt:variant>
      <vt:variant>
        <vt:lpwstr/>
      </vt:variant>
      <vt:variant>
        <vt:lpwstr>_ENREF_241</vt:lpwstr>
      </vt:variant>
      <vt:variant>
        <vt:i4>7536703</vt:i4>
      </vt:variant>
      <vt:variant>
        <vt:i4>3933</vt:i4>
      </vt:variant>
      <vt:variant>
        <vt:i4>0</vt:i4>
      </vt:variant>
      <vt:variant>
        <vt:i4>5</vt:i4>
      </vt:variant>
      <vt:variant>
        <vt:lpwstr/>
      </vt:variant>
      <vt:variant>
        <vt:lpwstr>_ENREF_240</vt:lpwstr>
      </vt:variant>
      <vt:variant>
        <vt:i4>4194315</vt:i4>
      </vt:variant>
      <vt:variant>
        <vt:i4>3930</vt:i4>
      </vt:variant>
      <vt:variant>
        <vt:i4>0</vt:i4>
      </vt:variant>
      <vt:variant>
        <vt:i4>5</vt:i4>
      </vt:variant>
      <vt:variant>
        <vt:lpwstr/>
      </vt:variant>
      <vt:variant>
        <vt:lpwstr>_ENREF_10</vt:lpwstr>
      </vt:variant>
      <vt:variant>
        <vt:i4>7667768</vt:i4>
      </vt:variant>
      <vt:variant>
        <vt:i4>3922</vt:i4>
      </vt:variant>
      <vt:variant>
        <vt:i4>0</vt:i4>
      </vt:variant>
      <vt:variant>
        <vt:i4>5</vt:i4>
      </vt:variant>
      <vt:variant>
        <vt:lpwstr/>
      </vt:variant>
      <vt:variant>
        <vt:lpwstr>_ENREF_337</vt:lpwstr>
      </vt:variant>
      <vt:variant>
        <vt:i4>7536696</vt:i4>
      </vt:variant>
      <vt:variant>
        <vt:i4>3916</vt:i4>
      </vt:variant>
      <vt:variant>
        <vt:i4>0</vt:i4>
      </vt:variant>
      <vt:variant>
        <vt:i4>5</vt:i4>
      </vt:variant>
      <vt:variant>
        <vt:lpwstr/>
      </vt:variant>
      <vt:variant>
        <vt:lpwstr>_ENREF_331</vt:lpwstr>
      </vt:variant>
      <vt:variant>
        <vt:i4>7536703</vt:i4>
      </vt:variant>
      <vt:variant>
        <vt:i4>3913</vt:i4>
      </vt:variant>
      <vt:variant>
        <vt:i4>0</vt:i4>
      </vt:variant>
      <vt:variant>
        <vt:i4>5</vt:i4>
      </vt:variant>
      <vt:variant>
        <vt:lpwstr/>
      </vt:variant>
      <vt:variant>
        <vt:lpwstr>_ENREF_240</vt:lpwstr>
      </vt:variant>
      <vt:variant>
        <vt:i4>7798847</vt:i4>
      </vt:variant>
      <vt:variant>
        <vt:i4>3905</vt:i4>
      </vt:variant>
      <vt:variant>
        <vt:i4>0</vt:i4>
      </vt:variant>
      <vt:variant>
        <vt:i4>5</vt:i4>
      </vt:variant>
      <vt:variant>
        <vt:lpwstr/>
      </vt:variant>
      <vt:variant>
        <vt:lpwstr>_ENREF_345</vt:lpwstr>
      </vt:variant>
      <vt:variant>
        <vt:i4>7798843</vt:i4>
      </vt:variant>
      <vt:variant>
        <vt:i4>3895</vt:i4>
      </vt:variant>
      <vt:variant>
        <vt:i4>0</vt:i4>
      </vt:variant>
      <vt:variant>
        <vt:i4>5</vt:i4>
      </vt:variant>
      <vt:variant>
        <vt:lpwstr/>
      </vt:variant>
      <vt:variant>
        <vt:lpwstr>_ENREF_107</vt:lpwstr>
      </vt:variant>
      <vt:variant>
        <vt:i4>4456459</vt:i4>
      </vt:variant>
      <vt:variant>
        <vt:i4>3891</vt:i4>
      </vt:variant>
      <vt:variant>
        <vt:i4>0</vt:i4>
      </vt:variant>
      <vt:variant>
        <vt:i4>5</vt:i4>
      </vt:variant>
      <vt:variant>
        <vt:lpwstr/>
      </vt:variant>
      <vt:variant>
        <vt:lpwstr>_ENREF_56</vt:lpwstr>
      </vt:variant>
      <vt:variant>
        <vt:i4>7405619</vt:i4>
      </vt:variant>
      <vt:variant>
        <vt:i4>3876</vt:i4>
      </vt:variant>
      <vt:variant>
        <vt:i4>0</vt:i4>
      </vt:variant>
      <vt:variant>
        <vt:i4>5</vt:i4>
      </vt:variant>
      <vt:variant>
        <vt:lpwstr/>
      </vt:variant>
      <vt:variant>
        <vt:lpwstr>_ENREF_282</vt:lpwstr>
      </vt:variant>
      <vt:variant>
        <vt:i4>7667763</vt:i4>
      </vt:variant>
      <vt:variant>
        <vt:i4>3873</vt:i4>
      </vt:variant>
      <vt:variant>
        <vt:i4>0</vt:i4>
      </vt:variant>
      <vt:variant>
        <vt:i4>5</vt:i4>
      </vt:variant>
      <vt:variant>
        <vt:lpwstr/>
      </vt:variant>
      <vt:variant>
        <vt:lpwstr>_ENREF_185</vt:lpwstr>
      </vt:variant>
      <vt:variant>
        <vt:i4>4784139</vt:i4>
      </vt:variant>
      <vt:variant>
        <vt:i4>3870</vt:i4>
      </vt:variant>
      <vt:variant>
        <vt:i4>0</vt:i4>
      </vt:variant>
      <vt:variant>
        <vt:i4>5</vt:i4>
      </vt:variant>
      <vt:variant>
        <vt:lpwstr/>
      </vt:variant>
      <vt:variant>
        <vt:lpwstr>_ENREF_88</vt:lpwstr>
      </vt:variant>
      <vt:variant>
        <vt:i4>7405619</vt:i4>
      </vt:variant>
      <vt:variant>
        <vt:i4>3862</vt:i4>
      </vt:variant>
      <vt:variant>
        <vt:i4>0</vt:i4>
      </vt:variant>
      <vt:variant>
        <vt:i4>5</vt:i4>
      </vt:variant>
      <vt:variant>
        <vt:lpwstr/>
      </vt:variant>
      <vt:variant>
        <vt:lpwstr>_ENREF_282</vt:lpwstr>
      </vt:variant>
      <vt:variant>
        <vt:i4>4784139</vt:i4>
      </vt:variant>
      <vt:variant>
        <vt:i4>3859</vt:i4>
      </vt:variant>
      <vt:variant>
        <vt:i4>0</vt:i4>
      </vt:variant>
      <vt:variant>
        <vt:i4>5</vt:i4>
      </vt:variant>
      <vt:variant>
        <vt:lpwstr/>
      </vt:variant>
      <vt:variant>
        <vt:lpwstr>_ENREF_88</vt:lpwstr>
      </vt:variant>
      <vt:variant>
        <vt:i4>4390923</vt:i4>
      </vt:variant>
      <vt:variant>
        <vt:i4>3856</vt:i4>
      </vt:variant>
      <vt:variant>
        <vt:i4>0</vt:i4>
      </vt:variant>
      <vt:variant>
        <vt:i4>5</vt:i4>
      </vt:variant>
      <vt:variant>
        <vt:lpwstr/>
      </vt:variant>
      <vt:variant>
        <vt:lpwstr>_ENREF_25</vt:lpwstr>
      </vt:variant>
      <vt:variant>
        <vt:i4>4390923</vt:i4>
      </vt:variant>
      <vt:variant>
        <vt:i4>3842</vt:i4>
      </vt:variant>
      <vt:variant>
        <vt:i4>0</vt:i4>
      </vt:variant>
      <vt:variant>
        <vt:i4>5</vt:i4>
      </vt:variant>
      <vt:variant>
        <vt:lpwstr/>
      </vt:variant>
      <vt:variant>
        <vt:lpwstr>_ENREF_29</vt:lpwstr>
      </vt:variant>
      <vt:variant>
        <vt:i4>7798842</vt:i4>
      </vt:variant>
      <vt:variant>
        <vt:i4>3836</vt:i4>
      </vt:variant>
      <vt:variant>
        <vt:i4>0</vt:i4>
      </vt:variant>
      <vt:variant>
        <vt:i4>5</vt:i4>
      </vt:variant>
      <vt:variant>
        <vt:lpwstr/>
      </vt:variant>
      <vt:variant>
        <vt:lpwstr>_ENREF_117</vt:lpwstr>
      </vt:variant>
      <vt:variant>
        <vt:i4>7471163</vt:i4>
      </vt:variant>
      <vt:variant>
        <vt:i4>3830</vt:i4>
      </vt:variant>
      <vt:variant>
        <vt:i4>0</vt:i4>
      </vt:variant>
      <vt:variant>
        <vt:i4>5</vt:i4>
      </vt:variant>
      <vt:variant>
        <vt:lpwstr/>
      </vt:variant>
      <vt:variant>
        <vt:lpwstr>_ENREF_201</vt:lpwstr>
      </vt:variant>
      <vt:variant>
        <vt:i4>4194315</vt:i4>
      </vt:variant>
      <vt:variant>
        <vt:i4>3827</vt:i4>
      </vt:variant>
      <vt:variant>
        <vt:i4>0</vt:i4>
      </vt:variant>
      <vt:variant>
        <vt:i4>5</vt:i4>
      </vt:variant>
      <vt:variant>
        <vt:lpwstr/>
      </vt:variant>
      <vt:variant>
        <vt:lpwstr>_ENREF_15</vt:lpwstr>
      </vt:variant>
      <vt:variant>
        <vt:i4>7667762</vt:i4>
      </vt:variant>
      <vt:variant>
        <vt:i4>3819</vt:i4>
      </vt:variant>
      <vt:variant>
        <vt:i4>0</vt:i4>
      </vt:variant>
      <vt:variant>
        <vt:i4>5</vt:i4>
      </vt:variant>
      <vt:variant>
        <vt:lpwstr/>
      </vt:variant>
      <vt:variant>
        <vt:lpwstr>_ENREF_296</vt:lpwstr>
      </vt:variant>
      <vt:variant>
        <vt:i4>7864376</vt:i4>
      </vt:variant>
      <vt:variant>
        <vt:i4>3816</vt:i4>
      </vt:variant>
      <vt:variant>
        <vt:i4>0</vt:i4>
      </vt:variant>
      <vt:variant>
        <vt:i4>5</vt:i4>
      </vt:variant>
      <vt:variant>
        <vt:lpwstr/>
      </vt:variant>
      <vt:variant>
        <vt:lpwstr>_ENREF_138</vt:lpwstr>
      </vt:variant>
      <vt:variant>
        <vt:i4>4456459</vt:i4>
      </vt:variant>
      <vt:variant>
        <vt:i4>3813</vt:i4>
      </vt:variant>
      <vt:variant>
        <vt:i4>0</vt:i4>
      </vt:variant>
      <vt:variant>
        <vt:i4>5</vt:i4>
      </vt:variant>
      <vt:variant>
        <vt:lpwstr/>
      </vt:variant>
      <vt:variant>
        <vt:lpwstr>_ENREF_54</vt:lpwstr>
      </vt:variant>
      <vt:variant>
        <vt:i4>7405619</vt:i4>
      </vt:variant>
      <vt:variant>
        <vt:i4>3805</vt:i4>
      </vt:variant>
      <vt:variant>
        <vt:i4>0</vt:i4>
      </vt:variant>
      <vt:variant>
        <vt:i4>5</vt:i4>
      </vt:variant>
      <vt:variant>
        <vt:lpwstr/>
      </vt:variant>
      <vt:variant>
        <vt:lpwstr>_ENREF_282</vt:lpwstr>
      </vt:variant>
      <vt:variant>
        <vt:i4>4390923</vt:i4>
      </vt:variant>
      <vt:variant>
        <vt:i4>3802</vt:i4>
      </vt:variant>
      <vt:variant>
        <vt:i4>0</vt:i4>
      </vt:variant>
      <vt:variant>
        <vt:i4>5</vt:i4>
      </vt:variant>
      <vt:variant>
        <vt:lpwstr/>
      </vt:variant>
      <vt:variant>
        <vt:lpwstr>_ENREF_25</vt:lpwstr>
      </vt:variant>
      <vt:variant>
        <vt:i4>7667768</vt:i4>
      </vt:variant>
      <vt:variant>
        <vt:i4>3791</vt:i4>
      </vt:variant>
      <vt:variant>
        <vt:i4>0</vt:i4>
      </vt:variant>
      <vt:variant>
        <vt:i4>5</vt:i4>
      </vt:variant>
      <vt:variant>
        <vt:lpwstr/>
      </vt:variant>
      <vt:variant>
        <vt:lpwstr>_ENREF_337</vt:lpwstr>
      </vt:variant>
      <vt:variant>
        <vt:i4>7733306</vt:i4>
      </vt:variant>
      <vt:variant>
        <vt:i4>3788</vt:i4>
      </vt:variant>
      <vt:variant>
        <vt:i4>0</vt:i4>
      </vt:variant>
      <vt:variant>
        <vt:i4>5</vt:i4>
      </vt:variant>
      <vt:variant>
        <vt:lpwstr/>
      </vt:variant>
      <vt:variant>
        <vt:lpwstr>_ENREF_314</vt:lpwstr>
      </vt:variant>
      <vt:variant>
        <vt:i4>7733307</vt:i4>
      </vt:variant>
      <vt:variant>
        <vt:i4>3785</vt:i4>
      </vt:variant>
      <vt:variant>
        <vt:i4>0</vt:i4>
      </vt:variant>
      <vt:variant>
        <vt:i4>5</vt:i4>
      </vt:variant>
      <vt:variant>
        <vt:lpwstr/>
      </vt:variant>
      <vt:variant>
        <vt:lpwstr>_ENREF_205</vt:lpwstr>
      </vt:variant>
      <vt:variant>
        <vt:i4>4390923</vt:i4>
      </vt:variant>
      <vt:variant>
        <vt:i4>3782</vt:i4>
      </vt:variant>
      <vt:variant>
        <vt:i4>0</vt:i4>
      </vt:variant>
      <vt:variant>
        <vt:i4>5</vt:i4>
      </vt:variant>
      <vt:variant>
        <vt:lpwstr/>
      </vt:variant>
      <vt:variant>
        <vt:lpwstr>_ENREF_24</vt:lpwstr>
      </vt:variant>
      <vt:variant>
        <vt:i4>7667762</vt:i4>
      </vt:variant>
      <vt:variant>
        <vt:i4>3774</vt:i4>
      </vt:variant>
      <vt:variant>
        <vt:i4>0</vt:i4>
      </vt:variant>
      <vt:variant>
        <vt:i4>5</vt:i4>
      </vt:variant>
      <vt:variant>
        <vt:lpwstr/>
      </vt:variant>
      <vt:variant>
        <vt:lpwstr>_ENREF_296</vt:lpwstr>
      </vt:variant>
      <vt:variant>
        <vt:i4>4587531</vt:i4>
      </vt:variant>
      <vt:variant>
        <vt:i4>3765</vt:i4>
      </vt:variant>
      <vt:variant>
        <vt:i4>0</vt:i4>
      </vt:variant>
      <vt:variant>
        <vt:i4>5</vt:i4>
      </vt:variant>
      <vt:variant>
        <vt:lpwstr/>
      </vt:variant>
      <vt:variant>
        <vt:lpwstr>_ENREF_72</vt:lpwstr>
      </vt:variant>
      <vt:variant>
        <vt:i4>7340091</vt:i4>
      </vt:variant>
      <vt:variant>
        <vt:i4>3759</vt:i4>
      </vt:variant>
      <vt:variant>
        <vt:i4>0</vt:i4>
      </vt:variant>
      <vt:variant>
        <vt:i4>5</vt:i4>
      </vt:variant>
      <vt:variant>
        <vt:lpwstr/>
      </vt:variant>
      <vt:variant>
        <vt:lpwstr>_ENREF_302</vt:lpwstr>
      </vt:variant>
      <vt:variant>
        <vt:i4>7929907</vt:i4>
      </vt:variant>
      <vt:variant>
        <vt:i4>3756</vt:i4>
      </vt:variant>
      <vt:variant>
        <vt:i4>0</vt:i4>
      </vt:variant>
      <vt:variant>
        <vt:i4>5</vt:i4>
      </vt:variant>
      <vt:variant>
        <vt:lpwstr/>
      </vt:variant>
      <vt:variant>
        <vt:lpwstr>_ENREF_189</vt:lpwstr>
      </vt:variant>
      <vt:variant>
        <vt:i4>7405627</vt:i4>
      </vt:variant>
      <vt:variant>
        <vt:i4>3753</vt:i4>
      </vt:variant>
      <vt:variant>
        <vt:i4>0</vt:i4>
      </vt:variant>
      <vt:variant>
        <vt:i4>5</vt:i4>
      </vt:variant>
      <vt:variant>
        <vt:lpwstr/>
      </vt:variant>
      <vt:variant>
        <vt:lpwstr>_ENREF_101</vt:lpwstr>
      </vt:variant>
      <vt:variant>
        <vt:i4>4456459</vt:i4>
      </vt:variant>
      <vt:variant>
        <vt:i4>3750</vt:i4>
      </vt:variant>
      <vt:variant>
        <vt:i4>0</vt:i4>
      </vt:variant>
      <vt:variant>
        <vt:i4>5</vt:i4>
      </vt:variant>
      <vt:variant>
        <vt:lpwstr/>
      </vt:variant>
      <vt:variant>
        <vt:lpwstr>_ENREF_55</vt:lpwstr>
      </vt:variant>
      <vt:variant>
        <vt:i4>4325387</vt:i4>
      </vt:variant>
      <vt:variant>
        <vt:i4>3747</vt:i4>
      </vt:variant>
      <vt:variant>
        <vt:i4>0</vt:i4>
      </vt:variant>
      <vt:variant>
        <vt:i4>5</vt:i4>
      </vt:variant>
      <vt:variant>
        <vt:lpwstr/>
      </vt:variant>
      <vt:variant>
        <vt:lpwstr>_ENREF_33</vt:lpwstr>
      </vt:variant>
      <vt:variant>
        <vt:i4>4390923</vt:i4>
      </vt:variant>
      <vt:variant>
        <vt:i4>3739</vt:i4>
      </vt:variant>
      <vt:variant>
        <vt:i4>0</vt:i4>
      </vt:variant>
      <vt:variant>
        <vt:i4>5</vt:i4>
      </vt:variant>
      <vt:variant>
        <vt:lpwstr/>
      </vt:variant>
      <vt:variant>
        <vt:lpwstr>_ENREF_24</vt:lpwstr>
      </vt:variant>
      <vt:variant>
        <vt:i4>7405629</vt:i4>
      </vt:variant>
      <vt:variant>
        <vt:i4>3733</vt:i4>
      </vt:variant>
      <vt:variant>
        <vt:i4>0</vt:i4>
      </vt:variant>
      <vt:variant>
        <vt:i4>5</vt:i4>
      </vt:variant>
      <vt:variant>
        <vt:lpwstr/>
      </vt:variant>
      <vt:variant>
        <vt:lpwstr>_ENREF_262</vt:lpwstr>
      </vt:variant>
      <vt:variant>
        <vt:i4>7536699</vt:i4>
      </vt:variant>
      <vt:variant>
        <vt:i4>3730</vt:i4>
      </vt:variant>
      <vt:variant>
        <vt:i4>0</vt:i4>
      </vt:variant>
      <vt:variant>
        <vt:i4>5</vt:i4>
      </vt:variant>
      <vt:variant>
        <vt:lpwstr/>
      </vt:variant>
      <vt:variant>
        <vt:lpwstr>_ENREF_200</vt:lpwstr>
      </vt:variant>
      <vt:variant>
        <vt:i4>7405619</vt:i4>
      </vt:variant>
      <vt:variant>
        <vt:i4>3722</vt:i4>
      </vt:variant>
      <vt:variant>
        <vt:i4>0</vt:i4>
      </vt:variant>
      <vt:variant>
        <vt:i4>5</vt:i4>
      </vt:variant>
      <vt:variant>
        <vt:lpwstr/>
      </vt:variant>
      <vt:variant>
        <vt:lpwstr>_ENREF_282</vt:lpwstr>
      </vt:variant>
      <vt:variant>
        <vt:i4>4784139</vt:i4>
      </vt:variant>
      <vt:variant>
        <vt:i4>3714</vt:i4>
      </vt:variant>
      <vt:variant>
        <vt:i4>0</vt:i4>
      </vt:variant>
      <vt:variant>
        <vt:i4>5</vt:i4>
      </vt:variant>
      <vt:variant>
        <vt:lpwstr/>
      </vt:variant>
      <vt:variant>
        <vt:lpwstr>_ENREF_87</vt:lpwstr>
      </vt:variant>
      <vt:variant>
        <vt:i4>7405619</vt:i4>
      </vt:variant>
      <vt:variant>
        <vt:i4>3707</vt:i4>
      </vt:variant>
      <vt:variant>
        <vt:i4>0</vt:i4>
      </vt:variant>
      <vt:variant>
        <vt:i4>5</vt:i4>
      </vt:variant>
      <vt:variant>
        <vt:lpwstr/>
      </vt:variant>
      <vt:variant>
        <vt:lpwstr>_ENREF_282</vt:lpwstr>
      </vt:variant>
      <vt:variant>
        <vt:i4>4784139</vt:i4>
      </vt:variant>
      <vt:variant>
        <vt:i4>3704</vt:i4>
      </vt:variant>
      <vt:variant>
        <vt:i4>0</vt:i4>
      </vt:variant>
      <vt:variant>
        <vt:i4>5</vt:i4>
      </vt:variant>
      <vt:variant>
        <vt:lpwstr/>
      </vt:variant>
      <vt:variant>
        <vt:lpwstr>_ENREF_89</vt:lpwstr>
      </vt:variant>
      <vt:variant>
        <vt:i4>4784139</vt:i4>
      </vt:variant>
      <vt:variant>
        <vt:i4>3701</vt:i4>
      </vt:variant>
      <vt:variant>
        <vt:i4>0</vt:i4>
      </vt:variant>
      <vt:variant>
        <vt:i4>5</vt:i4>
      </vt:variant>
      <vt:variant>
        <vt:lpwstr/>
      </vt:variant>
      <vt:variant>
        <vt:lpwstr>_ENREF_88</vt:lpwstr>
      </vt:variant>
      <vt:variant>
        <vt:i4>4390923</vt:i4>
      </vt:variant>
      <vt:variant>
        <vt:i4>3698</vt:i4>
      </vt:variant>
      <vt:variant>
        <vt:i4>0</vt:i4>
      </vt:variant>
      <vt:variant>
        <vt:i4>5</vt:i4>
      </vt:variant>
      <vt:variant>
        <vt:lpwstr/>
      </vt:variant>
      <vt:variant>
        <vt:lpwstr>_ENREF_29</vt:lpwstr>
      </vt:variant>
      <vt:variant>
        <vt:i4>4390923</vt:i4>
      </vt:variant>
      <vt:variant>
        <vt:i4>3695</vt:i4>
      </vt:variant>
      <vt:variant>
        <vt:i4>0</vt:i4>
      </vt:variant>
      <vt:variant>
        <vt:i4>5</vt:i4>
      </vt:variant>
      <vt:variant>
        <vt:lpwstr/>
      </vt:variant>
      <vt:variant>
        <vt:lpwstr>_ENREF_25</vt:lpwstr>
      </vt:variant>
      <vt:variant>
        <vt:i4>4390923</vt:i4>
      </vt:variant>
      <vt:variant>
        <vt:i4>3591</vt:i4>
      </vt:variant>
      <vt:variant>
        <vt:i4>0</vt:i4>
      </vt:variant>
      <vt:variant>
        <vt:i4>5</vt:i4>
      </vt:variant>
      <vt:variant>
        <vt:lpwstr/>
      </vt:variant>
      <vt:variant>
        <vt:lpwstr>_ENREF_21</vt:lpwstr>
      </vt:variant>
      <vt:variant>
        <vt:i4>4390923</vt:i4>
      </vt:variant>
      <vt:variant>
        <vt:i4>3574</vt:i4>
      </vt:variant>
      <vt:variant>
        <vt:i4>0</vt:i4>
      </vt:variant>
      <vt:variant>
        <vt:i4>5</vt:i4>
      </vt:variant>
      <vt:variant>
        <vt:lpwstr/>
      </vt:variant>
      <vt:variant>
        <vt:lpwstr>_ENREF_21</vt:lpwstr>
      </vt:variant>
      <vt:variant>
        <vt:i4>7667769</vt:i4>
      </vt:variant>
      <vt:variant>
        <vt:i4>3492</vt:i4>
      </vt:variant>
      <vt:variant>
        <vt:i4>0</vt:i4>
      </vt:variant>
      <vt:variant>
        <vt:i4>5</vt:i4>
      </vt:variant>
      <vt:variant>
        <vt:lpwstr/>
      </vt:variant>
      <vt:variant>
        <vt:lpwstr>_ENREF_125</vt:lpwstr>
      </vt:variant>
      <vt:variant>
        <vt:i4>4325387</vt:i4>
      </vt:variant>
      <vt:variant>
        <vt:i4>3486</vt:i4>
      </vt:variant>
      <vt:variant>
        <vt:i4>0</vt:i4>
      </vt:variant>
      <vt:variant>
        <vt:i4>5</vt:i4>
      </vt:variant>
      <vt:variant>
        <vt:lpwstr/>
      </vt:variant>
      <vt:variant>
        <vt:lpwstr>_ENREF_38</vt:lpwstr>
      </vt:variant>
      <vt:variant>
        <vt:i4>7667769</vt:i4>
      </vt:variant>
      <vt:variant>
        <vt:i4>3480</vt:i4>
      </vt:variant>
      <vt:variant>
        <vt:i4>0</vt:i4>
      </vt:variant>
      <vt:variant>
        <vt:i4>5</vt:i4>
      </vt:variant>
      <vt:variant>
        <vt:lpwstr/>
      </vt:variant>
      <vt:variant>
        <vt:lpwstr>_ENREF_125</vt:lpwstr>
      </vt:variant>
      <vt:variant>
        <vt:i4>7602226</vt:i4>
      </vt:variant>
      <vt:variant>
        <vt:i4>3474</vt:i4>
      </vt:variant>
      <vt:variant>
        <vt:i4>0</vt:i4>
      </vt:variant>
      <vt:variant>
        <vt:i4>5</vt:i4>
      </vt:variant>
      <vt:variant>
        <vt:lpwstr/>
      </vt:variant>
      <vt:variant>
        <vt:lpwstr>_ENREF_297</vt:lpwstr>
      </vt:variant>
      <vt:variant>
        <vt:i4>7733311</vt:i4>
      </vt:variant>
      <vt:variant>
        <vt:i4>3468</vt:i4>
      </vt:variant>
      <vt:variant>
        <vt:i4>0</vt:i4>
      </vt:variant>
      <vt:variant>
        <vt:i4>5</vt:i4>
      </vt:variant>
      <vt:variant>
        <vt:lpwstr/>
      </vt:variant>
      <vt:variant>
        <vt:lpwstr>_ENREF_245</vt:lpwstr>
      </vt:variant>
      <vt:variant>
        <vt:i4>4718603</vt:i4>
      </vt:variant>
      <vt:variant>
        <vt:i4>3462</vt:i4>
      </vt:variant>
      <vt:variant>
        <vt:i4>0</vt:i4>
      </vt:variant>
      <vt:variant>
        <vt:i4>5</vt:i4>
      </vt:variant>
      <vt:variant>
        <vt:lpwstr/>
      </vt:variant>
      <vt:variant>
        <vt:lpwstr>_ENREF_92</vt:lpwstr>
      </vt:variant>
      <vt:variant>
        <vt:i4>4390923</vt:i4>
      </vt:variant>
      <vt:variant>
        <vt:i4>3456</vt:i4>
      </vt:variant>
      <vt:variant>
        <vt:i4>0</vt:i4>
      </vt:variant>
      <vt:variant>
        <vt:i4>5</vt:i4>
      </vt:variant>
      <vt:variant>
        <vt:lpwstr/>
      </vt:variant>
      <vt:variant>
        <vt:lpwstr>_ENREF_21</vt:lpwstr>
      </vt:variant>
      <vt:variant>
        <vt:i4>4587531</vt:i4>
      </vt:variant>
      <vt:variant>
        <vt:i4>3448</vt:i4>
      </vt:variant>
      <vt:variant>
        <vt:i4>0</vt:i4>
      </vt:variant>
      <vt:variant>
        <vt:i4>5</vt:i4>
      </vt:variant>
      <vt:variant>
        <vt:lpwstr/>
      </vt:variant>
      <vt:variant>
        <vt:lpwstr>_ENREF_79</vt:lpwstr>
      </vt:variant>
      <vt:variant>
        <vt:i4>4784139</vt:i4>
      </vt:variant>
      <vt:variant>
        <vt:i4>3436</vt:i4>
      </vt:variant>
      <vt:variant>
        <vt:i4>0</vt:i4>
      </vt:variant>
      <vt:variant>
        <vt:i4>5</vt:i4>
      </vt:variant>
      <vt:variant>
        <vt:lpwstr/>
      </vt:variant>
      <vt:variant>
        <vt:lpwstr>_ENREF_88</vt:lpwstr>
      </vt:variant>
      <vt:variant>
        <vt:i4>4194315</vt:i4>
      </vt:variant>
      <vt:variant>
        <vt:i4>3432</vt:i4>
      </vt:variant>
      <vt:variant>
        <vt:i4>0</vt:i4>
      </vt:variant>
      <vt:variant>
        <vt:i4>5</vt:i4>
      </vt:variant>
      <vt:variant>
        <vt:lpwstr/>
      </vt:variant>
      <vt:variant>
        <vt:lpwstr>_ENREF_15</vt:lpwstr>
      </vt:variant>
      <vt:variant>
        <vt:i4>4784139</vt:i4>
      </vt:variant>
      <vt:variant>
        <vt:i4>3426</vt:i4>
      </vt:variant>
      <vt:variant>
        <vt:i4>0</vt:i4>
      </vt:variant>
      <vt:variant>
        <vt:i4>5</vt:i4>
      </vt:variant>
      <vt:variant>
        <vt:lpwstr/>
      </vt:variant>
      <vt:variant>
        <vt:lpwstr>_ENREF_84</vt:lpwstr>
      </vt:variant>
      <vt:variant>
        <vt:i4>4784139</vt:i4>
      </vt:variant>
      <vt:variant>
        <vt:i4>3417</vt:i4>
      </vt:variant>
      <vt:variant>
        <vt:i4>0</vt:i4>
      </vt:variant>
      <vt:variant>
        <vt:i4>5</vt:i4>
      </vt:variant>
      <vt:variant>
        <vt:lpwstr/>
      </vt:variant>
      <vt:variant>
        <vt:lpwstr>_ENREF_84</vt:lpwstr>
      </vt:variant>
      <vt:variant>
        <vt:i4>7733307</vt:i4>
      </vt:variant>
      <vt:variant>
        <vt:i4>3402</vt:i4>
      </vt:variant>
      <vt:variant>
        <vt:i4>0</vt:i4>
      </vt:variant>
      <vt:variant>
        <vt:i4>5</vt:i4>
      </vt:variant>
      <vt:variant>
        <vt:lpwstr/>
      </vt:variant>
      <vt:variant>
        <vt:lpwstr>_ENREF_205</vt:lpwstr>
      </vt:variant>
      <vt:variant>
        <vt:i4>7667768</vt:i4>
      </vt:variant>
      <vt:variant>
        <vt:i4>3396</vt:i4>
      </vt:variant>
      <vt:variant>
        <vt:i4>0</vt:i4>
      </vt:variant>
      <vt:variant>
        <vt:i4>5</vt:i4>
      </vt:variant>
      <vt:variant>
        <vt:lpwstr/>
      </vt:variant>
      <vt:variant>
        <vt:lpwstr>_ENREF_337</vt:lpwstr>
      </vt:variant>
      <vt:variant>
        <vt:i4>7798842</vt:i4>
      </vt:variant>
      <vt:variant>
        <vt:i4>3393</vt:i4>
      </vt:variant>
      <vt:variant>
        <vt:i4>0</vt:i4>
      </vt:variant>
      <vt:variant>
        <vt:i4>5</vt:i4>
      </vt:variant>
      <vt:variant>
        <vt:lpwstr/>
      </vt:variant>
      <vt:variant>
        <vt:lpwstr>_ENREF_315</vt:lpwstr>
      </vt:variant>
      <vt:variant>
        <vt:i4>7798840</vt:i4>
      </vt:variant>
      <vt:variant>
        <vt:i4>3390</vt:i4>
      </vt:variant>
      <vt:variant>
        <vt:i4>0</vt:i4>
      </vt:variant>
      <vt:variant>
        <vt:i4>5</vt:i4>
      </vt:variant>
      <vt:variant>
        <vt:lpwstr/>
      </vt:variant>
      <vt:variant>
        <vt:lpwstr>_ENREF_234</vt:lpwstr>
      </vt:variant>
      <vt:variant>
        <vt:i4>4194315</vt:i4>
      </vt:variant>
      <vt:variant>
        <vt:i4>3382</vt:i4>
      </vt:variant>
      <vt:variant>
        <vt:i4>0</vt:i4>
      </vt:variant>
      <vt:variant>
        <vt:i4>5</vt:i4>
      </vt:variant>
      <vt:variant>
        <vt:lpwstr/>
      </vt:variant>
      <vt:variant>
        <vt:lpwstr>_ENREF_11</vt:lpwstr>
      </vt:variant>
      <vt:variant>
        <vt:i4>7536698</vt:i4>
      </vt:variant>
      <vt:variant>
        <vt:i4>3368</vt:i4>
      </vt:variant>
      <vt:variant>
        <vt:i4>0</vt:i4>
      </vt:variant>
      <vt:variant>
        <vt:i4>5</vt:i4>
      </vt:variant>
      <vt:variant>
        <vt:lpwstr/>
      </vt:variant>
      <vt:variant>
        <vt:lpwstr>_ENREF_210</vt:lpwstr>
      </vt:variant>
      <vt:variant>
        <vt:i4>7536698</vt:i4>
      </vt:variant>
      <vt:variant>
        <vt:i4>3364</vt:i4>
      </vt:variant>
      <vt:variant>
        <vt:i4>0</vt:i4>
      </vt:variant>
      <vt:variant>
        <vt:i4>5</vt:i4>
      </vt:variant>
      <vt:variant>
        <vt:lpwstr/>
      </vt:variant>
      <vt:variant>
        <vt:lpwstr>_ENREF_210</vt:lpwstr>
      </vt:variant>
      <vt:variant>
        <vt:i4>7536698</vt:i4>
      </vt:variant>
      <vt:variant>
        <vt:i4>3358</vt:i4>
      </vt:variant>
      <vt:variant>
        <vt:i4>0</vt:i4>
      </vt:variant>
      <vt:variant>
        <vt:i4>5</vt:i4>
      </vt:variant>
      <vt:variant>
        <vt:lpwstr/>
      </vt:variant>
      <vt:variant>
        <vt:lpwstr>_ENREF_210</vt:lpwstr>
      </vt:variant>
      <vt:variant>
        <vt:i4>4390923</vt:i4>
      </vt:variant>
      <vt:variant>
        <vt:i4>3350</vt:i4>
      </vt:variant>
      <vt:variant>
        <vt:i4>0</vt:i4>
      </vt:variant>
      <vt:variant>
        <vt:i4>5</vt:i4>
      </vt:variant>
      <vt:variant>
        <vt:lpwstr/>
      </vt:variant>
      <vt:variant>
        <vt:lpwstr>_ENREF_29</vt:lpwstr>
      </vt:variant>
      <vt:variant>
        <vt:i4>7536698</vt:i4>
      </vt:variant>
      <vt:variant>
        <vt:i4>3344</vt:i4>
      </vt:variant>
      <vt:variant>
        <vt:i4>0</vt:i4>
      </vt:variant>
      <vt:variant>
        <vt:i4>5</vt:i4>
      </vt:variant>
      <vt:variant>
        <vt:lpwstr/>
      </vt:variant>
      <vt:variant>
        <vt:lpwstr>_ENREF_210</vt:lpwstr>
      </vt:variant>
      <vt:variant>
        <vt:i4>7536698</vt:i4>
      </vt:variant>
      <vt:variant>
        <vt:i4>3338</vt:i4>
      </vt:variant>
      <vt:variant>
        <vt:i4>0</vt:i4>
      </vt:variant>
      <vt:variant>
        <vt:i4>5</vt:i4>
      </vt:variant>
      <vt:variant>
        <vt:lpwstr/>
      </vt:variant>
      <vt:variant>
        <vt:lpwstr>_ENREF_210</vt:lpwstr>
      </vt:variant>
      <vt:variant>
        <vt:i4>7405619</vt:i4>
      </vt:variant>
      <vt:variant>
        <vt:i4>3334</vt:i4>
      </vt:variant>
      <vt:variant>
        <vt:i4>0</vt:i4>
      </vt:variant>
      <vt:variant>
        <vt:i4>5</vt:i4>
      </vt:variant>
      <vt:variant>
        <vt:lpwstr/>
      </vt:variant>
      <vt:variant>
        <vt:lpwstr>_ENREF_282</vt:lpwstr>
      </vt:variant>
      <vt:variant>
        <vt:i4>4784139</vt:i4>
      </vt:variant>
      <vt:variant>
        <vt:i4>3328</vt:i4>
      </vt:variant>
      <vt:variant>
        <vt:i4>0</vt:i4>
      </vt:variant>
      <vt:variant>
        <vt:i4>5</vt:i4>
      </vt:variant>
      <vt:variant>
        <vt:lpwstr/>
      </vt:variant>
      <vt:variant>
        <vt:lpwstr>_ENREF_88</vt:lpwstr>
      </vt:variant>
      <vt:variant>
        <vt:i4>4784139</vt:i4>
      </vt:variant>
      <vt:variant>
        <vt:i4>3322</vt:i4>
      </vt:variant>
      <vt:variant>
        <vt:i4>0</vt:i4>
      </vt:variant>
      <vt:variant>
        <vt:i4>5</vt:i4>
      </vt:variant>
      <vt:variant>
        <vt:lpwstr/>
      </vt:variant>
      <vt:variant>
        <vt:lpwstr>_ENREF_88</vt:lpwstr>
      </vt:variant>
      <vt:variant>
        <vt:i4>7733305</vt:i4>
      </vt:variant>
      <vt:variant>
        <vt:i4>3316</vt:i4>
      </vt:variant>
      <vt:variant>
        <vt:i4>0</vt:i4>
      </vt:variant>
      <vt:variant>
        <vt:i4>5</vt:i4>
      </vt:variant>
      <vt:variant>
        <vt:lpwstr/>
      </vt:variant>
      <vt:variant>
        <vt:lpwstr>_ENREF_225</vt:lpwstr>
      </vt:variant>
      <vt:variant>
        <vt:i4>7405619</vt:i4>
      </vt:variant>
      <vt:variant>
        <vt:i4>3307</vt:i4>
      </vt:variant>
      <vt:variant>
        <vt:i4>0</vt:i4>
      </vt:variant>
      <vt:variant>
        <vt:i4>5</vt:i4>
      </vt:variant>
      <vt:variant>
        <vt:lpwstr/>
      </vt:variant>
      <vt:variant>
        <vt:lpwstr>_ENREF_282</vt:lpwstr>
      </vt:variant>
      <vt:variant>
        <vt:i4>7471163</vt:i4>
      </vt:variant>
      <vt:variant>
        <vt:i4>3304</vt:i4>
      </vt:variant>
      <vt:variant>
        <vt:i4>0</vt:i4>
      </vt:variant>
      <vt:variant>
        <vt:i4>5</vt:i4>
      </vt:variant>
      <vt:variant>
        <vt:lpwstr/>
      </vt:variant>
      <vt:variant>
        <vt:lpwstr>_ENREF_201</vt:lpwstr>
      </vt:variant>
      <vt:variant>
        <vt:i4>7536699</vt:i4>
      </vt:variant>
      <vt:variant>
        <vt:i4>3301</vt:i4>
      </vt:variant>
      <vt:variant>
        <vt:i4>0</vt:i4>
      </vt:variant>
      <vt:variant>
        <vt:i4>5</vt:i4>
      </vt:variant>
      <vt:variant>
        <vt:lpwstr/>
      </vt:variant>
      <vt:variant>
        <vt:lpwstr>_ENREF_200</vt:lpwstr>
      </vt:variant>
      <vt:variant>
        <vt:i4>4784139</vt:i4>
      </vt:variant>
      <vt:variant>
        <vt:i4>3298</vt:i4>
      </vt:variant>
      <vt:variant>
        <vt:i4>0</vt:i4>
      </vt:variant>
      <vt:variant>
        <vt:i4>5</vt:i4>
      </vt:variant>
      <vt:variant>
        <vt:lpwstr/>
      </vt:variant>
      <vt:variant>
        <vt:lpwstr>_ENREF_89</vt:lpwstr>
      </vt:variant>
      <vt:variant>
        <vt:i4>4784139</vt:i4>
      </vt:variant>
      <vt:variant>
        <vt:i4>3295</vt:i4>
      </vt:variant>
      <vt:variant>
        <vt:i4>0</vt:i4>
      </vt:variant>
      <vt:variant>
        <vt:i4>5</vt:i4>
      </vt:variant>
      <vt:variant>
        <vt:lpwstr/>
      </vt:variant>
      <vt:variant>
        <vt:lpwstr>_ENREF_88</vt:lpwstr>
      </vt:variant>
      <vt:variant>
        <vt:i4>7995452</vt:i4>
      </vt:variant>
      <vt:variant>
        <vt:i4>3287</vt:i4>
      </vt:variant>
      <vt:variant>
        <vt:i4>0</vt:i4>
      </vt:variant>
      <vt:variant>
        <vt:i4>5</vt:i4>
      </vt:variant>
      <vt:variant>
        <vt:lpwstr/>
      </vt:variant>
      <vt:variant>
        <vt:lpwstr>_ENREF_279</vt:lpwstr>
      </vt:variant>
      <vt:variant>
        <vt:i4>7602234</vt:i4>
      </vt:variant>
      <vt:variant>
        <vt:i4>3284</vt:i4>
      </vt:variant>
      <vt:variant>
        <vt:i4>0</vt:i4>
      </vt:variant>
      <vt:variant>
        <vt:i4>5</vt:i4>
      </vt:variant>
      <vt:variant>
        <vt:lpwstr/>
      </vt:variant>
      <vt:variant>
        <vt:lpwstr>_ENREF_114</vt:lpwstr>
      </vt:variant>
      <vt:variant>
        <vt:i4>4784139</vt:i4>
      </vt:variant>
      <vt:variant>
        <vt:i4>3281</vt:i4>
      </vt:variant>
      <vt:variant>
        <vt:i4>0</vt:i4>
      </vt:variant>
      <vt:variant>
        <vt:i4>5</vt:i4>
      </vt:variant>
      <vt:variant>
        <vt:lpwstr/>
      </vt:variant>
      <vt:variant>
        <vt:lpwstr>_ENREF_88</vt:lpwstr>
      </vt:variant>
      <vt:variant>
        <vt:i4>4587531</vt:i4>
      </vt:variant>
      <vt:variant>
        <vt:i4>3278</vt:i4>
      </vt:variant>
      <vt:variant>
        <vt:i4>0</vt:i4>
      </vt:variant>
      <vt:variant>
        <vt:i4>5</vt:i4>
      </vt:variant>
      <vt:variant>
        <vt:lpwstr/>
      </vt:variant>
      <vt:variant>
        <vt:lpwstr>_ENREF_71</vt:lpwstr>
      </vt:variant>
      <vt:variant>
        <vt:i4>4456459</vt:i4>
      </vt:variant>
      <vt:variant>
        <vt:i4>3275</vt:i4>
      </vt:variant>
      <vt:variant>
        <vt:i4>0</vt:i4>
      </vt:variant>
      <vt:variant>
        <vt:i4>5</vt:i4>
      </vt:variant>
      <vt:variant>
        <vt:lpwstr/>
      </vt:variant>
      <vt:variant>
        <vt:lpwstr>_ENREF_54</vt:lpwstr>
      </vt:variant>
      <vt:variant>
        <vt:i4>7798847</vt:i4>
      </vt:variant>
      <vt:variant>
        <vt:i4>3264</vt:i4>
      </vt:variant>
      <vt:variant>
        <vt:i4>0</vt:i4>
      </vt:variant>
      <vt:variant>
        <vt:i4>5</vt:i4>
      </vt:variant>
      <vt:variant>
        <vt:lpwstr/>
      </vt:variant>
      <vt:variant>
        <vt:lpwstr>_ENREF_244</vt:lpwstr>
      </vt:variant>
      <vt:variant>
        <vt:i4>4784139</vt:i4>
      </vt:variant>
      <vt:variant>
        <vt:i4>3261</vt:i4>
      </vt:variant>
      <vt:variant>
        <vt:i4>0</vt:i4>
      </vt:variant>
      <vt:variant>
        <vt:i4>5</vt:i4>
      </vt:variant>
      <vt:variant>
        <vt:lpwstr/>
      </vt:variant>
      <vt:variant>
        <vt:lpwstr>_ENREF_88</vt:lpwstr>
      </vt:variant>
      <vt:variant>
        <vt:i4>4521995</vt:i4>
      </vt:variant>
      <vt:variant>
        <vt:i4>3258</vt:i4>
      </vt:variant>
      <vt:variant>
        <vt:i4>0</vt:i4>
      </vt:variant>
      <vt:variant>
        <vt:i4>5</vt:i4>
      </vt:variant>
      <vt:variant>
        <vt:lpwstr/>
      </vt:variant>
      <vt:variant>
        <vt:lpwstr>_ENREF_48</vt:lpwstr>
      </vt:variant>
      <vt:variant>
        <vt:i4>7405619</vt:i4>
      </vt:variant>
      <vt:variant>
        <vt:i4>3250</vt:i4>
      </vt:variant>
      <vt:variant>
        <vt:i4>0</vt:i4>
      </vt:variant>
      <vt:variant>
        <vt:i4>5</vt:i4>
      </vt:variant>
      <vt:variant>
        <vt:lpwstr/>
      </vt:variant>
      <vt:variant>
        <vt:lpwstr>_ENREF_282</vt:lpwstr>
      </vt:variant>
      <vt:variant>
        <vt:i4>7471154</vt:i4>
      </vt:variant>
      <vt:variant>
        <vt:i4>3244</vt:i4>
      </vt:variant>
      <vt:variant>
        <vt:i4>0</vt:i4>
      </vt:variant>
      <vt:variant>
        <vt:i4>5</vt:i4>
      </vt:variant>
      <vt:variant>
        <vt:lpwstr/>
      </vt:variant>
      <vt:variant>
        <vt:lpwstr>_ENREF_291</vt:lpwstr>
      </vt:variant>
      <vt:variant>
        <vt:i4>4390923</vt:i4>
      </vt:variant>
      <vt:variant>
        <vt:i4>3241</vt:i4>
      </vt:variant>
      <vt:variant>
        <vt:i4>0</vt:i4>
      </vt:variant>
      <vt:variant>
        <vt:i4>5</vt:i4>
      </vt:variant>
      <vt:variant>
        <vt:lpwstr/>
      </vt:variant>
      <vt:variant>
        <vt:lpwstr>_ENREF_25</vt:lpwstr>
      </vt:variant>
      <vt:variant>
        <vt:i4>7536690</vt:i4>
      </vt:variant>
      <vt:variant>
        <vt:i4>3233</vt:i4>
      </vt:variant>
      <vt:variant>
        <vt:i4>0</vt:i4>
      </vt:variant>
      <vt:variant>
        <vt:i4>5</vt:i4>
      </vt:variant>
      <vt:variant>
        <vt:lpwstr/>
      </vt:variant>
      <vt:variant>
        <vt:lpwstr>_ENREF_290</vt:lpwstr>
      </vt:variant>
      <vt:variant>
        <vt:i4>7405618</vt:i4>
      </vt:variant>
      <vt:variant>
        <vt:i4>3227</vt:i4>
      </vt:variant>
      <vt:variant>
        <vt:i4>0</vt:i4>
      </vt:variant>
      <vt:variant>
        <vt:i4>5</vt:i4>
      </vt:variant>
      <vt:variant>
        <vt:lpwstr/>
      </vt:variant>
      <vt:variant>
        <vt:lpwstr>_ENREF_292</vt:lpwstr>
      </vt:variant>
      <vt:variant>
        <vt:i4>7471154</vt:i4>
      </vt:variant>
      <vt:variant>
        <vt:i4>3221</vt:i4>
      </vt:variant>
      <vt:variant>
        <vt:i4>0</vt:i4>
      </vt:variant>
      <vt:variant>
        <vt:i4>5</vt:i4>
      </vt:variant>
      <vt:variant>
        <vt:lpwstr/>
      </vt:variant>
      <vt:variant>
        <vt:lpwstr>_ENREF_291</vt:lpwstr>
      </vt:variant>
      <vt:variant>
        <vt:i4>4784139</vt:i4>
      </vt:variant>
      <vt:variant>
        <vt:i4>3218</vt:i4>
      </vt:variant>
      <vt:variant>
        <vt:i4>0</vt:i4>
      </vt:variant>
      <vt:variant>
        <vt:i4>5</vt:i4>
      </vt:variant>
      <vt:variant>
        <vt:lpwstr/>
      </vt:variant>
      <vt:variant>
        <vt:lpwstr>_ENREF_89</vt:lpwstr>
      </vt:variant>
      <vt:variant>
        <vt:i4>4390923</vt:i4>
      </vt:variant>
      <vt:variant>
        <vt:i4>3207</vt:i4>
      </vt:variant>
      <vt:variant>
        <vt:i4>0</vt:i4>
      </vt:variant>
      <vt:variant>
        <vt:i4>5</vt:i4>
      </vt:variant>
      <vt:variant>
        <vt:lpwstr/>
      </vt:variant>
      <vt:variant>
        <vt:lpwstr>_ENREF_25</vt:lpwstr>
      </vt:variant>
      <vt:variant>
        <vt:i4>4390923</vt:i4>
      </vt:variant>
      <vt:variant>
        <vt:i4>3201</vt:i4>
      </vt:variant>
      <vt:variant>
        <vt:i4>0</vt:i4>
      </vt:variant>
      <vt:variant>
        <vt:i4>5</vt:i4>
      </vt:variant>
      <vt:variant>
        <vt:lpwstr/>
      </vt:variant>
      <vt:variant>
        <vt:lpwstr>_ENREF_25</vt:lpwstr>
      </vt:variant>
      <vt:variant>
        <vt:i4>7340092</vt:i4>
      </vt:variant>
      <vt:variant>
        <vt:i4>3195</vt:i4>
      </vt:variant>
      <vt:variant>
        <vt:i4>0</vt:i4>
      </vt:variant>
      <vt:variant>
        <vt:i4>5</vt:i4>
      </vt:variant>
      <vt:variant>
        <vt:lpwstr/>
      </vt:variant>
      <vt:variant>
        <vt:lpwstr>_ENREF_273</vt:lpwstr>
      </vt:variant>
      <vt:variant>
        <vt:i4>4390923</vt:i4>
      </vt:variant>
      <vt:variant>
        <vt:i4>3189</vt:i4>
      </vt:variant>
      <vt:variant>
        <vt:i4>0</vt:i4>
      </vt:variant>
      <vt:variant>
        <vt:i4>5</vt:i4>
      </vt:variant>
      <vt:variant>
        <vt:lpwstr/>
      </vt:variant>
      <vt:variant>
        <vt:lpwstr>_ENREF_25</vt:lpwstr>
      </vt:variant>
      <vt:variant>
        <vt:i4>7405619</vt:i4>
      </vt:variant>
      <vt:variant>
        <vt:i4>3183</vt:i4>
      </vt:variant>
      <vt:variant>
        <vt:i4>0</vt:i4>
      </vt:variant>
      <vt:variant>
        <vt:i4>5</vt:i4>
      </vt:variant>
      <vt:variant>
        <vt:lpwstr/>
      </vt:variant>
      <vt:variant>
        <vt:lpwstr>_ENREF_282</vt:lpwstr>
      </vt:variant>
      <vt:variant>
        <vt:i4>4784139</vt:i4>
      </vt:variant>
      <vt:variant>
        <vt:i4>3177</vt:i4>
      </vt:variant>
      <vt:variant>
        <vt:i4>0</vt:i4>
      </vt:variant>
      <vt:variant>
        <vt:i4>5</vt:i4>
      </vt:variant>
      <vt:variant>
        <vt:lpwstr/>
      </vt:variant>
      <vt:variant>
        <vt:lpwstr>_ENREF_84</vt:lpwstr>
      </vt:variant>
      <vt:variant>
        <vt:i4>4784139</vt:i4>
      </vt:variant>
      <vt:variant>
        <vt:i4>3171</vt:i4>
      </vt:variant>
      <vt:variant>
        <vt:i4>0</vt:i4>
      </vt:variant>
      <vt:variant>
        <vt:i4>5</vt:i4>
      </vt:variant>
      <vt:variant>
        <vt:lpwstr/>
      </vt:variant>
      <vt:variant>
        <vt:lpwstr>_ENREF_89</vt:lpwstr>
      </vt:variant>
      <vt:variant>
        <vt:i4>4390923</vt:i4>
      </vt:variant>
      <vt:variant>
        <vt:i4>3168</vt:i4>
      </vt:variant>
      <vt:variant>
        <vt:i4>0</vt:i4>
      </vt:variant>
      <vt:variant>
        <vt:i4>5</vt:i4>
      </vt:variant>
      <vt:variant>
        <vt:lpwstr/>
      </vt:variant>
      <vt:variant>
        <vt:lpwstr>_ENREF_25</vt:lpwstr>
      </vt:variant>
      <vt:variant>
        <vt:i4>4390923</vt:i4>
      </vt:variant>
      <vt:variant>
        <vt:i4>3158</vt:i4>
      </vt:variant>
      <vt:variant>
        <vt:i4>0</vt:i4>
      </vt:variant>
      <vt:variant>
        <vt:i4>5</vt:i4>
      </vt:variant>
      <vt:variant>
        <vt:lpwstr/>
      </vt:variant>
      <vt:variant>
        <vt:lpwstr>_ENREF_25</vt:lpwstr>
      </vt:variant>
      <vt:variant>
        <vt:i4>4587531</vt:i4>
      </vt:variant>
      <vt:variant>
        <vt:i4>3155</vt:i4>
      </vt:variant>
      <vt:variant>
        <vt:i4>0</vt:i4>
      </vt:variant>
      <vt:variant>
        <vt:i4>5</vt:i4>
      </vt:variant>
      <vt:variant>
        <vt:lpwstr/>
      </vt:variant>
      <vt:variant>
        <vt:lpwstr>_ENREF_70</vt:lpwstr>
      </vt:variant>
      <vt:variant>
        <vt:i4>7733298</vt:i4>
      </vt:variant>
      <vt:variant>
        <vt:i4>3149</vt:i4>
      </vt:variant>
      <vt:variant>
        <vt:i4>0</vt:i4>
      </vt:variant>
      <vt:variant>
        <vt:i4>5</vt:i4>
      </vt:variant>
      <vt:variant>
        <vt:lpwstr/>
      </vt:variant>
      <vt:variant>
        <vt:lpwstr>_ENREF_295</vt:lpwstr>
      </vt:variant>
      <vt:variant>
        <vt:i4>4390923</vt:i4>
      </vt:variant>
      <vt:variant>
        <vt:i4>3145</vt:i4>
      </vt:variant>
      <vt:variant>
        <vt:i4>0</vt:i4>
      </vt:variant>
      <vt:variant>
        <vt:i4>5</vt:i4>
      </vt:variant>
      <vt:variant>
        <vt:lpwstr/>
      </vt:variant>
      <vt:variant>
        <vt:lpwstr>_ENREF_25</vt:lpwstr>
      </vt:variant>
      <vt:variant>
        <vt:i4>7405619</vt:i4>
      </vt:variant>
      <vt:variant>
        <vt:i4>3139</vt:i4>
      </vt:variant>
      <vt:variant>
        <vt:i4>0</vt:i4>
      </vt:variant>
      <vt:variant>
        <vt:i4>5</vt:i4>
      </vt:variant>
      <vt:variant>
        <vt:lpwstr/>
      </vt:variant>
      <vt:variant>
        <vt:lpwstr>_ENREF_282</vt:lpwstr>
      </vt:variant>
      <vt:variant>
        <vt:i4>4784139</vt:i4>
      </vt:variant>
      <vt:variant>
        <vt:i4>3136</vt:i4>
      </vt:variant>
      <vt:variant>
        <vt:i4>0</vt:i4>
      </vt:variant>
      <vt:variant>
        <vt:i4>5</vt:i4>
      </vt:variant>
      <vt:variant>
        <vt:lpwstr/>
      </vt:variant>
      <vt:variant>
        <vt:lpwstr>_ENREF_89</vt:lpwstr>
      </vt:variant>
      <vt:variant>
        <vt:i4>4390923</vt:i4>
      </vt:variant>
      <vt:variant>
        <vt:i4>3133</vt:i4>
      </vt:variant>
      <vt:variant>
        <vt:i4>0</vt:i4>
      </vt:variant>
      <vt:variant>
        <vt:i4>5</vt:i4>
      </vt:variant>
      <vt:variant>
        <vt:lpwstr/>
      </vt:variant>
      <vt:variant>
        <vt:lpwstr>_ENREF_25</vt:lpwstr>
      </vt:variant>
      <vt:variant>
        <vt:i4>4390923</vt:i4>
      </vt:variant>
      <vt:variant>
        <vt:i4>3125</vt:i4>
      </vt:variant>
      <vt:variant>
        <vt:i4>0</vt:i4>
      </vt:variant>
      <vt:variant>
        <vt:i4>5</vt:i4>
      </vt:variant>
      <vt:variant>
        <vt:lpwstr/>
      </vt:variant>
      <vt:variant>
        <vt:lpwstr>_ENREF_25</vt:lpwstr>
      </vt:variant>
      <vt:variant>
        <vt:i4>4784139</vt:i4>
      </vt:variant>
      <vt:variant>
        <vt:i4>3119</vt:i4>
      </vt:variant>
      <vt:variant>
        <vt:i4>0</vt:i4>
      </vt:variant>
      <vt:variant>
        <vt:i4>5</vt:i4>
      </vt:variant>
      <vt:variant>
        <vt:lpwstr/>
      </vt:variant>
      <vt:variant>
        <vt:lpwstr>_ENREF_84</vt:lpwstr>
      </vt:variant>
      <vt:variant>
        <vt:i4>4784139</vt:i4>
      </vt:variant>
      <vt:variant>
        <vt:i4>3113</vt:i4>
      </vt:variant>
      <vt:variant>
        <vt:i4>0</vt:i4>
      </vt:variant>
      <vt:variant>
        <vt:i4>5</vt:i4>
      </vt:variant>
      <vt:variant>
        <vt:lpwstr/>
      </vt:variant>
      <vt:variant>
        <vt:lpwstr>_ENREF_85</vt:lpwstr>
      </vt:variant>
      <vt:variant>
        <vt:i4>7405619</vt:i4>
      </vt:variant>
      <vt:variant>
        <vt:i4>3107</vt:i4>
      </vt:variant>
      <vt:variant>
        <vt:i4>0</vt:i4>
      </vt:variant>
      <vt:variant>
        <vt:i4>5</vt:i4>
      </vt:variant>
      <vt:variant>
        <vt:lpwstr/>
      </vt:variant>
      <vt:variant>
        <vt:lpwstr>_ENREF_282</vt:lpwstr>
      </vt:variant>
      <vt:variant>
        <vt:i4>4390923</vt:i4>
      </vt:variant>
      <vt:variant>
        <vt:i4>3104</vt:i4>
      </vt:variant>
      <vt:variant>
        <vt:i4>0</vt:i4>
      </vt:variant>
      <vt:variant>
        <vt:i4>5</vt:i4>
      </vt:variant>
      <vt:variant>
        <vt:lpwstr/>
      </vt:variant>
      <vt:variant>
        <vt:lpwstr>_ENREF_25</vt:lpwstr>
      </vt:variant>
      <vt:variant>
        <vt:i4>7733305</vt:i4>
      </vt:variant>
      <vt:variant>
        <vt:i4>3096</vt:i4>
      </vt:variant>
      <vt:variant>
        <vt:i4>0</vt:i4>
      </vt:variant>
      <vt:variant>
        <vt:i4>5</vt:i4>
      </vt:variant>
      <vt:variant>
        <vt:lpwstr/>
      </vt:variant>
      <vt:variant>
        <vt:lpwstr>_ENREF_225</vt:lpwstr>
      </vt:variant>
      <vt:variant>
        <vt:i4>7798842</vt:i4>
      </vt:variant>
      <vt:variant>
        <vt:i4>3090</vt:i4>
      </vt:variant>
      <vt:variant>
        <vt:i4>0</vt:i4>
      </vt:variant>
      <vt:variant>
        <vt:i4>5</vt:i4>
      </vt:variant>
      <vt:variant>
        <vt:lpwstr/>
      </vt:variant>
      <vt:variant>
        <vt:lpwstr>_ENREF_117</vt:lpwstr>
      </vt:variant>
      <vt:variant>
        <vt:i4>7667762</vt:i4>
      </vt:variant>
      <vt:variant>
        <vt:i4>3084</vt:i4>
      </vt:variant>
      <vt:variant>
        <vt:i4>0</vt:i4>
      </vt:variant>
      <vt:variant>
        <vt:i4>5</vt:i4>
      </vt:variant>
      <vt:variant>
        <vt:lpwstr/>
      </vt:variant>
      <vt:variant>
        <vt:lpwstr>_ENREF_296</vt:lpwstr>
      </vt:variant>
      <vt:variant>
        <vt:i4>7602237</vt:i4>
      </vt:variant>
      <vt:variant>
        <vt:i4>3081</vt:i4>
      </vt:variant>
      <vt:variant>
        <vt:i4>0</vt:i4>
      </vt:variant>
      <vt:variant>
        <vt:i4>5</vt:i4>
      </vt:variant>
      <vt:variant>
        <vt:lpwstr/>
      </vt:variant>
      <vt:variant>
        <vt:lpwstr>_ENREF_164</vt:lpwstr>
      </vt:variant>
      <vt:variant>
        <vt:i4>7864376</vt:i4>
      </vt:variant>
      <vt:variant>
        <vt:i4>3078</vt:i4>
      </vt:variant>
      <vt:variant>
        <vt:i4>0</vt:i4>
      </vt:variant>
      <vt:variant>
        <vt:i4>5</vt:i4>
      </vt:variant>
      <vt:variant>
        <vt:lpwstr/>
      </vt:variant>
      <vt:variant>
        <vt:lpwstr>_ENREF_138</vt:lpwstr>
      </vt:variant>
      <vt:variant>
        <vt:i4>4718603</vt:i4>
      </vt:variant>
      <vt:variant>
        <vt:i4>3070</vt:i4>
      </vt:variant>
      <vt:variant>
        <vt:i4>0</vt:i4>
      </vt:variant>
      <vt:variant>
        <vt:i4>5</vt:i4>
      </vt:variant>
      <vt:variant>
        <vt:lpwstr/>
      </vt:variant>
      <vt:variant>
        <vt:lpwstr>_ENREF_96</vt:lpwstr>
      </vt:variant>
      <vt:variant>
        <vt:i4>7471163</vt:i4>
      </vt:variant>
      <vt:variant>
        <vt:i4>3064</vt:i4>
      </vt:variant>
      <vt:variant>
        <vt:i4>0</vt:i4>
      </vt:variant>
      <vt:variant>
        <vt:i4>5</vt:i4>
      </vt:variant>
      <vt:variant>
        <vt:lpwstr/>
      </vt:variant>
      <vt:variant>
        <vt:lpwstr>_ENREF_201</vt:lpwstr>
      </vt:variant>
      <vt:variant>
        <vt:i4>4194315</vt:i4>
      </vt:variant>
      <vt:variant>
        <vt:i4>3058</vt:i4>
      </vt:variant>
      <vt:variant>
        <vt:i4>0</vt:i4>
      </vt:variant>
      <vt:variant>
        <vt:i4>5</vt:i4>
      </vt:variant>
      <vt:variant>
        <vt:lpwstr/>
      </vt:variant>
      <vt:variant>
        <vt:lpwstr>_ENREF_14</vt:lpwstr>
      </vt:variant>
      <vt:variant>
        <vt:i4>4194315</vt:i4>
      </vt:variant>
      <vt:variant>
        <vt:i4>3055</vt:i4>
      </vt:variant>
      <vt:variant>
        <vt:i4>0</vt:i4>
      </vt:variant>
      <vt:variant>
        <vt:i4>5</vt:i4>
      </vt:variant>
      <vt:variant>
        <vt:lpwstr/>
      </vt:variant>
      <vt:variant>
        <vt:lpwstr>_ENREF_13</vt:lpwstr>
      </vt:variant>
      <vt:variant>
        <vt:i4>8060984</vt:i4>
      </vt:variant>
      <vt:variant>
        <vt:i4>3047</vt:i4>
      </vt:variant>
      <vt:variant>
        <vt:i4>0</vt:i4>
      </vt:variant>
      <vt:variant>
        <vt:i4>5</vt:i4>
      </vt:variant>
      <vt:variant>
        <vt:lpwstr/>
      </vt:variant>
      <vt:variant>
        <vt:lpwstr>_ENREF_238</vt:lpwstr>
      </vt:variant>
      <vt:variant>
        <vt:i4>7405619</vt:i4>
      </vt:variant>
      <vt:variant>
        <vt:i4>3041</vt:i4>
      </vt:variant>
      <vt:variant>
        <vt:i4>0</vt:i4>
      </vt:variant>
      <vt:variant>
        <vt:i4>5</vt:i4>
      </vt:variant>
      <vt:variant>
        <vt:lpwstr/>
      </vt:variant>
      <vt:variant>
        <vt:lpwstr>_ENREF_282</vt:lpwstr>
      </vt:variant>
      <vt:variant>
        <vt:i4>4390923</vt:i4>
      </vt:variant>
      <vt:variant>
        <vt:i4>3038</vt:i4>
      </vt:variant>
      <vt:variant>
        <vt:i4>0</vt:i4>
      </vt:variant>
      <vt:variant>
        <vt:i4>5</vt:i4>
      </vt:variant>
      <vt:variant>
        <vt:lpwstr/>
      </vt:variant>
      <vt:variant>
        <vt:lpwstr>_ENREF_25</vt:lpwstr>
      </vt:variant>
      <vt:variant>
        <vt:i4>4784139</vt:i4>
      </vt:variant>
      <vt:variant>
        <vt:i4>3030</vt:i4>
      </vt:variant>
      <vt:variant>
        <vt:i4>0</vt:i4>
      </vt:variant>
      <vt:variant>
        <vt:i4>5</vt:i4>
      </vt:variant>
      <vt:variant>
        <vt:lpwstr/>
      </vt:variant>
      <vt:variant>
        <vt:lpwstr>_ENREF_88</vt:lpwstr>
      </vt:variant>
      <vt:variant>
        <vt:i4>7733298</vt:i4>
      </vt:variant>
      <vt:variant>
        <vt:i4>3024</vt:i4>
      </vt:variant>
      <vt:variant>
        <vt:i4>0</vt:i4>
      </vt:variant>
      <vt:variant>
        <vt:i4>5</vt:i4>
      </vt:variant>
      <vt:variant>
        <vt:lpwstr/>
      </vt:variant>
      <vt:variant>
        <vt:lpwstr>_ENREF_295</vt:lpwstr>
      </vt:variant>
      <vt:variant>
        <vt:i4>7405619</vt:i4>
      </vt:variant>
      <vt:variant>
        <vt:i4>3021</vt:i4>
      </vt:variant>
      <vt:variant>
        <vt:i4>0</vt:i4>
      </vt:variant>
      <vt:variant>
        <vt:i4>5</vt:i4>
      </vt:variant>
      <vt:variant>
        <vt:lpwstr/>
      </vt:variant>
      <vt:variant>
        <vt:lpwstr>_ENREF_282</vt:lpwstr>
      </vt:variant>
      <vt:variant>
        <vt:i4>7340092</vt:i4>
      </vt:variant>
      <vt:variant>
        <vt:i4>3018</vt:i4>
      </vt:variant>
      <vt:variant>
        <vt:i4>0</vt:i4>
      </vt:variant>
      <vt:variant>
        <vt:i4>5</vt:i4>
      </vt:variant>
      <vt:variant>
        <vt:lpwstr/>
      </vt:variant>
      <vt:variant>
        <vt:lpwstr>_ENREF_273</vt:lpwstr>
      </vt:variant>
      <vt:variant>
        <vt:i4>4784139</vt:i4>
      </vt:variant>
      <vt:variant>
        <vt:i4>3015</vt:i4>
      </vt:variant>
      <vt:variant>
        <vt:i4>0</vt:i4>
      </vt:variant>
      <vt:variant>
        <vt:i4>5</vt:i4>
      </vt:variant>
      <vt:variant>
        <vt:lpwstr/>
      </vt:variant>
      <vt:variant>
        <vt:lpwstr>_ENREF_89</vt:lpwstr>
      </vt:variant>
      <vt:variant>
        <vt:i4>4784139</vt:i4>
      </vt:variant>
      <vt:variant>
        <vt:i4>3012</vt:i4>
      </vt:variant>
      <vt:variant>
        <vt:i4>0</vt:i4>
      </vt:variant>
      <vt:variant>
        <vt:i4>5</vt:i4>
      </vt:variant>
      <vt:variant>
        <vt:lpwstr/>
      </vt:variant>
      <vt:variant>
        <vt:lpwstr>_ENREF_88</vt:lpwstr>
      </vt:variant>
      <vt:variant>
        <vt:i4>4784139</vt:i4>
      </vt:variant>
      <vt:variant>
        <vt:i4>3009</vt:i4>
      </vt:variant>
      <vt:variant>
        <vt:i4>0</vt:i4>
      </vt:variant>
      <vt:variant>
        <vt:i4>5</vt:i4>
      </vt:variant>
      <vt:variant>
        <vt:lpwstr/>
      </vt:variant>
      <vt:variant>
        <vt:lpwstr>_ENREF_86</vt:lpwstr>
      </vt:variant>
      <vt:variant>
        <vt:i4>4390923</vt:i4>
      </vt:variant>
      <vt:variant>
        <vt:i4>3006</vt:i4>
      </vt:variant>
      <vt:variant>
        <vt:i4>0</vt:i4>
      </vt:variant>
      <vt:variant>
        <vt:i4>5</vt:i4>
      </vt:variant>
      <vt:variant>
        <vt:lpwstr/>
      </vt:variant>
      <vt:variant>
        <vt:lpwstr>_ENREF_25</vt:lpwstr>
      </vt:variant>
      <vt:variant>
        <vt:i4>7471163</vt:i4>
      </vt:variant>
      <vt:variant>
        <vt:i4>2998</vt:i4>
      </vt:variant>
      <vt:variant>
        <vt:i4>0</vt:i4>
      </vt:variant>
      <vt:variant>
        <vt:i4>5</vt:i4>
      </vt:variant>
      <vt:variant>
        <vt:lpwstr/>
      </vt:variant>
      <vt:variant>
        <vt:lpwstr>_ENREF_201</vt:lpwstr>
      </vt:variant>
      <vt:variant>
        <vt:i4>4718603</vt:i4>
      </vt:variant>
      <vt:variant>
        <vt:i4>2995</vt:i4>
      </vt:variant>
      <vt:variant>
        <vt:i4>0</vt:i4>
      </vt:variant>
      <vt:variant>
        <vt:i4>5</vt:i4>
      </vt:variant>
      <vt:variant>
        <vt:lpwstr/>
      </vt:variant>
      <vt:variant>
        <vt:lpwstr>_ENREF_9</vt:lpwstr>
      </vt:variant>
      <vt:variant>
        <vt:i4>7667762</vt:i4>
      </vt:variant>
      <vt:variant>
        <vt:i4>2987</vt:i4>
      </vt:variant>
      <vt:variant>
        <vt:i4>0</vt:i4>
      </vt:variant>
      <vt:variant>
        <vt:i4>5</vt:i4>
      </vt:variant>
      <vt:variant>
        <vt:lpwstr/>
      </vt:variant>
      <vt:variant>
        <vt:lpwstr>_ENREF_296</vt:lpwstr>
      </vt:variant>
      <vt:variant>
        <vt:i4>7602237</vt:i4>
      </vt:variant>
      <vt:variant>
        <vt:i4>2984</vt:i4>
      </vt:variant>
      <vt:variant>
        <vt:i4>0</vt:i4>
      </vt:variant>
      <vt:variant>
        <vt:i4>5</vt:i4>
      </vt:variant>
      <vt:variant>
        <vt:lpwstr/>
      </vt:variant>
      <vt:variant>
        <vt:lpwstr>_ENREF_164</vt:lpwstr>
      </vt:variant>
      <vt:variant>
        <vt:i4>7798845</vt:i4>
      </vt:variant>
      <vt:variant>
        <vt:i4>2976</vt:i4>
      </vt:variant>
      <vt:variant>
        <vt:i4>0</vt:i4>
      </vt:variant>
      <vt:variant>
        <vt:i4>5</vt:i4>
      </vt:variant>
      <vt:variant>
        <vt:lpwstr/>
      </vt:variant>
      <vt:variant>
        <vt:lpwstr>_ENREF_264</vt:lpwstr>
      </vt:variant>
      <vt:variant>
        <vt:i4>7667762</vt:i4>
      </vt:variant>
      <vt:variant>
        <vt:i4>2970</vt:i4>
      </vt:variant>
      <vt:variant>
        <vt:i4>0</vt:i4>
      </vt:variant>
      <vt:variant>
        <vt:i4>5</vt:i4>
      </vt:variant>
      <vt:variant>
        <vt:lpwstr/>
      </vt:variant>
      <vt:variant>
        <vt:lpwstr>_ENREF_296</vt:lpwstr>
      </vt:variant>
      <vt:variant>
        <vt:i4>7667775</vt:i4>
      </vt:variant>
      <vt:variant>
        <vt:i4>2964</vt:i4>
      </vt:variant>
      <vt:variant>
        <vt:i4>0</vt:i4>
      </vt:variant>
      <vt:variant>
        <vt:i4>5</vt:i4>
      </vt:variant>
      <vt:variant>
        <vt:lpwstr/>
      </vt:variant>
      <vt:variant>
        <vt:lpwstr>_ENREF_145</vt:lpwstr>
      </vt:variant>
      <vt:variant>
        <vt:i4>4325387</vt:i4>
      </vt:variant>
      <vt:variant>
        <vt:i4>2961</vt:i4>
      </vt:variant>
      <vt:variant>
        <vt:i4>0</vt:i4>
      </vt:variant>
      <vt:variant>
        <vt:i4>5</vt:i4>
      </vt:variant>
      <vt:variant>
        <vt:lpwstr/>
      </vt:variant>
      <vt:variant>
        <vt:lpwstr>_ENREF_39</vt:lpwstr>
      </vt:variant>
      <vt:variant>
        <vt:i4>7667762</vt:i4>
      </vt:variant>
      <vt:variant>
        <vt:i4>2953</vt:i4>
      </vt:variant>
      <vt:variant>
        <vt:i4>0</vt:i4>
      </vt:variant>
      <vt:variant>
        <vt:i4>5</vt:i4>
      </vt:variant>
      <vt:variant>
        <vt:lpwstr/>
      </vt:variant>
      <vt:variant>
        <vt:lpwstr>_ENREF_296</vt:lpwstr>
      </vt:variant>
      <vt:variant>
        <vt:i4>7602237</vt:i4>
      </vt:variant>
      <vt:variant>
        <vt:i4>2950</vt:i4>
      </vt:variant>
      <vt:variant>
        <vt:i4>0</vt:i4>
      </vt:variant>
      <vt:variant>
        <vt:i4>5</vt:i4>
      </vt:variant>
      <vt:variant>
        <vt:lpwstr/>
      </vt:variant>
      <vt:variant>
        <vt:lpwstr>_ENREF_164</vt:lpwstr>
      </vt:variant>
      <vt:variant>
        <vt:i4>7995454</vt:i4>
      </vt:variant>
      <vt:variant>
        <vt:i4>2942</vt:i4>
      </vt:variant>
      <vt:variant>
        <vt:i4>0</vt:i4>
      </vt:variant>
      <vt:variant>
        <vt:i4>5</vt:i4>
      </vt:variant>
      <vt:variant>
        <vt:lpwstr/>
      </vt:variant>
      <vt:variant>
        <vt:lpwstr>_ENREF_259</vt:lpwstr>
      </vt:variant>
      <vt:variant>
        <vt:i4>7864371</vt:i4>
      </vt:variant>
      <vt:variant>
        <vt:i4>2939</vt:i4>
      </vt:variant>
      <vt:variant>
        <vt:i4>0</vt:i4>
      </vt:variant>
      <vt:variant>
        <vt:i4>5</vt:i4>
      </vt:variant>
      <vt:variant>
        <vt:lpwstr/>
      </vt:variant>
      <vt:variant>
        <vt:lpwstr>_ENREF_188</vt:lpwstr>
      </vt:variant>
      <vt:variant>
        <vt:i4>7471165</vt:i4>
      </vt:variant>
      <vt:variant>
        <vt:i4>2936</vt:i4>
      </vt:variant>
      <vt:variant>
        <vt:i4>0</vt:i4>
      </vt:variant>
      <vt:variant>
        <vt:i4>5</vt:i4>
      </vt:variant>
      <vt:variant>
        <vt:lpwstr/>
      </vt:variant>
      <vt:variant>
        <vt:lpwstr>_ENREF_162</vt:lpwstr>
      </vt:variant>
      <vt:variant>
        <vt:i4>7864371</vt:i4>
      </vt:variant>
      <vt:variant>
        <vt:i4>2928</vt:i4>
      </vt:variant>
      <vt:variant>
        <vt:i4>0</vt:i4>
      </vt:variant>
      <vt:variant>
        <vt:i4>5</vt:i4>
      </vt:variant>
      <vt:variant>
        <vt:lpwstr/>
      </vt:variant>
      <vt:variant>
        <vt:lpwstr>_ENREF_188</vt:lpwstr>
      </vt:variant>
      <vt:variant>
        <vt:i4>4390923</vt:i4>
      </vt:variant>
      <vt:variant>
        <vt:i4>2922</vt:i4>
      </vt:variant>
      <vt:variant>
        <vt:i4>0</vt:i4>
      </vt:variant>
      <vt:variant>
        <vt:i4>5</vt:i4>
      </vt:variant>
      <vt:variant>
        <vt:lpwstr/>
      </vt:variant>
      <vt:variant>
        <vt:lpwstr>_ENREF_27</vt:lpwstr>
      </vt:variant>
      <vt:variant>
        <vt:i4>4390923</vt:i4>
      </vt:variant>
      <vt:variant>
        <vt:i4>2916</vt:i4>
      </vt:variant>
      <vt:variant>
        <vt:i4>0</vt:i4>
      </vt:variant>
      <vt:variant>
        <vt:i4>5</vt:i4>
      </vt:variant>
      <vt:variant>
        <vt:lpwstr/>
      </vt:variant>
      <vt:variant>
        <vt:lpwstr>_ENREF_2</vt:lpwstr>
      </vt:variant>
      <vt:variant>
        <vt:i4>7471166</vt:i4>
      </vt:variant>
      <vt:variant>
        <vt:i4>2910</vt:i4>
      </vt:variant>
      <vt:variant>
        <vt:i4>0</vt:i4>
      </vt:variant>
      <vt:variant>
        <vt:i4>5</vt:i4>
      </vt:variant>
      <vt:variant>
        <vt:lpwstr/>
      </vt:variant>
      <vt:variant>
        <vt:lpwstr>_ENREF_152</vt:lpwstr>
      </vt:variant>
      <vt:variant>
        <vt:i4>4390923</vt:i4>
      </vt:variant>
      <vt:variant>
        <vt:i4>2904</vt:i4>
      </vt:variant>
      <vt:variant>
        <vt:i4>0</vt:i4>
      </vt:variant>
      <vt:variant>
        <vt:i4>5</vt:i4>
      </vt:variant>
      <vt:variant>
        <vt:lpwstr/>
      </vt:variant>
      <vt:variant>
        <vt:lpwstr>_ENREF_25</vt:lpwstr>
      </vt:variant>
      <vt:variant>
        <vt:i4>7733306</vt:i4>
      </vt:variant>
      <vt:variant>
        <vt:i4>2898</vt:i4>
      </vt:variant>
      <vt:variant>
        <vt:i4>0</vt:i4>
      </vt:variant>
      <vt:variant>
        <vt:i4>5</vt:i4>
      </vt:variant>
      <vt:variant>
        <vt:lpwstr/>
      </vt:variant>
      <vt:variant>
        <vt:lpwstr>_ENREF_215</vt:lpwstr>
      </vt:variant>
      <vt:variant>
        <vt:i4>7536700</vt:i4>
      </vt:variant>
      <vt:variant>
        <vt:i4>2892</vt:i4>
      </vt:variant>
      <vt:variant>
        <vt:i4>0</vt:i4>
      </vt:variant>
      <vt:variant>
        <vt:i4>5</vt:i4>
      </vt:variant>
      <vt:variant>
        <vt:lpwstr/>
      </vt:variant>
      <vt:variant>
        <vt:lpwstr>_ENREF_173</vt:lpwstr>
      </vt:variant>
      <vt:variant>
        <vt:i4>7602237</vt:i4>
      </vt:variant>
      <vt:variant>
        <vt:i4>2886</vt:i4>
      </vt:variant>
      <vt:variant>
        <vt:i4>0</vt:i4>
      </vt:variant>
      <vt:variant>
        <vt:i4>5</vt:i4>
      </vt:variant>
      <vt:variant>
        <vt:lpwstr/>
      </vt:variant>
      <vt:variant>
        <vt:lpwstr>_ENREF_366</vt:lpwstr>
      </vt:variant>
      <vt:variant>
        <vt:i4>7471167</vt:i4>
      </vt:variant>
      <vt:variant>
        <vt:i4>2880</vt:i4>
      </vt:variant>
      <vt:variant>
        <vt:i4>0</vt:i4>
      </vt:variant>
      <vt:variant>
        <vt:i4>5</vt:i4>
      </vt:variant>
      <vt:variant>
        <vt:lpwstr/>
      </vt:variant>
      <vt:variant>
        <vt:lpwstr>_ENREF_142</vt:lpwstr>
      </vt:variant>
      <vt:variant>
        <vt:i4>7602232</vt:i4>
      </vt:variant>
      <vt:variant>
        <vt:i4>2874</vt:i4>
      </vt:variant>
      <vt:variant>
        <vt:i4>0</vt:i4>
      </vt:variant>
      <vt:variant>
        <vt:i4>5</vt:i4>
      </vt:variant>
      <vt:variant>
        <vt:lpwstr/>
      </vt:variant>
      <vt:variant>
        <vt:lpwstr>_ENREF_134</vt:lpwstr>
      </vt:variant>
      <vt:variant>
        <vt:i4>8060985</vt:i4>
      </vt:variant>
      <vt:variant>
        <vt:i4>2868</vt:i4>
      </vt:variant>
      <vt:variant>
        <vt:i4>0</vt:i4>
      </vt:variant>
      <vt:variant>
        <vt:i4>5</vt:i4>
      </vt:variant>
      <vt:variant>
        <vt:lpwstr/>
      </vt:variant>
      <vt:variant>
        <vt:lpwstr>_ENREF_329</vt:lpwstr>
      </vt:variant>
      <vt:variant>
        <vt:i4>7929913</vt:i4>
      </vt:variant>
      <vt:variant>
        <vt:i4>2860</vt:i4>
      </vt:variant>
      <vt:variant>
        <vt:i4>0</vt:i4>
      </vt:variant>
      <vt:variant>
        <vt:i4>5</vt:i4>
      </vt:variant>
      <vt:variant>
        <vt:lpwstr/>
      </vt:variant>
      <vt:variant>
        <vt:lpwstr>_ENREF_129</vt:lpwstr>
      </vt:variant>
      <vt:variant>
        <vt:i4>7864377</vt:i4>
      </vt:variant>
      <vt:variant>
        <vt:i4>2856</vt:i4>
      </vt:variant>
      <vt:variant>
        <vt:i4>0</vt:i4>
      </vt:variant>
      <vt:variant>
        <vt:i4>5</vt:i4>
      </vt:variant>
      <vt:variant>
        <vt:lpwstr/>
      </vt:variant>
      <vt:variant>
        <vt:lpwstr>_ENREF_128</vt:lpwstr>
      </vt:variant>
      <vt:variant>
        <vt:i4>7340092</vt:i4>
      </vt:variant>
      <vt:variant>
        <vt:i4>2850</vt:i4>
      </vt:variant>
      <vt:variant>
        <vt:i4>0</vt:i4>
      </vt:variant>
      <vt:variant>
        <vt:i4>5</vt:i4>
      </vt:variant>
      <vt:variant>
        <vt:lpwstr/>
      </vt:variant>
      <vt:variant>
        <vt:lpwstr>_ENREF_170</vt:lpwstr>
      </vt:variant>
      <vt:variant>
        <vt:i4>4653067</vt:i4>
      </vt:variant>
      <vt:variant>
        <vt:i4>2841</vt:i4>
      </vt:variant>
      <vt:variant>
        <vt:i4>0</vt:i4>
      </vt:variant>
      <vt:variant>
        <vt:i4>5</vt:i4>
      </vt:variant>
      <vt:variant>
        <vt:lpwstr/>
      </vt:variant>
      <vt:variant>
        <vt:lpwstr>_ENREF_61</vt:lpwstr>
      </vt:variant>
      <vt:variant>
        <vt:i4>7602233</vt:i4>
      </vt:variant>
      <vt:variant>
        <vt:i4>2835</vt:i4>
      </vt:variant>
      <vt:variant>
        <vt:i4>0</vt:i4>
      </vt:variant>
      <vt:variant>
        <vt:i4>5</vt:i4>
      </vt:variant>
      <vt:variant>
        <vt:lpwstr/>
      </vt:variant>
      <vt:variant>
        <vt:lpwstr>_ENREF_326</vt:lpwstr>
      </vt:variant>
      <vt:variant>
        <vt:i4>4587531</vt:i4>
      </vt:variant>
      <vt:variant>
        <vt:i4>2832</vt:i4>
      </vt:variant>
      <vt:variant>
        <vt:i4>0</vt:i4>
      </vt:variant>
      <vt:variant>
        <vt:i4>5</vt:i4>
      </vt:variant>
      <vt:variant>
        <vt:lpwstr/>
      </vt:variant>
      <vt:variant>
        <vt:lpwstr>_ENREF_70</vt:lpwstr>
      </vt:variant>
      <vt:variant>
        <vt:i4>4456459</vt:i4>
      </vt:variant>
      <vt:variant>
        <vt:i4>2829</vt:i4>
      </vt:variant>
      <vt:variant>
        <vt:i4>0</vt:i4>
      </vt:variant>
      <vt:variant>
        <vt:i4>5</vt:i4>
      </vt:variant>
      <vt:variant>
        <vt:lpwstr/>
      </vt:variant>
      <vt:variant>
        <vt:lpwstr>_ENREF_59</vt:lpwstr>
      </vt:variant>
      <vt:variant>
        <vt:i4>7733309</vt:i4>
      </vt:variant>
      <vt:variant>
        <vt:i4>2821</vt:i4>
      </vt:variant>
      <vt:variant>
        <vt:i4>0</vt:i4>
      </vt:variant>
      <vt:variant>
        <vt:i4>5</vt:i4>
      </vt:variant>
      <vt:variant>
        <vt:lpwstr/>
      </vt:variant>
      <vt:variant>
        <vt:lpwstr>_ENREF_364</vt:lpwstr>
      </vt:variant>
      <vt:variant>
        <vt:i4>7733311</vt:i4>
      </vt:variant>
      <vt:variant>
        <vt:i4>2818</vt:i4>
      </vt:variant>
      <vt:variant>
        <vt:i4>0</vt:i4>
      </vt:variant>
      <vt:variant>
        <vt:i4>5</vt:i4>
      </vt:variant>
      <vt:variant>
        <vt:lpwstr/>
      </vt:variant>
      <vt:variant>
        <vt:lpwstr>_ENREF_344</vt:lpwstr>
      </vt:variant>
      <vt:variant>
        <vt:i4>4390923</vt:i4>
      </vt:variant>
      <vt:variant>
        <vt:i4>2815</vt:i4>
      </vt:variant>
      <vt:variant>
        <vt:i4>0</vt:i4>
      </vt:variant>
      <vt:variant>
        <vt:i4>5</vt:i4>
      </vt:variant>
      <vt:variant>
        <vt:lpwstr/>
      </vt:variant>
      <vt:variant>
        <vt:lpwstr>_ENREF_26</vt:lpwstr>
      </vt:variant>
      <vt:variant>
        <vt:i4>4587531</vt:i4>
      </vt:variant>
      <vt:variant>
        <vt:i4>2807</vt:i4>
      </vt:variant>
      <vt:variant>
        <vt:i4>0</vt:i4>
      </vt:variant>
      <vt:variant>
        <vt:i4>5</vt:i4>
      </vt:variant>
      <vt:variant>
        <vt:lpwstr/>
      </vt:variant>
      <vt:variant>
        <vt:lpwstr>_ENREF_70</vt:lpwstr>
      </vt:variant>
      <vt:variant>
        <vt:i4>7471164</vt:i4>
      </vt:variant>
      <vt:variant>
        <vt:i4>2801</vt:i4>
      </vt:variant>
      <vt:variant>
        <vt:i4>0</vt:i4>
      </vt:variant>
      <vt:variant>
        <vt:i4>5</vt:i4>
      </vt:variant>
      <vt:variant>
        <vt:lpwstr/>
      </vt:variant>
      <vt:variant>
        <vt:lpwstr>_ENREF_271</vt:lpwstr>
      </vt:variant>
      <vt:variant>
        <vt:i4>8060989</vt:i4>
      </vt:variant>
      <vt:variant>
        <vt:i4>2798</vt:i4>
      </vt:variant>
      <vt:variant>
        <vt:i4>0</vt:i4>
      </vt:variant>
      <vt:variant>
        <vt:i4>5</vt:i4>
      </vt:variant>
      <vt:variant>
        <vt:lpwstr/>
      </vt:variant>
      <vt:variant>
        <vt:lpwstr>_ENREF_268</vt:lpwstr>
      </vt:variant>
      <vt:variant>
        <vt:i4>4390923</vt:i4>
      </vt:variant>
      <vt:variant>
        <vt:i4>2790</vt:i4>
      </vt:variant>
      <vt:variant>
        <vt:i4>0</vt:i4>
      </vt:variant>
      <vt:variant>
        <vt:i4>5</vt:i4>
      </vt:variant>
      <vt:variant>
        <vt:lpwstr/>
      </vt:variant>
      <vt:variant>
        <vt:lpwstr>_ENREF_20</vt:lpwstr>
      </vt:variant>
      <vt:variant>
        <vt:i4>7536699</vt:i4>
      </vt:variant>
      <vt:variant>
        <vt:i4>2782</vt:i4>
      </vt:variant>
      <vt:variant>
        <vt:i4>0</vt:i4>
      </vt:variant>
      <vt:variant>
        <vt:i4>5</vt:i4>
      </vt:variant>
      <vt:variant>
        <vt:lpwstr/>
      </vt:variant>
      <vt:variant>
        <vt:lpwstr>_ENREF_301</vt:lpwstr>
      </vt:variant>
      <vt:variant>
        <vt:i4>4587531</vt:i4>
      </vt:variant>
      <vt:variant>
        <vt:i4>2776</vt:i4>
      </vt:variant>
      <vt:variant>
        <vt:i4>0</vt:i4>
      </vt:variant>
      <vt:variant>
        <vt:i4>5</vt:i4>
      </vt:variant>
      <vt:variant>
        <vt:lpwstr/>
      </vt:variant>
      <vt:variant>
        <vt:lpwstr>_ENREF_73</vt:lpwstr>
      </vt:variant>
      <vt:variant>
        <vt:i4>7929918</vt:i4>
      </vt:variant>
      <vt:variant>
        <vt:i4>2770</vt:i4>
      </vt:variant>
      <vt:variant>
        <vt:i4>0</vt:i4>
      </vt:variant>
      <vt:variant>
        <vt:i4>5</vt:i4>
      </vt:variant>
      <vt:variant>
        <vt:lpwstr/>
      </vt:variant>
      <vt:variant>
        <vt:lpwstr>_ENREF_159</vt:lpwstr>
      </vt:variant>
      <vt:variant>
        <vt:i4>4653067</vt:i4>
      </vt:variant>
      <vt:variant>
        <vt:i4>2767</vt:i4>
      </vt:variant>
      <vt:variant>
        <vt:i4>0</vt:i4>
      </vt:variant>
      <vt:variant>
        <vt:i4>5</vt:i4>
      </vt:variant>
      <vt:variant>
        <vt:lpwstr/>
      </vt:variant>
      <vt:variant>
        <vt:lpwstr>_ENREF_60</vt:lpwstr>
      </vt:variant>
      <vt:variant>
        <vt:i4>4390923</vt:i4>
      </vt:variant>
      <vt:variant>
        <vt:i4>2764</vt:i4>
      </vt:variant>
      <vt:variant>
        <vt:i4>0</vt:i4>
      </vt:variant>
      <vt:variant>
        <vt:i4>5</vt:i4>
      </vt:variant>
      <vt:variant>
        <vt:lpwstr/>
      </vt:variant>
      <vt:variant>
        <vt:lpwstr>_ENREF_20</vt:lpwstr>
      </vt:variant>
      <vt:variant>
        <vt:i4>7929918</vt:i4>
      </vt:variant>
      <vt:variant>
        <vt:i4>2756</vt:i4>
      </vt:variant>
      <vt:variant>
        <vt:i4>0</vt:i4>
      </vt:variant>
      <vt:variant>
        <vt:i4>5</vt:i4>
      </vt:variant>
      <vt:variant>
        <vt:lpwstr/>
      </vt:variant>
      <vt:variant>
        <vt:lpwstr>_ENREF_159</vt:lpwstr>
      </vt:variant>
      <vt:variant>
        <vt:i4>4653067</vt:i4>
      </vt:variant>
      <vt:variant>
        <vt:i4>2753</vt:i4>
      </vt:variant>
      <vt:variant>
        <vt:i4>0</vt:i4>
      </vt:variant>
      <vt:variant>
        <vt:i4>5</vt:i4>
      </vt:variant>
      <vt:variant>
        <vt:lpwstr/>
      </vt:variant>
      <vt:variant>
        <vt:lpwstr>_ENREF_60</vt:lpwstr>
      </vt:variant>
      <vt:variant>
        <vt:i4>4390923</vt:i4>
      </vt:variant>
      <vt:variant>
        <vt:i4>2750</vt:i4>
      </vt:variant>
      <vt:variant>
        <vt:i4>0</vt:i4>
      </vt:variant>
      <vt:variant>
        <vt:i4>5</vt:i4>
      </vt:variant>
      <vt:variant>
        <vt:lpwstr/>
      </vt:variant>
      <vt:variant>
        <vt:lpwstr>_ENREF_20</vt:lpwstr>
      </vt:variant>
      <vt:variant>
        <vt:i4>7340091</vt:i4>
      </vt:variant>
      <vt:variant>
        <vt:i4>2740</vt:i4>
      </vt:variant>
      <vt:variant>
        <vt:i4>0</vt:i4>
      </vt:variant>
      <vt:variant>
        <vt:i4>5</vt:i4>
      </vt:variant>
      <vt:variant>
        <vt:lpwstr/>
      </vt:variant>
      <vt:variant>
        <vt:lpwstr>_ENREF_203</vt:lpwstr>
      </vt:variant>
      <vt:variant>
        <vt:i4>7798843</vt:i4>
      </vt:variant>
      <vt:variant>
        <vt:i4>2732</vt:i4>
      </vt:variant>
      <vt:variant>
        <vt:i4>0</vt:i4>
      </vt:variant>
      <vt:variant>
        <vt:i4>5</vt:i4>
      </vt:variant>
      <vt:variant>
        <vt:lpwstr/>
      </vt:variant>
      <vt:variant>
        <vt:lpwstr>_ENREF_204</vt:lpwstr>
      </vt:variant>
      <vt:variant>
        <vt:i4>7798843</vt:i4>
      </vt:variant>
      <vt:variant>
        <vt:i4>2728</vt:i4>
      </vt:variant>
      <vt:variant>
        <vt:i4>0</vt:i4>
      </vt:variant>
      <vt:variant>
        <vt:i4>5</vt:i4>
      </vt:variant>
      <vt:variant>
        <vt:lpwstr/>
      </vt:variant>
      <vt:variant>
        <vt:lpwstr>_ENREF_204</vt:lpwstr>
      </vt:variant>
      <vt:variant>
        <vt:i4>7798843</vt:i4>
      </vt:variant>
      <vt:variant>
        <vt:i4>2722</vt:i4>
      </vt:variant>
      <vt:variant>
        <vt:i4>0</vt:i4>
      </vt:variant>
      <vt:variant>
        <vt:i4>5</vt:i4>
      </vt:variant>
      <vt:variant>
        <vt:lpwstr/>
      </vt:variant>
      <vt:variant>
        <vt:lpwstr>_ENREF_204</vt:lpwstr>
      </vt:variant>
      <vt:variant>
        <vt:i4>7340091</vt:i4>
      </vt:variant>
      <vt:variant>
        <vt:i4>2719</vt:i4>
      </vt:variant>
      <vt:variant>
        <vt:i4>0</vt:i4>
      </vt:variant>
      <vt:variant>
        <vt:i4>5</vt:i4>
      </vt:variant>
      <vt:variant>
        <vt:lpwstr/>
      </vt:variant>
      <vt:variant>
        <vt:lpwstr>_ENREF_203</vt:lpwstr>
      </vt:variant>
      <vt:variant>
        <vt:i4>7405627</vt:i4>
      </vt:variant>
      <vt:variant>
        <vt:i4>2716</vt:i4>
      </vt:variant>
      <vt:variant>
        <vt:i4>0</vt:i4>
      </vt:variant>
      <vt:variant>
        <vt:i4>5</vt:i4>
      </vt:variant>
      <vt:variant>
        <vt:lpwstr/>
      </vt:variant>
      <vt:variant>
        <vt:lpwstr>_ENREF_202</vt:lpwstr>
      </vt:variant>
      <vt:variant>
        <vt:i4>8060990</vt:i4>
      </vt:variant>
      <vt:variant>
        <vt:i4>2708</vt:i4>
      </vt:variant>
      <vt:variant>
        <vt:i4>0</vt:i4>
      </vt:variant>
      <vt:variant>
        <vt:i4>5</vt:i4>
      </vt:variant>
      <vt:variant>
        <vt:lpwstr/>
      </vt:variant>
      <vt:variant>
        <vt:lpwstr>_ENREF_359</vt:lpwstr>
      </vt:variant>
      <vt:variant>
        <vt:i4>7405625</vt:i4>
      </vt:variant>
      <vt:variant>
        <vt:i4>2702</vt:i4>
      </vt:variant>
      <vt:variant>
        <vt:i4>0</vt:i4>
      </vt:variant>
      <vt:variant>
        <vt:i4>5</vt:i4>
      </vt:variant>
      <vt:variant>
        <vt:lpwstr/>
      </vt:variant>
      <vt:variant>
        <vt:lpwstr>_ENREF_222</vt:lpwstr>
      </vt:variant>
      <vt:variant>
        <vt:i4>7471161</vt:i4>
      </vt:variant>
      <vt:variant>
        <vt:i4>2699</vt:i4>
      </vt:variant>
      <vt:variant>
        <vt:i4>0</vt:i4>
      </vt:variant>
      <vt:variant>
        <vt:i4>5</vt:i4>
      </vt:variant>
      <vt:variant>
        <vt:lpwstr/>
      </vt:variant>
      <vt:variant>
        <vt:lpwstr>_ENREF_221</vt:lpwstr>
      </vt:variant>
      <vt:variant>
        <vt:i4>7471163</vt:i4>
      </vt:variant>
      <vt:variant>
        <vt:i4>2696</vt:i4>
      </vt:variant>
      <vt:variant>
        <vt:i4>0</vt:i4>
      </vt:variant>
      <vt:variant>
        <vt:i4>5</vt:i4>
      </vt:variant>
      <vt:variant>
        <vt:lpwstr/>
      </vt:variant>
      <vt:variant>
        <vt:lpwstr>_ENREF_102</vt:lpwstr>
      </vt:variant>
      <vt:variant>
        <vt:i4>7602239</vt:i4>
      </vt:variant>
      <vt:variant>
        <vt:i4>2688</vt:i4>
      </vt:variant>
      <vt:variant>
        <vt:i4>0</vt:i4>
      </vt:variant>
      <vt:variant>
        <vt:i4>5</vt:i4>
      </vt:variant>
      <vt:variant>
        <vt:lpwstr/>
      </vt:variant>
      <vt:variant>
        <vt:lpwstr>_ENREF_247</vt:lpwstr>
      </vt:variant>
      <vt:variant>
        <vt:i4>7602234</vt:i4>
      </vt:variant>
      <vt:variant>
        <vt:i4>2685</vt:i4>
      </vt:variant>
      <vt:variant>
        <vt:i4>0</vt:i4>
      </vt:variant>
      <vt:variant>
        <vt:i4>5</vt:i4>
      </vt:variant>
      <vt:variant>
        <vt:lpwstr/>
      </vt:variant>
      <vt:variant>
        <vt:lpwstr>_ENREF_217</vt:lpwstr>
      </vt:variant>
      <vt:variant>
        <vt:i4>4456459</vt:i4>
      </vt:variant>
      <vt:variant>
        <vt:i4>2682</vt:i4>
      </vt:variant>
      <vt:variant>
        <vt:i4>0</vt:i4>
      </vt:variant>
      <vt:variant>
        <vt:i4>5</vt:i4>
      </vt:variant>
      <vt:variant>
        <vt:lpwstr/>
      </vt:variant>
      <vt:variant>
        <vt:lpwstr>_ENREF_51</vt:lpwstr>
      </vt:variant>
      <vt:variant>
        <vt:i4>7340091</vt:i4>
      </vt:variant>
      <vt:variant>
        <vt:i4>2674</vt:i4>
      </vt:variant>
      <vt:variant>
        <vt:i4>0</vt:i4>
      </vt:variant>
      <vt:variant>
        <vt:i4>5</vt:i4>
      </vt:variant>
      <vt:variant>
        <vt:lpwstr/>
      </vt:variant>
      <vt:variant>
        <vt:lpwstr>_ENREF_203</vt:lpwstr>
      </vt:variant>
      <vt:variant>
        <vt:i4>4456459</vt:i4>
      </vt:variant>
      <vt:variant>
        <vt:i4>2668</vt:i4>
      </vt:variant>
      <vt:variant>
        <vt:i4>0</vt:i4>
      </vt:variant>
      <vt:variant>
        <vt:i4>5</vt:i4>
      </vt:variant>
      <vt:variant>
        <vt:lpwstr/>
      </vt:variant>
      <vt:variant>
        <vt:lpwstr>_ENREF_51</vt:lpwstr>
      </vt:variant>
      <vt:variant>
        <vt:i4>7995448</vt:i4>
      </vt:variant>
      <vt:variant>
        <vt:i4>2662</vt:i4>
      </vt:variant>
      <vt:variant>
        <vt:i4>0</vt:i4>
      </vt:variant>
      <vt:variant>
        <vt:i4>5</vt:i4>
      </vt:variant>
      <vt:variant>
        <vt:lpwstr/>
      </vt:variant>
      <vt:variant>
        <vt:lpwstr>_ENREF_338</vt:lpwstr>
      </vt:variant>
      <vt:variant>
        <vt:i4>7340089</vt:i4>
      </vt:variant>
      <vt:variant>
        <vt:i4>2659</vt:i4>
      </vt:variant>
      <vt:variant>
        <vt:i4>0</vt:i4>
      </vt:variant>
      <vt:variant>
        <vt:i4>5</vt:i4>
      </vt:variant>
      <vt:variant>
        <vt:lpwstr/>
      </vt:variant>
      <vt:variant>
        <vt:lpwstr>_ENREF_223</vt:lpwstr>
      </vt:variant>
      <vt:variant>
        <vt:i4>7471161</vt:i4>
      </vt:variant>
      <vt:variant>
        <vt:i4>2656</vt:i4>
      </vt:variant>
      <vt:variant>
        <vt:i4>0</vt:i4>
      </vt:variant>
      <vt:variant>
        <vt:i4>5</vt:i4>
      </vt:variant>
      <vt:variant>
        <vt:lpwstr/>
      </vt:variant>
      <vt:variant>
        <vt:lpwstr>_ENREF_221</vt:lpwstr>
      </vt:variant>
      <vt:variant>
        <vt:i4>7405631</vt:i4>
      </vt:variant>
      <vt:variant>
        <vt:i4>2653</vt:i4>
      </vt:variant>
      <vt:variant>
        <vt:i4>0</vt:i4>
      </vt:variant>
      <vt:variant>
        <vt:i4>5</vt:i4>
      </vt:variant>
      <vt:variant>
        <vt:lpwstr/>
      </vt:variant>
      <vt:variant>
        <vt:lpwstr>_ENREF_141</vt:lpwstr>
      </vt:variant>
      <vt:variant>
        <vt:i4>7798841</vt:i4>
      </vt:variant>
      <vt:variant>
        <vt:i4>2650</vt:i4>
      </vt:variant>
      <vt:variant>
        <vt:i4>0</vt:i4>
      </vt:variant>
      <vt:variant>
        <vt:i4>5</vt:i4>
      </vt:variant>
      <vt:variant>
        <vt:lpwstr/>
      </vt:variant>
      <vt:variant>
        <vt:lpwstr>_ENREF_127</vt:lpwstr>
      </vt:variant>
      <vt:variant>
        <vt:i4>7733305</vt:i4>
      </vt:variant>
      <vt:variant>
        <vt:i4>2647</vt:i4>
      </vt:variant>
      <vt:variant>
        <vt:i4>0</vt:i4>
      </vt:variant>
      <vt:variant>
        <vt:i4>5</vt:i4>
      </vt:variant>
      <vt:variant>
        <vt:lpwstr/>
      </vt:variant>
      <vt:variant>
        <vt:lpwstr>_ENREF_126</vt:lpwstr>
      </vt:variant>
      <vt:variant>
        <vt:i4>7340094</vt:i4>
      </vt:variant>
      <vt:variant>
        <vt:i4>2639</vt:i4>
      </vt:variant>
      <vt:variant>
        <vt:i4>0</vt:i4>
      </vt:variant>
      <vt:variant>
        <vt:i4>5</vt:i4>
      </vt:variant>
      <vt:variant>
        <vt:lpwstr/>
      </vt:variant>
      <vt:variant>
        <vt:lpwstr>_ENREF_352</vt:lpwstr>
      </vt:variant>
      <vt:variant>
        <vt:i4>8060985</vt:i4>
      </vt:variant>
      <vt:variant>
        <vt:i4>2636</vt:i4>
      </vt:variant>
      <vt:variant>
        <vt:i4>0</vt:i4>
      </vt:variant>
      <vt:variant>
        <vt:i4>5</vt:i4>
      </vt:variant>
      <vt:variant>
        <vt:lpwstr/>
      </vt:variant>
      <vt:variant>
        <vt:lpwstr>_ENREF_329</vt:lpwstr>
      </vt:variant>
      <vt:variant>
        <vt:i4>7536701</vt:i4>
      </vt:variant>
      <vt:variant>
        <vt:i4>2633</vt:i4>
      </vt:variant>
      <vt:variant>
        <vt:i4>0</vt:i4>
      </vt:variant>
      <vt:variant>
        <vt:i4>5</vt:i4>
      </vt:variant>
      <vt:variant>
        <vt:lpwstr/>
      </vt:variant>
      <vt:variant>
        <vt:lpwstr>_ENREF_163</vt:lpwstr>
      </vt:variant>
      <vt:variant>
        <vt:i4>7733304</vt:i4>
      </vt:variant>
      <vt:variant>
        <vt:i4>2630</vt:i4>
      </vt:variant>
      <vt:variant>
        <vt:i4>0</vt:i4>
      </vt:variant>
      <vt:variant>
        <vt:i4>5</vt:i4>
      </vt:variant>
      <vt:variant>
        <vt:lpwstr/>
      </vt:variant>
      <vt:variant>
        <vt:lpwstr>_ENREF_136</vt:lpwstr>
      </vt:variant>
      <vt:variant>
        <vt:i4>4653067</vt:i4>
      </vt:variant>
      <vt:variant>
        <vt:i4>2627</vt:i4>
      </vt:variant>
      <vt:variant>
        <vt:i4>0</vt:i4>
      </vt:variant>
      <vt:variant>
        <vt:i4>5</vt:i4>
      </vt:variant>
      <vt:variant>
        <vt:lpwstr/>
      </vt:variant>
      <vt:variant>
        <vt:lpwstr>_ENREF_69</vt:lpwstr>
      </vt:variant>
      <vt:variant>
        <vt:i4>7602234</vt:i4>
      </vt:variant>
      <vt:variant>
        <vt:i4>2619</vt:i4>
      </vt:variant>
      <vt:variant>
        <vt:i4>0</vt:i4>
      </vt:variant>
      <vt:variant>
        <vt:i4>5</vt:i4>
      </vt:variant>
      <vt:variant>
        <vt:lpwstr/>
      </vt:variant>
      <vt:variant>
        <vt:lpwstr>_ENREF_217</vt:lpwstr>
      </vt:variant>
      <vt:variant>
        <vt:i4>7864380</vt:i4>
      </vt:variant>
      <vt:variant>
        <vt:i4>2616</vt:i4>
      </vt:variant>
      <vt:variant>
        <vt:i4>0</vt:i4>
      </vt:variant>
      <vt:variant>
        <vt:i4>5</vt:i4>
      </vt:variant>
      <vt:variant>
        <vt:lpwstr/>
      </vt:variant>
      <vt:variant>
        <vt:lpwstr>_ENREF_178</vt:lpwstr>
      </vt:variant>
      <vt:variant>
        <vt:i4>7471161</vt:i4>
      </vt:variant>
      <vt:variant>
        <vt:i4>2613</vt:i4>
      </vt:variant>
      <vt:variant>
        <vt:i4>0</vt:i4>
      </vt:variant>
      <vt:variant>
        <vt:i4>5</vt:i4>
      </vt:variant>
      <vt:variant>
        <vt:lpwstr/>
      </vt:variant>
      <vt:variant>
        <vt:lpwstr>_ENREF_122</vt:lpwstr>
      </vt:variant>
      <vt:variant>
        <vt:i4>7405624</vt:i4>
      </vt:variant>
      <vt:variant>
        <vt:i4>2605</vt:i4>
      </vt:variant>
      <vt:variant>
        <vt:i4>0</vt:i4>
      </vt:variant>
      <vt:variant>
        <vt:i4>5</vt:i4>
      </vt:variant>
      <vt:variant>
        <vt:lpwstr/>
      </vt:variant>
      <vt:variant>
        <vt:lpwstr>_ENREF_333</vt:lpwstr>
      </vt:variant>
      <vt:variant>
        <vt:i4>7536699</vt:i4>
      </vt:variant>
      <vt:variant>
        <vt:i4>2602</vt:i4>
      </vt:variant>
      <vt:variant>
        <vt:i4>0</vt:i4>
      </vt:variant>
      <vt:variant>
        <vt:i4>5</vt:i4>
      </vt:variant>
      <vt:variant>
        <vt:lpwstr/>
      </vt:variant>
      <vt:variant>
        <vt:lpwstr>_ENREF_103</vt:lpwstr>
      </vt:variant>
      <vt:variant>
        <vt:i4>7405629</vt:i4>
      </vt:variant>
      <vt:variant>
        <vt:i4>2594</vt:i4>
      </vt:variant>
      <vt:variant>
        <vt:i4>0</vt:i4>
      </vt:variant>
      <vt:variant>
        <vt:i4>5</vt:i4>
      </vt:variant>
      <vt:variant>
        <vt:lpwstr/>
      </vt:variant>
      <vt:variant>
        <vt:lpwstr>_ENREF_363</vt:lpwstr>
      </vt:variant>
      <vt:variant>
        <vt:i4>7667770</vt:i4>
      </vt:variant>
      <vt:variant>
        <vt:i4>2591</vt:i4>
      </vt:variant>
      <vt:variant>
        <vt:i4>0</vt:i4>
      </vt:variant>
      <vt:variant>
        <vt:i4>5</vt:i4>
      </vt:variant>
      <vt:variant>
        <vt:lpwstr/>
      </vt:variant>
      <vt:variant>
        <vt:lpwstr>_ENREF_317</vt:lpwstr>
      </vt:variant>
      <vt:variant>
        <vt:i4>7405626</vt:i4>
      </vt:variant>
      <vt:variant>
        <vt:i4>2588</vt:i4>
      </vt:variant>
      <vt:variant>
        <vt:i4>0</vt:i4>
      </vt:variant>
      <vt:variant>
        <vt:i4>5</vt:i4>
      </vt:variant>
      <vt:variant>
        <vt:lpwstr/>
      </vt:variant>
      <vt:variant>
        <vt:lpwstr>_ENREF_313</vt:lpwstr>
      </vt:variant>
      <vt:variant>
        <vt:i4>7405625</vt:i4>
      </vt:variant>
      <vt:variant>
        <vt:i4>2585</vt:i4>
      </vt:variant>
      <vt:variant>
        <vt:i4>0</vt:i4>
      </vt:variant>
      <vt:variant>
        <vt:i4>5</vt:i4>
      </vt:variant>
      <vt:variant>
        <vt:lpwstr/>
      </vt:variant>
      <vt:variant>
        <vt:lpwstr>_ENREF_222</vt:lpwstr>
      </vt:variant>
      <vt:variant>
        <vt:i4>7667762</vt:i4>
      </vt:variant>
      <vt:variant>
        <vt:i4>2582</vt:i4>
      </vt:variant>
      <vt:variant>
        <vt:i4>0</vt:i4>
      </vt:variant>
      <vt:variant>
        <vt:i4>5</vt:i4>
      </vt:variant>
      <vt:variant>
        <vt:lpwstr/>
      </vt:variant>
      <vt:variant>
        <vt:lpwstr>_ENREF_195</vt:lpwstr>
      </vt:variant>
      <vt:variant>
        <vt:i4>7471155</vt:i4>
      </vt:variant>
      <vt:variant>
        <vt:i4>2579</vt:i4>
      </vt:variant>
      <vt:variant>
        <vt:i4>0</vt:i4>
      </vt:variant>
      <vt:variant>
        <vt:i4>5</vt:i4>
      </vt:variant>
      <vt:variant>
        <vt:lpwstr/>
      </vt:variant>
      <vt:variant>
        <vt:lpwstr>_ENREF_182</vt:lpwstr>
      </vt:variant>
      <vt:variant>
        <vt:i4>7405624</vt:i4>
      </vt:variant>
      <vt:variant>
        <vt:i4>2576</vt:i4>
      </vt:variant>
      <vt:variant>
        <vt:i4>0</vt:i4>
      </vt:variant>
      <vt:variant>
        <vt:i4>5</vt:i4>
      </vt:variant>
      <vt:variant>
        <vt:lpwstr/>
      </vt:variant>
      <vt:variant>
        <vt:lpwstr>_ENREF_131</vt:lpwstr>
      </vt:variant>
      <vt:variant>
        <vt:i4>4718603</vt:i4>
      </vt:variant>
      <vt:variant>
        <vt:i4>2573</vt:i4>
      </vt:variant>
      <vt:variant>
        <vt:i4>0</vt:i4>
      </vt:variant>
      <vt:variant>
        <vt:i4>5</vt:i4>
      </vt:variant>
      <vt:variant>
        <vt:lpwstr/>
      </vt:variant>
      <vt:variant>
        <vt:lpwstr>_ENREF_93</vt:lpwstr>
      </vt:variant>
      <vt:variant>
        <vt:i4>4521995</vt:i4>
      </vt:variant>
      <vt:variant>
        <vt:i4>2565</vt:i4>
      </vt:variant>
      <vt:variant>
        <vt:i4>0</vt:i4>
      </vt:variant>
      <vt:variant>
        <vt:i4>5</vt:i4>
      </vt:variant>
      <vt:variant>
        <vt:lpwstr/>
      </vt:variant>
      <vt:variant>
        <vt:lpwstr>_ENREF_40</vt:lpwstr>
      </vt:variant>
      <vt:variant>
        <vt:i4>7667773</vt:i4>
      </vt:variant>
      <vt:variant>
        <vt:i4>2559</vt:i4>
      </vt:variant>
      <vt:variant>
        <vt:i4>0</vt:i4>
      </vt:variant>
      <vt:variant>
        <vt:i4>5</vt:i4>
      </vt:variant>
      <vt:variant>
        <vt:lpwstr/>
      </vt:variant>
      <vt:variant>
        <vt:lpwstr>_ENREF_367</vt:lpwstr>
      </vt:variant>
      <vt:variant>
        <vt:i4>8060991</vt:i4>
      </vt:variant>
      <vt:variant>
        <vt:i4>2556</vt:i4>
      </vt:variant>
      <vt:variant>
        <vt:i4>0</vt:i4>
      </vt:variant>
      <vt:variant>
        <vt:i4>5</vt:i4>
      </vt:variant>
      <vt:variant>
        <vt:lpwstr/>
      </vt:variant>
      <vt:variant>
        <vt:lpwstr>_ENREF_349</vt:lpwstr>
      </vt:variant>
      <vt:variant>
        <vt:i4>7667775</vt:i4>
      </vt:variant>
      <vt:variant>
        <vt:i4>2553</vt:i4>
      </vt:variant>
      <vt:variant>
        <vt:i4>0</vt:i4>
      </vt:variant>
      <vt:variant>
        <vt:i4>5</vt:i4>
      </vt:variant>
      <vt:variant>
        <vt:lpwstr/>
      </vt:variant>
      <vt:variant>
        <vt:lpwstr>_ENREF_347</vt:lpwstr>
      </vt:variant>
      <vt:variant>
        <vt:i4>7340089</vt:i4>
      </vt:variant>
      <vt:variant>
        <vt:i4>2550</vt:i4>
      </vt:variant>
      <vt:variant>
        <vt:i4>0</vt:i4>
      </vt:variant>
      <vt:variant>
        <vt:i4>5</vt:i4>
      </vt:variant>
      <vt:variant>
        <vt:lpwstr/>
      </vt:variant>
      <vt:variant>
        <vt:lpwstr>_ENREF_223</vt:lpwstr>
      </vt:variant>
      <vt:variant>
        <vt:i4>4587531</vt:i4>
      </vt:variant>
      <vt:variant>
        <vt:i4>2547</vt:i4>
      </vt:variant>
      <vt:variant>
        <vt:i4>0</vt:i4>
      </vt:variant>
      <vt:variant>
        <vt:i4>5</vt:i4>
      </vt:variant>
      <vt:variant>
        <vt:lpwstr/>
      </vt:variant>
      <vt:variant>
        <vt:lpwstr>_ENREF_77</vt:lpwstr>
      </vt:variant>
      <vt:variant>
        <vt:i4>7667770</vt:i4>
      </vt:variant>
      <vt:variant>
        <vt:i4>2539</vt:i4>
      </vt:variant>
      <vt:variant>
        <vt:i4>0</vt:i4>
      </vt:variant>
      <vt:variant>
        <vt:i4>5</vt:i4>
      </vt:variant>
      <vt:variant>
        <vt:lpwstr/>
      </vt:variant>
      <vt:variant>
        <vt:lpwstr>_ENREF_317</vt:lpwstr>
      </vt:variant>
      <vt:variant>
        <vt:i4>7340093</vt:i4>
      </vt:variant>
      <vt:variant>
        <vt:i4>2533</vt:i4>
      </vt:variant>
      <vt:variant>
        <vt:i4>0</vt:i4>
      </vt:variant>
      <vt:variant>
        <vt:i4>5</vt:i4>
      </vt:variant>
      <vt:variant>
        <vt:lpwstr/>
      </vt:variant>
      <vt:variant>
        <vt:lpwstr>_ENREF_362</vt:lpwstr>
      </vt:variant>
      <vt:variant>
        <vt:i4>7733310</vt:i4>
      </vt:variant>
      <vt:variant>
        <vt:i4>2530</vt:i4>
      </vt:variant>
      <vt:variant>
        <vt:i4>0</vt:i4>
      </vt:variant>
      <vt:variant>
        <vt:i4>5</vt:i4>
      </vt:variant>
      <vt:variant>
        <vt:lpwstr/>
      </vt:variant>
      <vt:variant>
        <vt:lpwstr>_ENREF_354</vt:lpwstr>
      </vt:variant>
      <vt:variant>
        <vt:i4>7471165</vt:i4>
      </vt:variant>
      <vt:variant>
        <vt:i4>2527</vt:i4>
      </vt:variant>
      <vt:variant>
        <vt:i4>0</vt:i4>
      </vt:variant>
      <vt:variant>
        <vt:i4>5</vt:i4>
      </vt:variant>
      <vt:variant>
        <vt:lpwstr/>
      </vt:variant>
      <vt:variant>
        <vt:lpwstr>_ENREF_261</vt:lpwstr>
      </vt:variant>
      <vt:variant>
        <vt:i4>7405631</vt:i4>
      </vt:variant>
      <vt:variant>
        <vt:i4>2524</vt:i4>
      </vt:variant>
      <vt:variant>
        <vt:i4>0</vt:i4>
      </vt:variant>
      <vt:variant>
        <vt:i4>5</vt:i4>
      </vt:variant>
      <vt:variant>
        <vt:lpwstr/>
      </vt:variant>
      <vt:variant>
        <vt:lpwstr>_ENREF_141</vt:lpwstr>
      </vt:variant>
      <vt:variant>
        <vt:i4>7929912</vt:i4>
      </vt:variant>
      <vt:variant>
        <vt:i4>2521</vt:i4>
      </vt:variant>
      <vt:variant>
        <vt:i4>0</vt:i4>
      </vt:variant>
      <vt:variant>
        <vt:i4>5</vt:i4>
      </vt:variant>
      <vt:variant>
        <vt:lpwstr/>
      </vt:variant>
      <vt:variant>
        <vt:lpwstr>_ENREF_139</vt:lpwstr>
      </vt:variant>
      <vt:variant>
        <vt:i4>4718603</vt:i4>
      </vt:variant>
      <vt:variant>
        <vt:i4>2518</vt:i4>
      </vt:variant>
      <vt:variant>
        <vt:i4>0</vt:i4>
      </vt:variant>
      <vt:variant>
        <vt:i4>5</vt:i4>
      </vt:variant>
      <vt:variant>
        <vt:lpwstr/>
      </vt:variant>
      <vt:variant>
        <vt:lpwstr>_ENREF_94</vt:lpwstr>
      </vt:variant>
      <vt:variant>
        <vt:i4>4325387</vt:i4>
      </vt:variant>
      <vt:variant>
        <vt:i4>2515</vt:i4>
      </vt:variant>
      <vt:variant>
        <vt:i4>0</vt:i4>
      </vt:variant>
      <vt:variant>
        <vt:i4>5</vt:i4>
      </vt:variant>
      <vt:variant>
        <vt:lpwstr/>
      </vt:variant>
      <vt:variant>
        <vt:lpwstr>_ENREF_34</vt:lpwstr>
      </vt:variant>
      <vt:variant>
        <vt:i4>8060991</vt:i4>
      </vt:variant>
      <vt:variant>
        <vt:i4>2507</vt:i4>
      </vt:variant>
      <vt:variant>
        <vt:i4>0</vt:i4>
      </vt:variant>
      <vt:variant>
        <vt:i4>5</vt:i4>
      </vt:variant>
      <vt:variant>
        <vt:lpwstr/>
      </vt:variant>
      <vt:variant>
        <vt:lpwstr>_ENREF_248</vt:lpwstr>
      </vt:variant>
      <vt:variant>
        <vt:i4>7798844</vt:i4>
      </vt:variant>
      <vt:variant>
        <vt:i4>2504</vt:i4>
      </vt:variant>
      <vt:variant>
        <vt:i4>0</vt:i4>
      </vt:variant>
      <vt:variant>
        <vt:i4>5</vt:i4>
      </vt:variant>
      <vt:variant>
        <vt:lpwstr/>
      </vt:variant>
      <vt:variant>
        <vt:lpwstr>_ENREF_177</vt:lpwstr>
      </vt:variant>
      <vt:variant>
        <vt:i4>4587531</vt:i4>
      </vt:variant>
      <vt:variant>
        <vt:i4>2501</vt:i4>
      </vt:variant>
      <vt:variant>
        <vt:i4>0</vt:i4>
      </vt:variant>
      <vt:variant>
        <vt:i4>5</vt:i4>
      </vt:variant>
      <vt:variant>
        <vt:lpwstr/>
      </vt:variant>
      <vt:variant>
        <vt:lpwstr>_ENREF_7</vt:lpwstr>
      </vt:variant>
      <vt:variant>
        <vt:i4>8060986</vt:i4>
      </vt:variant>
      <vt:variant>
        <vt:i4>2493</vt:i4>
      </vt:variant>
      <vt:variant>
        <vt:i4>0</vt:i4>
      </vt:variant>
      <vt:variant>
        <vt:i4>5</vt:i4>
      </vt:variant>
      <vt:variant>
        <vt:lpwstr/>
      </vt:variant>
      <vt:variant>
        <vt:lpwstr>_ENREF_218</vt:lpwstr>
      </vt:variant>
      <vt:variant>
        <vt:i4>4718603</vt:i4>
      </vt:variant>
      <vt:variant>
        <vt:i4>2490</vt:i4>
      </vt:variant>
      <vt:variant>
        <vt:i4>0</vt:i4>
      </vt:variant>
      <vt:variant>
        <vt:i4>5</vt:i4>
      </vt:variant>
      <vt:variant>
        <vt:lpwstr/>
      </vt:variant>
      <vt:variant>
        <vt:lpwstr>_ENREF_95</vt:lpwstr>
      </vt:variant>
      <vt:variant>
        <vt:i4>7405625</vt:i4>
      </vt:variant>
      <vt:variant>
        <vt:i4>2482</vt:i4>
      </vt:variant>
      <vt:variant>
        <vt:i4>0</vt:i4>
      </vt:variant>
      <vt:variant>
        <vt:i4>5</vt:i4>
      </vt:variant>
      <vt:variant>
        <vt:lpwstr/>
      </vt:variant>
      <vt:variant>
        <vt:lpwstr>_ENREF_222</vt:lpwstr>
      </vt:variant>
      <vt:variant>
        <vt:i4>7536701</vt:i4>
      </vt:variant>
      <vt:variant>
        <vt:i4>2476</vt:i4>
      </vt:variant>
      <vt:variant>
        <vt:i4>0</vt:i4>
      </vt:variant>
      <vt:variant>
        <vt:i4>5</vt:i4>
      </vt:variant>
      <vt:variant>
        <vt:lpwstr/>
      </vt:variant>
      <vt:variant>
        <vt:lpwstr>_ENREF_361</vt:lpwstr>
      </vt:variant>
      <vt:variant>
        <vt:i4>7733304</vt:i4>
      </vt:variant>
      <vt:variant>
        <vt:i4>2473</vt:i4>
      </vt:variant>
      <vt:variant>
        <vt:i4>0</vt:i4>
      </vt:variant>
      <vt:variant>
        <vt:i4>5</vt:i4>
      </vt:variant>
      <vt:variant>
        <vt:lpwstr/>
      </vt:variant>
      <vt:variant>
        <vt:lpwstr>_ENREF_235</vt:lpwstr>
      </vt:variant>
      <vt:variant>
        <vt:i4>7405625</vt:i4>
      </vt:variant>
      <vt:variant>
        <vt:i4>2470</vt:i4>
      </vt:variant>
      <vt:variant>
        <vt:i4>0</vt:i4>
      </vt:variant>
      <vt:variant>
        <vt:i4>5</vt:i4>
      </vt:variant>
      <vt:variant>
        <vt:lpwstr/>
      </vt:variant>
      <vt:variant>
        <vt:lpwstr>_ENREF_222</vt:lpwstr>
      </vt:variant>
      <vt:variant>
        <vt:i4>7471161</vt:i4>
      </vt:variant>
      <vt:variant>
        <vt:i4>2467</vt:i4>
      </vt:variant>
      <vt:variant>
        <vt:i4>0</vt:i4>
      </vt:variant>
      <vt:variant>
        <vt:i4>5</vt:i4>
      </vt:variant>
      <vt:variant>
        <vt:lpwstr/>
      </vt:variant>
      <vt:variant>
        <vt:lpwstr>_ENREF_221</vt:lpwstr>
      </vt:variant>
      <vt:variant>
        <vt:i4>7471163</vt:i4>
      </vt:variant>
      <vt:variant>
        <vt:i4>2464</vt:i4>
      </vt:variant>
      <vt:variant>
        <vt:i4>0</vt:i4>
      </vt:variant>
      <vt:variant>
        <vt:i4>5</vt:i4>
      </vt:variant>
      <vt:variant>
        <vt:lpwstr/>
      </vt:variant>
      <vt:variant>
        <vt:lpwstr>_ENREF_102</vt:lpwstr>
      </vt:variant>
      <vt:variant>
        <vt:i4>7667771</vt:i4>
      </vt:variant>
      <vt:variant>
        <vt:i4>2456</vt:i4>
      </vt:variant>
      <vt:variant>
        <vt:i4>0</vt:i4>
      </vt:variant>
      <vt:variant>
        <vt:i4>5</vt:i4>
      </vt:variant>
      <vt:variant>
        <vt:lpwstr/>
      </vt:variant>
      <vt:variant>
        <vt:lpwstr>_ENREF_307</vt:lpwstr>
      </vt:variant>
      <vt:variant>
        <vt:i4>7602232</vt:i4>
      </vt:variant>
      <vt:variant>
        <vt:i4>2453</vt:i4>
      </vt:variant>
      <vt:variant>
        <vt:i4>0</vt:i4>
      </vt:variant>
      <vt:variant>
        <vt:i4>5</vt:i4>
      </vt:variant>
      <vt:variant>
        <vt:lpwstr/>
      </vt:variant>
      <vt:variant>
        <vt:lpwstr>_ENREF_237</vt:lpwstr>
      </vt:variant>
      <vt:variant>
        <vt:i4>7733306</vt:i4>
      </vt:variant>
      <vt:variant>
        <vt:i4>2450</vt:i4>
      </vt:variant>
      <vt:variant>
        <vt:i4>0</vt:i4>
      </vt:variant>
      <vt:variant>
        <vt:i4>5</vt:i4>
      </vt:variant>
      <vt:variant>
        <vt:lpwstr/>
      </vt:variant>
      <vt:variant>
        <vt:lpwstr>_ENREF_116</vt:lpwstr>
      </vt:variant>
      <vt:variant>
        <vt:i4>7405630</vt:i4>
      </vt:variant>
      <vt:variant>
        <vt:i4>2442</vt:i4>
      </vt:variant>
      <vt:variant>
        <vt:i4>0</vt:i4>
      </vt:variant>
      <vt:variant>
        <vt:i4>5</vt:i4>
      </vt:variant>
      <vt:variant>
        <vt:lpwstr/>
      </vt:variant>
      <vt:variant>
        <vt:lpwstr>_ENREF_353</vt:lpwstr>
      </vt:variant>
      <vt:variant>
        <vt:i4>7667771</vt:i4>
      </vt:variant>
      <vt:variant>
        <vt:i4>2439</vt:i4>
      </vt:variant>
      <vt:variant>
        <vt:i4>0</vt:i4>
      </vt:variant>
      <vt:variant>
        <vt:i4>5</vt:i4>
      </vt:variant>
      <vt:variant>
        <vt:lpwstr/>
      </vt:variant>
      <vt:variant>
        <vt:lpwstr>_ENREF_307</vt:lpwstr>
      </vt:variant>
      <vt:variant>
        <vt:i4>7340094</vt:i4>
      </vt:variant>
      <vt:variant>
        <vt:i4>2431</vt:i4>
      </vt:variant>
      <vt:variant>
        <vt:i4>0</vt:i4>
      </vt:variant>
      <vt:variant>
        <vt:i4>5</vt:i4>
      </vt:variant>
      <vt:variant>
        <vt:lpwstr/>
      </vt:variant>
      <vt:variant>
        <vt:lpwstr>_ENREF_253</vt:lpwstr>
      </vt:variant>
      <vt:variant>
        <vt:i4>7798846</vt:i4>
      </vt:variant>
      <vt:variant>
        <vt:i4>2425</vt:i4>
      </vt:variant>
      <vt:variant>
        <vt:i4>0</vt:i4>
      </vt:variant>
      <vt:variant>
        <vt:i4>5</vt:i4>
      </vt:variant>
      <vt:variant>
        <vt:lpwstr/>
      </vt:variant>
      <vt:variant>
        <vt:lpwstr>_ENREF_157</vt:lpwstr>
      </vt:variant>
      <vt:variant>
        <vt:i4>4194315</vt:i4>
      </vt:variant>
      <vt:variant>
        <vt:i4>2422</vt:i4>
      </vt:variant>
      <vt:variant>
        <vt:i4>0</vt:i4>
      </vt:variant>
      <vt:variant>
        <vt:i4>5</vt:i4>
      </vt:variant>
      <vt:variant>
        <vt:lpwstr/>
      </vt:variant>
      <vt:variant>
        <vt:lpwstr>_ENREF_1</vt:lpwstr>
      </vt:variant>
      <vt:variant>
        <vt:i4>7667770</vt:i4>
      </vt:variant>
      <vt:variant>
        <vt:i4>2414</vt:i4>
      </vt:variant>
      <vt:variant>
        <vt:i4>0</vt:i4>
      </vt:variant>
      <vt:variant>
        <vt:i4>5</vt:i4>
      </vt:variant>
      <vt:variant>
        <vt:lpwstr/>
      </vt:variant>
      <vt:variant>
        <vt:lpwstr>_ENREF_216</vt:lpwstr>
      </vt:variant>
      <vt:variant>
        <vt:i4>4521995</vt:i4>
      </vt:variant>
      <vt:variant>
        <vt:i4>2411</vt:i4>
      </vt:variant>
      <vt:variant>
        <vt:i4>0</vt:i4>
      </vt:variant>
      <vt:variant>
        <vt:i4>5</vt:i4>
      </vt:variant>
      <vt:variant>
        <vt:lpwstr/>
      </vt:variant>
      <vt:variant>
        <vt:lpwstr>_ENREF_42</vt:lpwstr>
      </vt:variant>
      <vt:variant>
        <vt:i4>4390923</vt:i4>
      </vt:variant>
      <vt:variant>
        <vt:i4>2408</vt:i4>
      </vt:variant>
      <vt:variant>
        <vt:i4>0</vt:i4>
      </vt:variant>
      <vt:variant>
        <vt:i4>5</vt:i4>
      </vt:variant>
      <vt:variant>
        <vt:lpwstr/>
      </vt:variant>
      <vt:variant>
        <vt:lpwstr>_ENREF_26</vt:lpwstr>
      </vt:variant>
      <vt:variant>
        <vt:i4>4194315</vt:i4>
      </vt:variant>
      <vt:variant>
        <vt:i4>2405</vt:i4>
      </vt:variant>
      <vt:variant>
        <vt:i4>0</vt:i4>
      </vt:variant>
      <vt:variant>
        <vt:i4>5</vt:i4>
      </vt:variant>
      <vt:variant>
        <vt:lpwstr/>
      </vt:variant>
      <vt:variant>
        <vt:lpwstr>_ENREF_1</vt:lpwstr>
      </vt:variant>
      <vt:variant>
        <vt:i4>7536703</vt:i4>
      </vt:variant>
      <vt:variant>
        <vt:i4>2397</vt:i4>
      </vt:variant>
      <vt:variant>
        <vt:i4>0</vt:i4>
      </vt:variant>
      <vt:variant>
        <vt:i4>5</vt:i4>
      </vt:variant>
      <vt:variant>
        <vt:lpwstr/>
      </vt:variant>
      <vt:variant>
        <vt:lpwstr>_ENREF_341</vt:lpwstr>
      </vt:variant>
      <vt:variant>
        <vt:i4>4456459</vt:i4>
      </vt:variant>
      <vt:variant>
        <vt:i4>2391</vt:i4>
      </vt:variant>
      <vt:variant>
        <vt:i4>0</vt:i4>
      </vt:variant>
      <vt:variant>
        <vt:i4>5</vt:i4>
      </vt:variant>
      <vt:variant>
        <vt:lpwstr/>
      </vt:variant>
      <vt:variant>
        <vt:lpwstr>_ENREF_56</vt:lpwstr>
      </vt:variant>
      <vt:variant>
        <vt:i4>7798847</vt:i4>
      </vt:variant>
      <vt:variant>
        <vt:i4>2383</vt:i4>
      </vt:variant>
      <vt:variant>
        <vt:i4>0</vt:i4>
      </vt:variant>
      <vt:variant>
        <vt:i4>5</vt:i4>
      </vt:variant>
      <vt:variant>
        <vt:lpwstr/>
      </vt:variant>
      <vt:variant>
        <vt:lpwstr>_ENREF_244</vt:lpwstr>
      </vt:variant>
      <vt:variant>
        <vt:i4>4784139</vt:i4>
      </vt:variant>
      <vt:variant>
        <vt:i4>2379</vt:i4>
      </vt:variant>
      <vt:variant>
        <vt:i4>0</vt:i4>
      </vt:variant>
      <vt:variant>
        <vt:i4>5</vt:i4>
      </vt:variant>
      <vt:variant>
        <vt:lpwstr/>
      </vt:variant>
      <vt:variant>
        <vt:lpwstr>_ENREF_85</vt:lpwstr>
      </vt:variant>
      <vt:variant>
        <vt:i4>7864381</vt:i4>
      </vt:variant>
      <vt:variant>
        <vt:i4>2373</vt:i4>
      </vt:variant>
      <vt:variant>
        <vt:i4>0</vt:i4>
      </vt:variant>
      <vt:variant>
        <vt:i4>5</vt:i4>
      </vt:variant>
      <vt:variant>
        <vt:lpwstr/>
      </vt:variant>
      <vt:variant>
        <vt:lpwstr>_ENREF_168</vt:lpwstr>
      </vt:variant>
      <vt:variant>
        <vt:i4>7536698</vt:i4>
      </vt:variant>
      <vt:variant>
        <vt:i4>2367</vt:i4>
      </vt:variant>
      <vt:variant>
        <vt:i4>0</vt:i4>
      </vt:variant>
      <vt:variant>
        <vt:i4>5</vt:i4>
      </vt:variant>
      <vt:variant>
        <vt:lpwstr/>
      </vt:variant>
      <vt:variant>
        <vt:lpwstr>_ENREF_210</vt:lpwstr>
      </vt:variant>
      <vt:variant>
        <vt:i4>7536698</vt:i4>
      </vt:variant>
      <vt:variant>
        <vt:i4>2361</vt:i4>
      </vt:variant>
      <vt:variant>
        <vt:i4>0</vt:i4>
      </vt:variant>
      <vt:variant>
        <vt:i4>5</vt:i4>
      </vt:variant>
      <vt:variant>
        <vt:lpwstr/>
      </vt:variant>
      <vt:variant>
        <vt:lpwstr>_ENREF_210</vt:lpwstr>
      </vt:variant>
      <vt:variant>
        <vt:i4>4390923</vt:i4>
      </vt:variant>
      <vt:variant>
        <vt:i4>2358</vt:i4>
      </vt:variant>
      <vt:variant>
        <vt:i4>0</vt:i4>
      </vt:variant>
      <vt:variant>
        <vt:i4>5</vt:i4>
      </vt:variant>
      <vt:variant>
        <vt:lpwstr/>
      </vt:variant>
      <vt:variant>
        <vt:lpwstr>_ENREF_29</vt:lpwstr>
      </vt:variant>
      <vt:variant>
        <vt:i4>7536698</vt:i4>
      </vt:variant>
      <vt:variant>
        <vt:i4>2350</vt:i4>
      </vt:variant>
      <vt:variant>
        <vt:i4>0</vt:i4>
      </vt:variant>
      <vt:variant>
        <vt:i4>5</vt:i4>
      </vt:variant>
      <vt:variant>
        <vt:lpwstr/>
      </vt:variant>
      <vt:variant>
        <vt:lpwstr>_ENREF_210</vt:lpwstr>
      </vt:variant>
      <vt:variant>
        <vt:i4>4784139</vt:i4>
      </vt:variant>
      <vt:variant>
        <vt:i4>2344</vt:i4>
      </vt:variant>
      <vt:variant>
        <vt:i4>0</vt:i4>
      </vt:variant>
      <vt:variant>
        <vt:i4>5</vt:i4>
      </vt:variant>
      <vt:variant>
        <vt:lpwstr/>
      </vt:variant>
      <vt:variant>
        <vt:lpwstr>_ENREF_85</vt:lpwstr>
      </vt:variant>
      <vt:variant>
        <vt:i4>4784139</vt:i4>
      </vt:variant>
      <vt:variant>
        <vt:i4>2338</vt:i4>
      </vt:variant>
      <vt:variant>
        <vt:i4>0</vt:i4>
      </vt:variant>
      <vt:variant>
        <vt:i4>5</vt:i4>
      </vt:variant>
      <vt:variant>
        <vt:lpwstr/>
      </vt:variant>
      <vt:variant>
        <vt:lpwstr>_ENREF_87</vt:lpwstr>
      </vt:variant>
      <vt:variant>
        <vt:i4>4390923</vt:i4>
      </vt:variant>
      <vt:variant>
        <vt:i4>2330</vt:i4>
      </vt:variant>
      <vt:variant>
        <vt:i4>0</vt:i4>
      </vt:variant>
      <vt:variant>
        <vt:i4>5</vt:i4>
      </vt:variant>
      <vt:variant>
        <vt:lpwstr/>
      </vt:variant>
      <vt:variant>
        <vt:lpwstr>_ENREF_24</vt:lpwstr>
      </vt:variant>
      <vt:variant>
        <vt:i4>7471163</vt:i4>
      </vt:variant>
      <vt:variant>
        <vt:i4>2326</vt:i4>
      </vt:variant>
      <vt:variant>
        <vt:i4>0</vt:i4>
      </vt:variant>
      <vt:variant>
        <vt:i4>5</vt:i4>
      </vt:variant>
      <vt:variant>
        <vt:lpwstr/>
      </vt:variant>
      <vt:variant>
        <vt:lpwstr>_ENREF_201</vt:lpwstr>
      </vt:variant>
      <vt:variant>
        <vt:i4>4194315</vt:i4>
      </vt:variant>
      <vt:variant>
        <vt:i4>2323</vt:i4>
      </vt:variant>
      <vt:variant>
        <vt:i4>0</vt:i4>
      </vt:variant>
      <vt:variant>
        <vt:i4>5</vt:i4>
      </vt:variant>
      <vt:variant>
        <vt:lpwstr/>
      </vt:variant>
      <vt:variant>
        <vt:lpwstr>_ENREF_13</vt:lpwstr>
      </vt:variant>
      <vt:variant>
        <vt:i4>7405631</vt:i4>
      </vt:variant>
      <vt:variant>
        <vt:i4>2315</vt:i4>
      </vt:variant>
      <vt:variant>
        <vt:i4>0</vt:i4>
      </vt:variant>
      <vt:variant>
        <vt:i4>5</vt:i4>
      </vt:variant>
      <vt:variant>
        <vt:lpwstr/>
      </vt:variant>
      <vt:variant>
        <vt:lpwstr>_ENREF_343</vt:lpwstr>
      </vt:variant>
      <vt:variant>
        <vt:i4>4194315</vt:i4>
      </vt:variant>
      <vt:variant>
        <vt:i4>2312</vt:i4>
      </vt:variant>
      <vt:variant>
        <vt:i4>0</vt:i4>
      </vt:variant>
      <vt:variant>
        <vt:i4>5</vt:i4>
      </vt:variant>
      <vt:variant>
        <vt:lpwstr/>
      </vt:variant>
      <vt:variant>
        <vt:lpwstr>_ENREF_17</vt:lpwstr>
      </vt:variant>
      <vt:variant>
        <vt:i4>7340082</vt:i4>
      </vt:variant>
      <vt:variant>
        <vt:i4>2304</vt:i4>
      </vt:variant>
      <vt:variant>
        <vt:i4>0</vt:i4>
      </vt:variant>
      <vt:variant>
        <vt:i4>5</vt:i4>
      </vt:variant>
      <vt:variant>
        <vt:lpwstr/>
      </vt:variant>
      <vt:variant>
        <vt:lpwstr>_ENREF_293</vt:lpwstr>
      </vt:variant>
      <vt:variant>
        <vt:i4>7733299</vt:i4>
      </vt:variant>
      <vt:variant>
        <vt:i4>2301</vt:i4>
      </vt:variant>
      <vt:variant>
        <vt:i4>0</vt:i4>
      </vt:variant>
      <vt:variant>
        <vt:i4>5</vt:i4>
      </vt:variant>
      <vt:variant>
        <vt:lpwstr/>
      </vt:variant>
      <vt:variant>
        <vt:lpwstr>_ENREF_285</vt:lpwstr>
      </vt:variant>
      <vt:variant>
        <vt:i4>7667773</vt:i4>
      </vt:variant>
      <vt:variant>
        <vt:i4>2293</vt:i4>
      </vt:variant>
      <vt:variant>
        <vt:i4>0</vt:i4>
      </vt:variant>
      <vt:variant>
        <vt:i4>5</vt:i4>
      </vt:variant>
      <vt:variant>
        <vt:lpwstr/>
      </vt:variant>
      <vt:variant>
        <vt:lpwstr>_ENREF_266</vt:lpwstr>
      </vt:variant>
      <vt:variant>
        <vt:i4>7602235</vt:i4>
      </vt:variant>
      <vt:variant>
        <vt:i4>2287</vt:i4>
      </vt:variant>
      <vt:variant>
        <vt:i4>0</vt:i4>
      </vt:variant>
      <vt:variant>
        <vt:i4>5</vt:i4>
      </vt:variant>
      <vt:variant>
        <vt:lpwstr/>
      </vt:variant>
      <vt:variant>
        <vt:lpwstr>_ENREF_306</vt:lpwstr>
      </vt:variant>
      <vt:variant>
        <vt:i4>7667773</vt:i4>
      </vt:variant>
      <vt:variant>
        <vt:i4>2284</vt:i4>
      </vt:variant>
      <vt:variant>
        <vt:i4>0</vt:i4>
      </vt:variant>
      <vt:variant>
        <vt:i4>5</vt:i4>
      </vt:variant>
      <vt:variant>
        <vt:lpwstr/>
      </vt:variant>
      <vt:variant>
        <vt:lpwstr>_ENREF_266</vt:lpwstr>
      </vt:variant>
      <vt:variant>
        <vt:i4>7667762</vt:i4>
      </vt:variant>
      <vt:variant>
        <vt:i4>2276</vt:i4>
      </vt:variant>
      <vt:variant>
        <vt:i4>0</vt:i4>
      </vt:variant>
      <vt:variant>
        <vt:i4>5</vt:i4>
      </vt:variant>
      <vt:variant>
        <vt:lpwstr/>
      </vt:variant>
      <vt:variant>
        <vt:lpwstr>_ENREF_296</vt:lpwstr>
      </vt:variant>
      <vt:variant>
        <vt:i4>7602237</vt:i4>
      </vt:variant>
      <vt:variant>
        <vt:i4>2273</vt:i4>
      </vt:variant>
      <vt:variant>
        <vt:i4>0</vt:i4>
      </vt:variant>
      <vt:variant>
        <vt:i4>5</vt:i4>
      </vt:variant>
      <vt:variant>
        <vt:lpwstr/>
      </vt:variant>
      <vt:variant>
        <vt:lpwstr>_ENREF_267</vt:lpwstr>
      </vt:variant>
      <vt:variant>
        <vt:i4>4784139</vt:i4>
      </vt:variant>
      <vt:variant>
        <vt:i4>2270</vt:i4>
      </vt:variant>
      <vt:variant>
        <vt:i4>0</vt:i4>
      </vt:variant>
      <vt:variant>
        <vt:i4>5</vt:i4>
      </vt:variant>
      <vt:variant>
        <vt:lpwstr/>
      </vt:variant>
      <vt:variant>
        <vt:lpwstr>_ENREF_85</vt:lpwstr>
      </vt:variant>
      <vt:variant>
        <vt:i4>4390923</vt:i4>
      </vt:variant>
      <vt:variant>
        <vt:i4>2260</vt:i4>
      </vt:variant>
      <vt:variant>
        <vt:i4>0</vt:i4>
      </vt:variant>
      <vt:variant>
        <vt:i4>5</vt:i4>
      </vt:variant>
      <vt:variant>
        <vt:lpwstr/>
      </vt:variant>
      <vt:variant>
        <vt:lpwstr>_ENREF_25</vt:lpwstr>
      </vt:variant>
      <vt:variant>
        <vt:i4>7995452</vt:i4>
      </vt:variant>
      <vt:variant>
        <vt:i4>2250</vt:i4>
      </vt:variant>
      <vt:variant>
        <vt:i4>0</vt:i4>
      </vt:variant>
      <vt:variant>
        <vt:i4>5</vt:i4>
      </vt:variant>
      <vt:variant>
        <vt:lpwstr/>
      </vt:variant>
      <vt:variant>
        <vt:lpwstr>_ENREF_279</vt:lpwstr>
      </vt:variant>
      <vt:variant>
        <vt:i4>4390923</vt:i4>
      </vt:variant>
      <vt:variant>
        <vt:i4>2239</vt:i4>
      </vt:variant>
      <vt:variant>
        <vt:i4>0</vt:i4>
      </vt:variant>
      <vt:variant>
        <vt:i4>5</vt:i4>
      </vt:variant>
      <vt:variant>
        <vt:lpwstr/>
      </vt:variant>
      <vt:variant>
        <vt:lpwstr>_ENREF_24</vt:lpwstr>
      </vt:variant>
      <vt:variant>
        <vt:i4>7733298</vt:i4>
      </vt:variant>
      <vt:variant>
        <vt:i4>2233</vt:i4>
      </vt:variant>
      <vt:variant>
        <vt:i4>0</vt:i4>
      </vt:variant>
      <vt:variant>
        <vt:i4>5</vt:i4>
      </vt:variant>
      <vt:variant>
        <vt:lpwstr/>
      </vt:variant>
      <vt:variant>
        <vt:lpwstr>_ENREF_295</vt:lpwstr>
      </vt:variant>
      <vt:variant>
        <vt:i4>7798834</vt:i4>
      </vt:variant>
      <vt:variant>
        <vt:i4>2223</vt:i4>
      </vt:variant>
      <vt:variant>
        <vt:i4>0</vt:i4>
      </vt:variant>
      <vt:variant>
        <vt:i4>5</vt:i4>
      </vt:variant>
      <vt:variant>
        <vt:lpwstr/>
      </vt:variant>
      <vt:variant>
        <vt:lpwstr>_ENREF_294</vt:lpwstr>
      </vt:variant>
      <vt:variant>
        <vt:i4>7798834</vt:i4>
      </vt:variant>
      <vt:variant>
        <vt:i4>2214</vt:i4>
      </vt:variant>
      <vt:variant>
        <vt:i4>0</vt:i4>
      </vt:variant>
      <vt:variant>
        <vt:i4>5</vt:i4>
      </vt:variant>
      <vt:variant>
        <vt:lpwstr/>
      </vt:variant>
      <vt:variant>
        <vt:lpwstr>_ENREF_294</vt:lpwstr>
      </vt:variant>
      <vt:variant>
        <vt:i4>7405619</vt:i4>
      </vt:variant>
      <vt:variant>
        <vt:i4>2206</vt:i4>
      </vt:variant>
      <vt:variant>
        <vt:i4>0</vt:i4>
      </vt:variant>
      <vt:variant>
        <vt:i4>5</vt:i4>
      </vt:variant>
      <vt:variant>
        <vt:lpwstr/>
      </vt:variant>
      <vt:variant>
        <vt:lpwstr>_ENREF_282</vt:lpwstr>
      </vt:variant>
      <vt:variant>
        <vt:i4>7471162</vt:i4>
      </vt:variant>
      <vt:variant>
        <vt:i4>2193</vt:i4>
      </vt:variant>
      <vt:variant>
        <vt:i4>0</vt:i4>
      </vt:variant>
      <vt:variant>
        <vt:i4>5</vt:i4>
      </vt:variant>
      <vt:variant>
        <vt:lpwstr/>
      </vt:variant>
      <vt:variant>
        <vt:lpwstr>_ENREF_112</vt:lpwstr>
      </vt:variant>
      <vt:variant>
        <vt:i4>4456459</vt:i4>
      </vt:variant>
      <vt:variant>
        <vt:i4>2190</vt:i4>
      </vt:variant>
      <vt:variant>
        <vt:i4>0</vt:i4>
      </vt:variant>
      <vt:variant>
        <vt:i4>5</vt:i4>
      </vt:variant>
      <vt:variant>
        <vt:lpwstr/>
      </vt:variant>
      <vt:variant>
        <vt:lpwstr>_ENREF_56</vt:lpwstr>
      </vt:variant>
      <vt:variant>
        <vt:i4>8060988</vt:i4>
      </vt:variant>
      <vt:variant>
        <vt:i4>2182</vt:i4>
      </vt:variant>
      <vt:variant>
        <vt:i4>0</vt:i4>
      </vt:variant>
      <vt:variant>
        <vt:i4>5</vt:i4>
      </vt:variant>
      <vt:variant>
        <vt:lpwstr/>
      </vt:variant>
      <vt:variant>
        <vt:lpwstr>_ENREF_278</vt:lpwstr>
      </vt:variant>
      <vt:variant>
        <vt:i4>7733298</vt:i4>
      </vt:variant>
      <vt:variant>
        <vt:i4>2176</vt:i4>
      </vt:variant>
      <vt:variant>
        <vt:i4>0</vt:i4>
      </vt:variant>
      <vt:variant>
        <vt:i4>5</vt:i4>
      </vt:variant>
      <vt:variant>
        <vt:lpwstr/>
      </vt:variant>
      <vt:variant>
        <vt:lpwstr>_ENREF_295</vt:lpwstr>
      </vt:variant>
      <vt:variant>
        <vt:i4>7667772</vt:i4>
      </vt:variant>
      <vt:variant>
        <vt:i4>2170</vt:i4>
      </vt:variant>
      <vt:variant>
        <vt:i4>0</vt:i4>
      </vt:variant>
      <vt:variant>
        <vt:i4>5</vt:i4>
      </vt:variant>
      <vt:variant>
        <vt:lpwstr/>
      </vt:variant>
      <vt:variant>
        <vt:lpwstr>_ENREF_276</vt:lpwstr>
      </vt:variant>
      <vt:variant>
        <vt:i4>7667773</vt:i4>
      </vt:variant>
      <vt:variant>
        <vt:i4>2167</vt:i4>
      </vt:variant>
      <vt:variant>
        <vt:i4>0</vt:i4>
      </vt:variant>
      <vt:variant>
        <vt:i4>5</vt:i4>
      </vt:variant>
      <vt:variant>
        <vt:lpwstr/>
      </vt:variant>
      <vt:variant>
        <vt:lpwstr>_ENREF_165</vt:lpwstr>
      </vt:variant>
      <vt:variant>
        <vt:i4>7798842</vt:i4>
      </vt:variant>
      <vt:variant>
        <vt:i4>2159</vt:i4>
      </vt:variant>
      <vt:variant>
        <vt:i4>0</vt:i4>
      </vt:variant>
      <vt:variant>
        <vt:i4>5</vt:i4>
      </vt:variant>
      <vt:variant>
        <vt:lpwstr/>
      </vt:variant>
      <vt:variant>
        <vt:lpwstr>_ENREF_117</vt:lpwstr>
      </vt:variant>
      <vt:variant>
        <vt:i4>7798842</vt:i4>
      </vt:variant>
      <vt:variant>
        <vt:i4>2153</vt:i4>
      </vt:variant>
      <vt:variant>
        <vt:i4>0</vt:i4>
      </vt:variant>
      <vt:variant>
        <vt:i4>5</vt:i4>
      </vt:variant>
      <vt:variant>
        <vt:lpwstr/>
      </vt:variant>
      <vt:variant>
        <vt:lpwstr>_ENREF_117</vt:lpwstr>
      </vt:variant>
      <vt:variant>
        <vt:i4>7798842</vt:i4>
      </vt:variant>
      <vt:variant>
        <vt:i4>2147</vt:i4>
      </vt:variant>
      <vt:variant>
        <vt:i4>0</vt:i4>
      </vt:variant>
      <vt:variant>
        <vt:i4>5</vt:i4>
      </vt:variant>
      <vt:variant>
        <vt:lpwstr/>
      </vt:variant>
      <vt:variant>
        <vt:lpwstr>_ENREF_214</vt:lpwstr>
      </vt:variant>
      <vt:variant>
        <vt:i4>4718603</vt:i4>
      </vt:variant>
      <vt:variant>
        <vt:i4>2144</vt:i4>
      </vt:variant>
      <vt:variant>
        <vt:i4>0</vt:i4>
      </vt:variant>
      <vt:variant>
        <vt:i4>5</vt:i4>
      </vt:variant>
      <vt:variant>
        <vt:lpwstr/>
      </vt:variant>
      <vt:variant>
        <vt:lpwstr>_ENREF_96</vt:lpwstr>
      </vt:variant>
      <vt:variant>
        <vt:i4>4390923</vt:i4>
      </vt:variant>
      <vt:variant>
        <vt:i4>2136</vt:i4>
      </vt:variant>
      <vt:variant>
        <vt:i4>0</vt:i4>
      </vt:variant>
      <vt:variant>
        <vt:i4>5</vt:i4>
      </vt:variant>
      <vt:variant>
        <vt:lpwstr/>
      </vt:variant>
      <vt:variant>
        <vt:lpwstr>_ENREF_24</vt:lpwstr>
      </vt:variant>
      <vt:variant>
        <vt:i4>7733308</vt:i4>
      </vt:variant>
      <vt:variant>
        <vt:i4>2130</vt:i4>
      </vt:variant>
      <vt:variant>
        <vt:i4>0</vt:i4>
      </vt:variant>
      <vt:variant>
        <vt:i4>5</vt:i4>
      </vt:variant>
      <vt:variant>
        <vt:lpwstr/>
      </vt:variant>
      <vt:variant>
        <vt:lpwstr>_ENREF_275</vt:lpwstr>
      </vt:variant>
      <vt:variant>
        <vt:i4>7667773</vt:i4>
      </vt:variant>
      <vt:variant>
        <vt:i4>2127</vt:i4>
      </vt:variant>
      <vt:variant>
        <vt:i4>0</vt:i4>
      </vt:variant>
      <vt:variant>
        <vt:i4>5</vt:i4>
      </vt:variant>
      <vt:variant>
        <vt:lpwstr/>
      </vt:variant>
      <vt:variant>
        <vt:lpwstr>_ENREF_165</vt:lpwstr>
      </vt:variant>
      <vt:variant>
        <vt:i4>7340094</vt:i4>
      </vt:variant>
      <vt:variant>
        <vt:i4>2124</vt:i4>
      </vt:variant>
      <vt:variant>
        <vt:i4>0</vt:i4>
      </vt:variant>
      <vt:variant>
        <vt:i4>5</vt:i4>
      </vt:variant>
      <vt:variant>
        <vt:lpwstr/>
      </vt:variant>
      <vt:variant>
        <vt:lpwstr>_ENREF_150</vt:lpwstr>
      </vt:variant>
      <vt:variant>
        <vt:i4>7602239</vt:i4>
      </vt:variant>
      <vt:variant>
        <vt:i4>2121</vt:i4>
      </vt:variant>
      <vt:variant>
        <vt:i4>0</vt:i4>
      </vt:variant>
      <vt:variant>
        <vt:i4>5</vt:i4>
      </vt:variant>
      <vt:variant>
        <vt:lpwstr/>
      </vt:variant>
      <vt:variant>
        <vt:lpwstr>_ENREF_144</vt:lpwstr>
      </vt:variant>
      <vt:variant>
        <vt:i4>7798842</vt:i4>
      </vt:variant>
      <vt:variant>
        <vt:i4>2118</vt:i4>
      </vt:variant>
      <vt:variant>
        <vt:i4>0</vt:i4>
      </vt:variant>
      <vt:variant>
        <vt:i4>5</vt:i4>
      </vt:variant>
      <vt:variant>
        <vt:lpwstr/>
      </vt:variant>
      <vt:variant>
        <vt:lpwstr>_ENREF_117</vt:lpwstr>
      </vt:variant>
      <vt:variant>
        <vt:i4>7667770</vt:i4>
      </vt:variant>
      <vt:variant>
        <vt:i4>2115</vt:i4>
      </vt:variant>
      <vt:variant>
        <vt:i4>0</vt:i4>
      </vt:variant>
      <vt:variant>
        <vt:i4>5</vt:i4>
      </vt:variant>
      <vt:variant>
        <vt:lpwstr/>
      </vt:variant>
      <vt:variant>
        <vt:lpwstr>_ENREF_115</vt:lpwstr>
      </vt:variant>
      <vt:variant>
        <vt:i4>7602234</vt:i4>
      </vt:variant>
      <vt:variant>
        <vt:i4>2112</vt:i4>
      </vt:variant>
      <vt:variant>
        <vt:i4>0</vt:i4>
      </vt:variant>
      <vt:variant>
        <vt:i4>5</vt:i4>
      </vt:variant>
      <vt:variant>
        <vt:lpwstr/>
      </vt:variant>
      <vt:variant>
        <vt:lpwstr>_ENREF_114</vt:lpwstr>
      </vt:variant>
      <vt:variant>
        <vt:i4>7536698</vt:i4>
      </vt:variant>
      <vt:variant>
        <vt:i4>2109</vt:i4>
      </vt:variant>
      <vt:variant>
        <vt:i4>0</vt:i4>
      </vt:variant>
      <vt:variant>
        <vt:i4>5</vt:i4>
      </vt:variant>
      <vt:variant>
        <vt:lpwstr/>
      </vt:variant>
      <vt:variant>
        <vt:lpwstr>_ENREF_113</vt:lpwstr>
      </vt:variant>
      <vt:variant>
        <vt:i4>7929915</vt:i4>
      </vt:variant>
      <vt:variant>
        <vt:i4>2106</vt:i4>
      </vt:variant>
      <vt:variant>
        <vt:i4>0</vt:i4>
      </vt:variant>
      <vt:variant>
        <vt:i4>5</vt:i4>
      </vt:variant>
      <vt:variant>
        <vt:lpwstr/>
      </vt:variant>
      <vt:variant>
        <vt:lpwstr>_ENREF_109</vt:lpwstr>
      </vt:variant>
      <vt:variant>
        <vt:i4>4718603</vt:i4>
      </vt:variant>
      <vt:variant>
        <vt:i4>2103</vt:i4>
      </vt:variant>
      <vt:variant>
        <vt:i4>0</vt:i4>
      </vt:variant>
      <vt:variant>
        <vt:i4>5</vt:i4>
      </vt:variant>
      <vt:variant>
        <vt:lpwstr/>
      </vt:variant>
      <vt:variant>
        <vt:lpwstr>_ENREF_96</vt:lpwstr>
      </vt:variant>
      <vt:variant>
        <vt:i4>4784139</vt:i4>
      </vt:variant>
      <vt:variant>
        <vt:i4>2093</vt:i4>
      </vt:variant>
      <vt:variant>
        <vt:i4>0</vt:i4>
      </vt:variant>
      <vt:variant>
        <vt:i4>5</vt:i4>
      </vt:variant>
      <vt:variant>
        <vt:lpwstr/>
      </vt:variant>
      <vt:variant>
        <vt:lpwstr>_ENREF_85</vt:lpwstr>
      </vt:variant>
      <vt:variant>
        <vt:i4>7340083</vt:i4>
      </vt:variant>
      <vt:variant>
        <vt:i4>2083</vt:i4>
      </vt:variant>
      <vt:variant>
        <vt:i4>0</vt:i4>
      </vt:variant>
      <vt:variant>
        <vt:i4>5</vt:i4>
      </vt:variant>
      <vt:variant>
        <vt:lpwstr/>
      </vt:variant>
      <vt:variant>
        <vt:lpwstr>_ENREF_283</vt:lpwstr>
      </vt:variant>
      <vt:variant>
        <vt:i4>4784139</vt:i4>
      </vt:variant>
      <vt:variant>
        <vt:i4>2080</vt:i4>
      </vt:variant>
      <vt:variant>
        <vt:i4>0</vt:i4>
      </vt:variant>
      <vt:variant>
        <vt:i4>5</vt:i4>
      </vt:variant>
      <vt:variant>
        <vt:lpwstr/>
      </vt:variant>
      <vt:variant>
        <vt:lpwstr>_ENREF_84</vt:lpwstr>
      </vt:variant>
      <vt:variant>
        <vt:i4>4390923</vt:i4>
      </vt:variant>
      <vt:variant>
        <vt:i4>2077</vt:i4>
      </vt:variant>
      <vt:variant>
        <vt:i4>0</vt:i4>
      </vt:variant>
      <vt:variant>
        <vt:i4>5</vt:i4>
      </vt:variant>
      <vt:variant>
        <vt:lpwstr/>
      </vt:variant>
      <vt:variant>
        <vt:lpwstr>_ENREF_24</vt:lpwstr>
      </vt:variant>
      <vt:variant>
        <vt:i4>4784139</vt:i4>
      </vt:variant>
      <vt:variant>
        <vt:i4>2064</vt:i4>
      </vt:variant>
      <vt:variant>
        <vt:i4>0</vt:i4>
      </vt:variant>
      <vt:variant>
        <vt:i4>5</vt:i4>
      </vt:variant>
      <vt:variant>
        <vt:lpwstr/>
      </vt:variant>
      <vt:variant>
        <vt:lpwstr>_ENREF_85</vt:lpwstr>
      </vt:variant>
      <vt:variant>
        <vt:i4>4390923</vt:i4>
      </vt:variant>
      <vt:variant>
        <vt:i4>2058</vt:i4>
      </vt:variant>
      <vt:variant>
        <vt:i4>0</vt:i4>
      </vt:variant>
      <vt:variant>
        <vt:i4>5</vt:i4>
      </vt:variant>
      <vt:variant>
        <vt:lpwstr/>
      </vt:variant>
      <vt:variant>
        <vt:lpwstr>_ENREF_24</vt:lpwstr>
      </vt:variant>
      <vt:variant>
        <vt:i4>7405619</vt:i4>
      </vt:variant>
      <vt:variant>
        <vt:i4>2048</vt:i4>
      </vt:variant>
      <vt:variant>
        <vt:i4>0</vt:i4>
      </vt:variant>
      <vt:variant>
        <vt:i4>5</vt:i4>
      </vt:variant>
      <vt:variant>
        <vt:lpwstr/>
      </vt:variant>
      <vt:variant>
        <vt:lpwstr>_ENREF_282</vt:lpwstr>
      </vt:variant>
      <vt:variant>
        <vt:i4>4784139</vt:i4>
      </vt:variant>
      <vt:variant>
        <vt:i4>2040</vt:i4>
      </vt:variant>
      <vt:variant>
        <vt:i4>0</vt:i4>
      </vt:variant>
      <vt:variant>
        <vt:i4>5</vt:i4>
      </vt:variant>
      <vt:variant>
        <vt:lpwstr/>
      </vt:variant>
      <vt:variant>
        <vt:lpwstr>_ENREF_84</vt:lpwstr>
      </vt:variant>
      <vt:variant>
        <vt:i4>4390923</vt:i4>
      </vt:variant>
      <vt:variant>
        <vt:i4>2033</vt:i4>
      </vt:variant>
      <vt:variant>
        <vt:i4>0</vt:i4>
      </vt:variant>
      <vt:variant>
        <vt:i4>5</vt:i4>
      </vt:variant>
      <vt:variant>
        <vt:lpwstr/>
      </vt:variant>
      <vt:variant>
        <vt:lpwstr>_ENREF_24</vt:lpwstr>
      </vt:variant>
      <vt:variant>
        <vt:i4>8060988</vt:i4>
      </vt:variant>
      <vt:variant>
        <vt:i4>2027</vt:i4>
      </vt:variant>
      <vt:variant>
        <vt:i4>0</vt:i4>
      </vt:variant>
      <vt:variant>
        <vt:i4>5</vt:i4>
      </vt:variant>
      <vt:variant>
        <vt:lpwstr/>
      </vt:variant>
      <vt:variant>
        <vt:lpwstr>_ENREF_278</vt:lpwstr>
      </vt:variant>
      <vt:variant>
        <vt:i4>7733298</vt:i4>
      </vt:variant>
      <vt:variant>
        <vt:i4>2021</vt:i4>
      </vt:variant>
      <vt:variant>
        <vt:i4>0</vt:i4>
      </vt:variant>
      <vt:variant>
        <vt:i4>5</vt:i4>
      </vt:variant>
      <vt:variant>
        <vt:lpwstr/>
      </vt:variant>
      <vt:variant>
        <vt:lpwstr>_ENREF_295</vt:lpwstr>
      </vt:variant>
      <vt:variant>
        <vt:i4>4194315</vt:i4>
      </vt:variant>
      <vt:variant>
        <vt:i4>2015</vt:i4>
      </vt:variant>
      <vt:variant>
        <vt:i4>0</vt:i4>
      </vt:variant>
      <vt:variant>
        <vt:i4>5</vt:i4>
      </vt:variant>
      <vt:variant>
        <vt:lpwstr/>
      </vt:variant>
      <vt:variant>
        <vt:lpwstr>_ENREF_13</vt:lpwstr>
      </vt:variant>
      <vt:variant>
        <vt:i4>4194315</vt:i4>
      </vt:variant>
      <vt:variant>
        <vt:i4>2009</vt:i4>
      </vt:variant>
      <vt:variant>
        <vt:i4>0</vt:i4>
      </vt:variant>
      <vt:variant>
        <vt:i4>5</vt:i4>
      </vt:variant>
      <vt:variant>
        <vt:lpwstr/>
      </vt:variant>
      <vt:variant>
        <vt:lpwstr>_ENREF_13</vt:lpwstr>
      </vt:variant>
      <vt:variant>
        <vt:i4>4194315</vt:i4>
      </vt:variant>
      <vt:variant>
        <vt:i4>2003</vt:i4>
      </vt:variant>
      <vt:variant>
        <vt:i4>0</vt:i4>
      </vt:variant>
      <vt:variant>
        <vt:i4>5</vt:i4>
      </vt:variant>
      <vt:variant>
        <vt:lpwstr/>
      </vt:variant>
      <vt:variant>
        <vt:lpwstr>_ENREF_13</vt:lpwstr>
      </vt:variant>
      <vt:variant>
        <vt:i4>4194315</vt:i4>
      </vt:variant>
      <vt:variant>
        <vt:i4>1997</vt:i4>
      </vt:variant>
      <vt:variant>
        <vt:i4>0</vt:i4>
      </vt:variant>
      <vt:variant>
        <vt:i4>5</vt:i4>
      </vt:variant>
      <vt:variant>
        <vt:lpwstr/>
      </vt:variant>
      <vt:variant>
        <vt:lpwstr>_ENREF_13</vt:lpwstr>
      </vt:variant>
      <vt:variant>
        <vt:i4>4784139</vt:i4>
      </vt:variant>
      <vt:variant>
        <vt:i4>1991</vt:i4>
      </vt:variant>
      <vt:variant>
        <vt:i4>0</vt:i4>
      </vt:variant>
      <vt:variant>
        <vt:i4>5</vt:i4>
      </vt:variant>
      <vt:variant>
        <vt:lpwstr/>
      </vt:variant>
      <vt:variant>
        <vt:lpwstr>_ENREF_84</vt:lpwstr>
      </vt:variant>
      <vt:variant>
        <vt:i4>7667770</vt:i4>
      </vt:variant>
      <vt:variant>
        <vt:i4>1976</vt:i4>
      </vt:variant>
      <vt:variant>
        <vt:i4>0</vt:i4>
      </vt:variant>
      <vt:variant>
        <vt:i4>5</vt:i4>
      </vt:variant>
      <vt:variant>
        <vt:lpwstr/>
      </vt:variant>
      <vt:variant>
        <vt:lpwstr>_ENREF_115</vt:lpwstr>
      </vt:variant>
      <vt:variant>
        <vt:i4>7929917</vt:i4>
      </vt:variant>
      <vt:variant>
        <vt:i4>1970</vt:i4>
      </vt:variant>
      <vt:variant>
        <vt:i4>0</vt:i4>
      </vt:variant>
      <vt:variant>
        <vt:i4>5</vt:i4>
      </vt:variant>
      <vt:variant>
        <vt:lpwstr/>
      </vt:variant>
      <vt:variant>
        <vt:lpwstr>_ENREF_169</vt:lpwstr>
      </vt:variant>
      <vt:variant>
        <vt:i4>7864376</vt:i4>
      </vt:variant>
      <vt:variant>
        <vt:i4>1967</vt:i4>
      </vt:variant>
      <vt:variant>
        <vt:i4>0</vt:i4>
      </vt:variant>
      <vt:variant>
        <vt:i4>5</vt:i4>
      </vt:variant>
      <vt:variant>
        <vt:lpwstr/>
      </vt:variant>
      <vt:variant>
        <vt:lpwstr>_ENREF_138</vt:lpwstr>
      </vt:variant>
      <vt:variant>
        <vt:i4>7798845</vt:i4>
      </vt:variant>
      <vt:variant>
        <vt:i4>1959</vt:i4>
      </vt:variant>
      <vt:variant>
        <vt:i4>0</vt:i4>
      </vt:variant>
      <vt:variant>
        <vt:i4>5</vt:i4>
      </vt:variant>
      <vt:variant>
        <vt:lpwstr/>
      </vt:variant>
      <vt:variant>
        <vt:lpwstr>_ENREF_167</vt:lpwstr>
      </vt:variant>
      <vt:variant>
        <vt:i4>4325387</vt:i4>
      </vt:variant>
      <vt:variant>
        <vt:i4>1956</vt:i4>
      </vt:variant>
      <vt:variant>
        <vt:i4>0</vt:i4>
      </vt:variant>
      <vt:variant>
        <vt:i4>5</vt:i4>
      </vt:variant>
      <vt:variant>
        <vt:lpwstr/>
      </vt:variant>
      <vt:variant>
        <vt:lpwstr>_ENREF_30</vt:lpwstr>
      </vt:variant>
      <vt:variant>
        <vt:i4>7995449</vt:i4>
      </vt:variant>
      <vt:variant>
        <vt:i4>1948</vt:i4>
      </vt:variant>
      <vt:variant>
        <vt:i4>0</vt:i4>
      </vt:variant>
      <vt:variant>
        <vt:i4>5</vt:i4>
      </vt:variant>
      <vt:variant>
        <vt:lpwstr/>
      </vt:variant>
      <vt:variant>
        <vt:lpwstr>_ENREF_328</vt:lpwstr>
      </vt:variant>
      <vt:variant>
        <vt:i4>7405629</vt:i4>
      </vt:variant>
      <vt:variant>
        <vt:i4>1945</vt:i4>
      </vt:variant>
      <vt:variant>
        <vt:i4>0</vt:i4>
      </vt:variant>
      <vt:variant>
        <vt:i4>5</vt:i4>
      </vt:variant>
      <vt:variant>
        <vt:lpwstr/>
      </vt:variant>
      <vt:variant>
        <vt:lpwstr>_ENREF_262</vt:lpwstr>
      </vt:variant>
      <vt:variant>
        <vt:i4>7798845</vt:i4>
      </vt:variant>
      <vt:variant>
        <vt:i4>1937</vt:i4>
      </vt:variant>
      <vt:variant>
        <vt:i4>0</vt:i4>
      </vt:variant>
      <vt:variant>
        <vt:i4>5</vt:i4>
      </vt:variant>
      <vt:variant>
        <vt:lpwstr/>
      </vt:variant>
      <vt:variant>
        <vt:lpwstr>_ENREF_264</vt:lpwstr>
      </vt:variant>
      <vt:variant>
        <vt:i4>4390923</vt:i4>
      </vt:variant>
      <vt:variant>
        <vt:i4>1931</vt:i4>
      </vt:variant>
      <vt:variant>
        <vt:i4>0</vt:i4>
      </vt:variant>
      <vt:variant>
        <vt:i4>5</vt:i4>
      </vt:variant>
      <vt:variant>
        <vt:lpwstr/>
      </vt:variant>
      <vt:variant>
        <vt:lpwstr>_ENREF_29</vt:lpwstr>
      </vt:variant>
      <vt:variant>
        <vt:i4>7733309</vt:i4>
      </vt:variant>
      <vt:variant>
        <vt:i4>1925</vt:i4>
      </vt:variant>
      <vt:variant>
        <vt:i4>0</vt:i4>
      </vt:variant>
      <vt:variant>
        <vt:i4>5</vt:i4>
      </vt:variant>
      <vt:variant>
        <vt:lpwstr/>
      </vt:variant>
      <vt:variant>
        <vt:lpwstr>_ENREF_265</vt:lpwstr>
      </vt:variant>
      <vt:variant>
        <vt:i4>4587531</vt:i4>
      </vt:variant>
      <vt:variant>
        <vt:i4>1922</vt:i4>
      </vt:variant>
      <vt:variant>
        <vt:i4>0</vt:i4>
      </vt:variant>
      <vt:variant>
        <vt:i4>5</vt:i4>
      </vt:variant>
      <vt:variant>
        <vt:lpwstr/>
      </vt:variant>
      <vt:variant>
        <vt:lpwstr>_ENREF_71</vt:lpwstr>
      </vt:variant>
      <vt:variant>
        <vt:i4>7733305</vt:i4>
      </vt:variant>
      <vt:variant>
        <vt:i4>1914</vt:i4>
      </vt:variant>
      <vt:variant>
        <vt:i4>0</vt:i4>
      </vt:variant>
      <vt:variant>
        <vt:i4>5</vt:i4>
      </vt:variant>
      <vt:variant>
        <vt:lpwstr/>
      </vt:variant>
      <vt:variant>
        <vt:lpwstr>_ENREF_225</vt:lpwstr>
      </vt:variant>
      <vt:variant>
        <vt:i4>7798842</vt:i4>
      </vt:variant>
      <vt:variant>
        <vt:i4>1908</vt:i4>
      </vt:variant>
      <vt:variant>
        <vt:i4>0</vt:i4>
      </vt:variant>
      <vt:variant>
        <vt:i4>5</vt:i4>
      </vt:variant>
      <vt:variant>
        <vt:lpwstr/>
      </vt:variant>
      <vt:variant>
        <vt:lpwstr>_ENREF_117</vt:lpwstr>
      </vt:variant>
      <vt:variant>
        <vt:i4>7733305</vt:i4>
      </vt:variant>
      <vt:variant>
        <vt:i4>1902</vt:i4>
      </vt:variant>
      <vt:variant>
        <vt:i4>0</vt:i4>
      </vt:variant>
      <vt:variant>
        <vt:i4>5</vt:i4>
      </vt:variant>
      <vt:variant>
        <vt:lpwstr/>
      </vt:variant>
      <vt:variant>
        <vt:lpwstr>_ENREF_225</vt:lpwstr>
      </vt:variant>
      <vt:variant>
        <vt:i4>4718603</vt:i4>
      </vt:variant>
      <vt:variant>
        <vt:i4>1899</vt:i4>
      </vt:variant>
      <vt:variant>
        <vt:i4>0</vt:i4>
      </vt:variant>
      <vt:variant>
        <vt:i4>5</vt:i4>
      </vt:variant>
      <vt:variant>
        <vt:lpwstr/>
      </vt:variant>
      <vt:variant>
        <vt:lpwstr>_ENREF_96</vt:lpwstr>
      </vt:variant>
      <vt:variant>
        <vt:i4>7667762</vt:i4>
      </vt:variant>
      <vt:variant>
        <vt:i4>1891</vt:i4>
      </vt:variant>
      <vt:variant>
        <vt:i4>0</vt:i4>
      </vt:variant>
      <vt:variant>
        <vt:i4>5</vt:i4>
      </vt:variant>
      <vt:variant>
        <vt:lpwstr/>
      </vt:variant>
      <vt:variant>
        <vt:lpwstr>_ENREF_296</vt:lpwstr>
      </vt:variant>
      <vt:variant>
        <vt:i4>7798845</vt:i4>
      </vt:variant>
      <vt:variant>
        <vt:i4>1888</vt:i4>
      </vt:variant>
      <vt:variant>
        <vt:i4>0</vt:i4>
      </vt:variant>
      <vt:variant>
        <vt:i4>5</vt:i4>
      </vt:variant>
      <vt:variant>
        <vt:lpwstr/>
      </vt:variant>
      <vt:variant>
        <vt:lpwstr>_ENREF_167</vt:lpwstr>
      </vt:variant>
      <vt:variant>
        <vt:i4>7864376</vt:i4>
      </vt:variant>
      <vt:variant>
        <vt:i4>1885</vt:i4>
      </vt:variant>
      <vt:variant>
        <vt:i4>0</vt:i4>
      </vt:variant>
      <vt:variant>
        <vt:i4>5</vt:i4>
      </vt:variant>
      <vt:variant>
        <vt:lpwstr/>
      </vt:variant>
      <vt:variant>
        <vt:lpwstr>_ENREF_138</vt:lpwstr>
      </vt:variant>
      <vt:variant>
        <vt:i4>4390923</vt:i4>
      </vt:variant>
      <vt:variant>
        <vt:i4>1875</vt:i4>
      </vt:variant>
      <vt:variant>
        <vt:i4>0</vt:i4>
      </vt:variant>
      <vt:variant>
        <vt:i4>5</vt:i4>
      </vt:variant>
      <vt:variant>
        <vt:lpwstr/>
      </vt:variant>
      <vt:variant>
        <vt:lpwstr>_ENREF_24</vt:lpwstr>
      </vt:variant>
      <vt:variant>
        <vt:i4>4194315</vt:i4>
      </vt:variant>
      <vt:variant>
        <vt:i4>1863</vt:i4>
      </vt:variant>
      <vt:variant>
        <vt:i4>0</vt:i4>
      </vt:variant>
      <vt:variant>
        <vt:i4>5</vt:i4>
      </vt:variant>
      <vt:variant>
        <vt:lpwstr/>
      </vt:variant>
      <vt:variant>
        <vt:lpwstr>_ENREF_15</vt:lpwstr>
      </vt:variant>
      <vt:variant>
        <vt:i4>4390923</vt:i4>
      </vt:variant>
      <vt:variant>
        <vt:i4>1853</vt:i4>
      </vt:variant>
      <vt:variant>
        <vt:i4>0</vt:i4>
      </vt:variant>
      <vt:variant>
        <vt:i4>5</vt:i4>
      </vt:variant>
      <vt:variant>
        <vt:lpwstr/>
      </vt:variant>
      <vt:variant>
        <vt:lpwstr>_ENREF_24</vt:lpwstr>
      </vt:variant>
      <vt:variant>
        <vt:i4>4194315</vt:i4>
      </vt:variant>
      <vt:variant>
        <vt:i4>1844</vt:i4>
      </vt:variant>
      <vt:variant>
        <vt:i4>0</vt:i4>
      </vt:variant>
      <vt:variant>
        <vt:i4>5</vt:i4>
      </vt:variant>
      <vt:variant>
        <vt:lpwstr/>
      </vt:variant>
      <vt:variant>
        <vt:lpwstr>_ENREF_15</vt:lpwstr>
      </vt:variant>
      <vt:variant>
        <vt:i4>7602227</vt:i4>
      </vt:variant>
      <vt:variant>
        <vt:i4>1835</vt:i4>
      </vt:variant>
      <vt:variant>
        <vt:i4>0</vt:i4>
      </vt:variant>
      <vt:variant>
        <vt:i4>5</vt:i4>
      </vt:variant>
      <vt:variant>
        <vt:lpwstr/>
      </vt:variant>
      <vt:variant>
        <vt:lpwstr>_ENREF_184</vt:lpwstr>
      </vt:variant>
      <vt:variant>
        <vt:i4>4194315</vt:i4>
      </vt:variant>
      <vt:variant>
        <vt:i4>1827</vt:i4>
      </vt:variant>
      <vt:variant>
        <vt:i4>0</vt:i4>
      </vt:variant>
      <vt:variant>
        <vt:i4>5</vt:i4>
      </vt:variant>
      <vt:variant>
        <vt:lpwstr/>
      </vt:variant>
      <vt:variant>
        <vt:lpwstr>_ENREF_14</vt:lpwstr>
      </vt:variant>
      <vt:variant>
        <vt:i4>4194315</vt:i4>
      </vt:variant>
      <vt:variant>
        <vt:i4>1821</vt:i4>
      </vt:variant>
      <vt:variant>
        <vt:i4>0</vt:i4>
      </vt:variant>
      <vt:variant>
        <vt:i4>5</vt:i4>
      </vt:variant>
      <vt:variant>
        <vt:lpwstr/>
      </vt:variant>
      <vt:variant>
        <vt:lpwstr>_ENREF_15</vt:lpwstr>
      </vt:variant>
      <vt:variant>
        <vt:i4>7602237</vt:i4>
      </vt:variant>
      <vt:variant>
        <vt:i4>1808</vt:i4>
      </vt:variant>
      <vt:variant>
        <vt:i4>0</vt:i4>
      </vt:variant>
      <vt:variant>
        <vt:i4>5</vt:i4>
      </vt:variant>
      <vt:variant>
        <vt:lpwstr/>
      </vt:variant>
      <vt:variant>
        <vt:lpwstr>_ENREF_267</vt:lpwstr>
      </vt:variant>
      <vt:variant>
        <vt:i4>7667773</vt:i4>
      </vt:variant>
      <vt:variant>
        <vt:i4>1805</vt:i4>
      </vt:variant>
      <vt:variant>
        <vt:i4>0</vt:i4>
      </vt:variant>
      <vt:variant>
        <vt:i4>5</vt:i4>
      </vt:variant>
      <vt:variant>
        <vt:lpwstr/>
      </vt:variant>
      <vt:variant>
        <vt:lpwstr>_ENREF_165</vt:lpwstr>
      </vt:variant>
      <vt:variant>
        <vt:i4>7536703</vt:i4>
      </vt:variant>
      <vt:variant>
        <vt:i4>1802</vt:i4>
      </vt:variant>
      <vt:variant>
        <vt:i4>0</vt:i4>
      </vt:variant>
      <vt:variant>
        <vt:i4>5</vt:i4>
      </vt:variant>
      <vt:variant>
        <vt:lpwstr/>
      </vt:variant>
      <vt:variant>
        <vt:lpwstr>_ENREF_143</vt:lpwstr>
      </vt:variant>
      <vt:variant>
        <vt:i4>4718603</vt:i4>
      </vt:variant>
      <vt:variant>
        <vt:i4>1799</vt:i4>
      </vt:variant>
      <vt:variant>
        <vt:i4>0</vt:i4>
      </vt:variant>
      <vt:variant>
        <vt:i4>5</vt:i4>
      </vt:variant>
      <vt:variant>
        <vt:lpwstr/>
      </vt:variant>
      <vt:variant>
        <vt:lpwstr>_ENREF_96</vt:lpwstr>
      </vt:variant>
      <vt:variant>
        <vt:i4>7667773</vt:i4>
      </vt:variant>
      <vt:variant>
        <vt:i4>1791</vt:i4>
      </vt:variant>
      <vt:variant>
        <vt:i4>0</vt:i4>
      </vt:variant>
      <vt:variant>
        <vt:i4>5</vt:i4>
      </vt:variant>
      <vt:variant>
        <vt:lpwstr/>
      </vt:variant>
      <vt:variant>
        <vt:lpwstr>_ENREF_165</vt:lpwstr>
      </vt:variant>
      <vt:variant>
        <vt:i4>4718603</vt:i4>
      </vt:variant>
      <vt:variant>
        <vt:i4>1788</vt:i4>
      </vt:variant>
      <vt:variant>
        <vt:i4>0</vt:i4>
      </vt:variant>
      <vt:variant>
        <vt:i4>5</vt:i4>
      </vt:variant>
      <vt:variant>
        <vt:lpwstr/>
      </vt:variant>
      <vt:variant>
        <vt:lpwstr>_ENREF_96</vt:lpwstr>
      </vt:variant>
      <vt:variant>
        <vt:i4>4194315</vt:i4>
      </vt:variant>
      <vt:variant>
        <vt:i4>1778</vt:i4>
      </vt:variant>
      <vt:variant>
        <vt:i4>0</vt:i4>
      </vt:variant>
      <vt:variant>
        <vt:i4>5</vt:i4>
      </vt:variant>
      <vt:variant>
        <vt:lpwstr/>
      </vt:variant>
      <vt:variant>
        <vt:lpwstr>_ENREF_15</vt:lpwstr>
      </vt:variant>
      <vt:variant>
        <vt:i4>7471163</vt:i4>
      </vt:variant>
      <vt:variant>
        <vt:i4>1774</vt:i4>
      </vt:variant>
      <vt:variant>
        <vt:i4>0</vt:i4>
      </vt:variant>
      <vt:variant>
        <vt:i4>5</vt:i4>
      </vt:variant>
      <vt:variant>
        <vt:lpwstr/>
      </vt:variant>
      <vt:variant>
        <vt:lpwstr>_ENREF_201</vt:lpwstr>
      </vt:variant>
      <vt:variant>
        <vt:i4>4390923</vt:i4>
      </vt:variant>
      <vt:variant>
        <vt:i4>1768</vt:i4>
      </vt:variant>
      <vt:variant>
        <vt:i4>0</vt:i4>
      </vt:variant>
      <vt:variant>
        <vt:i4>5</vt:i4>
      </vt:variant>
      <vt:variant>
        <vt:lpwstr/>
      </vt:variant>
      <vt:variant>
        <vt:lpwstr>_ENREF_24</vt:lpwstr>
      </vt:variant>
      <vt:variant>
        <vt:i4>4194315</vt:i4>
      </vt:variant>
      <vt:variant>
        <vt:i4>1765</vt:i4>
      </vt:variant>
      <vt:variant>
        <vt:i4>0</vt:i4>
      </vt:variant>
      <vt:variant>
        <vt:i4>5</vt:i4>
      </vt:variant>
      <vt:variant>
        <vt:lpwstr/>
      </vt:variant>
      <vt:variant>
        <vt:lpwstr>_ENREF_13</vt:lpwstr>
      </vt:variant>
      <vt:variant>
        <vt:i4>4194315</vt:i4>
      </vt:variant>
      <vt:variant>
        <vt:i4>1754</vt:i4>
      </vt:variant>
      <vt:variant>
        <vt:i4>0</vt:i4>
      </vt:variant>
      <vt:variant>
        <vt:i4>5</vt:i4>
      </vt:variant>
      <vt:variant>
        <vt:lpwstr/>
      </vt:variant>
      <vt:variant>
        <vt:lpwstr>_ENREF_15</vt:lpwstr>
      </vt:variant>
      <vt:variant>
        <vt:i4>4194315</vt:i4>
      </vt:variant>
      <vt:variant>
        <vt:i4>1740</vt:i4>
      </vt:variant>
      <vt:variant>
        <vt:i4>0</vt:i4>
      </vt:variant>
      <vt:variant>
        <vt:i4>5</vt:i4>
      </vt:variant>
      <vt:variant>
        <vt:lpwstr/>
      </vt:variant>
      <vt:variant>
        <vt:lpwstr>_ENREF_15</vt:lpwstr>
      </vt:variant>
      <vt:variant>
        <vt:i4>7733305</vt:i4>
      </vt:variant>
      <vt:variant>
        <vt:i4>1730</vt:i4>
      </vt:variant>
      <vt:variant>
        <vt:i4>0</vt:i4>
      </vt:variant>
      <vt:variant>
        <vt:i4>5</vt:i4>
      </vt:variant>
      <vt:variant>
        <vt:lpwstr/>
      </vt:variant>
      <vt:variant>
        <vt:lpwstr>_ENREF_225</vt:lpwstr>
      </vt:variant>
      <vt:variant>
        <vt:i4>4194315</vt:i4>
      </vt:variant>
      <vt:variant>
        <vt:i4>1724</vt:i4>
      </vt:variant>
      <vt:variant>
        <vt:i4>0</vt:i4>
      </vt:variant>
      <vt:variant>
        <vt:i4>5</vt:i4>
      </vt:variant>
      <vt:variant>
        <vt:lpwstr/>
      </vt:variant>
      <vt:variant>
        <vt:lpwstr>_ENREF_15</vt:lpwstr>
      </vt:variant>
      <vt:variant>
        <vt:i4>4194315</vt:i4>
      </vt:variant>
      <vt:variant>
        <vt:i4>1715</vt:i4>
      </vt:variant>
      <vt:variant>
        <vt:i4>0</vt:i4>
      </vt:variant>
      <vt:variant>
        <vt:i4>5</vt:i4>
      </vt:variant>
      <vt:variant>
        <vt:lpwstr/>
      </vt:variant>
      <vt:variant>
        <vt:lpwstr>_ENREF_15</vt:lpwstr>
      </vt:variant>
      <vt:variant>
        <vt:i4>4194315</vt:i4>
      </vt:variant>
      <vt:variant>
        <vt:i4>1709</vt:i4>
      </vt:variant>
      <vt:variant>
        <vt:i4>0</vt:i4>
      </vt:variant>
      <vt:variant>
        <vt:i4>5</vt:i4>
      </vt:variant>
      <vt:variant>
        <vt:lpwstr/>
      </vt:variant>
      <vt:variant>
        <vt:lpwstr>_ENREF_15</vt:lpwstr>
      </vt:variant>
      <vt:variant>
        <vt:i4>4194315</vt:i4>
      </vt:variant>
      <vt:variant>
        <vt:i4>1703</vt:i4>
      </vt:variant>
      <vt:variant>
        <vt:i4>0</vt:i4>
      </vt:variant>
      <vt:variant>
        <vt:i4>5</vt:i4>
      </vt:variant>
      <vt:variant>
        <vt:lpwstr/>
      </vt:variant>
      <vt:variant>
        <vt:lpwstr>_ENREF_15</vt:lpwstr>
      </vt:variant>
      <vt:variant>
        <vt:i4>4194315</vt:i4>
      </vt:variant>
      <vt:variant>
        <vt:i4>1689</vt:i4>
      </vt:variant>
      <vt:variant>
        <vt:i4>0</vt:i4>
      </vt:variant>
      <vt:variant>
        <vt:i4>5</vt:i4>
      </vt:variant>
      <vt:variant>
        <vt:lpwstr/>
      </vt:variant>
      <vt:variant>
        <vt:lpwstr>_ENREF_15</vt:lpwstr>
      </vt:variant>
      <vt:variant>
        <vt:i4>4194315</vt:i4>
      </vt:variant>
      <vt:variant>
        <vt:i4>1685</vt:i4>
      </vt:variant>
      <vt:variant>
        <vt:i4>0</vt:i4>
      </vt:variant>
      <vt:variant>
        <vt:i4>5</vt:i4>
      </vt:variant>
      <vt:variant>
        <vt:lpwstr/>
      </vt:variant>
      <vt:variant>
        <vt:lpwstr>_ENREF_15</vt:lpwstr>
      </vt:variant>
      <vt:variant>
        <vt:i4>7733307</vt:i4>
      </vt:variant>
      <vt:variant>
        <vt:i4>1679</vt:i4>
      </vt:variant>
      <vt:variant>
        <vt:i4>0</vt:i4>
      </vt:variant>
      <vt:variant>
        <vt:i4>5</vt:i4>
      </vt:variant>
      <vt:variant>
        <vt:lpwstr/>
      </vt:variant>
      <vt:variant>
        <vt:lpwstr>_ENREF_106</vt:lpwstr>
      </vt:variant>
      <vt:variant>
        <vt:i4>4390923</vt:i4>
      </vt:variant>
      <vt:variant>
        <vt:i4>1673</vt:i4>
      </vt:variant>
      <vt:variant>
        <vt:i4>0</vt:i4>
      </vt:variant>
      <vt:variant>
        <vt:i4>5</vt:i4>
      </vt:variant>
      <vt:variant>
        <vt:lpwstr/>
      </vt:variant>
      <vt:variant>
        <vt:lpwstr>_ENREF_24</vt:lpwstr>
      </vt:variant>
      <vt:variant>
        <vt:i4>4194315</vt:i4>
      </vt:variant>
      <vt:variant>
        <vt:i4>1670</vt:i4>
      </vt:variant>
      <vt:variant>
        <vt:i4>0</vt:i4>
      </vt:variant>
      <vt:variant>
        <vt:i4>5</vt:i4>
      </vt:variant>
      <vt:variant>
        <vt:lpwstr/>
      </vt:variant>
      <vt:variant>
        <vt:lpwstr>_ENREF_15</vt:lpwstr>
      </vt:variant>
      <vt:variant>
        <vt:i4>7798843</vt:i4>
      </vt:variant>
      <vt:variant>
        <vt:i4>1662</vt:i4>
      </vt:variant>
      <vt:variant>
        <vt:i4>0</vt:i4>
      </vt:variant>
      <vt:variant>
        <vt:i4>5</vt:i4>
      </vt:variant>
      <vt:variant>
        <vt:lpwstr/>
      </vt:variant>
      <vt:variant>
        <vt:lpwstr>_ENREF_107</vt:lpwstr>
      </vt:variant>
      <vt:variant>
        <vt:i4>7667762</vt:i4>
      </vt:variant>
      <vt:variant>
        <vt:i4>1651</vt:i4>
      </vt:variant>
      <vt:variant>
        <vt:i4>0</vt:i4>
      </vt:variant>
      <vt:variant>
        <vt:i4>5</vt:i4>
      </vt:variant>
      <vt:variant>
        <vt:lpwstr/>
      </vt:variant>
      <vt:variant>
        <vt:lpwstr>_ENREF_296</vt:lpwstr>
      </vt:variant>
      <vt:variant>
        <vt:i4>7602237</vt:i4>
      </vt:variant>
      <vt:variant>
        <vt:i4>1641</vt:i4>
      </vt:variant>
      <vt:variant>
        <vt:i4>0</vt:i4>
      </vt:variant>
      <vt:variant>
        <vt:i4>5</vt:i4>
      </vt:variant>
      <vt:variant>
        <vt:lpwstr/>
      </vt:variant>
      <vt:variant>
        <vt:lpwstr>_ENREF_164</vt:lpwstr>
      </vt:variant>
      <vt:variant>
        <vt:i4>7929917</vt:i4>
      </vt:variant>
      <vt:variant>
        <vt:i4>1628</vt:i4>
      </vt:variant>
      <vt:variant>
        <vt:i4>0</vt:i4>
      </vt:variant>
      <vt:variant>
        <vt:i4>5</vt:i4>
      </vt:variant>
      <vt:variant>
        <vt:lpwstr/>
      </vt:variant>
      <vt:variant>
        <vt:lpwstr>_ENREF_169</vt:lpwstr>
      </vt:variant>
      <vt:variant>
        <vt:i4>7798840</vt:i4>
      </vt:variant>
      <vt:variant>
        <vt:i4>1625</vt:i4>
      </vt:variant>
      <vt:variant>
        <vt:i4>0</vt:i4>
      </vt:variant>
      <vt:variant>
        <vt:i4>5</vt:i4>
      </vt:variant>
      <vt:variant>
        <vt:lpwstr/>
      </vt:variant>
      <vt:variant>
        <vt:lpwstr>_ENREF_137</vt:lpwstr>
      </vt:variant>
      <vt:variant>
        <vt:i4>7864376</vt:i4>
      </vt:variant>
      <vt:variant>
        <vt:i4>1617</vt:i4>
      </vt:variant>
      <vt:variant>
        <vt:i4>0</vt:i4>
      </vt:variant>
      <vt:variant>
        <vt:i4>5</vt:i4>
      </vt:variant>
      <vt:variant>
        <vt:lpwstr/>
      </vt:variant>
      <vt:variant>
        <vt:lpwstr>_ENREF_138</vt:lpwstr>
      </vt:variant>
      <vt:variant>
        <vt:i4>7667762</vt:i4>
      </vt:variant>
      <vt:variant>
        <vt:i4>1611</vt:i4>
      </vt:variant>
      <vt:variant>
        <vt:i4>0</vt:i4>
      </vt:variant>
      <vt:variant>
        <vt:i4>5</vt:i4>
      </vt:variant>
      <vt:variant>
        <vt:lpwstr/>
      </vt:variant>
      <vt:variant>
        <vt:lpwstr>_ENREF_296</vt:lpwstr>
      </vt:variant>
      <vt:variant>
        <vt:i4>7798841</vt:i4>
      </vt:variant>
      <vt:variant>
        <vt:i4>1605</vt:i4>
      </vt:variant>
      <vt:variant>
        <vt:i4>0</vt:i4>
      </vt:variant>
      <vt:variant>
        <vt:i4>5</vt:i4>
      </vt:variant>
      <vt:variant>
        <vt:lpwstr/>
      </vt:variant>
      <vt:variant>
        <vt:lpwstr>_ENREF_224</vt:lpwstr>
      </vt:variant>
      <vt:variant>
        <vt:i4>7798841</vt:i4>
      </vt:variant>
      <vt:variant>
        <vt:i4>1597</vt:i4>
      </vt:variant>
      <vt:variant>
        <vt:i4>0</vt:i4>
      </vt:variant>
      <vt:variant>
        <vt:i4>5</vt:i4>
      </vt:variant>
      <vt:variant>
        <vt:lpwstr/>
      </vt:variant>
      <vt:variant>
        <vt:lpwstr>_ENREF_224</vt:lpwstr>
      </vt:variant>
      <vt:variant>
        <vt:i4>7536698</vt:i4>
      </vt:variant>
      <vt:variant>
        <vt:i4>1591</vt:i4>
      </vt:variant>
      <vt:variant>
        <vt:i4>0</vt:i4>
      </vt:variant>
      <vt:variant>
        <vt:i4>5</vt:i4>
      </vt:variant>
      <vt:variant>
        <vt:lpwstr/>
      </vt:variant>
      <vt:variant>
        <vt:lpwstr>_ENREF_113</vt:lpwstr>
      </vt:variant>
      <vt:variant>
        <vt:i4>7602239</vt:i4>
      </vt:variant>
      <vt:variant>
        <vt:i4>1587</vt:i4>
      </vt:variant>
      <vt:variant>
        <vt:i4>0</vt:i4>
      </vt:variant>
      <vt:variant>
        <vt:i4>5</vt:i4>
      </vt:variant>
      <vt:variant>
        <vt:lpwstr/>
      </vt:variant>
      <vt:variant>
        <vt:lpwstr>_ENREF_346</vt:lpwstr>
      </vt:variant>
      <vt:variant>
        <vt:i4>7602236</vt:i4>
      </vt:variant>
      <vt:variant>
        <vt:i4>1584</vt:i4>
      </vt:variant>
      <vt:variant>
        <vt:i4>0</vt:i4>
      </vt:variant>
      <vt:variant>
        <vt:i4>5</vt:i4>
      </vt:variant>
      <vt:variant>
        <vt:lpwstr/>
      </vt:variant>
      <vt:variant>
        <vt:lpwstr>_ENREF_277</vt:lpwstr>
      </vt:variant>
      <vt:variant>
        <vt:i4>7340094</vt:i4>
      </vt:variant>
      <vt:variant>
        <vt:i4>1581</vt:i4>
      </vt:variant>
      <vt:variant>
        <vt:i4>0</vt:i4>
      </vt:variant>
      <vt:variant>
        <vt:i4>5</vt:i4>
      </vt:variant>
      <vt:variant>
        <vt:lpwstr/>
      </vt:variant>
      <vt:variant>
        <vt:lpwstr>_ENREF_150</vt:lpwstr>
      </vt:variant>
      <vt:variant>
        <vt:i4>7536698</vt:i4>
      </vt:variant>
      <vt:variant>
        <vt:i4>1578</vt:i4>
      </vt:variant>
      <vt:variant>
        <vt:i4>0</vt:i4>
      </vt:variant>
      <vt:variant>
        <vt:i4>5</vt:i4>
      </vt:variant>
      <vt:variant>
        <vt:lpwstr/>
      </vt:variant>
      <vt:variant>
        <vt:lpwstr>_ENREF_113</vt:lpwstr>
      </vt:variant>
      <vt:variant>
        <vt:i4>7733307</vt:i4>
      </vt:variant>
      <vt:variant>
        <vt:i4>1575</vt:i4>
      </vt:variant>
      <vt:variant>
        <vt:i4>0</vt:i4>
      </vt:variant>
      <vt:variant>
        <vt:i4>5</vt:i4>
      </vt:variant>
      <vt:variant>
        <vt:lpwstr/>
      </vt:variant>
      <vt:variant>
        <vt:lpwstr>_ENREF_106</vt:lpwstr>
      </vt:variant>
      <vt:variant>
        <vt:i4>4587531</vt:i4>
      </vt:variant>
      <vt:variant>
        <vt:i4>1572</vt:i4>
      </vt:variant>
      <vt:variant>
        <vt:i4>0</vt:i4>
      </vt:variant>
      <vt:variant>
        <vt:i4>5</vt:i4>
      </vt:variant>
      <vt:variant>
        <vt:lpwstr/>
      </vt:variant>
      <vt:variant>
        <vt:lpwstr>_ENREF_74</vt:lpwstr>
      </vt:variant>
      <vt:variant>
        <vt:i4>7602239</vt:i4>
      </vt:variant>
      <vt:variant>
        <vt:i4>1564</vt:i4>
      </vt:variant>
      <vt:variant>
        <vt:i4>0</vt:i4>
      </vt:variant>
      <vt:variant>
        <vt:i4>5</vt:i4>
      </vt:variant>
      <vt:variant>
        <vt:lpwstr/>
      </vt:variant>
      <vt:variant>
        <vt:lpwstr>_ENREF_346</vt:lpwstr>
      </vt:variant>
      <vt:variant>
        <vt:i4>7602236</vt:i4>
      </vt:variant>
      <vt:variant>
        <vt:i4>1561</vt:i4>
      </vt:variant>
      <vt:variant>
        <vt:i4>0</vt:i4>
      </vt:variant>
      <vt:variant>
        <vt:i4>5</vt:i4>
      </vt:variant>
      <vt:variant>
        <vt:lpwstr/>
      </vt:variant>
      <vt:variant>
        <vt:lpwstr>_ENREF_277</vt:lpwstr>
      </vt:variant>
      <vt:variant>
        <vt:i4>7667769</vt:i4>
      </vt:variant>
      <vt:variant>
        <vt:i4>1558</vt:i4>
      </vt:variant>
      <vt:variant>
        <vt:i4>0</vt:i4>
      </vt:variant>
      <vt:variant>
        <vt:i4>5</vt:i4>
      </vt:variant>
      <vt:variant>
        <vt:lpwstr/>
      </vt:variant>
      <vt:variant>
        <vt:lpwstr>_ENREF_226</vt:lpwstr>
      </vt:variant>
      <vt:variant>
        <vt:i4>7798841</vt:i4>
      </vt:variant>
      <vt:variant>
        <vt:i4>1555</vt:i4>
      </vt:variant>
      <vt:variant>
        <vt:i4>0</vt:i4>
      </vt:variant>
      <vt:variant>
        <vt:i4>5</vt:i4>
      </vt:variant>
      <vt:variant>
        <vt:lpwstr/>
      </vt:variant>
      <vt:variant>
        <vt:lpwstr>_ENREF_224</vt:lpwstr>
      </vt:variant>
      <vt:variant>
        <vt:i4>7602239</vt:i4>
      </vt:variant>
      <vt:variant>
        <vt:i4>1552</vt:i4>
      </vt:variant>
      <vt:variant>
        <vt:i4>0</vt:i4>
      </vt:variant>
      <vt:variant>
        <vt:i4>5</vt:i4>
      </vt:variant>
      <vt:variant>
        <vt:lpwstr/>
      </vt:variant>
      <vt:variant>
        <vt:lpwstr>_ENREF_144</vt:lpwstr>
      </vt:variant>
      <vt:variant>
        <vt:i4>7536698</vt:i4>
      </vt:variant>
      <vt:variant>
        <vt:i4>1549</vt:i4>
      </vt:variant>
      <vt:variant>
        <vt:i4>0</vt:i4>
      </vt:variant>
      <vt:variant>
        <vt:i4>5</vt:i4>
      </vt:variant>
      <vt:variant>
        <vt:lpwstr/>
      </vt:variant>
      <vt:variant>
        <vt:lpwstr>_ENREF_113</vt:lpwstr>
      </vt:variant>
      <vt:variant>
        <vt:i4>7340094</vt:i4>
      </vt:variant>
      <vt:variant>
        <vt:i4>1538</vt:i4>
      </vt:variant>
      <vt:variant>
        <vt:i4>0</vt:i4>
      </vt:variant>
      <vt:variant>
        <vt:i4>5</vt:i4>
      </vt:variant>
      <vt:variant>
        <vt:lpwstr/>
      </vt:variant>
      <vt:variant>
        <vt:lpwstr>_ENREF_150</vt:lpwstr>
      </vt:variant>
      <vt:variant>
        <vt:i4>7798842</vt:i4>
      </vt:variant>
      <vt:variant>
        <vt:i4>1535</vt:i4>
      </vt:variant>
      <vt:variant>
        <vt:i4>0</vt:i4>
      </vt:variant>
      <vt:variant>
        <vt:i4>5</vt:i4>
      </vt:variant>
      <vt:variant>
        <vt:lpwstr/>
      </vt:variant>
      <vt:variant>
        <vt:lpwstr>_ENREF_117</vt:lpwstr>
      </vt:variant>
      <vt:variant>
        <vt:i4>7602239</vt:i4>
      </vt:variant>
      <vt:variant>
        <vt:i4>1525</vt:i4>
      </vt:variant>
      <vt:variant>
        <vt:i4>0</vt:i4>
      </vt:variant>
      <vt:variant>
        <vt:i4>5</vt:i4>
      </vt:variant>
      <vt:variant>
        <vt:lpwstr/>
      </vt:variant>
      <vt:variant>
        <vt:lpwstr>_ENREF_346</vt:lpwstr>
      </vt:variant>
      <vt:variant>
        <vt:i4>7733305</vt:i4>
      </vt:variant>
      <vt:variant>
        <vt:i4>1521</vt:i4>
      </vt:variant>
      <vt:variant>
        <vt:i4>0</vt:i4>
      </vt:variant>
      <vt:variant>
        <vt:i4>5</vt:i4>
      </vt:variant>
      <vt:variant>
        <vt:lpwstr/>
      </vt:variant>
      <vt:variant>
        <vt:lpwstr>_ENREF_225</vt:lpwstr>
      </vt:variant>
      <vt:variant>
        <vt:i4>7471166</vt:i4>
      </vt:variant>
      <vt:variant>
        <vt:i4>1515</vt:i4>
      </vt:variant>
      <vt:variant>
        <vt:i4>0</vt:i4>
      </vt:variant>
      <vt:variant>
        <vt:i4>5</vt:i4>
      </vt:variant>
      <vt:variant>
        <vt:lpwstr/>
      </vt:variant>
      <vt:variant>
        <vt:lpwstr>_ENREF_350</vt:lpwstr>
      </vt:variant>
      <vt:variant>
        <vt:i4>7798844</vt:i4>
      </vt:variant>
      <vt:variant>
        <vt:i4>1512</vt:i4>
      </vt:variant>
      <vt:variant>
        <vt:i4>0</vt:i4>
      </vt:variant>
      <vt:variant>
        <vt:i4>5</vt:i4>
      </vt:variant>
      <vt:variant>
        <vt:lpwstr/>
      </vt:variant>
      <vt:variant>
        <vt:lpwstr>_ENREF_274</vt:lpwstr>
      </vt:variant>
      <vt:variant>
        <vt:i4>7733309</vt:i4>
      </vt:variant>
      <vt:variant>
        <vt:i4>1509</vt:i4>
      </vt:variant>
      <vt:variant>
        <vt:i4>0</vt:i4>
      </vt:variant>
      <vt:variant>
        <vt:i4>5</vt:i4>
      </vt:variant>
      <vt:variant>
        <vt:lpwstr/>
      </vt:variant>
      <vt:variant>
        <vt:lpwstr>_ENREF_166</vt:lpwstr>
      </vt:variant>
      <vt:variant>
        <vt:i4>7798844</vt:i4>
      </vt:variant>
      <vt:variant>
        <vt:i4>1501</vt:i4>
      </vt:variant>
      <vt:variant>
        <vt:i4>0</vt:i4>
      </vt:variant>
      <vt:variant>
        <vt:i4>5</vt:i4>
      </vt:variant>
      <vt:variant>
        <vt:lpwstr/>
      </vt:variant>
      <vt:variant>
        <vt:lpwstr>_ENREF_274</vt:lpwstr>
      </vt:variant>
      <vt:variant>
        <vt:i4>7602237</vt:i4>
      </vt:variant>
      <vt:variant>
        <vt:i4>1489</vt:i4>
      </vt:variant>
      <vt:variant>
        <vt:i4>0</vt:i4>
      </vt:variant>
      <vt:variant>
        <vt:i4>5</vt:i4>
      </vt:variant>
      <vt:variant>
        <vt:lpwstr/>
      </vt:variant>
      <vt:variant>
        <vt:lpwstr>_ENREF_164</vt:lpwstr>
      </vt:variant>
      <vt:variant>
        <vt:i4>7602237</vt:i4>
      </vt:variant>
      <vt:variant>
        <vt:i4>1477</vt:i4>
      </vt:variant>
      <vt:variant>
        <vt:i4>0</vt:i4>
      </vt:variant>
      <vt:variant>
        <vt:i4>5</vt:i4>
      </vt:variant>
      <vt:variant>
        <vt:lpwstr/>
      </vt:variant>
      <vt:variant>
        <vt:lpwstr>_ENREF_164</vt:lpwstr>
      </vt:variant>
      <vt:variant>
        <vt:i4>7667762</vt:i4>
      </vt:variant>
      <vt:variant>
        <vt:i4>1467</vt:i4>
      </vt:variant>
      <vt:variant>
        <vt:i4>0</vt:i4>
      </vt:variant>
      <vt:variant>
        <vt:i4>5</vt:i4>
      </vt:variant>
      <vt:variant>
        <vt:lpwstr/>
      </vt:variant>
      <vt:variant>
        <vt:lpwstr>_ENREF_296</vt:lpwstr>
      </vt:variant>
      <vt:variant>
        <vt:i4>7602237</vt:i4>
      </vt:variant>
      <vt:variant>
        <vt:i4>1464</vt:i4>
      </vt:variant>
      <vt:variant>
        <vt:i4>0</vt:i4>
      </vt:variant>
      <vt:variant>
        <vt:i4>5</vt:i4>
      </vt:variant>
      <vt:variant>
        <vt:lpwstr/>
      </vt:variant>
      <vt:variant>
        <vt:lpwstr>_ENREF_164</vt:lpwstr>
      </vt:variant>
      <vt:variant>
        <vt:i4>4325387</vt:i4>
      </vt:variant>
      <vt:variant>
        <vt:i4>1451</vt:i4>
      </vt:variant>
      <vt:variant>
        <vt:i4>0</vt:i4>
      </vt:variant>
      <vt:variant>
        <vt:i4>5</vt:i4>
      </vt:variant>
      <vt:variant>
        <vt:lpwstr/>
      </vt:variant>
      <vt:variant>
        <vt:lpwstr>_ENREF_39</vt:lpwstr>
      </vt:variant>
      <vt:variant>
        <vt:i4>7798845</vt:i4>
      </vt:variant>
      <vt:variant>
        <vt:i4>1447</vt:i4>
      </vt:variant>
      <vt:variant>
        <vt:i4>0</vt:i4>
      </vt:variant>
      <vt:variant>
        <vt:i4>5</vt:i4>
      </vt:variant>
      <vt:variant>
        <vt:lpwstr/>
      </vt:variant>
      <vt:variant>
        <vt:lpwstr>_ENREF_264</vt:lpwstr>
      </vt:variant>
      <vt:variant>
        <vt:i4>7733298</vt:i4>
      </vt:variant>
      <vt:variant>
        <vt:i4>1441</vt:i4>
      </vt:variant>
      <vt:variant>
        <vt:i4>0</vt:i4>
      </vt:variant>
      <vt:variant>
        <vt:i4>5</vt:i4>
      </vt:variant>
      <vt:variant>
        <vt:lpwstr/>
      </vt:variant>
      <vt:variant>
        <vt:lpwstr>_ENREF_295</vt:lpwstr>
      </vt:variant>
      <vt:variant>
        <vt:i4>7405619</vt:i4>
      </vt:variant>
      <vt:variant>
        <vt:i4>1438</vt:i4>
      </vt:variant>
      <vt:variant>
        <vt:i4>0</vt:i4>
      </vt:variant>
      <vt:variant>
        <vt:i4>5</vt:i4>
      </vt:variant>
      <vt:variant>
        <vt:lpwstr/>
      </vt:variant>
      <vt:variant>
        <vt:lpwstr>_ENREF_282</vt:lpwstr>
      </vt:variant>
      <vt:variant>
        <vt:i4>7340092</vt:i4>
      </vt:variant>
      <vt:variant>
        <vt:i4>1435</vt:i4>
      </vt:variant>
      <vt:variant>
        <vt:i4>0</vt:i4>
      </vt:variant>
      <vt:variant>
        <vt:i4>5</vt:i4>
      </vt:variant>
      <vt:variant>
        <vt:lpwstr/>
      </vt:variant>
      <vt:variant>
        <vt:lpwstr>_ENREF_273</vt:lpwstr>
      </vt:variant>
      <vt:variant>
        <vt:i4>4784139</vt:i4>
      </vt:variant>
      <vt:variant>
        <vt:i4>1432</vt:i4>
      </vt:variant>
      <vt:variant>
        <vt:i4>0</vt:i4>
      </vt:variant>
      <vt:variant>
        <vt:i4>5</vt:i4>
      </vt:variant>
      <vt:variant>
        <vt:lpwstr/>
      </vt:variant>
      <vt:variant>
        <vt:lpwstr>_ENREF_89</vt:lpwstr>
      </vt:variant>
      <vt:variant>
        <vt:i4>4784139</vt:i4>
      </vt:variant>
      <vt:variant>
        <vt:i4>1429</vt:i4>
      </vt:variant>
      <vt:variant>
        <vt:i4>0</vt:i4>
      </vt:variant>
      <vt:variant>
        <vt:i4>5</vt:i4>
      </vt:variant>
      <vt:variant>
        <vt:lpwstr/>
      </vt:variant>
      <vt:variant>
        <vt:lpwstr>_ENREF_88</vt:lpwstr>
      </vt:variant>
      <vt:variant>
        <vt:i4>4784139</vt:i4>
      </vt:variant>
      <vt:variant>
        <vt:i4>1426</vt:i4>
      </vt:variant>
      <vt:variant>
        <vt:i4>0</vt:i4>
      </vt:variant>
      <vt:variant>
        <vt:i4>5</vt:i4>
      </vt:variant>
      <vt:variant>
        <vt:lpwstr/>
      </vt:variant>
      <vt:variant>
        <vt:lpwstr>_ENREF_86</vt:lpwstr>
      </vt:variant>
      <vt:variant>
        <vt:i4>4390923</vt:i4>
      </vt:variant>
      <vt:variant>
        <vt:i4>1423</vt:i4>
      </vt:variant>
      <vt:variant>
        <vt:i4>0</vt:i4>
      </vt:variant>
      <vt:variant>
        <vt:i4>5</vt:i4>
      </vt:variant>
      <vt:variant>
        <vt:lpwstr/>
      </vt:variant>
      <vt:variant>
        <vt:lpwstr>_ENREF_25</vt:lpwstr>
      </vt:variant>
      <vt:variant>
        <vt:i4>4784139</vt:i4>
      </vt:variant>
      <vt:variant>
        <vt:i4>1413</vt:i4>
      </vt:variant>
      <vt:variant>
        <vt:i4>0</vt:i4>
      </vt:variant>
      <vt:variant>
        <vt:i4>5</vt:i4>
      </vt:variant>
      <vt:variant>
        <vt:lpwstr/>
      </vt:variant>
      <vt:variant>
        <vt:lpwstr>_ENREF_84</vt:lpwstr>
      </vt:variant>
      <vt:variant>
        <vt:i4>7929914</vt:i4>
      </vt:variant>
      <vt:variant>
        <vt:i4>1409</vt:i4>
      </vt:variant>
      <vt:variant>
        <vt:i4>0</vt:i4>
      </vt:variant>
      <vt:variant>
        <vt:i4>5</vt:i4>
      </vt:variant>
      <vt:variant>
        <vt:lpwstr/>
      </vt:variant>
      <vt:variant>
        <vt:lpwstr>_ENREF_119</vt:lpwstr>
      </vt:variant>
      <vt:variant>
        <vt:i4>7667768</vt:i4>
      </vt:variant>
      <vt:variant>
        <vt:i4>1403</vt:i4>
      </vt:variant>
      <vt:variant>
        <vt:i4>0</vt:i4>
      </vt:variant>
      <vt:variant>
        <vt:i4>5</vt:i4>
      </vt:variant>
      <vt:variant>
        <vt:lpwstr/>
      </vt:variant>
      <vt:variant>
        <vt:lpwstr>_ENREF_135</vt:lpwstr>
      </vt:variant>
      <vt:variant>
        <vt:i4>7667768</vt:i4>
      </vt:variant>
      <vt:variant>
        <vt:i4>1397</vt:i4>
      </vt:variant>
      <vt:variant>
        <vt:i4>0</vt:i4>
      </vt:variant>
      <vt:variant>
        <vt:i4>5</vt:i4>
      </vt:variant>
      <vt:variant>
        <vt:lpwstr/>
      </vt:variant>
      <vt:variant>
        <vt:lpwstr>_ENREF_135</vt:lpwstr>
      </vt:variant>
      <vt:variant>
        <vt:i4>7471154</vt:i4>
      </vt:variant>
      <vt:variant>
        <vt:i4>1389</vt:i4>
      </vt:variant>
      <vt:variant>
        <vt:i4>0</vt:i4>
      </vt:variant>
      <vt:variant>
        <vt:i4>5</vt:i4>
      </vt:variant>
      <vt:variant>
        <vt:lpwstr/>
      </vt:variant>
      <vt:variant>
        <vt:lpwstr>_ENREF_192</vt:lpwstr>
      </vt:variant>
      <vt:variant>
        <vt:i4>7667771</vt:i4>
      </vt:variant>
      <vt:variant>
        <vt:i4>1379</vt:i4>
      </vt:variant>
      <vt:variant>
        <vt:i4>0</vt:i4>
      </vt:variant>
      <vt:variant>
        <vt:i4>5</vt:i4>
      </vt:variant>
      <vt:variant>
        <vt:lpwstr/>
      </vt:variant>
      <vt:variant>
        <vt:lpwstr>_ENREF_206</vt:lpwstr>
      </vt:variant>
      <vt:variant>
        <vt:i4>7733311</vt:i4>
      </vt:variant>
      <vt:variant>
        <vt:i4>1376</vt:i4>
      </vt:variant>
      <vt:variant>
        <vt:i4>0</vt:i4>
      </vt:variant>
      <vt:variant>
        <vt:i4>5</vt:i4>
      </vt:variant>
      <vt:variant>
        <vt:lpwstr/>
      </vt:variant>
      <vt:variant>
        <vt:lpwstr>_ENREF_146</vt:lpwstr>
      </vt:variant>
      <vt:variant>
        <vt:i4>7929914</vt:i4>
      </vt:variant>
      <vt:variant>
        <vt:i4>1373</vt:i4>
      </vt:variant>
      <vt:variant>
        <vt:i4>0</vt:i4>
      </vt:variant>
      <vt:variant>
        <vt:i4>5</vt:i4>
      </vt:variant>
      <vt:variant>
        <vt:lpwstr/>
      </vt:variant>
      <vt:variant>
        <vt:lpwstr>_ENREF_119</vt:lpwstr>
      </vt:variant>
      <vt:variant>
        <vt:i4>7471154</vt:i4>
      </vt:variant>
      <vt:variant>
        <vt:i4>1365</vt:i4>
      </vt:variant>
      <vt:variant>
        <vt:i4>0</vt:i4>
      </vt:variant>
      <vt:variant>
        <vt:i4>5</vt:i4>
      </vt:variant>
      <vt:variant>
        <vt:lpwstr/>
      </vt:variant>
      <vt:variant>
        <vt:lpwstr>_ENREF_192</vt:lpwstr>
      </vt:variant>
      <vt:variant>
        <vt:i4>7667768</vt:i4>
      </vt:variant>
      <vt:variant>
        <vt:i4>1359</vt:i4>
      </vt:variant>
      <vt:variant>
        <vt:i4>0</vt:i4>
      </vt:variant>
      <vt:variant>
        <vt:i4>5</vt:i4>
      </vt:variant>
      <vt:variant>
        <vt:lpwstr/>
      </vt:variant>
      <vt:variant>
        <vt:lpwstr>_ENREF_135</vt:lpwstr>
      </vt:variant>
      <vt:variant>
        <vt:i4>8060990</vt:i4>
      </vt:variant>
      <vt:variant>
        <vt:i4>1348</vt:i4>
      </vt:variant>
      <vt:variant>
        <vt:i4>0</vt:i4>
      </vt:variant>
      <vt:variant>
        <vt:i4>5</vt:i4>
      </vt:variant>
      <vt:variant>
        <vt:lpwstr/>
      </vt:variant>
      <vt:variant>
        <vt:lpwstr>_ENREF_258</vt:lpwstr>
      </vt:variant>
      <vt:variant>
        <vt:i4>4390923</vt:i4>
      </vt:variant>
      <vt:variant>
        <vt:i4>1338</vt:i4>
      </vt:variant>
      <vt:variant>
        <vt:i4>0</vt:i4>
      </vt:variant>
      <vt:variant>
        <vt:i4>5</vt:i4>
      </vt:variant>
      <vt:variant>
        <vt:lpwstr/>
      </vt:variant>
      <vt:variant>
        <vt:lpwstr>_ENREF_24</vt:lpwstr>
      </vt:variant>
      <vt:variant>
        <vt:i4>7864371</vt:i4>
      </vt:variant>
      <vt:variant>
        <vt:i4>1332</vt:i4>
      </vt:variant>
      <vt:variant>
        <vt:i4>0</vt:i4>
      </vt:variant>
      <vt:variant>
        <vt:i4>5</vt:i4>
      </vt:variant>
      <vt:variant>
        <vt:lpwstr/>
      </vt:variant>
      <vt:variant>
        <vt:lpwstr>_ENREF_188</vt:lpwstr>
      </vt:variant>
      <vt:variant>
        <vt:i4>7471154</vt:i4>
      </vt:variant>
      <vt:variant>
        <vt:i4>1326</vt:i4>
      </vt:variant>
      <vt:variant>
        <vt:i4>0</vt:i4>
      </vt:variant>
      <vt:variant>
        <vt:i4>5</vt:i4>
      </vt:variant>
      <vt:variant>
        <vt:lpwstr/>
      </vt:variant>
      <vt:variant>
        <vt:lpwstr>_ENREF_192</vt:lpwstr>
      </vt:variant>
      <vt:variant>
        <vt:i4>7471154</vt:i4>
      </vt:variant>
      <vt:variant>
        <vt:i4>1317</vt:i4>
      </vt:variant>
      <vt:variant>
        <vt:i4>0</vt:i4>
      </vt:variant>
      <vt:variant>
        <vt:i4>5</vt:i4>
      </vt:variant>
      <vt:variant>
        <vt:lpwstr/>
      </vt:variant>
      <vt:variant>
        <vt:lpwstr>_ENREF_192</vt:lpwstr>
      </vt:variant>
      <vt:variant>
        <vt:i4>7471154</vt:i4>
      </vt:variant>
      <vt:variant>
        <vt:i4>1311</vt:i4>
      </vt:variant>
      <vt:variant>
        <vt:i4>0</vt:i4>
      </vt:variant>
      <vt:variant>
        <vt:i4>5</vt:i4>
      </vt:variant>
      <vt:variant>
        <vt:lpwstr/>
      </vt:variant>
      <vt:variant>
        <vt:lpwstr>_ENREF_192</vt:lpwstr>
      </vt:variant>
      <vt:variant>
        <vt:i4>4390923</vt:i4>
      </vt:variant>
      <vt:variant>
        <vt:i4>1305</vt:i4>
      </vt:variant>
      <vt:variant>
        <vt:i4>0</vt:i4>
      </vt:variant>
      <vt:variant>
        <vt:i4>5</vt:i4>
      </vt:variant>
      <vt:variant>
        <vt:lpwstr/>
      </vt:variant>
      <vt:variant>
        <vt:lpwstr>_ENREF_27</vt:lpwstr>
      </vt:variant>
      <vt:variant>
        <vt:i4>4587531</vt:i4>
      </vt:variant>
      <vt:variant>
        <vt:i4>1299</vt:i4>
      </vt:variant>
      <vt:variant>
        <vt:i4>0</vt:i4>
      </vt:variant>
      <vt:variant>
        <vt:i4>5</vt:i4>
      </vt:variant>
      <vt:variant>
        <vt:lpwstr/>
      </vt:variant>
      <vt:variant>
        <vt:lpwstr>_ENREF_78</vt:lpwstr>
      </vt:variant>
      <vt:variant>
        <vt:i4>7602233</vt:i4>
      </vt:variant>
      <vt:variant>
        <vt:i4>1291</vt:i4>
      </vt:variant>
      <vt:variant>
        <vt:i4>0</vt:i4>
      </vt:variant>
      <vt:variant>
        <vt:i4>5</vt:i4>
      </vt:variant>
      <vt:variant>
        <vt:lpwstr/>
      </vt:variant>
      <vt:variant>
        <vt:lpwstr>_ENREF_227</vt:lpwstr>
      </vt:variant>
      <vt:variant>
        <vt:i4>4325387</vt:i4>
      </vt:variant>
      <vt:variant>
        <vt:i4>1287</vt:i4>
      </vt:variant>
      <vt:variant>
        <vt:i4>0</vt:i4>
      </vt:variant>
      <vt:variant>
        <vt:i4>5</vt:i4>
      </vt:variant>
      <vt:variant>
        <vt:lpwstr/>
      </vt:variant>
      <vt:variant>
        <vt:lpwstr>_ENREF_35</vt:lpwstr>
      </vt:variant>
      <vt:variant>
        <vt:i4>4325387</vt:i4>
      </vt:variant>
      <vt:variant>
        <vt:i4>1281</vt:i4>
      </vt:variant>
      <vt:variant>
        <vt:i4>0</vt:i4>
      </vt:variant>
      <vt:variant>
        <vt:i4>5</vt:i4>
      </vt:variant>
      <vt:variant>
        <vt:lpwstr/>
      </vt:variant>
      <vt:variant>
        <vt:lpwstr>_ENREF_3</vt:lpwstr>
      </vt:variant>
      <vt:variant>
        <vt:i4>4390923</vt:i4>
      </vt:variant>
      <vt:variant>
        <vt:i4>1275</vt:i4>
      </vt:variant>
      <vt:variant>
        <vt:i4>0</vt:i4>
      </vt:variant>
      <vt:variant>
        <vt:i4>5</vt:i4>
      </vt:variant>
      <vt:variant>
        <vt:lpwstr/>
      </vt:variant>
      <vt:variant>
        <vt:lpwstr>_ENREF_27</vt:lpwstr>
      </vt:variant>
      <vt:variant>
        <vt:i4>4653067</vt:i4>
      </vt:variant>
      <vt:variant>
        <vt:i4>1269</vt:i4>
      </vt:variant>
      <vt:variant>
        <vt:i4>0</vt:i4>
      </vt:variant>
      <vt:variant>
        <vt:i4>5</vt:i4>
      </vt:variant>
      <vt:variant>
        <vt:lpwstr/>
      </vt:variant>
      <vt:variant>
        <vt:lpwstr>_ENREF_6</vt:lpwstr>
      </vt:variant>
      <vt:variant>
        <vt:i4>7471162</vt:i4>
      </vt:variant>
      <vt:variant>
        <vt:i4>1261</vt:i4>
      </vt:variant>
      <vt:variant>
        <vt:i4>0</vt:i4>
      </vt:variant>
      <vt:variant>
        <vt:i4>5</vt:i4>
      </vt:variant>
      <vt:variant>
        <vt:lpwstr/>
      </vt:variant>
      <vt:variant>
        <vt:lpwstr>_ENREF_310</vt:lpwstr>
      </vt:variant>
      <vt:variant>
        <vt:i4>7536702</vt:i4>
      </vt:variant>
      <vt:variant>
        <vt:i4>1258</vt:i4>
      </vt:variant>
      <vt:variant>
        <vt:i4>0</vt:i4>
      </vt:variant>
      <vt:variant>
        <vt:i4>5</vt:i4>
      </vt:variant>
      <vt:variant>
        <vt:lpwstr/>
      </vt:variant>
      <vt:variant>
        <vt:lpwstr>_ENREF_250</vt:lpwstr>
      </vt:variant>
      <vt:variant>
        <vt:i4>7536696</vt:i4>
      </vt:variant>
      <vt:variant>
        <vt:i4>1255</vt:i4>
      </vt:variant>
      <vt:variant>
        <vt:i4>0</vt:i4>
      </vt:variant>
      <vt:variant>
        <vt:i4>5</vt:i4>
      </vt:variant>
      <vt:variant>
        <vt:lpwstr/>
      </vt:variant>
      <vt:variant>
        <vt:lpwstr>_ENREF_230</vt:lpwstr>
      </vt:variant>
      <vt:variant>
        <vt:i4>4390923</vt:i4>
      </vt:variant>
      <vt:variant>
        <vt:i4>1247</vt:i4>
      </vt:variant>
      <vt:variant>
        <vt:i4>0</vt:i4>
      </vt:variant>
      <vt:variant>
        <vt:i4>5</vt:i4>
      </vt:variant>
      <vt:variant>
        <vt:lpwstr/>
      </vt:variant>
      <vt:variant>
        <vt:lpwstr>_ENREF_27</vt:lpwstr>
      </vt:variant>
      <vt:variant>
        <vt:i4>4390923</vt:i4>
      </vt:variant>
      <vt:variant>
        <vt:i4>1241</vt:i4>
      </vt:variant>
      <vt:variant>
        <vt:i4>0</vt:i4>
      </vt:variant>
      <vt:variant>
        <vt:i4>5</vt:i4>
      </vt:variant>
      <vt:variant>
        <vt:lpwstr/>
      </vt:variant>
      <vt:variant>
        <vt:lpwstr>_ENREF_27</vt:lpwstr>
      </vt:variant>
      <vt:variant>
        <vt:i4>7405624</vt:i4>
      </vt:variant>
      <vt:variant>
        <vt:i4>1235</vt:i4>
      </vt:variant>
      <vt:variant>
        <vt:i4>0</vt:i4>
      </vt:variant>
      <vt:variant>
        <vt:i4>5</vt:i4>
      </vt:variant>
      <vt:variant>
        <vt:lpwstr/>
      </vt:variant>
      <vt:variant>
        <vt:lpwstr>_ENREF_232</vt:lpwstr>
      </vt:variant>
      <vt:variant>
        <vt:i4>7340095</vt:i4>
      </vt:variant>
      <vt:variant>
        <vt:i4>1229</vt:i4>
      </vt:variant>
      <vt:variant>
        <vt:i4>0</vt:i4>
      </vt:variant>
      <vt:variant>
        <vt:i4>5</vt:i4>
      </vt:variant>
      <vt:variant>
        <vt:lpwstr/>
      </vt:variant>
      <vt:variant>
        <vt:lpwstr>_ENREF_243</vt:lpwstr>
      </vt:variant>
      <vt:variant>
        <vt:i4>7536697</vt:i4>
      </vt:variant>
      <vt:variant>
        <vt:i4>1226</vt:i4>
      </vt:variant>
      <vt:variant>
        <vt:i4>0</vt:i4>
      </vt:variant>
      <vt:variant>
        <vt:i4>5</vt:i4>
      </vt:variant>
      <vt:variant>
        <vt:lpwstr/>
      </vt:variant>
      <vt:variant>
        <vt:lpwstr>_ENREF_123</vt:lpwstr>
      </vt:variant>
      <vt:variant>
        <vt:i4>4390923</vt:i4>
      </vt:variant>
      <vt:variant>
        <vt:i4>1218</vt:i4>
      </vt:variant>
      <vt:variant>
        <vt:i4>0</vt:i4>
      </vt:variant>
      <vt:variant>
        <vt:i4>5</vt:i4>
      </vt:variant>
      <vt:variant>
        <vt:lpwstr/>
      </vt:variant>
      <vt:variant>
        <vt:lpwstr>_ENREF_27</vt:lpwstr>
      </vt:variant>
      <vt:variant>
        <vt:i4>4456459</vt:i4>
      </vt:variant>
      <vt:variant>
        <vt:i4>1212</vt:i4>
      </vt:variant>
      <vt:variant>
        <vt:i4>0</vt:i4>
      </vt:variant>
      <vt:variant>
        <vt:i4>5</vt:i4>
      </vt:variant>
      <vt:variant>
        <vt:lpwstr/>
      </vt:variant>
      <vt:variant>
        <vt:lpwstr>_ENREF_53</vt:lpwstr>
      </vt:variant>
      <vt:variant>
        <vt:i4>4456459</vt:i4>
      </vt:variant>
      <vt:variant>
        <vt:i4>1206</vt:i4>
      </vt:variant>
      <vt:variant>
        <vt:i4>0</vt:i4>
      </vt:variant>
      <vt:variant>
        <vt:i4>5</vt:i4>
      </vt:variant>
      <vt:variant>
        <vt:lpwstr/>
      </vt:variant>
      <vt:variant>
        <vt:lpwstr>_ENREF_5</vt:lpwstr>
      </vt:variant>
      <vt:variant>
        <vt:i4>4325387</vt:i4>
      </vt:variant>
      <vt:variant>
        <vt:i4>1203</vt:i4>
      </vt:variant>
      <vt:variant>
        <vt:i4>0</vt:i4>
      </vt:variant>
      <vt:variant>
        <vt:i4>5</vt:i4>
      </vt:variant>
      <vt:variant>
        <vt:lpwstr/>
      </vt:variant>
      <vt:variant>
        <vt:lpwstr>_ENREF_3</vt:lpwstr>
      </vt:variant>
      <vt:variant>
        <vt:i4>7471160</vt:i4>
      </vt:variant>
      <vt:variant>
        <vt:i4>1193</vt:i4>
      </vt:variant>
      <vt:variant>
        <vt:i4>0</vt:i4>
      </vt:variant>
      <vt:variant>
        <vt:i4>5</vt:i4>
      </vt:variant>
      <vt:variant>
        <vt:lpwstr/>
      </vt:variant>
      <vt:variant>
        <vt:lpwstr>_ENREF_231</vt:lpwstr>
      </vt:variant>
      <vt:variant>
        <vt:i4>7995452</vt:i4>
      </vt:variant>
      <vt:variant>
        <vt:i4>1183</vt:i4>
      </vt:variant>
      <vt:variant>
        <vt:i4>0</vt:i4>
      </vt:variant>
      <vt:variant>
        <vt:i4>5</vt:i4>
      </vt:variant>
      <vt:variant>
        <vt:lpwstr/>
      </vt:variant>
      <vt:variant>
        <vt:lpwstr>_ENREF_279</vt:lpwstr>
      </vt:variant>
      <vt:variant>
        <vt:i4>7405630</vt:i4>
      </vt:variant>
      <vt:variant>
        <vt:i4>1171</vt:i4>
      </vt:variant>
      <vt:variant>
        <vt:i4>0</vt:i4>
      </vt:variant>
      <vt:variant>
        <vt:i4>5</vt:i4>
      </vt:variant>
      <vt:variant>
        <vt:lpwstr/>
      </vt:variant>
      <vt:variant>
        <vt:lpwstr>_ENREF_151</vt:lpwstr>
      </vt:variant>
      <vt:variant>
        <vt:i4>4653067</vt:i4>
      </vt:variant>
      <vt:variant>
        <vt:i4>1168</vt:i4>
      </vt:variant>
      <vt:variant>
        <vt:i4>0</vt:i4>
      </vt:variant>
      <vt:variant>
        <vt:i4>5</vt:i4>
      </vt:variant>
      <vt:variant>
        <vt:lpwstr/>
      </vt:variant>
      <vt:variant>
        <vt:lpwstr>_ENREF_62</vt:lpwstr>
      </vt:variant>
      <vt:variant>
        <vt:i4>4456459</vt:i4>
      </vt:variant>
      <vt:variant>
        <vt:i4>1165</vt:i4>
      </vt:variant>
      <vt:variant>
        <vt:i4>0</vt:i4>
      </vt:variant>
      <vt:variant>
        <vt:i4>5</vt:i4>
      </vt:variant>
      <vt:variant>
        <vt:lpwstr/>
      </vt:variant>
      <vt:variant>
        <vt:lpwstr>_ENREF_58</vt:lpwstr>
      </vt:variant>
      <vt:variant>
        <vt:i4>7471160</vt:i4>
      </vt:variant>
      <vt:variant>
        <vt:i4>1154</vt:i4>
      </vt:variant>
      <vt:variant>
        <vt:i4>0</vt:i4>
      </vt:variant>
      <vt:variant>
        <vt:i4>5</vt:i4>
      </vt:variant>
      <vt:variant>
        <vt:lpwstr/>
      </vt:variant>
      <vt:variant>
        <vt:lpwstr>_ENREF_231</vt:lpwstr>
      </vt:variant>
      <vt:variant>
        <vt:i4>4390923</vt:i4>
      </vt:variant>
      <vt:variant>
        <vt:i4>1148</vt:i4>
      </vt:variant>
      <vt:variant>
        <vt:i4>0</vt:i4>
      </vt:variant>
      <vt:variant>
        <vt:i4>5</vt:i4>
      </vt:variant>
      <vt:variant>
        <vt:lpwstr/>
      </vt:variant>
      <vt:variant>
        <vt:lpwstr>_ENREF_23</vt:lpwstr>
      </vt:variant>
      <vt:variant>
        <vt:i4>4390923</vt:i4>
      </vt:variant>
      <vt:variant>
        <vt:i4>1142</vt:i4>
      </vt:variant>
      <vt:variant>
        <vt:i4>0</vt:i4>
      </vt:variant>
      <vt:variant>
        <vt:i4>5</vt:i4>
      </vt:variant>
      <vt:variant>
        <vt:lpwstr/>
      </vt:variant>
      <vt:variant>
        <vt:lpwstr>_ENREF_23</vt:lpwstr>
      </vt:variant>
      <vt:variant>
        <vt:i4>4390923</vt:i4>
      </vt:variant>
      <vt:variant>
        <vt:i4>1136</vt:i4>
      </vt:variant>
      <vt:variant>
        <vt:i4>0</vt:i4>
      </vt:variant>
      <vt:variant>
        <vt:i4>5</vt:i4>
      </vt:variant>
      <vt:variant>
        <vt:lpwstr/>
      </vt:variant>
      <vt:variant>
        <vt:lpwstr>_ENREF_23</vt:lpwstr>
      </vt:variant>
      <vt:variant>
        <vt:i4>4587531</vt:i4>
      </vt:variant>
      <vt:variant>
        <vt:i4>1130</vt:i4>
      </vt:variant>
      <vt:variant>
        <vt:i4>0</vt:i4>
      </vt:variant>
      <vt:variant>
        <vt:i4>5</vt:i4>
      </vt:variant>
      <vt:variant>
        <vt:lpwstr/>
      </vt:variant>
      <vt:variant>
        <vt:lpwstr>_ENREF_79</vt:lpwstr>
      </vt:variant>
      <vt:variant>
        <vt:i4>7667768</vt:i4>
      </vt:variant>
      <vt:variant>
        <vt:i4>1124</vt:i4>
      </vt:variant>
      <vt:variant>
        <vt:i4>0</vt:i4>
      </vt:variant>
      <vt:variant>
        <vt:i4>5</vt:i4>
      </vt:variant>
      <vt:variant>
        <vt:lpwstr/>
      </vt:variant>
      <vt:variant>
        <vt:lpwstr>_ENREF_337</vt:lpwstr>
      </vt:variant>
      <vt:variant>
        <vt:i4>7798842</vt:i4>
      </vt:variant>
      <vt:variant>
        <vt:i4>1121</vt:i4>
      </vt:variant>
      <vt:variant>
        <vt:i4>0</vt:i4>
      </vt:variant>
      <vt:variant>
        <vt:i4>5</vt:i4>
      </vt:variant>
      <vt:variant>
        <vt:lpwstr/>
      </vt:variant>
      <vt:variant>
        <vt:lpwstr>_ENREF_315</vt:lpwstr>
      </vt:variant>
      <vt:variant>
        <vt:i4>7798840</vt:i4>
      </vt:variant>
      <vt:variant>
        <vt:i4>1118</vt:i4>
      </vt:variant>
      <vt:variant>
        <vt:i4>0</vt:i4>
      </vt:variant>
      <vt:variant>
        <vt:i4>5</vt:i4>
      </vt:variant>
      <vt:variant>
        <vt:lpwstr/>
      </vt:variant>
      <vt:variant>
        <vt:lpwstr>_ENREF_234</vt:lpwstr>
      </vt:variant>
      <vt:variant>
        <vt:i4>4390923</vt:i4>
      </vt:variant>
      <vt:variant>
        <vt:i4>1110</vt:i4>
      </vt:variant>
      <vt:variant>
        <vt:i4>0</vt:i4>
      </vt:variant>
      <vt:variant>
        <vt:i4>5</vt:i4>
      </vt:variant>
      <vt:variant>
        <vt:lpwstr/>
      </vt:variant>
      <vt:variant>
        <vt:lpwstr>_ENREF_27</vt:lpwstr>
      </vt:variant>
      <vt:variant>
        <vt:i4>7471166</vt:i4>
      </vt:variant>
      <vt:variant>
        <vt:i4>1099</vt:i4>
      </vt:variant>
      <vt:variant>
        <vt:i4>0</vt:i4>
      </vt:variant>
      <vt:variant>
        <vt:i4>5</vt:i4>
      </vt:variant>
      <vt:variant>
        <vt:lpwstr/>
      </vt:variant>
      <vt:variant>
        <vt:lpwstr>_ENREF_152</vt:lpwstr>
      </vt:variant>
      <vt:variant>
        <vt:i4>7471166</vt:i4>
      </vt:variant>
      <vt:variant>
        <vt:i4>1089</vt:i4>
      </vt:variant>
      <vt:variant>
        <vt:i4>0</vt:i4>
      </vt:variant>
      <vt:variant>
        <vt:i4>5</vt:i4>
      </vt:variant>
      <vt:variant>
        <vt:lpwstr/>
      </vt:variant>
      <vt:variant>
        <vt:lpwstr>_ENREF_152</vt:lpwstr>
      </vt:variant>
      <vt:variant>
        <vt:i4>7471166</vt:i4>
      </vt:variant>
      <vt:variant>
        <vt:i4>1083</vt:i4>
      </vt:variant>
      <vt:variant>
        <vt:i4>0</vt:i4>
      </vt:variant>
      <vt:variant>
        <vt:i4>5</vt:i4>
      </vt:variant>
      <vt:variant>
        <vt:lpwstr/>
      </vt:variant>
      <vt:variant>
        <vt:lpwstr>_ENREF_152</vt:lpwstr>
      </vt:variant>
      <vt:variant>
        <vt:i4>4390923</vt:i4>
      </vt:variant>
      <vt:variant>
        <vt:i4>1077</vt:i4>
      </vt:variant>
      <vt:variant>
        <vt:i4>0</vt:i4>
      </vt:variant>
      <vt:variant>
        <vt:i4>5</vt:i4>
      </vt:variant>
      <vt:variant>
        <vt:lpwstr/>
      </vt:variant>
      <vt:variant>
        <vt:lpwstr>_ENREF_27</vt:lpwstr>
      </vt:variant>
      <vt:variant>
        <vt:i4>7798834</vt:i4>
      </vt:variant>
      <vt:variant>
        <vt:i4>1071</vt:i4>
      </vt:variant>
      <vt:variant>
        <vt:i4>0</vt:i4>
      </vt:variant>
      <vt:variant>
        <vt:i4>5</vt:i4>
      </vt:variant>
      <vt:variant>
        <vt:lpwstr/>
      </vt:variant>
      <vt:variant>
        <vt:lpwstr>_ENREF_197</vt:lpwstr>
      </vt:variant>
      <vt:variant>
        <vt:i4>7471166</vt:i4>
      </vt:variant>
      <vt:variant>
        <vt:i4>1068</vt:i4>
      </vt:variant>
      <vt:variant>
        <vt:i4>0</vt:i4>
      </vt:variant>
      <vt:variant>
        <vt:i4>5</vt:i4>
      </vt:variant>
      <vt:variant>
        <vt:lpwstr/>
      </vt:variant>
      <vt:variant>
        <vt:lpwstr>_ENREF_152</vt:lpwstr>
      </vt:variant>
      <vt:variant>
        <vt:i4>4653067</vt:i4>
      </vt:variant>
      <vt:variant>
        <vt:i4>1065</vt:i4>
      </vt:variant>
      <vt:variant>
        <vt:i4>0</vt:i4>
      </vt:variant>
      <vt:variant>
        <vt:i4>5</vt:i4>
      </vt:variant>
      <vt:variant>
        <vt:lpwstr/>
      </vt:variant>
      <vt:variant>
        <vt:lpwstr>_ENREF_6</vt:lpwstr>
      </vt:variant>
      <vt:variant>
        <vt:i4>7471166</vt:i4>
      </vt:variant>
      <vt:variant>
        <vt:i4>1057</vt:i4>
      </vt:variant>
      <vt:variant>
        <vt:i4>0</vt:i4>
      </vt:variant>
      <vt:variant>
        <vt:i4>5</vt:i4>
      </vt:variant>
      <vt:variant>
        <vt:lpwstr/>
      </vt:variant>
      <vt:variant>
        <vt:lpwstr>_ENREF_152</vt:lpwstr>
      </vt:variant>
      <vt:variant>
        <vt:i4>4390923</vt:i4>
      </vt:variant>
      <vt:variant>
        <vt:i4>1054</vt:i4>
      </vt:variant>
      <vt:variant>
        <vt:i4>0</vt:i4>
      </vt:variant>
      <vt:variant>
        <vt:i4>5</vt:i4>
      </vt:variant>
      <vt:variant>
        <vt:lpwstr/>
      </vt:variant>
      <vt:variant>
        <vt:lpwstr>_ENREF_27</vt:lpwstr>
      </vt:variant>
      <vt:variant>
        <vt:i4>4521995</vt:i4>
      </vt:variant>
      <vt:variant>
        <vt:i4>1051</vt:i4>
      </vt:variant>
      <vt:variant>
        <vt:i4>0</vt:i4>
      </vt:variant>
      <vt:variant>
        <vt:i4>5</vt:i4>
      </vt:variant>
      <vt:variant>
        <vt:lpwstr/>
      </vt:variant>
      <vt:variant>
        <vt:lpwstr>_ENREF_4</vt:lpwstr>
      </vt:variant>
      <vt:variant>
        <vt:i4>4718603</vt:i4>
      </vt:variant>
      <vt:variant>
        <vt:i4>1034</vt:i4>
      </vt:variant>
      <vt:variant>
        <vt:i4>0</vt:i4>
      </vt:variant>
      <vt:variant>
        <vt:i4>5</vt:i4>
      </vt:variant>
      <vt:variant>
        <vt:lpwstr/>
      </vt:variant>
      <vt:variant>
        <vt:lpwstr>_ENREF_98</vt:lpwstr>
      </vt:variant>
      <vt:variant>
        <vt:i4>7471160</vt:i4>
      </vt:variant>
      <vt:variant>
        <vt:i4>1028</vt:i4>
      </vt:variant>
      <vt:variant>
        <vt:i4>0</vt:i4>
      </vt:variant>
      <vt:variant>
        <vt:i4>5</vt:i4>
      </vt:variant>
      <vt:variant>
        <vt:lpwstr/>
      </vt:variant>
      <vt:variant>
        <vt:lpwstr>_ENREF_231</vt:lpwstr>
      </vt:variant>
      <vt:variant>
        <vt:i4>7536698</vt:i4>
      </vt:variant>
      <vt:variant>
        <vt:i4>1025</vt:i4>
      </vt:variant>
      <vt:variant>
        <vt:i4>0</vt:i4>
      </vt:variant>
      <vt:variant>
        <vt:i4>5</vt:i4>
      </vt:variant>
      <vt:variant>
        <vt:lpwstr/>
      </vt:variant>
      <vt:variant>
        <vt:lpwstr>_ENREF_210</vt:lpwstr>
      </vt:variant>
      <vt:variant>
        <vt:i4>7602233</vt:i4>
      </vt:variant>
      <vt:variant>
        <vt:i4>1017</vt:i4>
      </vt:variant>
      <vt:variant>
        <vt:i4>0</vt:i4>
      </vt:variant>
      <vt:variant>
        <vt:i4>5</vt:i4>
      </vt:variant>
      <vt:variant>
        <vt:lpwstr/>
      </vt:variant>
      <vt:variant>
        <vt:lpwstr>_ENREF_124</vt:lpwstr>
      </vt:variant>
      <vt:variant>
        <vt:i4>7471162</vt:i4>
      </vt:variant>
      <vt:variant>
        <vt:i4>1011</vt:i4>
      </vt:variant>
      <vt:variant>
        <vt:i4>0</vt:i4>
      </vt:variant>
      <vt:variant>
        <vt:i4>5</vt:i4>
      </vt:variant>
      <vt:variant>
        <vt:lpwstr/>
      </vt:variant>
      <vt:variant>
        <vt:lpwstr>_ENREF_211</vt:lpwstr>
      </vt:variant>
      <vt:variant>
        <vt:i4>7405625</vt:i4>
      </vt:variant>
      <vt:variant>
        <vt:i4>1008</vt:i4>
      </vt:variant>
      <vt:variant>
        <vt:i4>0</vt:i4>
      </vt:variant>
      <vt:variant>
        <vt:i4>5</vt:i4>
      </vt:variant>
      <vt:variant>
        <vt:lpwstr/>
      </vt:variant>
      <vt:variant>
        <vt:lpwstr>_ENREF_121</vt:lpwstr>
      </vt:variant>
      <vt:variant>
        <vt:i4>7340089</vt:i4>
      </vt:variant>
      <vt:variant>
        <vt:i4>1000</vt:i4>
      </vt:variant>
      <vt:variant>
        <vt:i4>0</vt:i4>
      </vt:variant>
      <vt:variant>
        <vt:i4>5</vt:i4>
      </vt:variant>
      <vt:variant>
        <vt:lpwstr/>
      </vt:variant>
      <vt:variant>
        <vt:lpwstr>_ENREF_120</vt:lpwstr>
      </vt:variant>
      <vt:variant>
        <vt:i4>7929916</vt:i4>
      </vt:variant>
      <vt:variant>
        <vt:i4>994</vt:i4>
      </vt:variant>
      <vt:variant>
        <vt:i4>0</vt:i4>
      </vt:variant>
      <vt:variant>
        <vt:i4>5</vt:i4>
      </vt:variant>
      <vt:variant>
        <vt:lpwstr/>
      </vt:variant>
      <vt:variant>
        <vt:lpwstr>_ENREF_179</vt:lpwstr>
      </vt:variant>
      <vt:variant>
        <vt:i4>4718603</vt:i4>
      </vt:variant>
      <vt:variant>
        <vt:i4>986</vt:i4>
      </vt:variant>
      <vt:variant>
        <vt:i4>0</vt:i4>
      </vt:variant>
      <vt:variant>
        <vt:i4>5</vt:i4>
      </vt:variant>
      <vt:variant>
        <vt:lpwstr/>
      </vt:variant>
      <vt:variant>
        <vt:lpwstr>_ENREF_95</vt:lpwstr>
      </vt:variant>
      <vt:variant>
        <vt:i4>7340082</vt:i4>
      </vt:variant>
      <vt:variant>
        <vt:i4>978</vt:i4>
      </vt:variant>
      <vt:variant>
        <vt:i4>0</vt:i4>
      </vt:variant>
      <vt:variant>
        <vt:i4>5</vt:i4>
      </vt:variant>
      <vt:variant>
        <vt:lpwstr/>
      </vt:variant>
      <vt:variant>
        <vt:lpwstr>_ENREF_190</vt:lpwstr>
      </vt:variant>
      <vt:variant>
        <vt:i4>7536690</vt:i4>
      </vt:variant>
      <vt:variant>
        <vt:i4>974</vt:i4>
      </vt:variant>
      <vt:variant>
        <vt:i4>0</vt:i4>
      </vt:variant>
      <vt:variant>
        <vt:i4>5</vt:i4>
      </vt:variant>
      <vt:variant>
        <vt:lpwstr/>
      </vt:variant>
      <vt:variant>
        <vt:lpwstr>_ENREF_193</vt:lpwstr>
      </vt:variant>
      <vt:variant>
        <vt:i4>7340095</vt:i4>
      </vt:variant>
      <vt:variant>
        <vt:i4>968</vt:i4>
      </vt:variant>
      <vt:variant>
        <vt:i4>0</vt:i4>
      </vt:variant>
      <vt:variant>
        <vt:i4>5</vt:i4>
      </vt:variant>
      <vt:variant>
        <vt:lpwstr/>
      </vt:variant>
      <vt:variant>
        <vt:lpwstr>_ENREF_140</vt:lpwstr>
      </vt:variant>
      <vt:variant>
        <vt:i4>7471167</vt:i4>
      </vt:variant>
      <vt:variant>
        <vt:i4>962</vt:i4>
      </vt:variant>
      <vt:variant>
        <vt:i4>0</vt:i4>
      </vt:variant>
      <vt:variant>
        <vt:i4>5</vt:i4>
      </vt:variant>
      <vt:variant>
        <vt:lpwstr/>
      </vt:variant>
      <vt:variant>
        <vt:lpwstr>_ENREF_340</vt:lpwstr>
      </vt:variant>
      <vt:variant>
        <vt:i4>7536696</vt:i4>
      </vt:variant>
      <vt:variant>
        <vt:i4>959</vt:i4>
      </vt:variant>
      <vt:variant>
        <vt:i4>0</vt:i4>
      </vt:variant>
      <vt:variant>
        <vt:i4>5</vt:i4>
      </vt:variant>
      <vt:variant>
        <vt:lpwstr/>
      </vt:variant>
      <vt:variant>
        <vt:lpwstr>_ENREF_331</vt:lpwstr>
      </vt:variant>
      <vt:variant>
        <vt:i4>7405618</vt:i4>
      </vt:variant>
      <vt:variant>
        <vt:i4>951</vt:i4>
      </vt:variant>
      <vt:variant>
        <vt:i4>0</vt:i4>
      </vt:variant>
      <vt:variant>
        <vt:i4>5</vt:i4>
      </vt:variant>
      <vt:variant>
        <vt:lpwstr/>
      </vt:variant>
      <vt:variant>
        <vt:lpwstr>_ENREF_191</vt:lpwstr>
      </vt:variant>
      <vt:variant>
        <vt:i4>4325387</vt:i4>
      </vt:variant>
      <vt:variant>
        <vt:i4>948</vt:i4>
      </vt:variant>
      <vt:variant>
        <vt:i4>0</vt:i4>
      </vt:variant>
      <vt:variant>
        <vt:i4>5</vt:i4>
      </vt:variant>
      <vt:variant>
        <vt:lpwstr/>
      </vt:variant>
      <vt:variant>
        <vt:lpwstr>_ENREF_37</vt:lpwstr>
      </vt:variant>
      <vt:variant>
        <vt:i4>7733308</vt:i4>
      </vt:variant>
      <vt:variant>
        <vt:i4>934</vt:i4>
      </vt:variant>
      <vt:variant>
        <vt:i4>0</vt:i4>
      </vt:variant>
      <vt:variant>
        <vt:i4>5</vt:i4>
      </vt:variant>
      <vt:variant>
        <vt:lpwstr/>
      </vt:variant>
      <vt:variant>
        <vt:lpwstr>_ENREF_176</vt:lpwstr>
      </vt:variant>
      <vt:variant>
        <vt:i4>1048629</vt:i4>
      </vt:variant>
      <vt:variant>
        <vt:i4>925</vt:i4>
      </vt:variant>
      <vt:variant>
        <vt:i4>0</vt:i4>
      </vt:variant>
      <vt:variant>
        <vt:i4>5</vt:i4>
      </vt:variant>
      <vt:variant>
        <vt:lpwstr/>
      </vt:variant>
      <vt:variant>
        <vt:lpwstr>_Toc163474013</vt:lpwstr>
      </vt:variant>
      <vt:variant>
        <vt:i4>1048629</vt:i4>
      </vt:variant>
      <vt:variant>
        <vt:i4>919</vt:i4>
      </vt:variant>
      <vt:variant>
        <vt:i4>0</vt:i4>
      </vt:variant>
      <vt:variant>
        <vt:i4>5</vt:i4>
      </vt:variant>
      <vt:variant>
        <vt:lpwstr/>
      </vt:variant>
      <vt:variant>
        <vt:lpwstr>_Toc163474012</vt:lpwstr>
      </vt:variant>
      <vt:variant>
        <vt:i4>1048629</vt:i4>
      </vt:variant>
      <vt:variant>
        <vt:i4>913</vt:i4>
      </vt:variant>
      <vt:variant>
        <vt:i4>0</vt:i4>
      </vt:variant>
      <vt:variant>
        <vt:i4>5</vt:i4>
      </vt:variant>
      <vt:variant>
        <vt:lpwstr/>
      </vt:variant>
      <vt:variant>
        <vt:lpwstr>_Toc163474011</vt:lpwstr>
      </vt:variant>
      <vt:variant>
        <vt:i4>1048629</vt:i4>
      </vt:variant>
      <vt:variant>
        <vt:i4>907</vt:i4>
      </vt:variant>
      <vt:variant>
        <vt:i4>0</vt:i4>
      </vt:variant>
      <vt:variant>
        <vt:i4>5</vt:i4>
      </vt:variant>
      <vt:variant>
        <vt:lpwstr/>
      </vt:variant>
      <vt:variant>
        <vt:lpwstr>_Toc163474010</vt:lpwstr>
      </vt:variant>
      <vt:variant>
        <vt:i4>1114165</vt:i4>
      </vt:variant>
      <vt:variant>
        <vt:i4>901</vt:i4>
      </vt:variant>
      <vt:variant>
        <vt:i4>0</vt:i4>
      </vt:variant>
      <vt:variant>
        <vt:i4>5</vt:i4>
      </vt:variant>
      <vt:variant>
        <vt:lpwstr/>
      </vt:variant>
      <vt:variant>
        <vt:lpwstr>_Toc163474009</vt:lpwstr>
      </vt:variant>
      <vt:variant>
        <vt:i4>1114165</vt:i4>
      </vt:variant>
      <vt:variant>
        <vt:i4>895</vt:i4>
      </vt:variant>
      <vt:variant>
        <vt:i4>0</vt:i4>
      </vt:variant>
      <vt:variant>
        <vt:i4>5</vt:i4>
      </vt:variant>
      <vt:variant>
        <vt:lpwstr/>
      </vt:variant>
      <vt:variant>
        <vt:lpwstr>_Toc163474008</vt:lpwstr>
      </vt:variant>
      <vt:variant>
        <vt:i4>1114165</vt:i4>
      </vt:variant>
      <vt:variant>
        <vt:i4>889</vt:i4>
      </vt:variant>
      <vt:variant>
        <vt:i4>0</vt:i4>
      </vt:variant>
      <vt:variant>
        <vt:i4>5</vt:i4>
      </vt:variant>
      <vt:variant>
        <vt:lpwstr/>
      </vt:variant>
      <vt:variant>
        <vt:lpwstr>_Toc163474007</vt:lpwstr>
      </vt:variant>
      <vt:variant>
        <vt:i4>1114165</vt:i4>
      </vt:variant>
      <vt:variant>
        <vt:i4>883</vt:i4>
      </vt:variant>
      <vt:variant>
        <vt:i4>0</vt:i4>
      </vt:variant>
      <vt:variant>
        <vt:i4>5</vt:i4>
      </vt:variant>
      <vt:variant>
        <vt:lpwstr/>
      </vt:variant>
      <vt:variant>
        <vt:lpwstr>_Toc163474006</vt:lpwstr>
      </vt:variant>
      <vt:variant>
        <vt:i4>1114165</vt:i4>
      </vt:variant>
      <vt:variant>
        <vt:i4>874</vt:i4>
      </vt:variant>
      <vt:variant>
        <vt:i4>0</vt:i4>
      </vt:variant>
      <vt:variant>
        <vt:i4>5</vt:i4>
      </vt:variant>
      <vt:variant>
        <vt:lpwstr/>
      </vt:variant>
      <vt:variant>
        <vt:lpwstr>_Toc163474005</vt:lpwstr>
      </vt:variant>
      <vt:variant>
        <vt:i4>1114165</vt:i4>
      </vt:variant>
      <vt:variant>
        <vt:i4>868</vt:i4>
      </vt:variant>
      <vt:variant>
        <vt:i4>0</vt:i4>
      </vt:variant>
      <vt:variant>
        <vt:i4>5</vt:i4>
      </vt:variant>
      <vt:variant>
        <vt:lpwstr/>
      </vt:variant>
      <vt:variant>
        <vt:lpwstr>_Toc163474004</vt:lpwstr>
      </vt:variant>
      <vt:variant>
        <vt:i4>1114165</vt:i4>
      </vt:variant>
      <vt:variant>
        <vt:i4>862</vt:i4>
      </vt:variant>
      <vt:variant>
        <vt:i4>0</vt:i4>
      </vt:variant>
      <vt:variant>
        <vt:i4>5</vt:i4>
      </vt:variant>
      <vt:variant>
        <vt:lpwstr/>
      </vt:variant>
      <vt:variant>
        <vt:lpwstr>_Toc163474003</vt:lpwstr>
      </vt:variant>
      <vt:variant>
        <vt:i4>1114165</vt:i4>
      </vt:variant>
      <vt:variant>
        <vt:i4>856</vt:i4>
      </vt:variant>
      <vt:variant>
        <vt:i4>0</vt:i4>
      </vt:variant>
      <vt:variant>
        <vt:i4>5</vt:i4>
      </vt:variant>
      <vt:variant>
        <vt:lpwstr/>
      </vt:variant>
      <vt:variant>
        <vt:lpwstr>_Toc163474002</vt:lpwstr>
      </vt:variant>
      <vt:variant>
        <vt:i4>1114165</vt:i4>
      </vt:variant>
      <vt:variant>
        <vt:i4>847</vt:i4>
      </vt:variant>
      <vt:variant>
        <vt:i4>0</vt:i4>
      </vt:variant>
      <vt:variant>
        <vt:i4>5</vt:i4>
      </vt:variant>
      <vt:variant>
        <vt:lpwstr/>
      </vt:variant>
      <vt:variant>
        <vt:lpwstr>_Toc163474001</vt:lpwstr>
      </vt:variant>
      <vt:variant>
        <vt:i4>1114165</vt:i4>
      </vt:variant>
      <vt:variant>
        <vt:i4>841</vt:i4>
      </vt:variant>
      <vt:variant>
        <vt:i4>0</vt:i4>
      </vt:variant>
      <vt:variant>
        <vt:i4>5</vt:i4>
      </vt:variant>
      <vt:variant>
        <vt:lpwstr/>
      </vt:variant>
      <vt:variant>
        <vt:lpwstr>_Toc163474000</vt:lpwstr>
      </vt:variant>
      <vt:variant>
        <vt:i4>2031676</vt:i4>
      </vt:variant>
      <vt:variant>
        <vt:i4>835</vt:i4>
      </vt:variant>
      <vt:variant>
        <vt:i4>0</vt:i4>
      </vt:variant>
      <vt:variant>
        <vt:i4>5</vt:i4>
      </vt:variant>
      <vt:variant>
        <vt:lpwstr/>
      </vt:variant>
      <vt:variant>
        <vt:lpwstr>_Toc163473999</vt:lpwstr>
      </vt:variant>
      <vt:variant>
        <vt:i4>2031676</vt:i4>
      </vt:variant>
      <vt:variant>
        <vt:i4>826</vt:i4>
      </vt:variant>
      <vt:variant>
        <vt:i4>0</vt:i4>
      </vt:variant>
      <vt:variant>
        <vt:i4>5</vt:i4>
      </vt:variant>
      <vt:variant>
        <vt:lpwstr/>
      </vt:variant>
      <vt:variant>
        <vt:lpwstr>_Toc163473998</vt:lpwstr>
      </vt:variant>
      <vt:variant>
        <vt:i4>2031676</vt:i4>
      </vt:variant>
      <vt:variant>
        <vt:i4>820</vt:i4>
      </vt:variant>
      <vt:variant>
        <vt:i4>0</vt:i4>
      </vt:variant>
      <vt:variant>
        <vt:i4>5</vt:i4>
      </vt:variant>
      <vt:variant>
        <vt:lpwstr/>
      </vt:variant>
      <vt:variant>
        <vt:lpwstr>_Toc163473997</vt:lpwstr>
      </vt:variant>
      <vt:variant>
        <vt:i4>2031676</vt:i4>
      </vt:variant>
      <vt:variant>
        <vt:i4>814</vt:i4>
      </vt:variant>
      <vt:variant>
        <vt:i4>0</vt:i4>
      </vt:variant>
      <vt:variant>
        <vt:i4>5</vt:i4>
      </vt:variant>
      <vt:variant>
        <vt:lpwstr/>
      </vt:variant>
      <vt:variant>
        <vt:lpwstr>_Toc163473996</vt:lpwstr>
      </vt:variant>
      <vt:variant>
        <vt:i4>2031676</vt:i4>
      </vt:variant>
      <vt:variant>
        <vt:i4>808</vt:i4>
      </vt:variant>
      <vt:variant>
        <vt:i4>0</vt:i4>
      </vt:variant>
      <vt:variant>
        <vt:i4>5</vt:i4>
      </vt:variant>
      <vt:variant>
        <vt:lpwstr/>
      </vt:variant>
      <vt:variant>
        <vt:lpwstr>_Toc163473995</vt:lpwstr>
      </vt:variant>
      <vt:variant>
        <vt:i4>2031676</vt:i4>
      </vt:variant>
      <vt:variant>
        <vt:i4>802</vt:i4>
      </vt:variant>
      <vt:variant>
        <vt:i4>0</vt:i4>
      </vt:variant>
      <vt:variant>
        <vt:i4>5</vt:i4>
      </vt:variant>
      <vt:variant>
        <vt:lpwstr/>
      </vt:variant>
      <vt:variant>
        <vt:lpwstr>_Toc163473994</vt:lpwstr>
      </vt:variant>
      <vt:variant>
        <vt:i4>2031676</vt:i4>
      </vt:variant>
      <vt:variant>
        <vt:i4>796</vt:i4>
      </vt:variant>
      <vt:variant>
        <vt:i4>0</vt:i4>
      </vt:variant>
      <vt:variant>
        <vt:i4>5</vt:i4>
      </vt:variant>
      <vt:variant>
        <vt:lpwstr/>
      </vt:variant>
      <vt:variant>
        <vt:lpwstr>_Toc163473993</vt:lpwstr>
      </vt:variant>
      <vt:variant>
        <vt:i4>2031676</vt:i4>
      </vt:variant>
      <vt:variant>
        <vt:i4>790</vt:i4>
      </vt:variant>
      <vt:variant>
        <vt:i4>0</vt:i4>
      </vt:variant>
      <vt:variant>
        <vt:i4>5</vt:i4>
      </vt:variant>
      <vt:variant>
        <vt:lpwstr/>
      </vt:variant>
      <vt:variant>
        <vt:lpwstr>_Toc163473992</vt:lpwstr>
      </vt:variant>
      <vt:variant>
        <vt:i4>2031676</vt:i4>
      </vt:variant>
      <vt:variant>
        <vt:i4>784</vt:i4>
      </vt:variant>
      <vt:variant>
        <vt:i4>0</vt:i4>
      </vt:variant>
      <vt:variant>
        <vt:i4>5</vt:i4>
      </vt:variant>
      <vt:variant>
        <vt:lpwstr/>
      </vt:variant>
      <vt:variant>
        <vt:lpwstr>_Toc163473991</vt:lpwstr>
      </vt:variant>
      <vt:variant>
        <vt:i4>2031676</vt:i4>
      </vt:variant>
      <vt:variant>
        <vt:i4>775</vt:i4>
      </vt:variant>
      <vt:variant>
        <vt:i4>0</vt:i4>
      </vt:variant>
      <vt:variant>
        <vt:i4>5</vt:i4>
      </vt:variant>
      <vt:variant>
        <vt:lpwstr/>
      </vt:variant>
      <vt:variant>
        <vt:lpwstr>_Toc163473990</vt:lpwstr>
      </vt:variant>
      <vt:variant>
        <vt:i4>1966140</vt:i4>
      </vt:variant>
      <vt:variant>
        <vt:i4>769</vt:i4>
      </vt:variant>
      <vt:variant>
        <vt:i4>0</vt:i4>
      </vt:variant>
      <vt:variant>
        <vt:i4>5</vt:i4>
      </vt:variant>
      <vt:variant>
        <vt:lpwstr/>
      </vt:variant>
      <vt:variant>
        <vt:lpwstr>_Toc163473989</vt:lpwstr>
      </vt:variant>
      <vt:variant>
        <vt:i4>1966140</vt:i4>
      </vt:variant>
      <vt:variant>
        <vt:i4>763</vt:i4>
      </vt:variant>
      <vt:variant>
        <vt:i4>0</vt:i4>
      </vt:variant>
      <vt:variant>
        <vt:i4>5</vt:i4>
      </vt:variant>
      <vt:variant>
        <vt:lpwstr/>
      </vt:variant>
      <vt:variant>
        <vt:lpwstr>_Toc163473988</vt:lpwstr>
      </vt:variant>
      <vt:variant>
        <vt:i4>1966140</vt:i4>
      </vt:variant>
      <vt:variant>
        <vt:i4>757</vt:i4>
      </vt:variant>
      <vt:variant>
        <vt:i4>0</vt:i4>
      </vt:variant>
      <vt:variant>
        <vt:i4>5</vt:i4>
      </vt:variant>
      <vt:variant>
        <vt:lpwstr/>
      </vt:variant>
      <vt:variant>
        <vt:lpwstr>_Toc163473987</vt:lpwstr>
      </vt:variant>
      <vt:variant>
        <vt:i4>1966140</vt:i4>
      </vt:variant>
      <vt:variant>
        <vt:i4>751</vt:i4>
      </vt:variant>
      <vt:variant>
        <vt:i4>0</vt:i4>
      </vt:variant>
      <vt:variant>
        <vt:i4>5</vt:i4>
      </vt:variant>
      <vt:variant>
        <vt:lpwstr/>
      </vt:variant>
      <vt:variant>
        <vt:lpwstr>_Toc163473986</vt:lpwstr>
      </vt:variant>
      <vt:variant>
        <vt:i4>1966140</vt:i4>
      </vt:variant>
      <vt:variant>
        <vt:i4>745</vt:i4>
      </vt:variant>
      <vt:variant>
        <vt:i4>0</vt:i4>
      </vt:variant>
      <vt:variant>
        <vt:i4>5</vt:i4>
      </vt:variant>
      <vt:variant>
        <vt:lpwstr/>
      </vt:variant>
      <vt:variant>
        <vt:lpwstr>_Toc163473985</vt:lpwstr>
      </vt:variant>
      <vt:variant>
        <vt:i4>1966140</vt:i4>
      </vt:variant>
      <vt:variant>
        <vt:i4>739</vt:i4>
      </vt:variant>
      <vt:variant>
        <vt:i4>0</vt:i4>
      </vt:variant>
      <vt:variant>
        <vt:i4>5</vt:i4>
      </vt:variant>
      <vt:variant>
        <vt:lpwstr/>
      </vt:variant>
      <vt:variant>
        <vt:lpwstr>_Toc163473984</vt:lpwstr>
      </vt:variant>
      <vt:variant>
        <vt:i4>1966140</vt:i4>
      </vt:variant>
      <vt:variant>
        <vt:i4>733</vt:i4>
      </vt:variant>
      <vt:variant>
        <vt:i4>0</vt:i4>
      </vt:variant>
      <vt:variant>
        <vt:i4>5</vt:i4>
      </vt:variant>
      <vt:variant>
        <vt:lpwstr/>
      </vt:variant>
      <vt:variant>
        <vt:lpwstr>_Toc163473983</vt:lpwstr>
      </vt:variant>
      <vt:variant>
        <vt:i4>1966140</vt:i4>
      </vt:variant>
      <vt:variant>
        <vt:i4>727</vt:i4>
      </vt:variant>
      <vt:variant>
        <vt:i4>0</vt:i4>
      </vt:variant>
      <vt:variant>
        <vt:i4>5</vt:i4>
      </vt:variant>
      <vt:variant>
        <vt:lpwstr/>
      </vt:variant>
      <vt:variant>
        <vt:lpwstr>_Toc163473982</vt:lpwstr>
      </vt:variant>
      <vt:variant>
        <vt:i4>1966140</vt:i4>
      </vt:variant>
      <vt:variant>
        <vt:i4>721</vt:i4>
      </vt:variant>
      <vt:variant>
        <vt:i4>0</vt:i4>
      </vt:variant>
      <vt:variant>
        <vt:i4>5</vt:i4>
      </vt:variant>
      <vt:variant>
        <vt:lpwstr/>
      </vt:variant>
      <vt:variant>
        <vt:lpwstr>_Toc163473981</vt:lpwstr>
      </vt:variant>
      <vt:variant>
        <vt:i4>1966140</vt:i4>
      </vt:variant>
      <vt:variant>
        <vt:i4>715</vt:i4>
      </vt:variant>
      <vt:variant>
        <vt:i4>0</vt:i4>
      </vt:variant>
      <vt:variant>
        <vt:i4>5</vt:i4>
      </vt:variant>
      <vt:variant>
        <vt:lpwstr/>
      </vt:variant>
      <vt:variant>
        <vt:lpwstr>_Toc163473980</vt:lpwstr>
      </vt:variant>
      <vt:variant>
        <vt:i4>1114172</vt:i4>
      </vt:variant>
      <vt:variant>
        <vt:i4>709</vt:i4>
      </vt:variant>
      <vt:variant>
        <vt:i4>0</vt:i4>
      </vt:variant>
      <vt:variant>
        <vt:i4>5</vt:i4>
      </vt:variant>
      <vt:variant>
        <vt:lpwstr/>
      </vt:variant>
      <vt:variant>
        <vt:lpwstr>_Toc163473979</vt:lpwstr>
      </vt:variant>
      <vt:variant>
        <vt:i4>1114172</vt:i4>
      </vt:variant>
      <vt:variant>
        <vt:i4>703</vt:i4>
      </vt:variant>
      <vt:variant>
        <vt:i4>0</vt:i4>
      </vt:variant>
      <vt:variant>
        <vt:i4>5</vt:i4>
      </vt:variant>
      <vt:variant>
        <vt:lpwstr/>
      </vt:variant>
      <vt:variant>
        <vt:lpwstr>_Toc163473978</vt:lpwstr>
      </vt:variant>
      <vt:variant>
        <vt:i4>1114172</vt:i4>
      </vt:variant>
      <vt:variant>
        <vt:i4>697</vt:i4>
      </vt:variant>
      <vt:variant>
        <vt:i4>0</vt:i4>
      </vt:variant>
      <vt:variant>
        <vt:i4>5</vt:i4>
      </vt:variant>
      <vt:variant>
        <vt:lpwstr/>
      </vt:variant>
      <vt:variant>
        <vt:lpwstr>_Toc163473977</vt:lpwstr>
      </vt:variant>
      <vt:variant>
        <vt:i4>1114172</vt:i4>
      </vt:variant>
      <vt:variant>
        <vt:i4>691</vt:i4>
      </vt:variant>
      <vt:variant>
        <vt:i4>0</vt:i4>
      </vt:variant>
      <vt:variant>
        <vt:i4>5</vt:i4>
      </vt:variant>
      <vt:variant>
        <vt:lpwstr/>
      </vt:variant>
      <vt:variant>
        <vt:lpwstr>_Toc163473976</vt:lpwstr>
      </vt:variant>
      <vt:variant>
        <vt:i4>1114172</vt:i4>
      </vt:variant>
      <vt:variant>
        <vt:i4>685</vt:i4>
      </vt:variant>
      <vt:variant>
        <vt:i4>0</vt:i4>
      </vt:variant>
      <vt:variant>
        <vt:i4>5</vt:i4>
      </vt:variant>
      <vt:variant>
        <vt:lpwstr/>
      </vt:variant>
      <vt:variant>
        <vt:lpwstr>_Toc163473975</vt:lpwstr>
      </vt:variant>
      <vt:variant>
        <vt:i4>1114172</vt:i4>
      </vt:variant>
      <vt:variant>
        <vt:i4>679</vt:i4>
      </vt:variant>
      <vt:variant>
        <vt:i4>0</vt:i4>
      </vt:variant>
      <vt:variant>
        <vt:i4>5</vt:i4>
      </vt:variant>
      <vt:variant>
        <vt:lpwstr/>
      </vt:variant>
      <vt:variant>
        <vt:lpwstr>_Toc163473974</vt:lpwstr>
      </vt:variant>
      <vt:variant>
        <vt:i4>1114172</vt:i4>
      </vt:variant>
      <vt:variant>
        <vt:i4>673</vt:i4>
      </vt:variant>
      <vt:variant>
        <vt:i4>0</vt:i4>
      </vt:variant>
      <vt:variant>
        <vt:i4>5</vt:i4>
      </vt:variant>
      <vt:variant>
        <vt:lpwstr/>
      </vt:variant>
      <vt:variant>
        <vt:lpwstr>_Toc163473973</vt:lpwstr>
      </vt:variant>
      <vt:variant>
        <vt:i4>1114172</vt:i4>
      </vt:variant>
      <vt:variant>
        <vt:i4>667</vt:i4>
      </vt:variant>
      <vt:variant>
        <vt:i4>0</vt:i4>
      </vt:variant>
      <vt:variant>
        <vt:i4>5</vt:i4>
      </vt:variant>
      <vt:variant>
        <vt:lpwstr/>
      </vt:variant>
      <vt:variant>
        <vt:lpwstr>_Toc163473972</vt:lpwstr>
      </vt:variant>
      <vt:variant>
        <vt:i4>1114172</vt:i4>
      </vt:variant>
      <vt:variant>
        <vt:i4>661</vt:i4>
      </vt:variant>
      <vt:variant>
        <vt:i4>0</vt:i4>
      </vt:variant>
      <vt:variant>
        <vt:i4>5</vt:i4>
      </vt:variant>
      <vt:variant>
        <vt:lpwstr/>
      </vt:variant>
      <vt:variant>
        <vt:lpwstr>_Toc163473971</vt:lpwstr>
      </vt:variant>
      <vt:variant>
        <vt:i4>1114172</vt:i4>
      </vt:variant>
      <vt:variant>
        <vt:i4>655</vt:i4>
      </vt:variant>
      <vt:variant>
        <vt:i4>0</vt:i4>
      </vt:variant>
      <vt:variant>
        <vt:i4>5</vt:i4>
      </vt:variant>
      <vt:variant>
        <vt:lpwstr/>
      </vt:variant>
      <vt:variant>
        <vt:lpwstr>_Toc163473970</vt:lpwstr>
      </vt:variant>
      <vt:variant>
        <vt:i4>1048636</vt:i4>
      </vt:variant>
      <vt:variant>
        <vt:i4>649</vt:i4>
      </vt:variant>
      <vt:variant>
        <vt:i4>0</vt:i4>
      </vt:variant>
      <vt:variant>
        <vt:i4>5</vt:i4>
      </vt:variant>
      <vt:variant>
        <vt:lpwstr/>
      </vt:variant>
      <vt:variant>
        <vt:lpwstr>_Toc163473969</vt:lpwstr>
      </vt:variant>
      <vt:variant>
        <vt:i4>1048636</vt:i4>
      </vt:variant>
      <vt:variant>
        <vt:i4>643</vt:i4>
      </vt:variant>
      <vt:variant>
        <vt:i4>0</vt:i4>
      </vt:variant>
      <vt:variant>
        <vt:i4>5</vt:i4>
      </vt:variant>
      <vt:variant>
        <vt:lpwstr/>
      </vt:variant>
      <vt:variant>
        <vt:lpwstr>_Toc163473968</vt:lpwstr>
      </vt:variant>
      <vt:variant>
        <vt:i4>1048636</vt:i4>
      </vt:variant>
      <vt:variant>
        <vt:i4>637</vt:i4>
      </vt:variant>
      <vt:variant>
        <vt:i4>0</vt:i4>
      </vt:variant>
      <vt:variant>
        <vt:i4>5</vt:i4>
      </vt:variant>
      <vt:variant>
        <vt:lpwstr/>
      </vt:variant>
      <vt:variant>
        <vt:lpwstr>_Toc163473967</vt:lpwstr>
      </vt:variant>
      <vt:variant>
        <vt:i4>1048636</vt:i4>
      </vt:variant>
      <vt:variant>
        <vt:i4>631</vt:i4>
      </vt:variant>
      <vt:variant>
        <vt:i4>0</vt:i4>
      </vt:variant>
      <vt:variant>
        <vt:i4>5</vt:i4>
      </vt:variant>
      <vt:variant>
        <vt:lpwstr/>
      </vt:variant>
      <vt:variant>
        <vt:lpwstr>_Toc163473966</vt:lpwstr>
      </vt:variant>
      <vt:variant>
        <vt:i4>1048636</vt:i4>
      </vt:variant>
      <vt:variant>
        <vt:i4>625</vt:i4>
      </vt:variant>
      <vt:variant>
        <vt:i4>0</vt:i4>
      </vt:variant>
      <vt:variant>
        <vt:i4>5</vt:i4>
      </vt:variant>
      <vt:variant>
        <vt:lpwstr/>
      </vt:variant>
      <vt:variant>
        <vt:lpwstr>_Toc163473965</vt:lpwstr>
      </vt:variant>
      <vt:variant>
        <vt:i4>1048636</vt:i4>
      </vt:variant>
      <vt:variant>
        <vt:i4>619</vt:i4>
      </vt:variant>
      <vt:variant>
        <vt:i4>0</vt:i4>
      </vt:variant>
      <vt:variant>
        <vt:i4>5</vt:i4>
      </vt:variant>
      <vt:variant>
        <vt:lpwstr/>
      </vt:variant>
      <vt:variant>
        <vt:lpwstr>_Toc163473964</vt:lpwstr>
      </vt:variant>
      <vt:variant>
        <vt:i4>1048636</vt:i4>
      </vt:variant>
      <vt:variant>
        <vt:i4>613</vt:i4>
      </vt:variant>
      <vt:variant>
        <vt:i4>0</vt:i4>
      </vt:variant>
      <vt:variant>
        <vt:i4>5</vt:i4>
      </vt:variant>
      <vt:variant>
        <vt:lpwstr/>
      </vt:variant>
      <vt:variant>
        <vt:lpwstr>_Toc163473963</vt:lpwstr>
      </vt:variant>
      <vt:variant>
        <vt:i4>1048636</vt:i4>
      </vt:variant>
      <vt:variant>
        <vt:i4>607</vt:i4>
      </vt:variant>
      <vt:variant>
        <vt:i4>0</vt:i4>
      </vt:variant>
      <vt:variant>
        <vt:i4>5</vt:i4>
      </vt:variant>
      <vt:variant>
        <vt:lpwstr/>
      </vt:variant>
      <vt:variant>
        <vt:lpwstr>_Toc163473962</vt:lpwstr>
      </vt:variant>
      <vt:variant>
        <vt:i4>1048636</vt:i4>
      </vt:variant>
      <vt:variant>
        <vt:i4>601</vt:i4>
      </vt:variant>
      <vt:variant>
        <vt:i4>0</vt:i4>
      </vt:variant>
      <vt:variant>
        <vt:i4>5</vt:i4>
      </vt:variant>
      <vt:variant>
        <vt:lpwstr/>
      </vt:variant>
      <vt:variant>
        <vt:lpwstr>_Toc163473961</vt:lpwstr>
      </vt:variant>
      <vt:variant>
        <vt:i4>1048636</vt:i4>
      </vt:variant>
      <vt:variant>
        <vt:i4>595</vt:i4>
      </vt:variant>
      <vt:variant>
        <vt:i4>0</vt:i4>
      </vt:variant>
      <vt:variant>
        <vt:i4>5</vt:i4>
      </vt:variant>
      <vt:variant>
        <vt:lpwstr/>
      </vt:variant>
      <vt:variant>
        <vt:lpwstr>_Toc163473960</vt:lpwstr>
      </vt:variant>
      <vt:variant>
        <vt:i4>1245244</vt:i4>
      </vt:variant>
      <vt:variant>
        <vt:i4>589</vt:i4>
      </vt:variant>
      <vt:variant>
        <vt:i4>0</vt:i4>
      </vt:variant>
      <vt:variant>
        <vt:i4>5</vt:i4>
      </vt:variant>
      <vt:variant>
        <vt:lpwstr/>
      </vt:variant>
      <vt:variant>
        <vt:lpwstr>_Toc163473959</vt:lpwstr>
      </vt:variant>
      <vt:variant>
        <vt:i4>1245244</vt:i4>
      </vt:variant>
      <vt:variant>
        <vt:i4>583</vt:i4>
      </vt:variant>
      <vt:variant>
        <vt:i4>0</vt:i4>
      </vt:variant>
      <vt:variant>
        <vt:i4>5</vt:i4>
      </vt:variant>
      <vt:variant>
        <vt:lpwstr/>
      </vt:variant>
      <vt:variant>
        <vt:lpwstr>_Toc163473958</vt:lpwstr>
      </vt:variant>
      <vt:variant>
        <vt:i4>1245244</vt:i4>
      </vt:variant>
      <vt:variant>
        <vt:i4>577</vt:i4>
      </vt:variant>
      <vt:variant>
        <vt:i4>0</vt:i4>
      </vt:variant>
      <vt:variant>
        <vt:i4>5</vt:i4>
      </vt:variant>
      <vt:variant>
        <vt:lpwstr/>
      </vt:variant>
      <vt:variant>
        <vt:lpwstr>_Toc163473957</vt:lpwstr>
      </vt:variant>
      <vt:variant>
        <vt:i4>1245244</vt:i4>
      </vt:variant>
      <vt:variant>
        <vt:i4>571</vt:i4>
      </vt:variant>
      <vt:variant>
        <vt:i4>0</vt:i4>
      </vt:variant>
      <vt:variant>
        <vt:i4>5</vt:i4>
      </vt:variant>
      <vt:variant>
        <vt:lpwstr/>
      </vt:variant>
      <vt:variant>
        <vt:lpwstr>_Toc163473956</vt:lpwstr>
      </vt:variant>
      <vt:variant>
        <vt:i4>1245244</vt:i4>
      </vt:variant>
      <vt:variant>
        <vt:i4>565</vt:i4>
      </vt:variant>
      <vt:variant>
        <vt:i4>0</vt:i4>
      </vt:variant>
      <vt:variant>
        <vt:i4>5</vt:i4>
      </vt:variant>
      <vt:variant>
        <vt:lpwstr/>
      </vt:variant>
      <vt:variant>
        <vt:lpwstr>_Toc163473955</vt:lpwstr>
      </vt:variant>
      <vt:variant>
        <vt:i4>1245244</vt:i4>
      </vt:variant>
      <vt:variant>
        <vt:i4>559</vt:i4>
      </vt:variant>
      <vt:variant>
        <vt:i4>0</vt:i4>
      </vt:variant>
      <vt:variant>
        <vt:i4>5</vt:i4>
      </vt:variant>
      <vt:variant>
        <vt:lpwstr/>
      </vt:variant>
      <vt:variant>
        <vt:lpwstr>_Toc163473954</vt:lpwstr>
      </vt:variant>
      <vt:variant>
        <vt:i4>1245244</vt:i4>
      </vt:variant>
      <vt:variant>
        <vt:i4>553</vt:i4>
      </vt:variant>
      <vt:variant>
        <vt:i4>0</vt:i4>
      </vt:variant>
      <vt:variant>
        <vt:i4>5</vt:i4>
      </vt:variant>
      <vt:variant>
        <vt:lpwstr/>
      </vt:variant>
      <vt:variant>
        <vt:lpwstr>_Toc163473953</vt:lpwstr>
      </vt:variant>
      <vt:variant>
        <vt:i4>1245244</vt:i4>
      </vt:variant>
      <vt:variant>
        <vt:i4>547</vt:i4>
      </vt:variant>
      <vt:variant>
        <vt:i4>0</vt:i4>
      </vt:variant>
      <vt:variant>
        <vt:i4>5</vt:i4>
      </vt:variant>
      <vt:variant>
        <vt:lpwstr/>
      </vt:variant>
      <vt:variant>
        <vt:lpwstr>_Toc163473952</vt:lpwstr>
      </vt:variant>
      <vt:variant>
        <vt:i4>1245244</vt:i4>
      </vt:variant>
      <vt:variant>
        <vt:i4>541</vt:i4>
      </vt:variant>
      <vt:variant>
        <vt:i4>0</vt:i4>
      </vt:variant>
      <vt:variant>
        <vt:i4>5</vt:i4>
      </vt:variant>
      <vt:variant>
        <vt:lpwstr/>
      </vt:variant>
      <vt:variant>
        <vt:lpwstr>_Toc163473951</vt:lpwstr>
      </vt:variant>
      <vt:variant>
        <vt:i4>1245244</vt:i4>
      </vt:variant>
      <vt:variant>
        <vt:i4>535</vt:i4>
      </vt:variant>
      <vt:variant>
        <vt:i4>0</vt:i4>
      </vt:variant>
      <vt:variant>
        <vt:i4>5</vt:i4>
      </vt:variant>
      <vt:variant>
        <vt:lpwstr/>
      </vt:variant>
      <vt:variant>
        <vt:lpwstr>_Toc163473950</vt:lpwstr>
      </vt:variant>
      <vt:variant>
        <vt:i4>1179708</vt:i4>
      </vt:variant>
      <vt:variant>
        <vt:i4>529</vt:i4>
      </vt:variant>
      <vt:variant>
        <vt:i4>0</vt:i4>
      </vt:variant>
      <vt:variant>
        <vt:i4>5</vt:i4>
      </vt:variant>
      <vt:variant>
        <vt:lpwstr/>
      </vt:variant>
      <vt:variant>
        <vt:lpwstr>_Toc163473949</vt:lpwstr>
      </vt:variant>
      <vt:variant>
        <vt:i4>1179708</vt:i4>
      </vt:variant>
      <vt:variant>
        <vt:i4>523</vt:i4>
      </vt:variant>
      <vt:variant>
        <vt:i4>0</vt:i4>
      </vt:variant>
      <vt:variant>
        <vt:i4>5</vt:i4>
      </vt:variant>
      <vt:variant>
        <vt:lpwstr/>
      </vt:variant>
      <vt:variant>
        <vt:lpwstr>_Toc163473948</vt:lpwstr>
      </vt:variant>
      <vt:variant>
        <vt:i4>1179708</vt:i4>
      </vt:variant>
      <vt:variant>
        <vt:i4>517</vt:i4>
      </vt:variant>
      <vt:variant>
        <vt:i4>0</vt:i4>
      </vt:variant>
      <vt:variant>
        <vt:i4>5</vt:i4>
      </vt:variant>
      <vt:variant>
        <vt:lpwstr/>
      </vt:variant>
      <vt:variant>
        <vt:lpwstr>_Toc163473947</vt:lpwstr>
      </vt:variant>
      <vt:variant>
        <vt:i4>1179708</vt:i4>
      </vt:variant>
      <vt:variant>
        <vt:i4>511</vt:i4>
      </vt:variant>
      <vt:variant>
        <vt:i4>0</vt:i4>
      </vt:variant>
      <vt:variant>
        <vt:i4>5</vt:i4>
      </vt:variant>
      <vt:variant>
        <vt:lpwstr/>
      </vt:variant>
      <vt:variant>
        <vt:lpwstr>_Toc163473946</vt:lpwstr>
      </vt:variant>
      <vt:variant>
        <vt:i4>1179708</vt:i4>
      </vt:variant>
      <vt:variant>
        <vt:i4>505</vt:i4>
      </vt:variant>
      <vt:variant>
        <vt:i4>0</vt:i4>
      </vt:variant>
      <vt:variant>
        <vt:i4>5</vt:i4>
      </vt:variant>
      <vt:variant>
        <vt:lpwstr/>
      </vt:variant>
      <vt:variant>
        <vt:lpwstr>_Toc163473945</vt:lpwstr>
      </vt:variant>
      <vt:variant>
        <vt:i4>1179708</vt:i4>
      </vt:variant>
      <vt:variant>
        <vt:i4>499</vt:i4>
      </vt:variant>
      <vt:variant>
        <vt:i4>0</vt:i4>
      </vt:variant>
      <vt:variant>
        <vt:i4>5</vt:i4>
      </vt:variant>
      <vt:variant>
        <vt:lpwstr/>
      </vt:variant>
      <vt:variant>
        <vt:lpwstr>_Toc163473944</vt:lpwstr>
      </vt:variant>
      <vt:variant>
        <vt:i4>1179708</vt:i4>
      </vt:variant>
      <vt:variant>
        <vt:i4>493</vt:i4>
      </vt:variant>
      <vt:variant>
        <vt:i4>0</vt:i4>
      </vt:variant>
      <vt:variant>
        <vt:i4>5</vt:i4>
      </vt:variant>
      <vt:variant>
        <vt:lpwstr/>
      </vt:variant>
      <vt:variant>
        <vt:lpwstr>_Toc163473943</vt:lpwstr>
      </vt:variant>
      <vt:variant>
        <vt:i4>1179708</vt:i4>
      </vt:variant>
      <vt:variant>
        <vt:i4>487</vt:i4>
      </vt:variant>
      <vt:variant>
        <vt:i4>0</vt:i4>
      </vt:variant>
      <vt:variant>
        <vt:i4>5</vt:i4>
      </vt:variant>
      <vt:variant>
        <vt:lpwstr/>
      </vt:variant>
      <vt:variant>
        <vt:lpwstr>_Toc163473942</vt:lpwstr>
      </vt:variant>
      <vt:variant>
        <vt:i4>1179708</vt:i4>
      </vt:variant>
      <vt:variant>
        <vt:i4>481</vt:i4>
      </vt:variant>
      <vt:variant>
        <vt:i4>0</vt:i4>
      </vt:variant>
      <vt:variant>
        <vt:i4>5</vt:i4>
      </vt:variant>
      <vt:variant>
        <vt:lpwstr/>
      </vt:variant>
      <vt:variant>
        <vt:lpwstr>_Toc163473941</vt:lpwstr>
      </vt:variant>
      <vt:variant>
        <vt:i4>1179708</vt:i4>
      </vt:variant>
      <vt:variant>
        <vt:i4>475</vt:i4>
      </vt:variant>
      <vt:variant>
        <vt:i4>0</vt:i4>
      </vt:variant>
      <vt:variant>
        <vt:i4>5</vt:i4>
      </vt:variant>
      <vt:variant>
        <vt:lpwstr/>
      </vt:variant>
      <vt:variant>
        <vt:lpwstr>_Toc163473940</vt:lpwstr>
      </vt:variant>
      <vt:variant>
        <vt:i4>1376316</vt:i4>
      </vt:variant>
      <vt:variant>
        <vt:i4>469</vt:i4>
      </vt:variant>
      <vt:variant>
        <vt:i4>0</vt:i4>
      </vt:variant>
      <vt:variant>
        <vt:i4>5</vt:i4>
      </vt:variant>
      <vt:variant>
        <vt:lpwstr/>
      </vt:variant>
      <vt:variant>
        <vt:lpwstr>_Toc163473939</vt:lpwstr>
      </vt:variant>
      <vt:variant>
        <vt:i4>1376316</vt:i4>
      </vt:variant>
      <vt:variant>
        <vt:i4>463</vt:i4>
      </vt:variant>
      <vt:variant>
        <vt:i4>0</vt:i4>
      </vt:variant>
      <vt:variant>
        <vt:i4>5</vt:i4>
      </vt:variant>
      <vt:variant>
        <vt:lpwstr/>
      </vt:variant>
      <vt:variant>
        <vt:lpwstr>_Toc163473938</vt:lpwstr>
      </vt:variant>
      <vt:variant>
        <vt:i4>1376316</vt:i4>
      </vt:variant>
      <vt:variant>
        <vt:i4>457</vt:i4>
      </vt:variant>
      <vt:variant>
        <vt:i4>0</vt:i4>
      </vt:variant>
      <vt:variant>
        <vt:i4>5</vt:i4>
      </vt:variant>
      <vt:variant>
        <vt:lpwstr/>
      </vt:variant>
      <vt:variant>
        <vt:lpwstr>_Toc163473937</vt:lpwstr>
      </vt:variant>
      <vt:variant>
        <vt:i4>1376316</vt:i4>
      </vt:variant>
      <vt:variant>
        <vt:i4>451</vt:i4>
      </vt:variant>
      <vt:variant>
        <vt:i4>0</vt:i4>
      </vt:variant>
      <vt:variant>
        <vt:i4>5</vt:i4>
      </vt:variant>
      <vt:variant>
        <vt:lpwstr/>
      </vt:variant>
      <vt:variant>
        <vt:lpwstr>_Toc163473936</vt:lpwstr>
      </vt:variant>
      <vt:variant>
        <vt:i4>1376316</vt:i4>
      </vt:variant>
      <vt:variant>
        <vt:i4>445</vt:i4>
      </vt:variant>
      <vt:variant>
        <vt:i4>0</vt:i4>
      </vt:variant>
      <vt:variant>
        <vt:i4>5</vt:i4>
      </vt:variant>
      <vt:variant>
        <vt:lpwstr/>
      </vt:variant>
      <vt:variant>
        <vt:lpwstr>_Toc163473935</vt:lpwstr>
      </vt:variant>
      <vt:variant>
        <vt:i4>1376316</vt:i4>
      </vt:variant>
      <vt:variant>
        <vt:i4>439</vt:i4>
      </vt:variant>
      <vt:variant>
        <vt:i4>0</vt:i4>
      </vt:variant>
      <vt:variant>
        <vt:i4>5</vt:i4>
      </vt:variant>
      <vt:variant>
        <vt:lpwstr/>
      </vt:variant>
      <vt:variant>
        <vt:lpwstr>_Toc163473934</vt:lpwstr>
      </vt:variant>
      <vt:variant>
        <vt:i4>1376316</vt:i4>
      </vt:variant>
      <vt:variant>
        <vt:i4>433</vt:i4>
      </vt:variant>
      <vt:variant>
        <vt:i4>0</vt:i4>
      </vt:variant>
      <vt:variant>
        <vt:i4>5</vt:i4>
      </vt:variant>
      <vt:variant>
        <vt:lpwstr/>
      </vt:variant>
      <vt:variant>
        <vt:lpwstr>_Toc163473933</vt:lpwstr>
      </vt:variant>
      <vt:variant>
        <vt:i4>1376316</vt:i4>
      </vt:variant>
      <vt:variant>
        <vt:i4>427</vt:i4>
      </vt:variant>
      <vt:variant>
        <vt:i4>0</vt:i4>
      </vt:variant>
      <vt:variant>
        <vt:i4>5</vt:i4>
      </vt:variant>
      <vt:variant>
        <vt:lpwstr/>
      </vt:variant>
      <vt:variant>
        <vt:lpwstr>_Toc163473932</vt:lpwstr>
      </vt:variant>
      <vt:variant>
        <vt:i4>1376316</vt:i4>
      </vt:variant>
      <vt:variant>
        <vt:i4>421</vt:i4>
      </vt:variant>
      <vt:variant>
        <vt:i4>0</vt:i4>
      </vt:variant>
      <vt:variant>
        <vt:i4>5</vt:i4>
      </vt:variant>
      <vt:variant>
        <vt:lpwstr/>
      </vt:variant>
      <vt:variant>
        <vt:lpwstr>_Toc163473931</vt:lpwstr>
      </vt:variant>
      <vt:variant>
        <vt:i4>1376316</vt:i4>
      </vt:variant>
      <vt:variant>
        <vt:i4>415</vt:i4>
      </vt:variant>
      <vt:variant>
        <vt:i4>0</vt:i4>
      </vt:variant>
      <vt:variant>
        <vt:i4>5</vt:i4>
      </vt:variant>
      <vt:variant>
        <vt:lpwstr/>
      </vt:variant>
      <vt:variant>
        <vt:lpwstr>_Toc163473930</vt:lpwstr>
      </vt:variant>
      <vt:variant>
        <vt:i4>1310780</vt:i4>
      </vt:variant>
      <vt:variant>
        <vt:i4>409</vt:i4>
      </vt:variant>
      <vt:variant>
        <vt:i4>0</vt:i4>
      </vt:variant>
      <vt:variant>
        <vt:i4>5</vt:i4>
      </vt:variant>
      <vt:variant>
        <vt:lpwstr/>
      </vt:variant>
      <vt:variant>
        <vt:lpwstr>_Toc163473929</vt:lpwstr>
      </vt:variant>
      <vt:variant>
        <vt:i4>1310780</vt:i4>
      </vt:variant>
      <vt:variant>
        <vt:i4>403</vt:i4>
      </vt:variant>
      <vt:variant>
        <vt:i4>0</vt:i4>
      </vt:variant>
      <vt:variant>
        <vt:i4>5</vt:i4>
      </vt:variant>
      <vt:variant>
        <vt:lpwstr/>
      </vt:variant>
      <vt:variant>
        <vt:lpwstr>_Toc163473928</vt:lpwstr>
      </vt:variant>
      <vt:variant>
        <vt:i4>1310780</vt:i4>
      </vt:variant>
      <vt:variant>
        <vt:i4>397</vt:i4>
      </vt:variant>
      <vt:variant>
        <vt:i4>0</vt:i4>
      </vt:variant>
      <vt:variant>
        <vt:i4>5</vt:i4>
      </vt:variant>
      <vt:variant>
        <vt:lpwstr/>
      </vt:variant>
      <vt:variant>
        <vt:lpwstr>_Toc163473927</vt:lpwstr>
      </vt:variant>
      <vt:variant>
        <vt:i4>1245244</vt:i4>
      </vt:variant>
      <vt:variant>
        <vt:i4>388</vt:i4>
      </vt:variant>
      <vt:variant>
        <vt:i4>0</vt:i4>
      </vt:variant>
      <vt:variant>
        <vt:i4>5</vt:i4>
      </vt:variant>
      <vt:variant>
        <vt:lpwstr/>
      </vt:variant>
      <vt:variant>
        <vt:lpwstr>_Toc139151173</vt:lpwstr>
      </vt:variant>
      <vt:variant>
        <vt:i4>1245244</vt:i4>
      </vt:variant>
      <vt:variant>
        <vt:i4>382</vt:i4>
      </vt:variant>
      <vt:variant>
        <vt:i4>0</vt:i4>
      </vt:variant>
      <vt:variant>
        <vt:i4>5</vt:i4>
      </vt:variant>
      <vt:variant>
        <vt:lpwstr/>
      </vt:variant>
      <vt:variant>
        <vt:lpwstr>_Toc139151172</vt:lpwstr>
      </vt:variant>
      <vt:variant>
        <vt:i4>1245244</vt:i4>
      </vt:variant>
      <vt:variant>
        <vt:i4>376</vt:i4>
      </vt:variant>
      <vt:variant>
        <vt:i4>0</vt:i4>
      </vt:variant>
      <vt:variant>
        <vt:i4>5</vt:i4>
      </vt:variant>
      <vt:variant>
        <vt:lpwstr/>
      </vt:variant>
      <vt:variant>
        <vt:lpwstr>_Toc139151171</vt:lpwstr>
      </vt:variant>
      <vt:variant>
        <vt:i4>1245244</vt:i4>
      </vt:variant>
      <vt:variant>
        <vt:i4>370</vt:i4>
      </vt:variant>
      <vt:variant>
        <vt:i4>0</vt:i4>
      </vt:variant>
      <vt:variant>
        <vt:i4>5</vt:i4>
      </vt:variant>
      <vt:variant>
        <vt:lpwstr/>
      </vt:variant>
      <vt:variant>
        <vt:lpwstr>_Toc139151170</vt:lpwstr>
      </vt:variant>
      <vt:variant>
        <vt:i4>1179708</vt:i4>
      </vt:variant>
      <vt:variant>
        <vt:i4>364</vt:i4>
      </vt:variant>
      <vt:variant>
        <vt:i4>0</vt:i4>
      </vt:variant>
      <vt:variant>
        <vt:i4>5</vt:i4>
      </vt:variant>
      <vt:variant>
        <vt:lpwstr/>
      </vt:variant>
      <vt:variant>
        <vt:lpwstr>_Toc139151169</vt:lpwstr>
      </vt:variant>
      <vt:variant>
        <vt:i4>1179708</vt:i4>
      </vt:variant>
      <vt:variant>
        <vt:i4>358</vt:i4>
      </vt:variant>
      <vt:variant>
        <vt:i4>0</vt:i4>
      </vt:variant>
      <vt:variant>
        <vt:i4>5</vt:i4>
      </vt:variant>
      <vt:variant>
        <vt:lpwstr/>
      </vt:variant>
      <vt:variant>
        <vt:lpwstr>_Toc139151168</vt:lpwstr>
      </vt:variant>
      <vt:variant>
        <vt:i4>1179708</vt:i4>
      </vt:variant>
      <vt:variant>
        <vt:i4>352</vt:i4>
      </vt:variant>
      <vt:variant>
        <vt:i4>0</vt:i4>
      </vt:variant>
      <vt:variant>
        <vt:i4>5</vt:i4>
      </vt:variant>
      <vt:variant>
        <vt:lpwstr/>
      </vt:variant>
      <vt:variant>
        <vt:lpwstr>_Toc139151167</vt:lpwstr>
      </vt:variant>
      <vt:variant>
        <vt:i4>1179708</vt:i4>
      </vt:variant>
      <vt:variant>
        <vt:i4>346</vt:i4>
      </vt:variant>
      <vt:variant>
        <vt:i4>0</vt:i4>
      </vt:variant>
      <vt:variant>
        <vt:i4>5</vt:i4>
      </vt:variant>
      <vt:variant>
        <vt:lpwstr/>
      </vt:variant>
      <vt:variant>
        <vt:lpwstr>_Toc139151166</vt:lpwstr>
      </vt:variant>
      <vt:variant>
        <vt:i4>1179708</vt:i4>
      </vt:variant>
      <vt:variant>
        <vt:i4>340</vt:i4>
      </vt:variant>
      <vt:variant>
        <vt:i4>0</vt:i4>
      </vt:variant>
      <vt:variant>
        <vt:i4>5</vt:i4>
      </vt:variant>
      <vt:variant>
        <vt:lpwstr/>
      </vt:variant>
      <vt:variant>
        <vt:lpwstr>_Toc139151165</vt:lpwstr>
      </vt:variant>
      <vt:variant>
        <vt:i4>1179708</vt:i4>
      </vt:variant>
      <vt:variant>
        <vt:i4>334</vt:i4>
      </vt:variant>
      <vt:variant>
        <vt:i4>0</vt:i4>
      </vt:variant>
      <vt:variant>
        <vt:i4>5</vt:i4>
      </vt:variant>
      <vt:variant>
        <vt:lpwstr/>
      </vt:variant>
      <vt:variant>
        <vt:lpwstr>_Toc139151164</vt:lpwstr>
      </vt:variant>
      <vt:variant>
        <vt:i4>1179708</vt:i4>
      </vt:variant>
      <vt:variant>
        <vt:i4>328</vt:i4>
      </vt:variant>
      <vt:variant>
        <vt:i4>0</vt:i4>
      </vt:variant>
      <vt:variant>
        <vt:i4>5</vt:i4>
      </vt:variant>
      <vt:variant>
        <vt:lpwstr/>
      </vt:variant>
      <vt:variant>
        <vt:lpwstr>_Toc139151163</vt:lpwstr>
      </vt:variant>
      <vt:variant>
        <vt:i4>1179708</vt:i4>
      </vt:variant>
      <vt:variant>
        <vt:i4>322</vt:i4>
      </vt:variant>
      <vt:variant>
        <vt:i4>0</vt:i4>
      </vt:variant>
      <vt:variant>
        <vt:i4>5</vt:i4>
      </vt:variant>
      <vt:variant>
        <vt:lpwstr/>
      </vt:variant>
      <vt:variant>
        <vt:lpwstr>_Toc139151162</vt:lpwstr>
      </vt:variant>
      <vt:variant>
        <vt:i4>1179708</vt:i4>
      </vt:variant>
      <vt:variant>
        <vt:i4>316</vt:i4>
      </vt:variant>
      <vt:variant>
        <vt:i4>0</vt:i4>
      </vt:variant>
      <vt:variant>
        <vt:i4>5</vt:i4>
      </vt:variant>
      <vt:variant>
        <vt:lpwstr/>
      </vt:variant>
      <vt:variant>
        <vt:lpwstr>_Toc139151161</vt:lpwstr>
      </vt:variant>
      <vt:variant>
        <vt:i4>1179708</vt:i4>
      </vt:variant>
      <vt:variant>
        <vt:i4>310</vt:i4>
      </vt:variant>
      <vt:variant>
        <vt:i4>0</vt:i4>
      </vt:variant>
      <vt:variant>
        <vt:i4>5</vt:i4>
      </vt:variant>
      <vt:variant>
        <vt:lpwstr/>
      </vt:variant>
      <vt:variant>
        <vt:lpwstr>_Toc139151160</vt:lpwstr>
      </vt:variant>
      <vt:variant>
        <vt:i4>1114172</vt:i4>
      </vt:variant>
      <vt:variant>
        <vt:i4>304</vt:i4>
      </vt:variant>
      <vt:variant>
        <vt:i4>0</vt:i4>
      </vt:variant>
      <vt:variant>
        <vt:i4>5</vt:i4>
      </vt:variant>
      <vt:variant>
        <vt:lpwstr/>
      </vt:variant>
      <vt:variant>
        <vt:lpwstr>_Toc139151159</vt:lpwstr>
      </vt:variant>
      <vt:variant>
        <vt:i4>1114172</vt:i4>
      </vt:variant>
      <vt:variant>
        <vt:i4>298</vt:i4>
      </vt:variant>
      <vt:variant>
        <vt:i4>0</vt:i4>
      </vt:variant>
      <vt:variant>
        <vt:i4>5</vt:i4>
      </vt:variant>
      <vt:variant>
        <vt:lpwstr/>
      </vt:variant>
      <vt:variant>
        <vt:lpwstr>_Toc139151158</vt:lpwstr>
      </vt:variant>
      <vt:variant>
        <vt:i4>1114172</vt:i4>
      </vt:variant>
      <vt:variant>
        <vt:i4>292</vt:i4>
      </vt:variant>
      <vt:variant>
        <vt:i4>0</vt:i4>
      </vt:variant>
      <vt:variant>
        <vt:i4>5</vt:i4>
      </vt:variant>
      <vt:variant>
        <vt:lpwstr/>
      </vt:variant>
      <vt:variant>
        <vt:lpwstr>_Toc139151157</vt:lpwstr>
      </vt:variant>
      <vt:variant>
        <vt:i4>1114172</vt:i4>
      </vt:variant>
      <vt:variant>
        <vt:i4>286</vt:i4>
      </vt:variant>
      <vt:variant>
        <vt:i4>0</vt:i4>
      </vt:variant>
      <vt:variant>
        <vt:i4>5</vt:i4>
      </vt:variant>
      <vt:variant>
        <vt:lpwstr/>
      </vt:variant>
      <vt:variant>
        <vt:lpwstr>_Toc139151156</vt:lpwstr>
      </vt:variant>
      <vt:variant>
        <vt:i4>1114172</vt:i4>
      </vt:variant>
      <vt:variant>
        <vt:i4>280</vt:i4>
      </vt:variant>
      <vt:variant>
        <vt:i4>0</vt:i4>
      </vt:variant>
      <vt:variant>
        <vt:i4>5</vt:i4>
      </vt:variant>
      <vt:variant>
        <vt:lpwstr/>
      </vt:variant>
      <vt:variant>
        <vt:lpwstr>_Toc139151155</vt:lpwstr>
      </vt:variant>
      <vt:variant>
        <vt:i4>1114172</vt:i4>
      </vt:variant>
      <vt:variant>
        <vt:i4>274</vt:i4>
      </vt:variant>
      <vt:variant>
        <vt:i4>0</vt:i4>
      </vt:variant>
      <vt:variant>
        <vt:i4>5</vt:i4>
      </vt:variant>
      <vt:variant>
        <vt:lpwstr/>
      </vt:variant>
      <vt:variant>
        <vt:lpwstr>_Toc139151154</vt:lpwstr>
      </vt:variant>
      <vt:variant>
        <vt:i4>1114172</vt:i4>
      </vt:variant>
      <vt:variant>
        <vt:i4>268</vt:i4>
      </vt:variant>
      <vt:variant>
        <vt:i4>0</vt:i4>
      </vt:variant>
      <vt:variant>
        <vt:i4>5</vt:i4>
      </vt:variant>
      <vt:variant>
        <vt:lpwstr/>
      </vt:variant>
      <vt:variant>
        <vt:lpwstr>_Toc139151153</vt:lpwstr>
      </vt:variant>
      <vt:variant>
        <vt:i4>1114172</vt:i4>
      </vt:variant>
      <vt:variant>
        <vt:i4>262</vt:i4>
      </vt:variant>
      <vt:variant>
        <vt:i4>0</vt:i4>
      </vt:variant>
      <vt:variant>
        <vt:i4>5</vt:i4>
      </vt:variant>
      <vt:variant>
        <vt:lpwstr/>
      </vt:variant>
      <vt:variant>
        <vt:lpwstr>_Toc139151152</vt:lpwstr>
      </vt:variant>
      <vt:variant>
        <vt:i4>1114172</vt:i4>
      </vt:variant>
      <vt:variant>
        <vt:i4>256</vt:i4>
      </vt:variant>
      <vt:variant>
        <vt:i4>0</vt:i4>
      </vt:variant>
      <vt:variant>
        <vt:i4>5</vt:i4>
      </vt:variant>
      <vt:variant>
        <vt:lpwstr/>
      </vt:variant>
      <vt:variant>
        <vt:lpwstr>_Toc139151151</vt:lpwstr>
      </vt:variant>
      <vt:variant>
        <vt:i4>1114172</vt:i4>
      </vt:variant>
      <vt:variant>
        <vt:i4>250</vt:i4>
      </vt:variant>
      <vt:variant>
        <vt:i4>0</vt:i4>
      </vt:variant>
      <vt:variant>
        <vt:i4>5</vt:i4>
      </vt:variant>
      <vt:variant>
        <vt:lpwstr/>
      </vt:variant>
      <vt:variant>
        <vt:lpwstr>_Toc139151150</vt:lpwstr>
      </vt:variant>
      <vt:variant>
        <vt:i4>1048636</vt:i4>
      </vt:variant>
      <vt:variant>
        <vt:i4>244</vt:i4>
      </vt:variant>
      <vt:variant>
        <vt:i4>0</vt:i4>
      </vt:variant>
      <vt:variant>
        <vt:i4>5</vt:i4>
      </vt:variant>
      <vt:variant>
        <vt:lpwstr/>
      </vt:variant>
      <vt:variant>
        <vt:lpwstr>_Toc139151149</vt:lpwstr>
      </vt:variant>
      <vt:variant>
        <vt:i4>1048636</vt:i4>
      </vt:variant>
      <vt:variant>
        <vt:i4>238</vt:i4>
      </vt:variant>
      <vt:variant>
        <vt:i4>0</vt:i4>
      </vt:variant>
      <vt:variant>
        <vt:i4>5</vt:i4>
      </vt:variant>
      <vt:variant>
        <vt:lpwstr/>
      </vt:variant>
      <vt:variant>
        <vt:lpwstr>_Toc139151148</vt:lpwstr>
      </vt:variant>
      <vt:variant>
        <vt:i4>1048636</vt:i4>
      </vt:variant>
      <vt:variant>
        <vt:i4>232</vt:i4>
      </vt:variant>
      <vt:variant>
        <vt:i4>0</vt:i4>
      </vt:variant>
      <vt:variant>
        <vt:i4>5</vt:i4>
      </vt:variant>
      <vt:variant>
        <vt:lpwstr/>
      </vt:variant>
      <vt:variant>
        <vt:lpwstr>_Toc139151147</vt:lpwstr>
      </vt:variant>
      <vt:variant>
        <vt:i4>1048636</vt:i4>
      </vt:variant>
      <vt:variant>
        <vt:i4>226</vt:i4>
      </vt:variant>
      <vt:variant>
        <vt:i4>0</vt:i4>
      </vt:variant>
      <vt:variant>
        <vt:i4>5</vt:i4>
      </vt:variant>
      <vt:variant>
        <vt:lpwstr/>
      </vt:variant>
      <vt:variant>
        <vt:lpwstr>_Toc139151146</vt:lpwstr>
      </vt:variant>
      <vt:variant>
        <vt:i4>1048636</vt:i4>
      </vt:variant>
      <vt:variant>
        <vt:i4>220</vt:i4>
      </vt:variant>
      <vt:variant>
        <vt:i4>0</vt:i4>
      </vt:variant>
      <vt:variant>
        <vt:i4>5</vt:i4>
      </vt:variant>
      <vt:variant>
        <vt:lpwstr/>
      </vt:variant>
      <vt:variant>
        <vt:lpwstr>_Toc139151145</vt:lpwstr>
      </vt:variant>
      <vt:variant>
        <vt:i4>1048636</vt:i4>
      </vt:variant>
      <vt:variant>
        <vt:i4>214</vt:i4>
      </vt:variant>
      <vt:variant>
        <vt:i4>0</vt:i4>
      </vt:variant>
      <vt:variant>
        <vt:i4>5</vt:i4>
      </vt:variant>
      <vt:variant>
        <vt:lpwstr/>
      </vt:variant>
      <vt:variant>
        <vt:lpwstr>_Toc139151144</vt:lpwstr>
      </vt:variant>
      <vt:variant>
        <vt:i4>1048636</vt:i4>
      </vt:variant>
      <vt:variant>
        <vt:i4>208</vt:i4>
      </vt:variant>
      <vt:variant>
        <vt:i4>0</vt:i4>
      </vt:variant>
      <vt:variant>
        <vt:i4>5</vt:i4>
      </vt:variant>
      <vt:variant>
        <vt:lpwstr/>
      </vt:variant>
      <vt:variant>
        <vt:lpwstr>_Toc139151143</vt:lpwstr>
      </vt:variant>
      <vt:variant>
        <vt:i4>1048636</vt:i4>
      </vt:variant>
      <vt:variant>
        <vt:i4>202</vt:i4>
      </vt:variant>
      <vt:variant>
        <vt:i4>0</vt:i4>
      </vt:variant>
      <vt:variant>
        <vt:i4>5</vt:i4>
      </vt:variant>
      <vt:variant>
        <vt:lpwstr/>
      </vt:variant>
      <vt:variant>
        <vt:lpwstr>_Toc139151142</vt:lpwstr>
      </vt:variant>
      <vt:variant>
        <vt:i4>1048636</vt:i4>
      </vt:variant>
      <vt:variant>
        <vt:i4>196</vt:i4>
      </vt:variant>
      <vt:variant>
        <vt:i4>0</vt:i4>
      </vt:variant>
      <vt:variant>
        <vt:i4>5</vt:i4>
      </vt:variant>
      <vt:variant>
        <vt:lpwstr/>
      </vt:variant>
      <vt:variant>
        <vt:lpwstr>_Toc139151141</vt:lpwstr>
      </vt:variant>
      <vt:variant>
        <vt:i4>1048636</vt:i4>
      </vt:variant>
      <vt:variant>
        <vt:i4>190</vt:i4>
      </vt:variant>
      <vt:variant>
        <vt:i4>0</vt:i4>
      </vt:variant>
      <vt:variant>
        <vt:i4>5</vt:i4>
      </vt:variant>
      <vt:variant>
        <vt:lpwstr/>
      </vt:variant>
      <vt:variant>
        <vt:lpwstr>_Toc139151140</vt:lpwstr>
      </vt:variant>
      <vt:variant>
        <vt:i4>1507388</vt:i4>
      </vt:variant>
      <vt:variant>
        <vt:i4>184</vt:i4>
      </vt:variant>
      <vt:variant>
        <vt:i4>0</vt:i4>
      </vt:variant>
      <vt:variant>
        <vt:i4>5</vt:i4>
      </vt:variant>
      <vt:variant>
        <vt:lpwstr/>
      </vt:variant>
      <vt:variant>
        <vt:lpwstr>_Toc139151139</vt:lpwstr>
      </vt:variant>
      <vt:variant>
        <vt:i4>1507388</vt:i4>
      </vt:variant>
      <vt:variant>
        <vt:i4>178</vt:i4>
      </vt:variant>
      <vt:variant>
        <vt:i4>0</vt:i4>
      </vt:variant>
      <vt:variant>
        <vt:i4>5</vt:i4>
      </vt:variant>
      <vt:variant>
        <vt:lpwstr/>
      </vt:variant>
      <vt:variant>
        <vt:lpwstr>_Toc139151138</vt:lpwstr>
      </vt:variant>
      <vt:variant>
        <vt:i4>1507388</vt:i4>
      </vt:variant>
      <vt:variant>
        <vt:i4>172</vt:i4>
      </vt:variant>
      <vt:variant>
        <vt:i4>0</vt:i4>
      </vt:variant>
      <vt:variant>
        <vt:i4>5</vt:i4>
      </vt:variant>
      <vt:variant>
        <vt:lpwstr/>
      </vt:variant>
      <vt:variant>
        <vt:lpwstr>_Toc139151137</vt:lpwstr>
      </vt:variant>
      <vt:variant>
        <vt:i4>1507388</vt:i4>
      </vt:variant>
      <vt:variant>
        <vt:i4>166</vt:i4>
      </vt:variant>
      <vt:variant>
        <vt:i4>0</vt:i4>
      </vt:variant>
      <vt:variant>
        <vt:i4>5</vt:i4>
      </vt:variant>
      <vt:variant>
        <vt:lpwstr/>
      </vt:variant>
      <vt:variant>
        <vt:lpwstr>_Toc139151136</vt:lpwstr>
      </vt:variant>
      <vt:variant>
        <vt:i4>1507388</vt:i4>
      </vt:variant>
      <vt:variant>
        <vt:i4>160</vt:i4>
      </vt:variant>
      <vt:variant>
        <vt:i4>0</vt:i4>
      </vt:variant>
      <vt:variant>
        <vt:i4>5</vt:i4>
      </vt:variant>
      <vt:variant>
        <vt:lpwstr/>
      </vt:variant>
      <vt:variant>
        <vt:lpwstr>_Toc139151135</vt:lpwstr>
      </vt:variant>
      <vt:variant>
        <vt:i4>1507388</vt:i4>
      </vt:variant>
      <vt:variant>
        <vt:i4>154</vt:i4>
      </vt:variant>
      <vt:variant>
        <vt:i4>0</vt:i4>
      </vt:variant>
      <vt:variant>
        <vt:i4>5</vt:i4>
      </vt:variant>
      <vt:variant>
        <vt:lpwstr/>
      </vt:variant>
      <vt:variant>
        <vt:lpwstr>_Toc139151134</vt:lpwstr>
      </vt:variant>
      <vt:variant>
        <vt:i4>1507388</vt:i4>
      </vt:variant>
      <vt:variant>
        <vt:i4>148</vt:i4>
      </vt:variant>
      <vt:variant>
        <vt:i4>0</vt:i4>
      </vt:variant>
      <vt:variant>
        <vt:i4>5</vt:i4>
      </vt:variant>
      <vt:variant>
        <vt:lpwstr/>
      </vt:variant>
      <vt:variant>
        <vt:lpwstr>_Toc139151133</vt:lpwstr>
      </vt:variant>
      <vt:variant>
        <vt:i4>1507388</vt:i4>
      </vt:variant>
      <vt:variant>
        <vt:i4>142</vt:i4>
      </vt:variant>
      <vt:variant>
        <vt:i4>0</vt:i4>
      </vt:variant>
      <vt:variant>
        <vt:i4>5</vt:i4>
      </vt:variant>
      <vt:variant>
        <vt:lpwstr/>
      </vt:variant>
      <vt:variant>
        <vt:lpwstr>_Toc139151132</vt:lpwstr>
      </vt:variant>
      <vt:variant>
        <vt:i4>1507388</vt:i4>
      </vt:variant>
      <vt:variant>
        <vt:i4>136</vt:i4>
      </vt:variant>
      <vt:variant>
        <vt:i4>0</vt:i4>
      </vt:variant>
      <vt:variant>
        <vt:i4>5</vt:i4>
      </vt:variant>
      <vt:variant>
        <vt:lpwstr/>
      </vt:variant>
      <vt:variant>
        <vt:lpwstr>_Toc139151131</vt:lpwstr>
      </vt:variant>
      <vt:variant>
        <vt:i4>1507388</vt:i4>
      </vt:variant>
      <vt:variant>
        <vt:i4>130</vt:i4>
      </vt:variant>
      <vt:variant>
        <vt:i4>0</vt:i4>
      </vt:variant>
      <vt:variant>
        <vt:i4>5</vt:i4>
      </vt:variant>
      <vt:variant>
        <vt:lpwstr/>
      </vt:variant>
      <vt:variant>
        <vt:lpwstr>_Toc139151130</vt:lpwstr>
      </vt:variant>
      <vt:variant>
        <vt:i4>1441852</vt:i4>
      </vt:variant>
      <vt:variant>
        <vt:i4>124</vt:i4>
      </vt:variant>
      <vt:variant>
        <vt:i4>0</vt:i4>
      </vt:variant>
      <vt:variant>
        <vt:i4>5</vt:i4>
      </vt:variant>
      <vt:variant>
        <vt:lpwstr/>
      </vt:variant>
      <vt:variant>
        <vt:lpwstr>_Toc139151129</vt:lpwstr>
      </vt:variant>
      <vt:variant>
        <vt:i4>1441852</vt:i4>
      </vt:variant>
      <vt:variant>
        <vt:i4>118</vt:i4>
      </vt:variant>
      <vt:variant>
        <vt:i4>0</vt:i4>
      </vt:variant>
      <vt:variant>
        <vt:i4>5</vt:i4>
      </vt:variant>
      <vt:variant>
        <vt:lpwstr/>
      </vt:variant>
      <vt:variant>
        <vt:lpwstr>_Toc139151128</vt:lpwstr>
      </vt:variant>
      <vt:variant>
        <vt:i4>1441852</vt:i4>
      </vt:variant>
      <vt:variant>
        <vt:i4>112</vt:i4>
      </vt:variant>
      <vt:variant>
        <vt:i4>0</vt:i4>
      </vt:variant>
      <vt:variant>
        <vt:i4>5</vt:i4>
      </vt:variant>
      <vt:variant>
        <vt:lpwstr/>
      </vt:variant>
      <vt:variant>
        <vt:lpwstr>_Toc139151127</vt:lpwstr>
      </vt:variant>
      <vt:variant>
        <vt:i4>1441852</vt:i4>
      </vt:variant>
      <vt:variant>
        <vt:i4>106</vt:i4>
      </vt:variant>
      <vt:variant>
        <vt:i4>0</vt:i4>
      </vt:variant>
      <vt:variant>
        <vt:i4>5</vt:i4>
      </vt:variant>
      <vt:variant>
        <vt:lpwstr/>
      </vt:variant>
      <vt:variant>
        <vt:lpwstr>_Toc139151126</vt:lpwstr>
      </vt:variant>
      <vt:variant>
        <vt:i4>1441852</vt:i4>
      </vt:variant>
      <vt:variant>
        <vt:i4>100</vt:i4>
      </vt:variant>
      <vt:variant>
        <vt:i4>0</vt:i4>
      </vt:variant>
      <vt:variant>
        <vt:i4>5</vt:i4>
      </vt:variant>
      <vt:variant>
        <vt:lpwstr/>
      </vt:variant>
      <vt:variant>
        <vt:lpwstr>_Toc139151125</vt:lpwstr>
      </vt:variant>
      <vt:variant>
        <vt:i4>1441852</vt:i4>
      </vt:variant>
      <vt:variant>
        <vt:i4>94</vt:i4>
      </vt:variant>
      <vt:variant>
        <vt:i4>0</vt:i4>
      </vt:variant>
      <vt:variant>
        <vt:i4>5</vt:i4>
      </vt:variant>
      <vt:variant>
        <vt:lpwstr/>
      </vt:variant>
      <vt:variant>
        <vt:lpwstr>_Toc139151124</vt:lpwstr>
      </vt:variant>
      <vt:variant>
        <vt:i4>1441852</vt:i4>
      </vt:variant>
      <vt:variant>
        <vt:i4>88</vt:i4>
      </vt:variant>
      <vt:variant>
        <vt:i4>0</vt:i4>
      </vt:variant>
      <vt:variant>
        <vt:i4>5</vt:i4>
      </vt:variant>
      <vt:variant>
        <vt:lpwstr/>
      </vt:variant>
      <vt:variant>
        <vt:lpwstr>_Toc139151123</vt:lpwstr>
      </vt:variant>
      <vt:variant>
        <vt:i4>1441852</vt:i4>
      </vt:variant>
      <vt:variant>
        <vt:i4>82</vt:i4>
      </vt:variant>
      <vt:variant>
        <vt:i4>0</vt:i4>
      </vt:variant>
      <vt:variant>
        <vt:i4>5</vt:i4>
      </vt:variant>
      <vt:variant>
        <vt:lpwstr/>
      </vt:variant>
      <vt:variant>
        <vt:lpwstr>_Toc139151122</vt:lpwstr>
      </vt:variant>
      <vt:variant>
        <vt:i4>1441852</vt:i4>
      </vt:variant>
      <vt:variant>
        <vt:i4>76</vt:i4>
      </vt:variant>
      <vt:variant>
        <vt:i4>0</vt:i4>
      </vt:variant>
      <vt:variant>
        <vt:i4>5</vt:i4>
      </vt:variant>
      <vt:variant>
        <vt:lpwstr/>
      </vt:variant>
      <vt:variant>
        <vt:lpwstr>_Toc139151121</vt:lpwstr>
      </vt:variant>
      <vt:variant>
        <vt:i4>1441852</vt:i4>
      </vt:variant>
      <vt:variant>
        <vt:i4>70</vt:i4>
      </vt:variant>
      <vt:variant>
        <vt:i4>0</vt:i4>
      </vt:variant>
      <vt:variant>
        <vt:i4>5</vt:i4>
      </vt:variant>
      <vt:variant>
        <vt:lpwstr/>
      </vt:variant>
      <vt:variant>
        <vt:lpwstr>_Toc139151120</vt:lpwstr>
      </vt:variant>
      <vt:variant>
        <vt:i4>1376316</vt:i4>
      </vt:variant>
      <vt:variant>
        <vt:i4>64</vt:i4>
      </vt:variant>
      <vt:variant>
        <vt:i4>0</vt:i4>
      </vt:variant>
      <vt:variant>
        <vt:i4>5</vt:i4>
      </vt:variant>
      <vt:variant>
        <vt:lpwstr/>
      </vt:variant>
      <vt:variant>
        <vt:lpwstr>_Toc139151119</vt:lpwstr>
      </vt:variant>
      <vt:variant>
        <vt:i4>1376316</vt:i4>
      </vt:variant>
      <vt:variant>
        <vt:i4>58</vt:i4>
      </vt:variant>
      <vt:variant>
        <vt:i4>0</vt:i4>
      </vt:variant>
      <vt:variant>
        <vt:i4>5</vt:i4>
      </vt:variant>
      <vt:variant>
        <vt:lpwstr/>
      </vt:variant>
      <vt:variant>
        <vt:lpwstr>_Toc139151118</vt:lpwstr>
      </vt:variant>
      <vt:variant>
        <vt:i4>1376316</vt:i4>
      </vt:variant>
      <vt:variant>
        <vt:i4>52</vt:i4>
      </vt:variant>
      <vt:variant>
        <vt:i4>0</vt:i4>
      </vt:variant>
      <vt:variant>
        <vt:i4>5</vt:i4>
      </vt:variant>
      <vt:variant>
        <vt:lpwstr/>
      </vt:variant>
      <vt:variant>
        <vt:lpwstr>_Toc139151117</vt:lpwstr>
      </vt:variant>
      <vt:variant>
        <vt:i4>1376316</vt:i4>
      </vt:variant>
      <vt:variant>
        <vt:i4>46</vt:i4>
      </vt:variant>
      <vt:variant>
        <vt:i4>0</vt:i4>
      </vt:variant>
      <vt:variant>
        <vt:i4>5</vt:i4>
      </vt:variant>
      <vt:variant>
        <vt:lpwstr/>
      </vt:variant>
      <vt:variant>
        <vt:lpwstr>_Toc139151116</vt:lpwstr>
      </vt:variant>
      <vt:variant>
        <vt:i4>1376316</vt:i4>
      </vt:variant>
      <vt:variant>
        <vt:i4>40</vt:i4>
      </vt:variant>
      <vt:variant>
        <vt:i4>0</vt:i4>
      </vt:variant>
      <vt:variant>
        <vt:i4>5</vt:i4>
      </vt:variant>
      <vt:variant>
        <vt:lpwstr/>
      </vt:variant>
      <vt:variant>
        <vt:lpwstr>_Toc139151115</vt:lpwstr>
      </vt:variant>
      <vt:variant>
        <vt:i4>1376316</vt:i4>
      </vt:variant>
      <vt:variant>
        <vt:i4>34</vt:i4>
      </vt:variant>
      <vt:variant>
        <vt:i4>0</vt:i4>
      </vt:variant>
      <vt:variant>
        <vt:i4>5</vt:i4>
      </vt:variant>
      <vt:variant>
        <vt:lpwstr/>
      </vt:variant>
      <vt:variant>
        <vt:lpwstr>_Toc139151114</vt:lpwstr>
      </vt:variant>
      <vt:variant>
        <vt:i4>1376316</vt:i4>
      </vt:variant>
      <vt:variant>
        <vt:i4>28</vt:i4>
      </vt:variant>
      <vt:variant>
        <vt:i4>0</vt:i4>
      </vt:variant>
      <vt:variant>
        <vt:i4>5</vt:i4>
      </vt:variant>
      <vt:variant>
        <vt:lpwstr/>
      </vt:variant>
      <vt:variant>
        <vt:lpwstr>_Toc139151113</vt:lpwstr>
      </vt:variant>
      <vt:variant>
        <vt:i4>1376316</vt:i4>
      </vt:variant>
      <vt:variant>
        <vt:i4>22</vt:i4>
      </vt:variant>
      <vt:variant>
        <vt:i4>0</vt:i4>
      </vt:variant>
      <vt:variant>
        <vt:i4>5</vt:i4>
      </vt:variant>
      <vt:variant>
        <vt:lpwstr/>
      </vt:variant>
      <vt:variant>
        <vt:lpwstr>_Toc139151112</vt:lpwstr>
      </vt:variant>
      <vt:variant>
        <vt:i4>1376316</vt:i4>
      </vt:variant>
      <vt:variant>
        <vt:i4>16</vt:i4>
      </vt:variant>
      <vt:variant>
        <vt:i4>0</vt:i4>
      </vt:variant>
      <vt:variant>
        <vt:i4>5</vt:i4>
      </vt:variant>
      <vt:variant>
        <vt:lpwstr/>
      </vt:variant>
      <vt:variant>
        <vt:lpwstr>_Toc139151111</vt:lpwstr>
      </vt:variant>
      <vt:variant>
        <vt:i4>7405619</vt:i4>
      </vt:variant>
      <vt:variant>
        <vt:i4>10</vt:i4>
      </vt:variant>
      <vt:variant>
        <vt:i4>0</vt:i4>
      </vt:variant>
      <vt:variant>
        <vt:i4>5</vt:i4>
      </vt:variant>
      <vt:variant>
        <vt:lpwstr/>
      </vt:variant>
      <vt:variant>
        <vt:lpwstr>_ENREF_282</vt:lpwstr>
      </vt:variant>
      <vt:variant>
        <vt:i4>4390923</vt:i4>
      </vt:variant>
      <vt:variant>
        <vt:i4>7</vt:i4>
      </vt:variant>
      <vt:variant>
        <vt:i4>0</vt:i4>
      </vt:variant>
      <vt:variant>
        <vt:i4>5</vt:i4>
      </vt:variant>
      <vt:variant>
        <vt:lpwstr/>
      </vt:variant>
      <vt:variant>
        <vt:lpwstr>_ENREF_25</vt:lpwstr>
      </vt:variant>
      <vt:variant>
        <vt:i4>2949219</vt:i4>
      </vt:variant>
      <vt:variant>
        <vt:i4>0</vt:i4>
      </vt:variant>
      <vt:variant>
        <vt:i4>0</vt:i4>
      </vt:variant>
      <vt:variant>
        <vt:i4>5</vt:i4>
      </vt:variant>
      <vt:variant>
        <vt:lpwstr>https://doi.org/10.1098/rsos.231147</vt:lpwstr>
      </vt:variant>
      <vt:variant>
        <vt:lpwstr/>
      </vt:variant>
      <vt:variant>
        <vt:i4>786452</vt:i4>
      </vt:variant>
      <vt:variant>
        <vt:i4>0</vt:i4>
      </vt:variant>
      <vt:variant>
        <vt:i4>0</vt:i4>
      </vt:variant>
      <vt:variant>
        <vt:i4>5</vt:i4>
      </vt:variant>
      <vt:variant>
        <vt:lpwstr>https://doi.org/10.1007/s00203-007-0248-3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clokie</dc:creator>
  <cp:keywords/>
  <dc:description/>
  <cp:lastModifiedBy>Irene Martín Moltó</cp:lastModifiedBy>
  <cp:revision>2</cp:revision>
  <cp:lastPrinted>2025-08-02T08:02:00Z</cp:lastPrinted>
  <dcterms:created xsi:type="dcterms:W3CDTF">2025-08-04T09:44:00Z</dcterms:created>
  <dcterms:modified xsi:type="dcterms:W3CDTF">2025-08-04T09:44:00Z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0x010100F6F7D9368BBEA04D8C57022EE6C6D41B</vt:lpwstr>
  </property>
</Properties>
</file>